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54E5" w14:textId="5EAEB204" w:rsidR="005879E3" w:rsidRPr="00DF5C23" w:rsidRDefault="008B42B0" w:rsidP="008B42B0">
      <w:pPr>
        <w:pStyle w:val="Pagedecouverture"/>
        <w:rPr>
          <w:noProof/>
        </w:rPr>
      </w:pPr>
      <w:r>
        <w:rPr>
          <w:noProof/>
        </w:rPr>
        <w:pict w14:anchorId="3B389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3FC02D69-6A93-407E-9ED2-9617677A2F39" style="width:455.25pt;height:426pt">
            <v:imagedata r:id="rId11" o:title=""/>
          </v:shape>
        </w:pict>
      </w:r>
    </w:p>
    <w:p w14:paraId="2C3A54E6" w14:textId="77777777" w:rsidR="005879E3" w:rsidRPr="00DF5C23" w:rsidRDefault="005879E3" w:rsidP="005879E3">
      <w:pPr>
        <w:rPr>
          <w:noProof/>
        </w:rPr>
        <w:sectPr w:rsidR="005879E3" w:rsidRPr="00DF5C23" w:rsidSect="008B42B0">
          <w:footerReference w:type="default" r:id="rId12"/>
          <w:pgSz w:w="11907" w:h="16839"/>
          <w:pgMar w:top="1134" w:right="1417" w:bottom="1134" w:left="1417" w:header="709" w:footer="709" w:gutter="0"/>
          <w:pgNumType w:start="0"/>
          <w:cols w:space="720"/>
          <w:docGrid w:linePitch="360"/>
        </w:sectPr>
      </w:pPr>
    </w:p>
    <w:p w14:paraId="2C3A54E7" w14:textId="77777777" w:rsidR="005879E3" w:rsidRPr="00DF5C23" w:rsidRDefault="23DF1179" w:rsidP="00893002">
      <w:pPr>
        <w:pStyle w:val="Exposdesmotifstitre"/>
        <w:rPr>
          <w:noProof/>
        </w:rPr>
      </w:pPr>
      <w:bookmarkStart w:id="0" w:name="_GoBack"/>
      <w:bookmarkEnd w:id="0"/>
      <w:r>
        <w:rPr>
          <w:noProof/>
        </w:rPr>
        <w:lastRenderedPageBreak/>
        <w:t>EXPLANATORY MEMORANDUM</w:t>
      </w:r>
    </w:p>
    <w:p w14:paraId="2C3A54E8" w14:textId="77777777" w:rsidR="005879E3" w:rsidRPr="00DF5C23" w:rsidRDefault="005879E3" w:rsidP="00893002">
      <w:pPr>
        <w:pStyle w:val="ManualHeading1"/>
        <w:rPr>
          <w:noProof/>
        </w:rPr>
      </w:pPr>
      <w:r w:rsidRPr="00DF5C23">
        <w:rPr>
          <w:noProof/>
        </w:rPr>
        <w:t>1.</w:t>
      </w:r>
      <w:r w:rsidRPr="00DF5C23">
        <w:rPr>
          <w:noProof/>
        </w:rPr>
        <w:tab/>
        <w:t>CONTEXT OF THE PROPOSAL</w:t>
      </w:r>
    </w:p>
    <w:p w14:paraId="2C3A54E9" w14:textId="77777777" w:rsidR="005879E3" w:rsidRPr="00DF5C23" w:rsidRDefault="005879E3" w:rsidP="23DF1179">
      <w:pPr>
        <w:pStyle w:val="ManualHeading2"/>
        <w:rPr>
          <w:rFonts w:eastAsia="Arial Unicode MS"/>
          <w:noProof/>
        </w:rPr>
      </w:pPr>
      <w:r w:rsidRPr="00DF5C23">
        <w:rPr>
          <w:rFonts w:eastAsia="Arial Unicode MS"/>
          <w:noProof/>
          <w:color w:val="000000"/>
          <w:bdr w:val="nil"/>
          <w:lang w:val="en-US" w:eastAsia="en-GB"/>
        </w:rPr>
        <w:t>•</w:t>
      </w:r>
      <w:r w:rsidRPr="00DF5C23">
        <w:rPr>
          <w:rFonts w:eastAsia="Arial Unicode MS"/>
          <w:noProof/>
          <w:color w:val="000000"/>
          <w:u w:color="000000"/>
          <w:bdr w:val="nil"/>
          <w:lang w:val="en-US" w:eastAsia="en-GB"/>
        </w:rPr>
        <w:tab/>
      </w:r>
      <w:r w:rsidRPr="00DF5C23">
        <w:rPr>
          <w:rFonts w:eastAsia="Arial Unicode MS"/>
          <w:noProof/>
        </w:rPr>
        <w:t>Reasons for and objectives of the proposal</w:t>
      </w:r>
    </w:p>
    <w:p w14:paraId="2C3A54EA" w14:textId="77777777" w:rsidR="00680B76" w:rsidRPr="00DF5C23" w:rsidRDefault="006C7D06" w:rsidP="23DF1179">
      <w:pPr>
        <w:pBdr>
          <w:top w:val="nil"/>
          <w:left w:val="nil"/>
          <w:bottom w:val="nil"/>
          <w:right w:val="nil"/>
          <w:between w:val="nil"/>
          <w:bar w:val="nil"/>
        </w:pBdr>
        <w:spacing w:before="0" w:after="240"/>
        <w:rPr>
          <w:rFonts w:eastAsia="Arial Unicode MS"/>
          <w:noProof/>
        </w:rPr>
      </w:pPr>
      <w:r w:rsidRPr="00DF5C23">
        <w:rPr>
          <w:rFonts w:eastAsia="Arial Unicode MS"/>
          <w:noProof/>
        </w:rPr>
        <w:t>The main objective</w:t>
      </w:r>
      <w:r w:rsidR="00C20BCB" w:rsidRPr="00DF5C23">
        <w:rPr>
          <w:rFonts w:eastAsia="Arial Unicode MS"/>
          <w:noProof/>
        </w:rPr>
        <w:t>s</w:t>
      </w:r>
      <w:r w:rsidRPr="00DF5C23">
        <w:rPr>
          <w:rFonts w:eastAsia="Arial Unicode MS"/>
          <w:noProof/>
        </w:rPr>
        <w:t xml:space="preserve"> of this regulation </w:t>
      </w:r>
      <w:r w:rsidR="00C20BCB" w:rsidRPr="00DF5C23">
        <w:rPr>
          <w:rFonts w:eastAsia="Arial Unicode MS"/>
          <w:noProof/>
        </w:rPr>
        <w:t>are</w:t>
      </w:r>
      <w:r w:rsidRPr="00DF5C23">
        <w:rPr>
          <w:rFonts w:eastAsia="Arial Unicode MS"/>
          <w:noProof/>
        </w:rPr>
        <w:t xml:space="preserve"> to reduce the negative life cycle environmental impacts of products and improve the functioning of</w:t>
      </w:r>
      <w:r w:rsidR="00676BB5" w:rsidRPr="00DF5C23">
        <w:rPr>
          <w:rFonts w:eastAsia="Arial Unicode MS"/>
          <w:noProof/>
        </w:rPr>
        <w:t xml:space="preserve"> </w:t>
      </w:r>
      <w:r w:rsidRPr="00DF5C23">
        <w:rPr>
          <w:rFonts w:eastAsia="Arial Unicode MS"/>
          <w:noProof/>
        </w:rPr>
        <w:t>the internal market. Th</w:t>
      </w:r>
      <w:r w:rsidR="00C20BCB" w:rsidRPr="00DF5C23">
        <w:rPr>
          <w:rFonts w:eastAsia="Arial Unicode MS"/>
          <w:noProof/>
        </w:rPr>
        <w:t>ese</w:t>
      </w:r>
      <w:r w:rsidRPr="00DF5C23">
        <w:rPr>
          <w:rFonts w:eastAsia="Arial Unicode MS"/>
          <w:noProof/>
        </w:rPr>
        <w:t xml:space="preserve"> objective</w:t>
      </w:r>
      <w:r w:rsidR="00C20BCB" w:rsidRPr="00DF5C23">
        <w:rPr>
          <w:rFonts w:eastAsia="Arial Unicode MS"/>
          <w:noProof/>
        </w:rPr>
        <w:t>s</w:t>
      </w:r>
      <w:r w:rsidRPr="00DF5C23">
        <w:rPr>
          <w:rFonts w:eastAsia="Arial Unicode MS"/>
          <w:noProof/>
        </w:rPr>
        <w:t xml:space="preserve"> seek to resolve the problems and their causes analysed in the impact assessment. </w:t>
      </w:r>
      <w:r w:rsidR="00C20BCB" w:rsidRPr="00DF5C23">
        <w:rPr>
          <w:rFonts w:eastAsia="Arial Unicode MS"/>
          <w:noProof/>
        </w:rPr>
        <w:t>They</w:t>
      </w:r>
      <w:r w:rsidRPr="00DF5C23">
        <w:rPr>
          <w:rFonts w:eastAsia="Arial Unicode MS"/>
          <w:noProof/>
        </w:rPr>
        <w:t xml:space="preserve"> reflect the fact that products</w:t>
      </w:r>
      <w:r w:rsidR="008B5B0C" w:rsidRPr="00DF5C23">
        <w:rPr>
          <w:rFonts w:eastAsia="Arial Unicode MS"/>
          <w:noProof/>
        </w:rPr>
        <w:t xml:space="preserve"> are available on the internal market</w:t>
      </w:r>
      <w:r w:rsidRPr="00DF5C23">
        <w:rPr>
          <w:rFonts w:eastAsia="Arial Unicode MS"/>
          <w:noProof/>
        </w:rPr>
        <w:t xml:space="preserve"> that </w:t>
      </w:r>
      <w:r w:rsidR="008B5B0C" w:rsidRPr="00DF5C23">
        <w:rPr>
          <w:rFonts w:eastAsia="Arial Unicode MS"/>
          <w:noProof/>
        </w:rPr>
        <w:t>generate</w:t>
      </w:r>
      <w:r w:rsidRPr="00DF5C23">
        <w:rPr>
          <w:rFonts w:eastAsia="Arial Unicode MS"/>
          <w:noProof/>
        </w:rPr>
        <w:t xml:space="preserve"> unnecessary </w:t>
      </w:r>
      <w:r w:rsidR="00A17F6F" w:rsidRPr="00DF5C23">
        <w:rPr>
          <w:rFonts w:eastAsia="Arial Unicode MS"/>
          <w:noProof/>
        </w:rPr>
        <w:t xml:space="preserve">adverse </w:t>
      </w:r>
      <w:r w:rsidRPr="00DF5C23">
        <w:rPr>
          <w:rFonts w:eastAsia="Arial Unicode MS"/>
          <w:noProof/>
        </w:rPr>
        <w:t xml:space="preserve">environmental impacts. </w:t>
      </w:r>
      <w:r w:rsidR="00A17F6F" w:rsidRPr="00DF5C23">
        <w:rPr>
          <w:rFonts w:eastAsia="Arial Unicode MS"/>
          <w:noProof/>
        </w:rPr>
        <w:t xml:space="preserve">This Regulation </w:t>
      </w:r>
      <w:r w:rsidRPr="00DF5C23">
        <w:rPr>
          <w:rFonts w:eastAsia="Arial Unicode MS"/>
          <w:noProof/>
        </w:rPr>
        <w:t xml:space="preserve">also </w:t>
      </w:r>
      <w:r w:rsidR="00A17F6F" w:rsidRPr="00DF5C23">
        <w:rPr>
          <w:rFonts w:eastAsia="Arial Unicode MS"/>
          <w:noProof/>
        </w:rPr>
        <w:t xml:space="preserve">contributes to </w:t>
      </w:r>
      <w:r w:rsidRPr="00DF5C23">
        <w:rPr>
          <w:rFonts w:eastAsia="Arial Unicode MS"/>
          <w:noProof/>
        </w:rPr>
        <w:t>the objectives of</w:t>
      </w:r>
      <w:r w:rsidR="00A17F6F" w:rsidRPr="00DF5C23">
        <w:rPr>
          <w:rFonts w:eastAsia="Arial Unicode MS"/>
          <w:noProof/>
        </w:rPr>
        <w:t xml:space="preserve"> EU</w:t>
      </w:r>
      <w:r w:rsidRPr="00DF5C23">
        <w:rPr>
          <w:rFonts w:eastAsia="Arial Unicode MS"/>
          <w:noProof/>
        </w:rPr>
        <w:t xml:space="preserve"> industrial policy</w:t>
      </w:r>
      <w:r w:rsidR="00A17F6F" w:rsidRPr="00DF5C23">
        <w:rPr>
          <w:rFonts w:eastAsia="Arial Unicode MS"/>
          <w:noProof/>
        </w:rPr>
        <w:t xml:space="preserve"> to boost the </w:t>
      </w:r>
      <w:r w:rsidR="0001160A" w:rsidRPr="00DF5C23">
        <w:rPr>
          <w:rFonts w:eastAsia="Arial Unicode MS"/>
          <w:noProof/>
        </w:rPr>
        <w:t xml:space="preserve">supply </w:t>
      </w:r>
      <w:r w:rsidR="002A76DC" w:rsidRPr="00DF5C23">
        <w:rPr>
          <w:rFonts w:eastAsia="Arial Unicode MS"/>
          <w:noProof/>
        </w:rPr>
        <w:t>of</w:t>
      </w:r>
      <w:r w:rsidR="0001160A" w:rsidRPr="00DF5C23">
        <w:rPr>
          <w:rFonts w:eastAsia="Arial Unicode MS"/>
          <w:noProof/>
        </w:rPr>
        <w:t xml:space="preserve"> and </w:t>
      </w:r>
      <w:r w:rsidR="00A17F6F" w:rsidRPr="00DF5C23">
        <w:rPr>
          <w:rFonts w:eastAsia="Arial Unicode MS"/>
          <w:noProof/>
        </w:rPr>
        <w:t>demand for sustainable goods, deliver on sustainable production, and ensure a level</w:t>
      </w:r>
      <w:r w:rsidR="008443F5" w:rsidRPr="00DF5C23">
        <w:rPr>
          <w:rFonts w:eastAsia="Arial Unicode MS"/>
          <w:noProof/>
        </w:rPr>
        <w:t xml:space="preserve"> </w:t>
      </w:r>
      <w:r w:rsidR="00A17F6F" w:rsidRPr="00DF5C23">
        <w:rPr>
          <w:rFonts w:eastAsia="Arial Unicode MS"/>
          <w:noProof/>
        </w:rPr>
        <w:t>playing field</w:t>
      </w:r>
      <w:r w:rsidR="008443F5" w:rsidRPr="00DF5C23">
        <w:rPr>
          <w:rFonts w:eastAsia="Arial Unicode MS"/>
          <w:noProof/>
        </w:rPr>
        <w:t xml:space="preserve"> for products sold on the </w:t>
      </w:r>
      <w:r w:rsidR="002A76DC" w:rsidRPr="00DF5C23">
        <w:rPr>
          <w:rFonts w:eastAsia="Arial Unicode MS"/>
          <w:noProof/>
        </w:rPr>
        <w:t>internal</w:t>
      </w:r>
      <w:r w:rsidR="008443F5" w:rsidRPr="00DF5C23">
        <w:rPr>
          <w:rFonts w:eastAsia="Arial Unicode MS"/>
          <w:noProof/>
        </w:rPr>
        <w:t xml:space="preserve"> market</w:t>
      </w:r>
      <w:r w:rsidRPr="00DF5C23">
        <w:rPr>
          <w:rFonts w:eastAsia="Arial Unicode MS"/>
          <w:noProof/>
        </w:rPr>
        <w:t xml:space="preserve">. </w:t>
      </w:r>
      <w:r w:rsidR="00CB51C9" w:rsidRPr="00DF5C23">
        <w:rPr>
          <w:rFonts w:eastAsia="Arial Unicode MS"/>
          <w:noProof/>
        </w:rPr>
        <w:t>I</w:t>
      </w:r>
      <w:r w:rsidRPr="00DF5C23">
        <w:rPr>
          <w:rFonts w:eastAsia="Arial Unicode MS"/>
          <w:noProof/>
        </w:rPr>
        <w:t xml:space="preserve">ndustry needs harmonised requirements applicable across the board, </w:t>
      </w:r>
      <w:r w:rsidR="00A17F6F" w:rsidRPr="00DF5C23">
        <w:rPr>
          <w:rFonts w:eastAsia="Arial Unicode MS"/>
          <w:noProof/>
        </w:rPr>
        <w:t>efficient means to comply with them,</w:t>
      </w:r>
      <w:r w:rsidRPr="00DF5C23">
        <w:rPr>
          <w:rFonts w:eastAsia="Arial Unicode MS"/>
          <w:noProof/>
        </w:rPr>
        <w:t xml:space="preserve"> proper enforcement, </w:t>
      </w:r>
      <w:r w:rsidR="00A17F6F" w:rsidRPr="00DF5C23">
        <w:rPr>
          <w:rFonts w:eastAsia="Arial Unicode MS"/>
          <w:noProof/>
        </w:rPr>
        <w:t>reinforced</w:t>
      </w:r>
      <w:r w:rsidRPr="00DF5C23">
        <w:rPr>
          <w:rFonts w:eastAsia="Arial Unicode MS"/>
          <w:noProof/>
        </w:rPr>
        <w:t xml:space="preserve"> market surveillance and customs controls</w:t>
      </w:r>
      <w:r w:rsidR="009B6B7C" w:rsidRPr="00DF5C23">
        <w:rPr>
          <w:rFonts w:eastAsia="Arial Unicode MS"/>
          <w:noProof/>
        </w:rPr>
        <w:t xml:space="preserve"> </w:t>
      </w:r>
      <w:r w:rsidR="00461A97" w:rsidRPr="00DF5C23">
        <w:rPr>
          <w:rFonts w:eastAsia="Arial Unicode MS"/>
          <w:noProof/>
        </w:rPr>
        <w:t>based on a risk analysis</w:t>
      </w:r>
      <w:r w:rsidR="00461A97" w:rsidRPr="00DF5C23">
        <w:rPr>
          <w:rStyle w:val="FootnoteReference0"/>
          <w:rFonts w:eastAsia="Arial Unicode MS"/>
          <w:noProof/>
        </w:rPr>
        <w:footnoteReference w:id="2"/>
      </w:r>
      <w:r w:rsidRPr="00DF5C23">
        <w:rPr>
          <w:rFonts w:eastAsia="Arial Unicode MS"/>
          <w:noProof/>
        </w:rPr>
        <w:t xml:space="preserve">. </w:t>
      </w:r>
    </w:p>
    <w:p w14:paraId="2C3A54EB" w14:textId="77777777" w:rsidR="00A270B2" w:rsidRPr="00DF5C23" w:rsidRDefault="23DF1179" w:rsidP="23DF1179">
      <w:pPr>
        <w:rPr>
          <w:noProof/>
          <w:sz w:val="22"/>
          <w:lang w:val="en-IE"/>
        </w:rPr>
      </w:pPr>
      <w:r w:rsidRPr="23DF1179">
        <w:rPr>
          <w:noProof/>
          <w:lang w:val="en-IE"/>
        </w:rPr>
        <w:t xml:space="preserve">Products play a vital role in the lives of EU citizens and the number, range and variety of products on offer to us are constantly increasing. With the technological leaps that have taken place over past decades, our reliance on them has also increased: from the ICT products that kept us connected during the COVID-19 crisis, to the furniture and the appliances that help to run our homes on a daily basis. The free circulation of products is essential to ensuring the functioning of the internal market, which remains the foundation for EU companies’ competitiveness and for consumers’ choice.     </w:t>
      </w:r>
    </w:p>
    <w:p w14:paraId="2C3A54EC" w14:textId="77777777" w:rsidR="00A270B2" w:rsidRPr="00DF5C23" w:rsidRDefault="00621934" w:rsidP="23DF1179">
      <w:pPr>
        <w:rPr>
          <w:noProof/>
          <w:lang w:val="en-IE" w:eastAsia="fr-BE"/>
        </w:rPr>
      </w:pPr>
      <w:r w:rsidRPr="00DF5C23">
        <w:rPr>
          <w:noProof/>
          <w:lang w:val="en-IE"/>
        </w:rPr>
        <w:t xml:space="preserve">By </w:t>
      </w:r>
      <w:r w:rsidR="00F23021" w:rsidRPr="00DF5C23">
        <w:rPr>
          <w:noProof/>
        </w:rPr>
        <w:t>applying the Ecodesign approach</w:t>
      </w:r>
      <w:r w:rsidRPr="00DF5C23">
        <w:rPr>
          <w:noProof/>
        </w:rPr>
        <w:t xml:space="preserve"> to a very broad range of products and enabling it to set a wide range of targeted product requirements, </w:t>
      </w:r>
      <w:r w:rsidRPr="00DF5C23">
        <w:rPr>
          <w:noProof/>
          <w:lang w:val="en-IE"/>
        </w:rPr>
        <w:t>this regulation seeks to address the most detrimental environmental impacts of products. It</w:t>
      </w:r>
      <w:r w:rsidR="00A270B2" w:rsidRPr="00DF5C23">
        <w:rPr>
          <w:noProof/>
        </w:rPr>
        <w:t xml:space="preserve"> therefore lays down a framework for setting ecodesign requirements based on the sustainability and circularity aspects listed in the </w:t>
      </w:r>
      <w:r w:rsidR="00A270B2" w:rsidRPr="23DF1179">
        <w:rPr>
          <w:noProof/>
        </w:rPr>
        <w:t>Circular Economy Action Plan</w:t>
      </w:r>
      <w:r w:rsidR="00A270B2" w:rsidRPr="23DF1179">
        <w:rPr>
          <w:rStyle w:val="FootnoteReference0"/>
          <w:noProof/>
        </w:rPr>
        <w:footnoteReference w:id="3"/>
      </w:r>
      <w:r w:rsidR="00A270B2" w:rsidRPr="00DF5C23">
        <w:rPr>
          <w:noProof/>
        </w:rPr>
        <w:t xml:space="preserve">, such as </w:t>
      </w:r>
      <w:r w:rsidR="00A270B2" w:rsidRPr="00DF5C23">
        <w:rPr>
          <w:noProof/>
          <w:lang w:val="en-IE" w:eastAsia="fr-BE"/>
        </w:rPr>
        <w:t xml:space="preserve">product durability, reusability, upgradability and reparability, the presence of substances of concern in products, product energy and resource efficiency, recycled content of products, product remanufacturing and high-quality recycling, and for reducing products’ carbon and environmental </w:t>
      </w:r>
      <w:r w:rsidR="00A270B2" w:rsidRPr="00DF5C23">
        <w:rPr>
          <w:noProof/>
          <w:lang w:val="en-IE"/>
        </w:rPr>
        <w:t>footprints</w:t>
      </w:r>
      <w:r w:rsidR="00A270B2" w:rsidRPr="00DF5C23">
        <w:rPr>
          <w:noProof/>
          <w:lang w:val="en-IE" w:eastAsia="fr-BE"/>
        </w:rPr>
        <w:t>.</w:t>
      </w:r>
    </w:p>
    <w:p w14:paraId="2C3A54ED" w14:textId="11AAA3F5" w:rsidR="00621934" w:rsidRPr="00DF5C23" w:rsidRDefault="00621934" w:rsidP="23DF1179">
      <w:pPr>
        <w:rPr>
          <w:noProof/>
          <w:sz w:val="22"/>
          <w:lang w:val="en-IE"/>
        </w:rPr>
      </w:pPr>
      <w:r w:rsidRPr="00DF5C23">
        <w:rPr>
          <w:noProof/>
          <w:lang w:val="en-IE" w:eastAsia="fr-BE"/>
        </w:rPr>
        <w:t xml:space="preserve">In </w:t>
      </w:r>
      <w:r w:rsidRPr="00DF5C23">
        <w:rPr>
          <w:noProof/>
          <w:lang w:val="en-IE"/>
        </w:rPr>
        <w:t>doing so, it will contribute to achieving the EU’s overall climate, environmental and energy goals</w:t>
      </w:r>
      <w:r w:rsidR="004D3B6A">
        <w:rPr>
          <w:noProof/>
          <w:lang w:val="en-IE"/>
        </w:rPr>
        <w:t>, while supporting economic growth, job creation and social inclusion</w:t>
      </w:r>
      <w:r w:rsidR="002A353B" w:rsidRPr="00DF5C23">
        <w:rPr>
          <w:noProof/>
          <w:lang w:val="en-IE"/>
        </w:rPr>
        <w:t>. B</w:t>
      </w:r>
      <w:r w:rsidRPr="00DF5C23">
        <w:rPr>
          <w:noProof/>
          <w:lang w:val="en-IE"/>
        </w:rPr>
        <w:t xml:space="preserve">y making materials last for longer, ensuring their value is retained for as long as possible and boosting the use of recycled content </w:t>
      </w:r>
      <w:r w:rsidRPr="00DF5C23">
        <w:rPr>
          <w:noProof/>
        </w:rPr>
        <w:t xml:space="preserve">in products, it will promote decoupling of economic development from natural resource use and </w:t>
      </w:r>
      <w:r w:rsidR="007969C4" w:rsidRPr="00DF5C23">
        <w:rPr>
          <w:noProof/>
        </w:rPr>
        <w:t>reduction of</w:t>
      </w:r>
      <w:r w:rsidRPr="00DF5C23">
        <w:rPr>
          <w:noProof/>
        </w:rPr>
        <w:t xml:space="preserve"> material dependencies – thus fostering EU open strategic autonomy and resilience. </w:t>
      </w:r>
      <w:r w:rsidR="007969C4" w:rsidRPr="00DF5C23">
        <w:rPr>
          <w:noProof/>
        </w:rPr>
        <w:t>Several r</w:t>
      </w:r>
      <w:r w:rsidRPr="00DF5C23">
        <w:rPr>
          <w:noProof/>
        </w:rPr>
        <w:t xml:space="preserve">ecent events have reminded us of the possible vulnerabilities of global supply chains. </w:t>
      </w:r>
    </w:p>
    <w:p w14:paraId="2C3A54EE" w14:textId="77777777" w:rsidR="00621934" w:rsidRPr="00DF5C23" w:rsidRDefault="00621934" w:rsidP="23DF1179">
      <w:pPr>
        <w:rPr>
          <w:rFonts w:eastAsia="Arial Unicode MS"/>
          <w:noProof/>
        </w:rPr>
      </w:pPr>
      <w:r w:rsidRPr="00DF5C23">
        <w:rPr>
          <w:noProof/>
          <w:lang w:val="en-IE"/>
        </w:rPr>
        <w:t xml:space="preserve">This regulation is part of a package of initiatives presented by the Commission relating to sustainable products and </w:t>
      </w:r>
      <w:r w:rsidR="007969C4" w:rsidRPr="00DF5C23">
        <w:rPr>
          <w:noProof/>
          <w:lang w:val="en-IE"/>
        </w:rPr>
        <w:t xml:space="preserve">fostering </w:t>
      </w:r>
      <w:r w:rsidRPr="00DF5C23">
        <w:rPr>
          <w:noProof/>
          <w:lang w:val="en-IE"/>
        </w:rPr>
        <w:t>s</w:t>
      </w:r>
      <w:r w:rsidR="007969C4" w:rsidRPr="00DF5C23">
        <w:rPr>
          <w:noProof/>
          <w:lang w:val="en-IE"/>
        </w:rPr>
        <w:t>ustainable product choices. The</w:t>
      </w:r>
      <w:r w:rsidRPr="00DF5C23">
        <w:rPr>
          <w:noProof/>
          <w:lang w:val="en-IE"/>
        </w:rPr>
        <w:t xml:space="preserve"> package includes targeted sectoral initiatives on textiles</w:t>
      </w:r>
      <w:r w:rsidR="00461A97" w:rsidRPr="00DF5C23">
        <w:rPr>
          <w:rStyle w:val="FootnoteReference0"/>
          <w:noProof/>
          <w:lang w:val="en-IE"/>
        </w:rPr>
        <w:footnoteReference w:id="4"/>
      </w:r>
      <w:r w:rsidRPr="00DF5C23">
        <w:rPr>
          <w:noProof/>
          <w:lang w:val="en-IE"/>
        </w:rPr>
        <w:t xml:space="preserve"> and construction products</w:t>
      </w:r>
      <w:r w:rsidR="00461A97" w:rsidRPr="00DF5C23">
        <w:rPr>
          <w:rStyle w:val="FootnoteReference0"/>
          <w:noProof/>
          <w:lang w:val="en-IE"/>
        </w:rPr>
        <w:footnoteReference w:id="5"/>
      </w:r>
      <w:r w:rsidRPr="00DF5C23">
        <w:rPr>
          <w:noProof/>
          <w:lang w:val="en-IE"/>
        </w:rPr>
        <w:t xml:space="preserve">, which address products with most significant impacts on the environment and climate, and an initiative to empower the consumers in the green transition, </w:t>
      </w:r>
      <w:r w:rsidRPr="00DF5C23">
        <w:rPr>
          <w:noProof/>
        </w:rPr>
        <w:t xml:space="preserve">through better protection against unfair </w:t>
      </w:r>
      <w:r w:rsidR="00461A97" w:rsidRPr="00DF5C23">
        <w:rPr>
          <w:noProof/>
        </w:rPr>
        <w:t>practices and better information</w:t>
      </w:r>
      <w:r w:rsidR="00461A97" w:rsidRPr="00DF5C23">
        <w:rPr>
          <w:rStyle w:val="FootnoteReference0"/>
          <w:noProof/>
        </w:rPr>
        <w:footnoteReference w:id="6"/>
      </w:r>
      <w:r w:rsidRPr="00DF5C23">
        <w:rPr>
          <w:noProof/>
          <w:lang w:val="en-IE"/>
        </w:rPr>
        <w:t>. Finally, until this regulation is in place, the Commission will ensure work under the existing Ecodesign Directive continues, including via adoption of a new Ecodesign and Energy Labelling Working Plan for the period 2022–2024, addressing new energy</w:t>
      </w:r>
      <w:r w:rsidR="00F23021" w:rsidRPr="00DF5C23">
        <w:rPr>
          <w:noProof/>
          <w:lang w:val="en-IE"/>
        </w:rPr>
        <w:t>-</w:t>
      </w:r>
      <w:r w:rsidRPr="00DF5C23">
        <w:rPr>
          <w:noProof/>
          <w:lang w:val="en-IE"/>
        </w:rPr>
        <w:t xml:space="preserve">related products and updating and increasing the ambition of those already regulated.  </w:t>
      </w:r>
    </w:p>
    <w:p w14:paraId="2C3A54EF" w14:textId="77777777" w:rsidR="005879E3" w:rsidRPr="00DF5C23" w:rsidRDefault="005879E3" w:rsidP="23DF1179">
      <w:pPr>
        <w:pStyle w:val="ManualHeading2"/>
        <w:rPr>
          <w:rFonts w:eastAsia="Arial Unicode MS"/>
          <w:noProof/>
          <w:color w:val="000000" w:themeColor="text1"/>
          <w:lang w:val="en-US" w:eastAsia="en-GB"/>
        </w:rPr>
      </w:pPr>
      <w:r w:rsidRPr="00DF5C23">
        <w:rPr>
          <w:rFonts w:eastAsia="Arial Unicode MS"/>
          <w:noProof/>
          <w:color w:val="000000"/>
          <w:bdr w:val="nil"/>
          <w:lang w:val="en-US" w:eastAsia="en-GB"/>
        </w:rPr>
        <w:t>•</w:t>
      </w:r>
      <w:r w:rsidRPr="00DF5C23">
        <w:rPr>
          <w:rFonts w:eastAsia="Arial Unicode MS"/>
          <w:noProof/>
          <w:color w:val="000000"/>
          <w:u w:color="000000"/>
          <w:bdr w:val="nil"/>
          <w:lang w:val="en-US" w:eastAsia="en-GB"/>
        </w:rPr>
        <w:tab/>
      </w:r>
      <w:r w:rsidRPr="00DF5C23">
        <w:rPr>
          <w:rFonts w:eastAsia="Arial Unicode MS"/>
          <w:noProof/>
        </w:rPr>
        <w:t>Consistency with existing policy provisions in the policy area</w:t>
      </w:r>
    </w:p>
    <w:p w14:paraId="2C3A54F0" w14:textId="77777777" w:rsidR="006C7D06"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noProof/>
        </w:rPr>
        <w:t xml:space="preserve">This regulation will broaden the scope of the </w:t>
      </w:r>
      <w:r w:rsidRPr="23DF1179">
        <w:rPr>
          <w:rFonts w:eastAsia="Arial Unicode MS"/>
          <w:b/>
          <w:bCs/>
          <w:noProof/>
        </w:rPr>
        <w:t>Ecodesign Directive</w:t>
      </w:r>
      <w:r w:rsidRPr="23DF1179">
        <w:rPr>
          <w:rFonts w:eastAsia="Arial Unicode MS"/>
          <w:noProof/>
        </w:rPr>
        <w:t xml:space="preserve"> both in terms of products and new kinds of requirements. For reasons of legal clarity, the Ecodesign Directive should therefore be repealed. Given the wide scope of the proposed regulation, it is necessary to define in so far as possible how it relates to existing legislation applicable to the products covered, and to other initiatives linked to or relevant its goals. The aim is to prevent duplication so as to minimise the administrative burden for businesses and authorities. </w:t>
      </w:r>
    </w:p>
    <w:p w14:paraId="2C3A54F1" w14:textId="77777777" w:rsidR="006C7D06"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noProof/>
        </w:rPr>
        <w:t xml:space="preserve">The general approach is that this Regulation will set requirements where existing legislation does not, or where it insufficiently addresses environmental sustainability aspects. The general principle of law, </w:t>
      </w:r>
      <w:r w:rsidRPr="23DF1179">
        <w:rPr>
          <w:rFonts w:eastAsia="Arial Unicode MS"/>
          <w:i/>
          <w:iCs/>
          <w:noProof/>
        </w:rPr>
        <w:t>lex specialis</w:t>
      </w:r>
      <w:r w:rsidRPr="23DF1179">
        <w:rPr>
          <w:rFonts w:eastAsia="Arial Unicode MS"/>
          <w:noProof/>
        </w:rPr>
        <w:t xml:space="preserve"> </w:t>
      </w:r>
      <w:r w:rsidRPr="23DF1179">
        <w:rPr>
          <w:rFonts w:eastAsia="Arial Unicode MS"/>
          <w:i/>
          <w:iCs/>
          <w:noProof/>
        </w:rPr>
        <w:t>derogat</w:t>
      </w:r>
      <w:r w:rsidRPr="23DF1179">
        <w:rPr>
          <w:rFonts w:eastAsia="Arial Unicode MS"/>
          <w:noProof/>
        </w:rPr>
        <w:t xml:space="preserve"> </w:t>
      </w:r>
      <w:r w:rsidRPr="23DF1179">
        <w:rPr>
          <w:rFonts w:eastAsia="Arial Unicode MS"/>
          <w:i/>
          <w:iCs/>
          <w:noProof/>
        </w:rPr>
        <w:t>legi generali,</w:t>
      </w:r>
      <w:r w:rsidRPr="23DF1179">
        <w:rPr>
          <w:rFonts w:eastAsia="Arial Unicode MS"/>
          <w:noProof/>
        </w:rPr>
        <w:t xml:space="preserve"> (where </w:t>
      </w:r>
      <w:r w:rsidRPr="23DF1179">
        <w:rPr>
          <w:rStyle w:val="hgkelc"/>
          <w:noProof/>
        </w:rPr>
        <w:t>more specific rules will prevail over more general rules)</w:t>
      </w:r>
      <w:r w:rsidRPr="23DF1179">
        <w:rPr>
          <w:rFonts w:eastAsia="Arial Unicode MS"/>
          <w:noProof/>
        </w:rPr>
        <w:t xml:space="preserve"> will therefore apply. To be more specific, the approach covers two categories: product-specific legislation and legislation addressing horizontal aspects.</w:t>
      </w:r>
    </w:p>
    <w:p w14:paraId="2C3A54F2" w14:textId="77777777" w:rsidR="00266E8A"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b/>
          <w:bCs/>
          <w:noProof/>
        </w:rPr>
        <w:t>Product-specific legislation</w:t>
      </w:r>
      <w:r w:rsidRPr="23DF1179">
        <w:rPr>
          <w:rFonts w:eastAsia="Arial Unicode MS"/>
          <w:noProof/>
        </w:rPr>
        <w:t xml:space="preserve"> refers to legislation focused on a specific product or well-defined product group, often regulating mainly safety aspects (e.g. on </w:t>
      </w:r>
      <w:r w:rsidRPr="23DF1179">
        <w:rPr>
          <w:rFonts w:eastAsia="Arial Unicode MS"/>
          <w:b/>
          <w:bCs/>
          <w:noProof/>
        </w:rPr>
        <w:t>batteries, toys, detergents and packaging</w:t>
      </w:r>
      <w:r w:rsidRPr="23DF1179">
        <w:rPr>
          <w:rFonts w:eastAsia="Arial Unicode MS"/>
          <w:noProof/>
        </w:rPr>
        <w:t xml:space="preserve">). It is not feasible to provide specifications for every piece of existing product-specific legislation at the general level of this Regulation. However, before setting concrete requirements at product-specific level through measures under this Regulation, the Commission will assess in detail any potential overlaps or conflicts with existing legislation to avoid duplicating requirements and putting an excessive burden on businesses. As a matter of principle, this Regulation will only apply to products not covered by existing legislation, or when legislation does not sufficiently address the sustainability of those products.  In addition, product-specific requirements under this Regulation will be included in delegated acts and as such cannot supersede requirements set through legislative acts such as directives or regulations (although they can be more specific), following the principle of the hierarchy of norms. </w:t>
      </w:r>
    </w:p>
    <w:p w14:paraId="2C3A54F3" w14:textId="77777777" w:rsidR="005811C8" w:rsidRPr="00DF5C23" w:rsidRDefault="00B11644" w:rsidP="23DF1179">
      <w:pPr>
        <w:rPr>
          <w:rFonts w:eastAsia="Arial Unicode MS"/>
          <w:noProof/>
        </w:rPr>
      </w:pPr>
      <w:bookmarkStart w:id="1" w:name="_Hlk98508885"/>
      <w:r w:rsidRPr="00DF5C23">
        <w:rPr>
          <w:rFonts w:eastAsia="Arial Unicode MS"/>
          <w:noProof/>
        </w:rPr>
        <w:t xml:space="preserve">In relation to construction products in particular, </w:t>
      </w:r>
      <w:r w:rsidRPr="00DF5C23">
        <w:rPr>
          <w:noProof/>
        </w:rPr>
        <w:t>whilst</w:t>
      </w:r>
      <w:r w:rsidRPr="23DF1179">
        <w:rPr>
          <w:rFonts w:cstheme="minorBidi"/>
          <w:noProof/>
        </w:rPr>
        <w:t xml:space="preserve"> these will be in the scope of this</w:t>
      </w:r>
      <w:r w:rsidRPr="00DF5C23">
        <w:rPr>
          <w:noProof/>
        </w:rPr>
        <w:t xml:space="preserve"> Regulation</w:t>
      </w:r>
      <w:r w:rsidRPr="23DF1179">
        <w:rPr>
          <w:rFonts w:cstheme="minorBidi"/>
          <w:noProof/>
        </w:rPr>
        <w:t xml:space="preserve">, </w:t>
      </w:r>
      <w:r w:rsidRPr="00DF5C23">
        <w:rPr>
          <w:noProof/>
        </w:rPr>
        <w:t xml:space="preserve">given the need to manage the strong interlinkages between their environmental and structural performance, including their health and safety, ecodesign </w:t>
      </w:r>
      <w:r w:rsidRPr="23DF1179">
        <w:rPr>
          <w:rFonts w:cstheme="minorBidi"/>
          <w:noProof/>
        </w:rPr>
        <w:t xml:space="preserve">requirements will be laid down under </w:t>
      </w:r>
      <w:r w:rsidRPr="00DF5C23">
        <w:rPr>
          <w:rFonts w:eastAsia="Arial Unicode MS"/>
          <w:noProof/>
        </w:rPr>
        <w:t xml:space="preserve">the revised </w:t>
      </w:r>
      <w:r w:rsidRPr="00DF5C23">
        <w:rPr>
          <w:noProof/>
        </w:rPr>
        <w:t>Regulation (EU) No 305/2011</w:t>
      </w:r>
      <w:r w:rsidRPr="00DF5C23">
        <w:rPr>
          <w:rStyle w:val="FootnoteReference0"/>
          <w:noProof/>
        </w:rPr>
        <w:footnoteReference w:id="7"/>
      </w:r>
      <w:r w:rsidRPr="00DF5C23">
        <w:rPr>
          <w:rFonts w:eastAsia="Arial Unicode MS"/>
          <w:noProof/>
        </w:rPr>
        <w:t xml:space="preserve"> (the Construction Products Regulation), </w:t>
      </w:r>
      <w:r w:rsidRPr="00DF5C23">
        <w:rPr>
          <w:noProof/>
        </w:rPr>
        <w:t xml:space="preserve">except for energy-related construction products, which are already regulated under the existing </w:t>
      </w:r>
      <w:r w:rsidR="004904FD" w:rsidRPr="00DF5C23">
        <w:rPr>
          <w:noProof/>
        </w:rPr>
        <w:t>E</w:t>
      </w:r>
      <w:r w:rsidRPr="00DF5C23">
        <w:rPr>
          <w:noProof/>
        </w:rPr>
        <w:t>codesign Directive</w:t>
      </w:r>
      <w:r w:rsidRPr="00DF5C23">
        <w:rPr>
          <w:rFonts w:eastAsia="Arial Unicode MS"/>
          <w:noProof/>
        </w:rPr>
        <w:t xml:space="preserve">. </w:t>
      </w:r>
      <w:bookmarkEnd w:id="1"/>
    </w:p>
    <w:p w14:paraId="2C3A54F4" w14:textId="77777777" w:rsidR="006C7D06"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b/>
          <w:bCs/>
          <w:noProof/>
        </w:rPr>
        <w:t>Legislation governing horizontal aspects</w:t>
      </w:r>
      <w:r w:rsidRPr="23DF1179">
        <w:rPr>
          <w:rFonts w:eastAsia="Arial Unicode MS"/>
          <w:noProof/>
        </w:rPr>
        <w:t xml:space="preserve"> refers to legislation that addresses or can address horizontal aspects under this Regulation of a broad range of products, such as the </w:t>
      </w:r>
      <w:r w:rsidRPr="23DF1179">
        <w:rPr>
          <w:rFonts w:eastAsia="Arial Unicode MS"/>
          <w:b/>
          <w:bCs/>
          <w:noProof/>
        </w:rPr>
        <w:t>REACH</w:t>
      </w:r>
      <w:r w:rsidRPr="23DF1179">
        <w:rPr>
          <w:rFonts w:eastAsia="Arial Unicode MS"/>
          <w:noProof/>
        </w:rPr>
        <w:t xml:space="preserve"> rules that govern chemicals and grant empowerments in relation to chemical substances in products. Where legislation already addresses or may address specific aspects covered by this Regulation in a more horizontal manner, there is the clear need and possibility to specify how this relates to this Regulation at a more general level. Similarly, this Regulation will also build upon the general framework set for market surveillance in the </w:t>
      </w:r>
      <w:r w:rsidRPr="23DF1179">
        <w:rPr>
          <w:rFonts w:eastAsia="Arial Unicode MS"/>
          <w:b/>
          <w:bCs/>
          <w:noProof/>
        </w:rPr>
        <w:t>Market Surveillance Regulation</w:t>
      </w:r>
      <w:r w:rsidRPr="23DF1179">
        <w:rPr>
          <w:rFonts w:eastAsia="Arial Unicode MS"/>
          <w:noProof/>
        </w:rPr>
        <w:t xml:space="preserve">, while tailoring the provisions where needed to the specific aims of the Initiative. </w:t>
      </w:r>
    </w:p>
    <w:p w14:paraId="2C3A54F5" w14:textId="77777777" w:rsidR="006C7D06"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noProof/>
        </w:rPr>
        <w:t xml:space="preserve">Please see </w:t>
      </w:r>
      <w:r w:rsidRPr="23DF1179">
        <w:rPr>
          <w:rFonts w:eastAsia="Arial Unicode MS"/>
          <w:b/>
          <w:bCs/>
          <w:noProof/>
        </w:rPr>
        <w:t>Section 7.9</w:t>
      </w:r>
      <w:r w:rsidRPr="23DF1179">
        <w:rPr>
          <w:rFonts w:eastAsia="Arial Unicode MS"/>
          <w:noProof/>
        </w:rPr>
        <w:t xml:space="preserve"> as well as </w:t>
      </w:r>
      <w:r w:rsidRPr="23DF1179">
        <w:rPr>
          <w:rFonts w:eastAsia="Arial Unicode MS"/>
          <w:b/>
          <w:bCs/>
          <w:noProof/>
        </w:rPr>
        <w:t xml:space="preserve">Annex 14 </w:t>
      </w:r>
      <w:r w:rsidRPr="23DF1179">
        <w:rPr>
          <w:rFonts w:eastAsia="Arial Unicode MS"/>
          <w:noProof/>
        </w:rPr>
        <w:t xml:space="preserve">to the impact assessment, which details how the Initiative interacts and is consistent with existing and emerging legislation.  </w:t>
      </w:r>
    </w:p>
    <w:p w14:paraId="2C3A54F6" w14:textId="77777777" w:rsidR="006C7D06" w:rsidRPr="00DF5C23" w:rsidRDefault="23DF1179" w:rsidP="23DF1179">
      <w:pPr>
        <w:pBdr>
          <w:top w:val="nil"/>
          <w:left w:val="nil"/>
          <w:bottom w:val="nil"/>
          <w:right w:val="nil"/>
          <w:between w:val="nil"/>
          <w:bar w:val="nil"/>
        </w:pBdr>
        <w:spacing w:before="0" w:after="240"/>
        <w:rPr>
          <w:rFonts w:eastAsia="Arial Unicode MS"/>
          <w:noProof/>
        </w:rPr>
      </w:pPr>
      <w:r w:rsidRPr="23DF1179">
        <w:rPr>
          <w:rFonts w:eastAsia="Arial Unicode MS"/>
          <w:noProof/>
        </w:rPr>
        <w:t xml:space="preserve">Finally, the </w:t>
      </w:r>
      <w:r w:rsidRPr="23DF1179">
        <w:rPr>
          <w:rFonts w:eastAsia="Arial Unicode MS"/>
          <w:b/>
          <w:bCs/>
          <w:noProof/>
        </w:rPr>
        <w:t>Energy Labelling Regulation</w:t>
      </w:r>
      <w:r w:rsidRPr="23DF1179">
        <w:rPr>
          <w:rFonts w:eastAsia="Arial Unicode MS"/>
          <w:noProof/>
        </w:rPr>
        <w:t xml:space="preserve"> will continue to apply in parallel to the proposed regulation to energy-related products. Coherence will be ensured. This means, for instance, that as a principle such products must only bear the energy label specified under the Energy Labelling Regulation.</w:t>
      </w:r>
    </w:p>
    <w:p w14:paraId="2C3A54F7" w14:textId="77777777" w:rsidR="005879E3" w:rsidRPr="00DF5C23" w:rsidRDefault="005879E3" w:rsidP="23DF1179">
      <w:pPr>
        <w:pStyle w:val="ManualHeading2"/>
        <w:rPr>
          <w:rFonts w:eastAsia="Arial Unicode MS"/>
          <w:noProof/>
        </w:rPr>
      </w:pPr>
      <w:r w:rsidRPr="00DF5C23">
        <w:rPr>
          <w:rFonts w:eastAsia="Arial Unicode MS"/>
          <w:noProof/>
          <w:color w:val="000000"/>
          <w:bdr w:val="nil"/>
          <w:lang w:val="en-US" w:eastAsia="en-GB"/>
        </w:rPr>
        <w:t>•</w:t>
      </w:r>
      <w:r w:rsidRPr="00DF5C23">
        <w:rPr>
          <w:rFonts w:eastAsia="Arial Unicode MS"/>
          <w:noProof/>
          <w:color w:val="000000"/>
          <w:u w:color="000000"/>
          <w:bdr w:val="nil"/>
          <w:lang w:val="en-US" w:eastAsia="en-GB"/>
        </w:rPr>
        <w:tab/>
      </w:r>
      <w:r w:rsidRPr="00DF5C23">
        <w:rPr>
          <w:rFonts w:eastAsia="Arial Unicode MS"/>
          <w:noProof/>
        </w:rPr>
        <w:t>Consistency with other Union policies</w:t>
      </w:r>
    </w:p>
    <w:p w14:paraId="2C3A54F8" w14:textId="77777777" w:rsidR="0014617F" w:rsidRPr="00DF5C23" w:rsidRDefault="23DF1179" w:rsidP="23DF1179">
      <w:pPr>
        <w:spacing w:before="100" w:beforeAutospacing="1" w:after="100" w:afterAutospacing="1"/>
        <w:rPr>
          <w:noProof/>
        </w:rPr>
      </w:pPr>
      <w:r>
        <w:rPr>
          <w:noProof/>
        </w:rPr>
        <w:t xml:space="preserve">This Regulation builds on several Union policies. </w:t>
      </w:r>
    </w:p>
    <w:p w14:paraId="2C3A54F9" w14:textId="77777777" w:rsidR="0014617F" w:rsidRPr="00DF5C23" w:rsidRDefault="0014617F" w:rsidP="23DF1179">
      <w:pPr>
        <w:spacing w:before="100" w:beforeAutospacing="1" w:after="100" w:afterAutospacing="1"/>
        <w:rPr>
          <w:noProof/>
        </w:rPr>
      </w:pPr>
      <w:r w:rsidRPr="00DF5C23">
        <w:rPr>
          <w:noProof/>
        </w:rPr>
        <w:t xml:space="preserve">The </w:t>
      </w:r>
      <w:r w:rsidR="006C7D06" w:rsidRPr="00DF5C23">
        <w:rPr>
          <w:noProof/>
        </w:rPr>
        <w:t xml:space="preserve">bedrock for this initiative </w:t>
      </w:r>
      <w:r w:rsidRPr="00DF5C23">
        <w:rPr>
          <w:noProof/>
        </w:rPr>
        <w:t xml:space="preserve">is the </w:t>
      </w:r>
      <w:r w:rsidRPr="00DF5C23">
        <w:rPr>
          <w:b/>
          <w:bCs/>
          <w:noProof/>
        </w:rPr>
        <w:t>European Green Deal</w:t>
      </w:r>
      <w:r w:rsidR="00FE2355" w:rsidRPr="00DF5C23">
        <w:rPr>
          <w:rStyle w:val="FootnoteReference0"/>
          <w:b/>
          <w:bCs/>
          <w:noProof/>
        </w:rPr>
        <w:footnoteReference w:id="8"/>
      </w:r>
      <w:r w:rsidR="006C7D06" w:rsidRPr="00DF5C23">
        <w:rPr>
          <w:b/>
          <w:bCs/>
          <w:noProof/>
        </w:rPr>
        <w:t>,</w:t>
      </w:r>
      <w:r w:rsidRPr="00DF5C23">
        <w:rPr>
          <w:noProof/>
        </w:rPr>
        <w:t xml:space="preserve"> the growth strategy to transform the EU into a fair and prosperous society, with a modern, resource-efficient and competitive economy where there are no net emissions of greenhouse gases in 2050 and where economic growth is decoupled from resource use. </w:t>
      </w:r>
      <w:r w:rsidR="00726C95" w:rsidRPr="00DF5C23">
        <w:rPr>
          <w:noProof/>
        </w:rPr>
        <w:t>The</w:t>
      </w:r>
      <w:r w:rsidRPr="00DF5C23">
        <w:rPr>
          <w:noProof/>
        </w:rPr>
        <w:t xml:space="preserve"> European Green Deal also announced the new industrial strategy for Europe</w:t>
      </w:r>
      <w:r w:rsidRPr="00DF5C23">
        <w:rPr>
          <w:b/>
          <w:bCs/>
          <w:noProof/>
        </w:rPr>
        <w:t xml:space="preserve"> </w:t>
      </w:r>
      <w:r w:rsidRPr="00DF5C23">
        <w:rPr>
          <w:noProof/>
        </w:rPr>
        <w:t xml:space="preserve">and the Circular Economy Action Plan, published </w:t>
      </w:r>
      <w:r w:rsidR="006C7D06" w:rsidRPr="00DF5C23">
        <w:rPr>
          <w:noProof/>
        </w:rPr>
        <w:t xml:space="preserve">together in </w:t>
      </w:r>
      <w:r w:rsidRPr="00DF5C23">
        <w:rPr>
          <w:noProof/>
        </w:rPr>
        <w:t xml:space="preserve">in March 2020. </w:t>
      </w:r>
    </w:p>
    <w:p w14:paraId="2C3A54FA" w14:textId="77777777" w:rsidR="0014617F" w:rsidRPr="00DF5C23" w:rsidRDefault="0014617F" w:rsidP="23DF1179">
      <w:pPr>
        <w:spacing w:before="0" w:after="0"/>
        <w:rPr>
          <w:noProof/>
          <w:lang w:eastAsia="en-GB"/>
        </w:rPr>
      </w:pPr>
      <w:r w:rsidRPr="00DF5C23">
        <w:rPr>
          <w:noProof/>
        </w:rPr>
        <w:t>The</w:t>
      </w:r>
      <w:r w:rsidRPr="00DF5C23">
        <w:rPr>
          <w:b/>
          <w:bCs/>
          <w:noProof/>
        </w:rPr>
        <w:t xml:space="preserve"> European Commission’s 2020 industrial strategy for Europe</w:t>
      </w:r>
      <w:r w:rsidR="00FE2355" w:rsidRPr="00DF5C23">
        <w:rPr>
          <w:rStyle w:val="FootnoteReference0"/>
          <w:b/>
          <w:bCs/>
          <w:noProof/>
        </w:rPr>
        <w:footnoteReference w:id="9"/>
      </w:r>
      <w:r w:rsidRPr="00DF5C23">
        <w:rPr>
          <w:noProof/>
        </w:rPr>
        <w:t xml:space="preserve"> sets out the EU’s overarching ambition to foster a ‘twin transition’ to climate neutrality and digital leadership. It echoes the European Green Deal in </w:t>
      </w:r>
      <w:r w:rsidR="006C7D06" w:rsidRPr="00DF5C23">
        <w:rPr>
          <w:noProof/>
        </w:rPr>
        <w:t>highlighting the leading role that Europe’s industry must play in this, by reducing its carbon and material footprint and embedding circularity across the economy. It underlines the need to move away from traditional models, and revolutionise the way we design, make, use and dispose of products</w:t>
      </w:r>
      <w:r w:rsidR="006C7D06" w:rsidRPr="00DF5C23">
        <w:rPr>
          <w:noProof/>
          <w:lang w:eastAsia="en-GB"/>
        </w:rPr>
        <w:t xml:space="preserve">. In 2021, the </w:t>
      </w:r>
      <w:r w:rsidR="006C7D06" w:rsidRPr="00DF5C23">
        <w:rPr>
          <w:noProof/>
        </w:rPr>
        <w:t xml:space="preserve">Commission published an </w:t>
      </w:r>
      <w:r w:rsidR="006C7D06" w:rsidRPr="00DF5C23">
        <w:rPr>
          <w:b/>
          <w:bCs/>
          <w:noProof/>
        </w:rPr>
        <w:t>update to the industrial strategy</w:t>
      </w:r>
      <w:r w:rsidR="006C7D06" w:rsidRPr="00DF5C23">
        <w:rPr>
          <w:rStyle w:val="FootnoteReference0"/>
          <w:b/>
          <w:bCs/>
          <w:noProof/>
        </w:rPr>
        <w:footnoteReference w:id="10"/>
      </w:r>
      <w:r w:rsidR="006C7D06" w:rsidRPr="00DF5C23">
        <w:rPr>
          <w:noProof/>
        </w:rPr>
        <w:t>, which reinforces the main messages of the 2020 strategy and provides a range of additional implementation tools</w:t>
      </w:r>
      <w:r w:rsidR="005E0FE6" w:rsidRPr="00DF5C23">
        <w:rPr>
          <w:noProof/>
        </w:rPr>
        <w:t xml:space="preserve">. </w:t>
      </w:r>
    </w:p>
    <w:p w14:paraId="2C3A54FB" w14:textId="77777777" w:rsidR="0014617F" w:rsidRPr="00DF5C23" w:rsidRDefault="0014617F" w:rsidP="23DF1179">
      <w:pPr>
        <w:spacing w:before="100" w:beforeAutospacing="1" w:after="100" w:afterAutospacing="1"/>
        <w:rPr>
          <w:noProof/>
          <w:sz w:val="22"/>
        </w:rPr>
      </w:pPr>
      <w:r w:rsidRPr="00DF5C23">
        <w:rPr>
          <w:noProof/>
        </w:rPr>
        <w:t xml:space="preserve">The </w:t>
      </w:r>
      <w:r w:rsidRPr="00DF5C23">
        <w:rPr>
          <w:b/>
          <w:bCs/>
          <w:noProof/>
        </w:rPr>
        <w:t xml:space="preserve">Circular Economy Action Plan </w:t>
      </w:r>
      <w:r w:rsidR="006C7D06" w:rsidRPr="00DF5C23">
        <w:rPr>
          <w:b/>
          <w:bCs/>
          <w:noProof/>
        </w:rPr>
        <w:t xml:space="preserve">(CEAP) </w:t>
      </w:r>
      <w:r w:rsidRPr="00DF5C23">
        <w:rPr>
          <w:noProof/>
        </w:rPr>
        <w:t>aims, amongst other aspects</w:t>
      </w:r>
      <w:r w:rsidR="006C7D06" w:rsidRPr="00DF5C23">
        <w:rPr>
          <w:noProof/>
        </w:rPr>
        <w:t xml:space="preserve">, to stimulate the development of lead markets for climate-neutral and sustainable </w:t>
      </w:r>
      <w:r w:rsidR="006C7D06" w:rsidRPr="00DF5C23">
        <w:rPr>
          <w:b/>
          <w:bCs/>
          <w:noProof/>
        </w:rPr>
        <w:t>products</w:t>
      </w:r>
      <w:r w:rsidR="006C7D06" w:rsidRPr="00DF5C23">
        <w:rPr>
          <w:noProof/>
        </w:rPr>
        <w:t>, in the EU and beyond. To achieve this, it establishes a sustainable product policy framework, including measures in three broad areas: fostering sustainable product design; empowering consumers and public buyers; and promoting circularity in production processes</w:t>
      </w:r>
      <w:r w:rsidR="00461A97" w:rsidRPr="00DF5C23">
        <w:rPr>
          <w:rStyle w:val="FootnoteReference0"/>
          <w:noProof/>
        </w:rPr>
        <w:footnoteReference w:id="11"/>
      </w:r>
      <w:r w:rsidR="006C7D06" w:rsidRPr="00DF5C23">
        <w:rPr>
          <w:noProof/>
        </w:rPr>
        <w:t>.</w:t>
      </w:r>
      <w:r w:rsidR="00976350" w:rsidRPr="00DF5C23">
        <w:rPr>
          <w:noProof/>
        </w:rPr>
        <w:t xml:space="preserve"> </w:t>
      </w:r>
    </w:p>
    <w:p w14:paraId="2C3A54FC" w14:textId="77777777" w:rsidR="006C7D06" w:rsidRPr="00DF5C23" w:rsidRDefault="23DF1179" w:rsidP="23DF1179">
      <w:pPr>
        <w:spacing w:before="100" w:beforeAutospacing="1" w:after="100" w:afterAutospacing="1"/>
        <w:rPr>
          <w:noProof/>
        </w:rPr>
      </w:pPr>
      <w:r>
        <w:rPr>
          <w:noProof/>
        </w:rPr>
        <w:t xml:space="preserve">While the three areas of the sustainable product policy framework are synergetic with each other, this regulation focuses primarily on the measures set out under the first area (sustainable product design) that aim to make products fit for a climate-neutral, resource-efficient and circular economy, reduce waste and ensure that the performance of frontrunners in sustainability progressively becomes the norm. As announced in the CEAP, the core of this legislative initiative is to extend the scope of the </w:t>
      </w:r>
      <w:r w:rsidRPr="23DF1179">
        <w:rPr>
          <w:b/>
          <w:bCs/>
          <w:noProof/>
        </w:rPr>
        <w:t>Ecodesign Directive</w:t>
      </w:r>
      <w:r>
        <w:rPr>
          <w:noProof/>
        </w:rPr>
        <w:t xml:space="preserve"> beyond energy-related products so that it covers the broadest possible range of products and helps achieve a circular economy.</w:t>
      </w:r>
    </w:p>
    <w:p w14:paraId="2C3A54FD" w14:textId="77777777" w:rsidR="00A844F2" w:rsidRPr="00DF5C23" w:rsidRDefault="006C7D06" w:rsidP="23DF1179">
      <w:pPr>
        <w:rPr>
          <w:rFonts w:eastAsia="Arial Unicode MS"/>
          <w:noProof/>
        </w:rPr>
      </w:pPr>
      <w:r w:rsidRPr="00DF5C23">
        <w:rPr>
          <w:rFonts w:eastAsia="Arial Unicode MS"/>
          <w:noProof/>
        </w:rPr>
        <w:t xml:space="preserve">The product requirements set out in this legislation should complement and strengthen the requirements set under other CEAP initiatives. In particular, the product requirements set in this legislation should help achieve the objectives and be in line with other measures on key value chains defined in implementation of the CEAP, such as the </w:t>
      </w:r>
      <w:r w:rsidRPr="23DF1179">
        <w:rPr>
          <w:rFonts w:eastAsia="Arial Unicode MS"/>
          <w:b/>
          <w:bCs/>
          <w:noProof/>
        </w:rPr>
        <w:t>EU strategy for sustainable and circular textiles</w:t>
      </w:r>
      <w:r w:rsidRPr="00DF5C23">
        <w:rPr>
          <w:rFonts w:eastAsia="Arial Unicode MS"/>
          <w:noProof/>
        </w:rPr>
        <w:t xml:space="preserve">. </w:t>
      </w:r>
      <w:r w:rsidR="00A17F6F" w:rsidRPr="00DF5C23">
        <w:rPr>
          <w:rFonts w:eastAsia="Arial Unicode MS"/>
          <w:noProof/>
        </w:rPr>
        <w:t>Furthermore</w:t>
      </w:r>
      <w:r w:rsidRPr="00DF5C23">
        <w:rPr>
          <w:rFonts w:eastAsia="Arial Unicode MS"/>
          <w:noProof/>
        </w:rPr>
        <w:t xml:space="preserve">, the </w:t>
      </w:r>
      <w:r w:rsidRPr="23DF1179">
        <w:rPr>
          <w:rFonts w:eastAsia="Arial Unicode MS"/>
          <w:b/>
          <w:bCs/>
          <w:noProof/>
        </w:rPr>
        <w:t>Empowering consumers for the green transition</w:t>
      </w:r>
      <w:r w:rsidRPr="00DF5C23">
        <w:rPr>
          <w:rFonts w:eastAsia="Arial Unicode MS"/>
          <w:noProof/>
        </w:rPr>
        <w:t xml:space="preserve"> </w:t>
      </w:r>
      <w:r w:rsidRPr="23DF1179">
        <w:rPr>
          <w:rFonts w:eastAsia="Arial Unicode MS"/>
          <w:b/>
          <w:bCs/>
          <w:noProof/>
        </w:rPr>
        <w:t xml:space="preserve">initiative </w:t>
      </w:r>
      <w:r w:rsidRPr="00DF5C23">
        <w:rPr>
          <w:rFonts w:eastAsia="Arial Unicode MS"/>
          <w:noProof/>
        </w:rPr>
        <w:t>will improve information on products at the point of sale in particular on their durability and reparability, and help prevent greenwashing and premature obsolescence.</w:t>
      </w:r>
      <w:r w:rsidR="005878C6" w:rsidRPr="00DF5C23">
        <w:rPr>
          <w:rFonts w:eastAsia="Arial Unicode MS"/>
          <w:noProof/>
        </w:rPr>
        <w:t xml:space="preserve"> T</w:t>
      </w:r>
      <w:r w:rsidR="00577CAB" w:rsidRPr="00DF5C23">
        <w:rPr>
          <w:noProof/>
        </w:rPr>
        <w:t xml:space="preserve">he </w:t>
      </w:r>
      <w:r w:rsidR="005878C6" w:rsidRPr="00DF5C23">
        <w:rPr>
          <w:noProof/>
        </w:rPr>
        <w:t>upcoming</w:t>
      </w:r>
      <w:r w:rsidR="00577CAB" w:rsidRPr="00DF5C23">
        <w:rPr>
          <w:noProof/>
        </w:rPr>
        <w:t xml:space="preserve"> Commission initiative on </w:t>
      </w:r>
      <w:r w:rsidR="00577CAB" w:rsidRPr="23DF1179">
        <w:rPr>
          <w:b/>
          <w:bCs/>
          <w:noProof/>
        </w:rPr>
        <w:t>Green Claims</w:t>
      </w:r>
      <w:r w:rsidR="00577CAB" w:rsidRPr="00DF5C23">
        <w:rPr>
          <w:noProof/>
        </w:rPr>
        <w:t xml:space="preserve"> will </w:t>
      </w:r>
      <w:r w:rsidR="005878C6" w:rsidRPr="00DF5C23">
        <w:rPr>
          <w:noProof/>
        </w:rPr>
        <w:t xml:space="preserve">also </w:t>
      </w:r>
      <w:r w:rsidR="00577CAB" w:rsidRPr="00DF5C23">
        <w:rPr>
          <w:noProof/>
        </w:rPr>
        <w:t>complement measures</w:t>
      </w:r>
      <w:r w:rsidR="005878C6" w:rsidRPr="00DF5C23">
        <w:rPr>
          <w:noProof/>
        </w:rPr>
        <w:t xml:space="preserve"> in this </w:t>
      </w:r>
      <w:r w:rsidR="00E20EDA" w:rsidRPr="00DF5C23">
        <w:rPr>
          <w:noProof/>
        </w:rPr>
        <w:t>legislation</w:t>
      </w:r>
      <w:r w:rsidR="00577CAB" w:rsidRPr="00DF5C23">
        <w:rPr>
          <w:noProof/>
        </w:rPr>
        <w:t>, by increasing the reliability, comparability and verifiability of environmental claims</w:t>
      </w:r>
      <w:r w:rsidR="00E20EDA" w:rsidRPr="00DF5C23">
        <w:rPr>
          <w:noProof/>
        </w:rPr>
        <w:t xml:space="preserve"> about products</w:t>
      </w:r>
      <w:r w:rsidR="005878C6" w:rsidRPr="00DF5C23">
        <w:rPr>
          <w:noProof/>
        </w:rPr>
        <w:t xml:space="preserve">, </w:t>
      </w:r>
      <w:r w:rsidR="00E20EDA" w:rsidRPr="00DF5C23">
        <w:rPr>
          <w:noProof/>
        </w:rPr>
        <w:t>via</w:t>
      </w:r>
      <w:r w:rsidR="005878C6" w:rsidRPr="00DF5C23">
        <w:rPr>
          <w:noProof/>
        </w:rPr>
        <w:t xml:space="preserve"> </w:t>
      </w:r>
      <w:r w:rsidR="00E20EDA" w:rsidRPr="00DF5C23">
        <w:rPr>
          <w:noProof/>
        </w:rPr>
        <w:t>requirements that</w:t>
      </w:r>
      <w:r w:rsidR="005878C6" w:rsidRPr="00DF5C23">
        <w:rPr>
          <w:noProof/>
        </w:rPr>
        <w:t xml:space="preserve"> </w:t>
      </w:r>
      <w:r w:rsidR="00E20EDA" w:rsidRPr="00DF5C23">
        <w:rPr>
          <w:noProof/>
        </w:rPr>
        <w:t xml:space="preserve">such claims </w:t>
      </w:r>
      <w:r w:rsidR="005878C6" w:rsidRPr="00DF5C23">
        <w:rPr>
          <w:noProof/>
        </w:rPr>
        <w:t>be</w:t>
      </w:r>
      <w:r w:rsidR="00577CAB" w:rsidRPr="00DF5C23">
        <w:rPr>
          <w:noProof/>
        </w:rPr>
        <w:t xml:space="preserve"> substantiate</w:t>
      </w:r>
      <w:r w:rsidR="005878C6" w:rsidRPr="00DF5C23">
        <w:rPr>
          <w:noProof/>
        </w:rPr>
        <w:t>d</w:t>
      </w:r>
      <w:r w:rsidR="00577CAB" w:rsidRPr="00DF5C23">
        <w:rPr>
          <w:noProof/>
        </w:rPr>
        <w:t xml:space="preserve"> and verif</w:t>
      </w:r>
      <w:r w:rsidR="005878C6" w:rsidRPr="00DF5C23">
        <w:rPr>
          <w:noProof/>
        </w:rPr>
        <w:t>ied</w:t>
      </w:r>
      <w:r w:rsidR="00577CAB" w:rsidRPr="00DF5C23">
        <w:rPr>
          <w:noProof/>
        </w:rPr>
        <w:t xml:space="preserve"> using life-cycle analysis methods, including </w:t>
      </w:r>
      <w:r w:rsidR="005878C6" w:rsidRPr="00DF5C23">
        <w:rPr>
          <w:noProof/>
        </w:rPr>
        <w:t xml:space="preserve">the </w:t>
      </w:r>
      <w:r w:rsidR="005878C6" w:rsidRPr="00DF5C23">
        <w:rPr>
          <w:noProof/>
          <w:lang w:val="en-IE" w:eastAsia="fr-BE"/>
        </w:rPr>
        <w:t>Product Environmental Footprint method</w:t>
      </w:r>
      <w:r w:rsidR="005878C6" w:rsidRPr="00DF5C23">
        <w:rPr>
          <w:rStyle w:val="FootnoteReference0"/>
          <w:noProof/>
        </w:rPr>
        <w:footnoteReference w:id="12"/>
      </w:r>
      <w:r w:rsidR="00577CAB" w:rsidRPr="00DF5C23">
        <w:rPr>
          <w:noProof/>
        </w:rPr>
        <w:t>.</w:t>
      </w:r>
      <w:r w:rsidR="00577CAB" w:rsidRPr="00DF5C23">
        <w:rPr>
          <w:rFonts w:eastAsia="Arial Unicode MS"/>
          <w:noProof/>
        </w:rPr>
        <w:t xml:space="preserve"> </w:t>
      </w:r>
      <w:r w:rsidR="00E20EDA" w:rsidRPr="00DF5C23">
        <w:rPr>
          <w:rFonts w:eastAsia="Arial Unicode MS"/>
          <w:noProof/>
        </w:rPr>
        <w:t xml:space="preserve">In addition, the objectives of this legislation will be further supported by the legislation on </w:t>
      </w:r>
      <w:r w:rsidR="00E20EDA" w:rsidRPr="23DF1179">
        <w:rPr>
          <w:rFonts w:eastAsia="Arial Unicode MS"/>
          <w:b/>
          <w:bCs/>
          <w:noProof/>
        </w:rPr>
        <w:t>Corporate</w:t>
      </w:r>
      <w:r w:rsidR="00E20EDA" w:rsidRPr="00DF5C23">
        <w:rPr>
          <w:rFonts w:eastAsia="Arial Unicode MS"/>
          <w:noProof/>
        </w:rPr>
        <w:t xml:space="preserve"> </w:t>
      </w:r>
      <w:r w:rsidR="005878C6" w:rsidRPr="23DF1179">
        <w:rPr>
          <w:rFonts w:eastAsia="Arial Unicode MS"/>
          <w:b/>
          <w:bCs/>
          <w:noProof/>
        </w:rPr>
        <w:t xml:space="preserve">Sustainable </w:t>
      </w:r>
      <w:r w:rsidR="00E20EDA" w:rsidRPr="23DF1179">
        <w:rPr>
          <w:rFonts w:eastAsia="Arial Unicode MS"/>
          <w:b/>
          <w:bCs/>
          <w:noProof/>
        </w:rPr>
        <w:t>Due Diligence</w:t>
      </w:r>
      <w:r w:rsidR="00461A97" w:rsidRPr="23DF1179">
        <w:rPr>
          <w:rStyle w:val="FootnoteReference0"/>
          <w:rFonts w:eastAsia="Arial Unicode MS"/>
          <w:b/>
          <w:bCs/>
          <w:noProof/>
        </w:rPr>
        <w:footnoteReference w:id="13"/>
      </w:r>
      <w:r w:rsidR="00E20EDA" w:rsidRPr="00DF5C23">
        <w:rPr>
          <w:rFonts w:eastAsia="Arial Unicode MS"/>
          <w:noProof/>
        </w:rPr>
        <w:t xml:space="preserve">, in particular the </w:t>
      </w:r>
      <w:r w:rsidR="00E20EDA" w:rsidRPr="00DF5C23">
        <w:rPr>
          <w:noProof/>
        </w:rPr>
        <w:t>environmental due diligence</w:t>
      </w:r>
      <w:r w:rsidR="00E20EDA" w:rsidRPr="00DF5C23">
        <w:rPr>
          <w:rFonts w:eastAsia="Arial Unicode MS"/>
          <w:noProof/>
        </w:rPr>
        <w:t xml:space="preserve"> rules it lays down for companies.</w:t>
      </w:r>
    </w:p>
    <w:p w14:paraId="2C3A54FE" w14:textId="77777777" w:rsidR="0001160A" w:rsidRPr="00DF5C23" w:rsidRDefault="0001160A" w:rsidP="23DF1179">
      <w:pPr>
        <w:pBdr>
          <w:top w:val="nil"/>
          <w:left w:val="nil"/>
          <w:bottom w:val="nil"/>
          <w:right w:val="nil"/>
          <w:between w:val="nil"/>
          <w:bar w:val="nil"/>
        </w:pBdr>
        <w:spacing w:before="0" w:after="240"/>
        <w:rPr>
          <w:rFonts w:eastAsia="Arial Unicode MS"/>
          <w:noProof/>
        </w:rPr>
      </w:pPr>
      <w:r w:rsidRPr="00DF5C23">
        <w:rPr>
          <w:rFonts w:eastAsia="Arial Unicode MS"/>
          <w:noProof/>
        </w:rPr>
        <w:t>Finally, t</w:t>
      </w:r>
      <w:r w:rsidRPr="00DF5C23">
        <w:rPr>
          <w:rStyle w:val="Strong"/>
          <w:b w:val="0"/>
          <w:bCs w:val="0"/>
          <w:noProof/>
        </w:rPr>
        <w:t xml:space="preserve">he requirements will also </w:t>
      </w:r>
      <w:r w:rsidRPr="00DF5C23">
        <w:rPr>
          <w:rStyle w:val="Strong"/>
          <w:noProof/>
        </w:rPr>
        <w:t>contribute to achieving EU climate goals</w:t>
      </w:r>
      <w:r w:rsidRPr="00DF5C23">
        <w:rPr>
          <w:rStyle w:val="Strong"/>
          <w:b w:val="0"/>
          <w:bCs w:val="0"/>
          <w:noProof/>
        </w:rPr>
        <w:t>: they will synergi</w:t>
      </w:r>
      <w:r w:rsidR="00D31C3E" w:rsidRPr="00DF5C23">
        <w:rPr>
          <w:rStyle w:val="Strong"/>
          <w:b w:val="0"/>
          <w:bCs w:val="0"/>
          <w:noProof/>
        </w:rPr>
        <w:t>s</w:t>
      </w:r>
      <w:r w:rsidRPr="00DF5C23">
        <w:rPr>
          <w:rStyle w:val="Strong"/>
          <w:b w:val="0"/>
          <w:bCs w:val="0"/>
          <w:noProof/>
        </w:rPr>
        <w:t>e with and complement instruments with more direct climate focus</w:t>
      </w:r>
      <w:r w:rsidR="00461A97" w:rsidRPr="23DF1179">
        <w:rPr>
          <w:rStyle w:val="FootnoteReference0"/>
          <w:noProof/>
        </w:rPr>
        <w:footnoteReference w:id="14"/>
      </w:r>
      <w:r w:rsidRPr="00DF5C23">
        <w:rPr>
          <w:rStyle w:val="Strong"/>
          <w:b w:val="0"/>
          <w:bCs w:val="0"/>
          <w:noProof/>
        </w:rPr>
        <w:t xml:space="preserve"> by going beyond </w:t>
      </w:r>
      <w:r w:rsidRPr="00DF5C23">
        <w:rPr>
          <w:noProof/>
        </w:rPr>
        <w:t xml:space="preserve">the production of basic materials/basic material components to cover final products </w:t>
      </w:r>
      <w:r w:rsidRPr="00DF5C23">
        <w:rPr>
          <w:rStyle w:val="Strong"/>
          <w:b w:val="0"/>
          <w:bCs w:val="0"/>
          <w:noProof/>
        </w:rPr>
        <w:t>themselves</w:t>
      </w:r>
      <w:r w:rsidRPr="00DF5C23">
        <w:rPr>
          <w:noProof/>
        </w:rPr>
        <w:t>. This will allow for</w:t>
      </w:r>
      <w:r w:rsidRPr="23DF1179">
        <w:rPr>
          <w:b/>
          <w:bCs/>
          <w:noProof/>
        </w:rPr>
        <w:t xml:space="preserve"> </w:t>
      </w:r>
      <w:r w:rsidRPr="00DF5C23">
        <w:rPr>
          <w:noProof/>
        </w:rPr>
        <w:t xml:space="preserve">taking action on negative impacts generated along the entire value chain </w:t>
      </w:r>
      <w:r w:rsidR="00577CAB" w:rsidRPr="00DF5C23">
        <w:rPr>
          <w:noProof/>
        </w:rPr>
        <w:t>(including</w:t>
      </w:r>
      <w:r w:rsidRPr="00DF5C23">
        <w:rPr>
          <w:rStyle w:val="Strong"/>
          <w:b w:val="0"/>
          <w:bCs w:val="0"/>
          <w:noProof/>
        </w:rPr>
        <w:t xml:space="preserve"> the embedded emissions of a product throughout its lifecycle, or other negative consequences)</w:t>
      </w:r>
      <w:r w:rsidR="00184DBD" w:rsidRPr="00DF5C23">
        <w:rPr>
          <w:rStyle w:val="Strong"/>
          <w:b w:val="0"/>
          <w:bCs w:val="0"/>
          <w:noProof/>
        </w:rPr>
        <w:t>,</w:t>
      </w:r>
      <w:r w:rsidRPr="00DF5C23">
        <w:rPr>
          <w:rStyle w:val="Strong"/>
          <w:b w:val="0"/>
          <w:bCs w:val="0"/>
          <w:noProof/>
        </w:rPr>
        <w:t xml:space="preserve"> </w:t>
      </w:r>
      <w:r w:rsidRPr="00DF5C23">
        <w:rPr>
          <w:noProof/>
        </w:rPr>
        <w:t>directly support</w:t>
      </w:r>
      <w:r w:rsidR="00184DBD" w:rsidRPr="00DF5C23">
        <w:rPr>
          <w:noProof/>
        </w:rPr>
        <w:t>ing</w:t>
      </w:r>
      <w:r w:rsidRPr="00DF5C23">
        <w:rPr>
          <w:noProof/>
        </w:rPr>
        <w:t xml:space="preserve"> Green Deal objectives</w:t>
      </w:r>
      <w:r w:rsidR="003A097F" w:rsidRPr="00DF5C23">
        <w:rPr>
          <w:noProof/>
        </w:rPr>
        <w:t xml:space="preserve"> and consistent with the ‘do no significant harm’ principle</w:t>
      </w:r>
      <w:r w:rsidRPr="00DF5C23">
        <w:rPr>
          <w:noProof/>
        </w:rPr>
        <w:t>.</w:t>
      </w:r>
    </w:p>
    <w:p w14:paraId="2C3A54FF" w14:textId="77777777" w:rsidR="005879E3" w:rsidRPr="00DF5C23" w:rsidRDefault="005879E3" w:rsidP="00893002">
      <w:pPr>
        <w:pStyle w:val="ManualHeading1"/>
        <w:rPr>
          <w:noProof/>
        </w:rPr>
      </w:pPr>
      <w:r w:rsidRPr="00DF5C23">
        <w:rPr>
          <w:noProof/>
        </w:rPr>
        <w:t>2.</w:t>
      </w:r>
      <w:r w:rsidRPr="00DF5C23">
        <w:rPr>
          <w:noProof/>
        </w:rPr>
        <w:tab/>
        <w:t>LEGAL BASIS, SUBSIDIARITY AND PROPORTIONALITY</w:t>
      </w:r>
    </w:p>
    <w:p w14:paraId="2C3A5500"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Legal basis</w:t>
      </w:r>
    </w:p>
    <w:p w14:paraId="2C3A5501" w14:textId="77777777" w:rsidR="006C7D06" w:rsidRPr="00DF5C23" w:rsidRDefault="23DF1179" w:rsidP="006C7D06">
      <w:pPr>
        <w:pBdr>
          <w:top w:val="nil"/>
          <w:left w:val="nil"/>
          <w:bottom w:val="nil"/>
          <w:right w:val="nil"/>
          <w:between w:val="nil"/>
          <w:bar w:val="nil"/>
        </w:pBdr>
        <w:spacing w:before="0" w:after="240"/>
        <w:rPr>
          <w:noProof/>
        </w:rPr>
      </w:pPr>
      <w:r>
        <w:rPr>
          <w:noProof/>
        </w:rPr>
        <w:t>The proposal is based on Article 114 of the Treaty on the Functioning of the European Union (TFEU), which is to be used for measures aiming at the establishment and functioning of the internal market. The Ecodesign Directive (which the Commission proposes to repeal by this regulation) was itself based on Article 95 of the Treaty establishing the European Community (now Article 114 TFEU).</w:t>
      </w:r>
    </w:p>
    <w:p w14:paraId="2C3A5502" w14:textId="77777777" w:rsidR="006C7D06" w:rsidRPr="00DF5C23" w:rsidRDefault="23DF1179" w:rsidP="006C7D06">
      <w:pPr>
        <w:rPr>
          <w:noProof/>
        </w:rPr>
      </w:pPr>
      <w:r>
        <w:rPr>
          <w:noProof/>
        </w:rPr>
        <w:t xml:space="preserve">The issues tackled by this initiative are related to the internal market, including the uneven playing field for companies attempting to implement more sustainable approaches or the fact current EU rules only partially cover sustainability aspects of products. This means that there is no comprehensive set of requirements to ensure that all products placed on the EU market become increasingly sustainable. As a result, the Member States have begun to adopt multiple approaches at national level (leading to internal market fragmentation) and the enforcement of current Ecodesign rules is insufficient and uneven. </w:t>
      </w:r>
    </w:p>
    <w:p w14:paraId="2C3A5503" w14:textId="77777777" w:rsidR="006C7D06" w:rsidRPr="00DF5C23" w:rsidRDefault="23DF1179" w:rsidP="006C7D06">
      <w:pPr>
        <w:rPr>
          <w:noProof/>
        </w:rPr>
      </w:pPr>
      <w:r>
        <w:rPr>
          <w:noProof/>
        </w:rPr>
        <w:t xml:space="preserve">The lack of sufficient and comprehensive internal market rules leaves room for initiatives developed by Member States or by industries that impair the functioning of the internal market by giving rise to potential barriers, fragmentation and incoherent approaches. In addition, in the absence of a comprehensive set of requirements defining product’s environmental sustainability, or ecodesign requirements, the same product considered sustainable in one Member State might not qualify as sustainable in another Member State. What’s more, recently adopted national legislation is likely to oblige manufacturers (and retailers) operating across EU borders to comply with a range of different national obligations varying from one Member State to another. </w:t>
      </w:r>
    </w:p>
    <w:p w14:paraId="2C3A5504" w14:textId="77777777" w:rsidR="006C7D06" w:rsidRPr="00DF5C23" w:rsidRDefault="23DF1179" w:rsidP="006C7D06">
      <w:pPr>
        <w:rPr>
          <w:noProof/>
        </w:rPr>
      </w:pPr>
      <w:r>
        <w:rPr>
          <w:noProof/>
        </w:rPr>
        <w:t>These new national obligations, ranging from information requirements on technical operations performed on refurbished electronic devices, on the duration of software compatibility in France, to reporting obligations on handling unsold durable goods in Germany, give clear indications of a trend to take regulatory action by setting ecodesign requirements on goods. As a consequence, without EU action, there will inevitably be an increase in national obligations and increased market fragmentation.</w:t>
      </w:r>
    </w:p>
    <w:p w14:paraId="2C3A5505" w14:textId="77777777" w:rsidR="0028395E" w:rsidRPr="00DF5C23" w:rsidRDefault="23DF1179" w:rsidP="006C7D06">
      <w:pPr>
        <w:pBdr>
          <w:top w:val="nil"/>
          <w:left w:val="nil"/>
          <w:bottom w:val="nil"/>
          <w:right w:val="nil"/>
          <w:between w:val="nil"/>
          <w:bar w:val="nil"/>
        </w:pBdr>
        <w:spacing w:before="0" w:after="240"/>
        <w:rPr>
          <w:noProof/>
        </w:rPr>
      </w:pPr>
      <w:r>
        <w:rPr>
          <w:noProof/>
        </w:rPr>
        <w:t>The problems outlined above are the rationale for basing this proposal on Article 114 TFEU.</w:t>
      </w:r>
    </w:p>
    <w:p w14:paraId="2C3A5506"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 xml:space="preserve">Subsidiarity (for non-exclusive competence) </w:t>
      </w:r>
    </w:p>
    <w:p w14:paraId="2C3A5507" w14:textId="77777777" w:rsidR="006C7D06" w:rsidRPr="00DF5C23" w:rsidRDefault="23DF1179" w:rsidP="23DF1179">
      <w:pPr>
        <w:pBdr>
          <w:top w:val="nil"/>
          <w:left w:val="nil"/>
          <w:bottom w:val="nil"/>
          <w:right w:val="nil"/>
          <w:between w:val="nil"/>
          <w:bar w:val="nil"/>
        </w:pBdr>
        <w:spacing w:before="0" w:after="240"/>
        <w:rPr>
          <w:noProof/>
          <w:lang w:eastAsia="en-GB"/>
        </w:rPr>
      </w:pPr>
      <w:r>
        <w:rPr>
          <w:noProof/>
        </w:rPr>
        <w:t xml:space="preserve">The necessity test questions whether the objectives of a proposal can be sufficiently achieved by action taken by Member States alone. On this test, it is essential to put in place a harmonised set of rules </w:t>
      </w:r>
      <w:r w:rsidRPr="23DF1179">
        <w:rPr>
          <w:noProof/>
          <w:lang w:eastAsia="en-GB"/>
        </w:rPr>
        <w:t xml:space="preserve">to achieve a harmonised and well-functioning internal market for sustainable products across all Member States, and therefore a level playing field for businesses operating </w:t>
      </w:r>
      <w:r w:rsidRPr="23DF1179">
        <w:rPr>
          <w:rFonts w:eastAsia="Arial Unicode MS"/>
          <w:noProof/>
        </w:rPr>
        <w:t>on the internal market</w:t>
      </w:r>
      <w:r w:rsidRPr="23DF1179">
        <w:rPr>
          <w:noProof/>
          <w:lang w:eastAsia="en-GB"/>
        </w:rPr>
        <w:t xml:space="preserve">. This includes product requirements and the obligation to provide reliable information to users. </w:t>
      </w:r>
    </w:p>
    <w:p w14:paraId="2C3A5508" w14:textId="77777777" w:rsidR="006C7D06" w:rsidRPr="00DF5C23" w:rsidRDefault="23DF1179" w:rsidP="006C7D06">
      <w:pPr>
        <w:pBdr>
          <w:top w:val="nil"/>
          <w:left w:val="nil"/>
          <w:bottom w:val="nil"/>
          <w:right w:val="nil"/>
          <w:between w:val="nil"/>
          <w:bar w:val="nil"/>
        </w:pBdr>
        <w:spacing w:before="0" w:after="240"/>
        <w:rPr>
          <w:noProof/>
        </w:rPr>
      </w:pPr>
      <w:r>
        <w:rPr>
          <w:noProof/>
        </w:rPr>
        <w:t xml:space="preserve">Member States alone would not be able to enact measures of this scope without creating divergences in the requirements for business and obstacles to the free movement of products, regulatory burden and excessive costs for business. In addition, action taken by Member States alone would inevitably give rise to different tools that would render consumer choices more complicated. If Member States take individual action there would therefore be a high risk of ending up with different competing systems based on different methods and approaches, especially for products traded across the internal market. This fragments the market and is likely to lead to differing levels of awareness and information on the environmental performance of products across the EU and additional costs for companies trading across EU Member States.   </w:t>
      </w:r>
    </w:p>
    <w:p w14:paraId="2C3A5509" w14:textId="77777777" w:rsidR="0028395E" w:rsidRPr="00DF5C23" w:rsidRDefault="23DF1179" w:rsidP="23DF1179">
      <w:pPr>
        <w:pBdr>
          <w:top w:val="nil"/>
          <w:left w:val="nil"/>
          <w:bottom w:val="nil"/>
          <w:right w:val="nil"/>
          <w:between w:val="nil"/>
          <w:bar w:val="nil"/>
        </w:pBdr>
        <w:spacing w:before="0" w:after="240"/>
        <w:rPr>
          <w:noProof/>
          <w:lang w:eastAsia="en-GB"/>
        </w:rPr>
      </w:pPr>
      <w:r w:rsidRPr="23DF1179">
        <w:rPr>
          <w:noProof/>
          <w:lang w:eastAsia="en-GB"/>
        </w:rPr>
        <w:t xml:space="preserve">The effectiveness test checks whether action at EU level is more effective than action at national level. On this test, </w:t>
      </w:r>
      <w:r>
        <w:rPr>
          <w:noProof/>
        </w:rPr>
        <w:t>only EU-level action can set harmonised product requirements and information requirements on sustainability aspects applicable across the EU, ensuring the free movement of goods and providing consumers with relevant and reliable information about sustainable characteristics and circular features of products in whatever Member State they are purchased. There is clear added value in setting requirements at EU level, as this will create a harmonised and well-functioning internal market across all Member States and, therefore, a level playing field for businesses operating</w:t>
      </w:r>
      <w:r w:rsidRPr="23DF1179">
        <w:rPr>
          <w:rFonts w:eastAsia="Arial Unicode MS"/>
          <w:noProof/>
        </w:rPr>
        <w:t xml:space="preserve"> on the internal market</w:t>
      </w:r>
      <w:r>
        <w:rPr>
          <w:noProof/>
        </w:rPr>
        <w:t xml:space="preserve"> . With harmonised minimum and information requirements set at EU level, sustainable products and circular practices will be promoted in all Member States, creating a larger and more efficient market and hence greater incentives for industry to develop them. Finally, the size of the internal market provides a critical mass enabling the EU to promote product sustainability and influence product design and value chain management worldwide.</w:t>
      </w:r>
    </w:p>
    <w:p w14:paraId="2C3A550A"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Proportionality</w:t>
      </w:r>
    </w:p>
    <w:p w14:paraId="2C3A550B" w14:textId="77777777" w:rsidR="006C7D06" w:rsidRPr="00DF5C23" w:rsidRDefault="23DF1179" w:rsidP="006C7D06">
      <w:pPr>
        <w:pBdr>
          <w:top w:val="nil"/>
          <w:left w:val="nil"/>
          <w:bottom w:val="nil"/>
          <w:right w:val="nil"/>
          <w:between w:val="nil"/>
          <w:bar w:val="nil"/>
        </w:pBdr>
        <w:spacing w:before="0" w:after="240"/>
        <w:rPr>
          <w:noProof/>
        </w:rPr>
      </w:pPr>
      <w:r>
        <w:rPr>
          <w:noProof/>
        </w:rPr>
        <w:t>The proposal does not go beyond what is necessary to provide a regulatory framework for the development of ecodesign requirements for the broadest possible range of products.</w:t>
      </w:r>
    </w:p>
    <w:p w14:paraId="2C3A550C" w14:textId="77777777" w:rsidR="006C7D06" w:rsidRPr="00DF5C23" w:rsidRDefault="23DF1179" w:rsidP="006C7D06">
      <w:pPr>
        <w:rPr>
          <w:noProof/>
        </w:rPr>
      </w:pPr>
      <w:r>
        <w:rPr>
          <w:noProof/>
        </w:rPr>
        <w:t xml:space="preserve">The Commission will continue the approach followed for the Ecodesign Directive of issuing implementing measures, based on impact assessments carried out in line with the Commission’s Better Regulation guidelines. Therefore it will carry out an analysis of the economic and environmental impacts of different options for each set of requirements. This will allow for proportionality to be maintained. </w:t>
      </w:r>
    </w:p>
    <w:p w14:paraId="2C3A550D" w14:textId="77777777" w:rsidR="0061167D" w:rsidRPr="00DF5C23" w:rsidRDefault="23DF1179" w:rsidP="006C7D06">
      <w:pPr>
        <w:rPr>
          <w:noProof/>
        </w:rPr>
      </w:pPr>
      <w:r>
        <w:rPr>
          <w:noProof/>
        </w:rPr>
        <w:t xml:space="preserve">The proposal is designed as a flexible framework as a means of ensuring proportionality. For this reason, it will not set any criteria or targets for the requirements unless they are justified on the basis of a prior assessment. To ensure proportionality, each individual requirement will need to be justified before being applied to any product group. Setting </w:t>
      </w:r>
      <w:r w:rsidRPr="23DF1179">
        <w:rPr>
          <w:rFonts w:eastAsiaTheme="minorEastAsia"/>
          <w:noProof/>
        </w:rPr>
        <w:t>requirements, criteria or targets at the level of well-defined product groups will enable a careful assessment of impacts. It will enable the Commission to take account of the added value and proportionality of setting requirements, targets or criteria depending on the inherent characteristics of the products, their manufacturing processes and their market situation.</w:t>
      </w:r>
    </w:p>
    <w:p w14:paraId="2C3A550E"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Choice of the instrument</w:t>
      </w:r>
    </w:p>
    <w:p w14:paraId="2C3A550F" w14:textId="77777777" w:rsidR="005F3E6F" w:rsidRPr="00DF5C23" w:rsidRDefault="23DF1179" w:rsidP="23DF1179">
      <w:pPr>
        <w:rPr>
          <w:noProof/>
          <w:lang w:eastAsia="en-GB"/>
        </w:rPr>
      </w:pPr>
      <w:r w:rsidRPr="23DF1179">
        <w:rPr>
          <w:noProof/>
          <w:lang w:eastAsia="en-GB"/>
        </w:rPr>
        <w:t>A regulation will set direct requirements for all operators, thus providing the necessary legal certainty and scope for enforcement of a fully integrated market across the EU. A regulation also ensures that the obligations are implemented at the same time and in the same way in all 27 Member States.</w:t>
      </w:r>
    </w:p>
    <w:p w14:paraId="2C3A5510" w14:textId="77777777" w:rsidR="005879E3" w:rsidRPr="00DF5C23" w:rsidRDefault="005879E3" w:rsidP="00893002">
      <w:pPr>
        <w:pStyle w:val="ManualHeading1"/>
        <w:rPr>
          <w:noProof/>
        </w:rPr>
      </w:pPr>
      <w:r w:rsidRPr="00DF5C23">
        <w:rPr>
          <w:noProof/>
        </w:rPr>
        <w:t>3.</w:t>
      </w:r>
      <w:r w:rsidRPr="00DF5C23">
        <w:rPr>
          <w:noProof/>
        </w:rPr>
        <w:tab/>
        <w:t>RESULTS OF EX-POST EVALUATIONS, STAKEHOLDER CONSULTATIONS AND IMPACT ASSESSMENTS</w:t>
      </w:r>
    </w:p>
    <w:p w14:paraId="2C3A5511"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Ex-post evaluations/fitness checks of existing legislation</w:t>
      </w:r>
    </w:p>
    <w:p w14:paraId="2C3A5512" w14:textId="77777777" w:rsidR="006C7D06" w:rsidRPr="00DF5C23" w:rsidRDefault="006C7D06" w:rsidP="006C7D06">
      <w:pPr>
        <w:rPr>
          <w:noProof/>
        </w:rPr>
      </w:pPr>
      <w:r w:rsidRPr="00DF5C23">
        <w:rPr>
          <w:noProof/>
        </w:rPr>
        <w:t xml:space="preserve">In March 2019, the Commission published a staff working document entitled </w:t>
      </w:r>
      <w:r w:rsidRPr="23DF1179">
        <w:rPr>
          <w:i/>
          <w:iCs/>
          <w:noProof/>
        </w:rPr>
        <w:t>Sustainable Products in a Circular Economy - Towards an EU Product Policy Framework contributing to the Circular Economy</w:t>
      </w:r>
      <w:r w:rsidR="00BA4E97" w:rsidRPr="23DF1179">
        <w:rPr>
          <w:rStyle w:val="FootnoteReference0"/>
          <w:i/>
          <w:iCs/>
          <w:noProof/>
        </w:rPr>
        <w:footnoteReference w:id="15"/>
      </w:r>
      <w:r w:rsidRPr="00DF5C23">
        <w:rPr>
          <w:noProof/>
        </w:rPr>
        <w:t xml:space="preserve">. This examined the extent to which EU policies affecting products contribute to the transition to a circular economy, and where there is potential to make a stronger contribution. It found that there is </w:t>
      </w:r>
      <w:r w:rsidRPr="00DF5C23">
        <w:rPr>
          <w:b/>
          <w:bCs/>
          <w:noProof/>
        </w:rPr>
        <w:t>no overarching, integrated EU policy instrument covering the sustainable production and consumption of all products and/or the availability and reliability of information on these products to consumers</w:t>
      </w:r>
      <w:r w:rsidRPr="00DF5C23">
        <w:rPr>
          <w:noProof/>
        </w:rPr>
        <w:t xml:space="preserve">. </w:t>
      </w:r>
    </w:p>
    <w:p w14:paraId="2C3A5513" w14:textId="77777777" w:rsidR="00BD49A7" w:rsidRPr="00DF5C23" w:rsidRDefault="006C7D06" w:rsidP="006C7D06">
      <w:pPr>
        <w:rPr>
          <w:noProof/>
        </w:rPr>
      </w:pPr>
      <w:r w:rsidRPr="00DF5C23">
        <w:rPr>
          <w:noProof/>
        </w:rPr>
        <w:t>Though successive evaluations</w:t>
      </w:r>
      <w:r w:rsidRPr="00DF5C23">
        <w:rPr>
          <w:rStyle w:val="FootnoteReference0"/>
          <w:noProof/>
        </w:rPr>
        <w:footnoteReference w:id="16"/>
      </w:r>
      <w:r w:rsidRPr="00DF5C23">
        <w:rPr>
          <w:noProof/>
          <w:vertAlign w:val="superscript"/>
        </w:rPr>
        <w:t xml:space="preserve"> </w:t>
      </w:r>
      <w:r w:rsidRPr="00DF5C23">
        <w:rPr>
          <w:noProof/>
        </w:rPr>
        <w:t xml:space="preserve">of the Ecodesign Directive have confirmed that it is clearly relevant and effective as a regulatory tool, they identified potential to improve implementation and enforcement. </w:t>
      </w:r>
      <w:r w:rsidR="00342916" w:rsidRPr="00DF5C23">
        <w:rPr>
          <w:noProof/>
        </w:rPr>
        <w:t>These evaluations</w:t>
      </w:r>
      <w:r w:rsidRPr="00DF5C23">
        <w:rPr>
          <w:noProof/>
        </w:rPr>
        <w:t>, for example, noted that ‘while it is broadly recognised that the energy efficiency aspects of the SCP/SIP action plan</w:t>
      </w:r>
      <w:r w:rsidRPr="00DF5C23">
        <w:rPr>
          <w:rStyle w:val="FootnoteReference0"/>
          <w:noProof/>
        </w:rPr>
        <w:footnoteReference w:id="17"/>
      </w:r>
      <w:r w:rsidRPr="00DF5C23">
        <w:rPr>
          <w:noProof/>
        </w:rPr>
        <w:t xml:space="preserve"> and of EU resource efficiency policy can be served by the Ecodesign Directive and the implementing measures, is also suggested by some Member State representatives and by environmental NGOs that there have been missed opportunities as a result of the limited coverage in implementing measures of other environmental aspects’</w:t>
      </w:r>
      <w:r w:rsidRPr="00DF5C23">
        <w:rPr>
          <w:rStyle w:val="FootnoteReference0"/>
          <w:noProof/>
        </w:rPr>
        <w:footnoteReference w:id="18"/>
      </w:r>
      <w:r w:rsidRPr="00DF5C23">
        <w:rPr>
          <w:noProof/>
        </w:rPr>
        <w:t>. The evaluation also highlighted the untapped potential of the Directive to address aspects beyond energy efficiency, concluding that ‘there may have been non-energy improvements that have not been addressed as a result of the product scope, policy choices or the underlying technical analysis’.</w:t>
      </w:r>
    </w:p>
    <w:p w14:paraId="2C3A5514"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Stakeholder consultations</w:t>
      </w:r>
    </w:p>
    <w:p w14:paraId="2C3A5515" w14:textId="77777777" w:rsidR="006C7D06" w:rsidRPr="00DF5C23" w:rsidRDefault="23DF1179" w:rsidP="006C7D06">
      <w:pPr>
        <w:pBdr>
          <w:top w:val="nil"/>
          <w:left w:val="nil"/>
          <w:bottom w:val="nil"/>
          <w:right w:val="nil"/>
          <w:between w:val="nil"/>
          <w:bar w:val="nil"/>
        </w:pBdr>
        <w:spacing w:before="0" w:after="240"/>
        <w:rPr>
          <w:noProof/>
        </w:rPr>
      </w:pPr>
      <w:r>
        <w:rPr>
          <w:noProof/>
        </w:rPr>
        <w:t xml:space="preserve">In line with the Better Regulation guidelines, several consultation activities took place. </w:t>
      </w:r>
    </w:p>
    <w:p w14:paraId="2C3A5516" w14:textId="77777777" w:rsidR="006C7D06" w:rsidRPr="00DF5C23" w:rsidRDefault="006C7D06" w:rsidP="23DF1179">
      <w:pPr>
        <w:pStyle w:val="Tiret0"/>
        <w:numPr>
          <w:ilvl w:val="0"/>
          <w:numId w:val="89"/>
        </w:numPr>
        <w:rPr>
          <w:rFonts w:eastAsia="Arial Unicode MS"/>
          <w:noProof/>
        </w:rPr>
      </w:pPr>
      <w:r w:rsidRPr="00DF5C23">
        <w:rPr>
          <w:noProof/>
        </w:rPr>
        <w:t xml:space="preserve">Consultation on an </w:t>
      </w:r>
      <w:r w:rsidRPr="00DF5C23">
        <w:rPr>
          <w:b/>
          <w:bCs/>
          <w:noProof/>
        </w:rPr>
        <w:t>inception impact assessment</w:t>
      </w:r>
      <w:r w:rsidRPr="00DF5C23">
        <w:rPr>
          <w:noProof/>
        </w:rPr>
        <w:t xml:space="preserve"> from 14 September to 16 November 2020</w:t>
      </w:r>
      <w:r w:rsidRPr="00DF5C23">
        <w:rPr>
          <w:rStyle w:val="FootnoteReference0"/>
          <w:noProof/>
        </w:rPr>
        <w:footnoteReference w:id="19"/>
      </w:r>
      <w:r w:rsidRPr="00DF5C23">
        <w:rPr>
          <w:noProof/>
        </w:rPr>
        <w:t>. 193 responses received.</w:t>
      </w:r>
    </w:p>
    <w:p w14:paraId="2C3A5517" w14:textId="77777777" w:rsidR="006C7D06" w:rsidRPr="00DF5C23" w:rsidRDefault="23DF1179" w:rsidP="23DF1179">
      <w:pPr>
        <w:pStyle w:val="Tiret0"/>
        <w:rPr>
          <w:rFonts w:eastAsia="Arial Unicode MS"/>
          <w:noProof/>
        </w:rPr>
      </w:pPr>
      <w:r w:rsidRPr="23DF1179">
        <w:rPr>
          <w:rFonts w:eastAsia="Arial Unicode MS"/>
          <w:noProof/>
        </w:rPr>
        <w:t xml:space="preserve">An </w:t>
      </w:r>
      <w:r w:rsidRPr="23DF1179">
        <w:rPr>
          <w:rFonts w:eastAsia="Arial Unicode MS"/>
          <w:b/>
          <w:bCs/>
          <w:noProof/>
        </w:rPr>
        <w:t>open public consultation</w:t>
      </w:r>
      <w:r>
        <w:rPr>
          <w:noProof/>
        </w:rPr>
        <w:t xml:space="preserve"> from 17 March to 9 June 2021. 626 responses received.</w:t>
      </w:r>
    </w:p>
    <w:p w14:paraId="2C3A5518" w14:textId="77777777" w:rsidR="006C7D06" w:rsidRPr="00DF5C23" w:rsidRDefault="23DF1179" w:rsidP="006C7D06">
      <w:pPr>
        <w:pStyle w:val="Tiret0"/>
        <w:rPr>
          <w:noProof/>
        </w:rPr>
      </w:pPr>
      <w:r>
        <w:rPr>
          <w:noProof/>
        </w:rPr>
        <w:t xml:space="preserve">A series of </w:t>
      </w:r>
      <w:r w:rsidRPr="23DF1179">
        <w:rPr>
          <w:b/>
          <w:bCs/>
          <w:noProof/>
        </w:rPr>
        <w:t>workshops</w:t>
      </w:r>
      <w:r>
        <w:rPr>
          <w:noProof/>
        </w:rPr>
        <w:t xml:space="preserve"> from April to July 2021, on different topics related to Sustainable Product Initiative, widely attended by participants from several stakeholder groups.</w:t>
      </w:r>
    </w:p>
    <w:p w14:paraId="2C3A5519" w14:textId="77777777" w:rsidR="006C7D06" w:rsidRPr="00DF5C23" w:rsidRDefault="23DF1179" w:rsidP="006C7D06">
      <w:pPr>
        <w:pStyle w:val="Tiret0"/>
        <w:rPr>
          <w:noProof/>
        </w:rPr>
      </w:pPr>
      <w:r>
        <w:rPr>
          <w:noProof/>
        </w:rPr>
        <w:t xml:space="preserve">A </w:t>
      </w:r>
      <w:r w:rsidRPr="23DF1179">
        <w:rPr>
          <w:b/>
          <w:bCs/>
          <w:noProof/>
        </w:rPr>
        <w:t>survey of small and medium-sized enterprises</w:t>
      </w:r>
      <w:r>
        <w:rPr>
          <w:noProof/>
        </w:rPr>
        <w:t xml:space="preserve"> from 26 April to 15 June 2021. 332 responses received.</w:t>
      </w:r>
    </w:p>
    <w:p w14:paraId="2C3A551A" w14:textId="77777777" w:rsidR="006C7D06" w:rsidRPr="00DF5C23" w:rsidRDefault="23DF1179" w:rsidP="006C7D06">
      <w:pPr>
        <w:pStyle w:val="Tiret0"/>
        <w:rPr>
          <w:noProof/>
        </w:rPr>
      </w:pPr>
      <w:r>
        <w:rPr>
          <w:noProof/>
        </w:rPr>
        <w:t xml:space="preserve">A </w:t>
      </w:r>
      <w:r w:rsidRPr="23DF1179">
        <w:rPr>
          <w:b/>
          <w:bCs/>
          <w:noProof/>
        </w:rPr>
        <w:t>second</w:t>
      </w:r>
      <w:r>
        <w:rPr>
          <w:noProof/>
        </w:rPr>
        <w:t xml:space="preserve"> </w:t>
      </w:r>
      <w:r w:rsidRPr="23DF1179">
        <w:rPr>
          <w:b/>
          <w:bCs/>
          <w:noProof/>
        </w:rPr>
        <w:t>targeted survey</w:t>
      </w:r>
      <w:r>
        <w:rPr>
          <w:noProof/>
        </w:rPr>
        <w:t xml:space="preserve"> for small and medium enterprises (SMEs) from 20 October to 4 November 2021. This drew primarily on the expertise of organisations representing SMEs. 35 replies received. </w:t>
      </w:r>
    </w:p>
    <w:p w14:paraId="2C3A551B" w14:textId="77777777" w:rsidR="006C7D06" w:rsidRPr="00DF5C23" w:rsidRDefault="23DF1179" w:rsidP="006C7D06">
      <w:pPr>
        <w:pStyle w:val="Tiret0"/>
        <w:rPr>
          <w:noProof/>
        </w:rPr>
      </w:pPr>
      <w:r w:rsidRPr="23DF1179">
        <w:rPr>
          <w:b/>
          <w:bCs/>
          <w:noProof/>
        </w:rPr>
        <w:t>Tailored questionnaires</w:t>
      </w:r>
      <w:r>
        <w:rPr>
          <w:noProof/>
        </w:rPr>
        <w:t xml:space="preserve"> submitted to selected stakeholder representatives from 20 May to 9 June 2021.</w:t>
      </w:r>
    </w:p>
    <w:p w14:paraId="2C3A551C" w14:textId="77777777" w:rsidR="000A7A3E" w:rsidRPr="00DF5C23" w:rsidRDefault="23DF1179" w:rsidP="006C7D06">
      <w:pPr>
        <w:pStyle w:val="Tiret0"/>
        <w:rPr>
          <w:noProof/>
        </w:rPr>
      </w:pPr>
      <w:r>
        <w:rPr>
          <w:noProof/>
        </w:rPr>
        <w:t xml:space="preserve">A number of </w:t>
      </w:r>
      <w:r w:rsidRPr="23DF1179">
        <w:rPr>
          <w:b/>
          <w:bCs/>
          <w:noProof/>
        </w:rPr>
        <w:t>stakeholder interviews</w:t>
      </w:r>
      <w:r>
        <w:rPr>
          <w:noProof/>
        </w:rPr>
        <w:t xml:space="preserve"> conducted with selected stakeholder representatives.</w:t>
      </w:r>
    </w:p>
    <w:p w14:paraId="2C3A551D" w14:textId="77777777" w:rsidR="001612C4" w:rsidRPr="00DF5C23" w:rsidRDefault="23DF1179" w:rsidP="001612C4">
      <w:pPr>
        <w:rPr>
          <w:noProof/>
        </w:rPr>
      </w:pPr>
      <w:r>
        <w:rPr>
          <w:noProof/>
        </w:rPr>
        <w:t xml:space="preserve">Overall, the consultation activities demonstrated </w:t>
      </w:r>
      <w:r w:rsidRPr="23DF1179">
        <w:rPr>
          <w:b/>
          <w:bCs/>
          <w:noProof/>
        </w:rPr>
        <w:t>strong general support</w:t>
      </w:r>
      <w:r>
        <w:rPr>
          <w:noProof/>
        </w:rPr>
        <w:t xml:space="preserve"> for a regulatory initiative covering product sustainability. Most stakeholders advocated for the initiative to cover a wide product scope and take a whole life cycle approach to product regulation. It indicated strong support to extend the scope of the current Ecodesign Directive, with general agreement that the sectors identified in the 2020 circular economy action plan should be prioritised. The feedback showed a preference (in particular from manufacturers/importers) for an approach that takes product specificities firmly into account. There is general agreement that the lack of clear, comprehensive and binding legislation, and the lack of trustworthy information are all barriers to increasing the availability of sustainable products on the EU market, as is uneven enforcement of ecodesign requirements. The idea to bring in a digital product passport is generally supported by clear majorities across all stakeholder groups, as are incentives and tools to stimulate demand for sustainable products. Stronger enforcement and market surveillance activities (e.g. inspections or audits) are seen as necessary to accompany implementation of this initiative.</w:t>
      </w:r>
    </w:p>
    <w:p w14:paraId="2C3A551E" w14:textId="77777777" w:rsidR="000A7A3E" w:rsidRPr="00DF5C23" w:rsidRDefault="23DF1179" w:rsidP="23DF1179">
      <w:pPr>
        <w:pBdr>
          <w:top w:val="nil"/>
          <w:left w:val="nil"/>
          <w:bottom w:val="nil"/>
          <w:right w:val="nil"/>
          <w:between w:val="nil"/>
          <w:bar w:val="nil"/>
        </w:pBdr>
        <w:spacing w:before="0" w:after="240"/>
        <w:rPr>
          <w:rFonts w:eastAsia="Arial Unicode MS"/>
          <w:noProof/>
        </w:rPr>
      </w:pPr>
      <w:r>
        <w:rPr>
          <w:noProof/>
        </w:rPr>
        <w:t xml:space="preserve">Detailed conclusions from the stakeholder consultations are set out in </w:t>
      </w:r>
      <w:r w:rsidRPr="23DF1179">
        <w:rPr>
          <w:b/>
          <w:bCs/>
          <w:noProof/>
        </w:rPr>
        <w:t>Annex 2</w:t>
      </w:r>
      <w:r>
        <w:rPr>
          <w:noProof/>
        </w:rPr>
        <w:t xml:space="preserve"> to the impact assessment.</w:t>
      </w:r>
    </w:p>
    <w:p w14:paraId="2C3A551F"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Collection and use of expertise</w:t>
      </w:r>
    </w:p>
    <w:p w14:paraId="2C3A5520" w14:textId="77777777" w:rsidR="00022086" w:rsidRPr="00DF5C23" w:rsidRDefault="23DF1179" w:rsidP="00022086">
      <w:pPr>
        <w:pBdr>
          <w:top w:val="nil"/>
          <w:left w:val="nil"/>
          <w:bottom w:val="nil"/>
          <w:right w:val="nil"/>
          <w:between w:val="nil"/>
          <w:bar w:val="nil"/>
        </w:pBdr>
        <w:spacing w:before="0" w:after="240"/>
        <w:rPr>
          <w:noProof/>
        </w:rPr>
      </w:pPr>
      <w:r>
        <w:rPr>
          <w:noProof/>
        </w:rPr>
        <w:t xml:space="preserve">The Commission awarded a contract to external experts to carry out a </w:t>
      </w:r>
      <w:r w:rsidRPr="23DF1179">
        <w:rPr>
          <w:b/>
          <w:bCs/>
          <w:noProof/>
        </w:rPr>
        <w:t>study</w:t>
      </w:r>
      <w:r>
        <w:rPr>
          <w:noProof/>
        </w:rPr>
        <w:t xml:space="preserve"> to feed into the impact assessment accompanying this proposal. This study provided part of the data underlying the analysis of the policy options set out in that document, and in turn fed into the measures included in the current proposal. The external experts worked in close cooperation with the Commission throughout the different phases of the study.</w:t>
      </w:r>
    </w:p>
    <w:p w14:paraId="2C3A5521"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Impact assessment</w:t>
      </w:r>
    </w:p>
    <w:p w14:paraId="2C3A5522" w14:textId="77777777" w:rsidR="006C7D06" w:rsidRPr="00DF5C23" w:rsidRDefault="23DF1179" w:rsidP="006C7D06">
      <w:pPr>
        <w:pBdr>
          <w:top w:val="nil"/>
          <w:left w:val="nil"/>
          <w:bottom w:val="nil"/>
          <w:right w:val="nil"/>
          <w:between w:val="nil"/>
          <w:bar w:val="nil"/>
        </w:pBdr>
        <w:spacing w:before="0" w:after="240"/>
        <w:rPr>
          <w:noProof/>
        </w:rPr>
      </w:pPr>
      <w:r>
        <w:rPr>
          <w:noProof/>
        </w:rPr>
        <w:t>The proposal is based on an impact assessment. After resolving the issues raised in the Regulatory Scrutiny Board’s negative opinion issued on 17 September 2021, the impact assessment received a positive opinion on 21 January 2022. In its final opinion, the Board asked for additional details on the choice of options, the method to be employed under the regulation and how the rules for digital product passports will be laid down in practice.</w:t>
      </w:r>
    </w:p>
    <w:p w14:paraId="2C3A5523" w14:textId="77777777" w:rsidR="00AA3B4E" w:rsidRPr="00DF5C23" w:rsidRDefault="23DF1179" w:rsidP="006C7D06">
      <w:pPr>
        <w:pBdr>
          <w:top w:val="nil"/>
          <w:left w:val="nil"/>
          <w:bottom w:val="nil"/>
          <w:right w:val="nil"/>
          <w:between w:val="nil"/>
          <w:bar w:val="nil"/>
        </w:pBdr>
        <w:spacing w:before="0" w:after="240"/>
        <w:rPr>
          <w:noProof/>
        </w:rPr>
      </w:pPr>
      <w:r>
        <w:rPr>
          <w:noProof/>
        </w:rPr>
        <w:t xml:space="preserve">The main problem this initiative seeks to remedy, its related sub-problems, and the policy options identified are detailed in </w:t>
      </w:r>
      <w:r w:rsidRPr="23DF1179">
        <w:rPr>
          <w:b/>
          <w:bCs/>
          <w:noProof/>
        </w:rPr>
        <w:t>Sections</w:t>
      </w:r>
      <w:r>
        <w:rPr>
          <w:noProof/>
        </w:rPr>
        <w:t xml:space="preserve"> </w:t>
      </w:r>
      <w:r w:rsidRPr="23DF1179">
        <w:rPr>
          <w:b/>
          <w:bCs/>
          <w:noProof/>
        </w:rPr>
        <w:t>2</w:t>
      </w:r>
      <w:r>
        <w:rPr>
          <w:noProof/>
        </w:rPr>
        <w:t xml:space="preserve"> and </w:t>
      </w:r>
      <w:r w:rsidRPr="23DF1179">
        <w:rPr>
          <w:b/>
          <w:bCs/>
          <w:noProof/>
        </w:rPr>
        <w:t>5.2</w:t>
      </w:r>
      <w:r>
        <w:rPr>
          <w:noProof/>
        </w:rPr>
        <w:t xml:space="preserve"> of the impact assessment. The preferred combination of options is described in detail in </w:t>
      </w:r>
      <w:r w:rsidRPr="23DF1179">
        <w:rPr>
          <w:b/>
          <w:bCs/>
          <w:noProof/>
        </w:rPr>
        <w:t>Section</w:t>
      </w:r>
      <w:r>
        <w:rPr>
          <w:noProof/>
        </w:rPr>
        <w:t xml:space="preserve"> </w:t>
      </w:r>
      <w:r w:rsidRPr="23DF1179">
        <w:rPr>
          <w:b/>
          <w:bCs/>
          <w:noProof/>
        </w:rPr>
        <w:t>7</w:t>
      </w:r>
      <w:r>
        <w:rPr>
          <w:noProof/>
        </w:rPr>
        <w:t xml:space="preserve"> of the impact assessment. </w:t>
      </w:r>
      <w:r w:rsidRPr="23DF1179">
        <w:rPr>
          <w:b/>
          <w:bCs/>
          <w:noProof/>
        </w:rPr>
        <w:t>Annex 10</w:t>
      </w:r>
      <w:r>
        <w:rPr>
          <w:noProof/>
        </w:rPr>
        <w:t xml:space="preserve"> to the impact assessment provides a summary overview of the costs and benefits of all sub-options analysed, while </w:t>
      </w:r>
      <w:r w:rsidRPr="23DF1179">
        <w:rPr>
          <w:b/>
          <w:bCs/>
          <w:noProof/>
        </w:rPr>
        <w:t>Annex 12</w:t>
      </w:r>
      <w:r>
        <w:rPr>
          <w:noProof/>
        </w:rPr>
        <w:t xml:space="preserve"> provides more information on the costs and benefits likely to be associated with the preferred combination of options. All these aspects are summarised in the </w:t>
      </w:r>
      <w:r w:rsidRPr="23DF1179">
        <w:rPr>
          <w:b/>
          <w:bCs/>
          <w:noProof/>
        </w:rPr>
        <w:t>executive summary</w:t>
      </w:r>
      <w:r>
        <w:rPr>
          <w:noProof/>
        </w:rPr>
        <w:t xml:space="preserve"> accompanying the impact assessment.</w:t>
      </w:r>
    </w:p>
    <w:p w14:paraId="2C3A5524" w14:textId="77777777" w:rsidR="00BF0A8D" w:rsidRPr="00DF5C23" w:rsidRDefault="23DF1179" w:rsidP="006C7D06">
      <w:pPr>
        <w:pBdr>
          <w:top w:val="nil"/>
          <w:left w:val="nil"/>
          <w:bottom w:val="nil"/>
          <w:right w:val="nil"/>
          <w:between w:val="nil"/>
          <w:bar w:val="nil"/>
        </w:pBdr>
        <w:spacing w:before="0" w:after="240"/>
        <w:rPr>
          <w:noProof/>
        </w:rPr>
      </w:pPr>
      <w:r>
        <w:rPr>
          <w:noProof/>
        </w:rPr>
        <w:t xml:space="preserve">Due to the framework architecture foreseen, exact costs stemming from the requirements are   difficult to estimate with precision. Most will be incurred only in a second stage, following the enactment of the secondary legislation. </w:t>
      </w:r>
    </w:p>
    <w:p w14:paraId="2C3A5525" w14:textId="77777777" w:rsidR="00FF296E" w:rsidRPr="00DF5C23" w:rsidRDefault="23DF1179" w:rsidP="006C7D06">
      <w:pPr>
        <w:pBdr>
          <w:top w:val="nil"/>
          <w:left w:val="nil"/>
          <w:bottom w:val="nil"/>
          <w:right w:val="nil"/>
          <w:between w:val="nil"/>
          <w:bar w:val="nil"/>
        </w:pBdr>
        <w:spacing w:before="0" w:after="240"/>
        <w:rPr>
          <w:noProof/>
          <w:szCs w:val="24"/>
        </w:rPr>
      </w:pPr>
      <w:r>
        <w:rPr>
          <w:noProof/>
        </w:rPr>
        <w:t>The dedicated impact assessments that will be done in connection to each delegated act in the future will assess in detail the impacts expected, including on third country operators, also in light of their WTO notification.</w:t>
      </w:r>
    </w:p>
    <w:p w14:paraId="2C3A5526" w14:textId="77777777" w:rsidR="00C0235D" w:rsidRPr="00DF5C23" w:rsidRDefault="00DB4D2B" w:rsidP="00BF0A8D">
      <w:pPr>
        <w:pBdr>
          <w:top w:val="nil"/>
          <w:left w:val="nil"/>
          <w:bottom w:val="nil"/>
          <w:right w:val="nil"/>
          <w:between w:val="nil"/>
          <w:bar w:val="nil"/>
        </w:pBdr>
        <w:spacing w:before="0" w:after="240"/>
        <w:rPr>
          <w:noProof/>
          <w:szCs w:val="24"/>
        </w:rPr>
      </w:pPr>
      <w:r w:rsidRPr="00DF5C23">
        <w:rPr>
          <w:noProof/>
        </w:rPr>
        <w:t xml:space="preserve">It should be noted that, due to the adoption of the </w:t>
      </w:r>
      <w:r w:rsidR="007E6AEA" w:rsidRPr="00DF5C23">
        <w:rPr>
          <w:noProof/>
        </w:rPr>
        <w:t>Commission Proposal for a</w:t>
      </w:r>
      <w:r w:rsidR="00C0235D" w:rsidRPr="00DF5C23">
        <w:rPr>
          <w:noProof/>
        </w:rPr>
        <w:t xml:space="preserve"> Directive on</w:t>
      </w:r>
      <w:r w:rsidR="007E6AEA" w:rsidRPr="00DF5C23">
        <w:rPr>
          <w:noProof/>
        </w:rPr>
        <w:t xml:space="preserve"> </w:t>
      </w:r>
      <w:r w:rsidR="00C0235D" w:rsidRPr="23DF1179">
        <w:rPr>
          <w:rFonts w:eastAsia="Arial Unicode MS"/>
          <w:b/>
          <w:bCs/>
          <w:noProof/>
        </w:rPr>
        <w:t>Corporate</w:t>
      </w:r>
      <w:r w:rsidR="00C0235D" w:rsidRPr="00DF5C23">
        <w:rPr>
          <w:rFonts w:eastAsia="Arial Unicode MS"/>
          <w:noProof/>
        </w:rPr>
        <w:t xml:space="preserve"> </w:t>
      </w:r>
      <w:r w:rsidR="00C0235D" w:rsidRPr="23DF1179">
        <w:rPr>
          <w:rFonts w:eastAsia="Arial Unicode MS"/>
          <w:b/>
          <w:bCs/>
          <w:noProof/>
        </w:rPr>
        <w:t>Sustainable Due Diligence</w:t>
      </w:r>
      <w:r w:rsidR="00461A97" w:rsidRPr="23DF1179">
        <w:rPr>
          <w:rStyle w:val="FootnoteReference0"/>
          <w:rFonts w:eastAsia="Arial Unicode MS"/>
          <w:b/>
          <w:bCs/>
          <w:noProof/>
        </w:rPr>
        <w:footnoteReference w:id="20"/>
      </w:r>
      <w:r w:rsidR="00C0235D" w:rsidRPr="23DF1179">
        <w:rPr>
          <w:rFonts w:eastAsia="Arial Unicode MS"/>
          <w:b/>
          <w:bCs/>
          <w:noProof/>
        </w:rPr>
        <w:t xml:space="preserve"> </w:t>
      </w:r>
      <w:r w:rsidRPr="00DF5C23">
        <w:rPr>
          <w:noProof/>
        </w:rPr>
        <w:t xml:space="preserve">during the preparation of </w:t>
      </w:r>
      <w:r w:rsidR="00C0235D" w:rsidRPr="00DF5C23">
        <w:rPr>
          <w:noProof/>
        </w:rPr>
        <w:t>this initiative</w:t>
      </w:r>
      <w:r w:rsidRPr="00DF5C23">
        <w:rPr>
          <w:noProof/>
        </w:rPr>
        <w:t xml:space="preserve">, it was deemed appropriate </w:t>
      </w:r>
      <w:r w:rsidR="007E6AEA" w:rsidRPr="00DF5C23">
        <w:rPr>
          <w:noProof/>
        </w:rPr>
        <w:t>to exclude</w:t>
      </w:r>
      <w:r w:rsidRPr="00DF5C23">
        <w:rPr>
          <w:noProof/>
        </w:rPr>
        <w:t xml:space="preserve"> </w:t>
      </w:r>
      <w:r w:rsidR="007E6AEA" w:rsidRPr="00DF5C23">
        <w:rPr>
          <w:noProof/>
        </w:rPr>
        <w:t xml:space="preserve">requirements on </w:t>
      </w:r>
      <w:r w:rsidRPr="00DF5C23">
        <w:rPr>
          <w:noProof/>
        </w:rPr>
        <w:t xml:space="preserve">social aspects </w:t>
      </w:r>
      <w:r w:rsidR="007E6AEA" w:rsidRPr="00DF5C23">
        <w:rPr>
          <w:noProof/>
        </w:rPr>
        <w:t xml:space="preserve">from </w:t>
      </w:r>
      <w:r w:rsidR="00C0235D" w:rsidRPr="00DF5C23">
        <w:rPr>
          <w:noProof/>
        </w:rPr>
        <w:t>the</w:t>
      </w:r>
      <w:r w:rsidR="007E6AEA" w:rsidRPr="00DF5C23">
        <w:rPr>
          <w:noProof/>
        </w:rPr>
        <w:t xml:space="preserve"> scope</w:t>
      </w:r>
      <w:r w:rsidR="00C0235D" w:rsidRPr="00DF5C23">
        <w:rPr>
          <w:noProof/>
        </w:rPr>
        <w:t xml:space="preserve"> of this legislative proposal</w:t>
      </w:r>
      <w:r w:rsidR="007E6AEA" w:rsidRPr="00DF5C23">
        <w:rPr>
          <w:noProof/>
        </w:rPr>
        <w:t xml:space="preserve">. </w:t>
      </w:r>
    </w:p>
    <w:p w14:paraId="2C3A5527" w14:textId="77777777" w:rsidR="00DB4D2B" w:rsidRPr="00DF5C23" w:rsidRDefault="23DF1179" w:rsidP="00DB4D2B">
      <w:pPr>
        <w:pBdr>
          <w:top w:val="nil"/>
          <w:left w:val="nil"/>
          <w:bottom w:val="nil"/>
          <w:right w:val="nil"/>
          <w:between w:val="nil"/>
          <w:bar w:val="nil"/>
        </w:pBdr>
        <w:spacing w:before="0" w:after="240"/>
        <w:rPr>
          <w:noProof/>
        </w:rPr>
      </w:pPr>
      <w:r>
        <w:rPr>
          <w:noProof/>
        </w:rPr>
        <w:t xml:space="preserve">As specified in the legal text, an evaluation will take place after </w:t>
      </w:r>
      <w:r w:rsidRPr="23DF1179">
        <w:rPr>
          <w:rFonts w:eastAsia="Times New Roman"/>
          <w:noProof/>
          <w:color w:val="000000" w:themeColor="text1"/>
          <w:lang w:val="en-IE" w:eastAsia="fr-BE"/>
        </w:rPr>
        <w:t>8 years from the date of application of this Regulation</w:t>
      </w:r>
      <w:r>
        <w:rPr>
          <w:noProof/>
        </w:rPr>
        <w:t xml:space="preserve">. Among other aspects, this evaluation may consider the inclusion of social requirements in the regulatory framework.     </w:t>
      </w:r>
    </w:p>
    <w:p w14:paraId="2C3A5528"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Regulatory fitness and simplification</w:t>
      </w:r>
    </w:p>
    <w:p w14:paraId="2C3A5529" w14:textId="77777777" w:rsidR="006C7D06" w:rsidRPr="00DF5C23" w:rsidRDefault="23DF1179" w:rsidP="006C7D06">
      <w:pPr>
        <w:pBdr>
          <w:top w:val="nil"/>
          <w:left w:val="nil"/>
          <w:bottom w:val="nil"/>
          <w:right w:val="nil"/>
          <w:between w:val="nil"/>
          <w:bar w:val="nil"/>
        </w:pBdr>
        <w:spacing w:before="0" w:after="240"/>
        <w:rPr>
          <w:noProof/>
        </w:rPr>
      </w:pPr>
      <w:r>
        <w:rPr>
          <w:noProof/>
        </w:rPr>
        <w:t xml:space="preserve">This regulation is expected to create a level playing field for </w:t>
      </w:r>
      <w:r w:rsidRPr="23DF1179">
        <w:rPr>
          <w:noProof/>
          <w:lang w:eastAsia="en-GB"/>
        </w:rPr>
        <w:t>businesses</w:t>
      </w:r>
      <w:r>
        <w:rPr>
          <w:noProof/>
        </w:rPr>
        <w:t xml:space="preserve"> operating </w:t>
      </w:r>
      <w:r w:rsidRPr="23DF1179">
        <w:rPr>
          <w:rFonts w:eastAsia="Arial Unicode MS"/>
          <w:noProof/>
        </w:rPr>
        <w:t>on</w:t>
      </w:r>
      <w:r>
        <w:rPr>
          <w:noProof/>
        </w:rPr>
        <w:t xml:space="preserve"> the </w:t>
      </w:r>
      <w:r w:rsidRPr="23DF1179">
        <w:rPr>
          <w:rFonts w:eastAsia="Arial Unicode MS"/>
          <w:noProof/>
        </w:rPr>
        <w:t>internal</w:t>
      </w:r>
      <w:r>
        <w:rPr>
          <w:noProof/>
        </w:rPr>
        <w:t xml:space="preserve"> market. The harmonised requirements proposed at EU level are likely to reduce overall compliance costs, given that they are likely to replace multiple existing or planned requirements at national level. </w:t>
      </w:r>
    </w:p>
    <w:p w14:paraId="2C3A552A" w14:textId="77777777" w:rsidR="006C7D06" w:rsidRPr="00DF5C23" w:rsidRDefault="23DF1179" w:rsidP="006C7D06">
      <w:pPr>
        <w:pBdr>
          <w:top w:val="nil"/>
          <w:left w:val="nil"/>
          <w:bottom w:val="nil"/>
          <w:right w:val="nil"/>
          <w:between w:val="nil"/>
          <w:bar w:val="nil"/>
        </w:pBdr>
        <w:spacing w:before="0" w:after="240"/>
        <w:rPr>
          <w:noProof/>
        </w:rPr>
      </w:pPr>
      <w:r>
        <w:rPr>
          <w:noProof/>
        </w:rPr>
        <w:t>Producers that use more sustainable production and transparent supply chains are expected to gain EU market share and increase their competitiveness over producers that use less sustainable methods.</w:t>
      </w:r>
    </w:p>
    <w:p w14:paraId="2C3A552B" w14:textId="77777777" w:rsidR="006C7D06" w:rsidRPr="00DF5C23" w:rsidRDefault="23DF1179" w:rsidP="006C7D06">
      <w:pPr>
        <w:pBdr>
          <w:top w:val="nil"/>
          <w:left w:val="nil"/>
          <w:bottom w:val="nil"/>
          <w:right w:val="nil"/>
          <w:between w:val="nil"/>
          <w:bar w:val="nil"/>
        </w:pBdr>
        <w:spacing w:before="0" w:after="240"/>
        <w:rPr>
          <w:noProof/>
        </w:rPr>
      </w:pPr>
      <w:r>
        <w:rPr>
          <w:noProof/>
        </w:rPr>
        <w:t xml:space="preserve">Though SMEs suggested that certain negative impacts may stem from some of the measures under the preferred combination of policy options identified in the impact assessment, many also expressed the belief that these can be offset and bring added value over time (due to reduced material expenditure, increased customer loyalty, better access to the market for greener products, reputational benefits etc.). In addition, the Commission has looked </w:t>
      </w:r>
      <w:r w:rsidRPr="23DF1179">
        <w:rPr>
          <w:rFonts w:eastAsia="Times New Roman"/>
          <w:noProof/>
        </w:rPr>
        <w:t xml:space="preserve">specifically at ways to mitigate the negative impacts on SMEs. These are detailed in Annex 19 to the accompanying impact assessment, and in specific provisions of the current proposal. </w:t>
      </w:r>
    </w:p>
    <w:p w14:paraId="2C3A552C" w14:textId="77777777" w:rsidR="00E74761" w:rsidRPr="00DF5C23" w:rsidRDefault="00E74761" w:rsidP="006C7D06">
      <w:pPr>
        <w:pBdr>
          <w:top w:val="nil"/>
          <w:left w:val="nil"/>
          <w:bottom w:val="nil"/>
          <w:right w:val="nil"/>
          <w:between w:val="nil"/>
          <w:bar w:val="nil"/>
        </w:pBdr>
        <w:spacing w:before="0" w:after="240"/>
        <w:rPr>
          <w:noProof/>
        </w:rPr>
      </w:pPr>
      <w:r w:rsidRPr="00DF5C23">
        <w:rPr>
          <w:noProof/>
        </w:rPr>
        <w:t xml:space="preserve">For consultation purposes, </w:t>
      </w:r>
      <w:r w:rsidR="008344BB" w:rsidRPr="00DF5C23">
        <w:rPr>
          <w:noProof/>
        </w:rPr>
        <w:t>in continuation of</w:t>
      </w:r>
      <w:r w:rsidRPr="00DF5C23">
        <w:rPr>
          <w:noProof/>
        </w:rPr>
        <w:t xml:space="preserve"> the successful example of the existing Consultation Forum under the Ecodesign Directive, the proposal establishes an Ecodesign Forum with a </w:t>
      </w:r>
      <w:r w:rsidRPr="00DF5C23">
        <w:rPr>
          <w:rFonts w:eastAsia="Times New Roman"/>
          <w:noProof/>
          <w:color w:val="000000" w:themeColor="text1"/>
          <w:lang w:eastAsia="fr-BE"/>
        </w:rPr>
        <w:t xml:space="preserve">balanced participation of Member States’ representatives and all interested parties such as industry, including </w:t>
      </w:r>
      <w:r w:rsidRPr="00DF5C23">
        <w:rPr>
          <w:noProof/>
          <w:lang w:eastAsia="fr-BE"/>
        </w:rPr>
        <w:t xml:space="preserve">small and medium-sized enterprises </w:t>
      </w:r>
      <w:r w:rsidRPr="00DF5C23">
        <w:rPr>
          <w:rFonts w:eastAsia="Times New Roman"/>
          <w:noProof/>
          <w:color w:val="000000" w:themeColor="text1"/>
          <w:lang w:eastAsia="fr-BE"/>
        </w:rPr>
        <w:t xml:space="preserve">and craft industry, trade unions, traders, retailers, importers, environmental protection groups and consumer organisations. </w:t>
      </w:r>
      <w:r w:rsidR="008344BB" w:rsidRPr="00DF5C23">
        <w:rPr>
          <w:rFonts w:eastAsia="Times New Roman"/>
          <w:noProof/>
          <w:color w:val="000000" w:themeColor="text1"/>
          <w:lang w:eastAsia="fr-BE"/>
        </w:rPr>
        <w:t>The Ecodesign Forum is limited to providing expertise to the Commission on the working plan and on the preparation of ecodesign requirements, before the Commission formally exercises its delegated powers.</w:t>
      </w:r>
      <w:r w:rsidR="008344BB" w:rsidRPr="00DF5C23">
        <w:rPr>
          <w:noProof/>
        </w:rPr>
        <w:t xml:space="preserve"> The Commission may set up an additional expert group to </w:t>
      </w:r>
      <w:r w:rsidR="0016047A" w:rsidRPr="00DF5C23">
        <w:rPr>
          <w:noProof/>
        </w:rPr>
        <w:t>consult Member States on the</w:t>
      </w:r>
      <w:r w:rsidR="008344BB" w:rsidRPr="00DF5C23">
        <w:rPr>
          <w:noProof/>
        </w:rPr>
        <w:t xml:space="preserve"> delegated acts</w:t>
      </w:r>
      <w:r w:rsidR="0016047A" w:rsidRPr="00DF5C23">
        <w:rPr>
          <w:noProof/>
        </w:rPr>
        <w:t xml:space="preserve"> to be adopted under this Regulation</w:t>
      </w:r>
      <w:r w:rsidR="008344BB" w:rsidRPr="00DF5C23">
        <w:rPr>
          <w:noProof/>
        </w:rPr>
        <w:t>, in accordance with the Interinstitutional Agreement of 13 April 2016 on Better Law-Making</w:t>
      </w:r>
      <w:r w:rsidR="008344BB" w:rsidRPr="00DF5C23">
        <w:rPr>
          <w:rStyle w:val="FootnoteReference0"/>
          <w:noProof/>
        </w:rPr>
        <w:footnoteReference w:id="21"/>
      </w:r>
      <w:r w:rsidR="008344BB" w:rsidRPr="00DF5C23">
        <w:rPr>
          <w:noProof/>
        </w:rPr>
        <w:t>.</w:t>
      </w:r>
    </w:p>
    <w:p w14:paraId="2C3A552D" w14:textId="77777777" w:rsidR="00CB3775" w:rsidRPr="00DF5C23" w:rsidRDefault="23DF1179" w:rsidP="006C7D06">
      <w:pPr>
        <w:pBdr>
          <w:top w:val="nil"/>
          <w:left w:val="nil"/>
          <w:bottom w:val="nil"/>
          <w:right w:val="nil"/>
          <w:between w:val="nil"/>
          <w:bar w:val="nil"/>
        </w:pBdr>
        <w:spacing w:before="0" w:after="240"/>
        <w:rPr>
          <w:noProof/>
        </w:rPr>
      </w:pPr>
      <w:r>
        <w:rPr>
          <w:noProof/>
        </w:rPr>
        <w:t>The proposal also includes the creation of a digital product passport to electronically register, process and share product-related information amongst supply chain businesses, authorities and consumers. This is expected to increase transparency, both for supply chain businesses and for the general public, and increase efficiencies in terms of information transfer. In particular, it is likely to help facilitate and streamline the monitoring and enforcement of the regulation carried out by EU and Member State authorities. It is also likely to provide a market-intelligence tool that may be used for revising and refining obligations in the future.</w:t>
      </w:r>
    </w:p>
    <w:p w14:paraId="2C3A552E" w14:textId="77777777" w:rsidR="00A27FE4" w:rsidRPr="00DF5C23" w:rsidRDefault="00A27FE4" w:rsidP="00461A97">
      <w:pPr>
        <w:spacing w:before="0" w:after="240"/>
        <w:rPr>
          <w:noProof/>
        </w:rPr>
      </w:pPr>
      <w:r w:rsidRPr="00DF5C23">
        <w:rPr>
          <w:noProof/>
        </w:rPr>
        <w:t>The Fit for Future Platform’s opinion on Ecodesign</w:t>
      </w:r>
      <w:r w:rsidR="00461A97" w:rsidRPr="00DF5C23">
        <w:rPr>
          <w:rStyle w:val="FootnoteReference0"/>
          <w:noProof/>
        </w:rPr>
        <w:footnoteReference w:id="22"/>
      </w:r>
      <w:r w:rsidRPr="00DF5C23">
        <w:rPr>
          <w:noProof/>
        </w:rPr>
        <w:t xml:space="preserve"> recognised the need to improve </w:t>
      </w:r>
      <w:r w:rsidR="00CD52A7" w:rsidRPr="00DF5C23">
        <w:rPr>
          <w:noProof/>
        </w:rPr>
        <w:t xml:space="preserve">the </w:t>
      </w:r>
      <w:r w:rsidRPr="00DF5C23">
        <w:rPr>
          <w:noProof/>
        </w:rPr>
        <w:t>sustainability of products and the necessity to introduce new obligations whilst keeping the burden on business to the minimum. The Platform made nine suggestions that were considered in the design of the new legislation on digitalisation</w:t>
      </w:r>
      <w:r w:rsidR="005B6230" w:rsidRPr="00DF5C23">
        <w:rPr>
          <w:noProof/>
        </w:rPr>
        <w:t>;</w:t>
      </w:r>
      <w:r w:rsidRPr="00DF5C23">
        <w:rPr>
          <w:noProof/>
        </w:rPr>
        <w:t xml:space="preserve"> considering the burdens on SMEs</w:t>
      </w:r>
      <w:r w:rsidR="005B6230" w:rsidRPr="00DF5C23">
        <w:rPr>
          <w:noProof/>
        </w:rPr>
        <w:t>;</w:t>
      </w:r>
      <w:r w:rsidRPr="00DF5C23">
        <w:rPr>
          <w:noProof/>
        </w:rPr>
        <w:t xml:space="preserve"> and ensuring consistency and clarity. For example, enabling consumers to have better access to information whilst ensuring that the Digital Product Passport allows for efficient information flows following best practices; and the possibility of accompanying </w:t>
      </w:r>
      <w:r w:rsidR="003050D7" w:rsidRPr="00DF5C23">
        <w:rPr>
          <w:noProof/>
        </w:rPr>
        <w:t>the</w:t>
      </w:r>
      <w:r w:rsidRPr="00DF5C23">
        <w:rPr>
          <w:noProof/>
        </w:rPr>
        <w:t xml:space="preserve"> measure</w:t>
      </w:r>
      <w:r w:rsidR="003050D7" w:rsidRPr="00DF5C23">
        <w:rPr>
          <w:noProof/>
        </w:rPr>
        <w:t>s under this Regulation</w:t>
      </w:r>
      <w:r w:rsidRPr="00DF5C23">
        <w:rPr>
          <w:noProof/>
        </w:rPr>
        <w:t xml:space="preserve"> with mitigating measures so that impacts are expected to remain proportionate for SMEs. </w:t>
      </w:r>
    </w:p>
    <w:p w14:paraId="2C3A552F"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Fundamental rights</w:t>
      </w:r>
    </w:p>
    <w:p w14:paraId="2C3A5530" w14:textId="77777777" w:rsidR="005879E3" w:rsidRPr="00DF5C23" w:rsidRDefault="23DF1179" w:rsidP="23DF1179">
      <w:pPr>
        <w:pBdr>
          <w:top w:val="nil"/>
          <w:left w:val="nil"/>
          <w:bottom w:val="nil"/>
          <w:right w:val="nil"/>
          <w:between w:val="nil"/>
          <w:bar w:val="nil"/>
        </w:pBdr>
        <w:spacing w:before="0" w:after="240"/>
        <w:rPr>
          <w:rFonts w:eastAsia="Arial Unicode MS"/>
          <w:noProof/>
        </w:rPr>
      </w:pPr>
      <w:r>
        <w:rPr>
          <w:noProof/>
        </w:rPr>
        <w:t xml:space="preserve"> Ecodesign requirements can have benefits for the protection and promotion of fundamental rights as laid down in the EU Charter of Fundamental Rights, including on the freedom to conduct a business (Article 16), the right to environmental protection (Article 37) and the right to consumer protection (Article 38).</w:t>
      </w:r>
    </w:p>
    <w:p w14:paraId="2C3A5531" w14:textId="77777777" w:rsidR="005879E3" w:rsidRPr="00DF5C23" w:rsidRDefault="005879E3" w:rsidP="00893002">
      <w:pPr>
        <w:pStyle w:val="ManualHeading1"/>
        <w:rPr>
          <w:noProof/>
        </w:rPr>
      </w:pPr>
      <w:r w:rsidRPr="00DF5C23">
        <w:rPr>
          <w:noProof/>
        </w:rPr>
        <w:t>4.</w:t>
      </w:r>
      <w:r w:rsidRPr="00DF5C23">
        <w:rPr>
          <w:noProof/>
        </w:rPr>
        <w:tab/>
        <w:t>BUDGETARY IMPLICATIONS</w:t>
      </w:r>
    </w:p>
    <w:p w14:paraId="2C3A5532" w14:textId="77777777" w:rsidR="00BA4E97" w:rsidRPr="00DF5C23" w:rsidRDefault="23DF1179" w:rsidP="00BA4E97">
      <w:pPr>
        <w:spacing w:after="240"/>
        <w:rPr>
          <w:noProof/>
        </w:rPr>
      </w:pPr>
      <w:r>
        <w:rPr>
          <w:noProof/>
        </w:rPr>
        <w:t>The proposal has limited budgetary implications for the Commission. Specifically, it requires 54 full-time equivalents to fully implement the regulation and the related delegated acts over the period 2022-2027 of the EU Multiannual Financial Framework (MFF). New commitments would be needed on existing budget lines, amounting to EUR 23,338 million in Heading 1 of the MFF (Single Market, Innovation and Digital), EUR 43,912 million in Heading 3 (Natural Resources and the Environment) and EUR 38,621 million in Heading 7 (Administrative Expenditure). The new commitments will be covered from the existing budgetary envelopes of the relevant programmes.</w:t>
      </w:r>
    </w:p>
    <w:p w14:paraId="2C3A5533" w14:textId="77777777" w:rsidR="00BA4E97" w:rsidRPr="00DF5C23" w:rsidRDefault="23DF1179" w:rsidP="00BA4E97">
      <w:pPr>
        <w:spacing w:after="240"/>
        <w:rPr>
          <w:noProof/>
        </w:rPr>
      </w:pPr>
      <w:r>
        <w:rPr>
          <w:noProof/>
        </w:rPr>
        <w:t>The budget implications mainly stem from the following work to:</w:t>
      </w:r>
    </w:p>
    <w:p w14:paraId="2C3A5534" w14:textId="77777777" w:rsidR="00BA4E97" w:rsidRPr="00DF5C23" w:rsidRDefault="23DF1179" w:rsidP="00BA4E97">
      <w:pPr>
        <w:pStyle w:val="Tiret0"/>
        <w:rPr>
          <w:noProof/>
        </w:rPr>
      </w:pPr>
      <w:r>
        <w:rPr>
          <w:noProof/>
        </w:rPr>
        <w:t>review, between 2022 and 2026, 33 Commission regulations and adopt 5 new measures under the current Ecodesign Directive, which cannot be carried out by staff currently working on implementation of the Directive;</w:t>
      </w:r>
    </w:p>
    <w:p w14:paraId="2C3A5535" w14:textId="77777777" w:rsidR="00BA4E97" w:rsidRPr="00DF5C23" w:rsidRDefault="23DF1179" w:rsidP="00BA4E97">
      <w:pPr>
        <w:pStyle w:val="Tiret0"/>
        <w:rPr>
          <w:noProof/>
        </w:rPr>
      </w:pPr>
      <w:r>
        <w:rPr>
          <w:noProof/>
        </w:rPr>
        <w:t>prepare and adopt up to 18 new delegated acts between 2024 and 2027; 12 new delegated acts would also be adopted between 2028 and 2030, with staff and budget implications in 2025-2027;</w:t>
      </w:r>
    </w:p>
    <w:p w14:paraId="2C3A5536" w14:textId="77777777" w:rsidR="00493695" w:rsidRPr="00DF5C23" w:rsidRDefault="23DF1179" w:rsidP="00BA4E97">
      <w:pPr>
        <w:pStyle w:val="Tiret0"/>
        <w:rPr>
          <w:noProof/>
        </w:rPr>
      </w:pPr>
      <w:r>
        <w:rPr>
          <w:noProof/>
        </w:rPr>
        <w:t>prepare implementing acts (on average one per year as from 2024) when this is needed to ensure uniform conditions for the implementation of this Regulation, for example in relation to market surveillance, disclosure of information on the destruction of unsold consumer goods or the acknowledgement of self-regulatory measures; and</w:t>
      </w:r>
    </w:p>
    <w:p w14:paraId="2C3A5537" w14:textId="77777777" w:rsidR="00BA4E97" w:rsidRPr="00DF5C23" w:rsidRDefault="00BA4E97" w:rsidP="00BA4E97">
      <w:pPr>
        <w:pStyle w:val="Tiret0"/>
        <w:rPr>
          <w:noProof/>
        </w:rPr>
      </w:pPr>
      <w:r w:rsidRPr="00DF5C23">
        <w:rPr>
          <w:noProof/>
        </w:rPr>
        <w:t xml:space="preserve">carry out horizontal tasks related to the digital product passport, support for market surveillance and </w:t>
      </w:r>
      <w:r w:rsidR="00C21F3B" w:rsidRPr="00DF5C23">
        <w:rPr>
          <w:noProof/>
        </w:rPr>
        <w:t xml:space="preserve">customs control, </w:t>
      </w:r>
      <w:r w:rsidRPr="00DF5C23">
        <w:rPr>
          <w:noProof/>
        </w:rPr>
        <w:t xml:space="preserve">and </w:t>
      </w:r>
      <w:r w:rsidR="00493695" w:rsidRPr="00DF5C23">
        <w:rPr>
          <w:noProof/>
        </w:rPr>
        <w:t>a</w:t>
      </w:r>
      <w:r w:rsidRPr="00DF5C23">
        <w:rPr>
          <w:noProof/>
        </w:rPr>
        <w:t xml:space="preserve"> </w:t>
      </w:r>
      <w:r w:rsidR="004231B4" w:rsidRPr="00DF5C23">
        <w:rPr>
          <w:noProof/>
        </w:rPr>
        <w:t xml:space="preserve">European </w:t>
      </w:r>
      <w:r w:rsidRPr="00DF5C23">
        <w:rPr>
          <w:noProof/>
        </w:rPr>
        <w:t>circular business hub</w:t>
      </w:r>
      <w:r w:rsidR="00493695" w:rsidRPr="00DF5C23">
        <w:rPr>
          <w:noProof/>
        </w:rPr>
        <w:t xml:space="preserve"> to support the exchange of experience between economic actors in integrating circularity in product design and manufacturing</w:t>
      </w:r>
      <w:r w:rsidR="00F45629" w:rsidRPr="00DF5C23">
        <w:rPr>
          <w:rStyle w:val="FootnoteReference0"/>
          <w:noProof/>
        </w:rPr>
        <w:footnoteReference w:id="23"/>
      </w:r>
      <w:r w:rsidRPr="00DF5C23">
        <w:rPr>
          <w:noProof/>
        </w:rPr>
        <w:t>.</w:t>
      </w:r>
    </w:p>
    <w:p w14:paraId="2C3A5538" w14:textId="77777777" w:rsidR="00AB4CE1" w:rsidRPr="00DF5C23" w:rsidRDefault="23DF1179" w:rsidP="00EC0E40">
      <w:pPr>
        <w:spacing w:after="240"/>
        <w:rPr>
          <w:noProof/>
        </w:rPr>
      </w:pPr>
      <w:r>
        <w:rPr>
          <w:noProof/>
        </w:rPr>
        <w:t>In terms of staffing needs, the Commission has looked carefully at ways to share the work between lead DGs, reallocate staff when possible and outsource scientific and technical support for the preparation of delegated and implementing acts and for crosscutting tasks.</w:t>
      </w:r>
    </w:p>
    <w:p w14:paraId="2C3A5539" w14:textId="77777777" w:rsidR="005879E3" w:rsidRPr="00DF5C23" w:rsidRDefault="005879E3" w:rsidP="00893002">
      <w:pPr>
        <w:pStyle w:val="ManualHeading1"/>
        <w:rPr>
          <w:noProof/>
        </w:rPr>
      </w:pPr>
      <w:r w:rsidRPr="00DF5C23">
        <w:rPr>
          <w:noProof/>
        </w:rPr>
        <w:t>5.</w:t>
      </w:r>
      <w:r w:rsidRPr="00DF5C23">
        <w:rPr>
          <w:noProof/>
        </w:rPr>
        <w:tab/>
        <w:t>OTHER ELEMENTS</w:t>
      </w:r>
    </w:p>
    <w:p w14:paraId="2C3A553A"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Implementation plans and monitoring, evaluation and reporting arrangements</w:t>
      </w:r>
    </w:p>
    <w:p w14:paraId="2C3A553B" w14:textId="77777777" w:rsidR="00EC0E40" w:rsidRPr="00DF5C23" w:rsidRDefault="23DF1179" w:rsidP="00EC0E40">
      <w:pPr>
        <w:spacing w:after="240"/>
        <w:rPr>
          <w:noProof/>
        </w:rPr>
      </w:pPr>
      <w:r>
        <w:rPr>
          <w:noProof/>
        </w:rPr>
        <w:t xml:space="preserve">In accordance with the Better Regulation guidelines published in November 2021 and in particular tool 38, the Commission will draw up an implementation strategy after the legislative proposal has been adopted by the co-legislators. It will present the different compliance promotion tools to be used and will include aspects related to digital implementation. </w:t>
      </w:r>
    </w:p>
    <w:p w14:paraId="2C3A553C" w14:textId="77777777" w:rsidR="005879E3" w:rsidRPr="00DF5C23" w:rsidRDefault="005879E3" w:rsidP="23DF1179">
      <w:pPr>
        <w:pStyle w:val="ManualHeading2"/>
        <w:rPr>
          <w:rFonts w:eastAsia="Arial Unicode MS"/>
          <w:noProof/>
          <w:lang w:val="en-US" w:eastAsia="en-GB"/>
        </w:rPr>
      </w:pPr>
      <w:r w:rsidRPr="00DF5C23">
        <w:rPr>
          <w:rFonts w:eastAsia="Arial Unicode MS"/>
          <w:noProof/>
          <w:bdr w:val="nil"/>
          <w:lang w:val="en-US" w:eastAsia="en-GB"/>
        </w:rPr>
        <w:t>•</w:t>
      </w:r>
      <w:r w:rsidRPr="00DF5C23">
        <w:rPr>
          <w:rFonts w:eastAsia="Arial Unicode MS"/>
          <w:noProof/>
          <w:u w:color="000000"/>
          <w:bdr w:val="nil"/>
          <w:lang w:val="en-US" w:eastAsia="en-GB"/>
        </w:rPr>
        <w:tab/>
      </w:r>
      <w:r w:rsidRPr="00DF5C23">
        <w:rPr>
          <w:rFonts w:eastAsia="Arial Unicode MS"/>
          <w:noProof/>
          <w:bdr w:val="nil"/>
          <w:lang w:val="en-US" w:eastAsia="en-GB"/>
        </w:rPr>
        <w:t>Detailed explanation of the specific provisions of the proposal</w:t>
      </w:r>
    </w:p>
    <w:p w14:paraId="2C3A553D" w14:textId="77777777" w:rsidR="006F44D0" w:rsidRPr="00DF5C23" w:rsidRDefault="23DF1179" w:rsidP="006F44D0">
      <w:pPr>
        <w:rPr>
          <w:noProof/>
        </w:rPr>
      </w:pPr>
      <w:r w:rsidRPr="23DF1179">
        <w:rPr>
          <w:i/>
          <w:iCs/>
          <w:noProof/>
        </w:rPr>
        <w:t xml:space="preserve">Article 1 </w:t>
      </w:r>
      <w:r>
        <w:rPr>
          <w:noProof/>
        </w:rPr>
        <w:t>lays down the subject matter of this Regulation, namely a framework for setting ecodesign requirements, creating a digital product passport, and prohibiting the destruction of unsold consumer products. It lays down the product aspects to which the eco-design requirements relate, such as durability and reliability, reusability, upgradability, reparability, and possibility of maintenance and refurbishment, presence of substances of concern, energy and resource efficiency, recycled content. It further sets the scope of the Regulation – only a few sectors, such as food, feed, and medicinal products, are exempted.</w:t>
      </w:r>
    </w:p>
    <w:p w14:paraId="2C3A553E" w14:textId="77777777" w:rsidR="006F44D0" w:rsidRPr="00DF5C23" w:rsidRDefault="23DF1179" w:rsidP="006F44D0">
      <w:pPr>
        <w:rPr>
          <w:noProof/>
        </w:rPr>
      </w:pPr>
      <w:r w:rsidRPr="23DF1179">
        <w:rPr>
          <w:i/>
          <w:iCs/>
          <w:noProof/>
        </w:rPr>
        <w:t>Article 2</w:t>
      </w:r>
      <w:r>
        <w:rPr>
          <w:noProof/>
        </w:rPr>
        <w:t xml:space="preserve"> lays down the definitions needed for the purposes of this Regulation. A number of these definitions are taken over from the New Legislative Framework (Regulation (EC) No 765/2008 and Decision 768/2008/EC), from the repealed Ecodesign Directive or from existing Union environmental legislation (such as the Waste Framework Directive). A set of new definitions is brought in, for instance on the provisions on the product passport and on the destruction of unsold consumer products.</w:t>
      </w:r>
    </w:p>
    <w:p w14:paraId="2C3A553F" w14:textId="77777777" w:rsidR="006F44D0" w:rsidRPr="00DF5C23" w:rsidRDefault="23DF1179" w:rsidP="006F44D0">
      <w:pPr>
        <w:rPr>
          <w:noProof/>
        </w:rPr>
      </w:pPr>
      <w:r w:rsidRPr="23DF1179">
        <w:rPr>
          <w:i/>
          <w:iCs/>
          <w:noProof/>
        </w:rPr>
        <w:t xml:space="preserve">Article 3 </w:t>
      </w:r>
      <w:r>
        <w:rPr>
          <w:noProof/>
        </w:rPr>
        <w:t xml:space="preserve">sets out the general principle related to the free movement of products that comply with delegated acts adopted pursuant to this Regulation. </w:t>
      </w:r>
    </w:p>
    <w:p w14:paraId="2C3A5540" w14:textId="77777777" w:rsidR="000E3FB6" w:rsidRPr="00DF5C23" w:rsidRDefault="23DF1179" w:rsidP="006F44D0">
      <w:pPr>
        <w:rPr>
          <w:noProof/>
        </w:rPr>
      </w:pPr>
      <w:r w:rsidRPr="23DF1179">
        <w:rPr>
          <w:i/>
          <w:iCs/>
          <w:noProof/>
        </w:rPr>
        <w:t>Article 4</w:t>
      </w:r>
      <w:r>
        <w:rPr>
          <w:noProof/>
        </w:rPr>
        <w:t xml:space="preserve"> lays down the empowerments for the Commission to adopt delegated acts to supplement this Regulation by establishing ecodesign requirements, requirements relating to conformity assessment procedures, requirements for the measure of energy consumption or of performance in relation to other parameters, requirements for manufacturers, authorised representatives or importers to provide information to the Commission or market surveillance authorities, requirements on the use of online tools to calculate the performance of products, requirements on alternative rules for the declaration of conformity or for markings and finally, requirements on Member States incentives and on public procurement criteria.</w:t>
      </w:r>
    </w:p>
    <w:p w14:paraId="2C3A5541" w14:textId="77777777" w:rsidR="006F44D0" w:rsidRPr="00DF5C23" w:rsidRDefault="23DF1179" w:rsidP="006F44D0">
      <w:pPr>
        <w:rPr>
          <w:noProof/>
        </w:rPr>
      </w:pPr>
      <w:r w:rsidRPr="23DF1179">
        <w:rPr>
          <w:i/>
          <w:iCs/>
          <w:noProof/>
        </w:rPr>
        <w:t xml:space="preserve">Article 5 </w:t>
      </w:r>
      <w:r>
        <w:rPr>
          <w:noProof/>
        </w:rPr>
        <w:t>lays down the general framework for the adoption of ecodesign requirements. It lays down the product aspects that those requirements can improve. It explains that those requirements may apply to one specific product group or horizontally to more product groups, where technical similarities allow for the setting of common requirements. It specifies that ecodesign requirements include performance requirements and information requirements).  Finally, it lays down a number of conditions to be met by the Commission when preparing ecodesign requirements, as well as a number of criteria that those requirements would need to meet.</w:t>
      </w:r>
    </w:p>
    <w:p w14:paraId="2C3A5542" w14:textId="77777777" w:rsidR="00D27431" w:rsidRPr="00DF5C23" w:rsidRDefault="23DF1179" w:rsidP="006F44D0">
      <w:pPr>
        <w:rPr>
          <w:noProof/>
        </w:rPr>
      </w:pPr>
      <w:r>
        <w:rPr>
          <w:noProof/>
        </w:rPr>
        <w:t>It also enables the Commission to require that supply chain actors cooperate with manufacturers, notified bodies and competent national authorities for the verification of products’ compliance with eco-design requirements.</w:t>
      </w:r>
      <w:r w:rsidRPr="23DF1179">
        <w:rPr>
          <w:noProof/>
          <w:lang w:val="en-IE" w:eastAsia="fr-BE"/>
        </w:rPr>
        <w:t xml:space="preserve"> </w:t>
      </w:r>
    </w:p>
    <w:p w14:paraId="2C3A5543" w14:textId="77777777" w:rsidR="006F44D0" w:rsidRPr="00DF5C23" w:rsidRDefault="23DF1179" w:rsidP="006F44D0">
      <w:pPr>
        <w:rPr>
          <w:noProof/>
        </w:rPr>
      </w:pPr>
      <w:r w:rsidRPr="23DF1179">
        <w:rPr>
          <w:i/>
          <w:iCs/>
          <w:noProof/>
        </w:rPr>
        <w:t>Article 6</w:t>
      </w:r>
      <w:r>
        <w:rPr>
          <w:noProof/>
        </w:rPr>
        <w:t xml:space="preserve"> provides more details about performance requirements, for instance that they can take the form of either a quantitative level or a non-quantitative requirement, set to improve a product aspect, on the basis of selected product parameter(s) (the list of which is in Annex I). </w:t>
      </w:r>
    </w:p>
    <w:p w14:paraId="2C3A5544" w14:textId="77777777" w:rsidR="006F44D0" w:rsidRPr="00DF5C23" w:rsidRDefault="23DF1179" w:rsidP="006F44D0">
      <w:pPr>
        <w:rPr>
          <w:noProof/>
        </w:rPr>
      </w:pPr>
      <w:r w:rsidRPr="23DF1179">
        <w:rPr>
          <w:i/>
          <w:iCs/>
          <w:noProof/>
          <w:lang w:val="fr-BE"/>
        </w:rPr>
        <w:t>Article 7</w:t>
      </w:r>
      <w:r w:rsidRPr="23DF1179">
        <w:rPr>
          <w:noProof/>
          <w:lang w:val="fr-BE"/>
        </w:rPr>
        <w:t xml:space="preserve"> focuses on information requirements. </w:t>
      </w:r>
      <w:r w:rsidRPr="23DF1179">
        <w:rPr>
          <w:noProof/>
          <w:lang w:val="en-IE"/>
        </w:rPr>
        <w:t xml:space="preserve">It establishes that those requirements shall always include requirements related to the product passport and requirements related to substances of concern </w:t>
      </w:r>
      <w:r>
        <w:rPr>
          <w:noProof/>
        </w:rPr>
        <w:t xml:space="preserve">The Article further details other type of information that can be provided, e.g. information on the performance of a product or information for consumers on how to install or use the product. This information can take the form of ‘classes of performance’ for instance ranging from A to G, to facilitate comparison between products. </w:t>
      </w:r>
    </w:p>
    <w:p w14:paraId="2C3A5545" w14:textId="77777777" w:rsidR="006F44D0" w:rsidRPr="00DF5C23" w:rsidRDefault="23DF1179" w:rsidP="006F44D0">
      <w:pPr>
        <w:rPr>
          <w:noProof/>
        </w:rPr>
      </w:pPr>
      <w:r>
        <w:rPr>
          <w:noProof/>
        </w:rPr>
        <w:t>Finally, the Article specifies the different ways in which the information can be provided (e.g. on the passport, on a website, on a label, etc.).</w:t>
      </w:r>
    </w:p>
    <w:p w14:paraId="2C3A5546" w14:textId="77777777" w:rsidR="004C104C" w:rsidRPr="00DF5C23" w:rsidRDefault="23DF1179" w:rsidP="004C104C">
      <w:pPr>
        <w:rPr>
          <w:noProof/>
        </w:rPr>
      </w:pPr>
      <w:r w:rsidRPr="23DF1179">
        <w:rPr>
          <w:i/>
          <w:iCs/>
          <w:noProof/>
        </w:rPr>
        <w:t xml:space="preserve">Article 8 </w:t>
      </w:r>
      <w:r>
        <w:rPr>
          <w:noProof/>
        </w:rPr>
        <w:t xml:space="preserve">sets out the  elements that the Commission needs to specify in the information requirements in relation to the digital product passport, for example the information to be included and who has access to what information. </w:t>
      </w:r>
      <w:r w:rsidRPr="23DF1179">
        <w:rPr>
          <w:i/>
          <w:iCs/>
          <w:noProof/>
        </w:rPr>
        <w:t>Articles 9 to 11</w:t>
      </w:r>
      <w:r>
        <w:rPr>
          <w:noProof/>
        </w:rPr>
        <w:t xml:space="preserve"> lay down the necessary provision to implement the product passport. </w:t>
      </w:r>
      <w:r w:rsidRPr="23DF1179">
        <w:rPr>
          <w:i/>
          <w:iCs/>
          <w:noProof/>
        </w:rPr>
        <w:t>Article 9</w:t>
      </w:r>
      <w:r>
        <w:rPr>
          <w:noProof/>
        </w:rPr>
        <w:t xml:space="preserve"> lays down the general requirement in relation to the product passport. </w:t>
      </w:r>
      <w:r w:rsidRPr="23DF1179">
        <w:rPr>
          <w:i/>
          <w:iCs/>
          <w:noProof/>
        </w:rPr>
        <w:t>Article 10</w:t>
      </w:r>
      <w:r>
        <w:rPr>
          <w:noProof/>
        </w:rPr>
        <w:t xml:space="preserve"> provides the essential requirements for the </w:t>
      </w:r>
      <w:r w:rsidRPr="23DF1179">
        <w:rPr>
          <w:noProof/>
          <w:lang w:val="en-IE"/>
        </w:rPr>
        <w:t>technical design and operation of the product passport</w:t>
      </w:r>
      <w:r>
        <w:rPr>
          <w:noProof/>
        </w:rPr>
        <w:t xml:space="preserve">. </w:t>
      </w:r>
      <w:r w:rsidRPr="23DF1179">
        <w:rPr>
          <w:i/>
          <w:iCs/>
          <w:noProof/>
        </w:rPr>
        <w:t>Article 11</w:t>
      </w:r>
      <w:r>
        <w:rPr>
          <w:noProof/>
        </w:rPr>
        <w:t xml:space="preserve"> lays down the rules related to unique operator and facility identifiers. </w:t>
      </w:r>
    </w:p>
    <w:p w14:paraId="2C3A5547" w14:textId="77777777" w:rsidR="0002154F" w:rsidRPr="00DF5C23" w:rsidRDefault="23DF1179" w:rsidP="004C104C">
      <w:pPr>
        <w:rPr>
          <w:noProof/>
        </w:rPr>
      </w:pPr>
      <w:r w:rsidRPr="23DF1179">
        <w:rPr>
          <w:i/>
          <w:iCs/>
          <w:noProof/>
        </w:rPr>
        <w:t>Article 12</w:t>
      </w:r>
      <w:r>
        <w:rPr>
          <w:noProof/>
        </w:rPr>
        <w:t xml:space="preserve"> provides for the setting up of a registry storing information included in the products passport, allowing the Commission to specify which information needs to be uploaded</w:t>
      </w:r>
    </w:p>
    <w:p w14:paraId="2C3A5548" w14:textId="77777777" w:rsidR="00311646" w:rsidRPr="00DF5C23" w:rsidRDefault="23DF1179" w:rsidP="004C104C">
      <w:pPr>
        <w:rPr>
          <w:noProof/>
        </w:rPr>
      </w:pPr>
      <w:r w:rsidRPr="23DF1179">
        <w:rPr>
          <w:i/>
          <w:iCs/>
          <w:noProof/>
        </w:rPr>
        <w:t>Article13</w:t>
      </w:r>
      <w:r>
        <w:rPr>
          <w:noProof/>
        </w:rPr>
        <w:t xml:space="preserve"> includes the provisions specifying what is expected form customs authorities in relation to the product passport and to what information they should have access to facilitate their work. </w:t>
      </w:r>
    </w:p>
    <w:p w14:paraId="2C3A5549" w14:textId="77777777" w:rsidR="004C104C" w:rsidRPr="00DF5C23" w:rsidRDefault="23DF1179" w:rsidP="004C104C">
      <w:pPr>
        <w:rPr>
          <w:noProof/>
        </w:rPr>
      </w:pPr>
      <w:r w:rsidRPr="23DF1179">
        <w:rPr>
          <w:i/>
          <w:iCs/>
          <w:noProof/>
        </w:rPr>
        <w:t>Article 14</w:t>
      </w:r>
      <w:r>
        <w:rPr>
          <w:noProof/>
        </w:rPr>
        <w:t xml:space="preserve"> specifies the requirements attached to labels, when they are to be used for a given product group. It explains that in such cases, delegated acts must specify the label’s content (including classes of performance) and layout, and how they are to be displayed to consumers. If the product is already covered by a label as provided for in the Energy Labelling Regulation (EU) 2017/1369, and the information on other parameters, including on  other classes of performance, cannot be included in it, that information might be included in a separate label if the Commission finds it appropriate.</w:t>
      </w:r>
    </w:p>
    <w:p w14:paraId="2C3A554A" w14:textId="77777777" w:rsidR="004C104C" w:rsidRPr="00DF5C23" w:rsidRDefault="23DF1179" w:rsidP="004C104C">
      <w:pPr>
        <w:rPr>
          <w:noProof/>
        </w:rPr>
      </w:pPr>
      <w:r w:rsidRPr="23DF1179">
        <w:rPr>
          <w:i/>
          <w:iCs/>
          <w:noProof/>
        </w:rPr>
        <w:t>Article 15</w:t>
      </w:r>
      <w:r>
        <w:rPr>
          <w:noProof/>
        </w:rPr>
        <w:t xml:space="preserve"> specifies that economic operators cannot display labels mimicking the labels provided for under this Regulation. </w:t>
      </w:r>
    </w:p>
    <w:p w14:paraId="2C3A554B" w14:textId="77777777" w:rsidR="004C104C" w:rsidRPr="00DF5C23" w:rsidRDefault="23DF1179" w:rsidP="004C104C">
      <w:pPr>
        <w:rPr>
          <w:noProof/>
        </w:rPr>
      </w:pPr>
      <w:r w:rsidRPr="23DF1179">
        <w:rPr>
          <w:i/>
          <w:iCs/>
          <w:noProof/>
        </w:rPr>
        <w:t>Article 16</w:t>
      </w:r>
      <w:r>
        <w:rPr>
          <w:noProof/>
        </w:rPr>
        <w:t xml:space="preserve"> provides for the Commission to adopt a working plan which must cover at least 3 years and indicates the criteria for prioritising products. The working plan includes an indicative list of product groups that the Commission intends to tackle in the coming years. </w:t>
      </w:r>
    </w:p>
    <w:p w14:paraId="2C3A554C" w14:textId="77777777" w:rsidR="000F2812" w:rsidRPr="00DF5C23" w:rsidRDefault="23DF1179" w:rsidP="004C104C">
      <w:pPr>
        <w:rPr>
          <w:noProof/>
        </w:rPr>
      </w:pPr>
      <w:r w:rsidRPr="23DF1179">
        <w:rPr>
          <w:i/>
          <w:iCs/>
          <w:noProof/>
        </w:rPr>
        <w:t>Article 17</w:t>
      </w:r>
      <w:r>
        <w:rPr>
          <w:noProof/>
        </w:rPr>
        <w:t xml:space="preserve"> establishes an Ecodesign Forum (expert group). It is based on the existing Consultation Forum established under Directive 2009/125/EC. </w:t>
      </w:r>
    </w:p>
    <w:p w14:paraId="2C3A554D" w14:textId="77777777" w:rsidR="00942733" w:rsidRPr="00DF5C23" w:rsidRDefault="0681B866" w:rsidP="00942733">
      <w:pPr>
        <w:rPr>
          <w:noProof/>
        </w:rPr>
      </w:pPr>
      <w:r w:rsidRPr="23DF1179">
        <w:rPr>
          <w:i/>
          <w:iCs/>
          <w:noProof/>
        </w:rPr>
        <w:t xml:space="preserve">Article </w:t>
      </w:r>
      <w:r w:rsidR="001C4673" w:rsidRPr="23DF1179">
        <w:rPr>
          <w:i/>
          <w:iCs/>
          <w:noProof/>
        </w:rPr>
        <w:t>18</w:t>
      </w:r>
      <w:r w:rsidRPr="00DF5C23">
        <w:rPr>
          <w:noProof/>
        </w:rPr>
        <w:t xml:space="preserve"> concerns self-regulation </w:t>
      </w:r>
      <w:r w:rsidR="006C7D06" w:rsidRPr="00DF5C23">
        <w:rPr>
          <w:noProof/>
        </w:rPr>
        <w:t xml:space="preserve">measures. These </w:t>
      </w:r>
      <w:r w:rsidRPr="00DF5C23">
        <w:rPr>
          <w:noProof/>
        </w:rPr>
        <w:t xml:space="preserve">are industry-led measures that can be used as alternatives to delegated acts establishing </w:t>
      </w:r>
      <w:r w:rsidR="00E76850" w:rsidRPr="00DF5C23">
        <w:rPr>
          <w:noProof/>
        </w:rPr>
        <w:t xml:space="preserve">ecodesign </w:t>
      </w:r>
      <w:r w:rsidRPr="00DF5C23">
        <w:rPr>
          <w:noProof/>
        </w:rPr>
        <w:t>requirements adopted pursuant to Article 5. Directive 2009/125/EC</w:t>
      </w:r>
      <w:r w:rsidR="009A606A" w:rsidRPr="00DF5C23">
        <w:rPr>
          <w:rStyle w:val="FootnoteReference0"/>
          <w:noProof/>
        </w:rPr>
        <w:footnoteReference w:id="24"/>
      </w:r>
      <w:r w:rsidRPr="00DF5C23">
        <w:rPr>
          <w:noProof/>
        </w:rPr>
        <w:t xml:space="preserve"> already contained an article on voluntary agreements. Article </w:t>
      </w:r>
      <w:r w:rsidR="004C104C" w:rsidRPr="00DF5C23">
        <w:rPr>
          <w:noProof/>
        </w:rPr>
        <w:t>17</w:t>
      </w:r>
      <w:r w:rsidRPr="00DF5C23">
        <w:rPr>
          <w:noProof/>
        </w:rPr>
        <w:t xml:space="preserve"> of this Regulation expands upon the original article from Directive 2009/125/EC. In particular, it lays down what the self-regulation measure should contain, what the industry should submit as evidence to the Commission, and the procedure for the Commission to recognise the self-regulation measure as a valid alternative to a delegated act.</w:t>
      </w:r>
    </w:p>
    <w:p w14:paraId="2C3A554E" w14:textId="77777777" w:rsidR="00942733" w:rsidRPr="00DF5C23" w:rsidRDefault="23DF1179" w:rsidP="00942733">
      <w:pPr>
        <w:rPr>
          <w:noProof/>
        </w:rPr>
      </w:pPr>
      <w:r w:rsidRPr="23DF1179">
        <w:rPr>
          <w:i/>
          <w:iCs/>
          <w:noProof/>
        </w:rPr>
        <w:t>Article 19</w:t>
      </w:r>
      <w:r>
        <w:rPr>
          <w:noProof/>
        </w:rPr>
        <w:t xml:space="preserve"> lays down a number of measures that the Member States and the Commission are required to take to help SMEs with the general implementation of this Regulation and the future delegated acts. Such measures include guidelines, financial assistance and training.</w:t>
      </w:r>
    </w:p>
    <w:p w14:paraId="2C3A554F" w14:textId="77777777" w:rsidR="003C38E8" w:rsidRPr="00DF5C23" w:rsidRDefault="23DF1179" w:rsidP="003C38E8">
      <w:pPr>
        <w:rPr>
          <w:noProof/>
        </w:rPr>
      </w:pPr>
      <w:r w:rsidRPr="23DF1179">
        <w:rPr>
          <w:i/>
          <w:iCs/>
          <w:noProof/>
        </w:rPr>
        <w:t>Article 20</w:t>
      </w:r>
      <w:r>
        <w:rPr>
          <w:noProof/>
        </w:rPr>
        <w:t xml:space="preserve"> first establishes a general obligation of transparency for economic operators who discard unsold consumer products. It also provides for the possibility to adopt delegated acts to prohibit economic operators from destroying unsold consumer products. These delegated acts may also contain exemptions to the general prohibition for instance for reasons of health and safety. If such an exemption is used, economic operators also have an obligation of transparency (i.e. disclosing the number of products destroyed, reasons for destruction, etc.). The article does not apply to SMEs, but the delegated act prohibiting the destruction of products may specify that some obligations apply to certain categories of SMEs (micro, small or medium).  </w:t>
      </w:r>
    </w:p>
    <w:p w14:paraId="2C3A5550" w14:textId="77777777" w:rsidR="00A9654C" w:rsidRPr="00DF5C23" w:rsidRDefault="23DF1179" w:rsidP="00A9654C">
      <w:pPr>
        <w:rPr>
          <w:noProof/>
        </w:rPr>
      </w:pPr>
      <w:r w:rsidRPr="23DF1179">
        <w:rPr>
          <w:i/>
          <w:iCs/>
          <w:noProof/>
        </w:rPr>
        <w:t>Articles 21, 22, 23 and 24</w:t>
      </w:r>
      <w:r>
        <w:rPr>
          <w:noProof/>
        </w:rPr>
        <w:t xml:space="preserve"> lay down obligations of manufacturers, authorised representatives, importers and distributors. They are based on standard provisions from Decision 768/2008/EC. </w:t>
      </w:r>
    </w:p>
    <w:p w14:paraId="2C3A5551" w14:textId="77777777" w:rsidR="00A9654C" w:rsidRPr="00DF5C23" w:rsidRDefault="23DF1179" w:rsidP="00A9654C">
      <w:pPr>
        <w:rPr>
          <w:noProof/>
        </w:rPr>
      </w:pPr>
      <w:r w:rsidRPr="23DF1179">
        <w:rPr>
          <w:i/>
          <w:iCs/>
          <w:noProof/>
        </w:rPr>
        <w:t xml:space="preserve">Article 25 </w:t>
      </w:r>
      <w:r>
        <w:rPr>
          <w:noProof/>
        </w:rPr>
        <w:t xml:space="preserve">lays down obligations of dealers (who are typically retailers or sellers) especially in relation to the display of labels and access to the product passport, including in case of (online) distance selling. </w:t>
      </w:r>
    </w:p>
    <w:p w14:paraId="2C3A5552" w14:textId="77777777" w:rsidR="00A9654C" w:rsidRPr="00DF5C23" w:rsidRDefault="23DF1179" w:rsidP="00A9654C">
      <w:pPr>
        <w:rPr>
          <w:noProof/>
        </w:rPr>
      </w:pPr>
      <w:r w:rsidRPr="23DF1179">
        <w:rPr>
          <w:i/>
          <w:iCs/>
          <w:noProof/>
        </w:rPr>
        <w:t>Article 26</w:t>
      </w:r>
      <w:r>
        <w:rPr>
          <w:noProof/>
        </w:rPr>
        <w:t xml:space="preserve"> gathers together the different obligations that the economic operators have to comply with if the delegated act requires the product to have a label (e.g. providing dealers with labels). </w:t>
      </w:r>
    </w:p>
    <w:p w14:paraId="2C3A5553" w14:textId="77777777" w:rsidR="00A9654C" w:rsidRPr="00DF5C23" w:rsidRDefault="23DF1179" w:rsidP="00A9654C">
      <w:pPr>
        <w:rPr>
          <w:noProof/>
        </w:rPr>
      </w:pPr>
      <w:r w:rsidRPr="23DF1179">
        <w:rPr>
          <w:i/>
          <w:iCs/>
          <w:noProof/>
        </w:rPr>
        <w:t xml:space="preserve">Article 27 </w:t>
      </w:r>
      <w:r>
        <w:rPr>
          <w:noProof/>
        </w:rPr>
        <w:t xml:space="preserve">concerns obligations of fulfilment service providers, namely ensuring that when they handle a product, the conditions during warehousing, packaging, addressing or dispatching do not jeopardise the products’ compliance with the ecodesign requirements. </w:t>
      </w:r>
    </w:p>
    <w:p w14:paraId="2C3A5554" w14:textId="77777777" w:rsidR="00A9654C" w:rsidRPr="00DF5C23" w:rsidRDefault="23DF1179" w:rsidP="00A9654C">
      <w:pPr>
        <w:rPr>
          <w:noProof/>
        </w:rPr>
      </w:pPr>
      <w:r w:rsidRPr="23DF1179">
        <w:rPr>
          <w:i/>
          <w:iCs/>
          <w:noProof/>
        </w:rPr>
        <w:t>Article 28</w:t>
      </w:r>
      <w:r>
        <w:rPr>
          <w:noProof/>
        </w:rPr>
        <w:t xml:space="preserve"> is a standard article from Decision 768/2008/EC, which lays down the two cases in which manufacturers’ obligations apply to importers and distributors.</w:t>
      </w:r>
    </w:p>
    <w:p w14:paraId="2C3A5555" w14:textId="77777777" w:rsidR="00A9654C" w:rsidRPr="00DF5C23" w:rsidRDefault="23DF1179" w:rsidP="00A9654C">
      <w:pPr>
        <w:rPr>
          <w:noProof/>
        </w:rPr>
      </w:pPr>
      <w:r w:rsidRPr="23DF1179">
        <w:rPr>
          <w:i/>
          <w:iCs/>
          <w:noProof/>
        </w:rPr>
        <w:t>Article 29</w:t>
      </w:r>
      <w:r>
        <w:rPr>
          <w:noProof/>
        </w:rPr>
        <w:t xml:space="preserve"> sets out the obligations of online marketplaces and online search engines in particular concerning cooperation with market surveillance authorities. It also specifies that market surveillance authorities should have the power to order an online marketplace to remove illegal content. </w:t>
      </w:r>
    </w:p>
    <w:p w14:paraId="2C3A5556" w14:textId="77777777" w:rsidR="00C33923" w:rsidRPr="00DF5C23" w:rsidRDefault="23DF1179" w:rsidP="00C33923">
      <w:pPr>
        <w:rPr>
          <w:noProof/>
        </w:rPr>
      </w:pPr>
      <w:r w:rsidRPr="23DF1179">
        <w:rPr>
          <w:i/>
          <w:iCs/>
          <w:noProof/>
        </w:rPr>
        <w:t>Article 30</w:t>
      </w:r>
      <w:r>
        <w:rPr>
          <w:noProof/>
        </w:rPr>
        <w:t xml:space="preserve"> lays down the possibility for future delegated acts to require economic operators to make the technical documentation available digitally without request. Further, in order to assess market penetration of products for which ecodesign requirements have been set, the Article requires economic operators to provide information about products supplied.</w:t>
      </w:r>
    </w:p>
    <w:p w14:paraId="2C3A5557" w14:textId="77777777" w:rsidR="00C33923" w:rsidRPr="00DF5C23" w:rsidRDefault="23DF1179" w:rsidP="00C33923">
      <w:pPr>
        <w:rPr>
          <w:noProof/>
        </w:rPr>
      </w:pPr>
      <w:r w:rsidRPr="23DF1179">
        <w:rPr>
          <w:i/>
          <w:iCs/>
          <w:noProof/>
        </w:rPr>
        <w:t>Article 31</w:t>
      </w:r>
      <w:r>
        <w:rPr>
          <w:noProof/>
        </w:rPr>
        <w:t xml:space="preserve"> specifies that products should be able, where appropriate, to measure the energy they consume while in use, or its performance in relation to other relevant parameters and to make this data available to the end user. When so established in a delegated act manufacturers shall collect, anonymise and report this data to the Commission. </w:t>
      </w:r>
    </w:p>
    <w:p w14:paraId="2C3A5558" w14:textId="77777777" w:rsidR="006C7D06" w:rsidRPr="00DF5C23" w:rsidRDefault="23DF1179" w:rsidP="006C7D06">
      <w:pPr>
        <w:rPr>
          <w:noProof/>
        </w:rPr>
      </w:pPr>
      <w:r w:rsidRPr="23DF1179">
        <w:rPr>
          <w:i/>
          <w:iCs/>
          <w:noProof/>
        </w:rPr>
        <w:t>Chapter VIII</w:t>
      </w:r>
      <w:r>
        <w:rPr>
          <w:noProof/>
        </w:rPr>
        <w:t xml:space="preserve"> on the conformity of products is mostly standard provisions on how to assess the conformity of products. It concerns: </w:t>
      </w:r>
    </w:p>
    <w:p w14:paraId="2C3A5559" w14:textId="77777777" w:rsidR="006C7D06" w:rsidRPr="00DF5C23" w:rsidRDefault="23DF1179" w:rsidP="00BA4E97">
      <w:pPr>
        <w:pStyle w:val="Tiret0"/>
        <w:rPr>
          <w:noProof/>
        </w:rPr>
      </w:pPr>
      <w:r>
        <w:rPr>
          <w:noProof/>
        </w:rPr>
        <w:t>the use of reliable, accurate and reproducible methods for tests, measurements and calculations (</w:t>
      </w:r>
      <w:r w:rsidRPr="23DF1179">
        <w:rPr>
          <w:i/>
          <w:iCs/>
          <w:noProof/>
        </w:rPr>
        <w:t>Article 32</w:t>
      </w:r>
      <w:r>
        <w:rPr>
          <w:noProof/>
        </w:rPr>
        <w:t xml:space="preserve">); </w:t>
      </w:r>
    </w:p>
    <w:p w14:paraId="2C3A555A" w14:textId="77777777" w:rsidR="006C7D06" w:rsidRPr="00DF5C23" w:rsidRDefault="23DF1179" w:rsidP="00BA4E97">
      <w:pPr>
        <w:pStyle w:val="Tiret0"/>
        <w:rPr>
          <w:noProof/>
        </w:rPr>
      </w:pPr>
      <w:r>
        <w:rPr>
          <w:noProof/>
        </w:rPr>
        <w:t>harmonised standards providing a presumption of conformity (</w:t>
      </w:r>
      <w:r w:rsidRPr="23DF1179">
        <w:rPr>
          <w:i/>
          <w:iCs/>
          <w:noProof/>
        </w:rPr>
        <w:t>Article 34</w:t>
      </w:r>
      <w:r>
        <w:rPr>
          <w:noProof/>
        </w:rPr>
        <w:t xml:space="preserve">); </w:t>
      </w:r>
    </w:p>
    <w:p w14:paraId="2C3A555B" w14:textId="77777777" w:rsidR="006C7D06" w:rsidRPr="00DF5C23" w:rsidRDefault="23DF1179" w:rsidP="00BA4E97">
      <w:pPr>
        <w:pStyle w:val="Tiret0"/>
        <w:rPr>
          <w:noProof/>
        </w:rPr>
      </w:pPr>
      <w:r>
        <w:rPr>
          <w:noProof/>
        </w:rPr>
        <w:t>the possibility for the Commission to adopt common specifications where harmonised standards are not available (</w:t>
      </w:r>
      <w:r w:rsidRPr="23DF1179">
        <w:rPr>
          <w:i/>
          <w:iCs/>
          <w:noProof/>
        </w:rPr>
        <w:t>Article 35</w:t>
      </w:r>
      <w:r>
        <w:rPr>
          <w:noProof/>
        </w:rPr>
        <w:t xml:space="preserve">); </w:t>
      </w:r>
    </w:p>
    <w:p w14:paraId="2C3A555C" w14:textId="77777777" w:rsidR="006C7D06" w:rsidRPr="00DF5C23" w:rsidRDefault="23DF1179" w:rsidP="00BA4E97">
      <w:pPr>
        <w:pStyle w:val="Tiret0"/>
        <w:rPr>
          <w:noProof/>
        </w:rPr>
      </w:pPr>
      <w:r>
        <w:rPr>
          <w:noProof/>
        </w:rPr>
        <w:t>the conformity assessment procedures (</w:t>
      </w:r>
      <w:r w:rsidRPr="23DF1179">
        <w:rPr>
          <w:i/>
          <w:iCs/>
          <w:noProof/>
        </w:rPr>
        <w:t>Article 36</w:t>
      </w:r>
      <w:r>
        <w:rPr>
          <w:noProof/>
        </w:rPr>
        <w:t xml:space="preserve">); </w:t>
      </w:r>
    </w:p>
    <w:p w14:paraId="2C3A555D" w14:textId="77777777" w:rsidR="006C7D06" w:rsidRPr="00DF5C23" w:rsidRDefault="23DF1179" w:rsidP="00BA4E97">
      <w:pPr>
        <w:pStyle w:val="Tiret0"/>
        <w:rPr>
          <w:noProof/>
        </w:rPr>
      </w:pPr>
      <w:r>
        <w:rPr>
          <w:noProof/>
        </w:rPr>
        <w:t>the EU declaration of conformity (</w:t>
      </w:r>
      <w:r w:rsidRPr="23DF1179">
        <w:rPr>
          <w:i/>
          <w:iCs/>
          <w:noProof/>
        </w:rPr>
        <w:t>Article 37</w:t>
      </w:r>
      <w:r>
        <w:rPr>
          <w:noProof/>
        </w:rPr>
        <w:t xml:space="preserve">); and </w:t>
      </w:r>
    </w:p>
    <w:p w14:paraId="2C3A555E" w14:textId="77777777" w:rsidR="00C33923" w:rsidRPr="00DF5C23" w:rsidRDefault="23DF1179" w:rsidP="00BA4E97">
      <w:pPr>
        <w:pStyle w:val="Tiret0"/>
        <w:rPr>
          <w:noProof/>
        </w:rPr>
      </w:pPr>
      <w:r>
        <w:rPr>
          <w:noProof/>
        </w:rPr>
        <w:t>the CE marking (</w:t>
      </w:r>
      <w:r w:rsidRPr="23DF1179">
        <w:rPr>
          <w:i/>
          <w:iCs/>
          <w:noProof/>
        </w:rPr>
        <w:t>Articles 38 and 39</w:t>
      </w:r>
      <w:r>
        <w:rPr>
          <w:noProof/>
        </w:rPr>
        <w:t>) and the possibility to use alternative markings (</w:t>
      </w:r>
      <w:r w:rsidRPr="23DF1179">
        <w:rPr>
          <w:i/>
          <w:iCs/>
          <w:noProof/>
        </w:rPr>
        <w:t>Article 40</w:t>
      </w:r>
      <w:r>
        <w:rPr>
          <w:noProof/>
        </w:rPr>
        <w:t xml:space="preserve">). </w:t>
      </w:r>
    </w:p>
    <w:p w14:paraId="2C3A555F" w14:textId="77777777" w:rsidR="00C33923" w:rsidRPr="00DF5C23" w:rsidRDefault="23DF1179" w:rsidP="00C33923">
      <w:pPr>
        <w:rPr>
          <w:noProof/>
        </w:rPr>
      </w:pPr>
      <w:r>
        <w:rPr>
          <w:noProof/>
        </w:rPr>
        <w:t>Noteworthy in this standard Chapter are the presumption of conformity with ecodesign requirements for products bearing the Union Ecolabel (</w:t>
      </w:r>
      <w:r w:rsidRPr="23DF1179">
        <w:rPr>
          <w:i/>
          <w:iCs/>
          <w:noProof/>
        </w:rPr>
        <w:t>Article 34</w:t>
      </w:r>
      <w:r>
        <w:rPr>
          <w:noProof/>
        </w:rPr>
        <w:t>) and the possibility to amend, in the delegated act, the relevant conformity assessment module depending on the product at stake (</w:t>
      </w:r>
      <w:r w:rsidRPr="23DF1179">
        <w:rPr>
          <w:i/>
          <w:iCs/>
          <w:noProof/>
        </w:rPr>
        <w:t>Article 36</w:t>
      </w:r>
      <w:r>
        <w:rPr>
          <w:noProof/>
        </w:rPr>
        <w:t xml:space="preserve">). </w:t>
      </w:r>
    </w:p>
    <w:p w14:paraId="2C3A5560" w14:textId="77777777" w:rsidR="006C7D06" w:rsidRPr="00DF5C23" w:rsidRDefault="23DF1179" w:rsidP="006C7D06">
      <w:pPr>
        <w:rPr>
          <w:noProof/>
        </w:rPr>
      </w:pPr>
      <w:r w:rsidRPr="23DF1179">
        <w:rPr>
          <w:i/>
          <w:iCs/>
          <w:noProof/>
        </w:rPr>
        <w:t>Article 33</w:t>
      </w:r>
      <w:r>
        <w:rPr>
          <w:noProof/>
        </w:rPr>
        <w:t xml:space="preserve"> concerns the prevention of circumvention. For instance, products designed to be able to detect they are being tested and automatically altering their performance to a more favourable result will not be permitted on the market.  </w:t>
      </w:r>
    </w:p>
    <w:p w14:paraId="2C3A5561" w14:textId="77777777" w:rsidR="006C7D06" w:rsidRPr="00DF5C23" w:rsidRDefault="23DF1179" w:rsidP="006C7D06">
      <w:pPr>
        <w:rPr>
          <w:noProof/>
        </w:rPr>
      </w:pPr>
      <w:r w:rsidRPr="23DF1179">
        <w:rPr>
          <w:i/>
          <w:iCs/>
          <w:noProof/>
        </w:rPr>
        <w:t>Chapter IX</w:t>
      </w:r>
      <w:r>
        <w:rPr>
          <w:noProof/>
        </w:rPr>
        <w:t xml:space="preserve"> (</w:t>
      </w:r>
      <w:r w:rsidRPr="23DF1179">
        <w:rPr>
          <w:i/>
          <w:iCs/>
          <w:noProof/>
        </w:rPr>
        <w:t xml:space="preserve">Articles 41 </w:t>
      </w:r>
      <w:r>
        <w:rPr>
          <w:noProof/>
        </w:rPr>
        <w:t>to</w:t>
      </w:r>
      <w:r w:rsidRPr="23DF1179">
        <w:rPr>
          <w:i/>
          <w:iCs/>
          <w:noProof/>
        </w:rPr>
        <w:t xml:space="preserve"> 56</w:t>
      </w:r>
      <w:r>
        <w:rPr>
          <w:noProof/>
        </w:rPr>
        <w:t xml:space="preserve">) concerns the notification of conformity assessment bodies and consists of standard provisions based on Decision 768/2008/EC, combined with targeted enhancements of those provisions to ensure legal clarity and further strengthen the independence, competence and monitoring of notified bodies.  </w:t>
      </w:r>
    </w:p>
    <w:p w14:paraId="2C3A5562" w14:textId="77777777" w:rsidR="00E70B9D" w:rsidRPr="00DF5C23" w:rsidRDefault="23DF1179" w:rsidP="00E70B9D">
      <w:pPr>
        <w:rPr>
          <w:noProof/>
        </w:rPr>
      </w:pPr>
      <w:r w:rsidRPr="23DF1179">
        <w:rPr>
          <w:i/>
          <w:iCs/>
          <w:noProof/>
        </w:rPr>
        <w:t>Article 57</w:t>
      </w:r>
      <w:r>
        <w:rPr>
          <w:noProof/>
        </w:rPr>
        <w:t xml:space="preserve"> provides that if Member States adopt incentives to reward products, those incentives should, in principle, target the highest two populated classes of performance or that bear the EU Ecolabel. In case no class of performance is set, or the class of performance is based on several product parameters, the Commission can further specify in a delegated act how the Member States incentives must work. </w:t>
      </w:r>
    </w:p>
    <w:p w14:paraId="2C3A5563" w14:textId="77777777" w:rsidR="00E70B9D" w:rsidRPr="00DF5C23" w:rsidRDefault="00E70B9D" w:rsidP="00E70B9D">
      <w:pPr>
        <w:rPr>
          <w:noProof/>
        </w:rPr>
      </w:pPr>
      <w:r w:rsidRPr="00DF5C23">
        <w:rPr>
          <w:i/>
          <w:noProof/>
        </w:rPr>
        <w:t xml:space="preserve">Article </w:t>
      </w:r>
      <w:r w:rsidR="00CD6A37" w:rsidRPr="00DF5C23">
        <w:rPr>
          <w:i/>
          <w:noProof/>
        </w:rPr>
        <w:t>58</w:t>
      </w:r>
      <w:r w:rsidR="00CD6A37" w:rsidRPr="00DF5C23">
        <w:rPr>
          <w:noProof/>
        </w:rPr>
        <w:t xml:space="preserve"> </w:t>
      </w:r>
      <w:r w:rsidRPr="00DF5C23">
        <w:rPr>
          <w:noProof/>
        </w:rPr>
        <w:t xml:space="preserve">concerns green public procurement and more specifically the possibility for delegated acts adopted pursuant to this Regulation to establish requirements applicable to public contracts (e.g. </w:t>
      </w:r>
      <w:r w:rsidRPr="00DF5C23">
        <w:rPr>
          <w:noProof/>
          <w:lang w:val="en-IE" w:eastAsia="fr-BE"/>
        </w:rPr>
        <w:t>technical specifications, selection criteria, award criteria, etc.)</w:t>
      </w:r>
      <w:r w:rsidRPr="00DF5C23">
        <w:rPr>
          <w:noProof/>
        </w:rPr>
        <w:t xml:space="preserve">, based on the </w:t>
      </w:r>
      <w:r w:rsidR="00214C38" w:rsidRPr="00DF5C23">
        <w:rPr>
          <w:noProof/>
        </w:rPr>
        <w:t>product</w:t>
      </w:r>
      <w:r w:rsidRPr="00DF5C23">
        <w:rPr>
          <w:noProof/>
        </w:rPr>
        <w:t xml:space="preserve"> parameters listed in </w:t>
      </w:r>
      <w:r w:rsidR="006C7D06" w:rsidRPr="00DF5C23">
        <w:rPr>
          <w:noProof/>
        </w:rPr>
        <w:t>a</w:t>
      </w:r>
      <w:r w:rsidRPr="00DF5C23">
        <w:rPr>
          <w:noProof/>
        </w:rPr>
        <w:t xml:space="preserve">nnex to this Regulation. </w:t>
      </w:r>
    </w:p>
    <w:p w14:paraId="2C3A5564" w14:textId="77777777" w:rsidR="00E70B9D" w:rsidRPr="00DF5C23" w:rsidRDefault="23DF1179" w:rsidP="00E70B9D">
      <w:pPr>
        <w:rPr>
          <w:noProof/>
        </w:rPr>
      </w:pPr>
      <w:r w:rsidRPr="23DF1179">
        <w:rPr>
          <w:i/>
          <w:iCs/>
          <w:noProof/>
          <w:lang w:val="fr-BE"/>
        </w:rPr>
        <w:t>Chapter XI</w:t>
      </w:r>
      <w:r w:rsidRPr="23DF1179">
        <w:rPr>
          <w:noProof/>
          <w:lang w:val="fr-BE"/>
        </w:rPr>
        <w:t xml:space="preserve"> concerns market surveillance. </w:t>
      </w:r>
      <w:r>
        <w:rPr>
          <w:noProof/>
        </w:rPr>
        <w:t xml:space="preserve">It generally builds upon the obligations that exist under the Market Surveillance Regulation (EU) 2019/1020, while providing for some more specific obligations where relevant for this Regulation. </w:t>
      </w:r>
    </w:p>
    <w:p w14:paraId="2C3A5565" w14:textId="77777777" w:rsidR="007E6104" w:rsidRPr="00DF5C23" w:rsidRDefault="00E70B9D" w:rsidP="00E70B9D">
      <w:pPr>
        <w:rPr>
          <w:noProof/>
          <w:lang w:eastAsia="fr-BE"/>
        </w:rPr>
      </w:pPr>
      <w:r w:rsidRPr="00DF5C23">
        <w:rPr>
          <w:i/>
          <w:noProof/>
        </w:rPr>
        <w:t xml:space="preserve">Article </w:t>
      </w:r>
      <w:r w:rsidR="00CD6A37" w:rsidRPr="00DF5C23">
        <w:rPr>
          <w:i/>
          <w:noProof/>
        </w:rPr>
        <w:t xml:space="preserve">59 </w:t>
      </w:r>
      <w:r w:rsidRPr="00DF5C23">
        <w:rPr>
          <w:noProof/>
        </w:rPr>
        <w:t xml:space="preserve">requires Member States to draw up an action plan for market surveillance activities, which must include ‘priorities for market surveillance’, to be identified based on a number of criteria laid down in the </w:t>
      </w:r>
      <w:r w:rsidR="006C7D06" w:rsidRPr="00DF5C23">
        <w:rPr>
          <w:noProof/>
        </w:rPr>
        <w:t>A</w:t>
      </w:r>
      <w:r w:rsidRPr="00DF5C23">
        <w:rPr>
          <w:noProof/>
        </w:rPr>
        <w:t xml:space="preserve">rticle, and the </w:t>
      </w:r>
      <w:r w:rsidRPr="00DF5C23">
        <w:rPr>
          <w:noProof/>
          <w:lang w:eastAsia="fr-BE"/>
        </w:rPr>
        <w:t xml:space="preserve">nature and number of checks planned. </w:t>
      </w:r>
    </w:p>
    <w:p w14:paraId="2C3A5566" w14:textId="77777777" w:rsidR="00E70B9D" w:rsidRPr="00DF5C23" w:rsidRDefault="007E6104" w:rsidP="00E70B9D">
      <w:pPr>
        <w:rPr>
          <w:noProof/>
          <w:lang w:eastAsia="fr-BE"/>
        </w:rPr>
      </w:pPr>
      <w:r w:rsidRPr="00DF5C23">
        <w:rPr>
          <w:i/>
          <w:noProof/>
          <w:lang w:eastAsia="fr-BE"/>
        </w:rPr>
        <w:t xml:space="preserve">Article </w:t>
      </w:r>
      <w:r w:rsidR="00CD6A37" w:rsidRPr="00DF5C23">
        <w:rPr>
          <w:i/>
          <w:noProof/>
          <w:lang w:eastAsia="fr-BE"/>
        </w:rPr>
        <w:t xml:space="preserve">60 </w:t>
      </w:r>
      <w:r w:rsidRPr="00DF5C23">
        <w:rPr>
          <w:noProof/>
          <w:lang w:eastAsia="fr-BE"/>
        </w:rPr>
        <w:t>empowers t</w:t>
      </w:r>
      <w:r w:rsidR="00E70B9D" w:rsidRPr="00DF5C23">
        <w:rPr>
          <w:noProof/>
          <w:lang w:eastAsia="fr-BE"/>
        </w:rPr>
        <w:t xml:space="preserve">he Commission to adopt delegated acts setting out a minimum number of checks to be performed on specific products. </w:t>
      </w:r>
    </w:p>
    <w:p w14:paraId="2C3A5567" w14:textId="77777777" w:rsidR="00E70B9D" w:rsidRPr="00DF5C23" w:rsidRDefault="00E70B9D" w:rsidP="00E70B9D">
      <w:pPr>
        <w:rPr>
          <w:noProof/>
          <w:lang w:val="en-IE" w:eastAsia="fr-BE"/>
        </w:rPr>
      </w:pPr>
      <w:r w:rsidRPr="00DF5C23">
        <w:rPr>
          <w:i/>
          <w:noProof/>
          <w:lang w:eastAsia="fr-BE"/>
        </w:rPr>
        <w:t xml:space="preserve">Article </w:t>
      </w:r>
      <w:r w:rsidR="00CD6A37" w:rsidRPr="00DF5C23">
        <w:rPr>
          <w:i/>
          <w:noProof/>
          <w:lang w:eastAsia="fr-BE"/>
        </w:rPr>
        <w:t>61</w:t>
      </w:r>
      <w:r w:rsidR="00CD6A37" w:rsidRPr="00DF5C23">
        <w:rPr>
          <w:noProof/>
          <w:lang w:eastAsia="fr-BE"/>
        </w:rPr>
        <w:t xml:space="preserve"> </w:t>
      </w:r>
      <w:r w:rsidRPr="00DF5C23">
        <w:rPr>
          <w:noProof/>
          <w:lang w:eastAsia="fr-BE"/>
        </w:rPr>
        <w:t xml:space="preserve">makes reference to the </w:t>
      </w:r>
      <w:r w:rsidRPr="00DF5C23">
        <w:rPr>
          <w:noProof/>
          <w:lang w:val="en-IE" w:eastAsia="fr-BE"/>
        </w:rPr>
        <w:t xml:space="preserve">information and communication system under the Market Surveillance Regulation (ICSMS) and requires Member States to enter information on penalties imposed pursuant to this Regulation. On that basis, the Commission is required to adopt a report including indicative benchmarks on the </w:t>
      </w:r>
      <w:r w:rsidRPr="00DF5C23">
        <w:rPr>
          <w:noProof/>
          <w:lang w:eastAsia="fr-BE"/>
        </w:rPr>
        <w:t>frequency of checks and the nature and severity of penalties imposed</w:t>
      </w:r>
      <w:r w:rsidRPr="00DF5C23">
        <w:rPr>
          <w:noProof/>
          <w:lang w:val="en-IE" w:eastAsia="fr-BE"/>
        </w:rPr>
        <w:t>.</w:t>
      </w:r>
    </w:p>
    <w:p w14:paraId="2C3A5568" w14:textId="77777777" w:rsidR="00E70B9D" w:rsidRPr="00DF5C23" w:rsidRDefault="00E70B9D" w:rsidP="00E70B9D">
      <w:pPr>
        <w:rPr>
          <w:noProof/>
          <w:lang w:val="en-IE" w:eastAsia="fr-BE"/>
        </w:rPr>
      </w:pPr>
      <w:r w:rsidRPr="00DF5C23">
        <w:rPr>
          <w:i/>
          <w:noProof/>
          <w:lang w:val="en-IE" w:eastAsia="fr-BE"/>
        </w:rPr>
        <w:t xml:space="preserve">Article </w:t>
      </w:r>
      <w:r w:rsidR="00CD6A37" w:rsidRPr="00DF5C23">
        <w:rPr>
          <w:i/>
          <w:noProof/>
          <w:lang w:val="en-IE" w:eastAsia="fr-BE"/>
        </w:rPr>
        <w:t>62</w:t>
      </w:r>
      <w:r w:rsidR="00CD6A37" w:rsidRPr="00DF5C23">
        <w:rPr>
          <w:noProof/>
          <w:lang w:val="en-IE" w:eastAsia="fr-BE"/>
        </w:rPr>
        <w:t xml:space="preserve"> </w:t>
      </w:r>
      <w:r w:rsidRPr="00DF5C23">
        <w:rPr>
          <w:noProof/>
          <w:lang w:val="en-IE" w:eastAsia="fr-BE"/>
        </w:rPr>
        <w:t xml:space="preserve">makes reference to the administrative cooperation group (‘ADCO’) set up pursuant to the Market Surveillance Regulation and sets out its role in the context of this </w:t>
      </w:r>
      <w:r w:rsidR="006C7D06" w:rsidRPr="00DF5C23">
        <w:rPr>
          <w:noProof/>
          <w:lang w:eastAsia="fr-BE"/>
        </w:rPr>
        <w:t xml:space="preserve">Regulation. This role includes </w:t>
      </w:r>
      <w:r w:rsidRPr="00DF5C23">
        <w:rPr>
          <w:noProof/>
          <w:lang w:val="en-IE" w:eastAsia="fr-BE"/>
        </w:rPr>
        <w:t xml:space="preserve">identifying common priorities for Member States’ action plans or priorities for Union support (such as joint market surveillance and testing projects, joint investment in market surveillance capacities, including equipment and IT tools, common </w:t>
      </w:r>
      <w:r w:rsidR="006C7D06" w:rsidRPr="00DF5C23">
        <w:rPr>
          <w:noProof/>
          <w:lang w:eastAsia="fr-BE"/>
        </w:rPr>
        <w:t>training sessions</w:t>
      </w:r>
      <w:r w:rsidRPr="00DF5C23">
        <w:rPr>
          <w:noProof/>
          <w:lang w:val="en-IE" w:eastAsia="fr-BE"/>
        </w:rPr>
        <w:t xml:space="preserve">, and guidelines). </w:t>
      </w:r>
    </w:p>
    <w:p w14:paraId="2C3A5569" w14:textId="77777777" w:rsidR="00E70B9D" w:rsidRPr="00DF5C23" w:rsidRDefault="00E70B9D" w:rsidP="00E70B9D">
      <w:pPr>
        <w:rPr>
          <w:noProof/>
          <w:lang w:val="en-IE" w:eastAsia="fr-BE"/>
        </w:rPr>
      </w:pPr>
      <w:r w:rsidRPr="00DF5C23">
        <w:rPr>
          <w:i/>
          <w:noProof/>
          <w:lang w:val="en-IE" w:eastAsia="fr-BE"/>
        </w:rPr>
        <w:t>Chapter X</w:t>
      </w:r>
      <w:r w:rsidR="001B7A95" w:rsidRPr="00DF5C23">
        <w:rPr>
          <w:i/>
          <w:noProof/>
          <w:lang w:val="en-IE" w:eastAsia="fr-BE"/>
        </w:rPr>
        <w:t>I</w:t>
      </w:r>
      <w:r w:rsidRPr="00DF5C23">
        <w:rPr>
          <w:i/>
          <w:noProof/>
          <w:lang w:val="en-IE" w:eastAsia="fr-BE"/>
        </w:rPr>
        <w:t>I</w:t>
      </w:r>
      <w:r w:rsidRPr="00DF5C23">
        <w:rPr>
          <w:noProof/>
          <w:lang w:val="en-IE" w:eastAsia="fr-BE"/>
        </w:rPr>
        <w:t xml:space="preserve"> concerns safeguard procedures and is based on standard provisions. </w:t>
      </w:r>
      <w:r w:rsidR="001B7A95" w:rsidRPr="00DF5C23">
        <w:rPr>
          <w:i/>
          <w:noProof/>
          <w:lang w:val="en-IE" w:eastAsia="fr-BE"/>
        </w:rPr>
        <w:t>Article 61</w:t>
      </w:r>
      <w:r w:rsidRPr="00DF5C23">
        <w:rPr>
          <w:noProof/>
          <w:lang w:val="en-IE" w:eastAsia="fr-BE"/>
        </w:rPr>
        <w:t xml:space="preserve"> sets out the procedure to be followed by a national market surveillance authority where it considers that a product presents a risk. </w:t>
      </w:r>
      <w:r w:rsidR="006C7D06" w:rsidRPr="00DF5C23">
        <w:rPr>
          <w:noProof/>
          <w:lang w:eastAsia="fr-BE"/>
        </w:rPr>
        <w:t>In such case, the national market surveillance authority must initiate a procedure informing other market surveillance authorities of the measures taken (prohibition or restriction on making the product available, withdrawal or recall).</w:t>
      </w:r>
    </w:p>
    <w:p w14:paraId="2C3A556A" w14:textId="77777777" w:rsidR="00E70B9D" w:rsidRPr="00DF5C23" w:rsidRDefault="00E70B9D" w:rsidP="00E70B9D">
      <w:pPr>
        <w:rPr>
          <w:noProof/>
          <w:lang w:val="en-IE" w:eastAsia="fr-BE"/>
        </w:rPr>
      </w:pPr>
      <w:r w:rsidRPr="00DF5C23">
        <w:rPr>
          <w:i/>
          <w:noProof/>
          <w:lang w:val="en-IE" w:eastAsia="fr-BE"/>
        </w:rPr>
        <w:t xml:space="preserve">Article </w:t>
      </w:r>
      <w:r w:rsidR="00CD6A37" w:rsidRPr="00DF5C23">
        <w:rPr>
          <w:i/>
          <w:noProof/>
          <w:lang w:val="en-IE" w:eastAsia="fr-BE"/>
        </w:rPr>
        <w:t>64</w:t>
      </w:r>
      <w:r w:rsidR="00CD6A37" w:rsidRPr="00DF5C23">
        <w:rPr>
          <w:noProof/>
          <w:lang w:val="en-IE" w:eastAsia="fr-BE"/>
        </w:rPr>
        <w:t xml:space="preserve"> </w:t>
      </w:r>
      <w:r w:rsidRPr="00DF5C23">
        <w:rPr>
          <w:noProof/>
          <w:lang w:val="en-IE" w:eastAsia="fr-BE"/>
        </w:rPr>
        <w:t xml:space="preserve">lays down the Union safeguard procedure to be used if a Member State or the Commission disagrees with a measure taken at national level under the safeguard procedure set out in </w:t>
      </w:r>
      <w:r w:rsidRPr="00DF5C23">
        <w:rPr>
          <w:i/>
          <w:noProof/>
          <w:lang w:val="en-IE" w:eastAsia="fr-BE"/>
        </w:rPr>
        <w:t xml:space="preserve">Article </w:t>
      </w:r>
      <w:r w:rsidR="00CD6A37" w:rsidRPr="00DF5C23">
        <w:rPr>
          <w:i/>
          <w:noProof/>
          <w:lang w:val="en-IE" w:eastAsia="fr-BE"/>
        </w:rPr>
        <w:t>63</w:t>
      </w:r>
      <w:r w:rsidRPr="00DF5C23">
        <w:rPr>
          <w:noProof/>
          <w:lang w:val="en-IE" w:eastAsia="fr-BE"/>
        </w:rPr>
        <w:t xml:space="preserve">. Following a consultation, the Commission </w:t>
      </w:r>
      <w:r w:rsidR="006C7D06" w:rsidRPr="00DF5C23">
        <w:rPr>
          <w:noProof/>
          <w:lang w:val="en-IE" w:eastAsia="fr-BE"/>
        </w:rPr>
        <w:t>will</w:t>
      </w:r>
      <w:r w:rsidRPr="00DF5C23">
        <w:rPr>
          <w:noProof/>
          <w:lang w:val="en-IE" w:eastAsia="fr-BE"/>
        </w:rPr>
        <w:t xml:space="preserve"> adopt an implementing act deciding whether the measure is justified or not. Once adopted, all Member States must ensure that the non-compliant product is withdrawn from their market. </w:t>
      </w:r>
    </w:p>
    <w:p w14:paraId="2C3A556B" w14:textId="77777777" w:rsidR="00E70B9D" w:rsidRPr="00DF5C23" w:rsidRDefault="00E70B9D" w:rsidP="00E70B9D">
      <w:pPr>
        <w:rPr>
          <w:noProof/>
        </w:rPr>
      </w:pPr>
      <w:r w:rsidRPr="00DF5C23">
        <w:rPr>
          <w:i/>
          <w:noProof/>
          <w:lang w:val="en-IE" w:eastAsia="fr-BE"/>
        </w:rPr>
        <w:t xml:space="preserve">Article </w:t>
      </w:r>
      <w:r w:rsidR="00CD6A37" w:rsidRPr="00DF5C23">
        <w:rPr>
          <w:i/>
          <w:noProof/>
          <w:lang w:val="en-IE" w:eastAsia="fr-BE"/>
        </w:rPr>
        <w:t>65</w:t>
      </w:r>
      <w:r w:rsidR="00CD6A37" w:rsidRPr="00DF5C23">
        <w:rPr>
          <w:noProof/>
          <w:lang w:val="en-IE" w:eastAsia="fr-BE"/>
        </w:rPr>
        <w:t xml:space="preserve"> </w:t>
      </w:r>
      <w:r w:rsidRPr="00DF5C23">
        <w:rPr>
          <w:noProof/>
          <w:lang w:val="en-IE" w:eastAsia="fr-BE"/>
        </w:rPr>
        <w:t xml:space="preserve">concerns the particular case </w:t>
      </w:r>
      <w:r w:rsidR="006C7D06" w:rsidRPr="00DF5C23">
        <w:rPr>
          <w:noProof/>
          <w:lang w:eastAsia="fr-BE"/>
        </w:rPr>
        <w:t xml:space="preserve">where a case of non-compliance relates to a formal obligation (affixing the CE marking, EU declaration of conformity, etc.)  </w:t>
      </w:r>
    </w:p>
    <w:p w14:paraId="2C3A556C" w14:textId="77777777" w:rsidR="00C80CD3" w:rsidRPr="00DF5C23" w:rsidRDefault="00E70B9D" w:rsidP="00E70B9D">
      <w:pPr>
        <w:rPr>
          <w:noProof/>
        </w:rPr>
      </w:pPr>
      <w:r w:rsidRPr="00DF5C23">
        <w:rPr>
          <w:i/>
          <w:noProof/>
        </w:rPr>
        <w:t>Chapter XI</w:t>
      </w:r>
      <w:r w:rsidR="001B7A95" w:rsidRPr="00DF5C23">
        <w:rPr>
          <w:i/>
          <w:noProof/>
        </w:rPr>
        <w:t>I</w:t>
      </w:r>
      <w:r w:rsidRPr="00DF5C23">
        <w:rPr>
          <w:i/>
          <w:noProof/>
        </w:rPr>
        <w:t>I</w:t>
      </w:r>
      <w:r w:rsidRPr="00DF5C23">
        <w:rPr>
          <w:noProof/>
        </w:rPr>
        <w:t xml:space="preserve"> is a standard chapter with articles on delegated acts (</w:t>
      </w:r>
      <w:r w:rsidRPr="00DF5C23">
        <w:rPr>
          <w:i/>
          <w:noProof/>
        </w:rPr>
        <w:t xml:space="preserve">Article </w:t>
      </w:r>
      <w:r w:rsidR="00CD6A37" w:rsidRPr="00DF5C23">
        <w:rPr>
          <w:i/>
          <w:noProof/>
        </w:rPr>
        <w:t>66</w:t>
      </w:r>
      <w:r w:rsidRPr="00DF5C23">
        <w:rPr>
          <w:noProof/>
        </w:rPr>
        <w:t>)</w:t>
      </w:r>
      <w:r w:rsidR="009A606A" w:rsidRPr="00DF5C23">
        <w:rPr>
          <w:noProof/>
        </w:rPr>
        <w:t xml:space="preserve"> and</w:t>
      </w:r>
      <w:r w:rsidRPr="00DF5C23">
        <w:rPr>
          <w:noProof/>
        </w:rPr>
        <w:t xml:space="preserve"> on implementing acts (</w:t>
      </w:r>
      <w:r w:rsidRPr="00DF5C23">
        <w:rPr>
          <w:i/>
          <w:noProof/>
        </w:rPr>
        <w:t xml:space="preserve">Article </w:t>
      </w:r>
      <w:r w:rsidR="00CD6A37" w:rsidRPr="00DF5C23">
        <w:rPr>
          <w:i/>
          <w:noProof/>
        </w:rPr>
        <w:t>67</w:t>
      </w:r>
      <w:r w:rsidRPr="00DF5C23">
        <w:rPr>
          <w:noProof/>
        </w:rPr>
        <w:t>).</w:t>
      </w:r>
    </w:p>
    <w:p w14:paraId="2C3A556D" w14:textId="77777777" w:rsidR="00E70B9D" w:rsidRPr="00DF5C23" w:rsidRDefault="23DF1179" w:rsidP="00E70B9D">
      <w:pPr>
        <w:rPr>
          <w:noProof/>
        </w:rPr>
      </w:pPr>
      <w:r w:rsidRPr="23DF1179">
        <w:rPr>
          <w:i/>
          <w:iCs/>
          <w:noProof/>
        </w:rPr>
        <w:t>Chapter XIV</w:t>
      </w:r>
      <w:r>
        <w:rPr>
          <w:noProof/>
        </w:rPr>
        <w:t xml:space="preserve"> is a standard chapter on final provisions, with articles on penalties (</w:t>
      </w:r>
      <w:r w:rsidRPr="23DF1179">
        <w:rPr>
          <w:i/>
          <w:iCs/>
          <w:noProof/>
        </w:rPr>
        <w:t>Article 68</w:t>
      </w:r>
      <w:r>
        <w:rPr>
          <w:noProof/>
        </w:rPr>
        <w:t>), on carrying out an evaluation of the Regulation 8 years after adoption (</w:t>
      </w:r>
      <w:r w:rsidRPr="23DF1179">
        <w:rPr>
          <w:i/>
          <w:iCs/>
          <w:noProof/>
        </w:rPr>
        <w:t>Article 69</w:t>
      </w:r>
      <w:r>
        <w:rPr>
          <w:noProof/>
        </w:rPr>
        <w:t>), and on repeal and transition provisions (</w:t>
      </w:r>
      <w:r w:rsidRPr="23DF1179">
        <w:rPr>
          <w:i/>
          <w:iCs/>
          <w:noProof/>
        </w:rPr>
        <w:t>Article 70</w:t>
      </w:r>
      <w:r>
        <w:rPr>
          <w:noProof/>
        </w:rPr>
        <w:t xml:space="preserve">). Noteworthy is the fact that implementing measures adopted under the Ecodesign Directive should remain applicable until they are repealed by a delegated act adopted pursuant to this Regulation. </w:t>
      </w:r>
    </w:p>
    <w:p w14:paraId="2C3A556E" w14:textId="77777777" w:rsidR="00E70B9D" w:rsidRPr="00DF5C23" w:rsidRDefault="00E70B9D" w:rsidP="00E70B9D">
      <w:pPr>
        <w:rPr>
          <w:noProof/>
        </w:rPr>
      </w:pPr>
      <w:r w:rsidRPr="00DF5C23">
        <w:rPr>
          <w:i/>
          <w:noProof/>
        </w:rPr>
        <w:t>Annex I</w:t>
      </w:r>
      <w:r w:rsidRPr="00DF5C23">
        <w:rPr>
          <w:noProof/>
        </w:rPr>
        <w:t xml:space="preserve"> sets out the </w:t>
      </w:r>
      <w:r w:rsidR="00214C38" w:rsidRPr="00DF5C23">
        <w:rPr>
          <w:noProof/>
        </w:rPr>
        <w:t xml:space="preserve">product </w:t>
      </w:r>
      <w:r w:rsidRPr="00DF5C23">
        <w:rPr>
          <w:noProof/>
        </w:rPr>
        <w:t xml:space="preserve">parameters to be used for </w:t>
      </w:r>
      <w:r w:rsidR="001B7A95" w:rsidRPr="00DF5C23">
        <w:rPr>
          <w:noProof/>
        </w:rPr>
        <w:t>setting</w:t>
      </w:r>
      <w:r w:rsidRPr="00DF5C23">
        <w:rPr>
          <w:noProof/>
        </w:rPr>
        <w:t xml:space="preserve"> performance and information requirements for products under this Regulation. </w:t>
      </w:r>
    </w:p>
    <w:p w14:paraId="2C3A556F" w14:textId="77777777" w:rsidR="00E70B9D" w:rsidRPr="00DF5C23" w:rsidRDefault="00E70B9D" w:rsidP="00E70B9D">
      <w:pPr>
        <w:rPr>
          <w:noProof/>
        </w:rPr>
      </w:pPr>
      <w:r w:rsidRPr="00DF5C23">
        <w:rPr>
          <w:i/>
          <w:noProof/>
        </w:rPr>
        <w:t>Annex II</w:t>
      </w:r>
      <w:r w:rsidRPr="00DF5C23">
        <w:rPr>
          <w:noProof/>
        </w:rPr>
        <w:t xml:space="preserve"> lays down the procedure for </w:t>
      </w:r>
      <w:r w:rsidR="006C7D06" w:rsidRPr="00DF5C23">
        <w:rPr>
          <w:noProof/>
        </w:rPr>
        <w:t>setting</w:t>
      </w:r>
      <w:r w:rsidRPr="00DF5C23">
        <w:rPr>
          <w:noProof/>
        </w:rPr>
        <w:t xml:space="preserve"> such performance requirements. </w:t>
      </w:r>
    </w:p>
    <w:p w14:paraId="2C3A5570" w14:textId="77777777" w:rsidR="00E70B9D" w:rsidRPr="00DF5C23" w:rsidRDefault="00E70B9D" w:rsidP="00E70B9D">
      <w:pPr>
        <w:rPr>
          <w:noProof/>
        </w:rPr>
      </w:pPr>
      <w:r w:rsidRPr="00DF5C23">
        <w:rPr>
          <w:i/>
          <w:noProof/>
        </w:rPr>
        <w:t xml:space="preserve">Annex </w:t>
      </w:r>
      <w:r w:rsidR="004B060C" w:rsidRPr="00DF5C23">
        <w:rPr>
          <w:i/>
          <w:noProof/>
        </w:rPr>
        <w:t>III</w:t>
      </w:r>
      <w:r w:rsidRPr="00DF5C23">
        <w:rPr>
          <w:noProof/>
        </w:rPr>
        <w:t xml:space="preserve"> l</w:t>
      </w:r>
      <w:r w:rsidR="00B66BA0" w:rsidRPr="00DF5C23">
        <w:rPr>
          <w:noProof/>
        </w:rPr>
        <w:t>ists</w:t>
      </w:r>
      <w:r w:rsidRPr="00DF5C23">
        <w:rPr>
          <w:noProof/>
        </w:rPr>
        <w:t xml:space="preserve"> the information t</w:t>
      </w:r>
      <w:r w:rsidR="00B66BA0" w:rsidRPr="00DF5C23">
        <w:rPr>
          <w:noProof/>
        </w:rPr>
        <w:t>hat can</w:t>
      </w:r>
      <w:r w:rsidRPr="00DF5C23">
        <w:rPr>
          <w:noProof/>
        </w:rPr>
        <w:t xml:space="preserve"> be included in the product passport</w:t>
      </w:r>
      <w:r w:rsidR="006C7D06" w:rsidRPr="00DF5C23">
        <w:rPr>
          <w:noProof/>
        </w:rPr>
        <w:t xml:space="preserve"> and specifies the information to be included in it</w:t>
      </w:r>
      <w:r w:rsidRPr="00DF5C23">
        <w:rPr>
          <w:noProof/>
        </w:rPr>
        <w:t xml:space="preserve">. </w:t>
      </w:r>
    </w:p>
    <w:p w14:paraId="2C3A5571" w14:textId="77777777" w:rsidR="00E70B9D" w:rsidRPr="00DF5C23" w:rsidRDefault="00E70B9D" w:rsidP="00E70B9D">
      <w:pPr>
        <w:rPr>
          <w:noProof/>
        </w:rPr>
      </w:pPr>
      <w:r w:rsidRPr="00DF5C23">
        <w:rPr>
          <w:i/>
          <w:noProof/>
        </w:rPr>
        <w:t xml:space="preserve">Annex </w:t>
      </w:r>
      <w:r w:rsidR="004B060C" w:rsidRPr="00DF5C23">
        <w:rPr>
          <w:i/>
          <w:noProof/>
        </w:rPr>
        <w:t>I</w:t>
      </w:r>
      <w:r w:rsidRPr="00DF5C23">
        <w:rPr>
          <w:i/>
          <w:noProof/>
        </w:rPr>
        <w:t>V</w:t>
      </w:r>
      <w:r w:rsidRPr="00DF5C23">
        <w:rPr>
          <w:noProof/>
        </w:rPr>
        <w:t xml:space="preserve"> reproduces the standard conformity assessment module referred to in Article </w:t>
      </w:r>
      <w:r w:rsidR="001B7A95" w:rsidRPr="00DF5C23">
        <w:rPr>
          <w:noProof/>
        </w:rPr>
        <w:t>35</w:t>
      </w:r>
      <w:r w:rsidRPr="00DF5C23">
        <w:rPr>
          <w:noProof/>
        </w:rPr>
        <w:t xml:space="preserve"> (from Decision 768/2008/EC).</w:t>
      </w:r>
    </w:p>
    <w:p w14:paraId="2C3A5572" w14:textId="77777777" w:rsidR="00E70B9D" w:rsidRPr="00DF5C23" w:rsidRDefault="00E70B9D" w:rsidP="00E70B9D">
      <w:pPr>
        <w:rPr>
          <w:noProof/>
        </w:rPr>
      </w:pPr>
      <w:r w:rsidRPr="00DF5C23">
        <w:rPr>
          <w:i/>
          <w:noProof/>
        </w:rPr>
        <w:t>Annex V</w:t>
      </w:r>
      <w:r w:rsidRPr="00DF5C23">
        <w:rPr>
          <w:noProof/>
        </w:rPr>
        <w:t xml:space="preserve"> reproduces the standard EU declaration of conformity. </w:t>
      </w:r>
    </w:p>
    <w:p w14:paraId="2C3A5573" w14:textId="77777777" w:rsidR="00E70B9D" w:rsidRPr="00DF5C23" w:rsidRDefault="23DF1179" w:rsidP="00E70B9D">
      <w:pPr>
        <w:rPr>
          <w:noProof/>
        </w:rPr>
      </w:pPr>
      <w:r w:rsidRPr="23DF1179">
        <w:rPr>
          <w:i/>
          <w:iCs/>
          <w:noProof/>
        </w:rPr>
        <w:t>Annex VI</w:t>
      </w:r>
      <w:r>
        <w:rPr>
          <w:noProof/>
        </w:rPr>
        <w:t xml:space="preserve"> gives more detailed information about the content of delegated acts setting ecodesign requirements to be adopted pursuant to this Regulation. </w:t>
      </w:r>
    </w:p>
    <w:p w14:paraId="2C3A5574" w14:textId="77777777" w:rsidR="00E70B9D" w:rsidRPr="00DF5C23" w:rsidRDefault="00E70B9D" w:rsidP="00E70B9D">
      <w:pPr>
        <w:rPr>
          <w:noProof/>
        </w:rPr>
      </w:pPr>
      <w:r w:rsidRPr="00DF5C23">
        <w:rPr>
          <w:i/>
          <w:noProof/>
        </w:rPr>
        <w:t>Annex VII</w:t>
      </w:r>
      <w:r w:rsidRPr="00DF5C23">
        <w:rPr>
          <w:noProof/>
        </w:rPr>
        <w:t xml:space="preserve"> lays down general </w:t>
      </w:r>
      <w:r w:rsidR="00CD6A37" w:rsidRPr="00DF5C23">
        <w:rPr>
          <w:noProof/>
        </w:rPr>
        <w:t xml:space="preserve">criteria </w:t>
      </w:r>
      <w:r w:rsidRPr="00DF5C23">
        <w:rPr>
          <w:noProof/>
        </w:rPr>
        <w:t xml:space="preserve">applicable to self-regulation measures (Article </w:t>
      </w:r>
      <w:r w:rsidR="001B7A95" w:rsidRPr="00DF5C23">
        <w:rPr>
          <w:noProof/>
        </w:rPr>
        <w:t>1</w:t>
      </w:r>
      <w:r w:rsidR="00CD6A37" w:rsidRPr="00DF5C23">
        <w:rPr>
          <w:noProof/>
        </w:rPr>
        <w:t>8</w:t>
      </w:r>
      <w:r w:rsidRPr="00DF5C23">
        <w:rPr>
          <w:noProof/>
        </w:rPr>
        <w:t xml:space="preserve">). </w:t>
      </w:r>
    </w:p>
    <w:p w14:paraId="2C3A5575" w14:textId="77777777" w:rsidR="00E70B9D" w:rsidRPr="00DF5C23" w:rsidRDefault="23DF1179" w:rsidP="00E70B9D">
      <w:pPr>
        <w:rPr>
          <w:noProof/>
        </w:rPr>
      </w:pPr>
      <w:r w:rsidRPr="23DF1179">
        <w:rPr>
          <w:i/>
          <w:iCs/>
          <w:noProof/>
        </w:rPr>
        <w:t>Annex VIII</w:t>
      </w:r>
      <w:r>
        <w:rPr>
          <w:noProof/>
        </w:rPr>
        <w:t xml:space="preserve"> is a standard annex including the correlation table with the Ecodesign Directive. </w:t>
      </w:r>
    </w:p>
    <w:p w14:paraId="2C3A5576" w14:textId="77777777" w:rsidR="006F44D0" w:rsidRPr="00DF5C23" w:rsidRDefault="006F44D0" w:rsidP="00893002">
      <w:pPr>
        <w:rPr>
          <w:noProof/>
        </w:rPr>
        <w:sectPr w:rsidR="006F44D0" w:rsidRPr="00DF5C23" w:rsidSect="008B42B0">
          <w:footerReference w:type="default" r:id="rId13"/>
          <w:footerReference w:type="first" r:id="rId14"/>
          <w:pgSz w:w="11907" w:h="16839"/>
          <w:pgMar w:top="1134" w:right="1417" w:bottom="1134" w:left="1417" w:header="709" w:footer="709" w:gutter="0"/>
          <w:cols w:space="708"/>
          <w:docGrid w:linePitch="360"/>
        </w:sectPr>
      </w:pPr>
    </w:p>
    <w:p w14:paraId="649D057C" w14:textId="419680F6" w:rsidR="00103571" w:rsidRDefault="007C3B02" w:rsidP="007C3B02">
      <w:pPr>
        <w:pStyle w:val="Rfrenceinterinstitutionnelle"/>
        <w:rPr>
          <w:noProof/>
        </w:rPr>
      </w:pPr>
      <w:r w:rsidRPr="007C3B02">
        <w:t>2022/0095 (COD)</w:t>
      </w:r>
    </w:p>
    <w:p w14:paraId="2C3A5577" w14:textId="63FAB2F1" w:rsidR="005879E3" w:rsidRPr="00DF5C23" w:rsidRDefault="007735B6" w:rsidP="007735B6">
      <w:pPr>
        <w:pStyle w:val="Statut"/>
        <w:rPr>
          <w:noProof/>
        </w:rPr>
      </w:pPr>
      <w:r w:rsidRPr="007735B6">
        <w:rPr>
          <w:noProof/>
        </w:rPr>
        <w:t>Proposal for a</w:t>
      </w:r>
    </w:p>
    <w:p w14:paraId="2C3A5578" w14:textId="28305891" w:rsidR="005879E3" w:rsidRPr="00DF5C23" w:rsidRDefault="007735B6" w:rsidP="007735B6">
      <w:pPr>
        <w:pStyle w:val="Typedudocument"/>
        <w:rPr>
          <w:noProof/>
        </w:rPr>
      </w:pPr>
      <w:r w:rsidRPr="007735B6">
        <w:rPr>
          <w:noProof/>
        </w:rPr>
        <w:t>REGULATION OF THE EUROPEAN PARLIAMENT AND OF THE COUNCIL</w:t>
      </w:r>
    </w:p>
    <w:p w14:paraId="2C3A5579" w14:textId="7A5FB1A1" w:rsidR="005879E3" w:rsidRPr="00DF5C23" w:rsidRDefault="007735B6" w:rsidP="007735B6">
      <w:pPr>
        <w:pStyle w:val="Titreobjet"/>
        <w:rPr>
          <w:noProof/>
        </w:rPr>
      </w:pPr>
      <w:r w:rsidRPr="007735B6">
        <w:rPr>
          <w:noProof/>
        </w:rPr>
        <w:t>establishing a framework for setting ecodesign requirements for sustainable products and repealing Directive 2009/125/EC</w:t>
      </w:r>
    </w:p>
    <w:p w14:paraId="2C3A557A" w14:textId="433BBC2B" w:rsidR="005879E3" w:rsidRPr="00DF5C23" w:rsidRDefault="007735B6" w:rsidP="007735B6">
      <w:pPr>
        <w:pStyle w:val="IntrtEEE"/>
        <w:rPr>
          <w:noProof/>
        </w:rPr>
      </w:pPr>
      <w:r w:rsidRPr="007735B6">
        <w:rPr>
          <w:noProof/>
        </w:rPr>
        <w:t>(Text with EEA relevance)</w:t>
      </w:r>
    </w:p>
    <w:p w14:paraId="2C3A557B" w14:textId="77777777" w:rsidR="005879E3" w:rsidRPr="00DF5C23" w:rsidRDefault="0681B866" w:rsidP="00893002">
      <w:pPr>
        <w:pStyle w:val="Institutionquiagit"/>
        <w:rPr>
          <w:noProof/>
        </w:rPr>
      </w:pPr>
      <w:r w:rsidRPr="00DF5C23">
        <w:rPr>
          <w:noProof/>
        </w:rPr>
        <w:t>THE EUROPEAN PARLIAMENT AND THE COUNCIL OF THE EUROPEAN UNION,</w:t>
      </w:r>
    </w:p>
    <w:p w14:paraId="2C3A557C" w14:textId="77777777" w:rsidR="005879E3" w:rsidRPr="00DF5C23" w:rsidRDefault="0681B866" w:rsidP="00893002">
      <w:pPr>
        <w:rPr>
          <w:noProof/>
        </w:rPr>
      </w:pPr>
      <w:r w:rsidRPr="00DF5C23">
        <w:rPr>
          <w:noProof/>
        </w:rPr>
        <w:t>Having regard to the Treaty on the Functioning of the European Union, and in particular Article 114 thereof,</w:t>
      </w:r>
    </w:p>
    <w:p w14:paraId="2C3A557D" w14:textId="77777777" w:rsidR="005879E3" w:rsidRPr="00DF5C23" w:rsidRDefault="0681B866" w:rsidP="00893002">
      <w:pPr>
        <w:rPr>
          <w:noProof/>
        </w:rPr>
      </w:pPr>
      <w:r w:rsidRPr="00DF5C23">
        <w:rPr>
          <w:noProof/>
        </w:rPr>
        <w:t>Having regard to the proposal from the European Commission,</w:t>
      </w:r>
    </w:p>
    <w:p w14:paraId="2C3A557E" w14:textId="77777777" w:rsidR="005879E3" w:rsidRPr="00DF5C23" w:rsidRDefault="0681B866" w:rsidP="00893002">
      <w:pPr>
        <w:rPr>
          <w:noProof/>
        </w:rPr>
      </w:pPr>
      <w:r w:rsidRPr="00DF5C23">
        <w:rPr>
          <w:noProof/>
        </w:rPr>
        <w:t>After transmission of the draft legislative act to the national parliaments,</w:t>
      </w:r>
    </w:p>
    <w:p w14:paraId="2C3A557F" w14:textId="77777777" w:rsidR="00AE3668" w:rsidRPr="00DF5C23" w:rsidRDefault="005879E3" w:rsidP="0085184D">
      <w:pPr>
        <w:rPr>
          <w:noProof/>
        </w:rPr>
      </w:pPr>
      <w:r w:rsidRPr="00DF5C23">
        <w:rPr>
          <w:noProof/>
        </w:rPr>
        <w:t>Having regard to the opinion of the European Economic and Social Committee</w:t>
      </w:r>
      <w:r w:rsidR="00FE2355" w:rsidRPr="00DF5C23">
        <w:rPr>
          <w:rStyle w:val="FootnoteReference0"/>
          <w:noProof/>
        </w:rPr>
        <w:footnoteReference w:id="25"/>
      </w:r>
      <w:r w:rsidRPr="00DF5C23">
        <w:rPr>
          <w:noProof/>
        </w:rPr>
        <w:t xml:space="preserve">, </w:t>
      </w:r>
    </w:p>
    <w:p w14:paraId="2C3A5580" w14:textId="77777777" w:rsidR="005879E3" w:rsidRPr="00DF5C23" w:rsidRDefault="0681B866" w:rsidP="00893002">
      <w:pPr>
        <w:rPr>
          <w:noProof/>
        </w:rPr>
      </w:pPr>
      <w:r w:rsidRPr="00DF5C23">
        <w:rPr>
          <w:noProof/>
        </w:rPr>
        <w:t>Acting in accordance with the ordinary legislative procedure,</w:t>
      </w:r>
    </w:p>
    <w:p w14:paraId="2C3A5581" w14:textId="77777777" w:rsidR="0085184D" w:rsidRPr="00DF5C23" w:rsidRDefault="0681B866" w:rsidP="00424A6F">
      <w:pPr>
        <w:rPr>
          <w:noProof/>
        </w:rPr>
      </w:pPr>
      <w:r w:rsidRPr="00DF5C23">
        <w:rPr>
          <w:noProof/>
        </w:rPr>
        <w:t>Whereas:</w:t>
      </w:r>
    </w:p>
    <w:p w14:paraId="2C3A5582" w14:textId="2005E1B8" w:rsidR="00D81745" w:rsidRPr="00DF5C23" w:rsidRDefault="004F5E59" w:rsidP="004F5E59">
      <w:pPr>
        <w:pStyle w:val="ManualConsidrant"/>
        <w:rPr>
          <w:noProof/>
        </w:rPr>
      </w:pPr>
      <w:r w:rsidRPr="004F5E59">
        <w:t>(1)</w:t>
      </w:r>
      <w:r w:rsidRPr="004F5E59">
        <w:tab/>
      </w:r>
      <w:r w:rsidR="00D81745" w:rsidRPr="00DF5C23">
        <w:rPr>
          <w:noProof/>
        </w:rPr>
        <w:t>The European Green Deal</w:t>
      </w:r>
      <w:r w:rsidR="00BA4E97" w:rsidRPr="00DF5C23">
        <w:rPr>
          <w:rStyle w:val="FootnoteReference0"/>
          <w:noProof/>
        </w:rPr>
        <w:footnoteReference w:id="26"/>
      </w:r>
      <w:r w:rsidR="00D81745" w:rsidRPr="00DF5C23">
        <w:rPr>
          <w:noProof/>
          <w:vertAlign w:val="superscript"/>
        </w:rPr>
        <w:t xml:space="preserve"> </w:t>
      </w:r>
      <w:r w:rsidR="00D81745" w:rsidRPr="00DF5C23">
        <w:rPr>
          <w:noProof/>
        </w:rPr>
        <w:t>is Europe’s sustainable growth strategy that aims to transform the Union into a fair and prosperous society, with a modern, competitive, climate-neutral and circular economy. It sets the ambitious objective of ensuring that the Union becomes the first climate neutral continent by 2050. It recognises the advantages of investing in the Union’s competitive sustainability by building a fairer, g</w:t>
      </w:r>
      <w:r w:rsidR="00287D86" w:rsidRPr="00DF5C23">
        <w:rPr>
          <w:noProof/>
        </w:rPr>
        <w:t>reener and more digital Europe.</w:t>
      </w:r>
      <w:r w:rsidR="00D81745" w:rsidRPr="00DF5C23">
        <w:rPr>
          <w:noProof/>
        </w:rPr>
        <w:t xml:space="preserve"> Products</w:t>
      </w:r>
      <w:r w:rsidR="00BD5256" w:rsidRPr="00DF5C23">
        <w:rPr>
          <w:noProof/>
        </w:rPr>
        <w:t xml:space="preserve"> </w:t>
      </w:r>
      <w:r w:rsidR="00D81745" w:rsidRPr="00DF5C23">
        <w:rPr>
          <w:noProof/>
        </w:rPr>
        <w:t xml:space="preserve">have a pivotal role to play in this green transition. Underlining that current production processes and consumption patterns remain too linear and dependent on a throughput of new materials extracted, traded and processed goods and finally disposed of as waste or emissions, the European Green Deal emphasises the urgent need to transition to a circular economy model and stresses the significant progress that remains to be made. It also identifies energy efficiency as a priority for the decarbonisation of the energy sector and for reaching the climate objectives in 2030 and 2050. </w:t>
      </w:r>
    </w:p>
    <w:p w14:paraId="2C3A5583" w14:textId="0D58BAE0" w:rsidR="00417A57" w:rsidRPr="00DF5C23" w:rsidRDefault="004F5E59" w:rsidP="004F5E59">
      <w:pPr>
        <w:pStyle w:val="ManualConsidrant"/>
        <w:rPr>
          <w:noProof/>
        </w:rPr>
      </w:pPr>
      <w:r w:rsidRPr="004F5E59">
        <w:t>(2)</w:t>
      </w:r>
      <w:r w:rsidRPr="004F5E59">
        <w:tab/>
      </w:r>
      <w:r w:rsidR="00D81745" w:rsidRPr="00DF5C23">
        <w:rPr>
          <w:noProof/>
        </w:rPr>
        <w:t>To accelerate the transition to a circular economy model, the Commission designed a future-oriented agenda in its Circular Economy Action Plan</w:t>
      </w:r>
      <w:r w:rsidR="005B4E97" w:rsidRPr="00DF5C23">
        <w:rPr>
          <w:noProof/>
        </w:rPr>
        <w:t xml:space="preserve"> for a cleaner and more competitive Europe</w:t>
      </w:r>
      <w:r w:rsidR="00BA4E97" w:rsidRPr="00DF5C23">
        <w:rPr>
          <w:rStyle w:val="FootnoteReference0"/>
          <w:noProof/>
        </w:rPr>
        <w:footnoteReference w:id="27"/>
      </w:r>
      <w:r w:rsidR="00D81745" w:rsidRPr="00DF5C23">
        <w:rPr>
          <w:noProof/>
        </w:rPr>
        <w:t xml:space="preserve"> </w:t>
      </w:r>
      <w:r w:rsidR="00085A32" w:rsidRPr="00DF5C23">
        <w:rPr>
          <w:noProof/>
        </w:rPr>
        <w:t>(CEAP)</w:t>
      </w:r>
      <w:r w:rsidR="00D81745" w:rsidRPr="00DF5C23">
        <w:rPr>
          <w:noProof/>
        </w:rPr>
        <w:t xml:space="preserve">, with the objective of making the regulatory framework fit for a sustainable future. As set out in </w:t>
      </w:r>
      <w:r w:rsidR="005B4E97" w:rsidRPr="00DF5C23">
        <w:rPr>
          <w:noProof/>
        </w:rPr>
        <w:t>this plan</w:t>
      </w:r>
      <w:r w:rsidR="00D81745" w:rsidRPr="00DF5C23">
        <w:rPr>
          <w:noProof/>
        </w:rPr>
        <w:t xml:space="preserve">, there is currently no comprehensive set of requirements to ensure that all products placed on the </w:t>
      </w:r>
      <w:r w:rsidR="00443BB7" w:rsidRPr="00DF5C23">
        <w:rPr>
          <w:noProof/>
        </w:rPr>
        <w:t>Union</w:t>
      </w:r>
      <w:r w:rsidR="00D81745" w:rsidRPr="00DF5C23">
        <w:rPr>
          <w:noProof/>
        </w:rPr>
        <w:t xml:space="preserve"> market become increasingly sustainable and stand the test of circularity.</w:t>
      </w:r>
      <w:r w:rsidR="00D81745" w:rsidRPr="00DF5C23">
        <w:rPr>
          <w:noProof/>
          <w:color w:val="444444"/>
          <w:sz w:val="27"/>
          <w:szCs w:val="27"/>
          <w:shd w:val="clear" w:color="auto" w:fill="FFFFFF"/>
        </w:rPr>
        <w:t xml:space="preserve"> </w:t>
      </w:r>
      <w:r w:rsidR="005B4E97" w:rsidRPr="00DF5C23">
        <w:rPr>
          <w:noProof/>
        </w:rPr>
        <w:t>In particular, product design does not sufficiently promote sustainability over the whole life cycle. As a result, products are being replaced frequently, involving significant energy and resource use in order to produce and distribute new products and dispose of old ones. It is still too difficult for economic operators and citizens to make sustainable choices in relation to products given that relevant information and affordable options to do so are lacking. This leads to missed opportunities for sustainability and for value-retaining operations, limited demand for secondary materials and obstacles to the adoption of circular business models.</w:t>
      </w:r>
      <w:r w:rsidR="00D81745" w:rsidRPr="00DF5C23">
        <w:rPr>
          <w:noProof/>
        </w:rPr>
        <w:t xml:space="preserve"> </w:t>
      </w:r>
    </w:p>
    <w:p w14:paraId="2C3A5584" w14:textId="278751C5" w:rsidR="005B4E97" w:rsidRPr="00DF5C23" w:rsidRDefault="004F5E59" w:rsidP="004F5E59">
      <w:pPr>
        <w:pStyle w:val="ManualConsidrant"/>
        <w:rPr>
          <w:noProof/>
        </w:rPr>
      </w:pPr>
      <w:r w:rsidRPr="004F5E59">
        <w:t>(3)</w:t>
      </w:r>
      <w:r w:rsidRPr="004F5E59">
        <w:tab/>
      </w:r>
      <w:r w:rsidR="00417A57" w:rsidRPr="00DF5C23">
        <w:rPr>
          <w:noProof/>
        </w:rPr>
        <w:t>The European Industrial Strategy</w:t>
      </w:r>
      <w:r w:rsidR="00417A57" w:rsidRPr="00DF5C23">
        <w:rPr>
          <w:rStyle w:val="FootnoteReference0"/>
          <w:noProof/>
        </w:rPr>
        <w:footnoteReference w:id="28"/>
      </w:r>
      <w:r w:rsidR="00417A57" w:rsidRPr="00DF5C23">
        <w:rPr>
          <w:noProof/>
        </w:rPr>
        <w:t xml:space="preserve"> sets out the Union’s overarching ambition to foster a ‘twin transition’ to climate neutrality and digital leadership. It echoes the European Green Deal in pointing to the leading role that Europe’s industry must play in this, by reducing its carbon and material footprint and embedding circularity across the economy, and underlines the need to move away from traditional models, and revolutionise the way we design, make, use and dispose of products. The 2021 Update to the Industrial Strategy</w:t>
      </w:r>
      <w:r w:rsidR="00417A57" w:rsidRPr="00DF5C23">
        <w:rPr>
          <w:rStyle w:val="FootnoteReference0"/>
          <w:noProof/>
        </w:rPr>
        <w:footnoteReference w:id="29"/>
      </w:r>
      <w:r w:rsidR="00417A57" w:rsidRPr="00DF5C23">
        <w:rPr>
          <w:noProof/>
        </w:rPr>
        <w:t xml:space="preserve"> reinforces the main messages of the 2020 Strategy and focuses on the lessons from the COVID-19 crisis, including the need to foster resilience. </w:t>
      </w:r>
    </w:p>
    <w:p w14:paraId="2C3A5585" w14:textId="6E46A726" w:rsidR="00D81745" w:rsidRPr="00DF5C23" w:rsidRDefault="004F5E59" w:rsidP="004F5E59">
      <w:pPr>
        <w:pStyle w:val="ManualConsidrant"/>
        <w:rPr>
          <w:noProof/>
        </w:rPr>
      </w:pPr>
      <w:r w:rsidRPr="004F5E59">
        <w:t>(4)</w:t>
      </w:r>
      <w:r w:rsidRPr="004F5E59">
        <w:tab/>
      </w:r>
      <w:r w:rsidR="00D81745" w:rsidRPr="00DF5C23">
        <w:rPr>
          <w:noProof/>
        </w:rPr>
        <w:t xml:space="preserve">In the absence of legislation at Union level, </w:t>
      </w:r>
      <w:r w:rsidR="006F613E" w:rsidRPr="00DF5C23">
        <w:rPr>
          <w:noProof/>
        </w:rPr>
        <w:t xml:space="preserve">diverging </w:t>
      </w:r>
      <w:r w:rsidR="00D81745" w:rsidRPr="00DF5C23">
        <w:rPr>
          <w:noProof/>
        </w:rPr>
        <w:t xml:space="preserve">national </w:t>
      </w:r>
      <w:r w:rsidR="006F613E" w:rsidRPr="00DF5C23">
        <w:rPr>
          <w:noProof/>
        </w:rPr>
        <w:t>approaches to improving the environmental sustainability of products have already emerged</w:t>
      </w:r>
      <w:r w:rsidR="00813CBC" w:rsidRPr="00DF5C23">
        <w:rPr>
          <w:noProof/>
        </w:rPr>
        <w:t xml:space="preserve">, ranging from information requirements on the duration of software compatibility of electronic devices to reporting obligations on handling unsold durable goods. </w:t>
      </w:r>
      <w:r w:rsidR="00BD5256" w:rsidRPr="00DF5C23">
        <w:rPr>
          <w:noProof/>
        </w:rPr>
        <w:t xml:space="preserve"> </w:t>
      </w:r>
      <w:r w:rsidR="006F613E" w:rsidRPr="00DF5C23">
        <w:rPr>
          <w:noProof/>
        </w:rPr>
        <w:t xml:space="preserve">This is an indication that further national </w:t>
      </w:r>
      <w:r w:rsidR="00D81745" w:rsidRPr="00DF5C23">
        <w:rPr>
          <w:noProof/>
        </w:rPr>
        <w:t xml:space="preserve">efforts to </w:t>
      </w:r>
      <w:r w:rsidR="00287D86" w:rsidRPr="00DF5C23">
        <w:rPr>
          <w:noProof/>
        </w:rPr>
        <w:t xml:space="preserve">achieve </w:t>
      </w:r>
      <w:r w:rsidR="006F613E" w:rsidRPr="00DF5C23">
        <w:rPr>
          <w:noProof/>
        </w:rPr>
        <w:t xml:space="preserve">the </w:t>
      </w:r>
      <w:r w:rsidR="00287D86" w:rsidRPr="00DF5C23">
        <w:rPr>
          <w:noProof/>
        </w:rPr>
        <w:t>aims</w:t>
      </w:r>
      <w:r w:rsidR="006F613E" w:rsidRPr="00DF5C23">
        <w:rPr>
          <w:noProof/>
        </w:rPr>
        <w:t xml:space="preserve"> pursued by this Regulation</w:t>
      </w:r>
      <w:r w:rsidR="00D81745" w:rsidRPr="00DF5C23">
        <w:rPr>
          <w:noProof/>
        </w:rPr>
        <w:t xml:space="preserve"> will likely </w:t>
      </w:r>
      <w:r w:rsidR="006F613E" w:rsidRPr="00DF5C23">
        <w:rPr>
          <w:noProof/>
        </w:rPr>
        <w:t xml:space="preserve">lead to further </w:t>
      </w:r>
      <w:r w:rsidR="00D81745" w:rsidRPr="00DF5C23">
        <w:rPr>
          <w:noProof/>
        </w:rPr>
        <w:t xml:space="preserve">fragmentation of the internal market. Therefore, in order to safeguard the functioning of the internal market while ensuring a high level of environmental protection, there is a need for a regulatory framework to progressively introduce </w:t>
      </w:r>
      <w:r w:rsidR="00E76850" w:rsidRPr="00DF5C23">
        <w:rPr>
          <w:noProof/>
        </w:rPr>
        <w:t>ecodesign</w:t>
      </w:r>
      <w:r w:rsidR="00D81745" w:rsidRPr="00DF5C23">
        <w:rPr>
          <w:noProof/>
        </w:rPr>
        <w:t xml:space="preserve"> requirements for products. </w:t>
      </w:r>
      <w:r w:rsidR="000C4BED" w:rsidRPr="00DF5C23">
        <w:rPr>
          <w:noProof/>
        </w:rPr>
        <w:t>This Regulation will, by making the ecodesign approach initially set out in Directive 2009/125/EC of the European Parliament and of the Council</w:t>
      </w:r>
      <w:r w:rsidR="000C4BED" w:rsidRPr="00DF5C23">
        <w:rPr>
          <w:rStyle w:val="FootnoteReference0"/>
          <w:noProof/>
        </w:rPr>
        <w:footnoteReference w:id="30"/>
      </w:r>
      <w:r w:rsidR="000C4BED" w:rsidRPr="00DF5C23">
        <w:rPr>
          <w:noProof/>
        </w:rPr>
        <w:t xml:space="preserve"> applicable to the broadest possible range of products, provide such a framework.</w:t>
      </w:r>
    </w:p>
    <w:p w14:paraId="2C3A5586" w14:textId="4A16F876" w:rsidR="00D81745" w:rsidRPr="00DF5C23" w:rsidRDefault="004F5E59" w:rsidP="004F5E59">
      <w:pPr>
        <w:pStyle w:val="ManualConsidrant"/>
        <w:rPr>
          <w:noProof/>
        </w:rPr>
      </w:pPr>
      <w:r w:rsidRPr="004F5E59">
        <w:t>(5)</w:t>
      </w:r>
      <w:r w:rsidRPr="004F5E59">
        <w:tab/>
      </w:r>
      <w:r w:rsidR="23DF1179">
        <w:rPr>
          <w:noProof/>
        </w:rPr>
        <w:t xml:space="preserve">This Regulation will contribute to making products fit for a climate-neutral, resource-efficient and circular economy, reducing waste and ensuring that the performance of frontrunners in sustainability progressively becomes the norm. It should provide for the setting of new ecodesign requirements to improve product durability, reusability, upgradability and reparability, improve possibilities for refurbishment and maintenance, address the presence of hazardous chemicals in products, increase their energy and resource efficiency, reduce their </w:t>
      </w:r>
      <w:r w:rsidR="23DF1179" w:rsidRPr="23DF1179">
        <w:rPr>
          <w:noProof/>
          <w:lang w:val="en-IE"/>
        </w:rPr>
        <w:t>expected generation of waste materials</w:t>
      </w:r>
      <w:r w:rsidR="23DF1179">
        <w:rPr>
          <w:noProof/>
        </w:rPr>
        <w:t xml:space="preserve"> and increase recycled content in products, while ensuring their performance and safety, enabling remanufacturing and high-quality recycling and reducing carbon and environmental footprints.  </w:t>
      </w:r>
    </w:p>
    <w:p w14:paraId="2C3A5587" w14:textId="00D01735" w:rsidR="00D81745" w:rsidRPr="00DF5C23" w:rsidRDefault="004F5E59" w:rsidP="004F5E59">
      <w:pPr>
        <w:pStyle w:val="ManualConsidrant"/>
        <w:rPr>
          <w:noProof/>
        </w:rPr>
      </w:pPr>
      <w:r w:rsidRPr="004F5E59">
        <w:t>(6)</w:t>
      </w:r>
      <w:r w:rsidRPr="004F5E59">
        <w:tab/>
      </w:r>
      <w:r w:rsidR="00D81745" w:rsidRPr="00DF5C23">
        <w:rPr>
          <w:noProof/>
        </w:rPr>
        <w:t>The European Parliament, in its Resolution of 25 November 2020 ‘Towards a more sustainable single market for business and consumers’</w:t>
      </w:r>
      <w:r w:rsidR="00253723" w:rsidRPr="00DF5C23">
        <w:rPr>
          <w:rStyle w:val="FootnoteReference0"/>
          <w:noProof/>
        </w:rPr>
        <w:footnoteReference w:id="31"/>
      </w:r>
      <w:r w:rsidR="00D81745" w:rsidRPr="00DF5C23">
        <w:rPr>
          <w:noProof/>
        </w:rPr>
        <w:t>, welcomed promoting durable products which are easier to repair, re</w:t>
      </w:r>
      <w:r w:rsidR="00AB244C" w:rsidRPr="00DF5C23">
        <w:rPr>
          <w:noProof/>
        </w:rPr>
        <w:t>-</w:t>
      </w:r>
      <w:r w:rsidR="00D81745" w:rsidRPr="00DF5C23">
        <w:rPr>
          <w:noProof/>
        </w:rPr>
        <w:t xml:space="preserve">use and recycle. In its </w:t>
      </w:r>
      <w:r w:rsidR="00A4330D" w:rsidRPr="00DF5C23">
        <w:rPr>
          <w:noProof/>
        </w:rPr>
        <w:t>r</w:t>
      </w:r>
      <w:r w:rsidR="00D81745" w:rsidRPr="00DF5C23">
        <w:rPr>
          <w:noProof/>
        </w:rPr>
        <w:t>eport on the New Circular Economy Action Plan adopted on 16 February 2021</w:t>
      </w:r>
      <w:r w:rsidR="00D90F16" w:rsidRPr="00DF5C23">
        <w:rPr>
          <w:rStyle w:val="FootnoteReference0"/>
          <w:noProof/>
        </w:rPr>
        <w:footnoteReference w:id="32"/>
      </w:r>
      <w:r w:rsidR="00D81745" w:rsidRPr="00DF5C23">
        <w:rPr>
          <w:noProof/>
        </w:rPr>
        <w:t xml:space="preserve">, the European Parliament further endorsed the agenda presented by the Commission in the CEAP. It considered </w:t>
      </w:r>
      <w:r w:rsidR="00A4330D" w:rsidRPr="00DF5C23">
        <w:rPr>
          <w:noProof/>
        </w:rPr>
        <w:t xml:space="preserve">that </w:t>
      </w:r>
      <w:r w:rsidR="00D81745" w:rsidRPr="00DF5C23">
        <w:rPr>
          <w:noProof/>
        </w:rPr>
        <w:t xml:space="preserve">the transition to a circular economy can provide solutions to address the current environmental challenges and the economic crisis brought </w:t>
      </w:r>
      <w:r w:rsidR="00A4330D" w:rsidRPr="00DF5C23">
        <w:rPr>
          <w:noProof/>
        </w:rPr>
        <w:t xml:space="preserve">on </w:t>
      </w:r>
      <w:r w:rsidR="00D81745" w:rsidRPr="00DF5C23">
        <w:rPr>
          <w:noProof/>
        </w:rPr>
        <w:t xml:space="preserve">by the COVID-19 pandemic. The Council, in its conclusions on </w:t>
      </w:r>
      <w:r w:rsidR="00A4330D" w:rsidRPr="00DF5C23">
        <w:rPr>
          <w:noProof/>
        </w:rPr>
        <w:t xml:space="preserve">‘Making the Recovery Circular and Green’ </w:t>
      </w:r>
      <w:r w:rsidR="00253723" w:rsidRPr="00DF5C23">
        <w:rPr>
          <w:noProof/>
        </w:rPr>
        <w:t>adopted on 11 December 2020</w:t>
      </w:r>
      <w:r w:rsidR="00253723" w:rsidRPr="00DF5C23">
        <w:rPr>
          <w:rStyle w:val="FootnoteReference0"/>
          <w:noProof/>
        </w:rPr>
        <w:footnoteReference w:id="33"/>
      </w:r>
      <w:r w:rsidR="00D81745" w:rsidRPr="00DF5C23">
        <w:rPr>
          <w:noProof/>
        </w:rPr>
        <w:t xml:space="preserve">, also welcomed the Commission’s intention to submit legislative proposals as part of a comprehensive and integrated sustainable product policy framework that promotes climate neutrality, energy and resource efficiency and a non-toxic circular economy, protects public health and biodiversity, </w:t>
      </w:r>
      <w:r w:rsidR="00A4330D" w:rsidRPr="00DF5C23">
        <w:rPr>
          <w:noProof/>
        </w:rPr>
        <w:t xml:space="preserve">and </w:t>
      </w:r>
      <w:r w:rsidR="00D81745" w:rsidRPr="00DF5C23">
        <w:rPr>
          <w:noProof/>
        </w:rPr>
        <w:t>empowers and protects consumers and public buyers.</w:t>
      </w:r>
    </w:p>
    <w:p w14:paraId="2C3A5588" w14:textId="2B874E35" w:rsidR="000C4BED" w:rsidRPr="00DF5C23" w:rsidRDefault="004F5E59" w:rsidP="004F5E59">
      <w:pPr>
        <w:pStyle w:val="ManualConsidrant"/>
        <w:rPr>
          <w:noProof/>
        </w:rPr>
      </w:pPr>
      <w:r w:rsidRPr="004F5E59">
        <w:t>(7)</w:t>
      </w:r>
      <w:r w:rsidRPr="004F5E59">
        <w:tab/>
      </w:r>
      <w:r w:rsidR="00C630DE" w:rsidRPr="00DF5C23">
        <w:rPr>
          <w:noProof/>
        </w:rPr>
        <w:t xml:space="preserve">This Regulation should contribute to achieving the Union’s climate and energy objectives. </w:t>
      </w:r>
      <w:r w:rsidR="00A4330D" w:rsidRPr="00DF5C23">
        <w:rPr>
          <w:noProof/>
        </w:rPr>
        <w:t xml:space="preserve">In line with </w:t>
      </w:r>
      <w:r w:rsidR="00181EDA" w:rsidRPr="00DF5C23">
        <w:rPr>
          <w:noProof/>
        </w:rPr>
        <w:t>the</w:t>
      </w:r>
      <w:r w:rsidR="0017624F" w:rsidRPr="00DF5C23">
        <w:rPr>
          <w:noProof/>
        </w:rPr>
        <w:t xml:space="preserve"> goals set out in the</w:t>
      </w:r>
      <w:r w:rsidR="00181EDA" w:rsidRPr="00DF5C23">
        <w:rPr>
          <w:noProof/>
        </w:rPr>
        <w:t xml:space="preserve"> Paris Agreement</w:t>
      </w:r>
      <w:r w:rsidR="0017624F" w:rsidRPr="00DF5C23">
        <w:rPr>
          <w:noProof/>
        </w:rPr>
        <w:t>,</w:t>
      </w:r>
      <w:r w:rsidR="00181EDA" w:rsidRPr="00DF5C23">
        <w:rPr>
          <w:noProof/>
        </w:rPr>
        <w:t xml:space="preserve"> ratified by the Union in 2016</w:t>
      </w:r>
      <w:r w:rsidR="00181EDA" w:rsidRPr="00DF5C23">
        <w:rPr>
          <w:rStyle w:val="FootnoteReference0"/>
          <w:noProof/>
        </w:rPr>
        <w:footnoteReference w:id="34"/>
      </w:r>
      <w:r w:rsidR="00D81745" w:rsidRPr="00DF5C23">
        <w:rPr>
          <w:noProof/>
        </w:rPr>
        <w:t>, Regulation (EU) 2021/1119 of the European Parliament and of the Council, the ‘European Climate Law’</w:t>
      </w:r>
      <w:r w:rsidR="00253723" w:rsidRPr="00DF5C23">
        <w:rPr>
          <w:rStyle w:val="FootnoteReference0"/>
          <w:noProof/>
        </w:rPr>
        <w:footnoteReference w:id="35"/>
      </w:r>
      <w:r w:rsidR="00D81745" w:rsidRPr="00DF5C23">
        <w:rPr>
          <w:noProof/>
        </w:rPr>
        <w:t xml:space="preserve"> establishes a binding Union domestic reduction commitment of net greenhouse gas emissions of at least 55 % by 2030 and enshrines in legislation the target of economy-wide climate neutrality by 2050. </w:t>
      </w:r>
      <w:r w:rsidR="00C05B09" w:rsidRPr="00DF5C23">
        <w:rPr>
          <w:noProof/>
        </w:rPr>
        <w:t>I</w:t>
      </w:r>
      <w:r w:rsidR="00A4330D" w:rsidRPr="00DF5C23">
        <w:rPr>
          <w:noProof/>
        </w:rPr>
        <w:t xml:space="preserve">n 2021 the Commission </w:t>
      </w:r>
      <w:r w:rsidR="00D81745" w:rsidRPr="00DF5C23">
        <w:rPr>
          <w:noProof/>
        </w:rPr>
        <w:t>adopted the Fit for 55 Package</w:t>
      </w:r>
      <w:r w:rsidR="00E86581" w:rsidRPr="00DF5C23">
        <w:rPr>
          <w:rStyle w:val="FootnoteReference0"/>
          <w:noProof/>
        </w:rPr>
        <w:footnoteReference w:id="36"/>
      </w:r>
      <w:r w:rsidR="00D81745" w:rsidRPr="00DF5C23">
        <w:rPr>
          <w:noProof/>
        </w:rPr>
        <w:t xml:space="preserve"> to make the </w:t>
      </w:r>
      <w:r w:rsidR="00253723" w:rsidRPr="00DF5C23">
        <w:rPr>
          <w:noProof/>
        </w:rPr>
        <w:t>Union’s</w:t>
      </w:r>
      <w:r w:rsidR="00D81745" w:rsidRPr="00DF5C23">
        <w:rPr>
          <w:noProof/>
        </w:rPr>
        <w:t xml:space="preserve"> climate</w:t>
      </w:r>
      <w:r w:rsidR="00C05B09" w:rsidRPr="00DF5C23">
        <w:rPr>
          <w:noProof/>
        </w:rPr>
        <w:t xml:space="preserve"> and</w:t>
      </w:r>
      <w:r w:rsidR="00D81745" w:rsidRPr="00DF5C23">
        <w:rPr>
          <w:noProof/>
        </w:rPr>
        <w:t xml:space="preserve"> energy policies fit for achieving these </w:t>
      </w:r>
      <w:r w:rsidR="00C05B09" w:rsidRPr="00DF5C23">
        <w:rPr>
          <w:noProof/>
        </w:rPr>
        <w:t>objectives</w:t>
      </w:r>
      <w:r w:rsidR="00D81745" w:rsidRPr="00DF5C23">
        <w:rPr>
          <w:noProof/>
        </w:rPr>
        <w:t xml:space="preserve">. </w:t>
      </w:r>
      <w:r w:rsidR="000C4BED" w:rsidRPr="00DF5C23">
        <w:rPr>
          <w:noProof/>
        </w:rPr>
        <w:t xml:space="preserve"> To </w:t>
      </w:r>
      <w:r w:rsidR="00340538" w:rsidRPr="00DF5C23">
        <w:rPr>
          <w:noProof/>
        </w:rPr>
        <w:t>do so</w:t>
      </w:r>
      <w:r w:rsidR="00EE362C" w:rsidRPr="00DF5C23">
        <w:rPr>
          <w:noProof/>
        </w:rPr>
        <w:t>,</w:t>
      </w:r>
      <w:r w:rsidR="000C4BED" w:rsidRPr="00DF5C23">
        <w:rPr>
          <w:noProof/>
        </w:rPr>
        <w:t xml:space="preserve"> in line with the energy efficiency first principle enshrined in</w:t>
      </w:r>
      <w:r w:rsidR="00340538" w:rsidRPr="00DF5C23">
        <w:rPr>
          <w:noProof/>
        </w:rPr>
        <w:t xml:space="preserve"> </w:t>
      </w:r>
      <w:r w:rsidR="000C4BED" w:rsidRPr="00DF5C23">
        <w:rPr>
          <w:noProof/>
        </w:rPr>
        <w:t>Directive (EU) 2018/2002 of the European Parliament and of the Council</w:t>
      </w:r>
      <w:r w:rsidR="006F613E" w:rsidRPr="00DF5C23">
        <w:rPr>
          <w:rStyle w:val="FootnoteReference0"/>
          <w:noProof/>
        </w:rPr>
        <w:footnoteReference w:id="37"/>
      </w:r>
      <w:r w:rsidR="000C4BED" w:rsidRPr="00DF5C23">
        <w:rPr>
          <w:noProof/>
        </w:rPr>
        <w:t xml:space="preserve">, </w:t>
      </w:r>
      <w:r w:rsidR="00340538" w:rsidRPr="00DF5C23">
        <w:rPr>
          <w:noProof/>
        </w:rPr>
        <w:t xml:space="preserve">energy efficiency improvements </w:t>
      </w:r>
      <w:r w:rsidR="000C4BED" w:rsidRPr="00DF5C23">
        <w:rPr>
          <w:noProof/>
        </w:rPr>
        <w:t>need to be significantly stepped up, to around 36% in terms of final energy consumption by 2030</w:t>
      </w:r>
      <w:r w:rsidR="000C4BED" w:rsidRPr="00DF5C23">
        <w:rPr>
          <w:rStyle w:val="FootnoteReference0"/>
          <w:noProof/>
        </w:rPr>
        <w:footnoteReference w:id="38"/>
      </w:r>
      <w:r w:rsidR="000C4BED" w:rsidRPr="00DF5C23">
        <w:rPr>
          <w:noProof/>
        </w:rPr>
        <w:t xml:space="preserve">. Product requirements </w:t>
      </w:r>
      <w:r w:rsidR="0079347F" w:rsidRPr="00DF5C23">
        <w:rPr>
          <w:noProof/>
        </w:rPr>
        <w:t xml:space="preserve">established under this Regulation </w:t>
      </w:r>
      <w:r w:rsidR="000C4BED" w:rsidRPr="00DF5C23">
        <w:rPr>
          <w:noProof/>
        </w:rPr>
        <w:t>should play a significant role towards this target</w:t>
      </w:r>
      <w:r w:rsidR="0079347F" w:rsidRPr="00DF5C23">
        <w:rPr>
          <w:noProof/>
        </w:rPr>
        <w:t xml:space="preserve"> by</w:t>
      </w:r>
      <w:r w:rsidR="000C4BED" w:rsidRPr="00DF5C23">
        <w:rPr>
          <w:noProof/>
        </w:rPr>
        <w:t xml:space="preserve"> </w:t>
      </w:r>
      <w:r w:rsidR="0079347F" w:rsidRPr="00DF5C23">
        <w:rPr>
          <w:noProof/>
        </w:rPr>
        <w:t>substantially decreasing</w:t>
      </w:r>
      <w:r w:rsidR="000C4BED" w:rsidRPr="00DF5C23">
        <w:rPr>
          <w:noProof/>
        </w:rPr>
        <w:t xml:space="preserve"> products’ energy footprint. </w:t>
      </w:r>
      <w:r w:rsidR="00853095" w:rsidRPr="00DF5C23">
        <w:rPr>
          <w:noProof/>
        </w:rPr>
        <w:t xml:space="preserve">These energy efficiency requirements will </w:t>
      </w:r>
      <w:r w:rsidR="00F54290" w:rsidRPr="00DF5C23">
        <w:rPr>
          <w:noProof/>
        </w:rPr>
        <w:t xml:space="preserve">also </w:t>
      </w:r>
      <w:r w:rsidR="00853095" w:rsidRPr="00DF5C23">
        <w:rPr>
          <w:noProof/>
        </w:rPr>
        <w:t>reduce consumer vulnerability to energy price increases.</w:t>
      </w:r>
      <w:r w:rsidR="000C4BED" w:rsidRPr="00DF5C23">
        <w:rPr>
          <w:noProof/>
        </w:rPr>
        <w:t xml:space="preserve"> </w:t>
      </w:r>
      <w:r w:rsidR="006F613E" w:rsidRPr="00DF5C23">
        <w:rPr>
          <w:noProof/>
        </w:rPr>
        <w:t>As recognised by the</w:t>
      </w:r>
      <w:r w:rsidR="000C4BED" w:rsidRPr="00DF5C23">
        <w:rPr>
          <w:noProof/>
        </w:rPr>
        <w:t xml:space="preserve"> Paris Agreement </w:t>
      </w:r>
      <w:r w:rsidR="006F613E" w:rsidRPr="00DF5C23">
        <w:rPr>
          <w:noProof/>
        </w:rPr>
        <w:t xml:space="preserve">improving the sustainability </w:t>
      </w:r>
      <w:r w:rsidR="000C4BED" w:rsidRPr="00DF5C23">
        <w:rPr>
          <w:noProof/>
        </w:rPr>
        <w:t xml:space="preserve">of consumption and production </w:t>
      </w:r>
      <w:r w:rsidR="006F613E" w:rsidRPr="00DF5C23">
        <w:rPr>
          <w:noProof/>
        </w:rPr>
        <w:t xml:space="preserve">will also </w:t>
      </w:r>
      <w:r w:rsidR="000C4BED" w:rsidRPr="00DF5C23">
        <w:rPr>
          <w:noProof/>
        </w:rPr>
        <w:t>play an important role in addressing climate change.</w:t>
      </w:r>
    </w:p>
    <w:p w14:paraId="2C3A5589" w14:textId="7055ED8E" w:rsidR="00DE50ED" w:rsidRPr="00DF5C23" w:rsidRDefault="004F5E59" w:rsidP="004F5E59">
      <w:pPr>
        <w:pStyle w:val="ManualConsidrant"/>
        <w:rPr>
          <w:noProof/>
        </w:rPr>
      </w:pPr>
      <w:r w:rsidRPr="004F5E59">
        <w:t>(8)</w:t>
      </w:r>
      <w:r w:rsidRPr="004F5E59">
        <w:tab/>
      </w:r>
      <w:r w:rsidR="00C630DE" w:rsidRPr="00DF5C23">
        <w:rPr>
          <w:noProof/>
        </w:rPr>
        <w:t xml:space="preserve">This Regulation should also contribute to achieving the Union’s wider environmental objectives. </w:t>
      </w:r>
      <w:r w:rsidR="00D81745" w:rsidRPr="00DF5C23">
        <w:rPr>
          <w:noProof/>
        </w:rPr>
        <w:t>The 8th Environmental Action Programme</w:t>
      </w:r>
      <w:r w:rsidR="006F613E" w:rsidRPr="00DF5C23">
        <w:rPr>
          <w:rStyle w:val="FootnoteReference0"/>
          <w:noProof/>
        </w:rPr>
        <w:footnoteReference w:id="39"/>
      </w:r>
      <w:r w:rsidR="00D81745" w:rsidRPr="00DF5C23">
        <w:rPr>
          <w:noProof/>
        </w:rPr>
        <w:t xml:space="preserve"> enshrines in a legal framework the Union’s objective of staying within the planetary boundaries</w:t>
      </w:r>
      <w:r w:rsidR="005A41F0" w:rsidRPr="00DF5C23">
        <w:rPr>
          <w:noProof/>
        </w:rPr>
        <w:t xml:space="preserve"> and</w:t>
      </w:r>
      <w:r w:rsidR="00D81745" w:rsidRPr="00DF5C23">
        <w:rPr>
          <w:noProof/>
        </w:rPr>
        <w:t xml:space="preserve"> identif</w:t>
      </w:r>
      <w:r w:rsidR="005A41F0" w:rsidRPr="00DF5C23">
        <w:rPr>
          <w:noProof/>
        </w:rPr>
        <w:t>ies</w:t>
      </w:r>
      <w:r w:rsidR="00D81745" w:rsidRPr="00DF5C23">
        <w:rPr>
          <w:noProof/>
        </w:rPr>
        <w:t xml:space="preserve"> enabling conditions </w:t>
      </w:r>
      <w:r w:rsidR="00A4330D" w:rsidRPr="00DF5C23">
        <w:rPr>
          <w:noProof/>
        </w:rPr>
        <w:t xml:space="preserve">to achieve </w:t>
      </w:r>
      <w:r w:rsidR="00D81745" w:rsidRPr="00DF5C23">
        <w:rPr>
          <w:noProof/>
        </w:rPr>
        <w:t>priority objectives, which include</w:t>
      </w:r>
      <w:r w:rsidR="00D34C41" w:rsidRPr="00DF5C23">
        <w:rPr>
          <w:noProof/>
        </w:rPr>
        <w:t xml:space="preserve"> the transition </w:t>
      </w:r>
      <w:r w:rsidR="00A4330D" w:rsidRPr="00DF5C23">
        <w:rPr>
          <w:noProof/>
        </w:rPr>
        <w:t xml:space="preserve">to </w:t>
      </w:r>
      <w:r w:rsidR="00D34C41" w:rsidRPr="00DF5C23">
        <w:rPr>
          <w:noProof/>
        </w:rPr>
        <w:t>a non-toxic circular economy</w:t>
      </w:r>
      <w:r w:rsidR="00D81745" w:rsidRPr="00DF5C23">
        <w:rPr>
          <w:noProof/>
        </w:rPr>
        <w:t xml:space="preserve">. </w:t>
      </w:r>
      <w:r w:rsidR="0079347F" w:rsidRPr="00DF5C23">
        <w:rPr>
          <w:noProof/>
        </w:rPr>
        <w:t xml:space="preserve"> </w:t>
      </w:r>
      <w:r w:rsidR="0681B866" w:rsidRPr="00DF5C23">
        <w:rPr>
          <w:noProof/>
        </w:rPr>
        <w:t>The European Green Deal also calls for the Union to better monitor, report, prevent and remedy air, water, soil and consumer products pollution. This means that chemicals, materials and products have to be as safe and sustainable as possible by design and during their life cycle, leading to non-toxic material cycles</w:t>
      </w:r>
      <w:r w:rsidR="00287860" w:rsidRPr="00DF5C23">
        <w:rPr>
          <w:rStyle w:val="FootnoteReference0"/>
          <w:noProof/>
        </w:rPr>
        <w:footnoteReference w:id="40"/>
      </w:r>
      <w:r w:rsidR="0681B866" w:rsidRPr="00DF5C23">
        <w:rPr>
          <w:noProof/>
        </w:rPr>
        <w:t>.</w:t>
      </w:r>
      <w:r w:rsidR="00216D85" w:rsidRPr="00DF5C23">
        <w:rPr>
          <w:noProof/>
        </w:rPr>
        <w:t xml:space="preserve"> In addition</w:t>
      </w:r>
      <w:r w:rsidR="00D81745" w:rsidRPr="00DF5C23">
        <w:rPr>
          <w:noProof/>
        </w:rPr>
        <w:t xml:space="preserve">, both the European Green Deal and the CEAP recognise that the Union internal market provides a critical mass that </w:t>
      </w:r>
      <w:r w:rsidR="0079347F" w:rsidRPr="00DF5C23">
        <w:rPr>
          <w:noProof/>
        </w:rPr>
        <w:t xml:space="preserve">is able to </w:t>
      </w:r>
      <w:r w:rsidR="00D81745" w:rsidRPr="00DF5C23">
        <w:rPr>
          <w:noProof/>
        </w:rPr>
        <w:t xml:space="preserve">influence global standards </w:t>
      </w:r>
      <w:r w:rsidR="0079347F" w:rsidRPr="00DF5C23">
        <w:rPr>
          <w:noProof/>
        </w:rPr>
        <w:t>on</w:t>
      </w:r>
      <w:r w:rsidR="00D81745" w:rsidRPr="00DF5C23">
        <w:rPr>
          <w:noProof/>
        </w:rPr>
        <w:t xml:space="preserve"> product sustainability and product design. This Regulation </w:t>
      </w:r>
      <w:r w:rsidR="00424A6F" w:rsidRPr="00DF5C23">
        <w:rPr>
          <w:noProof/>
        </w:rPr>
        <w:t xml:space="preserve">should </w:t>
      </w:r>
      <w:r w:rsidR="00D81745" w:rsidRPr="00DF5C23">
        <w:rPr>
          <w:noProof/>
        </w:rPr>
        <w:t xml:space="preserve">therefore play a significant role towards achieving </w:t>
      </w:r>
      <w:r w:rsidR="00216D85" w:rsidRPr="00DF5C23">
        <w:rPr>
          <w:noProof/>
        </w:rPr>
        <w:t>several</w:t>
      </w:r>
      <w:r w:rsidR="00D81745" w:rsidRPr="00DF5C23">
        <w:rPr>
          <w:noProof/>
        </w:rPr>
        <w:t xml:space="preserve"> targets established under </w:t>
      </w:r>
      <w:r w:rsidR="00A4330D" w:rsidRPr="00DF5C23">
        <w:rPr>
          <w:noProof/>
        </w:rPr>
        <w:t>the United Nations’ Sustainable Development Goals of the UN’s 2030 Agenda for Sustainable Development ‘Responsible consumption and production’</w:t>
      </w:r>
      <w:r w:rsidR="00F84A92" w:rsidRPr="00DF5C23">
        <w:rPr>
          <w:rStyle w:val="FootnoteReference0"/>
          <w:noProof/>
        </w:rPr>
        <w:footnoteReference w:id="41"/>
      </w:r>
      <w:r w:rsidR="00A4330D" w:rsidRPr="00DF5C23">
        <w:rPr>
          <w:noProof/>
        </w:rPr>
        <w:t>, both in</w:t>
      </w:r>
      <w:r w:rsidR="00426163" w:rsidRPr="00DF5C23">
        <w:rPr>
          <w:noProof/>
        </w:rPr>
        <w:t>side</w:t>
      </w:r>
      <w:r w:rsidR="00A4330D" w:rsidRPr="00DF5C23">
        <w:rPr>
          <w:noProof/>
        </w:rPr>
        <w:t xml:space="preserve"> </w:t>
      </w:r>
      <w:r w:rsidR="00426163" w:rsidRPr="00DF5C23">
        <w:rPr>
          <w:noProof/>
        </w:rPr>
        <w:t xml:space="preserve">and outside </w:t>
      </w:r>
      <w:r w:rsidR="00A4330D" w:rsidRPr="00DF5C23">
        <w:rPr>
          <w:noProof/>
        </w:rPr>
        <w:t>the Union</w:t>
      </w:r>
      <w:r w:rsidR="00426163" w:rsidRPr="00DF5C23">
        <w:rPr>
          <w:noProof/>
        </w:rPr>
        <w:t>.</w:t>
      </w:r>
    </w:p>
    <w:p w14:paraId="2C3A558A" w14:textId="76BDF466" w:rsidR="004313D0" w:rsidRPr="00DF5C23" w:rsidRDefault="004F5E59" w:rsidP="004F5E59">
      <w:pPr>
        <w:pStyle w:val="ManualConsidrant"/>
        <w:rPr>
          <w:noProof/>
        </w:rPr>
      </w:pPr>
      <w:r w:rsidRPr="004F5E59">
        <w:t>(9)</w:t>
      </w:r>
      <w:r w:rsidRPr="004F5E59">
        <w:tab/>
      </w:r>
      <w:r w:rsidR="00692ECD" w:rsidRPr="00DF5C23">
        <w:rPr>
          <w:noProof/>
        </w:rPr>
        <w:t xml:space="preserve">Directive 2009/125/EC establishes a framework for the setting of ecodesign requirements for energy-related products. It has, </w:t>
      </w:r>
      <w:r w:rsidR="00D81745" w:rsidRPr="00DF5C23">
        <w:rPr>
          <w:noProof/>
        </w:rPr>
        <w:t>in combination with Regulation (EU) 2017/1369</w:t>
      </w:r>
      <w:r w:rsidR="000728B3" w:rsidRPr="00DF5C23">
        <w:rPr>
          <w:noProof/>
        </w:rPr>
        <w:t xml:space="preserve"> of the European Parliament and of the Council</w:t>
      </w:r>
      <w:r w:rsidR="000728B3" w:rsidRPr="00DF5C23">
        <w:rPr>
          <w:rStyle w:val="FootnoteReference0"/>
          <w:noProof/>
        </w:rPr>
        <w:footnoteReference w:id="42"/>
      </w:r>
      <w:r w:rsidR="004D3CF8" w:rsidRPr="00DF5C23">
        <w:rPr>
          <w:noProof/>
        </w:rPr>
        <w:t xml:space="preserve">, significantly </w:t>
      </w:r>
      <w:r w:rsidR="00D81745" w:rsidRPr="00DF5C23">
        <w:rPr>
          <w:noProof/>
        </w:rPr>
        <w:t xml:space="preserve">reduced EU primary energy demand </w:t>
      </w:r>
      <w:r w:rsidR="00A4330D" w:rsidRPr="00DF5C23">
        <w:rPr>
          <w:noProof/>
        </w:rPr>
        <w:t xml:space="preserve">for </w:t>
      </w:r>
      <w:r w:rsidR="00D81745" w:rsidRPr="00DF5C23">
        <w:rPr>
          <w:noProof/>
        </w:rPr>
        <w:t xml:space="preserve">products </w:t>
      </w:r>
      <w:r w:rsidR="00D81745" w:rsidRPr="00DF5C23">
        <w:rPr>
          <w:noProof/>
          <w:lang w:val="en-US"/>
        </w:rPr>
        <w:t>and it is estimated th</w:t>
      </w:r>
      <w:r w:rsidR="004D3CF8" w:rsidRPr="00DF5C23">
        <w:rPr>
          <w:noProof/>
          <w:lang w:val="en-US"/>
        </w:rPr>
        <w:t xml:space="preserve">ese </w:t>
      </w:r>
      <w:r w:rsidR="00D81745" w:rsidRPr="00DF5C23">
        <w:rPr>
          <w:noProof/>
          <w:lang w:val="en-US"/>
        </w:rPr>
        <w:t>savings</w:t>
      </w:r>
      <w:r w:rsidR="004D3CF8" w:rsidRPr="00DF5C23">
        <w:rPr>
          <w:noProof/>
          <w:lang w:val="en-US"/>
        </w:rPr>
        <w:t xml:space="preserve"> </w:t>
      </w:r>
      <w:r w:rsidR="00D81745" w:rsidRPr="00DF5C23">
        <w:rPr>
          <w:noProof/>
          <w:lang w:val="en-US"/>
        </w:rPr>
        <w:t xml:space="preserve">will </w:t>
      </w:r>
      <w:r w:rsidR="004D3CF8" w:rsidRPr="00DF5C23">
        <w:rPr>
          <w:noProof/>
          <w:lang w:val="en-US"/>
        </w:rPr>
        <w:t>continue to</w:t>
      </w:r>
      <w:r w:rsidR="00D81745" w:rsidRPr="00DF5C23">
        <w:rPr>
          <w:noProof/>
          <w:lang w:val="en-US"/>
        </w:rPr>
        <w:t xml:space="preserve"> increase.</w:t>
      </w:r>
      <w:r w:rsidR="00D81745" w:rsidRPr="00DF5C23" w:rsidDel="004D3CF8">
        <w:rPr>
          <w:noProof/>
          <w:lang w:val="en-US"/>
        </w:rPr>
        <w:t xml:space="preserve"> </w:t>
      </w:r>
      <w:r w:rsidR="00692ECD" w:rsidRPr="00DF5C23">
        <w:rPr>
          <w:noProof/>
        </w:rPr>
        <w:t>I</w:t>
      </w:r>
      <w:r w:rsidR="004D3CF8" w:rsidRPr="00DF5C23">
        <w:rPr>
          <w:noProof/>
        </w:rPr>
        <w:t xml:space="preserve">mplementing </w:t>
      </w:r>
      <w:r w:rsidR="00D81745" w:rsidRPr="00DF5C23">
        <w:rPr>
          <w:noProof/>
        </w:rPr>
        <w:t>measures</w:t>
      </w:r>
      <w:r w:rsidR="004D3CF8" w:rsidRPr="00DF5C23">
        <w:rPr>
          <w:noProof/>
        </w:rPr>
        <w:t xml:space="preserve"> adopted under</w:t>
      </w:r>
      <w:r w:rsidR="00D81745" w:rsidRPr="00DF5C23">
        <w:rPr>
          <w:noProof/>
        </w:rPr>
        <w:t xml:space="preserve"> </w:t>
      </w:r>
      <w:r w:rsidR="004D3CF8" w:rsidRPr="00DF5C23">
        <w:rPr>
          <w:noProof/>
        </w:rPr>
        <w:t xml:space="preserve">Directive 2009/125/EC </w:t>
      </w:r>
      <w:r w:rsidR="00D81745" w:rsidRPr="00DF5C23">
        <w:rPr>
          <w:noProof/>
        </w:rPr>
        <w:t>have also included requirements on</w:t>
      </w:r>
      <w:r w:rsidR="00692ECD" w:rsidRPr="00DF5C23">
        <w:rPr>
          <w:noProof/>
        </w:rPr>
        <w:t xml:space="preserve"> circularity aspects, such as</w:t>
      </w:r>
      <w:r w:rsidR="00D81745" w:rsidRPr="00DF5C23">
        <w:rPr>
          <w:noProof/>
        </w:rPr>
        <w:t xml:space="preserve"> durability, </w:t>
      </w:r>
      <w:r w:rsidR="00692ECD" w:rsidRPr="00DF5C23">
        <w:rPr>
          <w:noProof/>
        </w:rPr>
        <w:t>reparability and recyclability</w:t>
      </w:r>
      <w:r w:rsidR="00D81745" w:rsidRPr="00DF5C23">
        <w:rPr>
          <w:noProof/>
        </w:rPr>
        <w:t>.</w:t>
      </w:r>
      <w:r w:rsidR="004D3CF8" w:rsidRPr="00DF5C23">
        <w:rPr>
          <w:noProof/>
        </w:rPr>
        <w:t xml:space="preserve"> </w:t>
      </w:r>
      <w:r w:rsidR="00F0242B" w:rsidRPr="00DF5C23">
        <w:rPr>
          <w:noProof/>
        </w:rPr>
        <w:t>At the same time, instruments such as the EU Ecolabel</w:t>
      </w:r>
      <w:r w:rsidR="0079347F" w:rsidRPr="00DF5C23">
        <w:rPr>
          <w:noProof/>
        </w:rPr>
        <w:t>, introduced by Regulation (EC) No 66/2010 of the European Parliament and of the Council</w:t>
      </w:r>
      <w:r w:rsidR="0079347F" w:rsidRPr="00DF5C23">
        <w:rPr>
          <w:rStyle w:val="FootnoteReference0"/>
          <w:noProof/>
        </w:rPr>
        <w:t xml:space="preserve"> </w:t>
      </w:r>
      <w:r w:rsidR="00BA4E97" w:rsidRPr="00DF5C23">
        <w:rPr>
          <w:rStyle w:val="FootnoteReference0"/>
          <w:noProof/>
        </w:rPr>
        <w:footnoteReference w:id="43"/>
      </w:r>
      <w:r w:rsidR="00F0242B" w:rsidRPr="00DF5C23">
        <w:rPr>
          <w:noProof/>
        </w:rPr>
        <w:t> or the EU green public procurement criteria</w:t>
      </w:r>
      <w:r w:rsidR="00F84A92" w:rsidRPr="00DF5C23">
        <w:rPr>
          <w:rStyle w:val="FootnoteReference0"/>
          <w:noProof/>
        </w:rPr>
        <w:footnoteReference w:id="44"/>
      </w:r>
      <w:r w:rsidR="00F0242B" w:rsidRPr="00DF5C23">
        <w:rPr>
          <w:noProof/>
          <w:sz w:val="16"/>
          <w:szCs w:val="16"/>
        </w:rPr>
        <w:t xml:space="preserve"> </w:t>
      </w:r>
      <w:r w:rsidR="00F0242B" w:rsidRPr="00DF5C23">
        <w:rPr>
          <w:noProof/>
        </w:rPr>
        <w:t>are broader in scope but have</w:t>
      </w:r>
      <w:r w:rsidR="0079347F" w:rsidRPr="00DF5C23">
        <w:rPr>
          <w:noProof/>
        </w:rPr>
        <w:t xml:space="preserve"> a</w:t>
      </w:r>
      <w:r w:rsidR="00F0242B" w:rsidRPr="00DF5C23">
        <w:rPr>
          <w:noProof/>
        </w:rPr>
        <w:t xml:space="preserve"> reduced impact due to the limitations of voluntary approaches. </w:t>
      </w:r>
    </w:p>
    <w:p w14:paraId="2C3A558B" w14:textId="6C2C336E" w:rsidR="00F0242B" w:rsidRPr="00DF5C23" w:rsidRDefault="004F5E59" w:rsidP="004F5E59">
      <w:pPr>
        <w:pStyle w:val="ManualConsidrant"/>
        <w:rPr>
          <w:noProof/>
        </w:rPr>
      </w:pPr>
      <w:r w:rsidRPr="004F5E59">
        <w:t>(10)</w:t>
      </w:r>
      <w:r w:rsidRPr="004F5E59">
        <w:tab/>
      </w:r>
      <w:r w:rsidR="004313D0" w:rsidRPr="00DF5C23">
        <w:rPr>
          <w:noProof/>
        </w:rPr>
        <w:t>Directive 2009/125/EC has been generally successful in fostering the energy efficiency and some circularity aspects of energy-related products, and its approach has the potential to progressively address the sustainability of all products. To deliver on Green Deal commitments, this approach should be extended to other product groups and</w:t>
      </w:r>
      <w:r w:rsidR="004313D0" w:rsidRPr="00DF5C23" w:rsidDel="00E76850">
        <w:rPr>
          <w:noProof/>
        </w:rPr>
        <w:t xml:space="preserve"> systematically address </w:t>
      </w:r>
      <w:r w:rsidR="004313D0" w:rsidRPr="00DF5C23">
        <w:rPr>
          <w:noProof/>
        </w:rPr>
        <w:t>key</w:t>
      </w:r>
      <w:r w:rsidR="004313D0" w:rsidRPr="00DF5C23" w:rsidDel="00E76850">
        <w:rPr>
          <w:noProof/>
        </w:rPr>
        <w:t xml:space="preserve"> aspects</w:t>
      </w:r>
      <w:r w:rsidR="004313D0" w:rsidRPr="00DF5C23">
        <w:rPr>
          <w:noProof/>
        </w:rPr>
        <w:t xml:space="preserve"> for increasing the environmental </w:t>
      </w:r>
      <w:r w:rsidR="004313D0" w:rsidRPr="00DF5C23" w:rsidDel="00E76850">
        <w:rPr>
          <w:noProof/>
        </w:rPr>
        <w:t>sustainability</w:t>
      </w:r>
      <w:r w:rsidR="004313D0" w:rsidRPr="00DF5C23">
        <w:rPr>
          <w:noProof/>
        </w:rPr>
        <w:t xml:space="preserve"> of products with binding requirements. </w:t>
      </w:r>
      <w:r w:rsidR="004313D0" w:rsidRPr="00DF5C23">
        <w:rPr>
          <w:noProof/>
          <w:lang w:val="en-IE" w:eastAsia="fr-BE"/>
        </w:rPr>
        <w:t xml:space="preserve">By ensuring that only products that meet those requirements are placed on the Union market, this Regulation should not only improve the free movement of such products by avoiding national disparities, but also reduce the negative life cycle environmental impacts of products for which such requirements are set. </w:t>
      </w:r>
      <w:r w:rsidR="004313D0" w:rsidRPr="00DF5C23">
        <w:rPr>
          <w:noProof/>
        </w:rPr>
        <w:t xml:space="preserve"> </w:t>
      </w:r>
    </w:p>
    <w:p w14:paraId="2C3A558C" w14:textId="23862452" w:rsidR="00287860" w:rsidRPr="00DF5C23" w:rsidRDefault="004F5E59" w:rsidP="004F5E59">
      <w:pPr>
        <w:pStyle w:val="ManualConsidrant"/>
        <w:rPr>
          <w:noProof/>
        </w:rPr>
      </w:pPr>
      <w:r w:rsidRPr="004F5E59">
        <w:t>(11)</w:t>
      </w:r>
      <w:r w:rsidRPr="004F5E59">
        <w:tab/>
      </w:r>
      <w:r w:rsidR="00452605" w:rsidRPr="00DF5C23">
        <w:rPr>
          <w:noProof/>
        </w:rPr>
        <w:t xml:space="preserve">In order to create an effective and future-proof regulatory framework, </w:t>
      </w:r>
      <w:r w:rsidR="00813CBC" w:rsidRPr="00DF5C23">
        <w:rPr>
          <w:noProof/>
        </w:rPr>
        <w:t xml:space="preserve">it is necessary to </w:t>
      </w:r>
      <w:r w:rsidR="00452605" w:rsidRPr="00DF5C23">
        <w:rPr>
          <w:noProof/>
        </w:rPr>
        <w:t xml:space="preserve">allow for the setting of ecodesign </w:t>
      </w:r>
      <w:r w:rsidR="00813CBC" w:rsidRPr="00DF5C23">
        <w:rPr>
          <w:noProof/>
        </w:rPr>
        <w:t>requirements</w:t>
      </w:r>
      <w:r w:rsidR="00452605" w:rsidRPr="00DF5C23">
        <w:rPr>
          <w:noProof/>
        </w:rPr>
        <w:t xml:space="preserve"> on all physical goods placed on the market or put into service, including components and intermediate products. This should allow the Commissions to take into account the broadest range of products possible when prioritising the establishment of ecodesign requirements and thereby maximise their effectiveness. Where needed, specific exemptions should be made when setting ecodesign requirements, for example for products with a particular purpose</w:t>
      </w:r>
      <w:r w:rsidR="00927EA1" w:rsidRPr="00DF5C23">
        <w:rPr>
          <w:noProof/>
        </w:rPr>
        <w:t xml:space="preserve"> that could not be fulfilled when complying with ecodesgin requirements</w:t>
      </w:r>
      <w:r w:rsidR="00452605" w:rsidRPr="00DF5C23">
        <w:rPr>
          <w:noProof/>
        </w:rPr>
        <w:t xml:space="preserve">. </w:t>
      </w:r>
      <w:r w:rsidR="00927EA1" w:rsidRPr="00DF5C23">
        <w:rPr>
          <w:noProof/>
        </w:rPr>
        <w:t xml:space="preserve">In addition, </w:t>
      </w:r>
      <w:r w:rsidR="00452605" w:rsidRPr="00DF5C23">
        <w:rPr>
          <w:noProof/>
        </w:rPr>
        <w:t>exemption</w:t>
      </w:r>
      <w:r w:rsidR="00927EA1" w:rsidRPr="00DF5C23">
        <w:rPr>
          <w:noProof/>
        </w:rPr>
        <w:t>s should be made at the level of the framework for those products for which it is already clear that ecodesign requirements would not be</w:t>
      </w:r>
      <w:r w:rsidR="00452605" w:rsidRPr="00DF5C23">
        <w:rPr>
          <w:noProof/>
        </w:rPr>
        <w:t xml:space="preserve"> </w:t>
      </w:r>
      <w:r w:rsidR="00927EA1" w:rsidRPr="00DF5C23">
        <w:rPr>
          <w:noProof/>
        </w:rPr>
        <w:t xml:space="preserve">suitable or where other frameworks provide for the setting of such requirements. This should be the case for food </w:t>
      </w:r>
      <w:r w:rsidR="00F37D26" w:rsidRPr="00DF5C23">
        <w:rPr>
          <w:noProof/>
        </w:rPr>
        <w:t>and feed</w:t>
      </w:r>
      <w:r w:rsidR="00927EA1" w:rsidRPr="00DF5C23">
        <w:rPr>
          <w:noProof/>
        </w:rPr>
        <w:t xml:space="preserve"> as defined in Regulation (EC) No 178/2002</w:t>
      </w:r>
      <w:r w:rsidR="00F37D26" w:rsidRPr="00DF5C23">
        <w:rPr>
          <w:noProof/>
        </w:rPr>
        <w:t xml:space="preserve"> of the European Parliament and </w:t>
      </w:r>
      <w:r w:rsidR="00927EA1" w:rsidRPr="00DF5C23">
        <w:rPr>
          <w:noProof/>
        </w:rPr>
        <w:t xml:space="preserve">of </w:t>
      </w:r>
      <w:r w:rsidR="00F37D26" w:rsidRPr="00DF5C23">
        <w:rPr>
          <w:noProof/>
        </w:rPr>
        <w:t>the Council</w:t>
      </w:r>
      <w:r w:rsidR="00F37D26" w:rsidRPr="00DF5C23">
        <w:rPr>
          <w:rStyle w:val="FootnoteReference0"/>
          <w:noProof/>
        </w:rPr>
        <w:footnoteReference w:id="45"/>
      </w:r>
      <w:r w:rsidR="00927EA1" w:rsidRPr="00DF5C23">
        <w:rPr>
          <w:noProof/>
        </w:rPr>
        <w:t>, medicinal products for human use as defined in Directive 2001/83/EC</w:t>
      </w:r>
      <w:r w:rsidR="00F37D26" w:rsidRPr="00DF5C23">
        <w:rPr>
          <w:noProof/>
        </w:rPr>
        <w:t xml:space="preserve"> of the European Parliament and of the Council</w:t>
      </w:r>
      <w:r w:rsidR="00F37D26" w:rsidRPr="00DF5C23">
        <w:rPr>
          <w:rStyle w:val="FootnoteReference0"/>
          <w:noProof/>
        </w:rPr>
        <w:footnoteReference w:id="46"/>
      </w:r>
      <w:r w:rsidR="00927EA1" w:rsidRPr="00DF5C23">
        <w:rPr>
          <w:noProof/>
        </w:rPr>
        <w:t>, veterinary medicinal products as defined in Regulation (EU) 2019/6</w:t>
      </w:r>
      <w:r w:rsidR="00F37D26" w:rsidRPr="00DF5C23">
        <w:rPr>
          <w:noProof/>
        </w:rPr>
        <w:t xml:space="preserve"> of the European Parliament and of the Council</w:t>
      </w:r>
      <w:r w:rsidR="00F37D26" w:rsidRPr="00DF5C23">
        <w:rPr>
          <w:rStyle w:val="FootnoteReference0"/>
          <w:noProof/>
        </w:rPr>
        <w:footnoteReference w:id="47"/>
      </w:r>
      <w:r w:rsidR="00927EA1" w:rsidRPr="00DF5C23">
        <w:rPr>
          <w:noProof/>
        </w:rPr>
        <w:t xml:space="preserve">, living plants, animals and micro-organisms, products of human origin, and products of plants and animals relating directly to their future reproduction. </w:t>
      </w:r>
    </w:p>
    <w:p w14:paraId="2C3A558D" w14:textId="702A5830" w:rsidR="00792673" w:rsidRPr="00DF5C23" w:rsidRDefault="004F5E59" w:rsidP="004F5E59">
      <w:pPr>
        <w:pStyle w:val="ManualConsidrant"/>
        <w:rPr>
          <w:noProof/>
        </w:rPr>
      </w:pPr>
      <w:r w:rsidRPr="004F5E59">
        <w:t>(12)</w:t>
      </w:r>
      <w:r w:rsidRPr="004F5E59">
        <w:tab/>
      </w:r>
      <w:r w:rsidR="00BF1E38" w:rsidRPr="00DF5C23">
        <w:rPr>
          <w:noProof/>
        </w:rPr>
        <w:t>The proposal for a Directive of the European Parliament and of the Council on the energy performance of buildings</w:t>
      </w:r>
      <w:r w:rsidR="00DA1886" w:rsidRPr="00DF5C23">
        <w:rPr>
          <w:noProof/>
        </w:rPr>
        <w:t xml:space="preserve"> (recast)</w:t>
      </w:r>
      <w:r w:rsidR="00BF1E38" w:rsidRPr="00DF5C23">
        <w:rPr>
          <w:rStyle w:val="FootnoteReference0"/>
          <w:noProof/>
        </w:rPr>
        <w:footnoteReference w:id="48"/>
      </w:r>
      <w:r w:rsidR="00BF1E38" w:rsidRPr="00DF5C23">
        <w:rPr>
          <w:noProof/>
        </w:rPr>
        <w:t xml:space="preserve"> requires Member States to set minimum energy performance requirements for building elements that form part of the building envelope and system requirements in respect to overall energy performance, the proper installation and the appropriate dimensioning, adjustment and control of technical building systems installed in new or existing buildings. It is consistent with the objectives of this Regulation that these minimum energy performance requirements may in certain circumstances limit the installation of energy-related products which comply with this Regulation and its delegated acts, provided that such requirements do not constitute an unjustifiable market barrier</w:t>
      </w:r>
      <w:r w:rsidR="00252E36" w:rsidRPr="00DF5C23">
        <w:rPr>
          <w:noProof/>
        </w:rPr>
        <w:t>.</w:t>
      </w:r>
    </w:p>
    <w:p w14:paraId="2C3A558E" w14:textId="5EA1619B" w:rsidR="00A4330D" w:rsidRPr="00DF5C23" w:rsidRDefault="004F5E59" w:rsidP="004F5E59">
      <w:pPr>
        <w:pStyle w:val="ManualConsidrant"/>
        <w:rPr>
          <w:noProof/>
        </w:rPr>
      </w:pPr>
      <w:r w:rsidRPr="004F5E59">
        <w:t>(13)</w:t>
      </w:r>
      <w:r w:rsidRPr="004F5E59">
        <w:tab/>
      </w:r>
      <w:r w:rsidR="23DF1179">
        <w:rPr>
          <w:noProof/>
        </w:rPr>
        <w:t xml:space="preserve">In order to improve the environmental sustainability of products and to ensure the free movement of products in the internal market, the power to adopt acts in accordance with Article 290 TFEU should be delegated to the Commission to supplement this Regulation by setting out </w:t>
      </w:r>
      <w:r w:rsidR="23DF1179" w:rsidRPr="23DF1179">
        <w:rPr>
          <w:noProof/>
          <w:lang w:val="en-IE" w:eastAsia="fr-BE"/>
        </w:rPr>
        <w:t>ecodesign</w:t>
      </w:r>
      <w:r w:rsidR="23DF1179">
        <w:rPr>
          <w:noProof/>
        </w:rPr>
        <w:t xml:space="preserve"> requirements. Those </w:t>
      </w:r>
      <w:r w:rsidR="23DF1179" w:rsidRPr="23DF1179">
        <w:rPr>
          <w:noProof/>
          <w:lang w:val="en-IE" w:eastAsia="fr-BE"/>
        </w:rPr>
        <w:t xml:space="preserve">ecodesign </w:t>
      </w:r>
      <w:r w:rsidR="23DF1179">
        <w:rPr>
          <w:noProof/>
        </w:rPr>
        <w:t xml:space="preserve">requirements should in principle apply to specific product groups, such as washing machines or washing machines and washer dryers. In order to maximise the effectiveness of ecodesign requirements and to efficiently improve environmental sustainability of products, it should also be possible to set out one or more horizontal ecodesign requirements for a wider range of products groups, such as electronic appliances or textiles. Horizontal ecodesign requirements should be established where the technical similarities of product groups allow their environmental sustainability to be improved based on the same requirements. </w:t>
      </w:r>
    </w:p>
    <w:p w14:paraId="2C3A558F" w14:textId="27E03015" w:rsidR="00A727C7" w:rsidRPr="00DF5C23" w:rsidRDefault="004F5E59" w:rsidP="004F5E59">
      <w:pPr>
        <w:pStyle w:val="ManualConsidrant"/>
        <w:rPr>
          <w:noProof/>
        </w:rPr>
      </w:pPr>
      <w:r w:rsidRPr="004F5E59">
        <w:t>(14)</w:t>
      </w:r>
      <w:r w:rsidRPr="004F5E59">
        <w:tab/>
      </w:r>
      <w:r w:rsidR="23DF1179" w:rsidRPr="23DF1179">
        <w:rPr>
          <w:noProof/>
          <w:lang w:val="en-IE" w:eastAsia="fr-BE"/>
        </w:rPr>
        <w:t xml:space="preserve">In order to allow the Commission to set requirements as appropriate to the product groups covered, ecodesign </w:t>
      </w:r>
      <w:r w:rsidR="23DF1179">
        <w:rPr>
          <w:noProof/>
        </w:rPr>
        <w:t xml:space="preserve">requirements should include performance and information requirements. Those requirements should </w:t>
      </w:r>
      <w:r w:rsidR="23DF1179" w:rsidRPr="23DF1179">
        <w:rPr>
          <w:rFonts w:eastAsia="Times New Roman"/>
          <w:noProof/>
          <w:lang w:val="en-IE"/>
        </w:rPr>
        <w:t>be used to improve product aspects relevant for environmental sustainability</w:t>
      </w:r>
      <w:r w:rsidR="23DF1179">
        <w:rPr>
          <w:noProof/>
        </w:rPr>
        <w:t>, such as energy efficiency, durability, reparability and carbon and environmental footprints. Ecodesign requirements should be transparent, objective, proportionate and in compliance with international trade rules.</w:t>
      </w:r>
    </w:p>
    <w:p w14:paraId="2C3A5590" w14:textId="2DBF8864" w:rsidR="00344669" w:rsidRPr="008C1FDF" w:rsidRDefault="004F5E59" w:rsidP="004F5E59">
      <w:pPr>
        <w:pStyle w:val="ManualConsidrant"/>
        <w:rPr>
          <w:noProof/>
        </w:rPr>
      </w:pPr>
      <w:r w:rsidRPr="004F5E59">
        <w:t>(15)</w:t>
      </w:r>
      <w:r w:rsidRPr="004F5E59">
        <w:tab/>
      </w:r>
      <w:r w:rsidR="001A6523" w:rsidRPr="001A6523">
        <w:rPr>
          <w:noProof/>
        </w:rPr>
        <w:t>Once a delegated act setting ecodesign requirements is adopted by the Commission for a given product group, Member States should, in order to ensure the functioning of the internal market, no longer be allowed to set national performance requirements based on product parameters covered by such performance requirements laid down in that delegated act, and no longer be allowed to set national information requirements based on product parameters covered by such information requirements laid down in that delegated act. In order to ensure the functioning of the internal market, the Commission should be empowered to establish that no ecodesign requirements in the form of performance requirements and/or in the form of information requirements are necessary in relation to a specific product parameter.</w:t>
      </w:r>
    </w:p>
    <w:p w14:paraId="2C3A5591" w14:textId="6CAC6C31" w:rsidR="00344669" w:rsidRPr="00DF5C23" w:rsidRDefault="004F5E59" w:rsidP="004F5E59">
      <w:pPr>
        <w:pStyle w:val="ManualConsidrant"/>
        <w:rPr>
          <w:noProof/>
        </w:rPr>
      </w:pPr>
      <w:r w:rsidRPr="004F5E59">
        <w:t>(16)</w:t>
      </w:r>
      <w:r w:rsidRPr="004F5E59">
        <w:tab/>
      </w:r>
      <w:r w:rsidR="00344669" w:rsidRPr="00DF5C23">
        <w:rPr>
          <w:noProof/>
          <w:lang w:val="en-IE" w:eastAsia="fr-BE"/>
        </w:rPr>
        <w:t>When establishing ecodesign requirements the Commission should take into account the nature and purpose of the products concerned as well as the characteristics of the relevant markets. For example, defence equipment has to be able to operate under specific and sometimes harsh conditions, which needs to be considered when setting ecodesign requirements. Certain information on defence equipment should not be disclosed and should be protected. Therefore, for military or sensitive equipment ecodesign requirements should take into account the security needs and the characteristics of the defence market, as defined in Directive 2009/81/EC of the European Parliament and of the Council</w:t>
      </w:r>
      <w:r w:rsidR="00344669" w:rsidRPr="00DF5C23">
        <w:rPr>
          <w:rStyle w:val="FootnoteReference0"/>
          <w:noProof/>
        </w:rPr>
        <w:footnoteReference w:id="49"/>
      </w:r>
      <w:r w:rsidR="00344669" w:rsidRPr="00DF5C23">
        <w:rPr>
          <w:noProof/>
          <w:lang w:val="en-IE" w:eastAsia="fr-BE"/>
        </w:rPr>
        <w:t>. Similarly</w:t>
      </w:r>
      <w:r w:rsidR="00344669" w:rsidRPr="23DF1179">
        <w:rPr>
          <w:rFonts w:eastAsiaTheme="minorEastAsia"/>
          <w:noProof/>
          <w:lang w:val="en-IE"/>
        </w:rPr>
        <w:t xml:space="preserve">, the space industry is strategic for Europe and for its technological non-dependence. As space technologies operate in extreme conditions, any ecodesign requirements for space products should balance sustainability considerations with resilience and expected performance. </w:t>
      </w:r>
      <w:r w:rsidR="00344669" w:rsidRPr="00DF5C23">
        <w:rPr>
          <w:noProof/>
          <w:lang w:val="en-IE" w:eastAsia="fr-BE"/>
        </w:rPr>
        <w:t xml:space="preserve">Further, for medical devices as defined in Article 2(1) of </w:t>
      </w:r>
      <w:r w:rsidR="00344669" w:rsidRPr="00DF5C23">
        <w:rPr>
          <w:noProof/>
        </w:rPr>
        <w:t>Regulation (EU) 2017/745 on medical devices</w:t>
      </w:r>
      <w:r w:rsidR="00344669" w:rsidRPr="00DF5C23">
        <w:rPr>
          <w:rStyle w:val="FootnoteReference0"/>
          <w:noProof/>
        </w:rPr>
        <w:footnoteReference w:id="50"/>
      </w:r>
      <w:r w:rsidR="00344669" w:rsidRPr="00DF5C23">
        <w:rPr>
          <w:noProof/>
        </w:rPr>
        <w:t xml:space="preserve"> </w:t>
      </w:r>
      <w:r w:rsidR="00344669" w:rsidRPr="00DF5C23">
        <w:rPr>
          <w:noProof/>
          <w:lang w:val="en-IE" w:eastAsia="fr-BE"/>
        </w:rPr>
        <w:t xml:space="preserve">and </w:t>
      </w:r>
      <w:r w:rsidR="00344669" w:rsidRPr="23DF1179">
        <w:rPr>
          <w:i/>
          <w:iCs/>
          <w:noProof/>
          <w:lang w:val="en-IE" w:eastAsia="fr-BE"/>
        </w:rPr>
        <w:t>in vitro</w:t>
      </w:r>
      <w:r w:rsidR="00344669" w:rsidRPr="00DF5C23">
        <w:rPr>
          <w:noProof/>
          <w:lang w:val="en-IE" w:eastAsia="fr-BE"/>
        </w:rPr>
        <w:t xml:space="preserve"> diagnostic medical devices as defined in Article 2(2) of </w:t>
      </w:r>
      <w:r w:rsidR="00344669" w:rsidRPr="00DF5C23">
        <w:rPr>
          <w:noProof/>
        </w:rPr>
        <w:t xml:space="preserve">Regulation (EU) 2017/746 on </w:t>
      </w:r>
      <w:r w:rsidR="00344669" w:rsidRPr="23DF1179">
        <w:rPr>
          <w:i/>
          <w:iCs/>
          <w:noProof/>
          <w:lang w:val="en-IE" w:eastAsia="fr-BE"/>
        </w:rPr>
        <w:t>in vitro</w:t>
      </w:r>
      <w:r w:rsidR="00344669" w:rsidRPr="00DF5C23">
        <w:rPr>
          <w:noProof/>
          <w:lang w:val="en-IE" w:eastAsia="fr-BE"/>
        </w:rPr>
        <w:t xml:space="preserve"> diagnostic medical devices</w:t>
      </w:r>
      <w:r w:rsidR="00F84A92" w:rsidRPr="00DF5C23">
        <w:rPr>
          <w:rStyle w:val="FootnoteReference0"/>
          <w:noProof/>
          <w:lang w:val="en-IE" w:eastAsia="fr-BE"/>
        </w:rPr>
        <w:footnoteReference w:id="51"/>
      </w:r>
      <w:r w:rsidR="00344669" w:rsidRPr="00DF5C23">
        <w:rPr>
          <w:noProof/>
          <w:lang w:val="en-IE" w:eastAsia="fr-BE"/>
        </w:rPr>
        <w:t>, the Commission should take into account of the need to not negatively affect health and safety</w:t>
      </w:r>
      <w:r w:rsidR="00252E36" w:rsidRPr="00DF5C23">
        <w:rPr>
          <w:noProof/>
          <w:lang w:val="en-IE" w:eastAsia="fr-BE"/>
        </w:rPr>
        <w:t xml:space="preserve"> of patients and users</w:t>
      </w:r>
      <w:r w:rsidR="00344669" w:rsidRPr="00DF5C23">
        <w:rPr>
          <w:noProof/>
          <w:lang w:val="en-IE" w:eastAsia="fr-BE"/>
        </w:rPr>
        <w:t xml:space="preserve">. </w:t>
      </w:r>
      <w:r w:rsidR="00344669" w:rsidRPr="23DF1179">
        <w:rPr>
          <w:rFonts w:eastAsiaTheme="minorEastAsia"/>
          <w:noProof/>
          <w:lang w:val="en-IE"/>
        </w:rPr>
        <w:t xml:space="preserve"> </w:t>
      </w:r>
    </w:p>
    <w:p w14:paraId="2C3A5592" w14:textId="30815526" w:rsidR="00344669" w:rsidRPr="00DF5C23" w:rsidRDefault="004F5E59" w:rsidP="004F5E59">
      <w:pPr>
        <w:pStyle w:val="ManualConsidrant"/>
        <w:rPr>
          <w:noProof/>
        </w:rPr>
      </w:pPr>
      <w:r w:rsidRPr="004F5E59">
        <w:t>(17)</w:t>
      </w:r>
      <w:r w:rsidRPr="004F5E59">
        <w:tab/>
      </w:r>
      <w:r w:rsidR="00344669" w:rsidRPr="00DF5C23">
        <w:rPr>
          <w:noProof/>
        </w:rPr>
        <w:t>To avoid duplication of efforts and regulatory burden, consistency should be ensured between this Regulation and requirement</w:t>
      </w:r>
      <w:r w:rsidR="00CD410F" w:rsidRPr="00DF5C23">
        <w:rPr>
          <w:noProof/>
        </w:rPr>
        <w:t>s</w:t>
      </w:r>
      <w:r w:rsidR="00344669" w:rsidRPr="00DF5C23">
        <w:rPr>
          <w:noProof/>
        </w:rPr>
        <w:t xml:space="preserve"> set in or pursuant </w:t>
      </w:r>
      <w:r w:rsidR="008F2CF8" w:rsidRPr="00DF5C23">
        <w:rPr>
          <w:noProof/>
        </w:rPr>
        <w:t xml:space="preserve">to </w:t>
      </w:r>
      <w:r w:rsidR="00344669" w:rsidRPr="00DF5C23">
        <w:rPr>
          <w:noProof/>
        </w:rPr>
        <w:t>other Union legislation, especially products, chemicals and waste legislation</w:t>
      </w:r>
      <w:r w:rsidR="00344669" w:rsidRPr="00DF5C23">
        <w:rPr>
          <w:rStyle w:val="FootnoteReference0"/>
          <w:noProof/>
        </w:rPr>
        <w:footnoteReference w:id="52"/>
      </w:r>
      <w:r w:rsidR="00344669" w:rsidRPr="00DF5C23">
        <w:rPr>
          <w:noProof/>
        </w:rPr>
        <w:t>. However, the existence of empowerments under other Union legislation to set requirements with the same or similar effects as requirements under this Regulation does not limit the empowerments included in this Regulation, unless specified in this Regulation.</w:t>
      </w:r>
    </w:p>
    <w:p w14:paraId="2C3A5593" w14:textId="3A3C25C2" w:rsidR="00CC67C8" w:rsidRPr="00DF5C23" w:rsidRDefault="004F5E59" w:rsidP="004F5E59">
      <w:pPr>
        <w:pStyle w:val="ManualConsidrant"/>
        <w:rPr>
          <w:noProof/>
        </w:rPr>
      </w:pPr>
      <w:r w:rsidRPr="004F5E59">
        <w:t>(18)</w:t>
      </w:r>
      <w:r w:rsidRPr="004F5E59">
        <w:tab/>
      </w:r>
      <w:r w:rsidR="00344669" w:rsidRPr="00DF5C23">
        <w:rPr>
          <w:noProof/>
        </w:rPr>
        <w:t xml:space="preserve">Delegated acts including ecodesign requirements should, as was the case under Directive 2009/125/EC, undergo a dedicated impact assessment and stakeholder consultation, and should be drawn up in line with the Commission’s Better Regulation guidelines, and include an assessment of the international dimension and impacts on third countries. When doing so, the Commission should take due consideration of all aspects of the life cycle of the product and base its </w:t>
      </w:r>
      <w:r w:rsidR="00344669" w:rsidRPr="00DF5C23">
        <w:rPr>
          <w:noProof/>
          <w:lang w:val="en-IE" w:eastAsia="fr-BE"/>
        </w:rPr>
        <w:t>impact assessment on best available evidence.</w:t>
      </w:r>
      <w:r w:rsidR="00CD410F" w:rsidRPr="00DF5C23">
        <w:rPr>
          <w:noProof/>
          <w:lang w:val="en-IE" w:eastAsia="fr-BE"/>
        </w:rPr>
        <w:t xml:space="preserve"> </w:t>
      </w:r>
      <w:r w:rsidR="00A03FCE" w:rsidRPr="00DF5C23">
        <w:rPr>
          <w:noProof/>
          <w:lang w:val="en-IE" w:eastAsia="fr-BE"/>
        </w:rPr>
        <w:t>When preparing ecodesign requirements the Commission should</w:t>
      </w:r>
      <w:r w:rsidR="008117C8">
        <w:rPr>
          <w:noProof/>
          <w:lang w:val="en-IE" w:eastAsia="fr-BE"/>
        </w:rPr>
        <w:t xml:space="preserve"> use a scientific approach and</w:t>
      </w:r>
      <w:r w:rsidR="00A03FCE" w:rsidRPr="00DF5C23">
        <w:rPr>
          <w:noProof/>
          <w:lang w:val="en-IE" w:eastAsia="fr-BE"/>
        </w:rPr>
        <w:t xml:space="preserve"> also take into consideration relevant technical information in particular coming from Regulation (EC) No 66/2010 of the European Parliament and of the Council</w:t>
      </w:r>
      <w:r w:rsidR="00F84A92" w:rsidRPr="00DF5C23">
        <w:rPr>
          <w:rStyle w:val="FootnoteReference0"/>
          <w:noProof/>
          <w:lang w:val="en-IE" w:eastAsia="fr-BE"/>
        </w:rPr>
        <w:footnoteReference w:id="53"/>
      </w:r>
      <w:r w:rsidR="00A03FCE" w:rsidRPr="00DF5C23">
        <w:rPr>
          <w:noProof/>
          <w:lang w:val="en-IE" w:eastAsia="fr-BE"/>
        </w:rPr>
        <w:t>, Directive 2010/75/EU of the European Parliament and of the Council</w:t>
      </w:r>
      <w:r w:rsidR="00F84A92" w:rsidRPr="00DF5C23">
        <w:rPr>
          <w:rStyle w:val="FootnoteReference0"/>
          <w:noProof/>
          <w:lang w:val="en-IE" w:eastAsia="fr-BE"/>
        </w:rPr>
        <w:footnoteReference w:id="54"/>
      </w:r>
      <w:r w:rsidR="00A03FCE" w:rsidRPr="00DF5C23">
        <w:rPr>
          <w:noProof/>
          <w:lang w:val="en-IE" w:eastAsia="fr-BE"/>
        </w:rPr>
        <w:t>, technical screening criteria adopted pursuant to Regulation (EU) 2020/852 of the European Parliament and of the Council</w:t>
      </w:r>
      <w:r w:rsidR="00F84A92" w:rsidRPr="00DF5C23">
        <w:rPr>
          <w:rStyle w:val="FootnoteReference0"/>
          <w:noProof/>
          <w:lang w:val="en-IE" w:eastAsia="fr-BE"/>
        </w:rPr>
        <w:footnoteReference w:id="55"/>
      </w:r>
      <w:r w:rsidR="00A03FCE" w:rsidRPr="00DF5C23">
        <w:rPr>
          <w:noProof/>
          <w:lang w:val="en-IE" w:eastAsia="fr-BE"/>
        </w:rPr>
        <w:t xml:space="preserve"> and green public procurement criteria</w:t>
      </w:r>
      <w:r w:rsidR="00F84A92" w:rsidRPr="00DF5C23">
        <w:rPr>
          <w:rStyle w:val="FootnoteReference0"/>
          <w:noProof/>
          <w:lang w:val="en-IE" w:eastAsia="fr-BE"/>
        </w:rPr>
        <w:footnoteReference w:id="56"/>
      </w:r>
      <w:r w:rsidR="00A03FCE" w:rsidRPr="00DF5C23">
        <w:rPr>
          <w:noProof/>
          <w:lang w:val="en-IE"/>
        </w:rPr>
        <w:t xml:space="preserve">. </w:t>
      </w:r>
    </w:p>
    <w:p w14:paraId="2C3A5594" w14:textId="175886E8" w:rsidR="00D81745" w:rsidRPr="00DF5C23" w:rsidRDefault="004F5E59" w:rsidP="004F5E59">
      <w:pPr>
        <w:pStyle w:val="ManualConsidrant"/>
        <w:rPr>
          <w:noProof/>
        </w:rPr>
      </w:pPr>
      <w:r w:rsidRPr="004F5E59">
        <w:t>(19)</w:t>
      </w:r>
      <w:r w:rsidRPr="004F5E59">
        <w:tab/>
      </w:r>
      <w:r w:rsidR="00CC67C8" w:rsidRPr="00DF5C23">
        <w:rPr>
          <w:noProof/>
        </w:rPr>
        <w:t xml:space="preserve">In order to take into account the diversity of products, </w:t>
      </w:r>
      <w:r w:rsidR="00C23A02" w:rsidRPr="00DF5C23">
        <w:rPr>
          <w:noProof/>
        </w:rPr>
        <w:t xml:space="preserve">the Commission should select </w:t>
      </w:r>
      <w:r w:rsidR="00CC67C8" w:rsidRPr="00DF5C23">
        <w:rPr>
          <w:noProof/>
        </w:rPr>
        <w:t xml:space="preserve">the methods to assess </w:t>
      </w:r>
      <w:r w:rsidR="003A1B91" w:rsidRPr="00DF5C23">
        <w:rPr>
          <w:noProof/>
        </w:rPr>
        <w:t>the setting of the ecodesig</w:t>
      </w:r>
      <w:r w:rsidR="00983F51" w:rsidRPr="00DF5C23">
        <w:rPr>
          <w:noProof/>
        </w:rPr>
        <w:t>n</w:t>
      </w:r>
      <w:r w:rsidR="003A1B91" w:rsidRPr="00DF5C23">
        <w:rPr>
          <w:noProof/>
        </w:rPr>
        <w:t xml:space="preserve"> requirements and, as appropriate, </w:t>
      </w:r>
      <w:r w:rsidR="00C23A02" w:rsidRPr="00DF5C23">
        <w:rPr>
          <w:noProof/>
        </w:rPr>
        <w:t>develop them further</w:t>
      </w:r>
      <w:r w:rsidR="003A1B91" w:rsidRPr="00DF5C23">
        <w:rPr>
          <w:noProof/>
        </w:rPr>
        <w:t xml:space="preserve"> </w:t>
      </w:r>
      <w:r w:rsidR="00CC67C8" w:rsidRPr="00DF5C23">
        <w:rPr>
          <w:noProof/>
        </w:rPr>
        <w:t>based on the nature of the product</w:t>
      </w:r>
      <w:r w:rsidR="003A1B91" w:rsidRPr="00DF5C23">
        <w:rPr>
          <w:noProof/>
        </w:rPr>
        <w:t>,</w:t>
      </w:r>
      <w:r w:rsidR="00CC67C8" w:rsidRPr="00DF5C23">
        <w:rPr>
          <w:noProof/>
        </w:rPr>
        <w:t xml:space="preserve"> its most relevant aspects</w:t>
      </w:r>
      <w:r w:rsidR="003A1B91" w:rsidRPr="00DF5C23">
        <w:rPr>
          <w:noProof/>
        </w:rPr>
        <w:t xml:space="preserve"> and its impacts over its life cycle</w:t>
      </w:r>
      <w:r w:rsidR="00CC67C8" w:rsidRPr="00DF5C23">
        <w:rPr>
          <w:noProof/>
        </w:rPr>
        <w:t xml:space="preserve">. </w:t>
      </w:r>
      <w:r w:rsidR="00C23A02" w:rsidRPr="00DF5C23">
        <w:rPr>
          <w:noProof/>
        </w:rPr>
        <w:t>In doing so, the Commission</w:t>
      </w:r>
      <w:r w:rsidR="00CC67C8" w:rsidRPr="00DF5C23">
        <w:rPr>
          <w:noProof/>
        </w:rPr>
        <w:t xml:space="preserve"> should take account of </w:t>
      </w:r>
      <w:r w:rsidR="00C23A02" w:rsidRPr="00DF5C23">
        <w:rPr>
          <w:noProof/>
        </w:rPr>
        <w:t>its</w:t>
      </w:r>
      <w:r w:rsidR="00CC67C8" w:rsidRPr="00DF5C23">
        <w:rPr>
          <w:noProof/>
        </w:rPr>
        <w:t xml:space="preserve"> experience </w:t>
      </w:r>
      <w:r w:rsidR="00C23A02" w:rsidRPr="00DF5C23">
        <w:rPr>
          <w:noProof/>
        </w:rPr>
        <w:t xml:space="preserve">in assessing the setting of requirements </w:t>
      </w:r>
      <w:r w:rsidR="00CC67C8" w:rsidRPr="00DF5C23">
        <w:rPr>
          <w:noProof/>
        </w:rPr>
        <w:t>under Directive 2009/125</w:t>
      </w:r>
      <w:r w:rsidR="009F5F01" w:rsidRPr="00DF5C23">
        <w:rPr>
          <w:noProof/>
        </w:rPr>
        <w:t>/EC</w:t>
      </w:r>
      <w:r w:rsidR="00CC67C8" w:rsidRPr="00DF5C23">
        <w:rPr>
          <w:noProof/>
        </w:rPr>
        <w:t xml:space="preserve"> and the continuing efforts to develop and improve science-based assessment tools, such as the update of the</w:t>
      </w:r>
      <w:r w:rsidR="009635CB" w:rsidRPr="00DF5C23">
        <w:rPr>
          <w:noProof/>
        </w:rPr>
        <w:t xml:space="preserve"> </w:t>
      </w:r>
      <w:r w:rsidR="003A1B91" w:rsidRPr="00DF5C23">
        <w:rPr>
          <w:noProof/>
        </w:rPr>
        <w:t>m</w:t>
      </w:r>
      <w:r w:rsidR="009635CB" w:rsidRPr="00DF5C23">
        <w:rPr>
          <w:noProof/>
        </w:rPr>
        <w:t>ethodology for ecodesign of energy-related products</w:t>
      </w:r>
      <w:r w:rsidR="006B2C4F" w:rsidRPr="00DF5C23">
        <w:rPr>
          <w:noProof/>
        </w:rPr>
        <w:t>,</w:t>
      </w:r>
      <w:r w:rsidR="009635CB" w:rsidRPr="00DF5C23">
        <w:rPr>
          <w:noProof/>
        </w:rPr>
        <w:t xml:space="preserve"> </w:t>
      </w:r>
      <w:r w:rsidR="00CC67C8" w:rsidRPr="00DF5C23">
        <w:rPr>
          <w:noProof/>
        </w:rPr>
        <w:t>and</w:t>
      </w:r>
      <w:r w:rsidR="006B2C4F" w:rsidRPr="00DF5C23">
        <w:rPr>
          <w:noProof/>
        </w:rPr>
        <w:t xml:space="preserve"> </w:t>
      </w:r>
      <w:r w:rsidR="006B2C4F" w:rsidRPr="00DF5C23">
        <w:rPr>
          <w:noProof/>
          <w:lang w:val="en-IE" w:eastAsia="fr-BE"/>
        </w:rPr>
        <w:t xml:space="preserve">the </w:t>
      </w:r>
      <w:r w:rsidR="006B2C4F" w:rsidRPr="008C1FDF">
        <w:rPr>
          <w:noProof/>
          <w:lang w:val="en-IE" w:eastAsia="fr-BE"/>
        </w:rPr>
        <w:t>Product Environmental Footprint method set out in</w:t>
      </w:r>
      <w:r w:rsidR="009635CB" w:rsidRPr="008C1FDF">
        <w:rPr>
          <w:noProof/>
        </w:rPr>
        <w:t xml:space="preserve"> </w:t>
      </w:r>
      <w:r w:rsidR="00BD0D3A" w:rsidRPr="005D0835">
        <w:rPr>
          <w:noProof/>
        </w:rPr>
        <w:t xml:space="preserve">Commission </w:t>
      </w:r>
      <w:r w:rsidR="009635CB" w:rsidRPr="005D0835">
        <w:rPr>
          <w:noProof/>
        </w:rPr>
        <w:t>Recommendation (EU) 2021</w:t>
      </w:r>
      <w:r w:rsidR="009635CB" w:rsidRPr="005712E5">
        <w:rPr>
          <w:noProof/>
        </w:rPr>
        <w:t>/2279</w:t>
      </w:r>
      <w:r w:rsidR="00BA4E97" w:rsidRPr="008C1FDF">
        <w:rPr>
          <w:rStyle w:val="FootnoteReference0"/>
          <w:noProof/>
        </w:rPr>
        <w:footnoteReference w:id="57"/>
      </w:r>
      <w:r w:rsidR="00EE4AD3" w:rsidRPr="008C1FDF">
        <w:rPr>
          <w:noProof/>
        </w:rPr>
        <w:t>,</w:t>
      </w:r>
      <w:r w:rsidR="003A1B91" w:rsidRPr="008C1FDF">
        <w:rPr>
          <w:noProof/>
        </w:rPr>
        <w:t xml:space="preserve"> </w:t>
      </w:r>
      <w:r w:rsidR="008C1FDF" w:rsidRPr="00C0635C">
        <w:rPr>
          <w:noProof/>
        </w:rPr>
        <w:t>including as regards temporary storage of carbon,</w:t>
      </w:r>
      <w:r w:rsidR="008C1FDF" w:rsidRPr="008C1FDF">
        <w:rPr>
          <w:noProof/>
        </w:rPr>
        <w:t xml:space="preserve"> </w:t>
      </w:r>
      <w:r w:rsidR="003A1B91" w:rsidRPr="005D0835">
        <w:rPr>
          <w:noProof/>
        </w:rPr>
        <w:t>as well as the development</w:t>
      </w:r>
      <w:r w:rsidR="003A1B91" w:rsidRPr="00DF5C23">
        <w:rPr>
          <w:noProof/>
        </w:rPr>
        <w:t xml:space="preserve"> of </w:t>
      </w:r>
      <w:r w:rsidR="00CC67C8" w:rsidRPr="00DF5C23">
        <w:rPr>
          <w:noProof/>
        </w:rPr>
        <w:t xml:space="preserve">standards by </w:t>
      </w:r>
      <w:r w:rsidR="00FF2851" w:rsidRPr="00DF5C23">
        <w:rPr>
          <w:noProof/>
        </w:rPr>
        <w:t xml:space="preserve">international and </w:t>
      </w:r>
      <w:r w:rsidR="00CC67C8" w:rsidRPr="00DF5C23">
        <w:rPr>
          <w:noProof/>
        </w:rPr>
        <w:t xml:space="preserve">European </w:t>
      </w:r>
      <w:r w:rsidR="00906F3B" w:rsidRPr="00DF5C23">
        <w:rPr>
          <w:noProof/>
        </w:rPr>
        <w:t>standardisation organisations</w:t>
      </w:r>
      <w:r w:rsidR="003A1B91" w:rsidRPr="00DF5C23">
        <w:rPr>
          <w:noProof/>
        </w:rPr>
        <w:t>, including</w:t>
      </w:r>
      <w:r w:rsidR="00906F3B" w:rsidRPr="00DF5C23">
        <w:rPr>
          <w:noProof/>
        </w:rPr>
        <w:t xml:space="preserve"> </w:t>
      </w:r>
      <w:r w:rsidR="00CC67C8" w:rsidRPr="00DF5C23">
        <w:rPr>
          <w:noProof/>
        </w:rPr>
        <w:t>on the material efficiency of energy-related products.</w:t>
      </w:r>
      <w:r w:rsidR="00D90F16" w:rsidRPr="00DF5C23">
        <w:rPr>
          <w:noProof/>
        </w:rPr>
        <w:t xml:space="preserve"> </w:t>
      </w:r>
      <w:r w:rsidR="00D523B1" w:rsidRPr="00DF5C23">
        <w:rPr>
          <w:noProof/>
          <w:lang w:val="en-IE"/>
        </w:rPr>
        <w:t>Building on these tools and using dedicated studies when needed, the Commission should further reinforce circularity aspects (such as durability, reparability including reparability scoring, identification of chemicals hind</w:t>
      </w:r>
      <w:r w:rsidR="002673A7" w:rsidRPr="00DF5C23">
        <w:rPr>
          <w:noProof/>
          <w:lang w:val="en-IE"/>
        </w:rPr>
        <w:t xml:space="preserve">ering re-use and recycling) in </w:t>
      </w:r>
      <w:r w:rsidR="00D523B1" w:rsidRPr="00DF5C23">
        <w:rPr>
          <w:noProof/>
          <w:lang w:val="en-IE"/>
        </w:rPr>
        <w:t xml:space="preserve">the assessment of products and in the preparation of ecodesign requirements, and should develop new methods or tools where appropriate. </w:t>
      </w:r>
      <w:r w:rsidR="00266A55" w:rsidRPr="00DF5C23">
        <w:rPr>
          <w:noProof/>
          <w:lang w:val="en-IE"/>
        </w:rPr>
        <w:t xml:space="preserve">New approaches </w:t>
      </w:r>
      <w:r w:rsidR="003B47D8" w:rsidRPr="00DF5C23">
        <w:rPr>
          <w:noProof/>
          <w:lang w:val="en-IE"/>
        </w:rPr>
        <w:t xml:space="preserve">may </w:t>
      </w:r>
      <w:r w:rsidR="00266A55" w:rsidRPr="00DF5C23">
        <w:rPr>
          <w:noProof/>
          <w:lang w:val="en-IE"/>
        </w:rPr>
        <w:t xml:space="preserve">also </w:t>
      </w:r>
      <w:r w:rsidR="003B47D8" w:rsidRPr="00DF5C23">
        <w:rPr>
          <w:noProof/>
          <w:lang w:val="en-IE"/>
        </w:rPr>
        <w:t xml:space="preserve">be </w:t>
      </w:r>
      <w:r w:rsidR="00266A55" w:rsidRPr="00DF5C23">
        <w:rPr>
          <w:noProof/>
          <w:lang w:val="en-IE"/>
        </w:rPr>
        <w:t>needed for the preparation of mandatory public procurement criteria and for bans on the destruction of unsold consumer products.</w:t>
      </w:r>
    </w:p>
    <w:p w14:paraId="2C3A5595" w14:textId="0CBF0612" w:rsidR="00D81745" w:rsidRPr="00DF5C23" w:rsidRDefault="004F5E59" w:rsidP="004F5E59">
      <w:pPr>
        <w:pStyle w:val="ManualConsidrant"/>
        <w:rPr>
          <w:noProof/>
        </w:rPr>
      </w:pPr>
      <w:r w:rsidRPr="004F5E59">
        <w:t>(20)</w:t>
      </w:r>
      <w:r w:rsidRPr="004F5E59">
        <w:tab/>
      </w:r>
      <w:r w:rsidR="00D81745" w:rsidRPr="00DF5C23">
        <w:rPr>
          <w:noProof/>
        </w:rPr>
        <w:t xml:space="preserve">Performance requirements should relate to a selected </w:t>
      </w:r>
      <w:r w:rsidR="00214C38" w:rsidRPr="00DF5C23">
        <w:rPr>
          <w:noProof/>
        </w:rPr>
        <w:t xml:space="preserve">product </w:t>
      </w:r>
      <w:r w:rsidR="00D81745" w:rsidRPr="00DF5C23">
        <w:rPr>
          <w:noProof/>
        </w:rPr>
        <w:t>parameter relevant to the targeted product aspect</w:t>
      </w:r>
      <w:r w:rsidR="00017C67" w:rsidRPr="00DF5C23">
        <w:rPr>
          <w:noProof/>
        </w:rPr>
        <w:t xml:space="preserve"> for which potential for improving environmental sustainability has been identified. Such requirements </w:t>
      </w:r>
      <w:r w:rsidR="00906F3B" w:rsidRPr="00DF5C23">
        <w:rPr>
          <w:noProof/>
        </w:rPr>
        <w:t xml:space="preserve">may include minimum or maximum levels of performance in relation to </w:t>
      </w:r>
      <w:r w:rsidR="00C07297" w:rsidRPr="00DF5C23">
        <w:rPr>
          <w:noProof/>
        </w:rPr>
        <w:t xml:space="preserve">the </w:t>
      </w:r>
      <w:r w:rsidR="00214C38" w:rsidRPr="00DF5C23">
        <w:rPr>
          <w:noProof/>
        </w:rPr>
        <w:t xml:space="preserve">product </w:t>
      </w:r>
      <w:r w:rsidR="00906F3B" w:rsidRPr="00DF5C23">
        <w:rPr>
          <w:noProof/>
        </w:rPr>
        <w:t xml:space="preserve">parameter, non-quantitative requirements that aim to improve performance in relation to </w:t>
      </w:r>
      <w:r w:rsidR="00C07297" w:rsidRPr="00DF5C23">
        <w:rPr>
          <w:noProof/>
        </w:rPr>
        <w:t xml:space="preserve">the </w:t>
      </w:r>
      <w:r w:rsidR="00214C38" w:rsidRPr="00DF5C23">
        <w:rPr>
          <w:noProof/>
        </w:rPr>
        <w:t>product</w:t>
      </w:r>
      <w:r w:rsidR="00906F3B" w:rsidRPr="00DF5C23">
        <w:rPr>
          <w:noProof/>
        </w:rPr>
        <w:t xml:space="preserve"> parameter, or requirements related to a product’s functional performance to ensure that the selected performance requirements do not negatively impact </w:t>
      </w:r>
      <w:r w:rsidR="001057BC" w:rsidRPr="00DF5C23">
        <w:rPr>
          <w:noProof/>
          <w:lang w:val="en-IE"/>
        </w:rPr>
        <w:t>the ability of the product to perform the function for which it was designed and marketed</w:t>
      </w:r>
      <w:r w:rsidR="00906F3B" w:rsidRPr="00DF5C23">
        <w:rPr>
          <w:noProof/>
        </w:rPr>
        <w:t xml:space="preserve">. </w:t>
      </w:r>
      <w:r w:rsidR="00D81745" w:rsidRPr="00DF5C23">
        <w:rPr>
          <w:noProof/>
        </w:rPr>
        <w:t xml:space="preserve">Regarding minimum or maximum levels, they may for example take the form of a limit on energy consumption in the use phase or on the quantities of a given material incorporated in the product, a requirement for minimum quantities of </w:t>
      </w:r>
      <w:r w:rsidR="00017C67" w:rsidRPr="00DF5C23">
        <w:rPr>
          <w:noProof/>
        </w:rPr>
        <w:t>recycled content</w:t>
      </w:r>
      <w:r w:rsidR="00D81745" w:rsidRPr="00DF5C23">
        <w:rPr>
          <w:noProof/>
        </w:rPr>
        <w:t xml:space="preserve">, or a limit on a specific environmental impact category or on an aggregation of all </w:t>
      </w:r>
      <w:r w:rsidR="00CC67C8" w:rsidRPr="00DF5C23">
        <w:rPr>
          <w:noProof/>
        </w:rPr>
        <w:t>relevant environmental impacts</w:t>
      </w:r>
      <w:r w:rsidR="00D81745" w:rsidRPr="00DF5C23">
        <w:rPr>
          <w:noProof/>
        </w:rPr>
        <w:t xml:space="preserve">. An example of a non-quantitative requirement is </w:t>
      </w:r>
      <w:r w:rsidR="00906F3B" w:rsidRPr="00DF5C23">
        <w:rPr>
          <w:noProof/>
        </w:rPr>
        <w:t>the prohibition of a specific technical solution that is detrimental to product reparability</w:t>
      </w:r>
      <w:r w:rsidR="00D81745" w:rsidRPr="00DF5C23">
        <w:rPr>
          <w:noProof/>
        </w:rPr>
        <w:t>.</w:t>
      </w:r>
      <w:r w:rsidR="00414B85" w:rsidRPr="00DF5C23">
        <w:rPr>
          <w:noProof/>
        </w:rPr>
        <w:t xml:space="preserve"> </w:t>
      </w:r>
      <w:r w:rsidR="00FE5762" w:rsidRPr="00DF5C23">
        <w:rPr>
          <w:noProof/>
        </w:rPr>
        <w:t>Performance</w:t>
      </w:r>
      <w:r w:rsidR="00414B85" w:rsidRPr="00DF5C23">
        <w:rPr>
          <w:noProof/>
        </w:rPr>
        <w:t xml:space="preserve"> requirements</w:t>
      </w:r>
      <w:r w:rsidR="00FF1901" w:rsidRPr="00DF5C23">
        <w:rPr>
          <w:noProof/>
        </w:rPr>
        <w:t xml:space="preserve"> will be used </w:t>
      </w:r>
      <w:r w:rsidR="001D1DE3" w:rsidRPr="00DF5C23">
        <w:rPr>
          <w:noProof/>
        </w:rPr>
        <w:t xml:space="preserve">to </w:t>
      </w:r>
      <w:r w:rsidR="00FE5762" w:rsidRPr="00DF5C23">
        <w:rPr>
          <w:noProof/>
        </w:rPr>
        <w:t xml:space="preserve">ensure the </w:t>
      </w:r>
      <w:r w:rsidR="001D1DE3" w:rsidRPr="00DF5C23">
        <w:rPr>
          <w:noProof/>
        </w:rPr>
        <w:t xml:space="preserve">removal of </w:t>
      </w:r>
      <w:r w:rsidR="00414B85" w:rsidRPr="00DF5C23">
        <w:rPr>
          <w:noProof/>
        </w:rPr>
        <w:t xml:space="preserve">the worst performing products from the market </w:t>
      </w:r>
      <w:r w:rsidR="00FE5762" w:rsidRPr="00DF5C23">
        <w:rPr>
          <w:noProof/>
        </w:rPr>
        <w:t>where this is necessary to</w:t>
      </w:r>
      <w:r w:rsidR="001D1DE3" w:rsidRPr="00DF5C23">
        <w:rPr>
          <w:noProof/>
        </w:rPr>
        <w:t xml:space="preserve"> contribute to</w:t>
      </w:r>
      <w:r w:rsidR="00414B85" w:rsidRPr="00DF5C23">
        <w:rPr>
          <w:noProof/>
        </w:rPr>
        <w:t xml:space="preserve"> the </w:t>
      </w:r>
      <w:r w:rsidR="00FF1901" w:rsidRPr="00DF5C23">
        <w:rPr>
          <w:noProof/>
        </w:rPr>
        <w:t xml:space="preserve">environmental </w:t>
      </w:r>
      <w:r w:rsidR="00FE5762" w:rsidRPr="00DF5C23">
        <w:rPr>
          <w:noProof/>
        </w:rPr>
        <w:t>sustainability</w:t>
      </w:r>
      <w:r w:rsidR="00414B85" w:rsidRPr="00DF5C23">
        <w:rPr>
          <w:noProof/>
        </w:rPr>
        <w:t xml:space="preserve"> objectives of the Regulation.</w:t>
      </w:r>
      <w:r w:rsidR="00FE5762" w:rsidRPr="00DF5C23">
        <w:rPr>
          <w:noProof/>
        </w:rPr>
        <w:t xml:space="preserve">  </w:t>
      </w:r>
    </w:p>
    <w:p w14:paraId="2C3A5596" w14:textId="3BDC47E6" w:rsidR="00A938A4" w:rsidRPr="00DF5C23" w:rsidRDefault="004F5E59" w:rsidP="004F5E59">
      <w:pPr>
        <w:pStyle w:val="ManualConsidrant"/>
        <w:rPr>
          <w:noProof/>
        </w:rPr>
      </w:pPr>
      <w:r w:rsidRPr="004F5E59">
        <w:t>(21)</w:t>
      </w:r>
      <w:r w:rsidRPr="004F5E59">
        <w:tab/>
      </w:r>
      <w:r w:rsidR="00FF2851" w:rsidRPr="00DF5C23">
        <w:rPr>
          <w:noProof/>
        </w:rPr>
        <w:t>In order to ensure consistency, p</w:t>
      </w:r>
      <w:r w:rsidR="00675E10" w:rsidRPr="00DF5C23">
        <w:rPr>
          <w:noProof/>
        </w:rPr>
        <w:t xml:space="preserve">erformance requirements should complement the implementation of Union legislation on waste. </w:t>
      </w:r>
      <w:r w:rsidR="00906F3B" w:rsidRPr="00DF5C23">
        <w:rPr>
          <w:noProof/>
        </w:rPr>
        <w:t xml:space="preserve">While requirements for </w:t>
      </w:r>
      <w:r w:rsidR="001B619C" w:rsidRPr="00DF5C23">
        <w:rPr>
          <w:noProof/>
        </w:rPr>
        <w:t>placing</w:t>
      </w:r>
      <w:r w:rsidR="00906F3B" w:rsidRPr="00DF5C23">
        <w:rPr>
          <w:noProof/>
        </w:rPr>
        <w:t xml:space="preserve"> on the market </w:t>
      </w:r>
      <w:r w:rsidR="001B619C" w:rsidRPr="00DF5C23">
        <w:rPr>
          <w:noProof/>
        </w:rPr>
        <w:t>packaging</w:t>
      </w:r>
      <w:r w:rsidR="00C427F9" w:rsidRPr="00DF5C23">
        <w:rPr>
          <w:noProof/>
        </w:rPr>
        <w:t xml:space="preserve"> </w:t>
      </w:r>
      <w:r w:rsidR="005E1335" w:rsidRPr="00DF5C23">
        <w:rPr>
          <w:noProof/>
        </w:rPr>
        <w:t xml:space="preserve">as a final product </w:t>
      </w:r>
      <w:r w:rsidR="00906F3B" w:rsidRPr="00DF5C23">
        <w:rPr>
          <w:noProof/>
        </w:rPr>
        <w:t>are laid down under European Parliament and Council Directive 94/62/EC</w:t>
      </w:r>
      <w:r w:rsidR="00906F3B" w:rsidRPr="00DF5C23">
        <w:rPr>
          <w:rStyle w:val="FootnoteReference0"/>
          <w:noProof/>
        </w:rPr>
        <w:footnoteReference w:id="58"/>
      </w:r>
      <w:r w:rsidR="00906F3B" w:rsidRPr="00DF5C23">
        <w:rPr>
          <w:noProof/>
        </w:rPr>
        <w:t xml:space="preserve">, </w:t>
      </w:r>
      <w:r w:rsidR="001B619C" w:rsidRPr="00DF5C23">
        <w:rPr>
          <w:noProof/>
        </w:rPr>
        <w:t xml:space="preserve">this Regulation may </w:t>
      </w:r>
      <w:r w:rsidR="00906F3B" w:rsidRPr="00DF5C23">
        <w:rPr>
          <w:noProof/>
        </w:rPr>
        <w:t xml:space="preserve">complement </w:t>
      </w:r>
      <w:r w:rsidR="001B619C" w:rsidRPr="00DF5C23">
        <w:rPr>
          <w:noProof/>
        </w:rPr>
        <w:t xml:space="preserve">that Directive by setting product-based requirements </w:t>
      </w:r>
      <w:r w:rsidR="00C427F9" w:rsidRPr="00DF5C23">
        <w:rPr>
          <w:noProof/>
        </w:rPr>
        <w:t>focussing on the</w:t>
      </w:r>
      <w:r w:rsidR="001B619C" w:rsidRPr="00DF5C23">
        <w:rPr>
          <w:noProof/>
        </w:rPr>
        <w:t xml:space="preserve"> packaging</w:t>
      </w:r>
      <w:r w:rsidR="00C427F9" w:rsidRPr="00DF5C23">
        <w:rPr>
          <w:noProof/>
        </w:rPr>
        <w:t xml:space="preserve"> of specific products</w:t>
      </w:r>
      <w:r w:rsidR="005E1335" w:rsidRPr="00DF5C23">
        <w:rPr>
          <w:noProof/>
        </w:rPr>
        <w:t xml:space="preserve"> when placed on the market</w:t>
      </w:r>
      <w:r w:rsidR="00906F3B" w:rsidRPr="00DF5C23">
        <w:rPr>
          <w:noProof/>
        </w:rPr>
        <w:t xml:space="preserve">. </w:t>
      </w:r>
      <w:r w:rsidR="00C427F9" w:rsidRPr="00DF5C23">
        <w:rPr>
          <w:noProof/>
        </w:rPr>
        <w:t>Where relevant, such complementary requirement</w:t>
      </w:r>
      <w:r w:rsidR="00CD410F" w:rsidRPr="00DF5C23">
        <w:rPr>
          <w:noProof/>
        </w:rPr>
        <w:t>s</w:t>
      </w:r>
      <w:r w:rsidR="00C427F9" w:rsidRPr="00DF5C23">
        <w:rPr>
          <w:noProof/>
        </w:rPr>
        <w:t xml:space="preserve"> should</w:t>
      </w:r>
      <w:r w:rsidR="00906F3B" w:rsidRPr="00DF5C23">
        <w:rPr>
          <w:noProof/>
        </w:rPr>
        <w:t xml:space="preserve"> contribute in particular to minimising the amount of packaging used, in turn contributing to the prevention of waste generation in the Union.</w:t>
      </w:r>
    </w:p>
    <w:p w14:paraId="2C3A5597" w14:textId="1ABF66ED" w:rsidR="007D1FA4" w:rsidRPr="00DF5C23" w:rsidRDefault="004F5E59" w:rsidP="004F5E59">
      <w:pPr>
        <w:pStyle w:val="ManualConsidrant"/>
        <w:rPr>
          <w:noProof/>
        </w:rPr>
      </w:pPr>
      <w:r w:rsidRPr="004F5E59">
        <w:t>(22)</w:t>
      </w:r>
      <w:r w:rsidRPr="004F5E59">
        <w:tab/>
      </w:r>
      <w:r w:rsidR="001A0511" w:rsidRPr="00DF5C23">
        <w:rPr>
          <w:noProof/>
        </w:rPr>
        <w:t xml:space="preserve">Chemical safety is a recognised element of product sustainability. It is based on chemicals’ intrinsic hazards to health or the environment in combination with specific or generic exposure, and is addressed by chemicals legislation, such as </w:t>
      </w:r>
      <w:r w:rsidR="001057BC" w:rsidRPr="00DF5C23">
        <w:rPr>
          <w:noProof/>
        </w:rPr>
        <w:t>Regulation (EC) No 1935/2004 of the European Parliament and of the Council</w:t>
      </w:r>
      <w:r w:rsidR="001057BC" w:rsidRPr="00DF5C23">
        <w:rPr>
          <w:rStyle w:val="FootnoteReference0"/>
          <w:noProof/>
        </w:rPr>
        <w:footnoteReference w:id="59"/>
      </w:r>
      <w:r w:rsidR="001057BC" w:rsidRPr="00DF5C23">
        <w:rPr>
          <w:noProof/>
        </w:rPr>
        <w:t xml:space="preserve">, </w:t>
      </w:r>
      <w:r w:rsidR="001A0511" w:rsidRPr="00DF5C23">
        <w:rPr>
          <w:noProof/>
        </w:rPr>
        <w:t>Regulation (EC) No 1907/2006</w:t>
      </w:r>
      <w:r w:rsidR="00F11751" w:rsidRPr="00DF5C23">
        <w:rPr>
          <w:noProof/>
        </w:rPr>
        <w:t xml:space="preserve"> of the European Parliament and of the Council</w:t>
      </w:r>
      <w:r w:rsidR="00F11751" w:rsidRPr="00DF5C23">
        <w:rPr>
          <w:rStyle w:val="FootnoteReference0"/>
          <w:noProof/>
        </w:rPr>
        <w:footnoteReference w:id="60"/>
      </w:r>
      <w:r w:rsidR="001A0511" w:rsidRPr="00DF5C23">
        <w:rPr>
          <w:noProof/>
        </w:rPr>
        <w:t xml:space="preserve">, </w:t>
      </w:r>
      <w:r w:rsidR="00F11751" w:rsidRPr="00DF5C23">
        <w:rPr>
          <w:noProof/>
        </w:rPr>
        <w:t>Regulation (EC) No 1223/2009 of the European Parliament and of the Council</w:t>
      </w:r>
      <w:r w:rsidR="00F11751" w:rsidRPr="00DF5C23">
        <w:rPr>
          <w:rStyle w:val="FootnoteReference0"/>
          <w:noProof/>
        </w:rPr>
        <w:footnoteReference w:id="61"/>
      </w:r>
      <w:r w:rsidR="001A0511" w:rsidRPr="00DF5C23">
        <w:rPr>
          <w:noProof/>
        </w:rPr>
        <w:t xml:space="preserve">, </w:t>
      </w:r>
      <w:r w:rsidR="001057BC" w:rsidRPr="00DF5C23">
        <w:rPr>
          <w:noProof/>
        </w:rPr>
        <w:t>Regulation (EU) 2017/745 of the European Parliament and of the Council</w:t>
      </w:r>
      <w:r w:rsidR="001057BC" w:rsidRPr="00DF5C23">
        <w:rPr>
          <w:rStyle w:val="FootnoteReference0"/>
          <w:noProof/>
        </w:rPr>
        <w:t xml:space="preserve"> </w:t>
      </w:r>
      <w:r w:rsidR="001057BC" w:rsidRPr="00DF5C23">
        <w:rPr>
          <w:rStyle w:val="FootnoteReference0"/>
          <w:noProof/>
        </w:rPr>
        <w:footnoteReference w:id="62"/>
      </w:r>
      <w:r w:rsidR="001057BC" w:rsidRPr="00DF5C23">
        <w:rPr>
          <w:noProof/>
        </w:rPr>
        <w:t xml:space="preserve"> and </w:t>
      </w:r>
      <w:r w:rsidR="001A0511" w:rsidRPr="00DF5C23">
        <w:rPr>
          <w:noProof/>
        </w:rPr>
        <w:t>Directive 2009/48/EC</w:t>
      </w:r>
      <w:r w:rsidR="00F11751" w:rsidRPr="00DF5C23">
        <w:rPr>
          <w:noProof/>
        </w:rPr>
        <w:t xml:space="preserve"> of the European Parliament and of the Council</w:t>
      </w:r>
      <w:r w:rsidR="00F11751" w:rsidRPr="00DF5C23">
        <w:rPr>
          <w:rStyle w:val="FootnoteReference0"/>
          <w:noProof/>
        </w:rPr>
        <w:footnoteReference w:id="63"/>
      </w:r>
      <w:r w:rsidR="001057BC" w:rsidRPr="00DF5C23">
        <w:rPr>
          <w:noProof/>
        </w:rPr>
        <w:t>.</w:t>
      </w:r>
      <w:r w:rsidR="001A0511" w:rsidRPr="00DF5C23">
        <w:rPr>
          <w:noProof/>
        </w:rPr>
        <w:t xml:space="preserve"> </w:t>
      </w:r>
      <w:r w:rsidR="00936571" w:rsidRPr="00DF5C23">
        <w:rPr>
          <w:iCs/>
          <w:noProof/>
        </w:rPr>
        <w:t xml:space="preserve">This Regulation should not enable the restriction of substances based on chemical safety, as </w:t>
      </w:r>
      <w:r w:rsidR="003038AC" w:rsidRPr="00DF5C23">
        <w:rPr>
          <w:iCs/>
          <w:noProof/>
        </w:rPr>
        <w:t xml:space="preserve">done under other </w:t>
      </w:r>
      <w:r w:rsidR="00936571" w:rsidRPr="00DF5C23">
        <w:rPr>
          <w:iCs/>
          <w:noProof/>
        </w:rPr>
        <w:t>Union l</w:t>
      </w:r>
      <w:r w:rsidR="005E1335" w:rsidRPr="00DF5C23">
        <w:rPr>
          <w:iCs/>
          <w:noProof/>
        </w:rPr>
        <w:t>egislation</w:t>
      </w:r>
      <w:r w:rsidR="00936571" w:rsidRPr="00DF5C23">
        <w:rPr>
          <w:noProof/>
        </w:rPr>
        <w:t xml:space="preserve">. </w:t>
      </w:r>
      <w:r w:rsidR="005C3083" w:rsidRPr="00DF5C23">
        <w:rPr>
          <w:noProof/>
        </w:rPr>
        <w:t xml:space="preserve">Similarly, this Regulation should not enable the restriction of substances for reasons related to food safety. </w:t>
      </w:r>
      <w:r w:rsidR="001A0511" w:rsidRPr="00DF5C23">
        <w:rPr>
          <w:noProof/>
        </w:rPr>
        <w:t>Union law on chemicals</w:t>
      </w:r>
      <w:r w:rsidR="005C3083" w:rsidRPr="00DF5C23">
        <w:rPr>
          <w:noProof/>
        </w:rPr>
        <w:t xml:space="preserve"> and food</w:t>
      </w:r>
      <w:r w:rsidR="00936571" w:rsidRPr="00DF5C23">
        <w:rPr>
          <w:noProof/>
        </w:rPr>
        <w:t>,</w:t>
      </w:r>
      <w:r w:rsidR="001A0511" w:rsidRPr="00DF5C23">
        <w:rPr>
          <w:noProof/>
        </w:rPr>
        <w:t xml:space="preserve"> however</w:t>
      </w:r>
      <w:r w:rsidR="00936571" w:rsidRPr="00DF5C23">
        <w:rPr>
          <w:noProof/>
        </w:rPr>
        <w:t>,</w:t>
      </w:r>
      <w:r w:rsidR="001A0511" w:rsidRPr="00DF5C23">
        <w:rPr>
          <w:noProof/>
        </w:rPr>
        <w:t xml:space="preserve"> does not </w:t>
      </w:r>
      <w:r w:rsidR="00BD763F" w:rsidRPr="00DF5C23">
        <w:rPr>
          <w:noProof/>
        </w:rPr>
        <w:t>allow addressing, through restrictions on certain substances</w:t>
      </w:r>
      <w:r w:rsidR="001057BC" w:rsidRPr="00DF5C23">
        <w:rPr>
          <w:noProof/>
        </w:rPr>
        <w:t>,</w:t>
      </w:r>
      <w:r w:rsidR="00BD763F" w:rsidRPr="00DF5C23">
        <w:rPr>
          <w:noProof/>
          <w:color w:val="1F497D"/>
          <w:sz w:val="28"/>
          <w:szCs w:val="28"/>
        </w:rPr>
        <w:t xml:space="preserve"> </w:t>
      </w:r>
      <w:r w:rsidR="001A0511" w:rsidRPr="00DF5C23">
        <w:rPr>
          <w:noProof/>
        </w:rPr>
        <w:t>impacts on sustainability that are unrelated to chemical safety</w:t>
      </w:r>
      <w:r w:rsidR="005C3083" w:rsidRPr="00DF5C23">
        <w:rPr>
          <w:noProof/>
        </w:rPr>
        <w:t xml:space="preserve"> or food safety</w:t>
      </w:r>
      <w:r w:rsidR="001A0511" w:rsidRPr="00DF5C23">
        <w:rPr>
          <w:noProof/>
        </w:rPr>
        <w:t xml:space="preserve">. </w:t>
      </w:r>
      <w:r w:rsidR="00936571" w:rsidRPr="00DF5C23">
        <w:rPr>
          <w:noProof/>
        </w:rPr>
        <w:t>To</w:t>
      </w:r>
      <w:r w:rsidR="001A0511" w:rsidRPr="00DF5C23">
        <w:rPr>
          <w:noProof/>
        </w:rPr>
        <w:t xml:space="preserve"> overcome this limitation, this Regulation should allow, under certain conditions, for the restriction</w:t>
      </w:r>
      <w:r w:rsidR="001057BC" w:rsidRPr="00DF5C23">
        <w:rPr>
          <w:noProof/>
        </w:rPr>
        <w:t>,</w:t>
      </w:r>
      <w:r w:rsidR="001A0511" w:rsidRPr="00DF5C23">
        <w:rPr>
          <w:noProof/>
        </w:rPr>
        <w:t xml:space="preserve"> </w:t>
      </w:r>
      <w:r w:rsidR="001057BC" w:rsidRPr="00DF5C23">
        <w:rPr>
          <w:noProof/>
        </w:rPr>
        <w:t xml:space="preserve">primarily for reasons other than chemical </w:t>
      </w:r>
      <w:r w:rsidR="005C3083" w:rsidRPr="00DF5C23">
        <w:rPr>
          <w:noProof/>
        </w:rPr>
        <w:t>or food</w:t>
      </w:r>
      <w:r w:rsidR="001057BC" w:rsidRPr="00DF5C23">
        <w:rPr>
          <w:noProof/>
        </w:rPr>
        <w:t xml:space="preserve"> safety, </w:t>
      </w:r>
      <w:r w:rsidR="001A0511" w:rsidRPr="00DF5C23">
        <w:rPr>
          <w:noProof/>
        </w:rPr>
        <w:t xml:space="preserve">of substances present in products or used in their manufacturing processes which negatively affect </w:t>
      </w:r>
      <w:r w:rsidR="00936571" w:rsidRPr="00DF5C23">
        <w:rPr>
          <w:noProof/>
        </w:rPr>
        <w:t>products’ sustainability</w:t>
      </w:r>
      <w:r w:rsidR="001A0511" w:rsidRPr="00DF5C23">
        <w:rPr>
          <w:noProof/>
        </w:rPr>
        <w:t>.</w:t>
      </w:r>
      <w:r w:rsidR="00BD763F" w:rsidRPr="00DF5C23">
        <w:rPr>
          <w:noProof/>
        </w:rPr>
        <w:t xml:space="preserve"> </w:t>
      </w:r>
      <w:r w:rsidR="00C80CD3" w:rsidRPr="00DF5C23">
        <w:rPr>
          <w:noProof/>
          <w:lang w:val="en-US"/>
        </w:rPr>
        <w:t>T</w:t>
      </w:r>
      <w:r w:rsidR="00BD763F" w:rsidRPr="00DF5C23">
        <w:rPr>
          <w:noProof/>
          <w:lang w:val="en-US"/>
        </w:rPr>
        <w:t xml:space="preserve">his Regulation </w:t>
      </w:r>
      <w:r w:rsidR="00C80CD3" w:rsidRPr="00DF5C23">
        <w:rPr>
          <w:noProof/>
          <w:lang w:val="en-US"/>
        </w:rPr>
        <w:t xml:space="preserve">also </w:t>
      </w:r>
      <w:r w:rsidR="00BD763F" w:rsidRPr="00DF5C23">
        <w:rPr>
          <w:noProof/>
          <w:lang w:val="en-US"/>
        </w:rPr>
        <w:t>should not result in the duplication or replacement of restrictions of substances covered by Directive 2011/65/EU of the European Parliament and of the Council</w:t>
      </w:r>
      <w:r w:rsidR="00906F3B" w:rsidRPr="00DF5C23">
        <w:rPr>
          <w:rStyle w:val="FootnoteReference0"/>
          <w:noProof/>
          <w:lang w:val="en-US"/>
        </w:rPr>
        <w:footnoteReference w:id="64"/>
      </w:r>
      <w:r w:rsidR="00BD763F" w:rsidRPr="00DF5C23">
        <w:rPr>
          <w:noProof/>
          <w:lang w:val="en-US"/>
        </w:rPr>
        <w:t xml:space="preserve">, which has as its objective the protection of human health and the environment, including the environmentally sound recovery and disposal of waste </w:t>
      </w:r>
      <w:r w:rsidR="00906F3B" w:rsidRPr="00DF5C23">
        <w:rPr>
          <w:noProof/>
          <w:lang w:val="en-US"/>
        </w:rPr>
        <w:t xml:space="preserve">from </w:t>
      </w:r>
      <w:r w:rsidR="00906F3B" w:rsidRPr="00DF5C23">
        <w:rPr>
          <w:noProof/>
        </w:rPr>
        <w:t>electrical and electronic equipment</w:t>
      </w:r>
    </w:p>
    <w:p w14:paraId="2C3A5598" w14:textId="6310E8CA" w:rsidR="00414B85" w:rsidRPr="00DF5C23" w:rsidRDefault="004F5E59" w:rsidP="004F5E59">
      <w:pPr>
        <w:pStyle w:val="ManualConsidrant"/>
        <w:rPr>
          <w:noProof/>
        </w:rPr>
      </w:pPr>
      <w:r w:rsidRPr="004F5E59">
        <w:t>(23)</w:t>
      </w:r>
      <w:r w:rsidRPr="004F5E59">
        <w:tab/>
      </w:r>
      <w:r w:rsidR="00936571" w:rsidRPr="00DF5C23">
        <w:rPr>
          <w:noProof/>
        </w:rPr>
        <w:t xml:space="preserve">To improve </w:t>
      </w:r>
      <w:r w:rsidR="00A67E0F" w:rsidRPr="00DF5C23">
        <w:rPr>
          <w:noProof/>
        </w:rPr>
        <w:t>environmental</w:t>
      </w:r>
      <w:r w:rsidR="00936571" w:rsidRPr="00DF5C23">
        <w:rPr>
          <w:noProof/>
        </w:rPr>
        <w:t xml:space="preserve"> sustainability</w:t>
      </w:r>
      <w:r w:rsidR="00A67E0F" w:rsidRPr="00DF5C23">
        <w:rPr>
          <w:noProof/>
        </w:rPr>
        <w:t xml:space="preserve"> of products</w:t>
      </w:r>
      <w:r w:rsidR="00936571" w:rsidRPr="00DF5C23">
        <w:rPr>
          <w:noProof/>
        </w:rPr>
        <w:t xml:space="preserve">, information requirements should </w:t>
      </w:r>
      <w:r w:rsidR="00D81745" w:rsidRPr="00DF5C23">
        <w:rPr>
          <w:noProof/>
        </w:rPr>
        <w:t xml:space="preserve">relate to a selected </w:t>
      </w:r>
      <w:r w:rsidR="00214C38" w:rsidRPr="00DF5C23">
        <w:rPr>
          <w:noProof/>
        </w:rPr>
        <w:t xml:space="preserve">product </w:t>
      </w:r>
      <w:r w:rsidR="00D81745" w:rsidRPr="00DF5C23">
        <w:rPr>
          <w:noProof/>
        </w:rPr>
        <w:t xml:space="preserve">parameter relevant to the product aspect, such as the product’s environmental footprint or its durability. They may require manufacturer to make available information on the </w:t>
      </w:r>
      <w:r w:rsidR="00936571" w:rsidRPr="00DF5C23">
        <w:rPr>
          <w:noProof/>
        </w:rPr>
        <w:t xml:space="preserve">product’s performance </w:t>
      </w:r>
      <w:r w:rsidR="00D81745" w:rsidRPr="00DF5C23">
        <w:rPr>
          <w:noProof/>
        </w:rPr>
        <w:t xml:space="preserve">in relation to a selected </w:t>
      </w:r>
      <w:r w:rsidR="00214C38" w:rsidRPr="00DF5C23">
        <w:rPr>
          <w:noProof/>
        </w:rPr>
        <w:t xml:space="preserve">product </w:t>
      </w:r>
      <w:r w:rsidR="00D81745" w:rsidRPr="00DF5C23">
        <w:rPr>
          <w:noProof/>
        </w:rPr>
        <w:t xml:space="preserve">parameter or other information that may influence the way the product is handled by parties other than the manufacturer in order to improve performance in relation to such </w:t>
      </w:r>
      <w:r w:rsidR="00D4569B" w:rsidRPr="00DF5C23">
        <w:rPr>
          <w:noProof/>
        </w:rPr>
        <w:t xml:space="preserve">a </w:t>
      </w:r>
      <w:r w:rsidR="00D81745" w:rsidRPr="00DF5C23">
        <w:rPr>
          <w:noProof/>
        </w:rPr>
        <w:t>parameter. Such information requirements should be set either in addition to</w:t>
      </w:r>
      <w:r w:rsidR="00936571" w:rsidRPr="00DF5C23">
        <w:rPr>
          <w:noProof/>
        </w:rPr>
        <w:t>,</w:t>
      </w:r>
      <w:r w:rsidR="00D81745" w:rsidRPr="00DF5C23">
        <w:rPr>
          <w:noProof/>
        </w:rPr>
        <w:t xml:space="preserve"> or in place of</w:t>
      </w:r>
      <w:r w:rsidR="00936571" w:rsidRPr="00DF5C23">
        <w:rPr>
          <w:noProof/>
        </w:rPr>
        <w:t>,</w:t>
      </w:r>
      <w:r w:rsidR="00D81745" w:rsidRPr="00DF5C23">
        <w:rPr>
          <w:noProof/>
        </w:rPr>
        <w:t xml:space="preserve"> performance requirements on the same </w:t>
      </w:r>
      <w:r w:rsidR="00214C38" w:rsidRPr="00DF5C23">
        <w:rPr>
          <w:noProof/>
        </w:rPr>
        <w:t>product</w:t>
      </w:r>
      <w:r w:rsidR="00D81745" w:rsidRPr="00DF5C23">
        <w:rPr>
          <w:noProof/>
        </w:rPr>
        <w:t xml:space="preserve"> parameter</w:t>
      </w:r>
      <w:r w:rsidR="005C50E2" w:rsidRPr="00DF5C23">
        <w:rPr>
          <w:noProof/>
        </w:rPr>
        <w:t xml:space="preserve"> as appropriate</w:t>
      </w:r>
      <w:r w:rsidR="00AB244C" w:rsidRPr="00DF5C23">
        <w:rPr>
          <w:noProof/>
        </w:rPr>
        <w:t xml:space="preserve">. </w:t>
      </w:r>
      <w:r w:rsidR="00D81745" w:rsidRPr="00DF5C23">
        <w:rPr>
          <w:noProof/>
        </w:rPr>
        <w:t xml:space="preserve">Where a delegated act includes information requirements, it should indicate the </w:t>
      </w:r>
      <w:r w:rsidR="00936571" w:rsidRPr="00DF5C23">
        <w:rPr>
          <w:noProof/>
        </w:rPr>
        <w:t xml:space="preserve">method </w:t>
      </w:r>
      <w:r w:rsidR="00D4569B" w:rsidRPr="00DF5C23">
        <w:rPr>
          <w:noProof/>
        </w:rPr>
        <w:t xml:space="preserve">for </w:t>
      </w:r>
      <w:r w:rsidR="00936571" w:rsidRPr="00DF5C23">
        <w:rPr>
          <w:noProof/>
        </w:rPr>
        <w:t xml:space="preserve">making the required information available, such as its inclusion </w:t>
      </w:r>
      <w:r w:rsidR="00D4569B" w:rsidRPr="00DF5C23">
        <w:rPr>
          <w:noProof/>
        </w:rPr>
        <w:t>o</w:t>
      </w:r>
      <w:r w:rsidR="00936571" w:rsidRPr="00DF5C23">
        <w:rPr>
          <w:noProof/>
        </w:rPr>
        <w:t>n a free-access</w:t>
      </w:r>
      <w:r w:rsidR="00D81745" w:rsidRPr="00DF5C23">
        <w:rPr>
          <w:noProof/>
        </w:rPr>
        <w:t xml:space="preserve"> website</w:t>
      </w:r>
      <w:r w:rsidR="0051562F" w:rsidRPr="00DF5C23">
        <w:rPr>
          <w:noProof/>
        </w:rPr>
        <w:t>, product passport</w:t>
      </w:r>
      <w:r w:rsidR="00D81745" w:rsidRPr="00DF5C23">
        <w:rPr>
          <w:noProof/>
        </w:rPr>
        <w:t xml:space="preserve"> or product label. </w:t>
      </w:r>
      <w:r w:rsidR="00414B85" w:rsidRPr="00DF5C23">
        <w:rPr>
          <w:noProof/>
        </w:rPr>
        <w:t>Information requirements are necessary to lead to the behavioural change needed to ensure that the environmental sustainability objectives of</w:t>
      </w:r>
      <w:r w:rsidR="005A5D00" w:rsidRPr="00DF5C23">
        <w:rPr>
          <w:noProof/>
        </w:rPr>
        <w:t xml:space="preserve"> this Regulation are achieved. </w:t>
      </w:r>
      <w:r w:rsidR="00414B85" w:rsidRPr="00DF5C23">
        <w:rPr>
          <w:noProof/>
        </w:rPr>
        <w:t>By providing a solid basis for purchasers and public authorities to compare products on the basis of their environmental sustainability, information requirements are expected to drive consumers and public authorities towards more sustainable choices.</w:t>
      </w:r>
    </w:p>
    <w:p w14:paraId="2C3A5599" w14:textId="4590E794" w:rsidR="00D81745" w:rsidRPr="00DF5C23" w:rsidRDefault="004F5E59" w:rsidP="004F5E59">
      <w:pPr>
        <w:pStyle w:val="ManualConsidrant"/>
        <w:rPr>
          <w:noProof/>
        </w:rPr>
      </w:pPr>
      <w:r w:rsidRPr="004F5E59">
        <w:t>(24)</w:t>
      </w:r>
      <w:r w:rsidRPr="004F5E59">
        <w:tab/>
      </w:r>
      <w:r w:rsidR="00D81745" w:rsidRPr="00DF5C23">
        <w:rPr>
          <w:noProof/>
        </w:rPr>
        <w:t xml:space="preserve">Where delegated acts include information requirements, they </w:t>
      </w:r>
      <w:r w:rsidR="00D81745" w:rsidRPr="00DF5C23">
        <w:rPr>
          <w:noProof/>
          <w:lang w:val="en-IE" w:eastAsia="fr-BE"/>
        </w:rPr>
        <w:t xml:space="preserve">may in addition </w:t>
      </w:r>
      <w:r w:rsidR="00D47097" w:rsidRPr="00DF5C23">
        <w:rPr>
          <w:noProof/>
          <w:lang w:val="en-IE" w:eastAsia="fr-BE"/>
        </w:rPr>
        <w:t xml:space="preserve">determine </w:t>
      </w:r>
      <w:r w:rsidR="00D81745" w:rsidRPr="00DF5C23">
        <w:rPr>
          <w:noProof/>
          <w:lang w:val="en-IE" w:eastAsia="fr-BE"/>
        </w:rPr>
        <w:t xml:space="preserve">classes of performance in relation to one or more relevant </w:t>
      </w:r>
      <w:r w:rsidR="00214C38" w:rsidRPr="00DF5C23">
        <w:rPr>
          <w:noProof/>
        </w:rPr>
        <w:t xml:space="preserve">product </w:t>
      </w:r>
      <w:r w:rsidR="00D81745" w:rsidRPr="00DF5C23">
        <w:rPr>
          <w:noProof/>
          <w:lang w:val="en-IE" w:eastAsia="fr-BE"/>
        </w:rPr>
        <w:t xml:space="preserve">parameters, in order </w:t>
      </w:r>
      <w:r w:rsidR="005D034D" w:rsidRPr="00DF5C23">
        <w:rPr>
          <w:noProof/>
          <w:lang w:val="en-IE" w:eastAsia="fr-BE"/>
        </w:rPr>
        <w:t xml:space="preserve">to </w:t>
      </w:r>
      <w:r w:rsidR="00D81745" w:rsidRPr="00DF5C23">
        <w:rPr>
          <w:noProof/>
          <w:lang w:val="en-IE" w:eastAsia="fr-BE"/>
        </w:rPr>
        <w:t>facilitate comparison between products on the basis of that parameter. Classes of performance should enable differentiation of products based on their relative sustainability and could be use</w:t>
      </w:r>
      <w:r w:rsidR="005D034D" w:rsidRPr="00DF5C23">
        <w:rPr>
          <w:noProof/>
          <w:lang w:val="en-IE" w:eastAsia="fr-BE"/>
        </w:rPr>
        <w:t>d</w:t>
      </w:r>
      <w:r w:rsidR="00D81745" w:rsidRPr="00DF5C23">
        <w:rPr>
          <w:noProof/>
          <w:lang w:val="en-IE" w:eastAsia="fr-BE"/>
        </w:rPr>
        <w:t xml:space="preserve"> by both consumers and public authorities. As such, they are intended to drive the market towards more sustainable products. </w:t>
      </w:r>
    </w:p>
    <w:p w14:paraId="2C3A559A" w14:textId="04BF9A58" w:rsidR="001A0511" w:rsidRPr="00DF5C23" w:rsidRDefault="004F5E59" w:rsidP="004F5E59">
      <w:pPr>
        <w:pStyle w:val="ManualConsidrant"/>
        <w:rPr>
          <w:noProof/>
        </w:rPr>
      </w:pPr>
      <w:r w:rsidRPr="004F5E59">
        <w:t>(25)</w:t>
      </w:r>
      <w:r w:rsidRPr="004F5E59">
        <w:tab/>
      </w:r>
      <w:r w:rsidR="001A0511" w:rsidRPr="00DF5C23">
        <w:rPr>
          <w:noProof/>
        </w:rPr>
        <w:t xml:space="preserve">Information on the presence of substances of concern in products is a key element to identify and promote products that are sustainable. The chemical composition of products determines largely their functionalities and impacts, as well as the possibilities for their re-use or for </w:t>
      </w:r>
      <w:r w:rsidR="00936571" w:rsidRPr="00DF5C23">
        <w:rPr>
          <w:noProof/>
        </w:rPr>
        <w:t>recovery once they become waste. The Chemicals Strategy for Sustainability</w:t>
      </w:r>
      <w:r w:rsidR="00F84A92" w:rsidRPr="00DF5C23">
        <w:rPr>
          <w:rStyle w:val="FootnoteReference0"/>
          <w:noProof/>
        </w:rPr>
        <w:footnoteReference w:id="65"/>
      </w:r>
      <w:r w:rsidR="00936571" w:rsidRPr="00DF5C23">
        <w:rPr>
          <w:noProof/>
        </w:rPr>
        <w:t xml:space="preserve"> calls</w:t>
      </w:r>
      <w:r w:rsidR="00D4569B" w:rsidRPr="00DF5C23">
        <w:rPr>
          <w:noProof/>
        </w:rPr>
        <w:t xml:space="preserve"> for minimising</w:t>
      </w:r>
      <w:r w:rsidR="00936571" w:rsidRPr="00DF5C23">
        <w:rPr>
          <w:noProof/>
        </w:rPr>
        <w:t xml:space="preserve"> the presence of substances of concern in products, and </w:t>
      </w:r>
      <w:r w:rsidR="00D4569B" w:rsidRPr="00DF5C23">
        <w:rPr>
          <w:noProof/>
        </w:rPr>
        <w:t xml:space="preserve">ensuring the </w:t>
      </w:r>
      <w:r w:rsidR="00936571" w:rsidRPr="00DF5C23">
        <w:rPr>
          <w:noProof/>
        </w:rPr>
        <w:t>availability of information on chemical content and safe use</w:t>
      </w:r>
      <w:r w:rsidR="001A0511" w:rsidRPr="00DF5C23">
        <w:rPr>
          <w:noProof/>
        </w:rPr>
        <w:t>, by introducing information requirements and tracking the presence of substances of concern throughout the life cycle of materials and products. Regulation (EC) No 1272/2008</w:t>
      </w:r>
      <w:r w:rsidR="000728B3" w:rsidRPr="00DF5C23">
        <w:rPr>
          <w:noProof/>
        </w:rPr>
        <w:t xml:space="preserve"> of the European Parliament and of the Council</w:t>
      </w:r>
      <w:r w:rsidR="000728B3" w:rsidRPr="00DF5C23">
        <w:rPr>
          <w:rStyle w:val="FootnoteReference0"/>
          <w:noProof/>
        </w:rPr>
        <w:footnoteReference w:id="66"/>
      </w:r>
      <w:r w:rsidR="001A0511" w:rsidRPr="00DF5C23">
        <w:rPr>
          <w:noProof/>
        </w:rPr>
        <w:t xml:space="preserve"> and other existing chemicals legislation such as Regulation (EC) No 1223/2009 already ensure communication on hazards to health or the environment </w:t>
      </w:r>
      <w:r w:rsidR="00936571" w:rsidRPr="00DF5C23">
        <w:rPr>
          <w:noProof/>
        </w:rPr>
        <w:t xml:space="preserve">posed by </w:t>
      </w:r>
      <w:r w:rsidR="001A0511" w:rsidRPr="00DF5C23">
        <w:rPr>
          <w:noProof/>
        </w:rPr>
        <w:t xml:space="preserve">certain substances of concern on their own or in a mixture. Users of substances and mixtures should also be informed about pertinent sustainability-related information not primarily related to hazards to health or the environment. Furthermore, users of products other than substances or mixtures, and managers of waste from such products, should also receive sustainability-related information, including information primarily related to chemicals’ hazards to health or the environment. </w:t>
      </w:r>
      <w:r w:rsidR="00936571" w:rsidRPr="00DF5C23">
        <w:rPr>
          <w:noProof/>
        </w:rPr>
        <w:t>Therefore, this Regulation should allow</w:t>
      </w:r>
      <w:r w:rsidR="003B5F30" w:rsidRPr="00DF5C23">
        <w:rPr>
          <w:noProof/>
        </w:rPr>
        <w:t xml:space="preserve"> for the setting of requirements related to</w:t>
      </w:r>
      <w:r w:rsidR="00936571" w:rsidRPr="00DF5C23">
        <w:rPr>
          <w:noProof/>
        </w:rPr>
        <w:t xml:space="preserve"> the tracking and communication of sustainability information, including the presence of substances of concern in products throughout their life cycle, including with a view to their decontamination and recovery when they become waste. Such a framework should aim to progressively cover all substances of concern in all products listed in working plans setting out the product groups the Commission intends to tackle.</w:t>
      </w:r>
    </w:p>
    <w:p w14:paraId="2C3A559B" w14:textId="5F421229" w:rsidR="00F963D9" w:rsidRPr="00DF5C23" w:rsidRDefault="004F5E59" w:rsidP="004F5E59">
      <w:pPr>
        <w:pStyle w:val="ManualConsidrant"/>
        <w:rPr>
          <w:noProof/>
        </w:rPr>
      </w:pPr>
      <w:r w:rsidRPr="004F5E59">
        <w:t>(26)</w:t>
      </w:r>
      <w:r w:rsidRPr="004F5E59">
        <w:tab/>
      </w:r>
      <w:r w:rsidR="004412BC" w:rsidRPr="00DF5C23">
        <w:rPr>
          <w:noProof/>
        </w:rPr>
        <w:t>T</w:t>
      </w:r>
      <w:r w:rsidR="00D56F7D" w:rsidRPr="00DF5C23">
        <w:rPr>
          <w:noProof/>
        </w:rPr>
        <w:t xml:space="preserve">he information requirements set under this Regulation should include the requirement </w:t>
      </w:r>
      <w:r w:rsidR="0051562F" w:rsidRPr="00DF5C23">
        <w:rPr>
          <w:noProof/>
        </w:rPr>
        <w:t xml:space="preserve">to make available </w:t>
      </w:r>
      <w:r w:rsidR="00D56F7D" w:rsidRPr="00DF5C23">
        <w:rPr>
          <w:noProof/>
        </w:rPr>
        <w:t xml:space="preserve">a product passport. The product passport is an important tool for making information available </w:t>
      </w:r>
      <w:r w:rsidR="00CA0CC3" w:rsidRPr="00DF5C23">
        <w:rPr>
          <w:noProof/>
        </w:rPr>
        <w:t xml:space="preserve">to actors </w:t>
      </w:r>
      <w:r w:rsidR="00D56F7D" w:rsidRPr="00DF5C23">
        <w:rPr>
          <w:noProof/>
        </w:rPr>
        <w:t xml:space="preserve">along the entire value chain and </w:t>
      </w:r>
      <w:r w:rsidR="009C6AF3" w:rsidRPr="00DF5C23">
        <w:rPr>
          <w:noProof/>
        </w:rPr>
        <w:t xml:space="preserve">the </w:t>
      </w:r>
      <w:r w:rsidR="00D56F7D" w:rsidRPr="00DF5C23">
        <w:rPr>
          <w:noProof/>
        </w:rPr>
        <w:t xml:space="preserve">availability of a product passport </w:t>
      </w:r>
      <w:r w:rsidR="009C6AF3" w:rsidRPr="00DF5C23">
        <w:rPr>
          <w:noProof/>
        </w:rPr>
        <w:t xml:space="preserve">should </w:t>
      </w:r>
      <w:r w:rsidR="00D56F7D" w:rsidRPr="00DF5C23">
        <w:rPr>
          <w:noProof/>
        </w:rPr>
        <w:t xml:space="preserve">significantly enhance </w:t>
      </w:r>
      <w:r w:rsidR="00F61402" w:rsidRPr="00DF5C23">
        <w:rPr>
          <w:noProof/>
        </w:rPr>
        <w:t xml:space="preserve">end-to-end </w:t>
      </w:r>
      <w:r w:rsidR="00D56F7D" w:rsidRPr="00DF5C23">
        <w:rPr>
          <w:noProof/>
        </w:rPr>
        <w:t xml:space="preserve">traceability of a product throughout its </w:t>
      </w:r>
      <w:r w:rsidR="00D4569B" w:rsidRPr="00DF5C23">
        <w:rPr>
          <w:noProof/>
        </w:rPr>
        <w:t xml:space="preserve">value </w:t>
      </w:r>
      <w:r w:rsidR="00D56F7D" w:rsidRPr="00DF5C23">
        <w:rPr>
          <w:noProof/>
        </w:rPr>
        <w:t>chain</w:t>
      </w:r>
      <w:r w:rsidR="009C6AF3" w:rsidRPr="00DF5C23">
        <w:rPr>
          <w:noProof/>
        </w:rPr>
        <w:t xml:space="preserve">. Among other things, the product passport should </w:t>
      </w:r>
      <w:r w:rsidR="00D56F7D" w:rsidRPr="00DF5C23">
        <w:rPr>
          <w:noProof/>
        </w:rPr>
        <w:t>help consumers make informed choices by improving their access to product information</w:t>
      </w:r>
      <w:r w:rsidR="00D4569B" w:rsidRPr="00DF5C23">
        <w:rPr>
          <w:noProof/>
        </w:rPr>
        <w:t xml:space="preserve"> relevant to them</w:t>
      </w:r>
      <w:r w:rsidR="00D56F7D" w:rsidRPr="00DF5C23">
        <w:rPr>
          <w:noProof/>
        </w:rPr>
        <w:t>, allow</w:t>
      </w:r>
      <w:r w:rsidR="009736A3" w:rsidRPr="00DF5C23">
        <w:rPr>
          <w:noProof/>
        </w:rPr>
        <w:t xml:space="preserve"> economic operators</w:t>
      </w:r>
      <w:r w:rsidR="00D56F7D" w:rsidRPr="00DF5C23">
        <w:rPr>
          <w:noProof/>
        </w:rPr>
        <w:t xml:space="preserve"> other value chain actors such as repairers or recyclers to access relevant information, and enable</w:t>
      </w:r>
      <w:r w:rsidR="00CE0E83" w:rsidRPr="00DF5C23">
        <w:rPr>
          <w:noProof/>
          <w:lang w:val="en-IE" w:eastAsia="fr-BE"/>
        </w:rPr>
        <w:t xml:space="preserve"> competent national</w:t>
      </w:r>
      <w:r w:rsidR="00D56F7D" w:rsidRPr="00DF5C23">
        <w:rPr>
          <w:noProof/>
        </w:rPr>
        <w:t xml:space="preserve"> authorities to perform their duties. </w:t>
      </w:r>
      <w:r w:rsidR="00D56F7D" w:rsidRPr="00DF5C23">
        <w:rPr>
          <w:noProof/>
          <w:lang w:val="en-IE"/>
        </w:rPr>
        <w:t>To</w:t>
      </w:r>
      <w:r w:rsidR="00D56F7D" w:rsidRPr="00DF5C23" w:rsidDel="007A5D1C">
        <w:rPr>
          <w:noProof/>
          <w:lang w:val="en-IE"/>
        </w:rPr>
        <w:t xml:space="preserve"> this </w:t>
      </w:r>
      <w:r w:rsidR="00D56F7D" w:rsidRPr="00DF5C23">
        <w:rPr>
          <w:noProof/>
          <w:lang w:val="en-IE"/>
        </w:rPr>
        <w:t>end, the</w:t>
      </w:r>
      <w:r w:rsidR="00D56F7D" w:rsidRPr="00DF5C23" w:rsidDel="007A5D1C">
        <w:rPr>
          <w:noProof/>
          <w:lang w:val="en-IE"/>
        </w:rPr>
        <w:t xml:space="preserve"> product passport </w:t>
      </w:r>
      <w:r w:rsidR="00D56F7D" w:rsidRPr="00DF5C23">
        <w:rPr>
          <w:noProof/>
          <w:lang w:val="en-IE"/>
        </w:rPr>
        <w:t xml:space="preserve">should not replace but complement non-digital forms of transmitting information, such as information in the product manual or on </w:t>
      </w:r>
      <w:r w:rsidR="00CA0CC3" w:rsidRPr="00DF5C23">
        <w:rPr>
          <w:noProof/>
          <w:lang w:val="en-IE"/>
        </w:rPr>
        <w:t>a</w:t>
      </w:r>
      <w:r w:rsidR="00D56F7D" w:rsidRPr="00DF5C23">
        <w:rPr>
          <w:noProof/>
          <w:lang w:val="en-IE"/>
        </w:rPr>
        <w:t xml:space="preserve"> label. </w:t>
      </w:r>
      <w:r w:rsidR="00102852" w:rsidRPr="00DF5C23">
        <w:rPr>
          <w:noProof/>
          <w:lang w:val="en-IE"/>
        </w:rPr>
        <w:t>In addition, it should be possible for the product passport to be used for information on other sustainability aspects applicable to the relevant product group pursuant to other Union legislation.</w:t>
      </w:r>
    </w:p>
    <w:p w14:paraId="2C3A559C" w14:textId="0EFB719B" w:rsidR="00440151" w:rsidRPr="00DF5C23" w:rsidRDefault="004F5E59" w:rsidP="004F5E59">
      <w:pPr>
        <w:pStyle w:val="ManualConsidrant"/>
        <w:rPr>
          <w:noProof/>
          <w:lang w:val="en-IE"/>
        </w:rPr>
      </w:pPr>
      <w:r w:rsidRPr="004F5E59">
        <w:t>(27)</w:t>
      </w:r>
      <w:r w:rsidRPr="004F5E59">
        <w:tab/>
      </w:r>
      <w:r w:rsidR="00440151" w:rsidRPr="00DF5C23">
        <w:rPr>
          <w:noProof/>
        </w:rPr>
        <w:t xml:space="preserve">To take account of the nature of the product and its market, the information to be included in the product passport should be carefully examined on a case-by-case basis when preparing product-specific rules. To optimise access to the resulting information while also protecting intellectual property rights, the product passport needs to be designed and implemented allowing differentiated access to the information included in the product passport depending on the type of information and the typology of stakeholders. Similarly, to avoid costs to companies and the public that are disproportionate to the wider benefits, the product passport should be specific to the item, batch or product model, depending on for example the </w:t>
      </w:r>
      <w:r w:rsidR="00217F15" w:rsidRPr="00DF5C23">
        <w:rPr>
          <w:noProof/>
        </w:rPr>
        <w:t xml:space="preserve">complexity of the value chain, the </w:t>
      </w:r>
      <w:r w:rsidR="00440151" w:rsidRPr="00DF5C23">
        <w:rPr>
          <w:noProof/>
        </w:rPr>
        <w:t xml:space="preserve">size, nature or impacts of the products considered. </w:t>
      </w:r>
    </w:p>
    <w:p w14:paraId="2C3A559D" w14:textId="5BB6CDA1" w:rsidR="00F963D9" w:rsidRPr="00DF5C23" w:rsidRDefault="004F5E59" w:rsidP="004F5E59">
      <w:pPr>
        <w:pStyle w:val="ManualConsidrant"/>
        <w:rPr>
          <w:noProof/>
          <w:lang w:val="en-IE"/>
        </w:rPr>
      </w:pPr>
      <w:r w:rsidRPr="004F5E59">
        <w:t>(28)</w:t>
      </w:r>
      <w:r w:rsidRPr="004F5E59">
        <w:tab/>
      </w:r>
      <w:r w:rsidR="005F1BCA" w:rsidRPr="00DF5C23">
        <w:rPr>
          <w:noProof/>
        </w:rPr>
        <w:t>In order to ensure interoperability, t</w:t>
      </w:r>
      <w:r w:rsidR="00440151" w:rsidRPr="00DF5C23">
        <w:rPr>
          <w:noProof/>
        </w:rPr>
        <w:t>he types of permitted data carriers should be specified</w:t>
      </w:r>
      <w:r w:rsidR="00F84A92" w:rsidRPr="00DF5C23">
        <w:rPr>
          <w:noProof/>
        </w:rPr>
        <w:t>. For the same reason,</w:t>
      </w:r>
      <w:r w:rsidR="00517EA8" w:rsidRPr="00DF5C23">
        <w:rPr>
          <w:noProof/>
        </w:rPr>
        <w:t xml:space="preserve"> </w:t>
      </w:r>
      <w:r w:rsidR="00517EA8" w:rsidRPr="00DF5C23">
        <w:rPr>
          <w:noProof/>
          <w:lang w:val="en-IE" w:eastAsia="en-GB"/>
        </w:rPr>
        <w:t>the data carrier and the unique product identifier should be released in accordance with internationally recognised standards</w:t>
      </w:r>
      <w:r w:rsidR="00440151" w:rsidRPr="00DF5C23">
        <w:rPr>
          <w:noProof/>
        </w:rPr>
        <w:t>.</w:t>
      </w:r>
      <w:r w:rsidR="00517EA8" w:rsidRPr="00DF5C23">
        <w:rPr>
          <w:noProof/>
        </w:rPr>
        <w:t xml:space="preserve"> The power to adopt acts in accordance with Article 290 TFEU should be delegated to the Commission to amend this Regulation by </w:t>
      </w:r>
      <w:r w:rsidR="00187AA4">
        <w:rPr>
          <w:noProof/>
        </w:rPr>
        <w:t xml:space="preserve">replacing or </w:t>
      </w:r>
      <w:r w:rsidR="00517EA8" w:rsidRPr="00DF5C23">
        <w:rPr>
          <w:noProof/>
          <w:lang w:val="en-IE" w:eastAsia="fr-BE"/>
        </w:rPr>
        <w:t xml:space="preserve">adding standards in accordance with which the </w:t>
      </w:r>
      <w:r w:rsidR="00517EA8" w:rsidRPr="00DF5C23">
        <w:rPr>
          <w:noProof/>
          <w:lang w:val="en-IE" w:eastAsia="en-GB"/>
        </w:rPr>
        <w:t>data carrier and the unique identifiers may be released</w:t>
      </w:r>
      <w:r w:rsidR="00187AA4">
        <w:rPr>
          <w:noProof/>
          <w:lang w:val="en-IE" w:eastAsia="en-GB"/>
        </w:rPr>
        <w:t xml:space="preserve">, </w:t>
      </w:r>
      <w:r w:rsidR="00187AA4">
        <w:rPr>
          <w:noProof/>
          <w:lang w:val="en-IE"/>
        </w:rPr>
        <w:t>in light of technical or scientific progress</w:t>
      </w:r>
      <w:r w:rsidR="00517EA8" w:rsidRPr="00DF5C23">
        <w:rPr>
          <w:noProof/>
          <w:lang w:val="en-IE" w:eastAsia="en-GB"/>
        </w:rPr>
        <w:t>.</w:t>
      </w:r>
      <w:r w:rsidR="00440151" w:rsidRPr="00DF5C23">
        <w:rPr>
          <w:noProof/>
        </w:rPr>
        <w:t xml:space="preserve"> This </w:t>
      </w:r>
      <w:r w:rsidR="005F1BCA" w:rsidRPr="00DF5C23">
        <w:rPr>
          <w:noProof/>
        </w:rPr>
        <w:t xml:space="preserve">should </w:t>
      </w:r>
      <w:r w:rsidR="00440151" w:rsidRPr="00DF5C23">
        <w:rPr>
          <w:noProof/>
        </w:rPr>
        <w:t xml:space="preserve">ensure that the information contained in the </w:t>
      </w:r>
      <w:r w:rsidR="00217F15" w:rsidRPr="00DF5C23">
        <w:rPr>
          <w:noProof/>
        </w:rPr>
        <w:t>product passport</w:t>
      </w:r>
      <w:r w:rsidR="00440151" w:rsidRPr="00DF5C23">
        <w:rPr>
          <w:noProof/>
        </w:rPr>
        <w:t xml:space="preserve"> can be recorded and transmitted by all economic operators, as well as to guarantee the compatibility of the unique identifier with external components such as scanning devices. </w:t>
      </w:r>
    </w:p>
    <w:p w14:paraId="2C3A559E" w14:textId="2CBCA29B" w:rsidR="005F1BCA" w:rsidRPr="00DF5C23" w:rsidRDefault="004F5E59" w:rsidP="004F5E59">
      <w:pPr>
        <w:pStyle w:val="ManualConsidrant"/>
        <w:rPr>
          <w:noProof/>
          <w:lang w:val="en-IE"/>
        </w:rPr>
      </w:pPr>
      <w:r w:rsidRPr="004F5E59">
        <w:t>(29)</w:t>
      </w:r>
      <w:r w:rsidRPr="004F5E59">
        <w:tab/>
      </w:r>
      <w:r w:rsidR="23DF1179" w:rsidRPr="23DF1179">
        <w:rPr>
          <w:noProof/>
          <w:lang w:val="en-IE"/>
        </w:rPr>
        <w:t>In order to not unnecessarily delay the establishment of ecodesign requirements other than on the product passport or to ensure that product passports can be effectively implemented, the Commission should be allowed to exempt product groups from the product passport requirements in case technical specifications are not available in relation to the essential requirements</w:t>
      </w:r>
      <w:r w:rsidR="23DF1179" w:rsidRPr="23DF1179">
        <w:rPr>
          <w:noProof/>
          <w:lang w:val="en-IE" w:eastAsia="en-GB"/>
        </w:rPr>
        <w:t xml:space="preserve"> for the technical design and operation of the product passport. Similarly, in </w:t>
      </w:r>
      <w:r w:rsidR="23DF1179" w:rsidRPr="23DF1179">
        <w:rPr>
          <w:noProof/>
          <w:lang w:val="en-IE"/>
        </w:rPr>
        <w:t>order to prevent unnecessary administrative burden for economic operator,</w:t>
      </w:r>
      <w:r w:rsidR="23DF1179" w:rsidRPr="23DF1179">
        <w:rPr>
          <w:noProof/>
          <w:lang w:val="en-IE" w:eastAsia="en-GB"/>
        </w:rPr>
        <w:t xml:space="preserve"> the Commission should </w:t>
      </w:r>
      <w:r w:rsidR="23DF1179" w:rsidRPr="23DF1179">
        <w:rPr>
          <w:noProof/>
          <w:lang w:val="en-IE"/>
        </w:rPr>
        <w:t xml:space="preserve">be allowed to exempt product groups from the product passport requirements in case other Union law already includes a system for the </w:t>
      </w:r>
      <w:r w:rsidR="23DF1179" w:rsidRPr="23DF1179">
        <w:rPr>
          <w:noProof/>
          <w:lang w:val="en-IE" w:eastAsia="fr-BE"/>
        </w:rPr>
        <w:t>digital provision of product information allowing actors along the value chain to access relevant product information and facilitating the verification of product compliance by competent national authorities.</w:t>
      </w:r>
      <w:r w:rsidR="23DF1179">
        <w:rPr>
          <w:noProof/>
        </w:rPr>
        <w:t xml:space="preserve"> These exemptions should be periodically reviewed taking into account further availability of technical specifications.</w:t>
      </w:r>
    </w:p>
    <w:p w14:paraId="2C3A559F" w14:textId="09917831" w:rsidR="00D56F7D" w:rsidRPr="00DF5C23" w:rsidRDefault="004F5E59" w:rsidP="004F5E59">
      <w:pPr>
        <w:pStyle w:val="ManualConsidrant"/>
        <w:rPr>
          <w:noProof/>
          <w:lang w:val="en-IE"/>
        </w:rPr>
      </w:pPr>
      <w:r w:rsidRPr="004F5E59">
        <w:t>(30)</w:t>
      </w:r>
      <w:r w:rsidRPr="004F5E59">
        <w:tab/>
      </w:r>
      <w:r w:rsidR="004412BC" w:rsidRPr="00DF5C23">
        <w:rPr>
          <w:noProof/>
        </w:rPr>
        <w:t>Unique identification of products is a fundamental element to enable traceability across the supply chain. Therefore, t</w:t>
      </w:r>
      <w:r w:rsidR="00D56F7D" w:rsidRPr="00DF5C23">
        <w:rPr>
          <w:noProof/>
        </w:rPr>
        <w:t xml:space="preserve">he product passport should be linked to a unique product identifier. In addition, where appropriate, the passport should allow for the tracing of the actors and manufacturing facilities related to that product. </w:t>
      </w:r>
      <w:r w:rsidR="005F1BCA" w:rsidRPr="00DF5C23">
        <w:rPr>
          <w:noProof/>
        </w:rPr>
        <w:t>In order to ensure interoperability, the</w:t>
      </w:r>
      <w:r w:rsidR="00517EA8" w:rsidRPr="00DF5C23">
        <w:rPr>
          <w:noProof/>
        </w:rPr>
        <w:t xml:space="preserve"> unique operator identifiers and unique facility identifiers </w:t>
      </w:r>
      <w:r w:rsidR="005F1BCA" w:rsidRPr="00DF5C23">
        <w:rPr>
          <w:noProof/>
        </w:rPr>
        <w:t xml:space="preserve">enabling traceability should be released </w:t>
      </w:r>
      <w:r w:rsidR="00517EA8" w:rsidRPr="00DF5C23">
        <w:rPr>
          <w:noProof/>
        </w:rPr>
        <w:t xml:space="preserve">in accordance </w:t>
      </w:r>
      <w:r w:rsidR="00517EA8" w:rsidRPr="00DF5C23">
        <w:rPr>
          <w:noProof/>
          <w:lang w:val="en-IE" w:eastAsia="en-GB"/>
        </w:rPr>
        <w:t xml:space="preserve">with internationally recognised standards. </w:t>
      </w:r>
      <w:r w:rsidR="00517EA8" w:rsidRPr="00DF5C23">
        <w:rPr>
          <w:noProof/>
        </w:rPr>
        <w:t xml:space="preserve">The power to adopt acts in accordance with Article 290 TFEU should be delegated to the Commission to amend this Regulation by </w:t>
      </w:r>
      <w:r w:rsidR="00187AA4">
        <w:rPr>
          <w:noProof/>
        </w:rPr>
        <w:t xml:space="preserve">replacing or </w:t>
      </w:r>
      <w:r w:rsidR="00517EA8" w:rsidRPr="00DF5C23">
        <w:rPr>
          <w:noProof/>
          <w:lang w:val="en-IE" w:eastAsia="fr-BE"/>
        </w:rPr>
        <w:t xml:space="preserve">adding  standards in accordance with which </w:t>
      </w:r>
      <w:r w:rsidR="00517EA8" w:rsidRPr="00DF5C23">
        <w:rPr>
          <w:noProof/>
        </w:rPr>
        <w:t>unique operator identifiers and unique facility identifiers</w:t>
      </w:r>
      <w:r w:rsidR="00517EA8" w:rsidRPr="00DF5C23">
        <w:rPr>
          <w:noProof/>
          <w:lang w:val="en-IE"/>
        </w:rPr>
        <w:t xml:space="preserve"> may be released</w:t>
      </w:r>
      <w:r w:rsidR="00187AA4">
        <w:rPr>
          <w:noProof/>
          <w:lang w:val="en-IE"/>
        </w:rPr>
        <w:t>, in light of technical or scientific progress</w:t>
      </w:r>
      <w:r w:rsidR="00517EA8" w:rsidRPr="00DF5C23">
        <w:rPr>
          <w:noProof/>
          <w:lang w:val="en-IE"/>
        </w:rPr>
        <w:t>.</w:t>
      </w:r>
    </w:p>
    <w:p w14:paraId="2C3A55A0" w14:textId="05397D88" w:rsidR="007B5954" w:rsidRPr="00DF5C23" w:rsidRDefault="004F5E59" w:rsidP="004F5E59">
      <w:pPr>
        <w:pStyle w:val="ManualConsidrant"/>
        <w:rPr>
          <w:noProof/>
        </w:rPr>
      </w:pPr>
      <w:r w:rsidRPr="004F5E59">
        <w:t>(31)</w:t>
      </w:r>
      <w:r w:rsidRPr="004F5E59">
        <w:tab/>
      </w:r>
      <w:r w:rsidR="00D56F7D" w:rsidRPr="00DF5C23">
        <w:rPr>
          <w:noProof/>
        </w:rPr>
        <w:t xml:space="preserve">Digitalised information about the product and its life cycle or, where applicable, its passport should be easily accessible by scanning a data carrier, such as a watermark or a quick response (QR) code. Where possible, the data carrier should be on the product itself to ensure the information remains accessible throughout its life cycle. However, exceptions are possible depending on the nature, size or use of the products concerned. </w:t>
      </w:r>
    </w:p>
    <w:p w14:paraId="2C3A55A1" w14:textId="1C1FA63F" w:rsidR="00D56F7D" w:rsidRPr="00DF5C23" w:rsidRDefault="004F5E59" w:rsidP="004F5E59">
      <w:pPr>
        <w:pStyle w:val="ManualConsidrant"/>
        <w:rPr>
          <w:noProof/>
        </w:rPr>
      </w:pPr>
      <w:r w:rsidRPr="004F5E59">
        <w:t>(32)</w:t>
      </w:r>
      <w:r w:rsidRPr="004F5E59">
        <w:tab/>
      </w:r>
      <w:r w:rsidR="007B5954" w:rsidRPr="00DF5C23">
        <w:rPr>
          <w:noProof/>
        </w:rPr>
        <w:t xml:space="preserve">To ensure that the product passport is flexible, agile and market-driven and evolving in line with business models, markets and innovation, it should be based on a decentralised data system, set up and maintained by economic operators. However, for enforcement and monitoring purposes, it </w:t>
      </w:r>
      <w:r w:rsidR="005F1BCA" w:rsidRPr="00DF5C23">
        <w:rPr>
          <w:noProof/>
        </w:rPr>
        <w:t xml:space="preserve">may be </w:t>
      </w:r>
      <w:r w:rsidR="007B5954" w:rsidRPr="00DF5C23">
        <w:rPr>
          <w:noProof/>
        </w:rPr>
        <w:t xml:space="preserve">necessary that competent national authorities and the Commission have direct access to a record of all data carriers and unique identifiers linked to products placed on the market or put in service. </w:t>
      </w:r>
    </w:p>
    <w:p w14:paraId="2C3A55A2" w14:textId="3D3E5A6C" w:rsidR="00D56F7D" w:rsidRPr="00DF5C23" w:rsidRDefault="004F5E59" w:rsidP="004F5E59">
      <w:pPr>
        <w:pStyle w:val="ManualConsidrant"/>
        <w:rPr>
          <w:noProof/>
        </w:rPr>
      </w:pPr>
      <w:r w:rsidRPr="004F5E59">
        <w:t>(33)</w:t>
      </w:r>
      <w:r w:rsidRPr="004F5E59">
        <w:tab/>
      </w:r>
      <w:r w:rsidR="00D56F7D" w:rsidRPr="00DF5C23">
        <w:rPr>
          <w:noProof/>
        </w:rPr>
        <w:t xml:space="preserve">To ensure the effective roll-out of the product passport, </w:t>
      </w:r>
      <w:r w:rsidR="00D56F7D" w:rsidRPr="00DF5C23">
        <w:rPr>
          <w:noProof/>
          <w:lang w:eastAsia="fr-BE"/>
        </w:rPr>
        <w:t>technical design, data requirements and operation of the product passpor</w:t>
      </w:r>
      <w:r w:rsidR="00DA2FDD" w:rsidRPr="00DF5C23">
        <w:rPr>
          <w:noProof/>
          <w:lang w:eastAsia="fr-BE"/>
        </w:rPr>
        <w:t>t should adhere to a set of essential technical requirements</w:t>
      </w:r>
      <w:r w:rsidR="00D56F7D" w:rsidRPr="00DF5C23">
        <w:rPr>
          <w:noProof/>
          <w:lang w:eastAsia="fr-BE"/>
        </w:rPr>
        <w:t xml:space="preserve">. Such </w:t>
      </w:r>
      <w:r w:rsidR="00DA2FDD" w:rsidRPr="00DF5C23">
        <w:rPr>
          <w:noProof/>
          <w:lang w:eastAsia="fr-BE"/>
        </w:rPr>
        <w:t>requirements</w:t>
      </w:r>
      <w:r w:rsidR="00D56F7D" w:rsidRPr="00DF5C23">
        <w:rPr>
          <w:noProof/>
          <w:lang w:eastAsia="fr-BE"/>
        </w:rPr>
        <w:t xml:space="preserve"> should provide a basis for the consistent deployment of the product passport across sectors. </w:t>
      </w:r>
      <w:r w:rsidR="00DA2FDD" w:rsidRPr="00DF5C23">
        <w:rPr>
          <w:noProof/>
        </w:rPr>
        <w:t>T</w:t>
      </w:r>
      <w:r w:rsidR="00D56F7D" w:rsidRPr="00DF5C23">
        <w:rPr>
          <w:noProof/>
        </w:rPr>
        <w:t xml:space="preserve">echnical specifications should be established </w:t>
      </w:r>
      <w:r w:rsidR="00DA2FDD" w:rsidRPr="00DF5C23">
        <w:rPr>
          <w:noProof/>
        </w:rPr>
        <w:t>to ensure the effective implementation of those essential requirements, either in the form of harmonised standard referenced in the Official Journal or, as a fall-back option, common specification adopted by the Commission</w:t>
      </w:r>
      <w:r w:rsidR="00D56F7D" w:rsidRPr="00DF5C23">
        <w:rPr>
          <w:noProof/>
        </w:rPr>
        <w:t>. The technical design should ensure that the product passport carries data in a secure way, respecting privacy rules</w:t>
      </w:r>
      <w:r w:rsidR="007B5954" w:rsidRPr="00DF5C23">
        <w:rPr>
          <w:noProof/>
        </w:rPr>
        <w:t xml:space="preserve"> </w:t>
      </w:r>
      <w:r w:rsidR="00844C3D" w:rsidRPr="00DF5C23">
        <w:rPr>
          <w:noProof/>
        </w:rPr>
        <w:t>The digital product passport will be developed in an open dialogue with international partners, in order to take account of their views when developing technical specifications and to ensure that they help remove trade barriers for greener products and lower costs for sustainable investments, marketing and compliance.</w:t>
      </w:r>
      <w:r w:rsidR="009D6DB7" w:rsidRPr="00DF5C23">
        <w:rPr>
          <w:noProof/>
        </w:rPr>
        <w:t xml:space="preserve"> </w:t>
      </w:r>
      <w:r w:rsidR="007B5954" w:rsidRPr="00DF5C23">
        <w:rPr>
          <w:noProof/>
        </w:rPr>
        <w:t xml:space="preserve">Technical specifications and requirements related to traceability across the value chain should, in order to allow for their effective implementation, to the extent possible be developed based on a consensual approach and on the involvement, buy-in, and effective collaboration of a diverse set of actors, </w:t>
      </w:r>
      <w:r w:rsidR="007B5954" w:rsidRPr="00DF5C23">
        <w:rPr>
          <w:noProof/>
          <w:lang w:val="en-IE"/>
        </w:rPr>
        <w:t xml:space="preserve">including standardisation bodies, industry associations, </w:t>
      </w:r>
      <w:r w:rsidR="007B5954" w:rsidRPr="00DF5C23">
        <w:rPr>
          <w:noProof/>
        </w:rPr>
        <w:t xml:space="preserve">consumer </w:t>
      </w:r>
      <w:r w:rsidR="007B5954" w:rsidRPr="00DF5C23">
        <w:rPr>
          <w:noProof/>
          <w:lang w:val="en-IE"/>
        </w:rPr>
        <w:t xml:space="preserve">organisations, experts, NGOs and </w:t>
      </w:r>
      <w:r w:rsidR="007B5954" w:rsidRPr="00DF5C23">
        <w:rPr>
          <w:noProof/>
        </w:rPr>
        <w:t xml:space="preserve">international partners, including developing economies. </w:t>
      </w:r>
    </w:p>
    <w:p w14:paraId="2C3A55A3" w14:textId="10A5A1D6" w:rsidR="00A97E00" w:rsidRPr="00DF5C23" w:rsidRDefault="004F5E59" w:rsidP="004F5E59">
      <w:pPr>
        <w:pStyle w:val="ManualConsidrant"/>
        <w:rPr>
          <w:noProof/>
        </w:rPr>
      </w:pPr>
      <w:r w:rsidRPr="004F5E59">
        <w:t>(34)</w:t>
      </w:r>
      <w:r w:rsidRPr="004F5E59">
        <w:tab/>
      </w:r>
      <w:r w:rsidR="23DF1179">
        <w:rPr>
          <w:noProof/>
        </w:rPr>
        <w:t xml:space="preserve">In order to improve enforcement of ecodesign requirements, it is necessary that national authorities and the Commission have direct access to a record of all data carriers and unique identifiers linked to products placed on the market or put in service. To this end, the Commission should set up and maintain a product passport registry to store such data. Where needed to further facilitate enforcement, the Commission should, as appropriate, specify other information included in the product passport that needs to be stored in the registry. </w:t>
      </w:r>
    </w:p>
    <w:p w14:paraId="2C3A55A4" w14:textId="66E23F5C" w:rsidR="00262511" w:rsidRPr="00DF5C23" w:rsidRDefault="004F5E59" w:rsidP="004F5E59">
      <w:pPr>
        <w:pStyle w:val="ManualConsidrant"/>
        <w:rPr>
          <w:noProof/>
        </w:rPr>
      </w:pPr>
      <w:r w:rsidRPr="004F5E59">
        <w:t>(35)</w:t>
      </w:r>
      <w:r w:rsidRPr="004F5E59">
        <w:tab/>
      </w:r>
      <w:r w:rsidR="00A97E00" w:rsidRPr="00DF5C23">
        <w:rPr>
          <w:noProof/>
        </w:rPr>
        <w:t xml:space="preserve">Any processing of personal data pursuant to this Regulation should comply with the applicable rules on the protection of personal data. Processing of personal data by the </w:t>
      </w:r>
      <w:r w:rsidR="00E724E8" w:rsidRPr="00DF5C23">
        <w:rPr>
          <w:noProof/>
        </w:rPr>
        <w:t>competent national</w:t>
      </w:r>
      <w:r w:rsidR="00A97E00" w:rsidRPr="00DF5C23">
        <w:rPr>
          <w:noProof/>
        </w:rPr>
        <w:t xml:space="preserve"> authorities within Member States should be carried out in accordance with Regulation (EU) 2016/679 of the European Parliament and of the Council</w:t>
      </w:r>
      <w:r w:rsidR="00D17BF9" w:rsidRPr="00DF5C23">
        <w:rPr>
          <w:rStyle w:val="FootnoteReference0"/>
          <w:noProof/>
        </w:rPr>
        <w:footnoteReference w:id="67"/>
      </w:r>
      <w:r w:rsidR="00A97E00" w:rsidRPr="00DF5C23">
        <w:rPr>
          <w:noProof/>
        </w:rPr>
        <w:t>. Processing of personal data by the Commission should be carried out in accordance with Regulation (EU) 2018/1725 of the European Parliament and of the Counci</w:t>
      </w:r>
      <w:r w:rsidR="00D17BF9" w:rsidRPr="00DF5C23">
        <w:rPr>
          <w:noProof/>
        </w:rPr>
        <w:t>l</w:t>
      </w:r>
      <w:r w:rsidR="00D17BF9" w:rsidRPr="00DF5C23">
        <w:rPr>
          <w:rStyle w:val="FootnoteReference0"/>
          <w:noProof/>
        </w:rPr>
        <w:footnoteReference w:id="68"/>
      </w:r>
      <w:r w:rsidR="00A97E00" w:rsidRPr="00DF5C23">
        <w:rPr>
          <w:noProof/>
        </w:rPr>
        <w:t>.</w:t>
      </w:r>
    </w:p>
    <w:p w14:paraId="2C3A55A5" w14:textId="29E8E692" w:rsidR="00262511" w:rsidRPr="00DF5C23" w:rsidRDefault="004F5E59" w:rsidP="004F5E59">
      <w:pPr>
        <w:pStyle w:val="ManualConsidrant"/>
        <w:rPr>
          <w:noProof/>
        </w:rPr>
      </w:pPr>
      <w:r w:rsidRPr="004F5E59">
        <w:t>(36)</w:t>
      </w:r>
      <w:r w:rsidRPr="004F5E59">
        <w:tab/>
      </w:r>
      <w:r w:rsidR="23DF1179">
        <w:rPr>
          <w:noProof/>
        </w:rPr>
        <w:t>Effective enforcement in relation to products placed on the Union market, whether domestically produced or imported, is essential for achieving the aims of this Regulation. Therefore, where the Commission has set up a registry, customs authorities should have direct access to it via the EU Single Window Environment for Customs set up by Regulation (EU) …/…. The role of customs should be to ensure that the reference of a product passport is made available in the customs declaration and that this reference corresponds to a unique product identifier that is stored in the registry. This would allow the verification by customs that a product passport exists for imported products.</w:t>
      </w:r>
    </w:p>
    <w:p w14:paraId="2C3A55A6" w14:textId="07FDAD2A" w:rsidR="00262511" w:rsidRPr="00DF5C23" w:rsidRDefault="004F5E59" w:rsidP="004F5E59">
      <w:pPr>
        <w:pStyle w:val="ManualConsidrant"/>
        <w:rPr>
          <w:noProof/>
        </w:rPr>
      </w:pPr>
      <w:r w:rsidRPr="004F5E59">
        <w:t>(37)</w:t>
      </w:r>
      <w:r w:rsidRPr="004F5E59">
        <w:tab/>
      </w:r>
      <w:r w:rsidR="23DF1179">
        <w:rPr>
          <w:noProof/>
        </w:rPr>
        <w:t>Where certain information included in the product passport is stored in the registry in addition to data carriers and unique identifiers, the Commission should be able to provide, where appropriate, that customs authorities verify the consistency between this information and the customs declaration, in order to improve the compliance of products with ecodesign requirements and taking into account the need to avoid disproportionate burden for customs authorities.</w:t>
      </w:r>
    </w:p>
    <w:p w14:paraId="2C3A55A7" w14:textId="2545F611" w:rsidR="00262511" w:rsidRPr="00DF5C23" w:rsidRDefault="004F5E59" w:rsidP="004F5E59">
      <w:pPr>
        <w:pStyle w:val="ManualConsidrant"/>
        <w:rPr>
          <w:noProof/>
        </w:rPr>
      </w:pPr>
      <w:r w:rsidRPr="004F5E59">
        <w:t>(38)</w:t>
      </w:r>
      <w:r w:rsidRPr="004F5E59">
        <w:tab/>
      </w:r>
      <w:r w:rsidR="00262511" w:rsidRPr="00DF5C23">
        <w:rPr>
          <w:noProof/>
        </w:rPr>
        <w:t xml:space="preserve">The information included in the product passport </w:t>
      </w:r>
      <w:r w:rsidR="005641EE" w:rsidRPr="00DF5C23">
        <w:rPr>
          <w:noProof/>
        </w:rPr>
        <w:t xml:space="preserve">can </w:t>
      </w:r>
      <w:r w:rsidR="00262511" w:rsidRPr="00DF5C23">
        <w:rPr>
          <w:noProof/>
        </w:rPr>
        <w:t>allow customs authorities to enrich and facilitate risk management and enable the better targeting of controls at the border. T</w:t>
      </w:r>
      <w:r w:rsidR="005641EE" w:rsidRPr="00DF5C23">
        <w:rPr>
          <w:noProof/>
        </w:rPr>
        <w:t>herefore</w:t>
      </w:r>
      <w:r w:rsidR="00262511" w:rsidRPr="00DF5C23">
        <w:rPr>
          <w:noProof/>
        </w:rPr>
        <w:t xml:space="preserve">, customs authorities </w:t>
      </w:r>
      <w:r w:rsidR="005641EE" w:rsidRPr="00DF5C23">
        <w:rPr>
          <w:noProof/>
        </w:rPr>
        <w:t xml:space="preserve">should be able to </w:t>
      </w:r>
      <w:r w:rsidR="00262511" w:rsidRPr="00DF5C23">
        <w:rPr>
          <w:noProof/>
        </w:rPr>
        <w:t>retrieve and use the information included in the product passport and the</w:t>
      </w:r>
      <w:r w:rsidR="00463675" w:rsidRPr="00DF5C23">
        <w:rPr>
          <w:noProof/>
        </w:rPr>
        <w:t xml:space="preserve"> related</w:t>
      </w:r>
      <w:r w:rsidR="00262511" w:rsidRPr="00DF5C23">
        <w:rPr>
          <w:noProof/>
        </w:rPr>
        <w:t xml:space="preserve"> registry for carrying out their tasks in accordance with Union legislation including for risk management in accordance with Regulation (EU) No 952/2013 of the European Parliament and of the Council</w:t>
      </w:r>
      <w:r w:rsidR="00F32EC6" w:rsidRPr="00DF5C23">
        <w:rPr>
          <w:rStyle w:val="FootnoteReference0"/>
          <w:noProof/>
        </w:rPr>
        <w:footnoteReference w:id="69"/>
      </w:r>
      <w:r w:rsidR="005A5D00" w:rsidRPr="00DF5C23">
        <w:rPr>
          <w:noProof/>
        </w:rPr>
        <w:t xml:space="preserve">. </w:t>
      </w:r>
    </w:p>
    <w:p w14:paraId="2C3A55A8" w14:textId="46E39E8A" w:rsidR="00D56F7D" w:rsidRPr="00DF5C23" w:rsidRDefault="004F5E59" w:rsidP="004F5E59">
      <w:pPr>
        <w:pStyle w:val="ManualConsidrant"/>
        <w:rPr>
          <w:noProof/>
        </w:rPr>
      </w:pPr>
      <w:r w:rsidRPr="004F5E59">
        <w:t>(39)</w:t>
      </w:r>
      <w:r w:rsidRPr="004F5E59">
        <w:tab/>
      </w:r>
      <w:r w:rsidR="23DF1179">
        <w:rPr>
          <w:noProof/>
        </w:rPr>
        <w:t xml:space="preserve">To drive consumers towards more sustainable choices, labels should, when required by the delegated acts adopted pursuant to this Regulation, provide information allowing for the effective comparison of products, for instance by indicating classes of performance. Specifically for consumers, physical labels can be an additional source of information at the place of sale. They can provide a quick visual basis for consumers to distinguish between products based on their performance in relation to a specific product parameter or set of product parameters. They should, where appropriate, also allow for the accessing of additional information by bearing specific references like website addresses, dynamic QR codes, links to online labels or any appropriate consumer-oriented means. The Commission should set out in the relevant delegated act the most effective way of displaying such labels, including in the case of online distance selling, taking into account the implications for customers and economic operators and the characteristics of the products concerned. The Commission may also require the label to be printed on the packaging of the product. </w:t>
      </w:r>
    </w:p>
    <w:p w14:paraId="2C3A55A9" w14:textId="720F0FF2" w:rsidR="00C82DE6" w:rsidRPr="00DF5C23" w:rsidRDefault="004F5E59" w:rsidP="004F5E59">
      <w:pPr>
        <w:pStyle w:val="ManualConsidrant"/>
        <w:rPr>
          <w:noProof/>
          <w:lang w:val="en-IE"/>
        </w:rPr>
      </w:pPr>
      <w:r w:rsidRPr="004F5E59">
        <w:t>(40)</w:t>
      </w:r>
      <w:r w:rsidRPr="004F5E59">
        <w:tab/>
      </w:r>
      <w:r w:rsidR="23DF1179" w:rsidRPr="23DF1179">
        <w:rPr>
          <w:noProof/>
          <w:lang w:val="en-IE"/>
        </w:rPr>
        <w:t>Regulation (EU) 2017/1369 setting a framework on energy labelling applies, in parallel to this Regulation, to energy-related products. This means that energy labels are the primary instrument providing the appropriate information to consumers for energy-related products and that classes of performance determined under this Regulation should, where appropriate, be incorporated in the label as supplementary information as provided for in Article 16 of Regulation (EU) 2017/1369. In cases where relevant information on a product’s performance in relation to a product parameter cannot be included as supplementary information in the energy label established for the energy-related product pursuant to Regulation (EU) 2017/1369, the Commission should assess whether a label in accordance with this Regulation is to be established, taking into account the need for consumers to be informed on the most relevant parameters for the product and the disadvantages in terms of risks of confusion for the public and of excessive administrative burden for economic operators.</w:t>
      </w:r>
    </w:p>
    <w:p w14:paraId="2C3A55AA" w14:textId="753AF67D" w:rsidR="00657719" w:rsidRPr="00DF5C23" w:rsidRDefault="004F5E59" w:rsidP="004F5E59">
      <w:pPr>
        <w:pStyle w:val="ManualConsidrant"/>
        <w:rPr>
          <w:noProof/>
          <w:lang w:val="en-IE"/>
        </w:rPr>
      </w:pPr>
      <w:r w:rsidRPr="004F5E59">
        <w:t>(41)</w:t>
      </w:r>
      <w:r w:rsidRPr="004F5E59">
        <w:tab/>
      </w:r>
      <w:r w:rsidR="23DF1179" w:rsidRPr="23DF1179">
        <w:rPr>
          <w:noProof/>
          <w:lang w:val="en-IE"/>
        </w:rPr>
        <w:t xml:space="preserve">Consumers should be protected from misleading information that could hamper their choices for more sustainable products. For this reasons it should be prohibited to place on the market products bearing a label mimicking the labels provided for in this Regulation. </w:t>
      </w:r>
    </w:p>
    <w:p w14:paraId="2C3A55AB" w14:textId="315DC428" w:rsidR="00DD43D3" w:rsidRPr="00DF5C23" w:rsidRDefault="004F5E59" w:rsidP="004F5E59">
      <w:pPr>
        <w:pStyle w:val="ManualConsidrant"/>
        <w:rPr>
          <w:noProof/>
        </w:rPr>
      </w:pPr>
      <w:r w:rsidRPr="004F5E59">
        <w:t>(42)</w:t>
      </w:r>
      <w:r w:rsidRPr="004F5E59">
        <w:tab/>
      </w:r>
      <w:r w:rsidR="23DF1179">
        <w:rPr>
          <w:noProof/>
        </w:rPr>
        <w:t xml:space="preserve">To deliver in the most efficient way on the European Green Deal’s objectives and to address the most impactful products first, the Commission should carry out a prioritisation of products to be regulated under this Regulation and requirements that will apply to them. Based on the process followed for prioritisation under Directive 2009/125/EC, the Commission should adopt a working plan, covering at least 3 years, laying down a list of product groups for which it plans to adopt delegated acts as well as the product aspects for which it intends to adopt delegated acts of horizontal application. The Commission should base its prioritisation on a set of criteria pertaining in particular to the delegated acts’ potential contribution to the Union climate, environmental and energy objectives and their potential for improving the product aspects selected without disproportionate costs to the public and economic operators. </w:t>
      </w:r>
      <w:r w:rsidR="23DF1179" w:rsidRPr="23DF1179">
        <w:rPr>
          <w:noProof/>
          <w:lang w:val="en-IE"/>
        </w:rPr>
        <w:t xml:space="preserve">Considering their importance for meeting the Union’s energy objectives, the working </w:t>
      </w:r>
      <w:r w:rsidR="23DF1179">
        <w:rPr>
          <w:noProof/>
        </w:rPr>
        <w:t xml:space="preserve">plans should include an adequate share of actions </w:t>
      </w:r>
      <w:r w:rsidR="23DF1179" w:rsidRPr="23DF1179">
        <w:rPr>
          <w:noProof/>
          <w:lang w:val="en-IE"/>
        </w:rPr>
        <w:t>related to energy-related products.</w:t>
      </w:r>
      <w:r w:rsidR="23DF1179">
        <w:rPr>
          <w:noProof/>
        </w:rPr>
        <w:t xml:space="preserve"> Member States and stakeholders should also be consulted through the Ecodesign Forum. Due to the complementarities between this Regulation and Regulation (EU) 2017/1369 for energy-related products, the timelines for the working plan under this Regulation and the one provided for under Article 15 of Regulation (EU) 2017/1369 should be aligned.</w:t>
      </w:r>
      <w:r w:rsidR="23DF1179" w:rsidRPr="23DF1179">
        <w:rPr>
          <w:noProof/>
          <w:lang w:eastAsia="en-GB"/>
        </w:rPr>
        <w:t xml:space="preserve"> </w:t>
      </w:r>
    </w:p>
    <w:p w14:paraId="2C3A55AC" w14:textId="67793E74" w:rsidR="00D71484" w:rsidRPr="00DF5C23" w:rsidRDefault="004F5E59" w:rsidP="004F5E59">
      <w:pPr>
        <w:pStyle w:val="ManualConsidrant"/>
        <w:rPr>
          <w:noProof/>
        </w:rPr>
      </w:pPr>
      <w:r w:rsidRPr="004F5E59">
        <w:t>(43)</w:t>
      </w:r>
      <w:r w:rsidRPr="004F5E59">
        <w:tab/>
      </w:r>
      <w:r w:rsidR="23DF1179">
        <w:rPr>
          <w:noProof/>
        </w:rPr>
        <w:t>In addressing construction products, this Regulation should set requirements on final products only when the obligations created by [the revised Construction Products Regulation] and its implementation are unlikely to sufficiently achieve the environmental sustainability objectives pursued by this Regulation. In addition, when formulating working plans, the Commission should take into account that, in continuation of current practice, [the revised Construction Products Regulation] will, in relation to energy-related products that are also construction products, give prevalence to sustainability requirements set under this Regulation. This should be the case for instance for heaters, boilers, heat pumps, water and space heating appliances, fans, cooling and ventilating systems and photovoltaic products (excluding building-integrated photovoltaic panels). For these products, [the revised Construction Products Regulation] may intervene in a complementary manner where needed, mainly in relation to safety aspects, also taking account of other Union legislation on products such as on gas appliances, low voltage, and machinery.</w:t>
      </w:r>
    </w:p>
    <w:p w14:paraId="2C3A55AD" w14:textId="0030B415" w:rsidR="00D81745" w:rsidRPr="00DF5C23" w:rsidRDefault="004F5E59" w:rsidP="004F5E59">
      <w:pPr>
        <w:pStyle w:val="ManualConsidrant"/>
        <w:rPr>
          <w:noProof/>
        </w:rPr>
      </w:pPr>
      <w:r w:rsidRPr="004F5E59">
        <w:t>(44)</w:t>
      </w:r>
      <w:r w:rsidRPr="004F5E59">
        <w:tab/>
      </w:r>
      <w:r w:rsidR="23DF1179">
        <w:rPr>
          <w:noProof/>
        </w:rPr>
        <w:t xml:space="preserve">In order to encourage self-regulation as a valid alternative to regulatory approaches, this Regulation should, in continuation of Directive 2009/125/EC, include the possibility for industry to submit self-regulation measures. The Commission should assess the self-regulation measures proposed by industry, along with the information and evidence submitted by the signatories, including in light of </w:t>
      </w:r>
      <w:r w:rsidR="23DF1179" w:rsidRPr="23DF1179">
        <w:rPr>
          <w:noProof/>
          <w:lang w:val="en-IE"/>
        </w:rPr>
        <w:t xml:space="preserve">the international trade commitments of the Union and the need to ensure coherence with Union law. </w:t>
      </w:r>
      <w:r w:rsidR="23DF1179">
        <w:rPr>
          <w:noProof/>
        </w:rPr>
        <w:t>In order to ensure uniform conditions for the implementation of this Regulation, implementing powers should be conferred on the Commission to adopt and update an act listing the self-regulation measures considered as valid alternatives to a delegated act setting ecodesign requirements. It is also appropriate, for instance in view of relevant market or technological developments within the product group concerned, that the Commission be able to request a revised version of the self-regulation measure whenever considered necessary. Once a self-regulation measure is listed in an implementing act, there is a legitimate expectation for economic operators that the Commission will not adopt a delegated act establishing ecodesign requirements for this specific product group. However, it is not excluded that the Commission may adopt horizontal ecodesign requirements also applying to the products covered by a recognised self-regulation measure for the product aspects not addressed by that self-regulation measure. Where the Commission considers that a self-regulation measure no longer fulfils the criteria set in this Regulation, it should remove that self-regulation from the implementing act listing the recognised self-regulation measures. Consequently, ecodesign requirements may then be established for the product groups previously addressed by the self-regulation measure, in accordance with this Regulation.</w:t>
      </w:r>
    </w:p>
    <w:p w14:paraId="2C3A55AE" w14:textId="47220BEF" w:rsidR="00D81745" w:rsidRPr="00DF5C23" w:rsidRDefault="004F5E59" w:rsidP="004F5E59">
      <w:pPr>
        <w:pStyle w:val="ManualConsidrant"/>
        <w:rPr>
          <w:noProof/>
        </w:rPr>
      </w:pPr>
      <w:r w:rsidRPr="004F5E59">
        <w:t>(45)</w:t>
      </w:r>
      <w:r w:rsidRPr="004F5E59">
        <w:tab/>
      </w:r>
      <w:r w:rsidR="23DF1179">
        <w:rPr>
          <w:noProof/>
        </w:rPr>
        <w:t xml:space="preserve">Micro, small and medium-sized enterprises (SMEs) could greatly benefit from an increase in the demand for sustainable products but could also face costs and difficulties with some of the requirements. </w:t>
      </w:r>
      <w:r w:rsidR="23DF1179" w:rsidRPr="23DF1179">
        <w:rPr>
          <w:noProof/>
          <w:lang w:eastAsia="fr-BE"/>
        </w:rPr>
        <w:t xml:space="preserve">The Member States and the Commission should, in their respective areas of responsibility, provide adequate information, ensure targeted and specialised training, and provide specific assistance and support, including financial, to SMEs active in the manufacturing of products for which </w:t>
      </w:r>
      <w:r w:rsidR="23DF1179" w:rsidRPr="23DF1179">
        <w:rPr>
          <w:noProof/>
          <w:lang w:val="en-IE" w:eastAsia="fr-BE"/>
        </w:rPr>
        <w:t>ecodesign</w:t>
      </w:r>
      <w:r w:rsidR="23DF1179" w:rsidRPr="23DF1179">
        <w:rPr>
          <w:noProof/>
          <w:lang w:eastAsia="fr-BE"/>
        </w:rPr>
        <w:t xml:space="preserve"> requirements are set. Those actions should, for example, cover the calculation of the product environmental footprint and the technical implementation of the product passport. Member States actions should be taken in respect of applicable State aid rules.</w:t>
      </w:r>
    </w:p>
    <w:p w14:paraId="2C3A55AF" w14:textId="5C41107A" w:rsidR="00DD43D3" w:rsidRPr="00DF5C23" w:rsidRDefault="004F5E59" w:rsidP="004F5E59">
      <w:pPr>
        <w:pStyle w:val="ManualConsidrant"/>
        <w:rPr>
          <w:noProof/>
        </w:rPr>
      </w:pPr>
      <w:r w:rsidRPr="004F5E59">
        <w:t>(46)</w:t>
      </w:r>
      <w:r w:rsidRPr="004F5E59">
        <w:tab/>
      </w:r>
      <w:r w:rsidR="00B814B2" w:rsidRPr="00DF5C23">
        <w:rPr>
          <w:noProof/>
        </w:rPr>
        <w:t xml:space="preserve">The destruction of unsold consumer products, such as textiles and </w:t>
      </w:r>
      <w:r w:rsidR="00904480" w:rsidRPr="00DF5C23">
        <w:rPr>
          <w:noProof/>
        </w:rPr>
        <w:t>footwear</w:t>
      </w:r>
      <w:r w:rsidR="00B814B2" w:rsidRPr="00DF5C23">
        <w:rPr>
          <w:noProof/>
        </w:rPr>
        <w:t>, by economic operators is becoming a widespread environmental problem across the Union, in particular due to the rapid growth of online sales. It amounts to a loss of valuable economic resources as good</w:t>
      </w:r>
      <w:r w:rsidR="00ED25E9" w:rsidRPr="00DF5C23">
        <w:rPr>
          <w:noProof/>
        </w:rPr>
        <w:t>s</w:t>
      </w:r>
      <w:r w:rsidR="00B814B2" w:rsidRPr="00DF5C23">
        <w:rPr>
          <w:noProof/>
        </w:rPr>
        <w:t xml:space="preserve"> are produced, transported and afterwards destroyed without ever being used for their intended purpose. </w:t>
      </w:r>
      <w:r w:rsidR="00ED25E9" w:rsidRPr="00DF5C23">
        <w:rPr>
          <w:noProof/>
        </w:rPr>
        <w:t>It is therefore necessary, in the interest of environmental protection, that t</w:t>
      </w:r>
      <w:r w:rsidR="00B814B2" w:rsidRPr="00DF5C23">
        <w:rPr>
          <w:noProof/>
        </w:rPr>
        <w:t>his Regulation establish</w:t>
      </w:r>
      <w:r w:rsidR="00ED25E9" w:rsidRPr="00DF5C23">
        <w:rPr>
          <w:noProof/>
        </w:rPr>
        <w:t>es</w:t>
      </w:r>
      <w:r w:rsidR="00B814B2" w:rsidRPr="00DF5C23">
        <w:rPr>
          <w:noProof/>
        </w:rPr>
        <w:t xml:space="preserve"> a framework</w:t>
      </w:r>
      <w:r w:rsidR="00DD43D3" w:rsidRPr="00DF5C23">
        <w:rPr>
          <w:noProof/>
        </w:rPr>
        <w:t xml:space="preserve"> to prevent the destruction of unsold products</w:t>
      </w:r>
      <w:r w:rsidR="00BC0115" w:rsidRPr="00DF5C23">
        <w:rPr>
          <w:noProof/>
        </w:rPr>
        <w:t xml:space="preserve"> primarily intended for consumers pursuant to </w:t>
      </w:r>
      <w:r w:rsidR="00BC0115" w:rsidRPr="00DF5C23">
        <w:rPr>
          <w:noProof/>
          <w:shd w:val="clear" w:color="auto" w:fill="FFFFFF"/>
          <w:lang w:val="en-US"/>
        </w:rPr>
        <w:t>Directive (EU) 2019/771</w:t>
      </w:r>
      <w:r w:rsidR="00BC0115" w:rsidRPr="00DF5C23">
        <w:rPr>
          <w:noProof/>
        </w:rPr>
        <w:t xml:space="preserve"> of the European Parliament and of the Council</w:t>
      </w:r>
      <w:r w:rsidR="00F84A92" w:rsidRPr="00DF5C23">
        <w:rPr>
          <w:rStyle w:val="FootnoteReference0"/>
          <w:noProof/>
        </w:rPr>
        <w:footnoteReference w:id="70"/>
      </w:r>
      <w:r w:rsidR="00DD43D3" w:rsidRPr="00DF5C23">
        <w:rPr>
          <w:noProof/>
        </w:rPr>
        <w:t>, including products that have been returned by a consumer</w:t>
      </w:r>
      <w:r w:rsidR="00F65FBB" w:rsidRPr="00DF5C23">
        <w:rPr>
          <w:noProof/>
        </w:rPr>
        <w:t xml:space="preserve"> in view </w:t>
      </w:r>
      <w:r w:rsidR="001F2788" w:rsidRPr="00DF5C23">
        <w:rPr>
          <w:noProof/>
        </w:rPr>
        <w:t>of</w:t>
      </w:r>
      <w:r w:rsidR="00F65FBB" w:rsidRPr="00DF5C23">
        <w:rPr>
          <w:noProof/>
        </w:rPr>
        <w:t xml:space="preserve"> their right of withdrawal as laid down by Directive (EU) 2011/83/EU of the European Parliament and of the Council</w:t>
      </w:r>
      <w:r w:rsidR="00F84A92" w:rsidRPr="00DF5C23">
        <w:rPr>
          <w:rStyle w:val="FootnoteReference0"/>
          <w:noProof/>
        </w:rPr>
        <w:footnoteReference w:id="71"/>
      </w:r>
      <w:r w:rsidR="001F2788" w:rsidRPr="00DF5C23">
        <w:rPr>
          <w:noProof/>
        </w:rPr>
        <w:t xml:space="preserve">. </w:t>
      </w:r>
      <w:r w:rsidR="00DD43D3" w:rsidRPr="00DF5C23">
        <w:rPr>
          <w:noProof/>
        </w:rPr>
        <w:t xml:space="preserve">This will reduce the </w:t>
      </w:r>
      <w:r w:rsidR="00F65FBB" w:rsidRPr="00DF5C23">
        <w:rPr>
          <w:noProof/>
        </w:rPr>
        <w:t xml:space="preserve">environmental impact of </w:t>
      </w:r>
      <w:r w:rsidR="00B814B2" w:rsidRPr="00DF5C23">
        <w:rPr>
          <w:noProof/>
        </w:rPr>
        <w:t xml:space="preserve">those </w:t>
      </w:r>
      <w:r w:rsidR="00F65FBB" w:rsidRPr="00DF5C23">
        <w:rPr>
          <w:noProof/>
        </w:rPr>
        <w:t xml:space="preserve">products by reducing the </w:t>
      </w:r>
      <w:r w:rsidR="00DD43D3" w:rsidRPr="00DF5C23">
        <w:rPr>
          <w:noProof/>
        </w:rPr>
        <w:t>generation of waste</w:t>
      </w:r>
      <w:r w:rsidR="00F65FBB" w:rsidRPr="00DF5C23">
        <w:rPr>
          <w:noProof/>
        </w:rPr>
        <w:t xml:space="preserve"> and by </w:t>
      </w:r>
      <w:r w:rsidR="00DD43D3" w:rsidRPr="00DF5C23">
        <w:rPr>
          <w:noProof/>
        </w:rPr>
        <w:t>dis-</w:t>
      </w:r>
      <w:r w:rsidR="00F65FBB" w:rsidRPr="00DF5C23">
        <w:rPr>
          <w:noProof/>
        </w:rPr>
        <w:t>incentivising</w:t>
      </w:r>
      <w:r w:rsidR="00DD43D3" w:rsidRPr="00DF5C23">
        <w:rPr>
          <w:noProof/>
        </w:rPr>
        <w:t xml:space="preserve"> overproduction of products. </w:t>
      </w:r>
      <w:r w:rsidR="00B814B2" w:rsidRPr="00DF5C23">
        <w:rPr>
          <w:noProof/>
        </w:rPr>
        <w:t>In addition, given that several Member States have introduced national legislation on the destruction of unsold consumer products thereby creating market distortions, h</w:t>
      </w:r>
      <w:r w:rsidR="00DD43D3" w:rsidRPr="00DF5C23">
        <w:rPr>
          <w:noProof/>
        </w:rPr>
        <w:t xml:space="preserve">armonised rules on the destruction of unsold consumer products are necessary to ensure that distributors, retailers and other economic operators are subject to the same rules and incentives across Member States. </w:t>
      </w:r>
    </w:p>
    <w:p w14:paraId="2C3A55B0" w14:textId="119D57E1" w:rsidR="00DD43D3" w:rsidRPr="00DF5C23" w:rsidRDefault="004F5E59" w:rsidP="004F5E59">
      <w:pPr>
        <w:pStyle w:val="ManualConsidrant"/>
        <w:rPr>
          <w:noProof/>
        </w:rPr>
      </w:pPr>
      <w:r w:rsidRPr="004F5E59">
        <w:t>(47)</w:t>
      </w:r>
      <w:r w:rsidRPr="004F5E59">
        <w:tab/>
      </w:r>
      <w:r w:rsidR="00DD43D3" w:rsidRPr="00DF5C23">
        <w:rPr>
          <w:noProof/>
        </w:rPr>
        <w:t>To dis-incentivise the destruction of unsold consumer products and to further generate data on the occurrence of this practice, this Regulation should introduce a transparency obligation for economic operators</w:t>
      </w:r>
      <w:r w:rsidR="00F65FBB" w:rsidRPr="00DF5C23">
        <w:rPr>
          <w:noProof/>
        </w:rPr>
        <w:t xml:space="preserve"> holding consumer products in the U</w:t>
      </w:r>
      <w:r w:rsidR="00280B85" w:rsidRPr="00DF5C23">
        <w:rPr>
          <w:noProof/>
        </w:rPr>
        <w:t>nion</w:t>
      </w:r>
      <w:r w:rsidR="00DD43D3" w:rsidRPr="00DF5C23">
        <w:rPr>
          <w:noProof/>
        </w:rPr>
        <w:t xml:space="preserve">, requiring them to disclose information on the number of unsold consumer products </w:t>
      </w:r>
      <w:r w:rsidR="000B193F" w:rsidRPr="00DF5C23">
        <w:rPr>
          <w:noProof/>
        </w:rPr>
        <w:t>discarded</w:t>
      </w:r>
      <w:r w:rsidR="00DD43D3" w:rsidRPr="00DF5C23">
        <w:rPr>
          <w:noProof/>
        </w:rPr>
        <w:t xml:space="preserve"> per year</w:t>
      </w:r>
      <w:r w:rsidR="00F65FBB" w:rsidRPr="00DF5C23">
        <w:rPr>
          <w:noProof/>
        </w:rPr>
        <w:t xml:space="preserve">. The economic operator should </w:t>
      </w:r>
      <w:r w:rsidR="00DD43D3" w:rsidRPr="00DF5C23">
        <w:rPr>
          <w:noProof/>
        </w:rPr>
        <w:t>indicat</w:t>
      </w:r>
      <w:r w:rsidR="00F65FBB" w:rsidRPr="00DF5C23">
        <w:rPr>
          <w:noProof/>
        </w:rPr>
        <w:t xml:space="preserve">e </w:t>
      </w:r>
      <w:r w:rsidR="00DD43D3" w:rsidRPr="00DF5C23">
        <w:rPr>
          <w:noProof/>
        </w:rPr>
        <w:t xml:space="preserve">the product type or category, the reasons for their </w:t>
      </w:r>
      <w:r w:rsidR="000B193F" w:rsidRPr="00DF5C23">
        <w:rPr>
          <w:noProof/>
        </w:rPr>
        <w:t>discarding</w:t>
      </w:r>
      <w:r w:rsidR="00DD43D3" w:rsidRPr="00DF5C23">
        <w:rPr>
          <w:noProof/>
        </w:rPr>
        <w:t xml:space="preserve"> and their </w:t>
      </w:r>
      <w:r w:rsidR="000B193F" w:rsidRPr="00DF5C23">
        <w:rPr>
          <w:noProof/>
          <w:lang w:val="en-IE" w:eastAsia="fr-BE"/>
        </w:rPr>
        <w:t xml:space="preserve">delivery for subsequent waste </w:t>
      </w:r>
      <w:r w:rsidR="00873EE8" w:rsidRPr="00DF5C23">
        <w:rPr>
          <w:noProof/>
          <w:lang w:val="en-IE" w:eastAsia="fr-BE"/>
        </w:rPr>
        <w:t xml:space="preserve">treatment </w:t>
      </w:r>
      <w:r w:rsidR="000B193F" w:rsidRPr="00DF5C23">
        <w:rPr>
          <w:noProof/>
          <w:lang w:val="en-IE" w:eastAsia="fr-BE"/>
        </w:rPr>
        <w:t>operations</w:t>
      </w:r>
      <w:r w:rsidR="00DD43D3" w:rsidRPr="00DF5C23">
        <w:rPr>
          <w:noProof/>
        </w:rPr>
        <w:t xml:space="preserve">. While economic operators </w:t>
      </w:r>
      <w:r w:rsidR="00F65FBB" w:rsidRPr="00DF5C23">
        <w:rPr>
          <w:noProof/>
        </w:rPr>
        <w:t>should be</w:t>
      </w:r>
      <w:r w:rsidR="00DD43D3" w:rsidRPr="00DF5C23">
        <w:rPr>
          <w:noProof/>
        </w:rPr>
        <w:t xml:space="preserve"> free to determine how to disclose th</w:t>
      </w:r>
      <w:r w:rsidR="00F65FBB" w:rsidRPr="00DF5C23">
        <w:rPr>
          <w:noProof/>
        </w:rPr>
        <w:t xml:space="preserve">at </w:t>
      </w:r>
      <w:r w:rsidR="00DD43D3" w:rsidRPr="00DF5C23">
        <w:rPr>
          <w:noProof/>
        </w:rPr>
        <w:t xml:space="preserve">information in a manner appropriate to their business environment, it </w:t>
      </w:r>
      <w:r w:rsidR="00F65FBB" w:rsidRPr="00DF5C23">
        <w:rPr>
          <w:noProof/>
        </w:rPr>
        <w:t>should be</w:t>
      </w:r>
      <w:r w:rsidR="00DD43D3" w:rsidRPr="00DF5C23">
        <w:rPr>
          <w:noProof/>
        </w:rPr>
        <w:t xml:space="preserve"> considered a best practice to include </w:t>
      </w:r>
      <w:r w:rsidR="00F65FBB" w:rsidRPr="00DF5C23">
        <w:rPr>
          <w:noProof/>
        </w:rPr>
        <w:t>the required information</w:t>
      </w:r>
      <w:r w:rsidR="00DD43D3" w:rsidRPr="00DF5C23">
        <w:rPr>
          <w:noProof/>
        </w:rPr>
        <w:t xml:space="preserve"> in a publicly available non-financial statement drafted in accordance with Article 19a of Directive 2013/34/EU of the European Parliament and of the Council</w:t>
      </w:r>
      <w:r w:rsidR="00DD43D3" w:rsidRPr="00DF5C23">
        <w:rPr>
          <w:rStyle w:val="FootnoteReference0"/>
          <w:noProof/>
        </w:rPr>
        <w:footnoteReference w:id="72"/>
      </w:r>
      <w:r w:rsidR="00DD43D3" w:rsidRPr="00DF5C23">
        <w:rPr>
          <w:noProof/>
        </w:rPr>
        <w:t xml:space="preserve"> where applicable. </w:t>
      </w:r>
    </w:p>
    <w:p w14:paraId="2C3A55B1" w14:textId="304CE942" w:rsidR="00DD43D3" w:rsidRPr="00DF5C23" w:rsidRDefault="004F5E59" w:rsidP="004F5E59">
      <w:pPr>
        <w:pStyle w:val="ManualConsidrant"/>
        <w:rPr>
          <w:noProof/>
          <w:lang w:val="en-IE"/>
        </w:rPr>
      </w:pPr>
      <w:r w:rsidRPr="004F5E59">
        <w:t>(48)</w:t>
      </w:r>
      <w:r w:rsidRPr="004F5E59">
        <w:tab/>
      </w:r>
      <w:r w:rsidR="23DF1179">
        <w:rPr>
          <w:noProof/>
        </w:rPr>
        <w:t xml:space="preserve">In order to avoid the destruction of unsold consumer products, where the destruction of such products is prevalent, the power to adopt acts in accordance with Article 290 TFEU should be delegated to the Commission to supplement this Regulation by prohibiting the destruction of such products. Given the wide range of products that may potentially be destroyed without ever being sold or used, it is necessary to establish such empowerment in this Regulation. However, the prohibition set in the delegated acts should apply to specific product groups to be determined based on an assessment by the Commission of the extent to which the destruction of such products takes place in practice, taking into account the information made available by economic operators where appropriate. To ensure that this obligation is proportionate, the Commission should consider specific exemptions under which destroying unsold consumer products may still be permitted, for instance in view of health and safety concerns. To monitor the effectiveness of this prohibition and to dis-incentivise circumvention, economic operators should be required to disclose the number of unsold consumer products destroyed and the reasons for their destruction under applicable exemptions. Finally, to avoid any undue administrative burden on SMEs, they should be exempted from the obligations to disclose their unsold discarded products and from the prohibition to discard specific products groups set in delegated acts. However, </w:t>
      </w:r>
      <w:r w:rsidR="23DF1179" w:rsidRPr="23DF1179">
        <w:rPr>
          <w:noProof/>
          <w:lang w:val="en-IE"/>
        </w:rPr>
        <w:t xml:space="preserve">where </w:t>
      </w:r>
      <w:r w:rsidR="23DF1179" w:rsidRPr="23DF1179">
        <w:rPr>
          <w:noProof/>
          <w:lang w:val="en-IE" w:eastAsia="fr-BE"/>
        </w:rPr>
        <w:t>there is reasonable evidence that SMEs may be used to circumvent those obligations, the Commission should be able to require, in those delegated acts, for some product groups, that these obligations also apply to micro, small or medium sized enterprises.</w:t>
      </w:r>
    </w:p>
    <w:p w14:paraId="2C3A55B2" w14:textId="4C994DDD" w:rsidR="00D81745" w:rsidRPr="00DF5C23" w:rsidRDefault="004F5E59" w:rsidP="004F5E59">
      <w:pPr>
        <w:pStyle w:val="ManualConsidrant"/>
        <w:rPr>
          <w:noProof/>
        </w:rPr>
      </w:pPr>
      <w:r w:rsidRPr="004F5E59">
        <w:t>(49)</w:t>
      </w:r>
      <w:r w:rsidRPr="004F5E59">
        <w:tab/>
      </w:r>
      <w:r w:rsidR="23DF1179">
        <w:rPr>
          <w:noProof/>
        </w:rPr>
        <w:t xml:space="preserve">Economic operators should be responsible for products’ compliance with the </w:t>
      </w:r>
      <w:r w:rsidR="23DF1179" w:rsidRPr="23DF1179">
        <w:rPr>
          <w:noProof/>
          <w:lang w:val="en-IE" w:eastAsia="fr-BE"/>
        </w:rPr>
        <w:t>ecodesign</w:t>
      </w:r>
      <w:r w:rsidR="23DF1179">
        <w:rPr>
          <w:noProof/>
        </w:rPr>
        <w:t xml:space="preserve"> requirements under this Regulation, in relation to their respective roles in the supply chain, so as to ensure those products’ free movement on the internal market and to improve their sustainability. Economic operators intervening in the supply and distribution chain should take appropriate measures to ensure that they only make available on the market products that are in conformity with this Regulation and the delegated acts adopted pursuant to it.  </w:t>
      </w:r>
    </w:p>
    <w:p w14:paraId="2C3A55B3" w14:textId="2381FB7A" w:rsidR="00D81745" w:rsidRPr="00DF5C23" w:rsidRDefault="004F5E59" w:rsidP="004F5E59">
      <w:pPr>
        <w:pStyle w:val="ManualConsidrant"/>
        <w:rPr>
          <w:noProof/>
        </w:rPr>
      </w:pPr>
      <w:r w:rsidRPr="004F5E59">
        <w:t>(50)</w:t>
      </w:r>
      <w:r w:rsidRPr="004F5E59">
        <w:tab/>
      </w:r>
      <w:r w:rsidR="23DF1179">
        <w:rPr>
          <w:noProof/>
        </w:rPr>
        <w:t xml:space="preserve">The manufacturer, having detailed knowledge of the design and production process, is best placed to carry out the conformity assessment procedure. Conformity assessment should therefore remain solely the obligation of the manufacturer. </w:t>
      </w:r>
    </w:p>
    <w:p w14:paraId="2C3A55B4" w14:textId="0D0C14AD" w:rsidR="00D81745" w:rsidRPr="00DF5C23" w:rsidRDefault="004F5E59" w:rsidP="004F5E59">
      <w:pPr>
        <w:pStyle w:val="ManualConsidrant"/>
        <w:rPr>
          <w:noProof/>
        </w:rPr>
      </w:pPr>
      <w:r w:rsidRPr="004F5E59">
        <w:t>(51)</w:t>
      </w:r>
      <w:r w:rsidRPr="004F5E59">
        <w:tab/>
      </w:r>
      <w:r w:rsidR="23DF1179">
        <w:rPr>
          <w:noProof/>
        </w:rPr>
        <w:t>In order to safeguard the functioning of the internal market, it is necessary to ensure that products from third countries entering the Union market comply with this Regulation and the delegated acts adopted pursuant to it, whether imported as products, components, or intermediate products. In particular, it is necessary to ensure that appropriate conformity assessment procedures have been carried out by manufacturers with regard to those products. Provision should therefore be made for importers to ensure that the products they place on the market comply with those requirements and that the CE marking and documentation drawn up by manufacturers are available for inspection by the competent national authorities. Provision should also be made for importers to ensure, where applicable, that a product passport is available for those products.</w:t>
      </w:r>
    </w:p>
    <w:p w14:paraId="2C3A55B5" w14:textId="1DBD950F" w:rsidR="00D81745" w:rsidRPr="00DF5C23" w:rsidRDefault="004F5E59" w:rsidP="004F5E59">
      <w:pPr>
        <w:pStyle w:val="ManualConsidrant"/>
        <w:rPr>
          <w:noProof/>
          <w:szCs w:val="24"/>
        </w:rPr>
      </w:pPr>
      <w:r w:rsidRPr="004F5E59">
        <w:t>(52)</w:t>
      </w:r>
      <w:r w:rsidRPr="004F5E59">
        <w:tab/>
      </w:r>
      <w:r w:rsidR="23DF1179">
        <w:rPr>
          <w:noProof/>
        </w:rPr>
        <w:t>When placing a product on the, every importer should indicate on the product their name, registered trade name or registered trade mark as well as their postal address and</w:t>
      </w:r>
      <w:r w:rsidR="000D4A46">
        <w:rPr>
          <w:noProof/>
        </w:rPr>
        <w:t>, where available, electronic means of communication through which it can be contacted</w:t>
      </w:r>
      <w:r w:rsidR="23DF1179">
        <w:rPr>
          <w:noProof/>
        </w:rPr>
        <w:t>. Exceptions should be provided for in cases where the size of the product does not allow for such indications. This includes cases where the importer would have to open the packaging to put the name and address on the product or where the product is too small in size to affix this information.</w:t>
      </w:r>
    </w:p>
    <w:p w14:paraId="2C3A55B6" w14:textId="5D97A5B9" w:rsidR="00D81745" w:rsidRPr="00DF5C23" w:rsidRDefault="004F5E59" w:rsidP="004F5E59">
      <w:pPr>
        <w:pStyle w:val="ManualConsidrant"/>
        <w:rPr>
          <w:noProof/>
        </w:rPr>
      </w:pPr>
      <w:r w:rsidRPr="004F5E59">
        <w:t>(53)</w:t>
      </w:r>
      <w:r w:rsidRPr="004F5E59">
        <w:tab/>
      </w:r>
      <w:r w:rsidR="23DF1179">
        <w:rPr>
          <w:noProof/>
        </w:rPr>
        <w:t xml:space="preserve">As the distributor makes a product available on the market after it has been placed there by the manufacturer or importer, it should act with due care in relation to the applicable </w:t>
      </w:r>
      <w:r w:rsidR="23DF1179" w:rsidRPr="23DF1179">
        <w:rPr>
          <w:noProof/>
          <w:lang w:val="en-IE" w:eastAsia="fr-BE"/>
        </w:rPr>
        <w:t>ecodesign</w:t>
      </w:r>
      <w:r w:rsidR="23DF1179">
        <w:rPr>
          <w:noProof/>
        </w:rPr>
        <w:t xml:space="preserve"> requirements. The distributor should also ensure that its handling of the product does not adversely affect its compliance with the requirements of this Regulation or the delegated acts adopted pursuant to it. </w:t>
      </w:r>
    </w:p>
    <w:p w14:paraId="2C3A55B7" w14:textId="1F8572F3" w:rsidR="00D81745" w:rsidRPr="00DF5C23" w:rsidRDefault="004F5E59" w:rsidP="004F5E59">
      <w:pPr>
        <w:pStyle w:val="ManualConsidrant"/>
        <w:rPr>
          <w:noProof/>
        </w:rPr>
      </w:pPr>
      <w:r w:rsidRPr="004F5E59">
        <w:t>(54)</w:t>
      </w:r>
      <w:r w:rsidRPr="004F5E59">
        <w:tab/>
      </w:r>
      <w:r w:rsidR="23DF1179">
        <w:rPr>
          <w:noProof/>
        </w:rPr>
        <w:t xml:space="preserve">As distributors and importers are close to the marketplace and have an important role in ensuring product compliance, should be involved in market surveillance tasks carried out by the competent national authorities, and should be prepared to participate actively, providing those authorities with all necessary information relating to the product concerned. </w:t>
      </w:r>
    </w:p>
    <w:p w14:paraId="2C3A55B8" w14:textId="7C8BF00F" w:rsidR="00D81745" w:rsidRPr="00DF5C23" w:rsidRDefault="004F5E59" w:rsidP="004F5E59">
      <w:pPr>
        <w:pStyle w:val="ManualConsidrant"/>
        <w:rPr>
          <w:noProof/>
        </w:rPr>
      </w:pPr>
      <w:r w:rsidRPr="004F5E59">
        <w:t>(55)</w:t>
      </w:r>
      <w:r w:rsidRPr="004F5E59">
        <w:tab/>
      </w:r>
      <w:r w:rsidR="23DF1179">
        <w:rPr>
          <w:noProof/>
        </w:rPr>
        <w:t xml:space="preserve">As the dealer offers a product for sale, hire or hire purchase, or displays products to customers or installers, it is necessary for the dealer to ensure that its customers can effectively access the information required under this Regulation, including in the case of distance selling. In particular, this Regulation should require dealers to ensure that the product passport is accessible to their customers and that labels are clearly displayed, in line with the applicable requirements. The dealer should comply with this obligation every time the product is offered for hire.  </w:t>
      </w:r>
    </w:p>
    <w:p w14:paraId="2C3A55B9" w14:textId="0BF97862" w:rsidR="00D81745" w:rsidRPr="00DF5C23" w:rsidRDefault="004F5E59" w:rsidP="004F5E59">
      <w:pPr>
        <w:pStyle w:val="ManualConsidrant"/>
        <w:rPr>
          <w:noProof/>
        </w:rPr>
      </w:pPr>
      <w:r w:rsidRPr="004F5E59">
        <w:t>(56)</w:t>
      </w:r>
      <w:r w:rsidRPr="004F5E59">
        <w:tab/>
      </w:r>
      <w:r w:rsidR="23DF1179">
        <w:rPr>
          <w:noProof/>
        </w:rPr>
        <w:t xml:space="preserve">To facilitate the choice of more sustainable products, labels, where required, should be displayed in a clearly visible and identifiable way. They should be identifiable as the label belonging to the product in question, without the customer having to read the brand name and model number on the label. Labels should attract the attention of the customer browsing through the products displayed. To ensure that the label is accessible to customers when considering a purchase, both the dealer and the responsible economic operator should display the label whenever advertising the product, also in cases of distance selling, including online.    </w:t>
      </w:r>
    </w:p>
    <w:p w14:paraId="2C3A55BA" w14:textId="34611899" w:rsidR="00B523ED" w:rsidRPr="00DF5C23" w:rsidRDefault="004F5E59" w:rsidP="004F5E59">
      <w:pPr>
        <w:pStyle w:val="ManualConsidrant"/>
        <w:rPr>
          <w:noProof/>
        </w:rPr>
      </w:pPr>
      <w:r w:rsidRPr="004F5E59">
        <w:t>(57)</w:t>
      </w:r>
      <w:r w:rsidRPr="004F5E59">
        <w:tab/>
      </w:r>
      <w:r w:rsidR="23DF1179">
        <w:rPr>
          <w:noProof/>
        </w:rPr>
        <w:t>Any importer or distributor that either places on the market a product covered by a delegated act adopted pursuant to this Regulation under the importer’s or distributor’s own name or trademark, or modifies such a product in such a way that compliance with this Regulation or with the relevant delegated act might be affected, should be considered to be the manufacturer and should assume the manufacturer’s obligations.</w:t>
      </w:r>
    </w:p>
    <w:p w14:paraId="2C3A55BB" w14:textId="15C4A7AB" w:rsidR="002C00A7" w:rsidRPr="00DF5C23" w:rsidRDefault="004F5E59" w:rsidP="004F5E59">
      <w:pPr>
        <w:pStyle w:val="ManualConsidrant"/>
        <w:rPr>
          <w:noProof/>
        </w:rPr>
      </w:pPr>
      <w:r w:rsidRPr="004F5E59">
        <w:t>(58)</w:t>
      </w:r>
      <w:r w:rsidRPr="004F5E59">
        <w:tab/>
      </w:r>
      <w:r w:rsidR="003641F6" w:rsidRPr="00DF5C23">
        <w:rPr>
          <w:noProof/>
        </w:rPr>
        <w:t>Online marketplaces play a crucial role in the supply chain</w:t>
      </w:r>
      <w:r w:rsidR="00C0149D" w:rsidRPr="00DF5C23">
        <w:rPr>
          <w:noProof/>
        </w:rPr>
        <w:t>,</w:t>
      </w:r>
      <w:r w:rsidR="003641F6" w:rsidRPr="00DF5C23">
        <w:rPr>
          <w:noProof/>
        </w:rPr>
        <w:t xml:space="preserve"> allowing economic operators to reach </w:t>
      </w:r>
      <w:r w:rsidR="007614DA" w:rsidRPr="00DF5C23">
        <w:rPr>
          <w:noProof/>
        </w:rPr>
        <w:t>a large</w:t>
      </w:r>
      <w:r w:rsidR="003641F6" w:rsidRPr="00DF5C23">
        <w:rPr>
          <w:noProof/>
        </w:rPr>
        <w:t xml:space="preserve"> number of </w:t>
      </w:r>
      <w:r w:rsidR="007614DA" w:rsidRPr="00DF5C23">
        <w:rPr>
          <w:noProof/>
        </w:rPr>
        <w:t>customers</w:t>
      </w:r>
      <w:r w:rsidR="003641F6" w:rsidRPr="00DF5C23">
        <w:rPr>
          <w:noProof/>
        </w:rPr>
        <w:t xml:space="preserve">. Given their important role in intermediating the sale of products between </w:t>
      </w:r>
      <w:r w:rsidR="003D07B1" w:rsidRPr="00DF5C23">
        <w:rPr>
          <w:noProof/>
        </w:rPr>
        <w:t xml:space="preserve">economic operators </w:t>
      </w:r>
      <w:r w:rsidR="003641F6" w:rsidRPr="00DF5C23">
        <w:rPr>
          <w:noProof/>
        </w:rPr>
        <w:t xml:space="preserve">and </w:t>
      </w:r>
      <w:r w:rsidR="003D07B1" w:rsidRPr="00DF5C23">
        <w:rPr>
          <w:noProof/>
        </w:rPr>
        <w:t>customers</w:t>
      </w:r>
      <w:r w:rsidR="003641F6" w:rsidRPr="00DF5C23">
        <w:rPr>
          <w:noProof/>
        </w:rPr>
        <w:t xml:space="preserve">, online marketplaces should take responsibility for </w:t>
      </w:r>
      <w:r w:rsidR="007614DA" w:rsidRPr="00DF5C23">
        <w:rPr>
          <w:noProof/>
        </w:rPr>
        <w:t xml:space="preserve">addressing </w:t>
      </w:r>
      <w:r w:rsidR="003641F6" w:rsidRPr="00DF5C23">
        <w:rPr>
          <w:noProof/>
        </w:rPr>
        <w:t xml:space="preserve">the sale of products that do not comply with </w:t>
      </w:r>
      <w:r w:rsidR="000A1AC3" w:rsidRPr="00DF5C23">
        <w:rPr>
          <w:noProof/>
          <w:lang w:val="en-IE" w:eastAsia="fr-BE"/>
        </w:rPr>
        <w:t>ecodesign</w:t>
      </w:r>
      <w:r w:rsidR="003641F6" w:rsidRPr="00DF5C23">
        <w:rPr>
          <w:noProof/>
        </w:rPr>
        <w:t xml:space="preserve"> requirements and should cooperate with market surveillance authorities. Directive 2000/31/EC of the European Parliament and of the Council</w:t>
      </w:r>
      <w:r w:rsidR="003641F6" w:rsidRPr="00DF5C23">
        <w:rPr>
          <w:rStyle w:val="FootnoteReference0"/>
          <w:noProof/>
        </w:rPr>
        <w:footnoteReference w:id="73"/>
      </w:r>
      <w:r w:rsidR="003641F6" w:rsidRPr="00DF5C23">
        <w:rPr>
          <w:noProof/>
        </w:rPr>
        <w:t xml:space="preserve"> provides the general framework for e-commerce and lays down certain obligations for online platforms. Regulation […/…] on a Single Market for Digital Services (Digital Services Act) and amending Directive 2000/31/EC</w:t>
      </w:r>
      <w:r w:rsidR="003641F6" w:rsidRPr="00DF5C23">
        <w:rPr>
          <w:rStyle w:val="FootnoteReference0"/>
          <w:noProof/>
        </w:rPr>
        <w:footnoteReference w:id="74"/>
      </w:r>
      <w:r w:rsidR="003641F6" w:rsidRPr="00DF5C23">
        <w:rPr>
          <w:noProof/>
        </w:rPr>
        <w:t xml:space="preserve"> regulates the responsibility and accountability of providers of intermediary services online with regard to illegal content, including products that do not comply with </w:t>
      </w:r>
      <w:r w:rsidR="000A1AC3" w:rsidRPr="00DF5C23">
        <w:rPr>
          <w:noProof/>
          <w:lang w:val="en-IE" w:eastAsia="fr-BE"/>
        </w:rPr>
        <w:t>ecodesign</w:t>
      </w:r>
      <w:r w:rsidR="003641F6" w:rsidRPr="00DF5C23">
        <w:rPr>
          <w:noProof/>
        </w:rPr>
        <w:t xml:space="preserve"> requirements. Building on this general framework, specific requirements to effectively </w:t>
      </w:r>
      <w:r w:rsidR="007614DA" w:rsidRPr="00DF5C23">
        <w:rPr>
          <w:noProof/>
        </w:rPr>
        <w:t xml:space="preserve">address </w:t>
      </w:r>
      <w:r w:rsidR="003641F6" w:rsidRPr="00DF5C23">
        <w:rPr>
          <w:noProof/>
        </w:rPr>
        <w:t>the sale of non-compliant products online should be brought in.</w:t>
      </w:r>
    </w:p>
    <w:p w14:paraId="2C3A55BC" w14:textId="10BF4B9E" w:rsidR="002C00A7" w:rsidRPr="00DF5C23" w:rsidRDefault="004F5E59" w:rsidP="004F5E59">
      <w:pPr>
        <w:pStyle w:val="ManualConsidrant"/>
        <w:rPr>
          <w:noProof/>
        </w:rPr>
      </w:pPr>
      <w:r w:rsidRPr="004F5E59">
        <w:t>(59)</w:t>
      </w:r>
      <w:r w:rsidRPr="004F5E59">
        <w:tab/>
      </w:r>
      <w:r w:rsidR="002C00A7" w:rsidRPr="00DF5C23">
        <w:rPr>
          <w:noProof/>
        </w:rPr>
        <w:t xml:space="preserve">It is essential that online marketplaces </w:t>
      </w:r>
      <w:r w:rsidR="003641F6" w:rsidRPr="00DF5C23">
        <w:rPr>
          <w:noProof/>
        </w:rPr>
        <w:t xml:space="preserve">cooperate closely </w:t>
      </w:r>
      <w:r w:rsidR="002C00A7" w:rsidRPr="00DF5C23">
        <w:rPr>
          <w:noProof/>
        </w:rPr>
        <w:t xml:space="preserve">with the market surveillance authorities. An obligation of cooperation with market surveillance authorities is imposed on information society service providers under Article 7(2) of Regulation (EU) 2019/1020 </w:t>
      </w:r>
      <w:r w:rsidR="00B54BA8" w:rsidRPr="00DF5C23">
        <w:rPr>
          <w:noProof/>
          <w:lang w:val="en-IE"/>
        </w:rPr>
        <w:t>of the European Parliament and of the Council</w:t>
      </w:r>
      <w:r w:rsidR="00B54BA8" w:rsidRPr="00DF5C23">
        <w:rPr>
          <w:rStyle w:val="FootnoteReference0"/>
          <w:noProof/>
          <w:lang w:val="en-IE"/>
        </w:rPr>
        <w:footnoteReference w:id="75"/>
      </w:r>
      <w:r w:rsidR="00B54BA8" w:rsidRPr="00DF5C23">
        <w:rPr>
          <w:noProof/>
          <w:lang w:val="en-IE"/>
        </w:rPr>
        <w:t xml:space="preserve"> </w:t>
      </w:r>
      <w:r w:rsidR="002C00A7" w:rsidRPr="00DF5C23">
        <w:rPr>
          <w:noProof/>
        </w:rPr>
        <w:t xml:space="preserve">in relation to products covered by that Regulation, including products for which </w:t>
      </w:r>
      <w:r w:rsidR="000A1AC3" w:rsidRPr="00DF5C23">
        <w:rPr>
          <w:noProof/>
          <w:lang w:val="en-IE" w:eastAsia="fr-BE"/>
        </w:rPr>
        <w:t>ecodesign</w:t>
      </w:r>
      <w:r w:rsidR="002C00A7" w:rsidRPr="00DF5C23">
        <w:rPr>
          <w:noProof/>
        </w:rPr>
        <w:t xml:space="preserve"> requirements are set. To further improve cooperation to tackle illegal content related to non-compliant products, this Regulation should include concrete obligations </w:t>
      </w:r>
      <w:r w:rsidR="00C0149D" w:rsidRPr="00DF5C23">
        <w:rPr>
          <w:noProof/>
        </w:rPr>
        <w:t xml:space="preserve">to </w:t>
      </w:r>
      <w:r w:rsidR="003641F6" w:rsidRPr="00DF5C23">
        <w:rPr>
          <w:noProof/>
        </w:rPr>
        <w:t>put this cooperation into practice</w:t>
      </w:r>
      <w:r w:rsidR="00265409" w:rsidRPr="00DF5C23">
        <w:rPr>
          <w:noProof/>
        </w:rPr>
        <w:t xml:space="preserve"> as regards online marketplaces</w:t>
      </w:r>
      <w:r w:rsidR="002C00A7" w:rsidRPr="00DF5C23">
        <w:rPr>
          <w:noProof/>
        </w:rPr>
        <w:t xml:space="preserve">. For instance, market surveillance authorities are constantly improving the technological tools they use for online market surveillance </w:t>
      </w:r>
      <w:r w:rsidR="003641F6" w:rsidRPr="00DF5C23">
        <w:rPr>
          <w:noProof/>
        </w:rPr>
        <w:t xml:space="preserve">in order </w:t>
      </w:r>
      <w:r w:rsidR="002C00A7" w:rsidRPr="00DF5C23">
        <w:rPr>
          <w:noProof/>
        </w:rPr>
        <w:t xml:space="preserve">to identify non-compliant products sold online. For these tools to be operational, online marketplaces should grant access to their interfaces. Moreover, market surveillance authorities may also need to scrape data from the online marketplaces. </w:t>
      </w:r>
    </w:p>
    <w:p w14:paraId="2C3A55BD" w14:textId="7FC05665" w:rsidR="002C00A7" w:rsidRPr="00DF5C23" w:rsidRDefault="004F5E59" w:rsidP="004F5E59">
      <w:pPr>
        <w:pStyle w:val="ManualConsidrant"/>
        <w:rPr>
          <w:noProof/>
        </w:rPr>
      </w:pPr>
      <w:r w:rsidRPr="004F5E59">
        <w:t>(60)</w:t>
      </w:r>
      <w:r w:rsidRPr="004F5E59">
        <w:tab/>
      </w:r>
      <w:r w:rsidR="23DF1179">
        <w:rPr>
          <w:noProof/>
        </w:rPr>
        <w:t>Article 14(4) of Regulation (EU) 2019/1020 provides market surveillance authorities with the power, where no other effective means are available to eliminate a serious risk, to require the removal of content referring to non-compliant products from an online interface or to require the explicit display of a warning to end-users when they access an online interface. The powers entrusted to market surveillance authorities by Article 14(4) of Regulation (EU) 2019/1020 also apply to this Regulation. However, for effective market surveillance under this Regulation and to avoid non-compliant products being present on the Union market, this power should apply in all necessary and proportionate cases, including for products presenting a less than serious risk. This power should be exercised in accordance with [Article 8] of the [Digital Services Act].</w:t>
      </w:r>
    </w:p>
    <w:p w14:paraId="2C3A55BE" w14:textId="7C27038E" w:rsidR="00265409" w:rsidRPr="00DF5C23" w:rsidRDefault="004F5E59" w:rsidP="004F5E59">
      <w:pPr>
        <w:pStyle w:val="ManualConsidrant"/>
        <w:rPr>
          <w:noProof/>
        </w:rPr>
      </w:pPr>
      <w:r w:rsidRPr="004F5E59">
        <w:t>(61)</w:t>
      </w:r>
      <w:r w:rsidRPr="004F5E59">
        <w:tab/>
      </w:r>
      <w:r w:rsidR="23DF1179">
        <w:rPr>
          <w:noProof/>
        </w:rPr>
        <w:t xml:space="preserve">Ensuring a product’s traceability throughout the whole supply chain facilitates the market surveillance authorities' task of tracing economic operators who placed on the market or made available on the market non-compliant products. The economic operators should therefore be required to keep the information on their transactions for a certain period of time. </w:t>
      </w:r>
    </w:p>
    <w:p w14:paraId="2C3A55BF" w14:textId="6D47F24A" w:rsidR="002C00A7" w:rsidRPr="00DF5C23" w:rsidRDefault="004F5E59" w:rsidP="004F5E59">
      <w:pPr>
        <w:pStyle w:val="ManualConsidrant"/>
        <w:rPr>
          <w:noProof/>
        </w:rPr>
      </w:pPr>
      <w:r w:rsidRPr="004F5E59">
        <w:t>(62)</w:t>
      </w:r>
      <w:r w:rsidRPr="004F5E59">
        <w:tab/>
      </w:r>
      <w:r w:rsidR="23DF1179">
        <w:rPr>
          <w:noProof/>
        </w:rPr>
        <w:t xml:space="preserve">To speed up and facilitate the verification of compliance of products placed on the market, the power to adopt acts in accordance with Article 290 TFEU should be delegated to the Commission </w:t>
      </w:r>
      <w:r w:rsidR="23DF1179" w:rsidRPr="23DF1179">
        <w:rPr>
          <w:rFonts w:eastAsia="Times New Roman"/>
          <w:noProof/>
          <w:color w:val="000000" w:themeColor="text1"/>
          <w:lang w:val="en-IE" w:eastAsia="fr-BE"/>
        </w:rPr>
        <w:t xml:space="preserve">to supplement this Regulation by </w:t>
      </w:r>
      <w:r w:rsidR="23DF1179">
        <w:rPr>
          <w:noProof/>
        </w:rPr>
        <w:t xml:space="preserve">requiring responsible economic operators, where necessary, to make specific parts of the technical documentation digitally available both to competent authorities and to the Commission. This should allow competent national authorities to access this information without request, while continuing to guarantee the protection of trade secrets. Possible means of making this information digitally available should in principle include a product passport, or via inclusion in the compliance part of the product database referred to in Regulation (EU) 2017/1369, or on a website of the economic operator. Such an obligation should not take away from the competent national authorities’ right to access other parts of the technical documentation on request.  </w:t>
      </w:r>
    </w:p>
    <w:p w14:paraId="2C3A55C0" w14:textId="51E22F93" w:rsidR="002C00A7" w:rsidRPr="00DF5C23" w:rsidRDefault="004F5E59" w:rsidP="004F5E59">
      <w:pPr>
        <w:pStyle w:val="ManualConsidrant"/>
        <w:rPr>
          <w:noProof/>
        </w:rPr>
      </w:pPr>
      <w:r w:rsidRPr="004F5E59">
        <w:t>(63)</w:t>
      </w:r>
      <w:r w:rsidRPr="004F5E59">
        <w:tab/>
      </w:r>
      <w:r w:rsidR="23DF1179">
        <w:rPr>
          <w:noProof/>
        </w:rPr>
        <w:t xml:space="preserve">In order to allow for a better estimation of relevant products’ market penetration, to better inform studies feeding into the drafting or updating of ecodesign requirement and working plans, and to help identify the market share of specific product groups in order to speed up the formulation or review of </w:t>
      </w:r>
      <w:r w:rsidR="23DF1179" w:rsidRPr="23DF1179">
        <w:rPr>
          <w:noProof/>
          <w:lang w:val="en-IE" w:eastAsia="fr-BE"/>
        </w:rPr>
        <w:t>ecodesign</w:t>
      </w:r>
      <w:r w:rsidR="23DF1179">
        <w:rPr>
          <w:noProof/>
        </w:rPr>
        <w:t xml:space="preserve"> requirements, the power to adopt acts in accordance with Article 290 TFEU should be delegated to the Commission </w:t>
      </w:r>
      <w:r w:rsidR="23DF1179" w:rsidRPr="23DF1179">
        <w:rPr>
          <w:rFonts w:eastAsia="Times New Roman"/>
          <w:noProof/>
          <w:color w:val="000000" w:themeColor="text1"/>
          <w:lang w:val="en-IE" w:eastAsia="fr-BE"/>
        </w:rPr>
        <w:t xml:space="preserve">to supplement this Regulation by </w:t>
      </w:r>
      <w:r w:rsidR="23DF1179">
        <w:rPr>
          <w:noProof/>
        </w:rPr>
        <w:t xml:space="preserve">requiring the collection of adequate and reliable data on the sales of products, by allowing the collection of such data by or on behalf of the Commission directly from manufacturers or retailers. When adopting rules on monitoring and reporting, the Commission should take into account the need to maximise the available data on market penetration and the need to minimise the administrative burden for economic operators. </w:t>
      </w:r>
    </w:p>
    <w:p w14:paraId="2C3A55C1" w14:textId="5A037667" w:rsidR="002C00A7" w:rsidRPr="00DF5C23" w:rsidRDefault="004F5E59" w:rsidP="004F5E59">
      <w:pPr>
        <w:pStyle w:val="ManualConsidrant"/>
        <w:rPr>
          <w:noProof/>
        </w:rPr>
      </w:pPr>
      <w:r w:rsidRPr="004F5E59">
        <w:t>(64)</w:t>
      </w:r>
      <w:r w:rsidRPr="004F5E59">
        <w:tab/>
      </w:r>
      <w:r w:rsidR="23DF1179">
        <w:rPr>
          <w:noProof/>
        </w:rPr>
        <w:t xml:space="preserve">In order to improve future </w:t>
      </w:r>
      <w:r w:rsidR="23DF1179" w:rsidRPr="23DF1179">
        <w:rPr>
          <w:noProof/>
          <w:lang w:val="en-IE" w:eastAsia="fr-BE"/>
        </w:rPr>
        <w:t>ecodesign</w:t>
      </w:r>
      <w:r w:rsidR="23DF1179">
        <w:rPr>
          <w:noProof/>
        </w:rPr>
        <w:t xml:space="preserve"> requirements and improve end-users confidence identifying and correcting deviations between energy in-use and other performance parameters when measured under test conditions and actual functioning, the Commission should have access to products’ actual energy consumption while in use and where relevant to other performance parameters. To that end, the power to adopt acts in accordance with Article 290 TFEU should be delegated to the Commission </w:t>
      </w:r>
      <w:r w:rsidR="23DF1179" w:rsidRPr="23DF1179">
        <w:rPr>
          <w:rFonts w:eastAsia="Times New Roman"/>
          <w:noProof/>
          <w:color w:val="000000" w:themeColor="text1"/>
          <w:lang w:val="en-IE" w:eastAsia="fr-BE"/>
        </w:rPr>
        <w:t xml:space="preserve">to supplement this Regulation by </w:t>
      </w:r>
      <w:r w:rsidR="23DF1179">
        <w:rPr>
          <w:noProof/>
        </w:rPr>
        <w:t xml:space="preserve">requiring individual products, similarly to road vehicles, to determine their in-use energy consumption and other relevant performance parameters and display it to the end-user. For products connected to the internet,  the power to adopt acts in accordance with Article 290 TFEU should be delegated to the Commission </w:t>
      </w:r>
      <w:r w:rsidR="23DF1179" w:rsidRPr="23DF1179">
        <w:rPr>
          <w:rFonts w:eastAsia="Times New Roman"/>
          <w:noProof/>
          <w:color w:val="000000" w:themeColor="text1"/>
          <w:lang w:val="en-IE" w:eastAsia="fr-BE"/>
        </w:rPr>
        <w:t xml:space="preserve">to supplement this Regulation by </w:t>
      </w:r>
      <w:r w:rsidR="23DF1179">
        <w:rPr>
          <w:noProof/>
        </w:rPr>
        <w:t>requiring economic operators to remotely collect such in-use data and report it to the Commission, as it is essential to identify how the products perform and to inform the public. For products whose in use performance depends significantly also on climatic or geographical conditions, climatic or geographical information should also be collected, anonymised and reported.</w:t>
      </w:r>
    </w:p>
    <w:p w14:paraId="2C3A55C2" w14:textId="29C73330" w:rsidR="002C00A7" w:rsidRPr="00DF5C23" w:rsidRDefault="004F5E59" w:rsidP="004F5E59">
      <w:pPr>
        <w:pStyle w:val="ManualConsidrant"/>
        <w:rPr>
          <w:noProof/>
        </w:rPr>
      </w:pPr>
      <w:r w:rsidRPr="004F5E59">
        <w:t>(65)</w:t>
      </w:r>
      <w:r w:rsidRPr="004F5E59">
        <w:tab/>
      </w:r>
      <w:r w:rsidR="23DF1179" w:rsidRPr="23DF1179">
        <w:rPr>
          <w:noProof/>
          <w:lang w:val="en-IE" w:eastAsia="fr-BE"/>
        </w:rPr>
        <w:t>In order to ensure the effective and harmonised application of ecodesign</w:t>
      </w:r>
      <w:r w:rsidR="23DF1179">
        <w:rPr>
          <w:noProof/>
        </w:rPr>
        <w:t xml:space="preserve"> requirements set under this Regulation, including on aspects such as energy use or efficiency, durability and reliability, and recycled content, compliance with those requirements should be measured using reliable, accurate and reproducible methods that take into account the generally recognised state-of-the-art methods. Delegated acts establishing </w:t>
      </w:r>
      <w:r w:rsidR="23DF1179" w:rsidRPr="23DF1179">
        <w:rPr>
          <w:noProof/>
          <w:lang w:val="en-IE" w:eastAsia="fr-BE"/>
        </w:rPr>
        <w:t>ecodesign</w:t>
      </w:r>
      <w:r w:rsidR="23DF1179">
        <w:rPr>
          <w:noProof/>
        </w:rPr>
        <w:t xml:space="preserve"> requirements for products should in principle include the specifications for</w:t>
      </w:r>
      <w:r w:rsidR="23DF1179" w:rsidRPr="23DF1179">
        <w:rPr>
          <w:rFonts w:eastAsia="Times New Roman"/>
          <w:noProof/>
          <w:color w:val="000000" w:themeColor="text1"/>
          <w:lang w:val="en-IE" w:eastAsia="fr-BE"/>
        </w:rPr>
        <w:t xml:space="preserve"> tests, measurements or calculations needed to establish or verify compliance. In addition, </w:t>
      </w:r>
      <w:r w:rsidR="23DF1179">
        <w:rPr>
          <w:noProof/>
        </w:rPr>
        <w:t xml:space="preserve">the power to adopt acts in accordance with Article 290 TFEU should be delegated to the Commission </w:t>
      </w:r>
      <w:r w:rsidR="23DF1179" w:rsidRPr="23DF1179">
        <w:rPr>
          <w:rFonts w:eastAsia="Times New Roman"/>
          <w:noProof/>
          <w:color w:val="000000" w:themeColor="text1"/>
          <w:lang w:val="en-IE" w:eastAsia="fr-BE"/>
        </w:rPr>
        <w:t xml:space="preserve">to supplement this Regulation by requiring the use of </w:t>
      </w:r>
      <w:r w:rsidR="23DF1179" w:rsidRPr="23DF1179">
        <w:rPr>
          <w:rFonts w:eastAsia="Times New Roman"/>
          <w:noProof/>
          <w:lang w:val="en-IE" w:eastAsia="fr-BE"/>
        </w:rPr>
        <w:t xml:space="preserve">online tools reflecting applicable calculation requirements, in order to ensure their harmonised application. </w:t>
      </w:r>
    </w:p>
    <w:p w14:paraId="2C3A55C3" w14:textId="7347EFCB" w:rsidR="002C00A7" w:rsidRPr="00DF5C23" w:rsidRDefault="004F5E59" w:rsidP="004F5E59">
      <w:pPr>
        <w:pStyle w:val="ManualConsidrant"/>
        <w:rPr>
          <w:noProof/>
          <w:lang w:eastAsia="en-GB"/>
        </w:rPr>
      </w:pPr>
      <w:r w:rsidRPr="004F5E59">
        <w:t>(66)</w:t>
      </w:r>
      <w:r w:rsidRPr="004F5E59">
        <w:tab/>
      </w:r>
      <w:r w:rsidR="23DF1179" w:rsidRPr="23DF1179">
        <w:rPr>
          <w:noProof/>
          <w:lang w:eastAsia="en-GB"/>
        </w:rPr>
        <w:t xml:space="preserve">In order to ensure that ecodesign requirements achieve their intended effects, this Regulation should set out comprehensive and overarching provisions, applicable to all products covered by </w:t>
      </w:r>
      <w:r w:rsidR="23DF1179" w:rsidRPr="23DF1179">
        <w:rPr>
          <w:noProof/>
          <w:lang w:val="en-IE" w:eastAsia="fr-BE"/>
        </w:rPr>
        <w:t>ecodesign</w:t>
      </w:r>
      <w:r w:rsidR="23DF1179" w:rsidRPr="23DF1179">
        <w:rPr>
          <w:noProof/>
          <w:lang w:eastAsia="en-GB"/>
        </w:rPr>
        <w:t xml:space="preserve"> requirements, prohibiting circumvention of such requirements. Therefore, any practice leading to an unjustified alteration of the product’s performance during compliance testing or within a short period after putting the product into service, leading to a declared performance that misrepresents the product’s actual performance while in use should be prohibited</w:t>
      </w:r>
      <w:r w:rsidR="23DF1179">
        <w:rPr>
          <w:noProof/>
        </w:rPr>
        <w:t>..</w:t>
      </w:r>
    </w:p>
    <w:p w14:paraId="2C3A55C4" w14:textId="15F857AB" w:rsidR="002C00A7" w:rsidRPr="00DF5C23" w:rsidRDefault="004F5E59" w:rsidP="004F5E59">
      <w:pPr>
        <w:pStyle w:val="ManualConsidrant"/>
        <w:rPr>
          <w:noProof/>
        </w:rPr>
      </w:pPr>
      <w:r w:rsidRPr="004F5E59">
        <w:t>(67)</w:t>
      </w:r>
      <w:r w:rsidRPr="004F5E59">
        <w:tab/>
      </w:r>
      <w:r w:rsidR="002C00A7" w:rsidRPr="00DF5C23">
        <w:rPr>
          <w:noProof/>
        </w:rPr>
        <w:t xml:space="preserve">Where </w:t>
      </w:r>
      <w:r w:rsidR="00223B07" w:rsidRPr="00DF5C23">
        <w:rPr>
          <w:noProof/>
        </w:rPr>
        <w:t>approp</w:t>
      </w:r>
      <w:r w:rsidR="000C2C4F" w:rsidRPr="00DF5C23">
        <w:rPr>
          <w:noProof/>
        </w:rPr>
        <w:t>r</w:t>
      </w:r>
      <w:r w:rsidR="00223B07" w:rsidRPr="00DF5C23">
        <w:rPr>
          <w:noProof/>
        </w:rPr>
        <w:t>iate</w:t>
      </w:r>
      <w:r w:rsidR="002C00A7" w:rsidRPr="00DF5C23">
        <w:rPr>
          <w:noProof/>
        </w:rPr>
        <w:t xml:space="preserve">, delegated acts establishing </w:t>
      </w:r>
      <w:r w:rsidR="000A1AC3" w:rsidRPr="00DF5C23">
        <w:rPr>
          <w:noProof/>
          <w:lang w:val="en-IE" w:eastAsia="fr-BE"/>
        </w:rPr>
        <w:t xml:space="preserve">ecodesign </w:t>
      </w:r>
      <w:r w:rsidR="002C00A7" w:rsidRPr="00DF5C23">
        <w:rPr>
          <w:noProof/>
        </w:rPr>
        <w:t xml:space="preserve">requirements for products may refer to the use of standards </w:t>
      </w:r>
      <w:r w:rsidR="002C00A7" w:rsidRPr="00DF5C23">
        <w:rPr>
          <w:rFonts w:eastAsia="Times New Roman"/>
          <w:noProof/>
          <w:color w:val="000000"/>
          <w:lang w:val="en-IE" w:eastAsia="fr-BE"/>
        </w:rPr>
        <w:t>to establish or verify compliance.</w:t>
      </w:r>
      <w:r w:rsidR="002C00A7" w:rsidRPr="00DF5C23">
        <w:rPr>
          <w:noProof/>
        </w:rPr>
        <w:t xml:space="preserve"> In order to ensure that there are no barriers to trade on the internal market, such standards should be harmonised at Union level. Once a reference to such a standard has been adopted in accordance with Regulation (EU) No 1025/2012 of the European Parliament and of the Council</w:t>
      </w:r>
      <w:r w:rsidR="003B1393" w:rsidRPr="00DF5C23">
        <w:rPr>
          <w:rStyle w:val="FootnoteReference0"/>
          <w:noProof/>
        </w:rPr>
        <w:footnoteReference w:id="76"/>
      </w:r>
      <w:r w:rsidR="002C00A7" w:rsidRPr="00DF5C23">
        <w:rPr>
          <w:rStyle w:val="footnotereference"/>
          <w:noProof/>
        </w:rPr>
        <w:t xml:space="preserve"> </w:t>
      </w:r>
      <w:r w:rsidR="002C00A7" w:rsidRPr="00DF5C23">
        <w:rPr>
          <w:noProof/>
        </w:rPr>
        <w:t xml:space="preserve">and published in the </w:t>
      </w:r>
      <w:r w:rsidR="002C00A7" w:rsidRPr="23DF1179">
        <w:rPr>
          <w:i/>
          <w:iCs/>
          <w:noProof/>
        </w:rPr>
        <w:t>Official Journal of the European Union</w:t>
      </w:r>
      <w:r w:rsidR="002C00A7" w:rsidRPr="00DF5C23">
        <w:rPr>
          <w:noProof/>
        </w:rPr>
        <w:t xml:space="preserve">, products in conformity with such standards, for which </w:t>
      </w:r>
      <w:r w:rsidR="000A1AC3" w:rsidRPr="00DF5C23">
        <w:rPr>
          <w:noProof/>
          <w:lang w:val="en-IE" w:eastAsia="fr-BE"/>
        </w:rPr>
        <w:t>ecodesign</w:t>
      </w:r>
      <w:r w:rsidR="002C00A7" w:rsidRPr="00DF5C23">
        <w:rPr>
          <w:noProof/>
        </w:rPr>
        <w:t xml:space="preserve"> requirements have been adopted pursuant to this Regulation, should be considered in conformity with those requirements</w:t>
      </w:r>
      <w:r w:rsidR="002C00A7" w:rsidRPr="00DF5C23">
        <w:rPr>
          <w:rFonts w:eastAsia="Times New Roman"/>
          <w:noProof/>
          <w:color w:val="000000"/>
          <w:lang w:val="en-IE" w:eastAsia="fr-BE"/>
        </w:rPr>
        <w:t xml:space="preserve"> to the extent that they are covered by the relevant </w:t>
      </w:r>
      <w:r w:rsidR="001B0171" w:rsidRPr="00DF5C23">
        <w:rPr>
          <w:rFonts w:eastAsia="Times New Roman"/>
          <w:noProof/>
          <w:color w:val="000000"/>
          <w:lang w:val="en-IE" w:eastAsia="fr-BE"/>
        </w:rPr>
        <w:t xml:space="preserve">harmonised </w:t>
      </w:r>
      <w:r w:rsidR="002C00A7" w:rsidRPr="00DF5C23">
        <w:rPr>
          <w:rFonts w:eastAsia="Times New Roman"/>
          <w:noProof/>
          <w:color w:val="000000"/>
          <w:lang w:val="en-IE" w:eastAsia="fr-BE"/>
        </w:rPr>
        <w:t>standards</w:t>
      </w:r>
      <w:r w:rsidR="002C00A7" w:rsidRPr="00DF5C23">
        <w:rPr>
          <w:noProof/>
        </w:rPr>
        <w:t xml:space="preserve">. Similarly, </w:t>
      </w:r>
      <w:r w:rsidR="002C00A7" w:rsidRPr="00DF5C23">
        <w:rPr>
          <w:rFonts w:eastAsia="Times New Roman"/>
          <w:noProof/>
          <w:color w:val="000000"/>
          <w:lang w:eastAsia="fr-BE"/>
        </w:rPr>
        <w:t>m</w:t>
      </w:r>
      <w:r w:rsidR="002C00A7" w:rsidRPr="00DF5C23">
        <w:rPr>
          <w:rFonts w:eastAsia="Times New Roman"/>
          <w:noProof/>
          <w:color w:val="000000"/>
          <w:lang w:val="en-IE" w:eastAsia="fr-BE"/>
        </w:rPr>
        <w:t xml:space="preserve">ethods for tests, measurement or calculation that are </w:t>
      </w:r>
      <w:r w:rsidR="002C00A7" w:rsidRPr="00DF5C23">
        <w:rPr>
          <w:noProof/>
        </w:rPr>
        <w:t>in conformity with harmonised standards should be considered in conformity with</w:t>
      </w:r>
      <w:r w:rsidR="002C00A7" w:rsidRPr="00DF5C23">
        <w:rPr>
          <w:rFonts w:eastAsia="Times New Roman"/>
          <w:noProof/>
          <w:color w:val="000000"/>
          <w:lang w:val="en-IE" w:eastAsia="fr-BE"/>
        </w:rPr>
        <w:t xml:space="preserve"> the test, measurement and calculation requirements set out in the relevant </w:t>
      </w:r>
      <w:r w:rsidR="002C00A7" w:rsidRPr="00DF5C23">
        <w:rPr>
          <w:rFonts w:eastAsia="Times New Roman"/>
          <w:noProof/>
          <w:lang w:val="en-IE" w:eastAsia="fr-BE"/>
        </w:rPr>
        <w:t>d</w:t>
      </w:r>
      <w:r w:rsidR="002C00A7" w:rsidRPr="00DF5C23">
        <w:rPr>
          <w:noProof/>
          <w:lang w:val="en-IE" w:eastAsia="fr-BE"/>
        </w:rPr>
        <w:t xml:space="preserve">elegated acts laying down </w:t>
      </w:r>
      <w:r w:rsidR="000A1AC3" w:rsidRPr="00DF5C23">
        <w:rPr>
          <w:noProof/>
          <w:lang w:val="en-IE" w:eastAsia="fr-BE"/>
        </w:rPr>
        <w:t xml:space="preserve">ecodesign </w:t>
      </w:r>
      <w:r w:rsidR="002C00A7" w:rsidRPr="00DF5C23">
        <w:rPr>
          <w:noProof/>
          <w:lang w:val="en-IE" w:eastAsia="fr-BE"/>
        </w:rPr>
        <w:t xml:space="preserve">requirements, </w:t>
      </w:r>
      <w:r w:rsidR="002C00A7" w:rsidRPr="00DF5C23">
        <w:rPr>
          <w:rFonts w:eastAsia="Times New Roman"/>
          <w:noProof/>
          <w:color w:val="000000"/>
          <w:lang w:val="en-IE" w:eastAsia="fr-BE"/>
        </w:rPr>
        <w:t xml:space="preserve">to the extent that they are covered by the relevant </w:t>
      </w:r>
      <w:r w:rsidR="001B0171" w:rsidRPr="00DF5C23">
        <w:rPr>
          <w:rFonts w:eastAsia="Times New Roman"/>
          <w:noProof/>
          <w:color w:val="000000"/>
          <w:lang w:val="en-IE" w:eastAsia="fr-BE"/>
        </w:rPr>
        <w:t xml:space="preserve">harmonised </w:t>
      </w:r>
      <w:r w:rsidR="002C00A7" w:rsidRPr="00DF5C23">
        <w:rPr>
          <w:rFonts w:eastAsia="Times New Roman"/>
          <w:noProof/>
          <w:color w:val="000000"/>
          <w:lang w:val="en-IE" w:eastAsia="fr-BE"/>
        </w:rPr>
        <w:t>standards</w:t>
      </w:r>
      <w:r w:rsidR="002C00A7" w:rsidRPr="00DF5C23">
        <w:rPr>
          <w:noProof/>
          <w:lang w:val="en-IE" w:eastAsia="fr-BE"/>
        </w:rPr>
        <w:t>.</w:t>
      </w:r>
      <w:r w:rsidR="002C00A7" w:rsidRPr="00DF5C23">
        <w:rPr>
          <w:noProof/>
        </w:rPr>
        <w:t xml:space="preserve"> </w:t>
      </w:r>
    </w:p>
    <w:p w14:paraId="2C3A55C5" w14:textId="76C245B0" w:rsidR="002C00A7" w:rsidRPr="00DF5C23" w:rsidRDefault="004F5E59" w:rsidP="004F5E59">
      <w:pPr>
        <w:pStyle w:val="ManualConsidrant"/>
        <w:rPr>
          <w:noProof/>
        </w:rPr>
      </w:pPr>
      <w:r w:rsidRPr="004F5E59">
        <w:t>(68)</w:t>
      </w:r>
      <w:r w:rsidRPr="004F5E59">
        <w:tab/>
      </w:r>
      <w:r w:rsidR="23DF1179">
        <w:rPr>
          <w:noProof/>
        </w:rPr>
        <w:t xml:space="preserve">In the absence of harmonised standards, recourse to common specifications should be used as a fall-back solution to facilitate the manufacturer’s obligation to comply with </w:t>
      </w:r>
      <w:r w:rsidR="23DF1179" w:rsidRPr="23DF1179">
        <w:rPr>
          <w:noProof/>
          <w:lang w:val="en-IE" w:eastAsia="fr-BE"/>
        </w:rPr>
        <w:t>ecodesign</w:t>
      </w:r>
      <w:r w:rsidR="23DF1179">
        <w:rPr>
          <w:noProof/>
        </w:rPr>
        <w:t xml:space="preserve"> requirements, for instance when the standardisation process is blocked due to lack of consensus between stakeholders or where there are undue delays in establishing a harmonised standard. Such delays could for example occur when the required quality is not reached. In addition, recourse to this solution should be possible where the Commission has restricted or withdrawn the references to relevant harmonised standards in line with </w:t>
      </w:r>
      <w:r w:rsidR="23DF1179" w:rsidRPr="23DF1179">
        <w:rPr>
          <w:rFonts w:eastAsia="Times New Roman"/>
          <w:noProof/>
          <w:lang w:val="en-IE" w:eastAsia="fr-BE"/>
        </w:rPr>
        <w:t xml:space="preserve">Article 11(5) of Regulation (EU) No 1025/2012. </w:t>
      </w:r>
      <w:r w:rsidR="23DF1179">
        <w:rPr>
          <w:noProof/>
        </w:rPr>
        <w:t xml:space="preserve">Compliance with common specifications should also give rise to the presumption of conformity. </w:t>
      </w:r>
    </w:p>
    <w:p w14:paraId="2C3A55C6" w14:textId="7D53110E" w:rsidR="002C00A7" w:rsidRPr="00DF5C23" w:rsidRDefault="004F5E59" w:rsidP="004F5E59">
      <w:pPr>
        <w:pStyle w:val="ManualConsidrant"/>
        <w:rPr>
          <w:noProof/>
        </w:rPr>
      </w:pPr>
      <w:r w:rsidRPr="004F5E59">
        <w:t>(69)</w:t>
      </w:r>
      <w:r w:rsidRPr="004F5E59">
        <w:tab/>
      </w:r>
      <w:r w:rsidR="002C00A7" w:rsidRPr="00DF5C23">
        <w:rPr>
          <w:noProof/>
        </w:rPr>
        <w:t>In order to enable economic operators to demonstrate</w:t>
      </w:r>
      <w:r w:rsidR="003641F6" w:rsidRPr="00DF5C23">
        <w:rPr>
          <w:noProof/>
        </w:rPr>
        <w:t>,</w:t>
      </w:r>
      <w:r w:rsidR="002C00A7" w:rsidRPr="00DF5C23">
        <w:rPr>
          <w:noProof/>
        </w:rPr>
        <w:t xml:space="preserve"> and competent authorities to verify</w:t>
      </w:r>
      <w:r w:rsidR="003641F6" w:rsidRPr="00DF5C23">
        <w:rPr>
          <w:noProof/>
        </w:rPr>
        <w:t>,</w:t>
      </w:r>
      <w:r w:rsidR="002C00A7" w:rsidRPr="00DF5C23">
        <w:rPr>
          <w:noProof/>
        </w:rPr>
        <w:t xml:space="preserve"> that products made available on the market comply with the </w:t>
      </w:r>
      <w:r w:rsidR="007960F7" w:rsidRPr="00DF5C23">
        <w:rPr>
          <w:noProof/>
          <w:lang w:val="en-IE" w:eastAsia="fr-BE"/>
        </w:rPr>
        <w:t>ecodesign</w:t>
      </w:r>
      <w:r w:rsidR="002C00A7" w:rsidRPr="00DF5C23">
        <w:rPr>
          <w:noProof/>
        </w:rPr>
        <w:t xml:space="preserve"> requirements adopted pursuant to this Regulation, </w:t>
      </w:r>
      <w:r w:rsidR="00383953" w:rsidRPr="00DF5C23">
        <w:rPr>
          <w:noProof/>
        </w:rPr>
        <w:t xml:space="preserve">the power to adopt acts in accordance with Article 290 TFEU should be delegated to the Commission to supplement this Regulation by </w:t>
      </w:r>
      <w:r w:rsidR="003641F6" w:rsidRPr="00DF5C23">
        <w:rPr>
          <w:noProof/>
        </w:rPr>
        <w:t>lay</w:t>
      </w:r>
      <w:r w:rsidR="00383953" w:rsidRPr="00DF5C23">
        <w:rPr>
          <w:noProof/>
        </w:rPr>
        <w:t>ing</w:t>
      </w:r>
      <w:r w:rsidR="003641F6" w:rsidRPr="00DF5C23">
        <w:rPr>
          <w:noProof/>
        </w:rPr>
        <w:t xml:space="preserve"> down conformity assessment procedures appropriate</w:t>
      </w:r>
      <w:r w:rsidR="002C00A7" w:rsidRPr="00DF5C23">
        <w:rPr>
          <w:noProof/>
        </w:rPr>
        <w:t xml:space="preserve"> </w:t>
      </w:r>
      <w:r w:rsidR="00A72175" w:rsidRPr="00DF5C23">
        <w:rPr>
          <w:noProof/>
        </w:rPr>
        <w:t xml:space="preserve">and proportionate </w:t>
      </w:r>
      <w:r w:rsidR="002C00A7" w:rsidRPr="00DF5C23">
        <w:rPr>
          <w:noProof/>
        </w:rPr>
        <w:t xml:space="preserve">to the nature of the product </w:t>
      </w:r>
      <w:r w:rsidR="00A72175" w:rsidRPr="00DF5C23">
        <w:rPr>
          <w:noProof/>
        </w:rPr>
        <w:t xml:space="preserve">concerned and of the product parameters regulated. </w:t>
      </w:r>
      <w:r w:rsidR="00E57426" w:rsidRPr="00DF5C23">
        <w:rPr>
          <w:noProof/>
        </w:rPr>
        <w:t>To ensure coherence with other Union law, the conformity assessment procedures should be chosen from among</w:t>
      </w:r>
      <w:r w:rsidR="00A72175" w:rsidRPr="00DF5C23">
        <w:rPr>
          <w:noProof/>
        </w:rPr>
        <w:t xml:space="preserve"> the internal production control module included in this Regulation and</w:t>
      </w:r>
      <w:r w:rsidR="00E57426" w:rsidRPr="00DF5C23">
        <w:rPr>
          <w:noProof/>
        </w:rPr>
        <w:t xml:space="preserve"> the modules included in </w:t>
      </w:r>
      <w:r w:rsidR="002C00A7" w:rsidRPr="00DF5C23">
        <w:rPr>
          <w:noProof/>
        </w:rPr>
        <w:t>Decision No 768/2008/EC of the European Parliament and of the Council</w:t>
      </w:r>
      <w:r w:rsidR="00C06418" w:rsidRPr="00DF5C23">
        <w:rPr>
          <w:rStyle w:val="FootnoteReference0"/>
          <w:noProof/>
        </w:rPr>
        <w:footnoteReference w:id="77"/>
      </w:r>
      <w:r w:rsidR="002C00A7" w:rsidRPr="00DF5C23">
        <w:rPr>
          <w:noProof/>
        </w:rPr>
        <w:t>, ranging from the least stringent to the most stringent depending</w:t>
      </w:r>
      <w:r w:rsidR="00E57426" w:rsidRPr="00DF5C23">
        <w:rPr>
          <w:noProof/>
        </w:rPr>
        <w:t xml:space="preserve">. </w:t>
      </w:r>
      <w:r w:rsidR="00A72175" w:rsidRPr="00DF5C23">
        <w:rPr>
          <w:noProof/>
        </w:rPr>
        <w:t>To further</w:t>
      </w:r>
      <w:r w:rsidR="00E57426" w:rsidRPr="00DF5C23">
        <w:rPr>
          <w:noProof/>
        </w:rPr>
        <w:t xml:space="preserve"> ensure</w:t>
      </w:r>
      <w:r w:rsidR="00A72175" w:rsidRPr="00DF5C23">
        <w:rPr>
          <w:noProof/>
        </w:rPr>
        <w:t xml:space="preserve"> that</w:t>
      </w:r>
      <w:r w:rsidR="00E57426" w:rsidRPr="00DF5C23">
        <w:rPr>
          <w:noProof/>
        </w:rPr>
        <w:t xml:space="preserve"> the</w:t>
      </w:r>
      <w:r w:rsidR="00A72175" w:rsidRPr="00DF5C23">
        <w:rPr>
          <w:noProof/>
        </w:rPr>
        <w:t xml:space="preserve"> applicable</w:t>
      </w:r>
      <w:r w:rsidR="00E57426" w:rsidRPr="00DF5C23">
        <w:rPr>
          <w:noProof/>
        </w:rPr>
        <w:t xml:space="preserve"> module</w:t>
      </w:r>
      <w:r w:rsidR="00A72175" w:rsidRPr="00DF5C23">
        <w:rPr>
          <w:noProof/>
        </w:rPr>
        <w:t xml:space="preserve"> is</w:t>
      </w:r>
      <w:r w:rsidR="00E57426" w:rsidRPr="00DF5C23">
        <w:rPr>
          <w:noProof/>
        </w:rPr>
        <w:t xml:space="preserve"> </w:t>
      </w:r>
      <w:r w:rsidR="00A72175" w:rsidRPr="00DF5C23">
        <w:rPr>
          <w:noProof/>
        </w:rPr>
        <w:t>appropriate and proportionate to the nature of the product concerned and of the product parameters regulated</w:t>
      </w:r>
      <w:r w:rsidR="00E57426" w:rsidRPr="00DF5C23">
        <w:rPr>
          <w:noProof/>
        </w:rPr>
        <w:t xml:space="preserve">, the Commission should where needed adapt the module chosen in light of that nature. </w:t>
      </w:r>
    </w:p>
    <w:p w14:paraId="2C3A55C7" w14:textId="3AA23EE1" w:rsidR="00A06503" w:rsidRPr="00DF5C23" w:rsidRDefault="004F5E59" w:rsidP="004F5E59">
      <w:pPr>
        <w:pStyle w:val="ManualConsidrant"/>
        <w:rPr>
          <w:noProof/>
        </w:rPr>
      </w:pPr>
      <w:r w:rsidRPr="004F5E59">
        <w:t>(70)</w:t>
      </w:r>
      <w:r w:rsidRPr="004F5E59">
        <w:tab/>
      </w:r>
      <w:r w:rsidR="23DF1179">
        <w:rPr>
          <w:noProof/>
        </w:rPr>
        <w:t>Manufacturers should draw up an EU declaration of conformity to provide information on the conformity of products with this Regulation. Manufacturers may also be required by other Union legislation to draw up an EU declaration of conformity. To ensure effective access to information for market surveillance purposes, a single EU declaration of conformity should be drawn up in respect of all Union acts. To reduce the administrative burden on economic operators, it should be possible for that single EU declaration of conformity to be a dossier made up of relevant individual declarations of conformity.</w:t>
      </w:r>
    </w:p>
    <w:p w14:paraId="2C3A55C8" w14:textId="4398091C" w:rsidR="00A06503" w:rsidRPr="00DF5C23" w:rsidRDefault="004F5E59" w:rsidP="004F5E59">
      <w:pPr>
        <w:pStyle w:val="ManualConsidrant"/>
        <w:rPr>
          <w:noProof/>
        </w:rPr>
      </w:pPr>
      <w:r w:rsidRPr="004F5E59">
        <w:t>(71)</w:t>
      </w:r>
      <w:r w:rsidRPr="004F5E59">
        <w:tab/>
      </w:r>
      <w:r w:rsidR="00D81745" w:rsidRPr="00DF5C23">
        <w:rPr>
          <w:noProof/>
        </w:rPr>
        <w:t>Regulation (EC) No 765/2008 of the European Parliament and of the Council</w:t>
      </w:r>
      <w:r w:rsidR="00F21D4A" w:rsidRPr="00DF5C23">
        <w:rPr>
          <w:rStyle w:val="FootnoteReference0"/>
          <w:noProof/>
        </w:rPr>
        <w:footnoteReference w:id="78"/>
      </w:r>
      <w:r w:rsidR="00D81745" w:rsidRPr="00DF5C23">
        <w:rPr>
          <w:rStyle w:val="footnotereference"/>
          <w:noProof/>
        </w:rPr>
        <w:t xml:space="preserve"> </w:t>
      </w:r>
      <w:r w:rsidR="00D81745" w:rsidRPr="00DF5C23">
        <w:rPr>
          <w:noProof/>
        </w:rPr>
        <w:t xml:space="preserve">lays down rules on the accreditation of conformity assessment bodies, provides a framework for the market surveillance of products and for controls on products from third countries, and lays down the general principles of the CE marking. That Regulation should be applicable to products covered by this Regulation in order to ensure that products benefiting from the free movement of goods within the Union fulfil requirements providing a high level of protection of public interests such as human health, safety and the environment. Where </w:t>
      </w:r>
      <w:r w:rsidR="007960F7" w:rsidRPr="00DF5C23">
        <w:rPr>
          <w:noProof/>
          <w:lang w:val="en-IE" w:eastAsia="fr-BE"/>
        </w:rPr>
        <w:t>ecodesign</w:t>
      </w:r>
      <w:r w:rsidR="00D81745" w:rsidRPr="00DF5C23">
        <w:rPr>
          <w:noProof/>
        </w:rPr>
        <w:t xml:space="preserve"> requirements have been adopted for a product, the CE marking </w:t>
      </w:r>
      <w:r w:rsidR="00110627" w:rsidRPr="00DF5C23">
        <w:rPr>
          <w:noProof/>
        </w:rPr>
        <w:t xml:space="preserve">should </w:t>
      </w:r>
      <w:r w:rsidR="00D81745" w:rsidRPr="00DF5C23">
        <w:rPr>
          <w:noProof/>
        </w:rPr>
        <w:t xml:space="preserve">indicate </w:t>
      </w:r>
      <w:r w:rsidR="003641F6" w:rsidRPr="00DF5C23">
        <w:rPr>
          <w:noProof/>
        </w:rPr>
        <w:t xml:space="preserve">that product’s conformity </w:t>
      </w:r>
      <w:r w:rsidR="00D81745" w:rsidRPr="00DF5C23">
        <w:rPr>
          <w:noProof/>
        </w:rPr>
        <w:t>with this Regulation</w:t>
      </w:r>
      <w:r w:rsidR="00547283" w:rsidRPr="00DF5C23">
        <w:rPr>
          <w:noProof/>
        </w:rPr>
        <w:t xml:space="preserve"> and </w:t>
      </w:r>
      <w:r w:rsidR="00407243" w:rsidRPr="00DF5C23">
        <w:rPr>
          <w:noProof/>
        </w:rPr>
        <w:t>the</w:t>
      </w:r>
      <w:r w:rsidR="00547283" w:rsidRPr="00DF5C23">
        <w:rPr>
          <w:noProof/>
        </w:rPr>
        <w:t xml:space="preserve"> </w:t>
      </w:r>
      <w:r w:rsidR="007960F7" w:rsidRPr="00DF5C23">
        <w:rPr>
          <w:noProof/>
          <w:lang w:val="en-IE" w:eastAsia="fr-BE"/>
        </w:rPr>
        <w:t>ecodesign</w:t>
      </w:r>
      <w:r w:rsidR="00547283" w:rsidRPr="00DF5C23">
        <w:rPr>
          <w:noProof/>
        </w:rPr>
        <w:t xml:space="preserve"> requirements adopted pursuant to it</w:t>
      </w:r>
      <w:r w:rsidR="00407243" w:rsidRPr="00DF5C23">
        <w:rPr>
          <w:noProof/>
        </w:rPr>
        <w:t>, insofar as they relate to the product</w:t>
      </w:r>
      <w:r w:rsidR="00D81745" w:rsidRPr="00DF5C23">
        <w:rPr>
          <w:noProof/>
        </w:rPr>
        <w:t xml:space="preserve">. General principles governing the CE marking and its relationship to other markings are set out in Regulation (EC) No 765/2008. Considering that this Regulation provides for the setting of </w:t>
      </w:r>
      <w:r w:rsidR="007960F7" w:rsidRPr="00DF5C23">
        <w:rPr>
          <w:noProof/>
          <w:lang w:val="en-IE" w:eastAsia="fr-BE"/>
        </w:rPr>
        <w:t>ecodesign</w:t>
      </w:r>
      <w:r w:rsidR="00D81745" w:rsidRPr="00DF5C23">
        <w:rPr>
          <w:noProof/>
        </w:rPr>
        <w:t xml:space="preserve"> requirement</w:t>
      </w:r>
      <w:r w:rsidR="00547283" w:rsidRPr="00DF5C23">
        <w:rPr>
          <w:noProof/>
        </w:rPr>
        <w:t>s</w:t>
      </w:r>
      <w:r w:rsidR="00D81745" w:rsidRPr="00DF5C23">
        <w:rPr>
          <w:noProof/>
        </w:rPr>
        <w:t xml:space="preserve"> for a large range</w:t>
      </w:r>
      <w:r w:rsidR="003641F6" w:rsidRPr="00DF5C23">
        <w:rPr>
          <w:noProof/>
        </w:rPr>
        <w:t xml:space="preserve"> of</w:t>
      </w:r>
      <w:r w:rsidR="00D81745" w:rsidRPr="00DF5C23">
        <w:rPr>
          <w:noProof/>
        </w:rPr>
        <w:t xml:space="preserve"> products, </w:t>
      </w:r>
      <w:r w:rsidR="00110627" w:rsidRPr="00DF5C23">
        <w:rPr>
          <w:noProof/>
        </w:rPr>
        <w:t xml:space="preserve">the power to adopt acts in accordance with Article 290 TFEU should be delegated to the Commission to </w:t>
      </w:r>
      <w:r w:rsidR="00383953" w:rsidRPr="00DF5C23">
        <w:rPr>
          <w:noProof/>
        </w:rPr>
        <w:t>supplement this Regulation by</w:t>
      </w:r>
      <w:r w:rsidR="00110627" w:rsidRPr="00DF5C23">
        <w:rPr>
          <w:noProof/>
        </w:rPr>
        <w:t xml:space="preserve"> set</w:t>
      </w:r>
      <w:r w:rsidR="00383953" w:rsidRPr="00DF5C23">
        <w:rPr>
          <w:noProof/>
        </w:rPr>
        <w:t>ting</w:t>
      </w:r>
      <w:r w:rsidR="00110627" w:rsidRPr="00DF5C23">
        <w:rPr>
          <w:noProof/>
        </w:rPr>
        <w:t xml:space="preserve"> out </w:t>
      </w:r>
      <w:r w:rsidR="00D81745" w:rsidRPr="00DF5C23">
        <w:rPr>
          <w:noProof/>
        </w:rPr>
        <w:t xml:space="preserve"> </w:t>
      </w:r>
      <w:r w:rsidR="00D81745" w:rsidRPr="00DF5C23">
        <w:rPr>
          <w:noProof/>
          <w:lang w:val="en-IE"/>
        </w:rPr>
        <w:t>alternative or more specific rules on the declaration of conformity or conformity marking</w:t>
      </w:r>
      <w:r w:rsidR="00110627" w:rsidRPr="00DF5C23">
        <w:rPr>
          <w:noProof/>
          <w:lang w:val="en-IE"/>
        </w:rPr>
        <w:t xml:space="preserve"> in relation to ecodesign requirements</w:t>
      </w:r>
      <w:r w:rsidR="00D81745" w:rsidRPr="00DF5C23">
        <w:rPr>
          <w:noProof/>
          <w:lang w:val="en-IE"/>
        </w:rPr>
        <w:t xml:space="preserve"> in order to </w:t>
      </w:r>
      <w:r w:rsidR="00110627" w:rsidRPr="00DF5C23">
        <w:rPr>
          <w:noProof/>
          <w:lang w:val="en-IE"/>
        </w:rPr>
        <w:t>ensure coherence with</w:t>
      </w:r>
      <w:r w:rsidR="00D81745" w:rsidRPr="00DF5C23">
        <w:rPr>
          <w:noProof/>
          <w:lang w:val="en-IE"/>
        </w:rPr>
        <w:t xml:space="preserve"> requirements </w:t>
      </w:r>
      <w:r w:rsidR="00110627" w:rsidRPr="00DF5C23">
        <w:rPr>
          <w:noProof/>
          <w:lang w:val="en-IE"/>
        </w:rPr>
        <w:t xml:space="preserve">under Union law </w:t>
      </w:r>
      <w:r w:rsidR="00D81745" w:rsidRPr="00DF5C23">
        <w:rPr>
          <w:noProof/>
          <w:lang w:val="en-IE"/>
        </w:rPr>
        <w:t>applicable to the products covered</w:t>
      </w:r>
      <w:r w:rsidR="00110627" w:rsidRPr="00DF5C23">
        <w:rPr>
          <w:noProof/>
          <w:lang w:val="en-IE"/>
        </w:rPr>
        <w:t xml:space="preserve">, prevent confusion with other marking or declarations and </w:t>
      </w:r>
      <w:r w:rsidR="00110627" w:rsidRPr="00DF5C23">
        <w:rPr>
          <w:noProof/>
          <w:lang w:val="en-IE" w:eastAsia="fr-BE"/>
        </w:rPr>
        <w:t>minimise administrative burden for economic operators</w:t>
      </w:r>
      <w:r w:rsidR="00D81745" w:rsidRPr="00DF5C23">
        <w:rPr>
          <w:noProof/>
          <w:lang w:val="en-IE"/>
        </w:rPr>
        <w:t xml:space="preserve">. </w:t>
      </w:r>
    </w:p>
    <w:p w14:paraId="2C3A55C9" w14:textId="1ADDA1E2" w:rsidR="00A06503" w:rsidRPr="00DF5C23" w:rsidRDefault="004F5E59" w:rsidP="004F5E59">
      <w:pPr>
        <w:pStyle w:val="ManualConsidrant"/>
        <w:rPr>
          <w:noProof/>
        </w:rPr>
      </w:pPr>
      <w:r w:rsidRPr="004F5E59">
        <w:t>(72)</w:t>
      </w:r>
      <w:r w:rsidRPr="004F5E59">
        <w:tab/>
      </w:r>
      <w:r w:rsidR="23DF1179">
        <w:rPr>
          <w:noProof/>
        </w:rPr>
        <w:t xml:space="preserve">Some of the conformity assessment modules laid down in Decision No 768/2008/EC require the intervention of conformity assessment bodies. In order to ensure uniform conditions for the implementation of this Regulation, those bodies should be notified to the Commission by Member State authorities. </w:t>
      </w:r>
    </w:p>
    <w:p w14:paraId="2C3A55CA" w14:textId="102FF52E" w:rsidR="00A06503" w:rsidRPr="00DF5C23" w:rsidRDefault="004F5E59" w:rsidP="004F5E59">
      <w:pPr>
        <w:pStyle w:val="ManualConsidrant"/>
        <w:rPr>
          <w:noProof/>
          <w:lang w:val="en-IE" w:eastAsia="fr-BE"/>
        </w:rPr>
      </w:pPr>
      <w:r w:rsidRPr="004F5E59">
        <w:t>(73)</w:t>
      </w:r>
      <w:r w:rsidRPr="004F5E59">
        <w:tab/>
      </w:r>
      <w:r w:rsidR="23DF1179">
        <w:rPr>
          <w:noProof/>
        </w:rPr>
        <w:t xml:space="preserve">To ensure a consistent level of quality in the performance of conformity assessment, it is necessary to set requirements for notifying authorities involved in the assessment, notification and monitoring of notified bodies. In particular, it should be ensured that the notifying authority is objective and impartial with regard to its activity. Furthermore, notifying authorities should be required to safeguard the confidentiality of the information they obtain, but should nonetheless be able to exchange information on notified bodies with national authorities, the notifying authorities of other Member States and the Commission to ensure consistency in the conformity assessment. To effectively establish and monitor the competence and independence of applicant bodies, notifying authorities should take as </w:t>
      </w:r>
      <w:r w:rsidR="23DF1179" w:rsidRPr="23DF1179">
        <w:rPr>
          <w:noProof/>
          <w:lang w:val="en-IE" w:eastAsia="fr-BE"/>
        </w:rPr>
        <w:t xml:space="preserve">a basis for notification only the precise legal body applying, not taking into account the credentials of parent or sister companies. For the same reason, they should assess applicant bodies against all relevant requirements and conformity assessment tasks, relying on harmonised standards for the requirements and tasks covered by those standards. </w:t>
      </w:r>
    </w:p>
    <w:p w14:paraId="2C3A55CB" w14:textId="39A52958" w:rsidR="00A06503" w:rsidRPr="00DF5C23" w:rsidRDefault="004F5E59" w:rsidP="004F5E59">
      <w:pPr>
        <w:pStyle w:val="ManualConsidrant"/>
        <w:rPr>
          <w:noProof/>
        </w:rPr>
      </w:pPr>
      <w:r w:rsidRPr="004F5E59">
        <w:t>(74)</w:t>
      </w:r>
      <w:r w:rsidRPr="004F5E59">
        <w:tab/>
      </w:r>
      <w:r w:rsidR="23DF1179" w:rsidRPr="23DF1179">
        <w:rPr>
          <w:noProof/>
          <w:lang w:val="en-IE" w:eastAsia="fr-BE"/>
        </w:rPr>
        <w:t xml:space="preserve">Given their central role in ensuring the reliability of conformity assessments in relation to ecodesign requirements, it is essential that notifying authorities have a sufficient number of competent personnel and sufficient funding at </w:t>
      </w:r>
      <w:r w:rsidR="23DF1179" w:rsidRPr="23DF1179">
        <w:rPr>
          <w:noProof/>
          <w:lang w:eastAsia="fr-BE"/>
        </w:rPr>
        <w:t xml:space="preserve">their </w:t>
      </w:r>
      <w:r w:rsidR="23DF1179" w:rsidRPr="23DF1179">
        <w:rPr>
          <w:noProof/>
          <w:lang w:val="en-IE" w:eastAsia="fr-BE"/>
        </w:rPr>
        <w:t xml:space="preserve">disposal for the proper performance of their tasks. Where, in the implementation of this Regulation, it occurs that notifying authorities do not effectively </w:t>
      </w:r>
      <w:r w:rsidR="23DF1179" w:rsidRPr="23DF1179">
        <w:rPr>
          <w:noProof/>
          <w:lang w:eastAsia="fr-BE"/>
        </w:rPr>
        <w:t xml:space="preserve">verify </w:t>
      </w:r>
      <w:r w:rsidR="23DF1179" w:rsidRPr="23DF1179">
        <w:rPr>
          <w:noProof/>
          <w:lang w:val="en-IE" w:eastAsia="fr-BE"/>
        </w:rPr>
        <w:t xml:space="preserve">and monitor notified bodies due to a lack of competent personnel, implementing powers should be conferred on the Commission to lay down a minimum number of full-time equivalents that should be at the disposal </w:t>
      </w:r>
      <w:r w:rsidR="23DF1179" w:rsidRPr="23DF1179">
        <w:rPr>
          <w:noProof/>
          <w:lang w:eastAsia="fr-BE"/>
        </w:rPr>
        <w:t xml:space="preserve">of </w:t>
      </w:r>
      <w:r w:rsidR="23DF1179" w:rsidRPr="23DF1179">
        <w:rPr>
          <w:noProof/>
          <w:lang w:val="en-IE" w:eastAsia="fr-BE"/>
        </w:rPr>
        <w:t xml:space="preserve">notifying authorities, where appropriate in relation to specific conformity assessment tasks.  </w:t>
      </w:r>
    </w:p>
    <w:p w14:paraId="2C3A55CC" w14:textId="1D90088F" w:rsidR="00A06503" w:rsidRPr="00DF5C23" w:rsidRDefault="004F5E59" w:rsidP="004F5E59">
      <w:pPr>
        <w:pStyle w:val="ManualConsidrant"/>
        <w:rPr>
          <w:noProof/>
        </w:rPr>
      </w:pPr>
      <w:r w:rsidRPr="004F5E59">
        <w:t>(75)</w:t>
      </w:r>
      <w:r w:rsidRPr="004F5E59">
        <w:tab/>
      </w:r>
      <w:r w:rsidR="23DF1179">
        <w:rPr>
          <w:noProof/>
        </w:rPr>
        <w:t xml:space="preserve">It is essential that all notified bodies perform their functions to the same level and under conditions of equal competition and autonomy. Therefore, requirements should be set for conformity assessment bodies wishing to obtain the status of notified body in order to provide conformity assessment activities. Those requirements should continue to apply to maintain the competence of the notified body. To ensure its autonomy, the notified body and the staff it employs should be required to maintain independence from economic operators in the value chain of the products in relation to which it has been notified and from other companies, including business associations and parent companies and subsidiaries. </w:t>
      </w:r>
    </w:p>
    <w:p w14:paraId="2C3A55CD" w14:textId="075D3391" w:rsidR="00A06503" w:rsidRPr="00DF5C23" w:rsidRDefault="004F5E59" w:rsidP="004F5E59">
      <w:pPr>
        <w:pStyle w:val="ManualConsidrant"/>
        <w:rPr>
          <w:noProof/>
        </w:rPr>
      </w:pPr>
      <w:r w:rsidRPr="004F5E59">
        <w:t>(76)</w:t>
      </w:r>
      <w:r w:rsidRPr="004F5E59">
        <w:tab/>
      </w:r>
      <w:r w:rsidR="23DF1179">
        <w:rPr>
          <w:noProof/>
        </w:rPr>
        <w:t xml:space="preserve">If a conformity assessment body demonstrates conformity with the criteria laid down in harmonised standards it should be presumed to comply with the corresponding requirements set out in this Regulation. </w:t>
      </w:r>
    </w:p>
    <w:p w14:paraId="2C3A55CE" w14:textId="693DEA95" w:rsidR="00A06503" w:rsidRPr="00DF5C23" w:rsidRDefault="004F5E59" w:rsidP="004F5E59">
      <w:pPr>
        <w:pStyle w:val="ManualConsidrant"/>
        <w:rPr>
          <w:noProof/>
        </w:rPr>
      </w:pPr>
      <w:r w:rsidRPr="004F5E59">
        <w:t>(77)</w:t>
      </w:r>
      <w:r w:rsidRPr="004F5E59">
        <w:tab/>
      </w:r>
      <w:r w:rsidR="23DF1179">
        <w:rPr>
          <w:noProof/>
        </w:rPr>
        <w:t xml:space="preserve">Conformity assessment bodies frequently subcontract parts of their activities linked to the assessment of conformity or have recourse to a subsidiary. To ensure that products placed on the Union market comply with </w:t>
      </w:r>
      <w:r w:rsidR="23DF1179" w:rsidRPr="23DF1179">
        <w:rPr>
          <w:noProof/>
          <w:lang w:val="en-IE" w:eastAsia="fr-BE"/>
        </w:rPr>
        <w:t>ecodesign</w:t>
      </w:r>
      <w:r w:rsidR="23DF1179">
        <w:rPr>
          <w:noProof/>
        </w:rPr>
        <w:t xml:space="preserve"> requirements, conformity assessment subcontractors and subsidiaries should fulfil the same requirements as notified bodies in relation to the performance of conformity assessment tasks under this Regulation. </w:t>
      </w:r>
    </w:p>
    <w:p w14:paraId="2C3A55CF" w14:textId="6EF5DD76" w:rsidR="00A06503" w:rsidRPr="00DF5C23" w:rsidRDefault="004F5E59" w:rsidP="004F5E59">
      <w:pPr>
        <w:pStyle w:val="ManualConsidrant"/>
        <w:rPr>
          <w:noProof/>
        </w:rPr>
      </w:pPr>
      <w:r w:rsidRPr="004F5E59">
        <w:t>(78)</w:t>
      </w:r>
      <w:r w:rsidRPr="004F5E59">
        <w:tab/>
      </w:r>
      <w:r w:rsidR="23DF1179">
        <w:rPr>
          <w:noProof/>
        </w:rPr>
        <w:t xml:space="preserve">In order for notifying authorities to effectively establish and monitor the competence and independence of applicant bodies, those bodies should be and remain autonomous. Therefore, certain activities and decision-making processes, both regarding the conformity assessment of products and other activities internal to the notified body, should exclusively be carried out by the individual notified body itself. </w:t>
      </w:r>
    </w:p>
    <w:p w14:paraId="2C3A55D0" w14:textId="7ABAE526" w:rsidR="00A06503" w:rsidRPr="00DF5C23" w:rsidRDefault="004F5E59" w:rsidP="004F5E59">
      <w:pPr>
        <w:pStyle w:val="ManualConsidrant"/>
        <w:rPr>
          <w:noProof/>
        </w:rPr>
      </w:pPr>
      <w:r w:rsidRPr="004F5E59">
        <w:t>(79)</w:t>
      </w:r>
      <w:r w:rsidRPr="004F5E59">
        <w:tab/>
      </w:r>
      <w:r w:rsidR="23DF1179">
        <w:rPr>
          <w:noProof/>
        </w:rPr>
        <w:t xml:space="preserve">To facilitate the process of establishing and monitoring the competence and independence of applicant bodies, applicant bodies should draw up and regularly update a qualification matrix. This matrix should match personnel and their qualifications to specific conformity assessment tasks, enabling the notifying authority to more effectively assess the adequacy of staffing and the continued autonomy of the notified body.  </w:t>
      </w:r>
    </w:p>
    <w:p w14:paraId="2C3A55D1" w14:textId="0160D43D" w:rsidR="00A06503" w:rsidRPr="00DF5C23" w:rsidRDefault="004F5E59" w:rsidP="004F5E59">
      <w:pPr>
        <w:pStyle w:val="ManualConsidrant"/>
        <w:rPr>
          <w:noProof/>
        </w:rPr>
      </w:pPr>
      <w:r w:rsidRPr="004F5E59">
        <w:t>(80)</w:t>
      </w:r>
      <w:r w:rsidRPr="004F5E59">
        <w:tab/>
      </w:r>
      <w:r w:rsidR="23DF1179">
        <w:rPr>
          <w:noProof/>
        </w:rPr>
        <w:t>Since the services offered by notified bodies in a Member State might relate to products made available on the market throughout the Union, it is appropriate to give the other Member States and the Commission the opportunity to raise objections concerning a notified body. In order to ensure uniform conditions for the implementation of this Regulation, implementing powers should be conferred on the Commission to request that the notifying Member State take corrective action if a notified body does not meet, or no longer meets, the requirements of this Regulation.</w:t>
      </w:r>
    </w:p>
    <w:p w14:paraId="2C3A55D2" w14:textId="29F6EFF8" w:rsidR="00A06503" w:rsidRPr="00DF5C23" w:rsidRDefault="004F5E59" w:rsidP="004F5E59">
      <w:pPr>
        <w:pStyle w:val="ManualConsidrant"/>
        <w:rPr>
          <w:noProof/>
        </w:rPr>
      </w:pPr>
      <w:r w:rsidRPr="004F5E59">
        <w:t>(81)</w:t>
      </w:r>
      <w:r w:rsidRPr="004F5E59">
        <w:tab/>
      </w:r>
      <w:r w:rsidR="23DF1179">
        <w:rPr>
          <w:noProof/>
        </w:rPr>
        <w:t xml:space="preserve">In the interests of facilitating and accelerating the conformity assessment procedure, and to ensure equal treatment of economic operators, it is crucial that the notified bodies apply the conformity assessment procedures consistently and </w:t>
      </w:r>
      <w:r w:rsidR="23DF1179" w:rsidRPr="23DF1179">
        <w:rPr>
          <w:rFonts w:eastAsia="Times New Roman"/>
          <w:noProof/>
          <w:lang w:val="en-IE" w:eastAsia="fr-BE"/>
        </w:rPr>
        <w:t>without creating unnecessary burdens for economic operators</w:t>
      </w:r>
      <w:r w:rsidR="23DF1179">
        <w:rPr>
          <w:noProof/>
        </w:rPr>
        <w:t xml:space="preserve">. </w:t>
      </w:r>
    </w:p>
    <w:p w14:paraId="2C3A55D3" w14:textId="76836642" w:rsidR="00A06503" w:rsidRPr="00DF5C23" w:rsidRDefault="004F5E59" w:rsidP="004F5E59">
      <w:pPr>
        <w:pStyle w:val="ManualConsidrant"/>
        <w:rPr>
          <w:noProof/>
        </w:rPr>
      </w:pPr>
      <w:r w:rsidRPr="004F5E59">
        <w:t>(82)</w:t>
      </w:r>
      <w:r w:rsidRPr="004F5E59">
        <w:tab/>
      </w:r>
      <w:r w:rsidR="23DF1179">
        <w:rPr>
          <w:noProof/>
        </w:rPr>
        <w:t xml:space="preserve">Prior to taking a final decision on whether a product can be granted a conformity certificate, the economic operator that wishes to place that product on the market should be allowed to supplement the relevant documentation once only. This limitation is necessary to ensure that notified bodies are not able to assist manufacturers in making changes until conformity is reached, as that would mean that the service provided resembles a consulting service and could in practice dilute the public interest nature of notified bodies’ tasks. Where appropriate, notified bodies should also be able to </w:t>
      </w:r>
      <w:r w:rsidR="23DF1179" w:rsidRPr="23DF1179">
        <w:rPr>
          <w:noProof/>
          <w:lang w:val="en-IE" w:eastAsia="fr-BE"/>
        </w:rPr>
        <w:t>restrict, suspend or withdraw any certificates or approval decisions.</w:t>
      </w:r>
    </w:p>
    <w:p w14:paraId="2C3A55D4" w14:textId="2479FA48" w:rsidR="00A06503" w:rsidRPr="00DF5C23" w:rsidRDefault="004F5E59" w:rsidP="004F5E59">
      <w:pPr>
        <w:pStyle w:val="ManualConsidrant"/>
        <w:rPr>
          <w:noProof/>
        </w:rPr>
      </w:pPr>
      <w:r w:rsidRPr="004F5E59">
        <w:t>(83)</w:t>
      </w:r>
      <w:r w:rsidRPr="004F5E59">
        <w:tab/>
      </w:r>
      <w:r w:rsidR="23DF1179" w:rsidRPr="23DF1179">
        <w:rPr>
          <w:noProof/>
          <w:lang w:eastAsia="en-GB"/>
        </w:rPr>
        <w:t>To facilitate the identification and resolution of cases of non-conformity of notified bodies, manufacturers or products, notified bodies should proactively forward relevant information at their disposal to notifying authorities or market surveillance authorities.</w:t>
      </w:r>
    </w:p>
    <w:p w14:paraId="2C3A55D5" w14:textId="01368ADD" w:rsidR="00A06503" w:rsidRPr="00DF5C23" w:rsidRDefault="004F5E59" w:rsidP="004F5E59">
      <w:pPr>
        <w:pStyle w:val="ManualConsidrant"/>
        <w:rPr>
          <w:noProof/>
        </w:rPr>
      </w:pPr>
      <w:r w:rsidRPr="004F5E59">
        <w:t>(84)</w:t>
      </w:r>
      <w:r w:rsidRPr="004F5E59">
        <w:tab/>
      </w:r>
      <w:r w:rsidR="23DF1179">
        <w:rPr>
          <w:noProof/>
        </w:rPr>
        <w:t xml:space="preserve">It is essential to ensure efficient exchange of information between notified bodies and market surveillance authorities, including from other Member States. To that end, it is necessary for notifying authorities and notified bodies to ensure follow-up to requests for information from market surveillance authorities. </w:t>
      </w:r>
    </w:p>
    <w:p w14:paraId="2C3A55D6" w14:textId="643931C0" w:rsidR="00083214" w:rsidRPr="00DF5C23" w:rsidRDefault="004F5E59" w:rsidP="004F5E59">
      <w:pPr>
        <w:pStyle w:val="ManualConsidrant"/>
        <w:rPr>
          <w:noProof/>
          <w:lang w:val="en-IE"/>
        </w:rPr>
      </w:pPr>
      <w:r w:rsidRPr="004F5E59">
        <w:t>(85)</w:t>
      </w:r>
      <w:r w:rsidRPr="004F5E59">
        <w:tab/>
      </w:r>
      <w:r w:rsidR="23DF1179">
        <w:rPr>
          <w:noProof/>
        </w:rPr>
        <w:t xml:space="preserve">The Commission should enable appropriate coordination and cooperation between notified bodies. To ensure harmonised application of </w:t>
      </w:r>
      <w:r w:rsidR="23DF1179" w:rsidRPr="23DF1179">
        <w:rPr>
          <w:noProof/>
          <w:lang w:val="en-IE" w:eastAsia="fr-BE"/>
        </w:rPr>
        <w:t>ecodesign</w:t>
      </w:r>
      <w:r w:rsidR="23DF1179">
        <w:rPr>
          <w:noProof/>
        </w:rPr>
        <w:t xml:space="preserve"> requirements, notified bodies should discuss and coordinate on topics of possible divergence. In that process, they should take as general guidance any document produced by the administrative cooperation group made up of market surveillance authorities, as referred to in </w:t>
      </w:r>
      <w:r w:rsidR="23DF1179" w:rsidRPr="23DF1179">
        <w:rPr>
          <w:noProof/>
          <w:lang w:val="en-IE" w:eastAsia="fr-BE"/>
        </w:rPr>
        <w:t>Article 30(2) of Regulation (EU) 2019/1020.</w:t>
      </w:r>
    </w:p>
    <w:p w14:paraId="2C3A55D7" w14:textId="152915E2" w:rsidR="00983F51" w:rsidRPr="00DF5C23" w:rsidRDefault="004F5E59" w:rsidP="004F5E59">
      <w:pPr>
        <w:pStyle w:val="ManualConsidrant"/>
        <w:rPr>
          <w:noProof/>
        </w:rPr>
      </w:pPr>
      <w:r w:rsidRPr="004F5E59">
        <w:t>(86)</w:t>
      </w:r>
      <w:r w:rsidRPr="004F5E59">
        <w:tab/>
      </w:r>
      <w:r w:rsidR="23DF1179" w:rsidRPr="23DF1179">
        <w:rPr>
          <w:noProof/>
          <w:lang w:val="en-IE"/>
        </w:rPr>
        <w:t xml:space="preserve">In order to incentivise consumers to make sustainable choices, in particular when the more sustainable products are not affordable enough, mechanisms such as eco-vouchers and green taxation should be provided for. When Member States decide to make use of incentives to reward the best-performing products among those for which classes of performance have been set by delegated acts pursuant to this Regulation, they should do so by targeting those incentives at the highest two populated classes of performance, unless otherwise indicated by the relevant delegated act. However, Member States should not be able to prohibit the placing on the market of a product based on its class of performance. For the same reason, </w:t>
      </w:r>
      <w:r w:rsidR="23DF1179">
        <w:rPr>
          <w:noProof/>
        </w:rPr>
        <w:t>the power to adopt acts in accordance with Article 290 TFEU should be delegated to the Commission to supplement this Regulation by further specifying which product parameters or related levels of performance Member States’ incentives concern in case no class of performance is determined in the applicable delegated act or where classes of performance are established in relation to more than one product parameter.</w:t>
      </w:r>
      <w:r w:rsidR="23DF1179" w:rsidRPr="23DF1179">
        <w:rPr>
          <w:noProof/>
          <w:lang w:val="en-IE"/>
        </w:rPr>
        <w:t xml:space="preserve"> The introduction of Member State incentives should be without prejudice to the application of the Union State aid rules. </w:t>
      </w:r>
    </w:p>
    <w:p w14:paraId="2C3A55D8" w14:textId="35B2530E" w:rsidR="00F4434C" w:rsidRPr="00DF5C23" w:rsidRDefault="004F5E59" w:rsidP="004F5E59">
      <w:pPr>
        <w:pStyle w:val="ManualConsidrant"/>
        <w:rPr>
          <w:noProof/>
        </w:rPr>
      </w:pPr>
      <w:r w:rsidRPr="004F5E59">
        <w:t>(87)</w:t>
      </w:r>
      <w:r w:rsidRPr="004F5E59">
        <w:tab/>
      </w:r>
      <w:r w:rsidR="00D81745" w:rsidRPr="00DF5C23">
        <w:rPr>
          <w:noProof/>
          <w:lang w:val="en-IE"/>
        </w:rPr>
        <w:t xml:space="preserve">Public procurement amounts to 14% of the </w:t>
      </w:r>
      <w:r w:rsidR="00F4434C" w:rsidRPr="00DF5C23">
        <w:rPr>
          <w:noProof/>
          <w:lang w:val="en-IE"/>
        </w:rPr>
        <w:t>Union’s</w:t>
      </w:r>
      <w:r w:rsidR="00D81745" w:rsidRPr="00DF5C23">
        <w:rPr>
          <w:noProof/>
          <w:lang w:val="en-IE"/>
        </w:rPr>
        <w:t xml:space="preserve"> GDP. </w:t>
      </w:r>
      <w:r w:rsidR="003E5F3E" w:rsidRPr="00DF5C23">
        <w:rPr>
          <w:noProof/>
          <w:lang w:val="en-IE"/>
        </w:rPr>
        <w:t xml:space="preserve">To contribute to the objective of reaching climate neutrality, improving energy and resource efficiency and transitioning to a circular economy that protects public health and biodiversity, </w:t>
      </w:r>
      <w:r w:rsidR="00383953" w:rsidRPr="00DF5C23">
        <w:rPr>
          <w:noProof/>
        </w:rPr>
        <w:t xml:space="preserve">the power to adopt acts in accordance with Article 290 TFEU should be delegated to the Commission to require </w:t>
      </w:r>
      <w:r w:rsidR="00803B38" w:rsidRPr="00DF5C23">
        <w:rPr>
          <w:noProof/>
          <w:lang w:val="en-IE"/>
        </w:rPr>
        <w:t xml:space="preserve">, where appropriate, </w:t>
      </w:r>
      <w:r w:rsidR="003E5F3E" w:rsidRPr="00DF5C23">
        <w:rPr>
          <w:noProof/>
          <w:lang w:val="en-IE"/>
        </w:rPr>
        <w:t>c</w:t>
      </w:r>
      <w:r w:rsidR="00D81745" w:rsidRPr="00DF5C23">
        <w:rPr>
          <w:noProof/>
          <w:lang w:val="en-IE"/>
        </w:rPr>
        <w:t>ontracting authorities and entities</w:t>
      </w:r>
      <w:r w:rsidR="00803B38" w:rsidRPr="00DF5C23">
        <w:rPr>
          <w:noProof/>
          <w:lang w:val="en-IE"/>
        </w:rPr>
        <w:t xml:space="preserve"> as defined in Directive </w:t>
      </w:r>
      <w:r w:rsidR="00803B38" w:rsidRPr="00DF5C23">
        <w:rPr>
          <w:noProof/>
          <w:lang w:val="en-IE" w:eastAsia="fr-BE"/>
        </w:rPr>
        <w:t>2014/24/EU</w:t>
      </w:r>
      <w:r w:rsidR="00803B38" w:rsidRPr="00DF5C23">
        <w:rPr>
          <w:rStyle w:val="FootnoteReference0"/>
          <w:noProof/>
          <w:lang w:val="en-IE" w:eastAsia="fr-BE"/>
        </w:rPr>
        <w:footnoteReference w:id="79"/>
      </w:r>
      <w:r w:rsidR="00803B38" w:rsidRPr="00DF5C23">
        <w:rPr>
          <w:noProof/>
          <w:lang w:val="en-IE" w:eastAsia="fr-BE"/>
        </w:rPr>
        <w:t xml:space="preserve"> and 2014/25/EU</w:t>
      </w:r>
      <w:r w:rsidR="00803B38" w:rsidRPr="00DF5C23">
        <w:rPr>
          <w:rStyle w:val="FootnoteReference0"/>
          <w:noProof/>
          <w:lang w:val="en-IE" w:eastAsia="fr-BE"/>
        </w:rPr>
        <w:footnoteReference w:id="80"/>
      </w:r>
      <w:r w:rsidR="00803B38" w:rsidRPr="00DF5C23">
        <w:rPr>
          <w:noProof/>
          <w:lang w:val="en-IE" w:eastAsia="fr-BE"/>
        </w:rPr>
        <w:t xml:space="preserve"> </w:t>
      </w:r>
      <w:r w:rsidR="00803B38" w:rsidRPr="00DF5C23">
        <w:rPr>
          <w:noProof/>
        </w:rPr>
        <w:t>of the European Parliament and of the Council</w:t>
      </w:r>
      <w:r w:rsidR="00803B38" w:rsidRPr="00DF5C23">
        <w:rPr>
          <w:noProof/>
          <w:lang w:val="en-IE" w:eastAsia="fr-BE"/>
        </w:rPr>
        <w:t xml:space="preserve">, </w:t>
      </w:r>
      <w:r w:rsidR="00D81745" w:rsidRPr="00DF5C23">
        <w:rPr>
          <w:noProof/>
          <w:lang w:val="en-IE"/>
        </w:rPr>
        <w:t xml:space="preserve">to align their procurement with specific </w:t>
      </w:r>
      <w:r w:rsidR="00311DDF" w:rsidRPr="00DF5C23">
        <w:rPr>
          <w:noProof/>
        </w:rPr>
        <w:t>green public procurement</w:t>
      </w:r>
      <w:r w:rsidR="00D81745" w:rsidRPr="00DF5C23">
        <w:rPr>
          <w:noProof/>
          <w:lang w:val="en-IE"/>
        </w:rPr>
        <w:t xml:space="preserve"> criteria or targets, to be set out in the delegated acts adopted pursuant to this Regulation</w:t>
      </w:r>
      <w:r w:rsidR="00311DDF" w:rsidRPr="00DF5C23">
        <w:rPr>
          <w:noProof/>
          <w:lang w:val="en-IE"/>
        </w:rPr>
        <w:t>. Th</w:t>
      </w:r>
      <w:r w:rsidR="00D81745" w:rsidRPr="00DF5C23">
        <w:rPr>
          <w:noProof/>
          <w:lang w:val="en-IE"/>
        </w:rPr>
        <w:t xml:space="preserve">e criteria or targets set by delegated acts for specific product groups should be complied with not only when directly procuring those products in public supply contracts but also in public works or public services contracts where those products will be </w:t>
      </w:r>
      <w:r w:rsidR="00311DDF" w:rsidRPr="00DF5C23">
        <w:rPr>
          <w:noProof/>
        </w:rPr>
        <w:t>used for activities constituting the subject matter of those contracts</w:t>
      </w:r>
      <w:r w:rsidR="00D81745" w:rsidRPr="00DF5C23">
        <w:rPr>
          <w:noProof/>
          <w:lang w:val="en-IE"/>
        </w:rPr>
        <w:t>.</w:t>
      </w:r>
      <w:r w:rsidR="003E5F3E" w:rsidRPr="00DF5C23">
        <w:rPr>
          <w:noProof/>
          <w:lang w:val="en-IE"/>
        </w:rPr>
        <w:t xml:space="preserve"> Compared to a voluntary approach</w:t>
      </w:r>
      <w:r w:rsidR="005415AB" w:rsidRPr="00DF5C23">
        <w:rPr>
          <w:noProof/>
          <w:lang w:val="en-IE"/>
        </w:rPr>
        <w:t>, mandatory criteria or targets will ensure that the leverage of public spending to boost demand for better performing products is maximised. The criteria should be transparent, objective and non-discriminatory.</w:t>
      </w:r>
    </w:p>
    <w:p w14:paraId="2C3A55D9" w14:textId="465B3FFB" w:rsidR="00EA2B0A" w:rsidRPr="00DF5C23" w:rsidRDefault="004F5E59" w:rsidP="004F5E59">
      <w:pPr>
        <w:pStyle w:val="ManualConsidrant"/>
        <w:rPr>
          <w:noProof/>
          <w:lang w:val="en-IE"/>
        </w:rPr>
      </w:pPr>
      <w:r w:rsidRPr="004F5E59">
        <w:t>(88)</w:t>
      </w:r>
      <w:r w:rsidRPr="004F5E59">
        <w:tab/>
      </w:r>
      <w:r w:rsidR="23DF1179">
        <w:rPr>
          <w:noProof/>
        </w:rPr>
        <w:t xml:space="preserve">Effective enforcement of </w:t>
      </w:r>
      <w:r w:rsidR="23DF1179" w:rsidRPr="23DF1179">
        <w:rPr>
          <w:noProof/>
          <w:lang w:val="en-IE" w:eastAsia="fr-BE"/>
        </w:rPr>
        <w:t>ecodesign</w:t>
      </w:r>
      <w:r w:rsidR="23DF1179">
        <w:rPr>
          <w:noProof/>
        </w:rPr>
        <w:t xml:space="preserve"> requirements is essential to ensure equal competition in the Union market and to ensure that this Regulation’s expected benefits and contribution to achieving the Union’s climate, energy and circularity objectives are achieved</w:t>
      </w:r>
      <w:r w:rsidR="23DF1179" w:rsidRPr="23DF1179">
        <w:rPr>
          <w:noProof/>
          <w:lang w:val="en-IE"/>
        </w:rPr>
        <w:t xml:space="preserve">. </w:t>
      </w:r>
      <w:r w:rsidR="23DF1179">
        <w:rPr>
          <w:noProof/>
        </w:rPr>
        <w:t xml:space="preserve">Therefore, </w:t>
      </w:r>
      <w:r w:rsidR="23DF1179" w:rsidRPr="23DF1179">
        <w:rPr>
          <w:noProof/>
          <w:lang w:val="en-IE"/>
        </w:rPr>
        <w:t xml:space="preserve">Regulation (EU) 2019/1020 setting out a horizontal framework for market surveillance and control of products entering the Union market should apply to products </w:t>
      </w:r>
      <w:r w:rsidR="23DF1179">
        <w:rPr>
          <w:noProof/>
        </w:rPr>
        <w:t xml:space="preserve">for which </w:t>
      </w:r>
      <w:r w:rsidR="23DF1179" w:rsidRPr="23DF1179">
        <w:rPr>
          <w:noProof/>
          <w:lang w:val="en-IE" w:eastAsia="fr-BE"/>
        </w:rPr>
        <w:t>ecodesign</w:t>
      </w:r>
      <w:r w:rsidR="23DF1179">
        <w:rPr>
          <w:noProof/>
        </w:rPr>
        <w:t xml:space="preserve"> requirements are set pursuant to this Regulation, </w:t>
      </w:r>
      <w:r w:rsidR="23DF1179" w:rsidRPr="23DF1179">
        <w:rPr>
          <w:noProof/>
          <w:lang w:val="en-IE"/>
        </w:rPr>
        <w:t>in so far as there are no specific provisions with the same objective, nature or effect in this Regulation. In addition, to lower the problematic levels of non-compliance of products covered by</w:t>
      </w:r>
      <w:r w:rsidR="23DF1179">
        <w:rPr>
          <w:noProof/>
        </w:rPr>
        <w:t xml:space="preserve"> implementing measures adopted under </w:t>
      </w:r>
      <w:r w:rsidR="23DF1179" w:rsidRPr="23DF1179">
        <w:rPr>
          <w:noProof/>
          <w:lang w:val="en-IE"/>
        </w:rPr>
        <w:t xml:space="preserve">Directive 2009/125/EC, to better prevent non-compliance with future </w:t>
      </w:r>
      <w:r w:rsidR="23DF1179" w:rsidRPr="23DF1179">
        <w:rPr>
          <w:noProof/>
          <w:lang w:val="en-IE" w:eastAsia="fr-BE"/>
        </w:rPr>
        <w:t>ecodesign</w:t>
      </w:r>
      <w:r w:rsidR="23DF1179" w:rsidRPr="23DF1179">
        <w:rPr>
          <w:noProof/>
          <w:lang w:val="en-IE"/>
        </w:rPr>
        <w:t xml:space="preserve"> requirements, and taking account of the broader scope and increased ambition of this Regulation compared to Directive 2009/125/EC, this Regulation should contain specific additional rules complemting the framework created by Regulation (EU) 2019/1020. Those specific additional rules should be aimed at further strengthening the planning, coordination and support of Member State efforts and should provide additional tools for the Commission to ensure sufficient action is taken by market surveillance authroties to prevent non-compliance with </w:t>
      </w:r>
      <w:r w:rsidR="23DF1179" w:rsidRPr="23DF1179">
        <w:rPr>
          <w:noProof/>
          <w:lang w:val="en-IE" w:eastAsia="fr-BE"/>
        </w:rPr>
        <w:t>ecodesign</w:t>
      </w:r>
      <w:r w:rsidR="23DF1179" w:rsidRPr="23DF1179">
        <w:rPr>
          <w:noProof/>
          <w:lang w:val="en-IE"/>
        </w:rPr>
        <w:t xml:space="preserve"> requirements. </w:t>
      </w:r>
    </w:p>
    <w:p w14:paraId="2C3A55DA" w14:textId="4477E364" w:rsidR="000714A4" w:rsidRPr="00DF5C23" w:rsidRDefault="004F5E59" w:rsidP="004F5E59">
      <w:pPr>
        <w:pStyle w:val="ManualConsidrant"/>
        <w:rPr>
          <w:noProof/>
          <w:lang w:val="en-IE"/>
        </w:rPr>
      </w:pPr>
      <w:r w:rsidRPr="004F5E59">
        <w:t>(89)</w:t>
      </w:r>
      <w:r w:rsidRPr="004F5E59">
        <w:tab/>
      </w:r>
      <w:r w:rsidR="00EA2B0A" w:rsidRPr="00DF5C23">
        <w:rPr>
          <w:noProof/>
          <w:lang w:val="en-IE"/>
        </w:rPr>
        <w:t>Beyond market surveillance authorities, c</w:t>
      </w:r>
      <w:r w:rsidR="00EA2B0A" w:rsidRPr="00DF5C23">
        <w:rPr>
          <w:noProof/>
        </w:rPr>
        <w:t>ustoms authorities also have an important role to play in enforcing this Regulation with regard to imported goods and can rely on Council Regulation (EC) No 515/97</w:t>
      </w:r>
      <w:r w:rsidR="00382F9A" w:rsidRPr="00DF5C23">
        <w:rPr>
          <w:rStyle w:val="FootnoteReference0"/>
          <w:noProof/>
        </w:rPr>
        <w:footnoteReference w:id="81"/>
      </w:r>
      <w:r w:rsidR="00EA2B0A" w:rsidRPr="00DF5C23">
        <w:rPr>
          <w:noProof/>
        </w:rPr>
        <w:t xml:space="preserve"> for that purpose.</w:t>
      </w:r>
    </w:p>
    <w:p w14:paraId="2C3A55DB" w14:textId="72A1CE65" w:rsidR="000714A4" w:rsidRPr="00DF5C23" w:rsidRDefault="004F5E59" w:rsidP="004F5E59">
      <w:pPr>
        <w:pStyle w:val="ManualConsidrant"/>
        <w:rPr>
          <w:noProof/>
        </w:rPr>
      </w:pPr>
      <w:r w:rsidRPr="004F5E59">
        <w:t>(90)</w:t>
      </w:r>
      <w:r w:rsidRPr="004F5E59">
        <w:tab/>
      </w:r>
      <w:r w:rsidR="23DF1179">
        <w:rPr>
          <w:noProof/>
        </w:rPr>
        <w:t xml:space="preserve">To ensure </w:t>
      </w:r>
      <w:r w:rsidR="23DF1179" w:rsidRPr="23DF1179">
        <w:rPr>
          <w:noProof/>
          <w:lang w:eastAsia="fr-BE"/>
        </w:rPr>
        <w:t xml:space="preserve">that appropriate </w:t>
      </w:r>
      <w:r w:rsidR="23DF1179">
        <w:rPr>
          <w:noProof/>
        </w:rPr>
        <w:t xml:space="preserve">checks are performed on an adequate scale in relation to </w:t>
      </w:r>
      <w:r w:rsidR="23DF1179" w:rsidRPr="23DF1179">
        <w:rPr>
          <w:noProof/>
          <w:lang w:val="en-IE" w:eastAsia="fr-BE"/>
        </w:rPr>
        <w:t>ecodesign</w:t>
      </w:r>
      <w:r w:rsidR="23DF1179">
        <w:rPr>
          <w:noProof/>
        </w:rPr>
        <w:t xml:space="preserve"> requirements, Member States should draw up a dedicated action plan identifying the </w:t>
      </w:r>
      <w:r w:rsidR="23DF1179" w:rsidRPr="23DF1179">
        <w:rPr>
          <w:noProof/>
          <w:lang w:eastAsia="fr-BE"/>
        </w:rPr>
        <w:t>products or requirements identified as priorities for market surveillance under this Regulation and</w:t>
      </w:r>
      <w:r w:rsidR="23DF1179">
        <w:rPr>
          <w:noProof/>
        </w:rPr>
        <w:t xml:space="preserve"> </w:t>
      </w:r>
      <w:r w:rsidR="23DF1179" w:rsidRPr="23DF1179">
        <w:rPr>
          <w:noProof/>
          <w:lang w:eastAsia="fr-BE"/>
        </w:rPr>
        <w:t xml:space="preserve">the activities planned to reduce non-compliance of relevant products or with relevant ecodesign requirements. Where relevant, this action plan should be part of Member States’ </w:t>
      </w:r>
      <w:r w:rsidR="23DF1179">
        <w:rPr>
          <w:noProof/>
        </w:rPr>
        <w:t>national market surveillance strategies adopted pursuant to Article 13 of Regulation (EU) 2019/1020.</w:t>
      </w:r>
      <w:r w:rsidR="23DF1179" w:rsidRPr="23DF1179">
        <w:rPr>
          <w:noProof/>
          <w:lang w:val="en-IE"/>
        </w:rPr>
        <w:t xml:space="preserve"> </w:t>
      </w:r>
    </w:p>
    <w:p w14:paraId="2C3A55DC" w14:textId="4432F9B1" w:rsidR="000714A4" w:rsidRPr="00DF5C23" w:rsidRDefault="004F5E59" w:rsidP="004F5E59">
      <w:pPr>
        <w:pStyle w:val="ManualConsidrant"/>
        <w:rPr>
          <w:noProof/>
          <w:lang w:val="en-IE" w:eastAsia="fr-BE"/>
        </w:rPr>
      </w:pPr>
      <w:r w:rsidRPr="004F5E59">
        <w:t>(91)</w:t>
      </w:r>
      <w:r w:rsidRPr="004F5E59">
        <w:tab/>
      </w:r>
      <w:r w:rsidR="23DF1179" w:rsidRPr="23DF1179">
        <w:rPr>
          <w:noProof/>
          <w:lang w:val="en-IE" w:eastAsia="fr-BE"/>
        </w:rPr>
        <w:t xml:space="preserve">Priorities for market surveillance under this Regulation should be identified based on objective criteria such as the levels of non-compliance observed or the environmental impacts resulting from non-compliance. The activities planned to address those priorities should in turn be proportionate to the facts leading to their prioritisation. </w:t>
      </w:r>
      <w:r w:rsidR="23DF1179">
        <w:rPr>
          <w:noProof/>
        </w:rPr>
        <w:t xml:space="preserve">In order to ensure uniform conditions for the implementation of this Regulation, implementing powers should be conferred on the Commission to determine products and requirements that Member States should consider as </w:t>
      </w:r>
      <w:r w:rsidR="23DF1179" w:rsidRPr="23DF1179">
        <w:rPr>
          <w:noProof/>
          <w:lang w:eastAsia="fr-BE"/>
        </w:rPr>
        <w:t xml:space="preserve">priorities for market surveillance in the context of their action plans </w:t>
      </w:r>
      <w:r w:rsidR="23DF1179">
        <w:rPr>
          <w:noProof/>
        </w:rPr>
        <w:t xml:space="preserve">identifying </w:t>
      </w:r>
      <w:r w:rsidR="23DF1179" w:rsidRPr="23DF1179">
        <w:rPr>
          <w:noProof/>
          <w:lang w:eastAsia="fr-BE"/>
        </w:rPr>
        <w:t>priorities for market surveillance under this Regulation and</w:t>
      </w:r>
      <w:r w:rsidR="23DF1179">
        <w:rPr>
          <w:noProof/>
        </w:rPr>
        <w:t xml:space="preserve"> </w:t>
      </w:r>
      <w:r w:rsidR="23DF1179" w:rsidRPr="23DF1179">
        <w:rPr>
          <w:noProof/>
          <w:lang w:eastAsia="fr-BE"/>
        </w:rPr>
        <w:t xml:space="preserve">activities planned to reduce non-compliance. </w:t>
      </w:r>
      <w:r w:rsidR="23DF1179">
        <w:rPr>
          <w:noProof/>
        </w:rPr>
        <w:t xml:space="preserve"> </w:t>
      </w:r>
    </w:p>
    <w:p w14:paraId="2C3A55DD" w14:textId="70889E6F" w:rsidR="000714A4" w:rsidRPr="00DF5C23" w:rsidRDefault="004F5E59" w:rsidP="004F5E59">
      <w:pPr>
        <w:pStyle w:val="ManualConsidrant"/>
        <w:rPr>
          <w:noProof/>
          <w:lang w:val="en-IE" w:eastAsia="fr-BE"/>
        </w:rPr>
      </w:pPr>
      <w:r w:rsidRPr="004F5E59">
        <w:t>(92)</w:t>
      </w:r>
      <w:r w:rsidRPr="004F5E59">
        <w:tab/>
      </w:r>
      <w:r w:rsidR="23DF1179" w:rsidRPr="23DF1179">
        <w:rPr>
          <w:noProof/>
          <w:lang w:eastAsia="fr-BE"/>
        </w:rPr>
        <w:t>Where</w:t>
      </w:r>
      <w:r w:rsidR="23DF1179">
        <w:rPr>
          <w:noProof/>
        </w:rPr>
        <w:t xml:space="preserve"> problematic levels of non-compliance with ecodesign requirements are observed</w:t>
      </w:r>
      <w:r w:rsidR="23DF1179" w:rsidRPr="23DF1179">
        <w:rPr>
          <w:noProof/>
          <w:lang w:eastAsia="fr-BE"/>
        </w:rPr>
        <w:t xml:space="preserve"> despite the enhanced </w:t>
      </w:r>
      <w:r w:rsidR="23DF1179">
        <w:rPr>
          <w:noProof/>
        </w:rPr>
        <w:t>planning, coordination and support laid down by this Regulation</w:t>
      </w:r>
      <w:r w:rsidR="23DF1179" w:rsidRPr="23DF1179">
        <w:rPr>
          <w:noProof/>
          <w:lang w:val="en-IE"/>
        </w:rPr>
        <w:t>, the Commission should be able to intervene</w:t>
      </w:r>
      <w:r w:rsidR="23DF1179" w:rsidRPr="23DF1179">
        <w:rPr>
          <w:noProof/>
          <w:lang w:val="en-IE" w:eastAsia="fr-BE"/>
        </w:rPr>
        <w:t xml:space="preserve"> to ensure that market surveillance authorities perform checks on an adequate scale. Therefore, in order to safeguard the effective enforcement of ecodesign requirements, </w:t>
      </w:r>
      <w:r w:rsidR="23DF1179">
        <w:rPr>
          <w:noProof/>
        </w:rPr>
        <w:t xml:space="preserve">the power to adopt acts in accordance with Article 290 TFEU should be delegated to the Commission to lay down a </w:t>
      </w:r>
      <w:r w:rsidR="23DF1179" w:rsidRPr="23DF1179">
        <w:rPr>
          <w:noProof/>
          <w:lang w:val="en-IE" w:eastAsia="fr-BE"/>
        </w:rPr>
        <w:t xml:space="preserve">minimum number of checks to be performed on specific products or requirements. This empowerment should be additional to the empowerment in Article 11(4) of </w:t>
      </w:r>
      <w:r w:rsidR="23DF1179" w:rsidRPr="23DF1179">
        <w:rPr>
          <w:noProof/>
          <w:lang w:val="en-IE"/>
        </w:rPr>
        <w:t>Regulation (EU) 2019/1020.</w:t>
      </w:r>
    </w:p>
    <w:p w14:paraId="2C3A55DE" w14:textId="540F7858" w:rsidR="00075A80" w:rsidRPr="00DF5C23" w:rsidRDefault="004F5E59" w:rsidP="004F5E59">
      <w:pPr>
        <w:pStyle w:val="ManualConsidrant"/>
        <w:rPr>
          <w:noProof/>
          <w:lang w:val="en-IE"/>
        </w:rPr>
      </w:pPr>
      <w:r w:rsidRPr="004F5E59">
        <w:t>(93)</w:t>
      </w:r>
      <w:r w:rsidRPr="004F5E59">
        <w:tab/>
      </w:r>
      <w:r w:rsidR="23DF1179" w:rsidRPr="23DF1179">
        <w:rPr>
          <w:noProof/>
          <w:lang w:eastAsia="fr-BE"/>
        </w:rPr>
        <w:t xml:space="preserve">Based on data </w:t>
      </w:r>
      <w:r w:rsidR="23DF1179" w:rsidRPr="23DF1179">
        <w:rPr>
          <w:noProof/>
          <w:lang w:val="en-IE"/>
        </w:rPr>
        <w:t xml:space="preserve">entered into </w:t>
      </w:r>
      <w:r w:rsidR="23DF1179">
        <w:rPr>
          <w:noProof/>
        </w:rPr>
        <w:t>the information and communication system for market surveillance</w:t>
      </w:r>
      <w:r w:rsidR="23DF1179" w:rsidRPr="23DF1179">
        <w:rPr>
          <w:noProof/>
          <w:lang w:eastAsia="fr-BE"/>
        </w:rPr>
        <w:t xml:space="preserve">, the Commission should draw up a report containing information on the nature and number of checks performed, on the levels of non-compliance identified and on the nature and severity of penalties imposed in relation to </w:t>
      </w:r>
      <w:r w:rsidR="23DF1179" w:rsidRPr="23DF1179">
        <w:rPr>
          <w:noProof/>
          <w:lang w:val="en-IE" w:eastAsia="fr-BE"/>
        </w:rPr>
        <w:t>ecodesign</w:t>
      </w:r>
      <w:r w:rsidR="23DF1179" w:rsidRPr="23DF1179">
        <w:rPr>
          <w:noProof/>
          <w:lang w:eastAsia="fr-BE"/>
        </w:rPr>
        <w:t xml:space="preserve"> requirements over the two previous calendar years. The reports should contain a comparison of Member States’ activities with the activities planned and indicative benchmarks for market surveillance authorities.</w:t>
      </w:r>
      <w:r w:rsidR="23DF1179" w:rsidRPr="23DF1179">
        <w:rPr>
          <w:noProof/>
          <w:lang w:val="en-IE" w:eastAsia="fr-BE"/>
        </w:rPr>
        <w:t xml:space="preserve"> </w:t>
      </w:r>
      <w:r w:rsidR="23DF1179" w:rsidRPr="23DF1179">
        <w:rPr>
          <w:noProof/>
          <w:lang w:val="en-IE"/>
        </w:rPr>
        <w:t xml:space="preserve">  </w:t>
      </w:r>
    </w:p>
    <w:p w14:paraId="2C3A55DF" w14:textId="3F344A34" w:rsidR="00075A80" w:rsidRPr="00DF5C23" w:rsidRDefault="004F5E59" w:rsidP="004F5E59">
      <w:pPr>
        <w:pStyle w:val="ManualConsidrant"/>
        <w:rPr>
          <w:noProof/>
          <w:lang w:val="en-IE"/>
        </w:rPr>
      </w:pPr>
      <w:r w:rsidRPr="004F5E59">
        <w:t>(94)</w:t>
      </w:r>
      <w:r w:rsidRPr="004F5E59">
        <w:tab/>
      </w:r>
      <w:r w:rsidR="23DF1179" w:rsidRPr="23DF1179">
        <w:rPr>
          <w:noProof/>
          <w:lang w:val="en-IE"/>
        </w:rPr>
        <w:t xml:space="preserve">To further strengthen coordination of market surveillance authorities, the administrative cooperation group (‘ADCO’) set up pursuant to Regulation (EU) 2019/1020 should, for the purposes of </w:t>
      </w:r>
      <w:r w:rsidR="23DF1179">
        <w:rPr>
          <w:noProof/>
        </w:rPr>
        <w:t xml:space="preserve">identifying the </w:t>
      </w:r>
      <w:r w:rsidR="23DF1179" w:rsidRPr="23DF1179">
        <w:rPr>
          <w:noProof/>
          <w:lang w:eastAsia="fr-BE"/>
        </w:rPr>
        <w:t>products or requirements identified as priorities for market surveillance under this Regulation and</w:t>
      </w:r>
      <w:r w:rsidR="23DF1179">
        <w:rPr>
          <w:noProof/>
        </w:rPr>
        <w:t xml:space="preserve"> </w:t>
      </w:r>
      <w:r w:rsidR="23DF1179" w:rsidRPr="23DF1179">
        <w:rPr>
          <w:noProof/>
          <w:lang w:eastAsia="fr-BE"/>
        </w:rPr>
        <w:t>the activities planned to reduce non-compliance</w:t>
      </w:r>
      <w:r w:rsidR="23DF1179" w:rsidRPr="23DF1179">
        <w:rPr>
          <w:noProof/>
          <w:lang w:val="en-IE"/>
        </w:rPr>
        <w:t xml:space="preserve"> is Regulation, meet at regular intervals and identify common priorities for market surveillance to be taken into account in Member States’ action plans, priorities for the provision of Union support, and </w:t>
      </w:r>
      <w:r w:rsidR="23DF1179" w:rsidRPr="23DF1179">
        <w:rPr>
          <w:noProof/>
          <w:lang w:val="en-IE" w:eastAsia="fr-BE"/>
        </w:rPr>
        <w:t>ecodesign</w:t>
      </w:r>
      <w:r w:rsidR="23DF1179" w:rsidRPr="23DF1179">
        <w:rPr>
          <w:noProof/>
          <w:lang w:val="en-IE"/>
        </w:rPr>
        <w:t xml:space="preserve"> requirements that are interpreted differently leading to market distortion.    </w:t>
      </w:r>
    </w:p>
    <w:p w14:paraId="2C3A55E0" w14:textId="27E2B486" w:rsidR="00075A80" w:rsidRPr="00DF5C23" w:rsidRDefault="004F5E59" w:rsidP="004F5E59">
      <w:pPr>
        <w:pStyle w:val="ManualConsidrant"/>
        <w:rPr>
          <w:noProof/>
          <w:lang w:val="en-IE"/>
        </w:rPr>
      </w:pPr>
      <w:r w:rsidRPr="004F5E59">
        <w:t>(95)</w:t>
      </w:r>
      <w:r w:rsidRPr="004F5E59">
        <w:tab/>
      </w:r>
      <w:r w:rsidR="23DF1179" w:rsidRPr="23DF1179">
        <w:rPr>
          <w:noProof/>
          <w:lang w:val="en-IE"/>
        </w:rPr>
        <w:t xml:space="preserve">To support Member States in their efforts to ensure sufficient action is taken to prevent non-compliance with </w:t>
      </w:r>
      <w:r w:rsidR="23DF1179" w:rsidRPr="23DF1179">
        <w:rPr>
          <w:noProof/>
          <w:lang w:val="en-IE" w:eastAsia="fr-BE"/>
        </w:rPr>
        <w:t>ecodesign</w:t>
      </w:r>
      <w:r w:rsidR="23DF1179" w:rsidRPr="23DF1179">
        <w:rPr>
          <w:noProof/>
          <w:lang w:val="en-IE"/>
        </w:rPr>
        <w:t xml:space="preserve"> requirements, the Commission should, where relevant, make use of the support measures provided for in </w:t>
      </w:r>
      <w:r w:rsidR="23DF1179">
        <w:rPr>
          <w:noProof/>
        </w:rPr>
        <w:t>Regulation (EU) 2019/1020. The Commission should organise</w:t>
      </w:r>
      <w:r w:rsidR="23DF1179" w:rsidRPr="23DF1179">
        <w:rPr>
          <w:noProof/>
          <w:lang w:val="en-IE"/>
        </w:rPr>
        <w:t xml:space="preserve"> and, where appropriate finance, joint market surveillance and testing projects in areas of common interest, </w:t>
      </w:r>
      <w:r w:rsidR="23DF1179" w:rsidRPr="23DF1179">
        <w:rPr>
          <w:noProof/>
          <w:lang w:val="en-IE" w:eastAsia="fr-BE"/>
        </w:rPr>
        <w:t>joint investments in market surveillance capacities</w:t>
      </w:r>
      <w:r w:rsidR="23DF1179" w:rsidRPr="23DF1179">
        <w:rPr>
          <w:noProof/>
          <w:lang w:val="en-IE"/>
        </w:rPr>
        <w:t xml:space="preserve"> and </w:t>
      </w:r>
      <w:r w:rsidR="23DF1179" w:rsidRPr="23DF1179">
        <w:rPr>
          <w:noProof/>
          <w:lang w:val="en-IE" w:eastAsia="fr-BE"/>
        </w:rPr>
        <w:t xml:space="preserve">common trainings for the staff of market surveillance authorities, notifying authorities and notified bodies. In addition, the Commission should </w:t>
      </w:r>
      <w:r w:rsidR="23DF1179" w:rsidRPr="23DF1179">
        <w:rPr>
          <w:noProof/>
          <w:lang w:eastAsia="fr-BE"/>
        </w:rPr>
        <w:t>draw up guidelines on how to apply and enforce</w:t>
      </w:r>
      <w:r w:rsidR="23DF1179" w:rsidRPr="23DF1179">
        <w:rPr>
          <w:noProof/>
          <w:lang w:val="en-IE" w:eastAsia="fr-BE"/>
        </w:rPr>
        <w:t xml:space="preserve"> ecodesign requirements where necessary to ensure their harmonised application. </w:t>
      </w:r>
    </w:p>
    <w:p w14:paraId="2C3A55E1" w14:textId="10EE7A9E" w:rsidR="00075A80" w:rsidRPr="00DF5C23" w:rsidRDefault="004F5E59" w:rsidP="004F5E59">
      <w:pPr>
        <w:pStyle w:val="ManualConsidrant"/>
        <w:rPr>
          <w:noProof/>
        </w:rPr>
      </w:pPr>
      <w:r w:rsidRPr="004F5E59">
        <w:t>(96)</w:t>
      </w:r>
      <w:r w:rsidRPr="004F5E59">
        <w:tab/>
      </w:r>
      <w:r w:rsidR="23DF1179">
        <w:rPr>
          <w:noProof/>
        </w:rPr>
        <w:t xml:space="preserve">Products should be placed on the market only if they do not present a risk. In order to better align with the specific nature of </w:t>
      </w:r>
      <w:r w:rsidR="23DF1179" w:rsidRPr="23DF1179">
        <w:rPr>
          <w:noProof/>
          <w:lang w:val="en-IE" w:eastAsia="fr-BE"/>
        </w:rPr>
        <w:t>ecodesign</w:t>
      </w:r>
      <w:r w:rsidR="23DF1179">
        <w:rPr>
          <w:noProof/>
        </w:rPr>
        <w:t xml:space="preserve"> requirements and to ensure that the focus of market surveillance efforts is on non-compliance with such requirements, </w:t>
      </w:r>
      <w:r w:rsidR="23DF1179" w:rsidRPr="23DF1179">
        <w:rPr>
          <w:noProof/>
          <w:lang w:val="en-IE"/>
        </w:rPr>
        <w:t xml:space="preserve">a product presenting a risk should, for the purposes of this Regulation, be defined as a product that, by not complying with an </w:t>
      </w:r>
      <w:r w:rsidR="23DF1179" w:rsidRPr="23DF1179">
        <w:rPr>
          <w:noProof/>
          <w:lang w:val="en-IE" w:eastAsia="fr-BE"/>
        </w:rPr>
        <w:t>ecodesign</w:t>
      </w:r>
      <w:r w:rsidR="23DF1179" w:rsidRPr="23DF1179">
        <w:rPr>
          <w:noProof/>
          <w:lang w:val="en-IE"/>
        </w:rPr>
        <w:t xml:space="preserve"> requirement or because a responsible economic operator does not comply with an </w:t>
      </w:r>
      <w:r w:rsidR="23DF1179" w:rsidRPr="23DF1179">
        <w:rPr>
          <w:noProof/>
          <w:lang w:val="en-IE" w:eastAsia="fr-BE"/>
        </w:rPr>
        <w:t>ecodesign</w:t>
      </w:r>
      <w:r w:rsidR="23DF1179" w:rsidRPr="23DF1179">
        <w:rPr>
          <w:noProof/>
          <w:lang w:val="en-IE"/>
        </w:rPr>
        <w:t xml:space="preserve"> requirement, may adversely affect the environment or other public interests protected by the relevant requirements. This more specific definition should be used when applying Articles 19 and 20 of Regulation (EU) 2019/1020. </w:t>
      </w:r>
    </w:p>
    <w:p w14:paraId="2C3A55E2" w14:textId="740C24D8" w:rsidR="00075A80" w:rsidRPr="00DF5C23" w:rsidRDefault="004F5E59" w:rsidP="004F5E59">
      <w:pPr>
        <w:pStyle w:val="ManualConsidrant"/>
        <w:rPr>
          <w:noProof/>
        </w:rPr>
      </w:pPr>
      <w:r w:rsidRPr="004F5E59">
        <w:t>(97)</w:t>
      </w:r>
      <w:r w:rsidRPr="004F5E59">
        <w:tab/>
      </w:r>
      <w:r w:rsidR="23DF1179">
        <w:rPr>
          <w:noProof/>
        </w:rPr>
        <w:t xml:space="preserve">A procedure should exist under which interested parties are informed of measures intended to be taken with regard to products presenting a risk. It should also allow market surveillance authorities in the Member States, in cooperation with the relevant economic operators, to act at an early stage with regard to such products. To that end, the safeguard clause currently included in </w:t>
      </w:r>
      <w:r w:rsidR="23DF1179" w:rsidRPr="23DF1179">
        <w:rPr>
          <w:noProof/>
          <w:lang w:val="en-IE"/>
        </w:rPr>
        <w:t xml:space="preserve">Directive 2009/125/EC should be updated and aligned with the safeguard procedures included in other Union harmonisation legislation and in </w:t>
      </w:r>
      <w:r w:rsidR="23DF1179">
        <w:rPr>
          <w:noProof/>
        </w:rPr>
        <w:t>Decision No 768/2008/EC</w:t>
      </w:r>
      <w:r w:rsidR="23DF1179" w:rsidRPr="23DF1179">
        <w:rPr>
          <w:noProof/>
          <w:lang w:val="en-IE"/>
        </w:rPr>
        <w:t xml:space="preserve">. </w:t>
      </w:r>
      <w:r w:rsidR="23DF1179">
        <w:rPr>
          <w:noProof/>
        </w:rPr>
        <w:t xml:space="preserve">In order to ensure uniform conditions for the implementation of this Regulation, implementing powers should be conferred on the Commission to determine whether national measures in respect of non-compliant products are justified or not. </w:t>
      </w:r>
    </w:p>
    <w:p w14:paraId="2C3A55E3" w14:textId="2B0EDB9F" w:rsidR="00075A80" w:rsidRPr="00DF5C23" w:rsidRDefault="004F5E59" w:rsidP="004F5E59">
      <w:pPr>
        <w:pStyle w:val="ManualConsidrant"/>
        <w:rPr>
          <w:noProof/>
        </w:rPr>
      </w:pPr>
      <w:r w:rsidRPr="004F5E59">
        <w:t>(98)</w:t>
      </w:r>
      <w:r w:rsidRPr="004F5E59">
        <w:tab/>
      </w:r>
      <w:r w:rsidR="23DF1179">
        <w:rPr>
          <w:noProof/>
        </w:rPr>
        <w:t xml:space="preserve">The market surveillance authorities should have the right to require economic operators to take corrective action on the basis of findings that either a product is not compliant with </w:t>
      </w:r>
      <w:r w:rsidR="23DF1179" w:rsidRPr="23DF1179">
        <w:rPr>
          <w:noProof/>
          <w:lang w:val="en-IE" w:eastAsia="fr-BE"/>
        </w:rPr>
        <w:t>ecodesign</w:t>
      </w:r>
      <w:r w:rsidR="23DF1179">
        <w:rPr>
          <w:noProof/>
        </w:rPr>
        <w:t xml:space="preserve"> requirements or that the economic operator has infringed the rules on the placing or making available on the market of products or other rules addressed to it.</w:t>
      </w:r>
    </w:p>
    <w:p w14:paraId="2C3A55E4" w14:textId="64299A3C" w:rsidR="006B2A80" w:rsidRPr="00DF5C23" w:rsidRDefault="004F5E59" w:rsidP="004F5E59">
      <w:pPr>
        <w:pStyle w:val="ManualConsidrant"/>
        <w:rPr>
          <w:noProof/>
        </w:rPr>
      </w:pPr>
      <w:r w:rsidRPr="004F5E59">
        <w:t>(99)</w:t>
      </w:r>
      <w:r w:rsidRPr="004F5E59">
        <w:tab/>
      </w:r>
      <w:r w:rsidR="00CC793D" w:rsidRPr="00DF5C23">
        <w:rPr>
          <w:noProof/>
        </w:rPr>
        <w:t>When adopting delegated acts pursuant to Article 290 TFEU, i</w:t>
      </w:r>
      <w:r w:rsidR="0681B866" w:rsidRPr="00DF5C23">
        <w:rPr>
          <w:noProof/>
        </w:rPr>
        <w:t>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6B2A80" w:rsidRPr="00DF5C23">
        <w:rPr>
          <w:rStyle w:val="FootnoteReference0"/>
          <w:noProof/>
        </w:rPr>
        <w:footnoteReference w:id="82"/>
      </w:r>
      <w:r w:rsidR="0681B866" w:rsidRPr="00DF5C23">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2C3A55E5" w14:textId="6F63D685" w:rsidR="00EA2B0A" w:rsidRPr="00DF5C23" w:rsidRDefault="004F5E59" w:rsidP="004F5E59">
      <w:pPr>
        <w:pStyle w:val="ManualConsidrant"/>
        <w:rPr>
          <w:noProof/>
        </w:rPr>
      </w:pPr>
      <w:r w:rsidRPr="004F5E59">
        <w:t>(100)</w:t>
      </w:r>
      <w:r w:rsidRPr="004F5E59">
        <w:tab/>
      </w:r>
      <w:r w:rsidR="00D81745" w:rsidRPr="00DF5C23">
        <w:rPr>
          <w:noProof/>
        </w:rPr>
        <w:t>In order to ensure uniform conditions for the implementation of this Regulation, implementing powers should be conferred on the Commission as regards</w:t>
      </w:r>
      <w:r w:rsidR="00AD1524" w:rsidRPr="00DF5C23">
        <w:rPr>
          <w:noProof/>
        </w:rPr>
        <w:t>:</w:t>
      </w:r>
      <w:r w:rsidR="000E2C9B" w:rsidRPr="00DF5C23">
        <w:rPr>
          <w:noProof/>
        </w:rPr>
        <w:t xml:space="preserve"> </w:t>
      </w:r>
      <w:r w:rsidR="008D205D" w:rsidRPr="00DF5C23">
        <w:rPr>
          <w:rFonts w:eastAsia="Times New Roman"/>
          <w:noProof/>
          <w:color w:val="000000"/>
          <w:lang w:val="en-IE" w:eastAsia="fr-BE"/>
        </w:rPr>
        <w:t xml:space="preserve">(a) </w:t>
      </w:r>
      <w:r w:rsidR="00804E91" w:rsidRPr="00DF5C23">
        <w:rPr>
          <w:noProof/>
          <w:lang w:val="en-IE" w:eastAsia="fr-BE"/>
        </w:rPr>
        <w:t xml:space="preserve">specifying implementation arrangements for the interconnection of the registry referred to in Article 12 and the </w:t>
      </w:r>
      <w:r w:rsidR="00804E91" w:rsidRPr="00DF5C23">
        <w:rPr>
          <w:noProof/>
        </w:rPr>
        <w:t xml:space="preserve">EU Customs Single Window Certificates Exchange; (b) </w:t>
      </w:r>
      <w:r w:rsidR="008D205D" w:rsidRPr="00DF5C23">
        <w:rPr>
          <w:rFonts w:eastAsia="Times New Roman"/>
          <w:noProof/>
          <w:color w:val="000000"/>
          <w:lang w:val="en-IE" w:eastAsia="fr-BE"/>
        </w:rPr>
        <w:t>establishing common requirements for the layout of labels; (</w:t>
      </w:r>
      <w:r w:rsidR="00804E91" w:rsidRPr="00DF5C23">
        <w:rPr>
          <w:rFonts w:eastAsia="Times New Roman"/>
          <w:noProof/>
          <w:color w:val="000000"/>
          <w:lang w:val="en-IE" w:eastAsia="fr-BE"/>
        </w:rPr>
        <w:t>c</w:t>
      </w:r>
      <w:r w:rsidR="008D205D" w:rsidRPr="00DF5C23">
        <w:rPr>
          <w:rFonts w:eastAsia="Times New Roman"/>
          <w:noProof/>
          <w:color w:val="000000"/>
          <w:lang w:val="en-IE" w:eastAsia="fr-BE"/>
        </w:rPr>
        <w:t>) containing a list of self-regulation measures established as valid alternatives to a delegated act adopted pursuant to Article 4; (</w:t>
      </w:r>
      <w:r w:rsidR="00804E91" w:rsidRPr="00DF5C23">
        <w:rPr>
          <w:rFonts w:eastAsia="Times New Roman"/>
          <w:noProof/>
          <w:color w:val="000000"/>
          <w:lang w:val="en-IE" w:eastAsia="fr-BE"/>
        </w:rPr>
        <w:t>d</w:t>
      </w:r>
      <w:r w:rsidR="008D205D" w:rsidRPr="00DF5C23">
        <w:rPr>
          <w:rFonts w:eastAsia="Times New Roman"/>
          <w:noProof/>
          <w:color w:val="000000"/>
          <w:lang w:val="en-IE" w:eastAsia="fr-BE"/>
        </w:rPr>
        <w:t xml:space="preserve">) setting out format for the disclosure of the information on unsold consumer products that have been discarded; </w:t>
      </w:r>
      <w:r w:rsidR="008D205D" w:rsidRPr="00DF5C23">
        <w:rPr>
          <w:noProof/>
        </w:rPr>
        <w:t>(</w:t>
      </w:r>
      <w:r w:rsidR="00804E91" w:rsidRPr="00DF5C23">
        <w:rPr>
          <w:noProof/>
        </w:rPr>
        <w:t>e</w:t>
      </w:r>
      <w:r w:rsidR="008D205D" w:rsidRPr="00DF5C23">
        <w:rPr>
          <w:noProof/>
        </w:rPr>
        <w:t xml:space="preserve">) laying down, amending or repealing common specifications </w:t>
      </w:r>
      <w:r w:rsidR="008D205D" w:rsidRPr="00DF5C23">
        <w:rPr>
          <w:noProof/>
          <w:lang w:val="en-IE" w:eastAsia="fr-BE"/>
        </w:rPr>
        <w:t>for ecodesign requirements, the essential requirements for product passports or for test, measurement or calculation methods</w:t>
      </w:r>
      <w:r w:rsidR="008D205D" w:rsidRPr="00DF5C23">
        <w:rPr>
          <w:noProof/>
          <w:color w:val="000000"/>
          <w:lang w:val="en-IE" w:eastAsia="fr-BE"/>
        </w:rPr>
        <w:t>; (</w:t>
      </w:r>
      <w:r w:rsidR="00804E91" w:rsidRPr="00DF5C23">
        <w:rPr>
          <w:noProof/>
          <w:color w:val="000000"/>
          <w:lang w:val="en-IE" w:eastAsia="fr-BE"/>
        </w:rPr>
        <w:t>f</w:t>
      </w:r>
      <w:r w:rsidR="008D205D" w:rsidRPr="00DF5C23">
        <w:rPr>
          <w:noProof/>
          <w:color w:val="000000"/>
          <w:lang w:val="en-IE" w:eastAsia="fr-BE"/>
        </w:rPr>
        <w:t>)</w:t>
      </w:r>
      <w:r w:rsidR="008D205D" w:rsidRPr="00DF5C23">
        <w:rPr>
          <w:noProof/>
        </w:rPr>
        <w:t xml:space="preserve"> </w:t>
      </w:r>
      <w:r w:rsidR="008D205D" w:rsidRPr="00DF5C23">
        <w:rPr>
          <w:noProof/>
          <w:color w:val="000000"/>
          <w:lang w:val="en-IE" w:eastAsia="fr-BE"/>
        </w:rPr>
        <w:t>laying down a minimum number of full-time equivalents considered sufficient for the proper monitoring of notified bodies; (</w:t>
      </w:r>
      <w:r w:rsidR="00804E91" w:rsidRPr="00DF5C23">
        <w:rPr>
          <w:noProof/>
          <w:color w:val="000000"/>
          <w:lang w:val="en-IE" w:eastAsia="fr-BE"/>
        </w:rPr>
        <w:t>g</w:t>
      </w:r>
      <w:r w:rsidR="008D205D" w:rsidRPr="00DF5C23">
        <w:rPr>
          <w:noProof/>
          <w:color w:val="000000"/>
          <w:lang w:val="en-IE" w:eastAsia="fr-BE"/>
        </w:rPr>
        <w:t xml:space="preserve">) </w:t>
      </w:r>
      <w:r w:rsidR="008D205D" w:rsidRPr="00DF5C23">
        <w:rPr>
          <w:rFonts w:eastAsia="Times New Roman"/>
          <w:noProof/>
          <w:color w:val="000000"/>
          <w:lang w:val="en-IE" w:eastAsia="fr-BE"/>
        </w:rPr>
        <w:t>requiring a Member State to take corrective action, including withdrawal of the notification, for non-compliant notified bodies; (</w:t>
      </w:r>
      <w:r w:rsidR="00804E91" w:rsidRPr="00DF5C23">
        <w:rPr>
          <w:rFonts w:eastAsia="Times New Roman"/>
          <w:noProof/>
          <w:color w:val="000000"/>
          <w:lang w:val="en-IE" w:eastAsia="fr-BE"/>
        </w:rPr>
        <w:t>h</w:t>
      </w:r>
      <w:r w:rsidR="008D205D" w:rsidRPr="00DF5C23">
        <w:rPr>
          <w:rFonts w:eastAsia="Times New Roman"/>
          <w:noProof/>
          <w:color w:val="000000"/>
          <w:lang w:val="en-IE" w:eastAsia="fr-BE"/>
        </w:rPr>
        <w:t>)</w:t>
      </w:r>
      <w:r w:rsidR="008D205D" w:rsidRPr="00DF5C23">
        <w:rPr>
          <w:noProof/>
        </w:rPr>
        <w:t xml:space="preserve"> listing the </w:t>
      </w:r>
      <w:r w:rsidR="008D205D" w:rsidRPr="00DF5C23">
        <w:rPr>
          <w:noProof/>
          <w:lang w:eastAsia="fr-BE"/>
        </w:rPr>
        <w:t>products</w:t>
      </w:r>
      <w:r w:rsidR="008D205D" w:rsidRPr="00DF5C23">
        <w:rPr>
          <w:noProof/>
        </w:rPr>
        <w:t xml:space="preserve"> or requirements that Member States must at least consider as </w:t>
      </w:r>
      <w:r w:rsidR="008D205D" w:rsidRPr="00DF5C23">
        <w:rPr>
          <w:noProof/>
          <w:lang w:eastAsia="fr-BE"/>
        </w:rPr>
        <w:t>priorities for market surveillance; and (</w:t>
      </w:r>
      <w:r w:rsidR="00804E91" w:rsidRPr="00DF5C23">
        <w:rPr>
          <w:noProof/>
          <w:lang w:eastAsia="fr-BE"/>
        </w:rPr>
        <w:t>i</w:t>
      </w:r>
      <w:r w:rsidR="008D205D" w:rsidRPr="00DF5C23">
        <w:rPr>
          <w:noProof/>
          <w:lang w:eastAsia="fr-BE"/>
        </w:rPr>
        <w:t>) deciding, pursuant to the Union safeguard procedure, whether a national measure is justified or not</w:t>
      </w:r>
      <w:r w:rsidR="008D205D" w:rsidRPr="00DF5C23">
        <w:rPr>
          <w:noProof/>
          <w:lang w:val="en-IE" w:eastAsia="fr-BE"/>
        </w:rPr>
        <w:t xml:space="preserve">. </w:t>
      </w:r>
      <w:r w:rsidR="00D81745" w:rsidRPr="00DF5C23">
        <w:rPr>
          <w:noProof/>
        </w:rPr>
        <w:t>Those powers should be exercised in accordance with Regulation (EU) No 182/2011 of the European Parliament and of the Council</w:t>
      </w:r>
      <w:r w:rsidR="006B2A80" w:rsidRPr="00DF5C23">
        <w:rPr>
          <w:rStyle w:val="FootnoteReference0"/>
          <w:noProof/>
        </w:rPr>
        <w:footnoteReference w:id="83"/>
      </w:r>
    </w:p>
    <w:p w14:paraId="2C3A55E6" w14:textId="73E9E785" w:rsidR="006B2A80" w:rsidRPr="00DF5C23" w:rsidRDefault="004F5E59" w:rsidP="004F5E59">
      <w:pPr>
        <w:pStyle w:val="ManualConsidrant"/>
        <w:rPr>
          <w:noProof/>
        </w:rPr>
      </w:pPr>
      <w:r w:rsidRPr="004F5E59">
        <w:t>(101)</w:t>
      </w:r>
      <w:r w:rsidRPr="004F5E59">
        <w:tab/>
      </w:r>
      <w:r w:rsidR="23DF1179">
        <w:rPr>
          <w:noProof/>
        </w:rPr>
        <w:t>To enhance trust in products placed on the market, in particular as regards the fact that they comply with ecodesign requirements, the public needs to be sure that economic operators placing non-compliant products on the market will be subject to penalties. It is therefore necessary that Member States lay down effective, proportionate and dissuasive penalties in national law for failure to comply with this Regulation.</w:t>
      </w:r>
    </w:p>
    <w:p w14:paraId="2C3A55E7" w14:textId="1E7B1BE5" w:rsidR="006B2A80" w:rsidRPr="00DF5C23" w:rsidRDefault="004F5E59" w:rsidP="004F5E59">
      <w:pPr>
        <w:pStyle w:val="ManualConsidrant"/>
        <w:rPr>
          <w:noProof/>
        </w:rPr>
      </w:pPr>
      <w:r w:rsidRPr="004F5E59">
        <w:t>(102)</w:t>
      </w:r>
      <w:r w:rsidRPr="004F5E59">
        <w:tab/>
      </w:r>
      <w:r w:rsidR="23DF1179">
        <w:rPr>
          <w:noProof/>
        </w:rPr>
        <w:t>The Commission should carry out an evaluation of this Regulation. Pursuant to paragraph 22 of the Interinstitutional Agreement on Better Law-Making, that evaluation should be based on the five criteria of efficiency, effectiveness, relevance, coherence and EU value added and should provide the basis for impact assessments of possible further measures. The Commission should submit to the European Parliament, to the Council, the European Economic and Social Committee, and to the Committee of the Regions a report on the implementation of this Regulation and its impact on the environmental sustainability of products and the functioning of the internal market. Where appropriate, the report should be accompanied by a proposal to amend relevant provisions of this Regulation.</w:t>
      </w:r>
    </w:p>
    <w:p w14:paraId="2C3A55E8" w14:textId="1B3D6C94" w:rsidR="00EF017D" w:rsidRPr="00DF5C23" w:rsidRDefault="004F5E59" w:rsidP="004F5E59">
      <w:pPr>
        <w:pStyle w:val="ManualConsidrant"/>
        <w:rPr>
          <w:noProof/>
        </w:rPr>
      </w:pPr>
      <w:r w:rsidRPr="004F5E59">
        <w:t>(103)</w:t>
      </w:r>
      <w:r w:rsidRPr="004F5E59">
        <w:tab/>
      </w:r>
      <w:r w:rsidR="23DF1179">
        <w:rPr>
          <w:noProof/>
        </w:rPr>
        <w:t xml:space="preserve">It is necessary that ecodesign requirements apply to the widest possible range of products, and not only energy-related products, and that the definition of ecodesign requirements is widened to encompass all aspects of circularity. It is also necessary to align this Regulation to the New Legislative Framework set out in Regulation (EC) No 765/2008 and Decision No 768/2008/EC, and to improve the provisions related to market surveillance. Directive 2009/125/EC should therefore be replaced. In order to ensure legal certainty for all economic operators from the date of entry into force of this Regulation and to guarantee a level playing-field for </w:t>
      </w:r>
      <w:r w:rsidR="23DF1179" w:rsidRPr="23DF1179">
        <w:rPr>
          <w:noProof/>
          <w:lang w:eastAsia="en-GB"/>
        </w:rPr>
        <w:t xml:space="preserve">businesses operating </w:t>
      </w:r>
      <w:r w:rsidR="23DF1179" w:rsidRPr="23DF1179">
        <w:rPr>
          <w:rFonts w:eastAsia="Arial Unicode MS"/>
          <w:noProof/>
        </w:rPr>
        <w:t>on the internal market</w:t>
      </w:r>
      <w:r w:rsidR="23DF1179">
        <w:rPr>
          <w:noProof/>
        </w:rPr>
        <w:t>, the provisions setting out transparency obligations related to the discarding of unsold consumer products, circumvention, and market surveillance, should be of uniform application for all operators across the Union. Directive 2009/125/EC should therefore be replaced by a Regulation.</w:t>
      </w:r>
    </w:p>
    <w:p w14:paraId="2C3A55E9" w14:textId="084D5EE0" w:rsidR="00094E72" w:rsidRPr="00DF5C23" w:rsidRDefault="004F5E59" w:rsidP="004F5E59">
      <w:pPr>
        <w:pStyle w:val="ManualConsidrant"/>
        <w:rPr>
          <w:noProof/>
        </w:rPr>
      </w:pPr>
      <w:r w:rsidRPr="004F5E59">
        <w:t>(104)</w:t>
      </w:r>
      <w:r w:rsidRPr="004F5E59">
        <w:tab/>
      </w:r>
      <w:r w:rsidR="23DF1179">
        <w:rPr>
          <w:noProof/>
        </w:rPr>
        <w:t xml:space="preserve">In order to ensure legal certainty and continuity for products placed on the market or put into service in conformity with implementing measures adopted pursuant to Directive 2009/125/EC, in its version applicable on the date of application of this Regulation, those measures should remain in force beyond that date, and until repealed by a delegated act adopted pursuant to this Regulation. For the same reasons, a number of provisions of Directive 2009/125/EC should continue to have full effect in the context of applying these implementing measures. This concerns in particular provisions of Directive 2009/125/EC excluding means of transport for goods or persons from its scope, establishing definitions relevant for implementing measures, setting economic operators’ responsibilities in relation to products placed on the market, specifying the details of the relevant conformity assessment procedures and the EC declaration of conformity, establishing a presumption of conformity for products which have been awarded the EU ecolabel and enabling necessary action in relation to harmonised standards. Noting the importance of ensuring free movement of goods, banning practices illegally altering products’ performance in order to reach a more favourable result and ensuring proper enforcement of ecodesign requirements, relevant provisions of this Regulation should be applicable to energy-related products placed on the market pursuant to implementing measures under Directive 2009/125/EC. </w:t>
      </w:r>
    </w:p>
    <w:p w14:paraId="2C3A55EA" w14:textId="673F73E1" w:rsidR="00D81745" w:rsidRPr="00DF5C23" w:rsidRDefault="004F5E59" w:rsidP="004F5E59">
      <w:pPr>
        <w:pStyle w:val="ManualConsidrant"/>
        <w:rPr>
          <w:noProof/>
        </w:rPr>
      </w:pPr>
      <w:r w:rsidRPr="004F5E59">
        <w:t>(105)</w:t>
      </w:r>
      <w:r w:rsidRPr="004F5E59">
        <w:tab/>
      </w:r>
      <w:r w:rsidR="23DF1179">
        <w:rPr>
          <w:noProof/>
        </w:rPr>
        <w:t xml:space="preserve">Since the objectives of this Regulation, namely </w:t>
      </w:r>
      <w:r w:rsidR="23DF1179" w:rsidRPr="23DF1179">
        <w:rPr>
          <w:noProof/>
          <w:lang w:val="en-IE" w:eastAsia="fr-BE"/>
        </w:rPr>
        <w:t xml:space="preserve">to improve environmental sustainability of products and to ensure the free movement in the internal market of products for which ecodesign requirements are set, </w:t>
      </w:r>
      <w:r w:rsidR="23DF1179">
        <w:rPr>
          <w:noProof/>
        </w:rPr>
        <w:t>cannot be sufficiently achieved by the Member States, but can rather, by reason of its scale and effects, only be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that objective,</w:t>
      </w:r>
    </w:p>
    <w:p w14:paraId="2C3A55EB" w14:textId="77777777" w:rsidR="005879E3" w:rsidRPr="00DF5C23" w:rsidRDefault="0681B866" w:rsidP="00893002">
      <w:pPr>
        <w:pStyle w:val="Formuledadoption"/>
        <w:rPr>
          <w:noProof/>
        </w:rPr>
      </w:pPr>
      <w:r w:rsidRPr="00DF5C23">
        <w:rPr>
          <w:noProof/>
        </w:rPr>
        <w:t>HAVE ADOPTED THIS REGULATION:</w:t>
      </w:r>
    </w:p>
    <w:p w14:paraId="2C3A55EC" w14:textId="77777777" w:rsidR="00646885" w:rsidRPr="00DF5C23" w:rsidRDefault="0681B866" w:rsidP="00BA4E97">
      <w:pPr>
        <w:pStyle w:val="ManualHeading1"/>
        <w:jc w:val="center"/>
        <w:rPr>
          <w:noProof/>
        </w:rPr>
      </w:pPr>
      <w:r w:rsidRPr="00DF5C23">
        <w:rPr>
          <w:noProof/>
        </w:rPr>
        <w:t>Chapter I</w:t>
      </w:r>
      <w:r w:rsidR="00BA4E97" w:rsidRPr="00DF5C23">
        <w:rPr>
          <w:noProof/>
        </w:rPr>
        <w:t xml:space="preserve"> - </w:t>
      </w:r>
      <w:r w:rsidRPr="00DF5C23">
        <w:rPr>
          <w:noProof/>
        </w:rPr>
        <w:t>General provisions</w:t>
      </w:r>
    </w:p>
    <w:p w14:paraId="2C3A55ED" w14:textId="77777777" w:rsidR="00646885" w:rsidRPr="00DF5C23" w:rsidRDefault="0681B866" w:rsidP="0681B866">
      <w:pPr>
        <w:pStyle w:val="Titrearticle"/>
        <w:rPr>
          <w:noProof/>
          <w:lang w:val="en-IE" w:eastAsia="fr-BE"/>
        </w:rPr>
      </w:pPr>
      <w:r w:rsidRPr="00DF5C23">
        <w:rPr>
          <w:noProof/>
        </w:rPr>
        <w:t>Article 1</w:t>
      </w:r>
      <w:r w:rsidR="00646885" w:rsidRPr="00DF5C23">
        <w:rPr>
          <w:noProof/>
        </w:rPr>
        <w:br/>
      </w:r>
      <w:r w:rsidRPr="00DF5C23">
        <w:rPr>
          <w:noProof/>
          <w:lang w:val="en-IE" w:eastAsia="fr-BE"/>
        </w:rPr>
        <w:t>Subject matter and scope</w:t>
      </w:r>
    </w:p>
    <w:p w14:paraId="2C3A55EE" w14:textId="787CCFDE" w:rsidR="007C79ED" w:rsidRPr="00DF5C23" w:rsidRDefault="004F5E59" w:rsidP="004F5E59">
      <w:pPr>
        <w:pStyle w:val="ManualNumPar1"/>
        <w:rPr>
          <w:noProof/>
        </w:rPr>
      </w:pPr>
      <w:r w:rsidRPr="004F5E59">
        <w:t>1.</w:t>
      </w:r>
      <w:r w:rsidRPr="004F5E59">
        <w:tab/>
      </w:r>
      <w:r w:rsidR="00646885" w:rsidRPr="00DF5C23">
        <w:rPr>
          <w:noProof/>
        </w:rPr>
        <w:t xml:space="preserve">This Regulation establishes a framework </w:t>
      </w:r>
      <w:r w:rsidR="00F00E73" w:rsidRPr="00DF5C23">
        <w:rPr>
          <w:noProof/>
        </w:rPr>
        <w:t xml:space="preserve">to improve </w:t>
      </w:r>
      <w:r w:rsidR="00BC51D8" w:rsidRPr="00DF5C23">
        <w:rPr>
          <w:noProof/>
          <w:lang w:val="en-IE"/>
        </w:rPr>
        <w:t xml:space="preserve">the environmental sustainability of products </w:t>
      </w:r>
      <w:r w:rsidR="00F00E73" w:rsidRPr="00DF5C23">
        <w:rPr>
          <w:noProof/>
        </w:rPr>
        <w:t>and to ensure free movement in the internal market by</w:t>
      </w:r>
      <w:r w:rsidR="00646885" w:rsidRPr="00DF5C23">
        <w:rPr>
          <w:noProof/>
        </w:rPr>
        <w:t xml:space="preserve"> setting </w:t>
      </w:r>
      <w:r w:rsidR="007960F7" w:rsidRPr="00DF5C23">
        <w:rPr>
          <w:noProof/>
        </w:rPr>
        <w:t>ecodesign</w:t>
      </w:r>
      <w:r w:rsidR="00646885" w:rsidRPr="00DF5C23">
        <w:rPr>
          <w:noProof/>
        </w:rPr>
        <w:t xml:space="preserve"> requirements </w:t>
      </w:r>
      <w:r w:rsidR="005207B6" w:rsidRPr="00DF5C23">
        <w:rPr>
          <w:noProof/>
        </w:rPr>
        <w:t>that</w:t>
      </w:r>
      <w:r w:rsidR="006600B1" w:rsidRPr="00DF5C23">
        <w:rPr>
          <w:noProof/>
        </w:rPr>
        <w:t xml:space="preserve"> products shall fulfil to be placed on the market or put into service. </w:t>
      </w:r>
      <w:r w:rsidR="007C79ED" w:rsidRPr="00DF5C23">
        <w:rPr>
          <w:noProof/>
        </w:rPr>
        <w:t>Th</w:t>
      </w:r>
      <w:r w:rsidR="00BC51D8" w:rsidRPr="00DF5C23">
        <w:rPr>
          <w:noProof/>
        </w:rPr>
        <w:t>o</w:t>
      </w:r>
      <w:r w:rsidR="007C79ED" w:rsidRPr="00DF5C23">
        <w:rPr>
          <w:noProof/>
        </w:rPr>
        <w:t>se ecodesign requirements</w:t>
      </w:r>
      <w:r w:rsidR="00BC51D8" w:rsidRPr="00DF5C23">
        <w:rPr>
          <w:noProof/>
        </w:rPr>
        <w:t>, which shall be further elaborated by the Commission in delegated acts,</w:t>
      </w:r>
      <w:r w:rsidR="007C79ED" w:rsidRPr="00DF5C23">
        <w:rPr>
          <w:noProof/>
        </w:rPr>
        <w:t xml:space="preserve"> relate to:</w:t>
      </w:r>
    </w:p>
    <w:p w14:paraId="2C3A55EF" w14:textId="19C011EF" w:rsidR="007C79ED" w:rsidRPr="00DF5C23" w:rsidRDefault="004F5E59" w:rsidP="004F5E59">
      <w:pPr>
        <w:pStyle w:val="Point1"/>
        <w:rPr>
          <w:noProof/>
          <w:lang w:val="en-IE" w:eastAsia="fr-BE"/>
        </w:rPr>
      </w:pPr>
      <w:r w:rsidRPr="004F5E59">
        <w:t>(a)</w:t>
      </w:r>
      <w:r w:rsidRPr="004F5E59">
        <w:tab/>
      </w:r>
      <w:r w:rsidR="007C79ED" w:rsidRPr="00DF5C23">
        <w:rPr>
          <w:noProof/>
          <w:lang w:val="en-IE" w:eastAsia="fr-BE"/>
        </w:rPr>
        <w:t xml:space="preserve">product durability and reliability; </w:t>
      </w:r>
    </w:p>
    <w:p w14:paraId="2C3A55F0" w14:textId="128F2D0D" w:rsidR="007C79ED" w:rsidRPr="00DF5C23" w:rsidRDefault="004F5E59" w:rsidP="004F5E59">
      <w:pPr>
        <w:pStyle w:val="Point1"/>
        <w:rPr>
          <w:noProof/>
          <w:lang w:val="en-IE" w:eastAsia="fr-BE"/>
        </w:rPr>
      </w:pPr>
      <w:r w:rsidRPr="004F5E59">
        <w:t>(b)</w:t>
      </w:r>
      <w:r w:rsidRPr="004F5E59">
        <w:tab/>
      </w:r>
      <w:r w:rsidR="007C79ED" w:rsidRPr="00DF5C23">
        <w:rPr>
          <w:noProof/>
          <w:lang w:val="en-IE" w:eastAsia="fr-BE"/>
        </w:rPr>
        <w:t xml:space="preserve">product reusability; </w:t>
      </w:r>
    </w:p>
    <w:p w14:paraId="2C3A55F1" w14:textId="01F441DB" w:rsidR="007C79ED" w:rsidRPr="00DF5C23" w:rsidRDefault="004F5E59" w:rsidP="004F5E59">
      <w:pPr>
        <w:pStyle w:val="Point1"/>
        <w:rPr>
          <w:noProof/>
          <w:lang w:val="en-IE" w:eastAsia="fr-BE"/>
        </w:rPr>
      </w:pPr>
      <w:r w:rsidRPr="004F5E59">
        <w:t>(c)</w:t>
      </w:r>
      <w:r w:rsidRPr="004F5E59">
        <w:tab/>
      </w:r>
      <w:r w:rsidR="007C79ED" w:rsidRPr="00DF5C23">
        <w:rPr>
          <w:noProof/>
          <w:lang w:val="en-IE" w:eastAsia="fr-BE"/>
        </w:rPr>
        <w:t>product upgradability, reparability, maintenance and refurbishment;</w:t>
      </w:r>
    </w:p>
    <w:p w14:paraId="2C3A55F2" w14:textId="4DD510D9" w:rsidR="007C79ED" w:rsidRPr="00DF5C23" w:rsidRDefault="004F5E59" w:rsidP="004F5E59">
      <w:pPr>
        <w:pStyle w:val="Point1"/>
        <w:rPr>
          <w:noProof/>
          <w:lang w:val="en-IE" w:eastAsia="fr-BE"/>
        </w:rPr>
      </w:pPr>
      <w:r w:rsidRPr="004F5E59">
        <w:t>(d)</w:t>
      </w:r>
      <w:r w:rsidRPr="004F5E59">
        <w:tab/>
      </w:r>
      <w:r w:rsidR="007C79ED" w:rsidRPr="00DF5C23">
        <w:rPr>
          <w:noProof/>
          <w:lang w:val="en-IE" w:eastAsia="fr-BE"/>
        </w:rPr>
        <w:t xml:space="preserve">the presence of substances of concern in products; </w:t>
      </w:r>
    </w:p>
    <w:p w14:paraId="2C3A55F3" w14:textId="6F7DF2B6" w:rsidR="007C79ED" w:rsidRPr="00DF5C23" w:rsidRDefault="004F5E59" w:rsidP="004F5E59">
      <w:pPr>
        <w:pStyle w:val="Point1"/>
        <w:rPr>
          <w:noProof/>
          <w:lang w:val="en-IE" w:eastAsia="fr-BE"/>
        </w:rPr>
      </w:pPr>
      <w:r w:rsidRPr="004F5E59">
        <w:t>(e)</w:t>
      </w:r>
      <w:r w:rsidRPr="004F5E59">
        <w:tab/>
      </w:r>
      <w:r w:rsidR="007C79ED" w:rsidRPr="00DF5C23">
        <w:rPr>
          <w:noProof/>
          <w:lang w:val="en-IE" w:eastAsia="fr-BE"/>
        </w:rPr>
        <w:t>product energy and resource efficiency</w:t>
      </w:r>
      <w:r w:rsidR="00792673" w:rsidRPr="00DF5C23">
        <w:rPr>
          <w:noProof/>
          <w:lang w:val="en-IE" w:eastAsia="fr-BE"/>
        </w:rPr>
        <w:t>;</w:t>
      </w:r>
      <w:r w:rsidR="007C79ED" w:rsidRPr="00DF5C23">
        <w:rPr>
          <w:noProof/>
          <w:lang w:val="en-IE" w:eastAsia="fr-BE"/>
        </w:rPr>
        <w:t xml:space="preserve"> </w:t>
      </w:r>
    </w:p>
    <w:p w14:paraId="2C3A55F4" w14:textId="714E9A2F" w:rsidR="007C79ED" w:rsidRPr="00DF5C23" w:rsidRDefault="004F5E59" w:rsidP="004F5E59">
      <w:pPr>
        <w:pStyle w:val="Point1"/>
        <w:rPr>
          <w:noProof/>
          <w:lang w:val="en-IE" w:eastAsia="fr-BE"/>
        </w:rPr>
      </w:pPr>
      <w:r w:rsidRPr="004F5E59">
        <w:t>(f)</w:t>
      </w:r>
      <w:r w:rsidRPr="004F5E59">
        <w:tab/>
      </w:r>
      <w:r w:rsidR="007C79ED" w:rsidRPr="00DF5C23">
        <w:rPr>
          <w:noProof/>
          <w:lang w:val="en-IE" w:eastAsia="fr-BE"/>
        </w:rPr>
        <w:t>recycled content in products</w:t>
      </w:r>
      <w:r w:rsidR="00792673" w:rsidRPr="00DF5C23">
        <w:rPr>
          <w:noProof/>
          <w:lang w:val="en-IE" w:eastAsia="fr-BE"/>
        </w:rPr>
        <w:t>;</w:t>
      </w:r>
      <w:r w:rsidR="007C79ED" w:rsidRPr="00DF5C23">
        <w:rPr>
          <w:noProof/>
          <w:lang w:val="en-IE" w:eastAsia="fr-BE"/>
        </w:rPr>
        <w:t xml:space="preserve"> </w:t>
      </w:r>
    </w:p>
    <w:p w14:paraId="2C3A55F5" w14:textId="53F4CC4D" w:rsidR="007C79ED" w:rsidRPr="00DF5C23" w:rsidRDefault="004F5E59" w:rsidP="004F5E59">
      <w:pPr>
        <w:pStyle w:val="Point1"/>
        <w:rPr>
          <w:noProof/>
          <w:lang w:val="en-IE" w:eastAsia="fr-BE"/>
        </w:rPr>
      </w:pPr>
      <w:r w:rsidRPr="004F5E59">
        <w:t>(g)</w:t>
      </w:r>
      <w:r w:rsidRPr="004F5E59">
        <w:tab/>
      </w:r>
      <w:r w:rsidR="007C79ED" w:rsidRPr="00DF5C23">
        <w:rPr>
          <w:noProof/>
          <w:lang w:val="en-IE" w:eastAsia="fr-BE"/>
        </w:rPr>
        <w:t xml:space="preserve">product remanufacturing and recycling; </w:t>
      </w:r>
    </w:p>
    <w:p w14:paraId="2C3A55F6" w14:textId="6087C747" w:rsidR="007C79ED" w:rsidRPr="00DF5C23" w:rsidRDefault="004F5E59" w:rsidP="004F5E59">
      <w:pPr>
        <w:pStyle w:val="Point1"/>
        <w:rPr>
          <w:noProof/>
          <w:lang w:val="en-IE" w:eastAsia="fr-BE"/>
        </w:rPr>
      </w:pPr>
      <w:r w:rsidRPr="004F5E59">
        <w:t>(h)</w:t>
      </w:r>
      <w:r w:rsidRPr="004F5E59">
        <w:tab/>
      </w:r>
      <w:r w:rsidR="007C79ED" w:rsidRPr="00DF5C23">
        <w:rPr>
          <w:noProof/>
          <w:lang w:val="en-IE" w:eastAsia="fr-BE"/>
        </w:rPr>
        <w:t xml:space="preserve">products’ carbon and environmental footprints; </w:t>
      </w:r>
    </w:p>
    <w:p w14:paraId="2C3A55F7" w14:textId="50F19FAE" w:rsidR="007C79ED" w:rsidRPr="00DF5C23" w:rsidRDefault="004F5E59" w:rsidP="004F5E59">
      <w:pPr>
        <w:pStyle w:val="Point1"/>
        <w:rPr>
          <w:noProof/>
          <w:lang w:val="en-IE" w:eastAsia="fr-BE"/>
        </w:rPr>
      </w:pPr>
      <w:r w:rsidRPr="004F5E59">
        <w:t>(i)</w:t>
      </w:r>
      <w:r w:rsidRPr="004F5E59">
        <w:tab/>
      </w:r>
      <w:r w:rsidR="00BC51D8" w:rsidRPr="00DF5C23">
        <w:rPr>
          <w:noProof/>
          <w:lang w:val="en-IE" w:eastAsia="fr-BE"/>
        </w:rPr>
        <w:t xml:space="preserve">products’ </w:t>
      </w:r>
      <w:r w:rsidR="007C79ED" w:rsidRPr="00DF5C23">
        <w:rPr>
          <w:noProof/>
          <w:lang w:val="en-IE" w:eastAsia="fr-BE"/>
        </w:rPr>
        <w:t xml:space="preserve">expected generation of waste materials. </w:t>
      </w:r>
    </w:p>
    <w:p w14:paraId="2C3A55F8" w14:textId="77777777" w:rsidR="006012DA" w:rsidRPr="00DF5C23" w:rsidRDefault="00D55AB9" w:rsidP="007C79ED">
      <w:pPr>
        <w:pStyle w:val="Text1"/>
        <w:rPr>
          <w:noProof/>
          <w:lang w:val="en-IE" w:eastAsia="fr-BE"/>
        </w:rPr>
      </w:pPr>
      <w:r w:rsidRPr="00DF5C23">
        <w:rPr>
          <w:noProof/>
          <w:lang w:val="en-IE" w:eastAsia="fr-BE"/>
        </w:rPr>
        <w:t>This Regulation</w:t>
      </w:r>
      <w:r w:rsidR="007C79ED" w:rsidRPr="00DF5C23">
        <w:rPr>
          <w:noProof/>
          <w:lang w:val="en-IE" w:eastAsia="fr-BE"/>
        </w:rPr>
        <w:t xml:space="preserve"> </w:t>
      </w:r>
      <w:r w:rsidR="006012DA" w:rsidRPr="00DF5C23">
        <w:rPr>
          <w:noProof/>
          <w:lang w:val="en-IE" w:eastAsia="fr-BE"/>
        </w:rPr>
        <w:t xml:space="preserve">also </w:t>
      </w:r>
      <w:r w:rsidR="007C79ED" w:rsidRPr="00DF5C23">
        <w:rPr>
          <w:noProof/>
          <w:lang w:val="en-IE" w:eastAsia="fr-BE"/>
        </w:rPr>
        <w:t xml:space="preserve">establishes </w:t>
      </w:r>
      <w:r w:rsidR="000534E9" w:rsidRPr="00DF5C23">
        <w:rPr>
          <w:noProof/>
          <w:lang w:val="en-IE" w:eastAsia="fr-BE"/>
        </w:rPr>
        <w:t>a</w:t>
      </w:r>
      <w:r w:rsidR="007C79ED" w:rsidRPr="00DF5C23">
        <w:rPr>
          <w:noProof/>
          <w:lang w:val="en-IE" w:eastAsia="fr-BE"/>
        </w:rPr>
        <w:t xml:space="preserve"> digital product passport (‘product passport’), </w:t>
      </w:r>
      <w:r w:rsidR="006012DA" w:rsidRPr="00DF5C23">
        <w:rPr>
          <w:noProof/>
          <w:lang w:val="en-IE" w:eastAsia="fr-BE"/>
        </w:rPr>
        <w:t xml:space="preserve">provides </w:t>
      </w:r>
      <w:r w:rsidR="007C79ED" w:rsidRPr="00DF5C23">
        <w:rPr>
          <w:noProof/>
          <w:lang w:val="en-IE" w:eastAsia="fr-BE"/>
        </w:rPr>
        <w:t>for the setting</w:t>
      </w:r>
      <w:r w:rsidR="007C79ED" w:rsidRPr="00DF5C23" w:rsidDel="00C64282">
        <w:rPr>
          <w:noProof/>
          <w:lang w:val="en-IE" w:eastAsia="fr-BE"/>
        </w:rPr>
        <w:t xml:space="preserve"> </w:t>
      </w:r>
      <w:r w:rsidR="007C79ED" w:rsidRPr="00DF5C23">
        <w:rPr>
          <w:noProof/>
          <w:lang w:val="en-IE" w:eastAsia="fr-BE"/>
        </w:rPr>
        <w:t xml:space="preserve">of mandatory green public procurement criteria and creates a framework to prevent unsold consumer </w:t>
      </w:r>
      <w:r w:rsidR="007C79ED" w:rsidRPr="00DF5C23" w:rsidDel="00C64282">
        <w:rPr>
          <w:noProof/>
          <w:lang w:val="en-IE" w:eastAsia="fr-BE"/>
        </w:rPr>
        <w:t>products</w:t>
      </w:r>
      <w:r w:rsidR="007C79ED" w:rsidRPr="00DF5C23">
        <w:rPr>
          <w:noProof/>
          <w:lang w:val="en-IE" w:eastAsia="fr-BE"/>
        </w:rPr>
        <w:t xml:space="preserve"> from being destroyed.</w:t>
      </w:r>
      <w:r w:rsidR="007C79ED" w:rsidRPr="00DF5C23" w:rsidDel="00C64282">
        <w:rPr>
          <w:noProof/>
          <w:lang w:val="en-IE" w:eastAsia="fr-BE"/>
        </w:rPr>
        <w:t xml:space="preserve"> </w:t>
      </w:r>
    </w:p>
    <w:p w14:paraId="2C3A55F9" w14:textId="375848E7" w:rsidR="00275A1A" w:rsidRPr="00DF5C23" w:rsidRDefault="004F5E59" w:rsidP="004F5E59">
      <w:pPr>
        <w:pStyle w:val="ManualNumPar1"/>
        <w:rPr>
          <w:noProof/>
        </w:rPr>
      </w:pPr>
      <w:r w:rsidRPr="004F5E59">
        <w:t>2.</w:t>
      </w:r>
      <w:r w:rsidRPr="004F5E59">
        <w:tab/>
      </w:r>
      <w:r w:rsidR="00646885" w:rsidRPr="00DF5C23">
        <w:rPr>
          <w:noProof/>
        </w:rPr>
        <w:t xml:space="preserve">This Regulation shall </w:t>
      </w:r>
      <w:r w:rsidR="003178D0" w:rsidRPr="00DF5C23">
        <w:rPr>
          <w:noProof/>
        </w:rPr>
        <w:t xml:space="preserve">apply to </w:t>
      </w:r>
      <w:r w:rsidR="00792673" w:rsidRPr="00DF5C23">
        <w:rPr>
          <w:noProof/>
        </w:rPr>
        <w:t>any physical good that is placed on the market or put into service, including components and intermediate products</w:t>
      </w:r>
      <w:r w:rsidR="003178D0" w:rsidRPr="00DF5C23">
        <w:rPr>
          <w:noProof/>
        </w:rPr>
        <w:t xml:space="preserve">. </w:t>
      </w:r>
      <w:r w:rsidR="00792673" w:rsidRPr="00DF5C23">
        <w:rPr>
          <w:noProof/>
        </w:rPr>
        <w:t>However, i</w:t>
      </w:r>
      <w:r w:rsidR="003178D0" w:rsidRPr="00DF5C23">
        <w:rPr>
          <w:noProof/>
        </w:rPr>
        <w:t xml:space="preserve">t shall </w:t>
      </w:r>
      <w:r w:rsidR="00646885" w:rsidRPr="00DF5C23">
        <w:rPr>
          <w:noProof/>
        </w:rPr>
        <w:t xml:space="preserve">not apply to: </w:t>
      </w:r>
    </w:p>
    <w:p w14:paraId="2C3A55FA" w14:textId="55D3BF21" w:rsidR="009A2D6B" w:rsidRPr="00DF5C23" w:rsidRDefault="004F5E59" w:rsidP="004F5E59">
      <w:pPr>
        <w:pStyle w:val="Point1"/>
        <w:rPr>
          <w:noProof/>
          <w:lang w:val="en-IE" w:eastAsia="fr-BE"/>
        </w:rPr>
      </w:pPr>
      <w:r w:rsidRPr="004F5E59">
        <w:t>(a)</w:t>
      </w:r>
      <w:r w:rsidRPr="004F5E59">
        <w:tab/>
      </w:r>
      <w:r w:rsidR="0681B866" w:rsidRPr="00DF5C23">
        <w:rPr>
          <w:noProof/>
          <w:lang w:val="en-IE" w:eastAsia="fr-BE"/>
        </w:rPr>
        <w:t>food as defined in Article 2 of Regulation (EC) No 178/2002;</w:t>
      </w:r>
    </w:p>
    <w:p w14:paraId="2C3A55FB" w14:textId="3E336C6F" w:rsidR="00A754E0" w:rsidRPr="00DF5C23" w:rsidRDefault="004F5E59" w:rsidP="004F5E59">
      <w:pPr>
        <w:pStyle w:val="Point1"/>
        <w:rPr>
          <w:noProof/>
          <w:lang w:val="en-IE" w:eastAsia="fr-BE"/>
        </w:rPr>
      </w:pPr>
      <w:r w:rsidRPr="004F5E59">
        <w:t>(b)</w:t>
      </w:r>
      <w:r w:rsidRPr="004F5E59">
        <w:tab/>
      </w:r>
      <w:r w:rsidR="0681B866" w:rsidRPr="00DF5C23">
        <w:rPr>
          <w:noProof/>
          <w:lang w:val="en-IE" w:eastAsia="fr-BE"/>
        </w:rPr>
        <w:t xml:space="preserve">feed as defined in Article 3(4) of Regulation (EC) No 178/2002; </w:t>
      </w:r>
    </w:p>
    <w:p w14:paraId="2C3A55FC" w14:textId="4F27A00A" w:rsidR="00792673" w:rsidRPr="00DF5C23" w:rsidRDefault="004F5E59" w:rsidP="004F5E59">
      <w:pPr>
        <w:pStyle w:val="Point1"/>
        <w:rPr>
          <w:noProof/>
          <w:lang w:val="en-IE" w:eastAsia="fr-BE"/>
        </w:rPr>
      </w:pPr>
      <w:r w:rsidRPr="004F5E59">
        <w:t>(c)</w:t>
      </w:r>
      <w:r w:rsidRPr="004F5E59">
        <w:tab/>
      </w:r>
      <w:r w:rsidR="0681B866" w:rsidRPr="00DF5C23">
        <w:rPr>
          <w:noProof/>
          <w:lang w:val="en-IE" w:eastAsia="fr-BE"/>
        </w:rPr>
        <w:t>medicinal products for human use as defined in Article 1(2) of Directive 2001/83/EC</w:t>
      </w:r>
      <w:r w:rsidR="00792673" w:rsidRPr="00DF5C23">
        <w:rPr>
          <w:noProof/>
          <w:lang w:val="en-IE" w:eastAsia="fr-BE"/>
        </w:rPr>
        <w:t xml:space="preserve">; </w:t>
      </w:r>
    </w:p>
    <w:p w14:paraId="2C3A55FD" w14:textId="48E68921" w:rsidR="007D1FA4" w:rsidRPr="00DF5C23" w:rsidRDefault="004F5E59" w:rsidP="004F5E59">
      <w:pPr>
        <w:pStyle w:val="Point1"/>
        <w:rPr>
          <w:noProof/>
          <w:lang w:val="en-IE" w:eastAsia="fr-BE"/>
        </w:rPr>
      </w:pPr>
      <w:r w:rsidRPr="004F5E59">
        <w:t>(d)</w:t>
      </w:r>
      <w:r w:rsidRPr="004F5E59">
        <w:tab/>
      </w:r>
      <w:r w:rsidR="0681B866" w:rsidRPr="00DF5C23">
        <w:rPr>
          <w:noProof/>
          <w:lang w:val="en-IE" w:eastAsia="fr-BE"/>
        </w:rPr>
        <w:t>veterinary medicinal products as defined in Article 4(1) of Regulation (EU) 2019/6;</w:t>
      </w:r>
    </w:p>
    <w:p w14:paraId="2C3A55FE" w14:textId="36CF4714" w:rsidR="00792673" w:rsidRPr="00DF5C23" w:rsidRDefault="004F5E59" w:rsidP="004F5E59">
      <w:pPr>
        <w:pStyle w:val="Point1"/>
        <w:rPr>
          <w:noProof/>
          <w:lang w:val="en-IE" w:eastAsia="fr-BE"/>
        </w:rPr>
      </w:pPr>
      <w:r w:rsidRPr="004F5E59">
        <w:t>(e)</w:t>
      </w:r>
      <w:r w:rsidRPr="004F5E59">
        <w:tab/>
      </w:r>
      <w:r w:rsidR="0681B866" w:rsidRPr="00DF5C23">
        <w:rPr>
          <w:noProof/>
          <w:lang w:val="en-IE" w:eastAsia="fr-BE"/>
        </w:rPr>
        <w:t>living plants</w:t>
      </w:r>
      <w:r w:rsidR="007D1FA4" w:rsidRPr="00DF5C23">
        <w:rPr>
          <w:noProof/>
          <w:lang w:val="en-IE" w:eastAsia="fr-BE"/>
        </w:rPr>
        <w:t>,</w:t>
      </w:r>
      <w:r w:rsidR="0681B866" w:rsidRPr="00DF5C23">
        <w:rPr>
          <w:noProof/>
          <w:lang w:val="en-IE" w:eastAsia="fr-BE"/>
        </w:rPr>
        <w:t xml:space="preserve"> animals</w:t>
      </w:r>
      <w:r w:rsidR="007D1FA4" w:rsidRPr="00DF5C23">
        <w:rPr>
          <w:noProof/>
          <w:lang w:val="en-IE" w:eastAsia="fr-BE"/>
        </w:rPr>
        <w:t xml:space="preserve"> and micro-organisms</w:t>
      </w:r>
      <w:r w:rsidR="00792673" w:rsidRPr="00DF5C23">
        <w:rPr>
          <w:noProof/>
          <w:lang w:val="en-IE" w:eastAsia="fr-BE"/>
        </w:rPr>
        <w:t>;</w:t>
      </w:r>
      <w:r w:rsidR="0681B866" w:rsidRPr="00DF5C23">
        <w:rPr>
          <w:noProof/>
          <w:lang w:val="en-IE" w:eastAsia="fr-BE"/>
        </w:rPr>
        <w:t xml:space="preserve"> </w:t>
      </w:r>
    </w:p>
    <w:p w14:paraId="2C3A55FF" w14:textId="38DDFA12" w:rsidR="00792673" w:rsidRPr="00DF5C23" w:rsidRDefault="004F5E59" w:rsidP="004F5E59">
      <w:pPr>
        <w:pStyle w:val="Point1"/>
        <w:rPr>
          <w:noProof/>
          <w:lang w:val="en-IE" w:eastAsia="fr-BE"/>
        </w:rPr>
      </w:pPr>
      <w:r w:rsidRPr="004F5E59">
        <w:t>(f)</w:t>
      </w:r>
      <w:r w:rsidRPr="004F5E59">
        <w:tab/>
      </w:r>
      <w:r w:rsidR="0681B866" w:rsidRPr="00DF5C23">
        <w:rPr>
          <w:noProof/>
          <w:lang w:val="en-IE" w:eastAsia="fr-BE"/>
        </w:rPr>
        <w:t>products of human origin</w:t>
      </w:r>
      <w:r w:rsidR="00792673" w:rsidRPr="00DF5C23">
        <w:rPr>
          <w:noProof/>
          <w:lang w:val="en-IE" w:eastAsia="fr-BE"/>
        </w:rPr>
        <w:t>;</w:t>
      </w:r>
    </w:p>
    <w:p w14:paraId="2C3A5600" w14:textId="47B9AAE5" w:rsidR="00A754E0" w:rsidRPr="00DF5C23" w:rsidRDefault="004F5E59" w:rsidP="004F5E59">
      <w:pPr>
        <w:pStyle w:val="Point1"/>
        <w:rPr>
          <w:noProof/>
          <w:lang w:val="en-IE" w:eastAsia="fr-BE"/>
        </w:rPr>
      </w:pPr>
      <w:r w:rsidRPr="004F5E59">
        <w:t>(g)</w:t>
      </w:r>
      <w:r w:rsidRPr="004F5E59">
        <w:tab/>
      </w:r>
      <w:r w:rsidR="0681B866" w:rsidRPr="00DF5C23">
        <w:rPr>
          <w:noProof/>
          <w:lang w:val="en-IE" w:eastAsia="fr-BE"/>
        </w:rPr>
        <w:t xml:space="preserve">products of plants and animals relating directly to their future reproduction. </w:t>
      </w:r>
    </w:p>
    <w:p w14:paraId="2C3A5601" w14:textId="77777777" w:rsidR="00646885" w:rsidRPr="00DF5C23" w:rsidRDefault="00646885" w:rsidP="0681B866">
      <w:pPr>
        <w:pStyle w:val="Titrearticle"/>
        <w:rPr>
          <w:noProof/>
          <w:lang w:val="en-IE" w:eastAsia="fr-BE"/>
        </w:rPr>
      </w:pPr>
      <w:r w:rsidRPr="00DF5C23">
        <w:rPr>
          <w:noProof/>
          <w:lang w:val="en-IE" w:eastAsia="fr-BE"/>
        </w:rPr>
        <w:t>Article 2</w:t>
      </w:r>
      <w:r w:rsidR="00F1169A" w:rsidRPr="00DF5C23">
        <w:rPr>
          <w:noProof/>
          <w:lang w:val="en-IE" w:eastAsia="fr-BE"/>
        </w:rPr>
        <w:br/>
      </w:r>
      <w:r w:rsidRPr="00DF5C23">
        <w:rPr>
          <w:noProof/>
          <w:lang w:val="en-IE" w:eastAsia="fr-BE"/>
        </w:rPr>
        <w:t>Definitions</w:t>
      </w:r>
    </w:p>
    <w:p w14:paraId="2C3A5602" w14:textId="77777777" w:rsidR="00646885" w:rsidRPr="00DF5C23" w:rsidRDefault="23DF1179" w:rsidP="23DF1179">
      <w:pPr>
        <w:shd w:val="clear" w:color="auto" w:fill="FFFFFF" w:themeFill="background1"/>
        <w:spacing w:after="0"/>
        <w:rPr>
          <w:rFonts w:eastAsia="Times New Roman"/>
          <w:noProof/>
          <w:color w:val="000000" w:themeColor="text1"/>
          <w:lang w:val="en-IE" w:eastAsia="fr-BE"/>
        </w:rPr>
      </w:pPr>
      <w:r w:rsidRPr="23DF1179">
        <w:rPr>
          <w:rFonts w:eastAsia="Times New Roman"/>
          <w:noProof/>
          <w:color w:val="000000" w:themeColor="text1"/>
          <w:lang w:val="en-IE" w:eastAsia="fr-BE"/>
        </w:rPr>
        <w:t>For the purposes of this Regulation, the following definitions shall apply:</w:t>
      </w:r>
    </w:p>
    <w:p w14:paraId="2C3A5603" w14:textId="755E8FA5" w:rsidR="00646885" w:rsidRPr="00DF5C23" w:rsidRDefault="004F5E59" w:rsidP="004F5E59">
      <w:pPr>
        <w:pStyle w:val="Point0"/>
        <w:rPr>
          <w:noProof/>
          <w:lang w:val="en-IE" w:eastAsia="fr-BE"/>
        </w:rPr>
      </w:pPr>
      <w:r w:rsidRPr="004F5E59">
        <w:t>(1)</w:t>
      </w:r>
      <w:r w:rsidRPr="004F5E59">
        <w:tab/>
      </w:r>
      <w:r w:rsidR="0681B866" w:rsidRPr="00DF5C23">
        <w:rPr>
          <w:noProof/>
          <w:lang w:val="en-IE" w:eastAsia="fr-BE"/>
        </w:rPr>
        <w:t>‘product’ means any physical good that is placed on the market or put into service;</w:t>
      </w:r>
      <w:r w:rsidR="0681B866" w:rsidRPr="00DF5C23">
        <w:rPr>
          <w:noProof/>
        </w:rPr>
        <w:t xml:space="preserve"> </w:t>
      </w:r>
    </w:p>
    <w:p w14:paraId="2C3A5604" w14:textId="3C070BDA" w:rsidR="005E6244" w:rsidRPr="00DF5C23" w:rsidRDefault="004F5E59" w:rsidP="004F5E59">
      <w:pPr>
        <w:pStyle w:val="Point0"/>
        <w:rPr>
          <w:noProof/>
          <w:lang w:val="en-IE" w:eastAsia="fr-BE"/>
        </w:rPr>
      </w:pPr>
      <w:r w:rsidRPr="004F5E59">
        <w:t>(2)</w:t>
      </w:r>
      <w:r w:rsidRPr="004F5E59">
        <w:tab/>
      </w:r>
      <w:r w:rsidR="0681B866" w:rsidRPr="00DF5C23">
        <w:rPr>
          <w:noProof/>
          <w:lang w:val="en-IE" w:eastAsia="fr-BE"/>
        </w:rPr>
        <w:t>‘</w:t>
      </w:r>
      <w:r w:rsidR="00516254" w:rsidRPr="00DF5C23">
        <w:rPr>
          <w:noProof/>
          <w:lang w:val="en-IE" w:eastAsia="fr-BE"/>
        </w:rPr>
        <w:t xml:space="preserve">component’ </w:t>
      </w:r>
      <w:r w:rsidR="0681B866" w:rsidRPr="00DF5C23">
        <w:rPr>
          <w:noProof/>
          <w:lang w:val="en-IE" w:eastAsia="fr-BE"/>
        </w:rPr>
        <w:t>means a product intended to be incorporated into another product;</w:t>
      </w:r>
    </w:p>
    <w:p w14:paraId="2C3A5605" w14:textId="3D81EA51" w:rsidR="00DB56BE" w:rsidRPr="00DF5C23" w:rsidRDefault="004F5E59" w:rsidP="004F5E59">
      <w:pPr>
        <w:pStyle w:val="Point0"/>
        <w:rPr>
          <w:noProof/>
          <w:lang w:val="en-IE" w:eastAsia="fr-BE"/>
        </w:rPr>
      </w:pPr>
      <w:r w:rsidRPr="004F5E59">
        <w:t>(3)</w:t>
      </w:r>
      <w:r w:rsidRPr="004F5E59">
        <w:tab/>
      </w:r>
      <w:r w:rsidR="0681B866" w:rsidRPr="00DF5C23">
        <w:rPr>
          <w:rFonts w:eastAsia="Times New Roman"/>
          <w:noProof/>
          <w:color w:val="000000" w:themeColor="text1"/>
          <w:lang w:val="en-IE" w:eastAsia="fr-BE"/>
        </w:rPr>
        <w:t xml:space="preserve">‘intermediate product’ means </w:t>
      </w:r>
      <w:r w:rsidR="0681B866" w:rsidRPr="00DF5C23">
        <w:rPr>
          <w:noProof/>
        </w:rPr>
        <w:t xml:space="preserve">a product that requires further manufacturing or transformation such as mixing, coating or assembling to make it suitable for </w:t>
      </w:r>
      <w:r w:rsidR="00AF75DA" w:rsidRPr="00DF5C23">
        <w:rPr>
          <w:noProof/>
        </w:rPr>
        <w:t>end-users</w:t>
      </w:r>
      <w:r w:rsidR="0681B866" w:rsidRPr="00DF5C23">
        <w:rPr>
          <w:noProof/>
        </w:rPr>
        <w:t>;</w:t>
      </w:r>
    </w:p>
    <w:p w14:paraId="2C3A5606" w14:textId="7BB3D867" w:rsidR="00893002" w:rsidRPr="00DF5C23" w:rsidRDefault="004F5E59" w:rsidP="004F5E59">
      <w:pPr>
        <w:pStyle w:val="Point0"/>
        <w:rPr>
          <w:noProof/>
          <w:lang w:val="en-IE" w:eastAsia="fr-BE"/>
        </w:rPr>
      </w:pPr>
      <w:r w:rsidRPr="004F5E59">
        <w:t>(4)</w:t>
      </w:r>
      <w:r w:rsidRPr="004F5E59">
        <w:tab/>
      </w:r>
      <w:r w:rsidR="0681B866" w:rsidRPr="00DF5C23">
        <w:rPr>
          <w:noProof/>
          <w:lang w:val="en-IE" w:eastAsia="fr-BE"/>
        </w:rPr>
        <w:t>‘energy-related product’ means any product that has an impact on energy consumption during use;</w:t>
      </w:r>
    </w:p>
    <w:p w14:paraId="2C3A5607" w14:textId="54C74521" w:rsidR="00893002" w:rsidRPr="00DF5C23" w:rsidRDefault="004F5E59" w:rsidP="004F5E59">
      <w:pPr>
        <w:pStyle w:val="Point0"/>
        <w:rPr>
          <w:noProof/>
          <w:lang w:val="en-IE" w:eastAsia="fr-BE"/>
        </w:rPr>
      </w:pPr>
      <w:r w:rsidRPr="004F5E59">
        <w:t>(5)</w:t>
      </w:r>
      <w:r w:rsidRPr="004F5E59">
        <w:tab/>
      </w:r>
      <w:r w:rsidR="00646885" w:rsidRPr="00DF5C23">
        <w:rPr>
          <w:noProof/>
          <w:lang w:val="en-IE" w:eastAsia="fr-BE"/>
        </w:rPr>
        <w:t>‘product group’</w:t>
      </w:r>
      <w:r w:rsidR="006127A8" w:rsidRPr="00DF5C23" w:rsidDel="00760CAA">
        <w:rPr>
          <w:noProof/>
          <w:lang w:val="en-IE" w:eastAsia="fr-BE"/>
        </w:rPr>
        <w:t xml:space="preserve"> </w:t>
      </w:r>
      <w:r w:rsidR="00646885" w:rsidRPr="00DF5C23">
        <w:rPr>
          <w:noProof/>
          <w:lang w:val="en-IE" w:eastAsia="fr-BE"/>
        </w:rPr>
        <w:t xml:space="preserve">means a </w:t>
      </w:r>
      <w:r w:rsidR="003178D0" w:rsidRPr="00DF5C23">
        <w:rPr>
          <w:noProof/>
          <w:lang w:val="en-IE" w:eastAsia="fr-BE"/>
        </w:rPr>
        <w:t>set of products that serve similar purposes and are similar in terms of use, or have similar functional properties, and are similar in terms of consumer perception</w:t>
      </w:r>
      <w:r w:rsidR="00646885" w:rsidRPr="00DF5C23">
        <w:rPr>
          <w:noProof/>
          <w:lang w:val="en-IE" w:eastAsia="fr-BE"/>
        </w:rPr>
        <w:t>;</w:t>
      </w:r>
    </w:p>
    <w:p w14:paraId="2C3A5608" w14:textId="56429E7F" w:rsidR="00564DDC" w:rsidRPr="00DF5C23" w:rsidRDefault="004F5E59" w:rsidP="004F5E59">
      <w:pPr>
        <w:pStyle w:val="Point0"/>
        <w:rPr>
          <w:noProof/>
          <w:lang w:val="en-IE" w:eastAsia="fr-BE"/>
        </w:rPr>
      </w:pPr>
      <w:r w:rsidRPr="004F5E59">
        <w:t>(6)</w:t>
      </w:r>
      <w:r w:rsidRPr="004F5E59">
        <w:tab/>
      </w:r>
      <w:r w:rsidR="00605AC3" w:rsidRPr="00DF5C23">
        <w:rPr>
          <w:noProof/>
          <w:lang w:val="en-IE"/>
        </w:rPr>
        <w:t>‘</w:t>
      </w:r>
      <w:r w:rsidR="00164A4B" w:rsidRPr="00DF5C23">
        <w:rPr>
          <w:noProof/>
          <w:lang w:val="en-IE" w:eastAsia="fr-BE"/>
        </w:rPr>
        <w:t>ecodesign</w:t>
      </w:r>
      <w:r w:rsidR="00605AC3" w:rsidRPr="00DF5C23">
        <w:rPr>
          <w:noProof/>
          <w:lang w:val="en-IE" w:eastAsia="fr-BE"/>
        </w:rPr>
        <w:t>’</w:t>
      </w:r>
      <w:r w:rsidR="00164A4B" w:rsidRPr="00DF5C23">
        <w:rPr>
          <w:noProof/>
          <w:lang w:val="en-IE" w:eastAsia="fr-BE"/>
        </w:rPr>
        <w:t xml:space="preserve"> </w:t>
      </w:r>
      <w:r w:rsidR="007643FB" w:rsidRPr="00DF5C23">
        <w:rPr>
          <w:noProof/>
          <w:lang w:val="en-IE" w:eastAsia="fr-BE"/>
        </w:rPr>
        <w:t xml:space="preserve">means the integration of environmental sustainability considerations into the characteristics of a product and the processes taking place throughout </w:t>
      </w:r>
      <w:r w:rsidR="009A2B0A" w:rsidRPr="00DF5C23">
        <w:rPr>
          <w:noProof/>
          <w:lang w:val="en-IE" w:eastAsia="fr-BE"/>
        </w:rPr>
        <w:t>the product’s</w:t>
      </w:r>
      <w:r w:rsidR="007643FB" w:rsidRPr="00DF5C23">
        <w:rPr>
          <w:noProof/>
          <w:lang w:val="en-IE" w:eastAsia="fr-BE"/>
        </w:rPr>
        <w:t xml:space="preserve"> value chain;</w:t>
      </w:r>
    </w:p>
    <w:p w14:paraId="2C3A5609" w14:textId="25840F10" w:rsidR="003D7180" w:rsidRPr="00DF5C23" w:rsidRDefault="004F5E59" w:rsidP="004F5E59">
      <w:pPr>
        <w:pStyle w:val="Point0"/>
        <w:rPr>
          <w:noProof/>
          <w:lang w:val="en-IE"/>
        </w:rPr>
      </w:pPr>
      <w:r w:rsidRPr="004F5E59">
        <w:t>(7)</w:t>
      </w:r>
      <w:r w:rsidRPr="004F5E59">
        <w:tab/>
      </w:r>
      <w:r w:rsidR="003D7180" w:rsidRPr="00DF5C23">
        <w:rPr>
          <w:noProof/>
          <w:lang w:val="en-IE"/>
        </w:rPr>
        <w:t>‘</w:t>
      </w:r>
      <w:r w:rsidR="00746AD1" w:rsidRPr="00DF5C23">
        <w:rPr>
          <w:noProof/>
          <w:lang w:val="en-IE"/>
        </w:rPr>
        <w:t>ecodesign</w:t>
      </w:r>
      <w:r w:rsidR="00746AD1" w:rsidRPr="00DF5C23">
        <w:rPr>
          <w:noProof/>
        </w:rPr>
        <w:t xml:space="preserve"> </w:t>
      </w:r>
      <w:r w:rsidR="003D7180" w:rsidRPr="00DF5C23">
        <w:rPr>
          <w:noProof/>
          <w:lang w:val="en-IE"/>
        </w:rPr>
        <w:t>requirement’ means a performance requirement</w:t>
      </w:r>
      <w:r w:rsidR="00746AD1" w:rsidRPr="00DF5C23">
        <w:rPr>
          <w:noProof/>
          <w:lang w:val="en-IE"/>
        </w:rPr>
        <w:t xml:space="preserve"> or</w:t>
      </w:r>
      <w:r w:rsidR="003D7180" w:rsidRPr="00DF5C23">
        <w:rPr>
          <w:noProof/>
          <w:lang w:val="en-IE"/>
        </w:rPr>
        <w:t xml:space="preserve"> an information requirement aimed at making a product more </w:t>
      </w:r>
      <w:r w:rsidR="00B25B92" w:rsidRPr="00DF5C23">
        <w:rPr>
          <w:noProof/>
          <w:lang w:val="en-IE"/>
        </w:rPr>
        <w:t xml:space="preserve">environmentally </w:t>
      </w:r>
      <w:r w:rsidR="003D7180" w:rsidRPr="00DF5C23">
        <w:rPr>
          <w:noProof/>
          <w:lang w:val="en-IE"/>
        </w:rPr>
        <w:t>sustainable;</w:t>
      </w:r>
    </w:p>
    <w:p w14:paraId="2C3A560A" w14:textId="34EA8F31" w:rsidR="003D7180" w:rsidRPr="00DF5C23" w:rsidRDefault="004F5E59" w:rsidP="004F5E59">
      <w:pPr>
        <w:pStyle w:val="Point0"/>
        <w:rPr>
          <w:noProof/>
          <w:lang w:val="en-IE"/>
        </w:rPr>
      </w:pPr>
      <w:r w:rsidRPr="004F5E59">
        <w:t>(8)</w:t>
      </w:r>
      <w:r w:rsidRPr="004F5E59">
        <w:tab/>
      </w:r>
      <w:r w:rsidR="003D7180" w:rsidRPr="00DF5C23">
        <w:rPr>
          <w:noProof/>
          <w:lang w:val="en-IE"/>
        </w:rPr>
        <w:t>‘performance requirement’ means a quantitative or non-quantitative requirement for or in relation to a product to achieve a certain performance</w:t>
      </w:r>
      <w:r w:rsidR="00BD0D3A" w:rsidRPr="00DF5C23">
        <w:rPr>
          <w:noProof/>
          <w:lang w:val="en-IE"/>
        </w:rPr>
        <w:t xml:space="preserve"> level</w:t>
      </w:r>
      <w:r w:rsidR="003D7180" w:rsidRPr="00DF5C23">
        <w:rPr>
          <w:noProof/>
          <w:lang w:val="en-IE"/>
        </w:rPr>
        <w:t xml:space="preserve"> in relation to a </w:t>
      </w:r>
      <w:r w:rsidR="00214C38" w:rsidRPr="00DF5C23">
        <w:rPr>
          <w:noProof/>
        </w:rPr>
        <w:t xml:space="preserve">product </w:t>
      </w:r>
      <w:r w:rsidR="003D7180" w:rsidRPr="00DF5C23">
        <w:rPr>
          <w:noProof/>
          <w:lang w:val="en-IE"/>
        </w:rPr>
        <w:t xml:space="preserve">parameter </w:t>
      </w:r>
      <w:r w:rsidR="009A2B0A" w:rsidRPr="00DF5C23">
        <w:rPr>
          <w:noProof/>
          <w:lang w:val="en-IE"/>
        </w:rPr>
        <w:t>referred to</w:t>
      </w:r>
      <w:r w:rsidR="003D7180" w:rsidRPr="00DF5C23">
        <w:rPr>
          <w:noProof/>
          <w:lang w:val="en-IE"/>
        </w:rPr>
        <w:t xml:space="preserve"> in Annex I;</w:t>
      </w:r>
    </w:p>
    <w:p w14:paraId="2C3A560B" w14:textId="7F59D919" w:rsidR="003D7180" w:rsidRPr="00DF5C23" w:rsidRDefault="004F5E59" w:rsidP="004F5E59">
      <w:pPr>
        <w:pStyle w:val="Point0"/>
        <w:rPr>
          <w:noProof/>
          <w:lang w:val="en-IE"/>
        </w:rPr>
      </w:pPr>
      <w:r w:rsidRPr="004F5E59">
        <w:t>(9)</w:t>
      </w:r>
      <w:r w:rsidRPr="004F5E59">
        <w:tab/>
      </w:r>
      <w:r w:rsidR="003D7180" w:rsidRPr="00DF5C23">
        <w:rPr>
          <w:noProof/>
          <w:lang w:val="en-IE"/>
        </w:rPr>
        <w:t>‘information requirement’ means a</w:t>
      </w:r>
      <w:r w:rsidR="009865E2" w:rsidRPr="00DF5C23">
        <w:rPr>
          <w:noProof/>
          <w:lang w:val="en-IE"/>
        </w:rPr>
        <w:t xml:space="preserve">n obligation </w:t>
      </w:r>
      <w:r w:rsidR="003D7180" w:rsidRPr="00DF5C23">
        <w:rPr>
          <w:noProof/>
          <w:lang w:val="en-IE"/>
        </w:rPr>
        <w:t xml:space="preserve">for a product to be accompanied by information </w:t>
      </w:r>
      <w:r w:rsidR="00F67998" w:rsidRPr="00DF5C23">
        <w:rPr>
          <w:noProof/>
          <w:lang w:val="en-IE"/>
        </w:rPr>
        <w:t>as specified in Article 7(2)</w:t>
      </w:r>
      <w:r w:rsidR="003D7180" w:rsidRPr="00DF5C23">
        <w:rPr>
          <w:noProof/>
          <w:lang w:val="en-IE"/>
        </w:rPr>
        <w:t>;</w:t>
      </w:r>
    </w:p>
    <w:p w14:paraId="2C3A560C" w14:textId="2AA7B866" w:rsidR="003D7180" w:rsidRPr="00DF5C23" w:rsidRDefault="004F5E59" w:rsidP="004F5E59">
      <w:pPr>
        <w:pStyle w:val="Point0"/>
        <w:rPr>
          <w:rFonts w:eastAsia="Times New Roman"/>
          <w:noProof/>
          <w:color w:val="000000" w:themeColor="text1"/>
          <w:lang w:val="en-IE" w:eastAsia="fr-BE"/>
        </w:rPr>
      </w:pPr>
      <w:r w:rsidRPr="004F5E59">
        <w:t>(10)</w:t>
      </w:r>
      <w:r w:rsidRPr="004F5E59">
        <w:tab/>
      </w:r>
      <w:r w:rsidR="003D7180" w:rsidRPr="00DF5C23">
        <w:rPr>
          <w:noProof/>
          <w:lang w:val="en-IE"/>
        </w:rPr>
        <w:t>‘supply chain’ means all upstream activities and processes of the value chain</w:t>
      </w:r>
      <w:r w:rsidR="00F67998" w:rsidRPr="00DF5C23">
        <w:rPr>
          <w:noProof/>
          <w:lang w:val="en-IE"/>
        </w:rPr>
        <w:t xml:space="preserve"> of the product</w:t>
      </w:r>
      <w:r w:rsidR="003D7180" w:rsidRPr="00DF5C23">
        <w:rPr>
          <w:noProof/>
          <w:lang w:val="en-IE"/>
        </w:rPr>
        <w:t xml:space="preserve">, </w:t>
      </w:r>
      <w:r w:rsidR="00F67998" w:rsidRPr="00DF5C23">
        <w:rPr>
          <w:noProof/>
          <w:lang w:val="en-IE"/>
        </w:rPr>
        <w:t xml:space="preserve">up to the point where the product reaches </w:t>
      </w:r>
      <w:r w:rsidR="003D7180" w:rsidRPr="00DF5C23">
        <w:rPr>
          <w:noProof/>
          <w:lang w:val="en-IE"/>
        </w:rPr>
        <w:t xml:space="preserve"> </w:t>
      </w:r>
      <w:r w:rsidR="00654D12" w:rsidRPr="00DF5C23">
        <w:rPr>
          <w:noProof/>
          <w:lang w:val="en-IE"/>
        </w:rPr>
        <w:t>the end-</w:t>
      </w:r>
      <w:r w:rsidR="003D7180" w:rsidRPr="00DF5C23">
        <w:rPr>
          <w:noProof/>
          <w:lang w:val="en-IE"/>
        </w:rPr>
        <w:t>user;</w:t>
      </w:r>
      <w:r w:rsidR="003D7180" w:rsidRPr="00DF5C23">
        <w:rPr>
          <w:rFonts w:eastAsia="Times New Roman"/>
          <w:noProof/>
          <w:color w:val="000000" w:themeColor="text1"/>
          <w:lang w:val="en-IE" w:eastAsia="fr-BE"/>
        </w:rPr>
        <w:t xml:space="preserve"> </w:t>
      </w:r>
    </w:p>
    <w:p w14:paraId="2C3A560D" w14:textId="1FFF9299" w:rsidR="003D7180" w:rsidRPr="00DF5C23" w:rsidRDefault="004F5E59" w:rsidP="004F5E59">
      <w:pPr>
        <w:pStyle w:val="Point0"/>
        <w:rPr>
          <w:noProof/>
          <w:lang w:val="en-IE" w:eastAsia="fr-BE"/>
        </w:rPr>
      </w:pPr>
      <w:r w:rsidRPr="004F5E59">
        <w:t>(11)</w:t>
      </w:r>
      <w:r w:rsidRPr="004F5E59">
        <w:tab/>
      </w:r>
      <w:r w:rsidR="003D7180" w:rsidRPr="00DF5C23">
        <w:rPr>
          <w:noProof/>
          <w:lang w:val="en-IE" w:eastAsia="fr-BE"/>
        </w:rPr>
        <w:t xml:space="preserve">‘value chain’ means all activities and processes </w:t>
      </w:r>
      <w:r w:rsidR="00BD0D3A" w:rsidRPr="00DF5C23">
        <w:rPr>
          <w:noProof/>
          <w:lang w:val="en-IE" w:eastAsia="fr-BE"/>
        </w:rPr>
        <w:t xml:space="preserve">that </w:t>
      </w:r>
      <w:r w:rsidR="003D7180" w:rsidRPr="00DF5C23">
        <w:rPr>
          <w:noProof/>
          <w:lang w:val="en-IE" w:eastAsia="fr-BE"/>
        </w:rPr>
        <w:t xml:space="preserve">are part of the life cycle of a product, as well as its possible  remanufacturing; </w:t>
      </w:r>
    </w:p>
    <w:p w14:paraId="2C3A560E" w14:textId="266F89A0" w:rsidR="00202CED" w:rsidRPr="00DF5C23" w:rsidRDefault="004F5E59" w:rsidP="004F5E59">
      <w:pPr>
        <w:pStyle w:val="Point0"/>
        <w:rPr>
          <w:noProof/>
          <w:lang w:val="en-IE" w:eastAsia="fr-BE"/>
        </w:rPr>
      </w:pPr>
      <w:r w:rsidRPr="004F5E59">
        <w:t>(12)</w:t>
      </w:r>
      <w:r w:rsidRPr="004F5E59">
        <w:tab/>
      </w:r>
      <w:r w:rsidR="0681B866" w:rsidRPr="00DF5C23">
        <w:rPr>
          <w:noProof/>
          <w:lang w:val="en-IE" w:eastAsia="fr-BE"/>
        </w:rPr>
        <w:t>‘life cycle’ means the consecutive and interlinked stages of a product’s life</w:t>
      </w:r>
      <w:r w:rsidR="007C0510" w:rsidRPr="00DF5C23">
        <w:rPr>
          <w:noProof/>
          <w:lang w:val="en-IE" w:eastAsia="fr-BE"/>
        </w:rPr>
        <w:t xml:space="preserve">, </w:t>
      </w:r>
      <w:r w:rsidR="00E62E51" w:rsidRPr="00DF5C23">
        <w:rPr>
          <w:noProof/>
          <w:lang w:val="en-IE" w:eastAsia="fr-BE"/>
        </w:rPr>
        <w:t>consisting of</w:t>
      </w:r>
      <w:r w:rsidR="0681B866" w:rsidRPr="00DF5C23">
        <w:rPr>
          <w:noProof/>
          <w:lang w:val="en-IE" w:eastAsia="fr-BE"/>
        </w:rPr>
        <w:t xml:space="preserve"> raw material acquisition or generation from natural resources</w:t>
      </w:r>
      <w:r w:rsidR="00202CED" w:rsidRPr="00DF5C23">
        <w:rPr>
          <w:noProof/>
          <w:lang w:val="en-IE" w:eastAsia="fr-BE"/>
        </w:rPr>
        <w:t>,</w:t>
      </w:r>
      <w:r w:rsidR="00202CED" w:rsidRPr="00DF5C23">
        <w:rPr>
          <w:noProof/>
        </w:rPr>
        <w:t xml:space="preserve"> </w:t>
      </w:r>
      <w:r w:rsidR="00202CED" w:rsidRPr="00DF5C23">
        <w:rPr>
          <w:noProof/>
          <w:lang w:val="en-IE" w:eastAsia="fr-BE"/>
        </w:rPr>
        <w:t>pre-processing</w:t>
      </w:r>
      <w:r w:rsidR="00E62E51" w:rsidRPr="00DF5C23">
        <w:rPr>
          <w:noProof/>
          <w:lang w:val="en-IE" w:eastAsia="fr-BE"/>
        </w:rPr>
        <w:t>,</w:t>
      </w:r>
      <w:r w:rsidR="00202CED" w:rsidRPr="00DF5C23">
        <w:rPr>
          <w:noProof/>
          <w:lang w:val="en-IE" w:eastAsia="fr-BE"/>
        </w:rPr>
        <w:t xml:space="preserve"> manufacturing</w:t>
      </w:r>
      <w:r w:rsidR="00E62E51" w:rsidRPr="00DF5C23">
        <w:rPr>
          <w:noProof/>
          <w:lang w:val="en-IE" w:eastAsia="fr-BE"/>
        </w:rPr>
        <w:t>,</w:t>
      </w:r>
      <w:r w:rsidR="00202CED" w:rsidRPr="00DF5C23">
        <w:rPr>
          <w:noProof/>
          <w:lang w:val="en-IE" w:eastAsia="fr-BE"/>
        </w:rPr>
        <w:t xml:space="preserve"> storage</w:t>
      </w:r>
      <w:r w:rsidR="00E62E51" w:rsidRPr="00DF5C23">
        <w:rPr>
          <w:noProof/>
          <w:lang w:val="en-IE" w:eastAsia="fr-BE"/>
        </w:rPr>
        <w:t>,</w:t>
      </w:r>
      <w:r w:rsidR="00202CED" w:rsidRPr="00DF5C23">
        <w:rPr>
          <w:noProof/>
          <w:lang w:val="en-IE" w:eastAsia="fr-BE"/>
        </w:rPr>
        <w:t xml:space="preserve"> </w:t>
      </w:r>
      <w:r w:rsidR="00E62E51" w:rsidRPr="00DF5C23">
        <w:rPr>
          <w:noProof/>
          <w:lang w:val="en-IE" w:eastAsia="fr-BE"/>
        </w:rPr>
        <w:t xml:space="preserve">distribution, </w:t>
      </w:r>
      <w:r w:rsidR="00202CED" w:rsidRPr="00DF5C23">
        <w:rPr>
          <w:noProof/>
          <w:lang w:val="en-IE" w:eastAsia="fr-BE"/>
        </w:rPr>
        <w:t xml:space="preserve">installation, </w:t>
      </w:r>
      <w:r w:rsidR="00E62E51" w:rsidRPr="00DF5C23">
        <w:rPr>
          <w:noProof/>
          <w:lang w:val="en-IE" w:eastAsia="fr-BE"/>
        </w:rPr>
        <w:t xml:space="preserve">use, </w:t>
      </w:r>
      <w:r w:rsidR="00202CED" w:rsidRPr="00DF5C23">
        <w:rPr>
          <w:noProof/>
          <w:lang w:val="en-IE" w:eastAsia="fr-BE"/>
        </w:rPr>
        <w:t xml:space="preserve">maintenance, repair, </w:t>
      </w:r>
      <w:r w:rsidR="00E62E51" w:rsidRPr="00DF5C23">
        <w:rPr>
          <w:noProof/>
          <w:lang w:val="en-IE" w:eastAsia="fr-BE"/>
        </w:rPr>
        <w:t xml:space="preserve">upgrading, </w:t>
      </w:r>
      <w:r w:rsidR="00202CED" w:rsidRPr="00DF5C23">
        <w:rPr>
          <w:noProof/>
          <w:lang w:val="en-IE" w:eastAsia="fr-BE"/>
        </w:rPr>
        <w:t>refurbishment and re</w:t>
      </w:r>
      <w:r w:rsidR="00AB244C" w:rsidRPr="00DF5C23">
        <w:rPr>
          <w:noProof/>
          <w:lang w:val="en-IE" w:eastAsia="fr-BE"/>
        </w:rPr>
        <w:t>-</w:t>
      </w:r>
      <w:r w:rsidR="00202CED" w:rsidRPr="00DF5C23">
        <w:rPr>
          <w:noProof/>
          <w:lang w:val="en-IE" w:eastAsia="fr-BE"/>
        </w:rPr>
        <w:t>use</w:t>
      </w:r>
      <w:r w:rsidR="00E62E51" w:rsidRPr="00DF5C23">
        <w:rPr>
          <w:noProof/>
          <w:lang w:val="en-IE" w:eastAsia="fr-BE"/>
        </w:rPr>
        <w:t>,</w:t>
      </w:r>
      <w:r w:rsidR="00202CED" w:rsidRPr="00DF5C23">
        <w:rPr>
          <w:noProof/>
          <w:lang w:val="en-IE" w:eastAsia="fr-BE"/>
        </w:rPr>
        <w:t xml:space="preserve"> and end-of-life;</w:t>
      </w:r>
    </w:p>
    <w:p w14:paraId="2C3A560F" w14:textId="0DCA56C5" w:rsidR="0038372C" w:rsidRPr="00DF5C23" w:rsidRDefault="004F5E59" w:rsidP="004F5E59">
      <w:pPr>
        <w:pStyle w:val="Point0"/>
        <w:rPr>
          <w:noProof/>
          <w:lang w:val="en-IE" w:eastAsia="fr-BE"/>
        </w:rPr>
      </w:pPr>
      <w:r w:rsidRPr="004F5E59">
        <w:t>(13)</w:t>
      </w:r>
      <w:r w:rsidRPr="004F5E59">
        <w:tab/>
      </w:r>
      <w:r w:rsidR="00883598" w:rsidRPr="00DF5C23">
        <w:rPr>
          <w:rFonts w:eastAsia="Times New Roman"/>
          <w:noProof/>
          <w:color w:val="000000" w:themeColor="text1"/>
          <w:lang w:val="en-IE" w:eastAsia="fr-BE"/>
        </w:rPr>
        <w:t xml:space="preserve">‘end-of-life’ means the life cycle </w:t>
      </w:r>
      <w:r w:rsidR="00883598" w:rsidRPr="00DF5C23">
        <w:rPr>
          <w:noProof/>
        </w:rPr>
        <w:t>stage that begins when a product is discarded and ends when the product is returned to nature as a waste product or enters another product’s life cycle;</w:t>
      </w:r>
      <w:r w:rsidR="00883598" w:rsidRPr="00DF5C23">
        <w:rPr>
          <w:rFonts w:eastAsia="Times New Roman"/>
          <w:noProof/>
          <w:color w:val="000000" w:themeColor="text1"/>
          <w:lang w:val="en-IE" w:eastAsia="fr-BE"/>
        </w:rPr>
        <w:t xml:space="preserve"> </w:t>
      </w:r>
    </w:p>
    <w:p w14:paraId="2C3A5610" w14:textId="6DD13425" w:rsidR="00893002" w:rsidRPr="00DF5C23" w:rsidRDefault="004F5E59" w:rsidP="004F5E59">
      <w:pPr>
        <w:pStyle w:val="Point0"/>
        <w:rPr>
          <w:noProof/>
          <w:lang w:val="en-IE" w:eastAsia="fr-BE"/>
        </w:rPr>
      </w:pPr>
      <w:r w:rsidRPr="004F5E59">
        <w:t>(14)</w:t>
      </w:r>
      <w:r w:rsidRPr="004F5E59">
        <w:tab/>
      </w:r>
      <w:r w:rsidR="00646885" w:rsidRPr="00DF5C23">
        <w:rPr>
          <w:noProof/>
          <w:lang w:val="en-IE" w:eastAsia="fr-BE"/>
        </w:rPr>
        <w:t>‘</w:t>
      </w:r>
      <w:r w:rsidR="00893002" w:rsidRPr="00DF5C23">
        <w:rPr>
          <w:noProof/>
          <w:lang w:val="en-IE" w:eastAsia="fr-BE"/>
        </w:rPr>
        <w:t>e</w:t>
      </w:r>
      <w:r w:rsidR="00646885" w:rsidRPr="00DF5C23">
        <w:rPr>
          <w:noProof/>
          <w:lang w:val="en-IE" w:eastAsia="fr-BE"/>
        </w:rPr>
        <w:t>nvironmental impact’ means any change to the environment, whether adverse or beneficial, wholly or partially resulting from a product during its life cycle;</w:t>
      </w:r>
    </w:p>
    <w:p w14:paraId="2C3A5611" w14:textId="12C6C070" w:rsidR="00893002" w:rsidRPr="00DF5C23" w:rsidRDefault="004F5E59" w:rsidP="004F5E59">
      <w:pPr>
        <w:pStyle w:val="Point0"/>
        <w:rPr>
          <w:noProof/>
          <w:lang w:val="en-IE" w:eastAsia="fr-BE"/>
        </w:rPr>
      </w:pPr>
      <w:r w:rsidRPr="004F5E59">
        <w:t>(15)</w:t>
      </w:r>
      <w:r w:rsidRPr="004F5E59">
        <w:tab/>
      </w:r>
      <w:r w:rsidR="00646885" w:rsidRPr="00DF5C23">
        <w:rPr>
          <w:noProof/>
          <w:lang w:val="en-IE" w:eastAsia="fr-BE"/>
        </w:rPr>
        <w:t>‘class of performance’ mean</w:t>
      </w:r>
      <w:r w:rsidR="00893002" w:rsidRPr="00DF5C23">
        <w:rPr>
          <w:noProof/>
          <w:lang w:val="en-IE" w:eastAsia="fr-BE"/>
        </w:rPr>
        <w:t>s</w:t>
      </w:r>
      <w:r w:rsidR="00646885" w:rsidRPr="00DF5C23">
        <w:rPr>
          <w:noProof/>
          <w:lang w:val="en-IE" w:eastAsia="fr-BE"/>
        </w:rPr>
        <w:t xml:space="preserve"> </w:t>
      </w:r>
      <w:r w:rsidR="00893002" w:rsidRPr="00DF5C23">
        <w:rPr>
          <w:noProof/>
          <w:lang w:val="en-IE" w:eastAsia="fr-BE"/>
        </w:rPr>
        <w:t xml:space="preserve">a </w:t>
      </w:r>
      <w:r w:rsidR="00646885" w:rsidRPr="00DF5C23">
        <w:rPr>
          <w:noProof/>
          <w:lang w:val="en-IE" w:eastAsia="fr-BE"/>
        </w:rPr>
        <w:t xml:space="preserve">range of performance levels in relation to </w:t>
      </w:r>
      <w:r w:rsidR="004D60BB" w:rsidRPr="00DF5C23">
        <w:rPr>
          <w:noProof/>
          <w:lang w:val="en-IE" w:eastAsia="fr-BE"/>
        </w:rPr>
        <w:t>one or more</w:t>
      </w:r>
      <w:r w:rsidR="00646885" w:rsidRPr="00DF5C23">
        <w:rPr>
          <w:noProof/>
          <w:lang w:val="en-IE" w:eastAsia="fr-BE"/>
        </w:rPr>
        <w:t xml:space="preserve"> </w:t>
      </w:r>
      <w:r w:rsidR="00214C38" w:rsidRPr="00DF5C23">
        <w:rPr>
          <w:noProof/>
        </w:rPr>
        <w:t xml:space="preserve">product </w:t>
      </w:r>
      <w:r w:rsidR="00646885" w:rsidRPr="00DF5C23">
        <w:rPr>
          <w:noProof/>
          <w:lang w:val="en-IE" w:eastAsia="fr-BE"/>
        </w:rPr>
        <w:t>parameter</w:t>
      </w:r>
      <w:r w:rsidR="004D60BB" w:rsidRPr="00DF5C23">
        <w:rPr>
          <w:noProof/>
          <w:lang w:val="en-IE" w:eastAsia="fr-BE"/>
        </w:rPr>
        <w:t>s</w:t>
      </w:r>
      <w:r w:rsidR="00646885" w:rsidRPr="00DF5C23">
        <w:rPr>
          <w:noProof/>
          <w:lang w:val="en-IE" w:eastAsia="fr-BE"/>
        </w:rPr>
        <w:t xml:space="preserve"> </w:t>
      </w:r>
      <w:r w:rsidR="00244960" w:rsidRPr="00DF5C23">
        <w:rPr>
          <w:noProof/>
          <w:lang w:val="en-IE" w:eastAsia="fr-BE"/>
        </w:rPr>
        <w:t>referred to</w:t>
      </w:r>
      <w:r w:rsidR="00244960" w:rsidRPr="00DF5C23">
        <w:rPr>
          <w:noProof/>
          <w:lang w:val="en-IE"/>
        </w:rPr>
        <w:t xml:space="preserve"> in </w:t>
      </w:r>
      <w:r w:rsidR="00171675" w:rsidRPr="00DF5C23">
        <w:rPr>
          <w:noProof/>
          <w:lang w:val="en-IE"/>
        </w:rPr>
        <w:t>Annex I</w:t>
      </w:r>
      <w:r w:rsidR="00674E9E" w:rsidRPr="00DF5C23">
        <w:rPr>
          <w:noProof/>
          <w:lang w:val="en-IE" w:eastAsia="fr-BE"/>
        </w:rPr>
        <w:t xml:space="preserve">, </w:t>
      </w:r>
      <w:r w:rsidR="00646885" w:rsidRPr="00DF5C23">
        <w:rPr>
          <w:noProof/>
          <w:lang w:val="en-IE" w:eastAsia="fr-BE"/>
        </w:rPr>
        <w:t xml:space="preserve">ordered into successive steps to allow for product differentiation;  </w:t>
      </w:r>
    </w:p>
    <w:p w14:paraId="2C3A5612" w14:textId="4AE6C956" w:rsidR="00893002" w:rsidRPr="00DF5C23" w:rsidRDefault="004F5E59" w:rsidP="004F5E59">
      <w:pPr>
        <w:pStyle w:val="Point0"/>
        <w:rPr>
          <w:rFonts w:eastAsia="Times New Roman"/>
          <w:noProof/>
          <w:color w:val="000000" w:themeColor="text1"/>
          <w:lang w:val="en-IE" w:eastAsia="fr-BE"/>
        </w:rPr>
      </w:pPr>
      <w:r w:rsidRPr="004F5E59">
        <w:t>(16)</w:t>
      </w:r>
      <w:r w:rsidRPr="004F5E59">
        <w:tab/>
      </w:r>
      <w:r w:rsidR="00646885" w:rsidRPr="00DF5C23">
        <w:rPr>
          <w:rFonts w:eastAsia="Times New Roman"/>
          <w:noProof/>
          <w:color w:val="000000"/>
          <w:lang w:val="en-IE" w:eastAsia="fr-BE"/>
        </w:rPr>
        <w:t>‘remanufacturing’ means</w:t>
      </w:r>
      <w:r w:rsidR="00B474AE" w:rsidRPr="00DF5C23">
        <w:rPr>
          <w:noProof/>
          <w:lang w:val="en-IE"/>
        </w:rPr>
        <w:t xml:space="preserve"> </w:t>
      </w:r>
      <w:r w:rsidR="00CC0AD7" w:rsidRPr="00DF5C23">
        <w:rPr>
          <w:noProof/>
          <w:lang w:val="en-IE"/>
        </w:rPr>
        <w:t>an</w:t>
      </w:r>
      <w:r w:rsidR="00B474AE" w:rsidRPr="00DF5C23">
        <w:rPr>
          <w:noProof/>
          <w:lang w:val="en-IE"/>
        </w:rPr>
        <w:t xml:space="preserve"> industrial process </w:t>
      </w:r>
      <w:r w:rsidR="00BD0D3A" w:rsidRPr="00DF5C23">
        <w:rPr>
          <w:noProof/>
        </w:rPr>
        <w:t xml:space="preserve">in which a product is produced from objects that are waste, products or </w:t>
      </w:r>
      <w:r w:rsidR="00883598" w:rsidRPr="00DF5C23">
        <w:rPr>
          <w:noProof/>
        </w:rPr>
        <w:t xml:space="preserve">components </w:t>
      </w:r>
      <w:r w:rsidR="00E62E51" w:rsidRPr="00DF5C23">
        <w:rPr>
          <w:noProof/>
        </w:rPr>
        <w:t xml:space="preserve">and </w:t>
      </w:r>
      <w:r w:rsidR="009A7F4A" w:rsidRPr="00DF5C23">
        <w:rPr>
          <w:noProof/>
        </w:rPr>
        <w:t xml:space="preserve">in which </w:t>
      </w:r>
      <w:r w:rsidR="00BD0D3A" w:rsidRPr="00DF5C23">
        <w:rPr>
          <w:noProof/>
        </w:rPr>
        <w:t xml:space="preserve">at least one change is made </w:t>
      </w:r>
      <w:r w:rsidR="00E62E51" w:rsidRPr="00DF5C23">
        <w:rPr>
          <w:noProof/>
        </w:rPr>
        <w:t xml:space="preserve">to the product </w:t>
      </w:r>
      <w:r w:rsidR="00BD0D3A" w:rsidRPr="00DF5C23">
        <w:rPr>
          <w:noProof/>
        </w:rPr>
        <w:t>that affects the safety, performance, purpose or type of the product typically placed on the market with a commercial guarantee</w:t>
      </w:r>
      <w:r w:rsidR="00893002" w:rsidRPr="00DF5C23">
        <w:rPr>
          <w:rFonts w:eastAsia="Times New Roman"/>
          <w:noProof/>
          <w:color w:val="000000"/>
          <w:lang w:val="en-IE" w:eastAsia="fr-BE"/>
        </w:rPr>
        <w:t>;</w:t>
      </w:r>
      <w:r w:rsidR="00B474AE" w:rsidRPr="00DF5C23">
        <w:rPr>
          <w:noProof/>
        </w:rPr>
        <w:t xml:space="preserve"> </w:t>
      </w:r>
    </w:p>
    <w:p w14:paraId="2C3A5613" w14:textId="6B08C7D3" w:rsidR="00CD7E59" w:rsidRPr="00DF5C23" w:rsidRDefault="004F5E59" w:rsidP="004F5E59">
      <w:pPr>
        <w:pStyle w:val="Point0"/>
        <w:rPr>
          <w:noProof/>
        </w:rPr>
      </w:pPr>
      <w:r w:rsidRPr="004F5E59">
        <w:t>(17)</w:t>
      </w:r>
      <w:r w:rsidRPr="004F5E59">
        <w:tab/>
      </w:r>
      <w:r w:rsidR="00CD7E59" w:rsidRPr="00DF5C23">
        <w:rPr>
          <w:noProof/>
          <w:lang w:val="en-IE" w:eastAsia="fr-BE"/>
        </w:rPr>
        <w:t xml:space="preserve">‘upgrading’ means enhancing the functionality, performance, capacity or aesthetics of a product; </w:t>
      </w:r>
    </w:p>
    <w:p w14:paraId="2C3A5614" w14:textId="16AC4CBE" w:rsidR="00D940FA" w:rsidRPr="00DF5C23" w:rsidRDefault="004F5E59" w:rsidP="004F5E59">
      <w:pPr>
        <w:pStyle w:val="Point0"/>
        <w:rPr>
          <w:noProof/>
        </w:rPr>
      </w:pPr>
      <w:r w:rsidRPr="004F5E59">
        <w:t>(18)</w:t>
      </w:r>
      <w:r w:rsidRPr="004F5E59">
        <w:tab/>
      </w:r>
      <w:r w:rsidR="00D940FA" w:rsidRPr="00DF5C23">
        <w:rPr>
          <w:noProof/>
        </w:rPr>
        <w:t>‘</w:t>
      </w:r>
      <w:r w:rsidR="00D940FA" w:rsidRPr="00DF5C23">
        <w:rPr>
          <w:noProof/>
          <w:lang w:val="en-IE"/>
        </w:rPr>
        <w:t xml:space="preserve">refurbishment’ means </w:t>
      </w:r>
      <w:r w:rsidR="008F218C" w:rsidRPr="00DF5C23">
        <w:rPr>
          <w:noProof/>
          <w:lang w:val="en-IE"/>
        </w:rPr>
        <w:t xml:space="preserve">preparing or </w:t>
      </w:r>
      <w:r w:rsidR="00BD0D3A" w:rsidRPr="00DF5C23">
        <w:rPr>
          <w:noProof/>
          <w:lang w:val="en-IE"/>
        </w:rPr>
        <w:t>modifying</w:t>
      </w:r>
      <w:r w:rsidR="00D940FA" w:rsidRPr="00DF5C23">
        <w:rPr>
          <w:noProof/>
          <w:lang w:val="en-IE"/>
        </w:rPr>
        <w:t xml:space="preserve"> an object that is waste or a product to </w:t>
      </w:r>
      <w:r w:rsidR="004A1643" w:rsidRPr="00DF5C23">
        <w:rPr>
          <w:noProof/>
          <w:lang w:val="en-IE"/>
        </w:rPr>
        <w:t xml:space="preserve">restore its performance </w:t>
      </w:r>
      <w:r w:rsidR="00D940FA" w:rsidRPr="00DF5C23">
        <w:rPr>
          <w:noProof/>
          <w:lang w:val="en-IE"/>
        </w:rPr>
        <w:t xml:space="preserve">or functionality </w:t>
      </w:r>
      <w:r w:rsidR="00DF12CD" w:rsidRPr="00DF5C23">
        <w:rPr>
          <w:noProof/>
          <w:lang w:val="en-IE"/>
        </w:rPr>
        <w:t xml:space="preserve">within the intended use, range of performance and maintenance originally conceived at the design stage, </w:t>
      </w:r>
      <w:r w:rsidR="00D940FA" w:rsidRPr="00DF5C23">
        <w:rPr>
          <w:noProof/>
          <w:lang w:val="en-IE"/>
        </w:rPr>
        <w:t>or to meet applicable technical standards or regulatory requirements, with the result of making a fully functional product</w:t>
      </w:r>
      <w:r w:rsidR="004A1643" w:rsidRPr="00DF5C23">
        <w:rPr>
          <w:noProof/>
          <w:lang w:val="en-IE"/>
        </w:rPr>
        <w:t>;</w:t>
      </w:r>
    </w:p>
    <w:p w14:paraId="2C3A5615" w14:textId="4051A178" w:rsidR="00893002" w:rsidRPr="00DF5C23" w:rsidRDefault="004F5E59" w:rsidP="004F5E59">
      <w:pPr>
        <w:pStyle w:val="Point0"/>
        <w:rPr>
          <w:noProof/>
        </w:rPr>
      </w:pPr>
      <w:r w:rsidRPr="004F5E59">
        <w:t>(19)</w:t>
      </w:r>
      <w:r w:rsidRPr="004F5E59">
        <w:tab/>
      </w:r>
      <w:r w:rsidR="0681B866" w:rsidRPr="00DF5C23">
        <w:rPr>
          <w:noProof/>
          <w:lang w:val="en-IE" w:eastAsia="fr-BE"/>
        </w:rPr>
        <w:t xml:space="preserve">‘maintenance’ means an action carried out to </w:t>
      </w:r>
      <w:r w:rsidR="00BD0D3A" w:rsidRPr="00DF5C23">
        <w:rPr>
          <w:noProof/>
          <w:lang w:val="en-IE" w:eastAsia="fr-BE"/>
        </w:rPr>
        <w:t xml:space="preserve">keep </w:t>
      </w:r>
      <w:r w:rsidR="0681B866" w:rsidRPr="00DF5C23">
        <w:rPr>
          <w:noProof/>
          <w:lang w:val="en-IE" w:eastAsia="fr-BE"/>
        </w:rPr>
        <w:t>a product in a condition where it is able to function as required;</w:t>
      </w:r>
    </w:p>
    <w:p w14:paraId="2C3A5616" w14:textId="74BE3705" w:rsidR="009A2D6B" w:rsidRPr="00DF5C23" w:rsidRDefault="004F5E59" w:rsidP="004F5E59">
      <w:pPr>
        <w:pStyle w:val="Point0"/>
        <w:rPr>
          <w:noProof/>
        </w:rPr>
      </w:pPr>
      <w:r w:rsidRPr="004F5E59">
        <w:t>(20)</w:t>
      </w:r>
      <w:r w:rsidRPr="004F5E59">
        <w:tab/>
      </w:r>
      <w:r w:rsidR="0681B866" w:rsidRPr="00DF5C23">
        <w:rPr>
          <w:noProof/>
          <w:lang w:val="en-IE" w:eastAsia="fr-BE"/>
        </w:rPr>
        <w:t xml:space="preserve">‘repair’ means returning a </w:t>
      </w:r>
      <w:r w:rsidR="00E62E51" w:rsidRPr="00DF5C23">
        <w:rPr>
          <w:noProof/>
          <w:lang w:val="en-IE" w:eastAsia="fr-BE"/>
        </w:rPr>
        <w:t xml:space="preserve">defective </w:t>
      </w:r>
      <w:r w:rsidR="0681B866" w:rsidRPr="00DF5C23">
        <w:rPr>
          <w:noProof/>
          <w:lang w:val="en-IE" w:eastAsia="fr-BE"/>
        </w:rPr>
        <w:t xml:space="preserve">product </w:t>
      </w:r>
      <w:r w:rsidR="00430A51" w:rsidRPr="00DF5C23">
        <w:rPr>
          <w:noProof/>
          <w:lang w:val="en-IE" w:eastAsia="fr-BE"/>
        </w:rPr>
        <w:t xml:space="preserve">or waste </w:t>
      </w:r>
      <w:r w:rsidR="0681B866" w:rsidRPr="00DF5C23">
        <w:rPr>
          <w:noProof/>
          <w:lang w:val="en-IE" w:eastAsia="fr-BE"/>
        </w:rPr>
        <w:t>to a condition where it fulfil</w:t>
      </w:r>
      <w:r w:rsidR="00E62E51" w:rsidRPr="00DF5C23">
        <w:rPr>
          <w:noProof/>
          <w:lang w:val="en-IE" w:eastAsia="fr-BE"/>
        </w:rPr>
        <w:t>s</w:t>
      </w:r>
      <w:r w:rsidR="0681B866" w:rsidRPr="00DF5C23">
        <w:rPr>
          <w:noProof/>
          <w:lang w:val="en-IE" w:eastAsia="fr-BE"/>
        </w:rPr>
        <w:t xml:space="preserve"> its intended use;</w:t>
      </w:r>
    </w:p>
    <w:p w14:paraId="2C3A5617" w14:textId="397C6868" w:rsidR="003D7180" w:rsidRPr="00DF5C23" w:rsidRDefault="004F5E59" w:rsidP="004F5E59">
      <w:pPr>
        <w:pStyle w:val="Point0"/>
        <w:rPr>
          <w:noProof/>
          <w:lang w:val="en-IE"/>
        </w:rPr>
      </w:pPr>
      <w:r w:rsidRPr="004F5E59">
        <w:t>(21)</w:t>
      </w:r>
      <w:r w:rsidRPr="004F5E59">
        <w:tab/>
      </w:r>
      <w:r w:rsidR="003D7180" w:rsidRPr="00DF5C23">
        <w:rPr>
          <w:rFonts w:eastAsia="Times New Roman"/>
          <w:noProof/>
          <w:color w:val="000000" w:themeColor="text1"/>
          <w:lang w:val="en-IE" w:eastAsia="fr-BE"/>
        </w:rPr>
        <w:t xml:space="preserve">‘durability’ means the </w:t>
      </w:r>
      <w:r w:rsidR="003D7180" w:rsidRPr="00DF5C23">
        <w:rPr>
          <w:noProof/>
        </w:rPr>
        <w:t>ability</w:t>
      </w:r>
      <w:r w:rsidR="00C46AB3" w:rsidRPr="00DF5C23">
        <w:rPr>
          <w:noProof/>
        </w:rPr>
        <w:t xml:space="preserve"> of a product</w:t>
      </w:r>
      <w:r w:rsidR="003D7180" w:rsidRPr="00DF5C23">
        <w:rPr>
          <w:noProof/>
        </w:rPr>
        <w:t xml:space="preserve"> to function as required, under </w:t>
      </w:r>
      <w:r w:rsidR="00C46AB3" w:rsidRPr="00DF5C23">
        <w:rPr>
          <w:noProof/>
        </w:rPr>
        <w:t xml:space="preserve">specified </w:t>
      </w:r>
      <w:r w:rsidR="003D7180" w:rsidRPr="00DF5C23">
        <w:rPr>
          <w:noProof/>
        </w:rPr>
        <w:t xml:space="preserve">conditions of use, maintenance and repair, until a limiting </w:t>
      </w:r>
      <w:r w:rsidR="00BB6FF0" w:rsidRPr="00DF5C23">
        <w:rPr>
          <w:noProof/>
        </w:rPr>
        <w:t>event prevents its functioning</w:t>
      </w:r>
      <w:r w:rsidR="003D7180" w:rsidRPr="00DF5C23">
        <w:rPr>
          <w:noProof/>
        </w:rPr>
        <w:t xml:space="preserve">; </w:t>
      </w:r>
    </w:p>
    <w:p w14:paraId="2C3A5618" w14:textId="7BA9BB1E" w:rsidR="003D7180" w:rsidRPr="00DF5C23" w:rsidRDefault="004F5E59" w:rsidP="004F5E59">
      <w:pPr>
        <w:pStyle w:val="Point0"/>
        <w:rPr>
          <w:noProof/>
          <w:lang w:val="en-IE"/>
        </w:rPr>
      </w:pPr>
      <w:r w:rsidRPr="004F5E59">
        <w:t>(22)</w:t>
      </w:r>
      <w:r w:rsidRPr="004F5E59">
        <w:tab/>
      </w:r>
      <w:r w:rsidR="003D7180" w:rsidRPr="00DF5C23">
        <w:rPr>
          <w:rFonts w:eastAsia="Times New Roman"/>
          <w:noProof/>
          <w:color w:val="000000" w:themeColor="text1"/>
          <w:lang w:val="en-IE" w:eastAsia="fr-BE"/>
        </w:rPr>
        <w:t>‘reliability’ means the</w:t>
      </w:r>
      <w:r w:rsidR="003D7180" w:rsidRPr="00DF5C23">
        <w:rPr>
          <w:rFonts w:eastAsia="Times New Roman"/>
          <w:noProof/>
          <w:color w:val="000000" w:themeColor="text1"/>
          <w:sz w:val="28"/>
          <w:szCs w:val="28"/>
          <w:lang w:val="en-IE" w:eastAsia="fr-BE"/>
        </w:rPr>
        <w:t xml:space="preserve"> </w:t>
      </w:r>
      <w:r w:rsidR="003D7180" w:rsidRPr="00DF5C23">
        <w:rPr>
          <w:noProof/>
        </w:rPr>
        <w:t xml:space="preserve">probability that a product functions as required under given conditions for a given duration without </w:t>
      </w:r>
      <w:r w:rsidR="00BD0D3A" w:rsidRPr="00DF5C23">
        <w:rPr>
          <w:noProof/>
        </w:rPr>
        <w:t xml:space="preserve">a </w:t>
      </w:r>
      <w:r w:rsidR="003D7180" w:rsidRPr="00DF5C23">
        <w:rPr>
          <w:noProof/>
        </w:rPr>
        <w:t>limiting event</w:t>
      </w:r>
      <w:r w:rsidR="003D7180" w:rsidRPr="00DF5C23">
        <w:rPr>
          <w:rFonts w:eastAsia="Times New Roman"/>
          <w:noProof/>
          <w:color w:val="000000" w:themeColor="text1"/>
          <w:lang w:val="en-IE" w:eastAsia="fr-BE"/>
        </w:rPr>
        <w:t>;</w:t>
      </w:r>
    </w:p>
    <w:p w14:paraId="2C3A5619" w14:textId="7EFAEED7" w:rsidR="00646885" w:rsidRPr="00DF5C23" w:rsidRDefault="004F5E59" w:rsidP="004F5E59">
      <w:pPr>
        <w:pStyle w:val="Point0"/>
        <w:rPr>
          <w:noProof/>
        </w:rPr>
      </w:pPr>
      <w:r w:rsidRPr="004F5E59">
        <w:t>(23)</w:t>
      </w:r>
      <w:r w:rsidRPr="004F5E59">
        <w:tab/>
      </w:r>
      <w:r w:rsidR="0681B866" w:rsidRPr="00DF5C23">
        <w:rPr>
          <w:noProof/>
          <w:lang w:val="en-IE" w:eastAsia="fr-BE"/>
        </w:rPr>
        <w:t>‘environmental footprint’ means a quantification of a product’s environmental impacts, whether in relation to a single environmental impact category or an aggregated set of impact categories</w:t>
      </w:r>
      <w:r w:rsidR="006B2C4F" w:rsidRPr="00DF5C23">
        <w:rPr>
          <w:noProof/>
          <w:lang w:val="en-IE" w:eastAsia="fr-BE"/>
        </w:rPr>
        <w:t xml:space="preserve"> based on </w:t>
      </w:r>
      <w:r w:rsidR="00E62E51" w:rsidRPr="00DF5C23">
        <w:rPr>
          <w:noProof/>
          <w:lang w:val="en-IE" w:eastAsia="fr-BE"/>
        </w:rPr>
        <w:t xml:space="preserve">the </w:t>
      </w:r>
      <w:r w:rsidR="006B2C4F" w:rsidRPr="00DF5C23">
        <w:rPr>
          <w:noProof/>
          <w:lang w:val="en-IE" w:eastAsia="fr-BE"/>
        </w:rPr>
        <w:t xml:space="preserve">Product Environmental Footprint </w:t>
      </w:r>
      <w:r w:rsidR="00E62E51" w:rsidRPr="00DF5C23">
        <w:rPr>
          <w:noProof/>
          <w:lang w:val="en-IE" w:eastAsia="fr-BE"/>
        </w:rPr>
        <w:t>method</w:t>
      </w:r>
      <w:r w:rsidR="0681B866" w:rsidRPr="00DF5C23">
        <w:rPr>
          <w:noProof/>
          <w:lang w:val="en-IE" w:eastAsia="fr-BE"/>
        </w:rPr>
        <w:t>;</w:t>
      </w:r>
    </w:p>
    <w:p w14:paraId="2C3A561A" w14:textId="69BC7C56" w:rsidR="00E62E51" w:rsidRPr="00DF5C23" w:rsidRDefault="004F5E59" w:rsidP="004F5E59">
      <w:pPr>
        <w:pStyle w:val="Point0"/>
        <w:rPr>
          <w:noProof/>
        </w:rPr>
      </w:pPr>
      <w:r w:rsidRPr="004F5E59">
        <w:t>(24)</w:t>
      </w:r>
      <w:r w:rsidRPr="004F5E59">
        <w:tab/>
      </w:r>
      <w:r w:rsidR="00E62E51" w:rsidRPr="00DF5C23">
        <w:rPr>
          <w:noProof/>
          <w:lang w:val="en-IE" w:eastAsia="fr-BE"/>
        </w:rPr>
        <w:t xml:space="preserve">‘Product Environmental Footprint method’ means </w:t>
      </w:r>
      <w:r w:rsidR="009A7F4A" w:rsidRPr="00DF5C23">
        <w:rPr>
          <w:noProof/>
          <w:lang w:val="en-IE" w:eastAsia="fr-BE"/>
        </w:rPr>
        <w:t>the</w:t>
      </w:r>
      <w:r w:rsidR="00E62E51" w:rsidRPr="00DF5C23">
        <w:rPr>
          <w:noProof/>
          <w:lang w:val="en-IE" w:eastAsia="fr-BE"/>
        </w:rPr>
        <w:t xml:space="preserve"> life cycle assessment method to quantify the environmental impacts of products established by Recommendation </w:t>
      </w:r>
      <w:r w:rsidR="00E62E51" w:rsidRPr="00DF5C23">
        <w:rPr>
          <w:noProof/>
        </w:rPr>
        <w:t>(EU) 2021/2279</w:t>
      </w:r>
      <w:r w:rsidR="00E62E51" w:rsidRPr="00DF5C23">
        <w:rPr>
          <w:noProof/>
          <w:lang w:val="en-IE" w:eastAsia="fr-BE"/>
        </w:rPr>
        <w:t>;</w:t>
      </w:r>
    </w:p>
    <w:p w14:paraId="2C3A561B" w14:textId="7C4121D9" w:rsidR="00883598" w:rsidRPr="00DF5C23" w:rsidRDefault="004F5E59" w:rsidP="004F5E59">
      <w:pPr>
        <w:pStyle w:val="Point0"/>
        <w:rPr>
          <w:noProof/>
        </w:rPr>
      </w:pPr>
      <w:r w:rsidRPr="004F5E59">
        <w:t>(25)</w:t>
      </w:r>
      <w:r w:rsidRPr="004F5E59">
        <w:tab/>
      </w:r>
      <w:r w:rsidR="00883598" w:rsidRPr="00DF5C23">
        <w:rPr>
          <w:rFonts w:eastAsia="Times New Roman"/>
          <w:noProof/>
          <w:color w:val="000000" w:themeColor="text1"/>
          <w:lang w:val="en-IE" w:eastAsia="fr-BE"/>
        </w:rPr>
        <w:t xml:space="preserve">‘carbon footprint’ </w:t>
      </w:r>
      <w:r w:rsidR="001D1C77" w:rsidRPr="00DF5C23">
        <w:rPr>
          <w:noProof/>
        </w:rPr>
        <w:t>means</w:t>
      </w:r>
      <w:r w:rsidR="00947F0E" w:rsidRPr="00DF5C23">
        <w:rPr>
          <w:noProof/>
        </w:rPr>
        <w:t xml:space="preserve"> the sum of greenhouse gas (GHG) emissions and GHG removals in a product system, expressed as CO</w:t>
      </w:r>
      <w:r w:rsidR="00947F0E" w:rsidRPr="00DF5C23">
        <w:rPr>
          <w:noProof/>
          <w:vertAlign w:val="subscript"/>
        </w:rPr>
        <w:t>2</w:t>
      </w:r>
      <w:r w:rsidR="00947F0E" w:rsidRPr="00DF5C23">
        <w:rPr>
          <w:noProof/>
        </w:rPr>
        <w:t xml:space="preserve"> equivalents and based on a life cycle assessment using the single impact category of climate change</w:t>
      </w:r>
      <w:r w:rsidR="00883598" w:rsidRPr="00DF5C23">
        <w:rPr>
          <w:rFonts w:eastAsia="Times New Roman"/>
          <w:noProof/>
          <w:color w:val="000000" w:themeColor="text1"/>
          <w:lang w:val="en-IE" w:eastAsia="fr-BE"/>
        </w:rPr>
        <w:t>;</w:t>
      </w:r>
    </w:p>
    <w:p w14:paraId="2C3A561C" w14:textId="753E90AD" w:rsidR="005C7C0C" w:rsidRPr="00DF5C23" w:rsidRDefault="004F5E59" w:rsidP="004F5E59">
      <w:pPr>
        <w:pStyle w:val="Point0"/>
        <w:rPr>
          <w:noProof/>
          <w:lang w:val="en-IE"/>
        </w:rPr>
      </w:pPr>
      <w:r w:rsidRPr="004F5E59">
        <w:t>(26)</w:t>
      </w:r>
      <w:r w:rsidRPr="004F5E59">
        <w:tab/>
      </w:r>
      <w:r w:rsidR="005C7C0C" w:rsidRPr="00DF5C23">
        <w:rPr>
          <w:noProof/>
          <w:lang w:val="en-IE"/>
        </w:rPr>
        <w:t>‘public contracts’ means public contracts as defined in Article 2(5) of Directive 2014/24/EU</w:t>
      </w:r>
      <w:r w:rsidR="00803B38" w:rsidRPr="00DF5C23">
        <w:rPr>
          <w:noProof/>
          <w:lang w:val="en-IE"/>
        </w:rPr>
        <w:t>;</w:t>
      </w:r>
    </w:p>
    <w:p w14:paraId="2C3A561D" w14:textId="40C589A7" w:rsidR="00646885" w:rsidRPr="00DF5C23" w:rsidRDefault="004F5E59" w:rsidP="004F5E59">
      <w:pPr>
        <w:pStyle w:val="Point0"/>
        <w:rPr>
          <w:noProof/>
          <w:lang w:val="en-IE"/>
        </w:rPr>
      </w:pPr>
      <w:r w:rsidRPr="004F5E59">
        <w:t>(27)</w:t>
      </w:r>
      <w:r w:rsidRPr="004F5E59">
        <w:tab/>
      </w:r>
      <w:r w:rsidR="00646885" w:rsidRPr="00DF5C23">
        <w:rPr>
          <w:noProof/>
          <w:lang w:val="en-IE" w:eastAsia="fr-BE"/>
        </w:rPr>
        <w:t>‘</w:t>
      </w:r>
      <w:r w:rsidR="00EE27E2" w:rsidRPr="00DF5C23">
        <w:rPr>
          <w:noProof/>
          <w:lang w:val="en-IE" w:eastAsia="fr-BE"/>
        </w:rPr>
        <w:t>s</w:t>
      </w:r>
      <w:r w:rsidR="00646885" w:rsidRPr="00DF5C23">
        <w:rPr>
          <w:noProof/>
          <w:lang w:val="en-IE" w:eastAsia="fr-BE"/>
        </w:rPr>
        <w:t>ubstance’ means a substance as defined in Article 3</w:t>
      </w:r>
      <w:r w:rsidR="009A7F4A" w:rsidRPr="00DF5C23">
        <w:rPr>
          <w:noProof/>
          <w:lang w:val="en-IE" w:eastAsia="fr-BE"/>
        </w:rPr>
        <w:t xml:space="preserve">, point </w:t>
      </w:r>
      <w:r w:rsidR="00646885" w:rsidRPr="00DF5C23">
        <w:rPr>
          <w:noProof/>
          <w:lang w:val="en-IE" w:eastAsia="fr-BE"/>
        </w:rPr>
        <w:t>(1)</w:t>
      </w:r>
      <w:r w:rsidR="009A7F4A" w:rsidRPr="00DF5C23">
        <w:rPr>
          <w:noProof/>
          <w:lang w:val="en-IE" w:eastAsia="fr-BE"/>
        </w:rPr>
        <w:t>,</w:t>
      </w:r>
      <w:r w:rsidR="00646885" w:rsidRPr="00DF5C23">
        <w:rPr>
          <w:noProof/>
          <w:lang w:val="en-IE" w:eastAsia="fr-BE"/>
        </w:rPr>
        <w:t xml:space="preserve"> of Regulation (EC) No 1907/2006;</w:t>
      </w:r>
    </w:p>
    <w:p w14:paraId="2C3A561E" w14:textId="48A6C44D" w:rsidR="00BB502F" w:rsidRPr="00DF5C23" w:rsidRDefault="004F5E59" w:rsidP="004F5E59">
      <w:pPr>
        <w:pStyle w:val="Point0"/>
        <w:rPr>
          <w:noProof/>
        </w:rPr>
      </w:pPr>
      <w:r w:rsidRPr="004F5E59">
        <w:t>(28)</w:t>
      </w:r>
      <w:r w:rsidRPr="004F5E59">
        <w:tab/>
      </w:r>
      <w:r w:rsidR="23DF1179">
        <w:rPr>
          <w:noProof/>
        </w:rPr>
        <w:t>‘substance of concern’ </w:t>
      </w:r>
      <w:r w:rsidR="23DF1179" w:rsidRPr="23DF1179">
        <w:rPr>
          <w:noProof/>
          <w:lang w:val="en-IE"/>
        </w:rPr>
        <w:t>means a substance that:</w:t>
      </w:r>
    </w:p>
    <w:p w14:paraId="2C3A561F" w14:textId="5A4FF63F" w:rsidR="00BB502F" w:rsidRPr="00DF5C23" w:rsidRDefault="004F5E59" w:rsidP="004F5E59">
      <w:pPr>
        <w:pStyle w:val="Point1"/>
        <w:rPr>
          <w:noProof/>
          <w:lang w:val="en-IE" w:eastAsia="fr-BE"/>
        </w:rPr>
      </w:pPr>
      <w:r w:rsidRPr="004F5E59">
        <w:t>(a)</w:t>
      </w:r>
      <w:r w:rsidRPr="004F5E59">
        <w:tab/>
      </w:r>
      <w:r w:rsidR="00BB502F" w:rsidRPr="00DF5C23">
        <w:rPr>
          <w:noProof/>
          <w:lang w:val="en-IE" w:eastAsia="fr-BE"/>
        </w:rPr>
        <w:t>meets the criteria laid down in Article 57 and is identified in accordance with Article 59(1) of Regulation (EC) No 1907/2006; or</w:t>
      </w:r>
    </w:p>
    <w:p w14:paraId="2C3A5620" w14:textId="2F4DE4D1" w:rsidR="00BB502F" w:rsidRPr="00DF5C23" w:rsidRDefault="004F5E59" w:rsidP="004F5E59">
      <w:pPr>
        <w:pStyle w:val="Point1"/>
        <w:rPr>
          <w:noProof/>
          <w:lang w:val="en-IE" w:eastAsia="fr-BE"/>
        </w:rPr>
      </w:pPr>
      <w:r w:rsidRPr="004F5E59">
        <w:t>(b)</w:t>
      </w:r>
      <w:r w:rsidRPr="004F5E59">
        <w:tab/>
      </w:r>
      <w:r w:rsidR="00BB502F" w:rsidRPr="00DF5C23">
        <w:rPr>
          <w:noProof/>
          <w:lang w:val="en-IE" w:eastAsia="fr-BE"/>
        </w:rPr>
        <w:t>is classified in Part 3 of Annex VI to Regulation (EC) No 1272/2008 in one of the following hazard classes or hazard categories: </w:t>
      </w:r>
    </w:p>
    <w:p w14:paraId="2C3A5621" w14:textId="77777777" w:rsidR="00BB502F" w:rsidRPr="00DF5C23" w:rsidRDefault="00BD0D3A" w:rsidP="00431D9B">
      <w:pPr>
        <w:pStyle w:val="Tiret2"/>
        <w:numPr>
          <w:ilvl w:val="0"/>
          <w:numId w:val="90"/>
        </w:numPr>
        <w:rPr>
          <w:rFonts w:asciiTheme="minorHAnsi" w:eastAsiaTheme="minorEastAsia" w:hAnsiTheme="minorHAnsi" w:cstheme="minorBidi"/>
          <w:noProof/>
          <w:lang w:val="en-IE" w:eastAsia="fr-BE"/>
        </w:rPr>
      </w:pPr>
      <w:r w:rsidRPr="00DF5C23">
        <w:rPr>
          <w:noProof/>
          <w:lang w:val="en-IE" w:eastAsia="fr-BE"/>
        </w:rPr>
        <w:t>c</w:t>
      </w:r>
      <w:r w:rsidR="00BB502F" w:rsidRPr="00DF5C23">
        <w:rPr>
          <w:noProof/>
          <w:lang w:val="en-IE" w:eastAsia="fr-BE"/>
        </w:rPr>
        <w:t xml:space="preserve">arcinogenicity </w:t>
      </w:r>
      <w:r w:rsidRPr="00DF5C23">
        <w:rPr>
          <w:noProof/>
          <w:lang w:val="en-IE" w:eastAsia="fr-BE"/>
        </w:rPr>
        <w:t>c</w:t>
      </w:r>
      <w:r w:rsidR="00BB502F" w:rsidRPr="00DF5C23">
        <w:rPr>
          <w:noProof/>
          <w:lang w:val="en-IE" w:eastAsia="fr-BE"/>
        </w:rPr>
        <w:t>ategories 1 and 2</w:t>
      </w:r>
      <w:r w:rsidR="002B48DD" w:rsidRPr="00DF5C23">
        <w:rPr>
          <w:noProof/>
          <w:lang w:val="en-IE" w:eastAsia="fr-BE"/>
        </w:rPr>
        <w:t>,</w:t>
      </w:r>
      <w:r w:rsidR="00BB502F" w:rsidRPr="00DF5C23">
        <w:rPr>
          <w:noProof/>
          <w:lang w:val="en-IE" w:eastAsia="fr-BE"/>
        </w:rPr>
        <w:t xml:space="preserve"> </w:t>
      </w:r>
    </w:p>
    <w:p w14:paraId="2C3A5622" w14:textId="77777777" w:rsidR="00BB502F" w:rsidRPr="00DF5C23" w:rsidRDefault="002B47A9" w:rsidP="00431D9B">
      <w:pPr>
        <w:pStyle w:val="Tiret2"/>
        <w:numPr>
          <w:ilvl w:val="0"/>
          <w:numId w:val="90"/>
        </w:numPr>
        <w:rPr>
          <w:noProof/>
          <w:lang w:val="en-IE" w:eastAsia="fr-BE"/>
        </w:rPr>
      </w:pPr>
      <w:r w:rsidRPr="00DF5C23">
        <w:rPr>
          <w:noProof/>
          <w:lang w:val="en-IE" w:eastAsia="fr-BE"/>
        </w:rPr>
        <w:t>g</w:t>
      </w:r>
      <w:r w:rsidR="00BB502F" w:rsidRPr="00DF5C23">
        <w:rPr>
          <w:noProof/>
          <w:lang w:val="en-IE" w:eastAsia="fr-BE"/>
        </w:rPr>
        <w:t xml:space="preserve">erm cell mutagenicity </w:t>
      </w:r>
      <w:r w:rsidR="00BD0D3A" w:rsidRPr="00DF5C23">
        <w:rPr>
          <w:noProof/>
          <w:lang w:val="en-IE" w:eastAsia="fr-BE"/>
        </w:rPr>
        <w:t>c</w:t>
      </w:r>
      <w:r w:rsidR="00BB502F" w:rsidRPr="00DF5C23">
        <w:rPr>
          <w:noProof/>
          <w:lang w:val="en-IE" w:eastAsia="fr-BE"/>
        </w:rPr>
        <w:t>ategories 1 and 2</w:t>
      </w:r>
      <w:r w:rsidR="002B48DD" w:rsidRPr="00DF5C23">
        <w:rPr>
          <w:noProof/>
          <w:lang w:val="en-IE" w:eastAsia="fr-BE"/>
        </w:rPr>
        <w:t>,</w:t>
      </w:r>
      <w:r w:rsidR="00BB502F" w:rsidRPr="00DF5C23">
        <w:rPr>
          <w:noProof/>
          <w:lang w:val="en-IE" w:eastAsia="fr-BE"/>
        </w:rPr>
        <w:t xml:space="preserve"> </w:t>
      </w:r>
    </w:p>
    <w:p w14:paraId="2C3A5623" w14:textId="77777777" w:rsidR="00BB502F" w:rsidRPr="00DF5C23" w:rsidRDefault="00BD0D3A" w:rsidP="00431D9B">
      <w:pPr>
        <w:pStyle w:val="Tiret2"/>
        <w:numPr>
          <w:ilvl w:val="0"/>
          <w:numId w:val="90"/>
        </w:numPr>
        <w:rPr>
          <w:noProof/>
          <w:lang w:val="en-IE" w:eastAsia="fr-BE"/>
        </w:rPr>
      </w:pPr>
      <w:r w:rsidRPr="00DF5C23">
        <w:rPr>
          <w:noProof/>
          <w:lang w:val="en-IE" w:eastAsia="fr-BE"/>
        </w:rPr>
        <w:t>r</w:t>
      </w:r>
      <w:r w:rsidR="00BB502F" w:rsidRPr="00DF5C23">
        <w:rPr>
          <w:noProof/>
          <w:lang w:val="en-IE" w:eastAsia="fr-BE"/>
        </w:rPr>
        <w:t>eproduct</w:t>
      </w:r>
      <w:r w:rsidR="002B48DD" w:rsidRPr="00DF5C23">
        <w:rPr>
          <w:noProof/>
          <w:lang w:val="en-IE" w:eastAsia="fr-BE"/>
        </w:rPr>
        <w:t xml:space="preserve">ive toxicity </w:t>
      </w:r>
      <w:r w:rsidRPr="00DF5C23">
        <w:rPr>
          <w:noProof/>
          <w:lang w:val="en-IE" w:eastAsia="fr-BE"/>
        </w:rPr>
        <w:t>c</w:t>
      </w:r>
      <w:r w:rsidR="002B48DD" w:rsidRPr="00DF5C23">
        <w:rPr>
          <w:noProof/>
          <w:lang w:val="en-IE" w:eastAsia="fr-BE"/>
        </w:rPr>
        <w:t>ategories 1 and 2,</w:t>
      </w:r>
      <w:r w:rsidR="00BB502F" w:rsidRPr="00DF5C23">
        <w:rPr>
          <w:noProof/>
          <w:lang w:val="en-IE" w:eastAsia="fr-BE"/>
        </w:rPr>
        <w:t> [</w:t>
      </w:r>
      <w:r w:rsidR="00BB502F" w:rsidRPr="00DF5C23">
        <w:rPr>
          <w:i/>
          <w:noProof/>
          <w:lang w:val="en-IE" w:eastAsia="fr-BE"/>
        </w:rPr>
        <w:t>to be added in the course of the legislative procedure once Regulation (EC) No 1272/2008 contain</w:t>
      </w:r>
      <w:r w:rsidRPr="00DF5C23">
        <w:rPr>
          <w:i/>
          <w:noProof/>
          <w:lang w:val="en-IE" w:eastAsia="fr-BE"/>
        </w:rPr>
        <w:t>s</w:t>
      </w:r>
      <w:r w:rsidR="00BB502F" w:rsidRPr="00DF5C23">
        <w:rPr>
          <w:i/>
          <w:noProof/>
          <w:lang w:val="en-IE" w:eastAsia="fr-BE"/>
        </w:rPr>
        <w:t xml:space="preserve"> these hazard classes: Persistent, Bioacumulative, Toxic (PBTs), very Persistent very Bioaccumulative (vPvBs); Persistent, Mobile and Toxic (PMT), very Persistent very Mobile (vPvM); Endocrine disruption</w:t>
      </w:r>
      <w:r w:rsidR="002B48DD" w:rsidRPr="00DF5C23">
        <w:rPr>
          <w:noProof/>
          <w:lang w:val="en-IE" w:eastAsia="fr-BE"/>
        </w:rPr>
        <w:t>],</w:t>
      </w:r>
      <w:r w:rsidR="00BB502F" w:rsidRPr="00DF5C23">
        <w:rPr>
          <w:noProof/>
          <w:lang w:val="en-IE" w:eastAsia="fr-BE"/>
        </w:rPr>
        <w:t xml:space="preserve"> </w:t>
      </w:r>
    </w:p>
    <w:p w14:paraId="2C3A5624" w14:textId="77777777" w:rsidR="00BD0D3A" w:rsidRPr="00DF5C23" w:rsidRDefault="00BD0D3A" w:rsidP="00431D9B">
      <w:pPr>
        <w:pStyle w:val="Tiret2"/>
        <w:numPr>
          <w:ilvl w:val="0"/>
          <w:numId w:val="90"/>
        </w:numPr>
        <w:rPr>
          <w:noProof/>
          <w:lang w:val="en-IE" w:eastAsia="fr-BE"/>
        </w:rPr>
      </w:pPr>
      <w:r w:rsidRPr="00DF5C23">
        <w:rPr>
          <w:noProof/>
          <w:lang w:val="en-IE" w:eastAsia="fr-BE"/>
        </w:rPr>
        <w:t>respiratory sensitisation category 1</w:t>
      </w:r>
      <w:r w:rsidR="000914C8" w:rsidRPr="00DF5C23">
        <w:rPr>
          <w:noProof/>
          <w:lang w:val="en-IE" w:eastAsia="fr-BE"/>
        </w:rPr>
        <w:t>,</w:t>
      </w:r>
      <w:r w:rsidRPr="00DF5C23">
        <w:rPr>
          <w:noProof/>
          <w:lang w:val="en-IE" w:eastAsia="fr-BE"/>
        </w:rPr>
        <w:t xml:space="preserve"> </w:t>
      </w:r>
    </w:p>
    <w:p w14:paraId="2C3A5625" w14:textId="77777777" w:rsidR="00BD0D3A" w:rsidRPr="00DF5C23" w:rsidRDefault="00BD0D3A" w:rsidP="00431D9B">
      <w:pPr>
        <w:pStyle w:val="Tiret2"/>
        <w:numPr>
          <w:ilvl w:val="0"/>
          <w:numId w:val="90"/>
        </w:numPr>
        <w:rPr>
          <w:noProof/>
          <w:lang w:val="en-IE" w:eastAsia="fr-BE"/>
        </w:rPr>
      </w:pPr>
      <w:r w:rsidRPr="00DF5C23">
        <w:rPr>
          <w:noProof/>
          <w:lang w:val="en-IE" w:eastAsia="fr-BE"/>
        </w:rPr>
        <w:t>skin sensitisation category 1</w:t>
      </w:r>
      <w:r w:rsidR="000914C8" w:rsidRPr="00DF5C23">
        <w:rPr>
          <w:noProof/>
          <w:lang w:val="en-IE" w:eastAsia="fr-BE"/>
        </w:rPr>
        <w:t>,</w:t>
      </w:r>
      <w:r w:rsidRPr="00DF5C23">
        <w:rPr>
          <w:noProof/>
          <w:lang w:val="en-IE" w:eastAsia="fr-BE"/>
        </w:rPr>
        <w:t xml:space="preserve"> </w:t>
      </w:r>
    </w:p>
    <w:p w14:paraId="2C3A5626" w14:textId="77777777" w:rsidR="00BD0D3A" w:rsidRPr="00DF5C23" w:rsidRDefault="00BD0D3A" w:rsidP="00431D9B">
      <w:pPr>
        <w:pStyle w:val="Tiret2"/>
        <w:numPr>
          <w:ilvl w:val="0"/>
          <w:numId w:val="90"/>
        </w:numPr>
        <w:rPr>
          <w:noProof/>
          <w:lang w:val="en-IE" w:eastAsia="fr-BE"/>
        </w:rPr>
      </w:pPr>
      <w:r w:rsidRPr="00DF5C23">
        <w:rPr>
          <w:noProof/>
          <w:lang w:val="en-IE" w:eastAsia="fr-BE"/>
        </w:rPr>
        <w:t>chronic hazard to the aquatic environment categories 1 to 4</w:t>
      </w:r>
      <w:r w:rsidR="000914C8" w:rsidRPr="00DF5C23">
        <w:rPr>
          <w:noProof/>
          <w:lang w:val="en-IE" w:eastAsia="fr-BE"/>
        </w:rPr>
        <w:t>,</w:t>
      </w:r>
      <w:r w:rsidRPr="00DF5C23">
        <w:rPr>
          <w:noProof/>
          <w:lang w:val="en-IE" w:eastAsia="fr-BE"/>
        </w:rPr>
        <w:t xml:space="preserve"> </w:t>
      </w:r>
    </w:p>
    <w:p w14:paraId="2C3A5627" w14:textId="77777777" w:rsidR="00BD0D3A" w:rsidRPr="00DF5C23" w:rsidRDefault="00BD0D3A" w:rsidP="00431D9B">
      <w:pPr>
        <w:pStyle w:val="Tiret2"/>
        <w:numPr>
          <w:ilvl w:val="0"/>
          <w:numId w:val="90"/>
        </w:numPr>
        <w:rPr>
          <w:noProof/>
          <w:lang w:val="en-IE" w:eastAsia="fr-BE"/>
        </w:rPr>
      </w:pPr>
      <w:r w:rsidRPr="00DF5C23">
        <w:rPr>
          <w:noProof/>
          <w:lang w:val="en-IE" w:eastAsia="fr-BE"/>
        </w:rPr>
        <w:t>hazardous to the ozone layer</w:t>
      </w:r>
      <w:r w:rsidR="000914C8" w:rsidRPr="00DF5C23">
        <w:rPr>
          <w:noProof/>
          <w:lang w:val="en-IE" w:eastAsia="fr-BE"/>
        </w:rPr>
        <w:t>,</w:t>
      </w:r>
      <w:r w:rsidRPr="00DF5C23">
        <w:rPr>
          <w:noProof/>
          <w:lang w:val="en-IE" w:eastAsia="fr-BE"/>
        </w:rPr>
        <w:t xml:space="preserve"> </w:t>
      </w:r>
    </w:p>
    <w:p w14:paraId="2C3A5628" w14:textId="77777777" w:rsidR="00BD0D3A" w:rsidRPr="00DF5C23" w:rsidRDefault="00BD0D3A" w:rsidP="00431D9B">
      <w:pPr>
        <w:pStyle w:val="Tiret2"/>
        <w:numPr>
          <w:ilvl w:val="0"/>
          <w:numId w:val="90"/>
        </w:numPr>
        <w:rPr>
          <w:noProof/>
          <w:lang w:val="en-IE" w:eastAsia="fr-BE"/>
        </w:rPr>
      </w:pPr>
      <w:r w:rsidRPr="00DF5C23">
        <w:rPr>
          <w:noProof/>
          <w:lang w:val="en-IE" w:eastAsia="fr-BE"/>
        </w:rPr>
        <w:t>specific target organ toxicity – repeated exposure categories 1 and 2</w:t>
      </w:r>
      <w:r w:rsidR="000914C8" w:rsidRPr="00DF5C23">
        <w:rPr>
          <w:noProof/>
          <w:lang w:val="en-IE" w:eastAsia="fr-BE"/>
        </w:rPr>
        <w:t>,</w:t>
      </w:r>
    </w:p>
    <w:p w14:paraId="2C3A5629" w14:textId="77777777" w:rsidR="00BD0D3A" w:rsidRPr="00DF5C23" w:rsidRDefault="00BD0D3A" w:rsidP="00431D9B">
      <w:pPr>
        <w:pStyle w:val="Tiret2"/>
        <w:numPr>
          <w:ilvl w:val="0"/>
          <w:numId w:val="90"/>
        </w:numPr>
        <w:rPr>
          <w:noProof/>
          <w:lang w:val="en-IE" w:eastAsia="fr-BE"/>
        </w:rPr>
      </w:pPr>
      <w:r w:rsidRPr="00DF5C23">
        <w:rPr>
          <w:noProof/>
          <w:lang w:val="en-IE" w:eastAsia="fr-BE"/>
        </w:rPr>
        <w:t>specific target organ toxicity – single exposure categories 1 and 2</w:t>
      </w:r>
      <w:r w:rsidR="000914C8" w:rsidRPr="00DF5C23">
        <w:rPr>
          <w:noProof/>
          <w:lang w:val="en-IE" w:eastAsia="fr-BE"/>
        </w:rPr>
        <w:t>;</w:t>
      </w:r>
      <w:r w:rsidRPr="00DF5C23">
        <w:rPr>
          <w:noProof/>
          <w:lang w:val="en-IE" w:eastAsia="fr-BE"/>
        </w:rPr>
        <w:t xml:space="preserve"> or</w:t>
      </w:r>
    </w:p>
    <w:p w14:paraId="2C3A562A" w14:textId="43806274" w:rsidR="00BB502F" w:rsidRPr="00DF5C23" w:rsidRDefault="004F5E59" w:rsidP="004F5E59">
      <w:pPr>
        <w:pStyle w:val="Point1"/>
        <w:rPr>
          <w:noProof/>
          <w:lang w:val="en-IE"/>
        </w:rPr>
      </w:pPr>
      <w:r w:rsidRPr="004F5E59">
        <w:t>(c)</w:t>
      </w:r>
      <w:r w:rsidRPr="004F5E59">
        <w:tab/>
      </w:r>
      <w:r w:rsidR="00BB502F" w:rsidRPr="00DF5C23">
        <w:rPr>
          <w:noProof/>
          <w:lang w:val="en-IE" w:eastAsia="fr-BE"/>
        </w:rPr>
        <w:t>negatively affects the re-use and recycling of materials in the product in which it is present;</w:t>
      </w:r>
      <w:r w:rsidR="00BB502F" w:rsidRPr="00DF5C23">
        <w:rPr>
          <w:noProof/>
          <w:lang w:val="en-IE"/>
        </w:rPr>
        <w:t xml:space="preserve"> </w:t>
      </w:r>
    </w:p>
    <w:p w14:paraId="2C3A562B" w14:textId="74A044E8" w:rsidR="0038372C" w:rsidRPr="00DF5C23" w:rsidRDefault="004F5E59" w:rsidP="004F5E59">
      <w:pPr>
        <w:pStyle w:val="Point0"/>
        <w:rPr>
          <w:noProof/>
          <w:lang w:val="en-IE" w:eastAsia="fr-BE"/>
        </w:rPr>
      </w:pPr>
      <w:r w:rsidRPr="004F5E59">
        <w:t>(29)</w:t>
      </w:r>
      <w:r w:rsidRPr="004F5E59">
        <w:tab/>
      </w:r>
      <w:r w:rsidR="0038372C" w:rsidRPr="00DF5C23">
        <w:rPr>
          <w:noProof/>
          <w:lang w:val="en-IE" w:eastAsia="fr-BE"/>
        </w:rPr>
        <w:t xml:space="preserve">‘product passport’ means a set of data specific to a product that includes the information specified in the applicable delegated act </w:t>
      </w:r>
      <w:r w:rsidR="00850318" w:rsidRPr="00DF5C23">
        <w:rPr>
          <w:noProof/>
          <w:lang w:val="en-IE" w:eastAsia="fr-BE"/>
        </w:rPr>
        <w:t>adopted pursuant to Article 4</w:t>
      </w:r>
      <w:r w:rsidR="0038372C" w:rsidRPr="00DF5C23">
        <w:rPr>
          <w:noProof/>
          <w:lang w:val="en-IE" w:eastAsia="fr-BE"/>
        </w:rPr>
        <w:t xml:space="preserve"> and that is accessible via electronic means through a data carrier</w:t>
      </w:r>
      <w:r w:rsidR="00AD7103" w:rsidRPr="00DF5C23">
        <w:rPr>
          <w:noProof/>
          <w:lang w:val="en-IE" w:eastAsia="fr-BE"/>
        </w:rPr>
        <w:t xml:space="preserve"> in accordance with Chapter III</w:t>
      </w:r>
      <w:r w:rsidR="0038372C" w:rsidRPr="00DF5C23">
        <w:rPr>
          <w:noProof/>
          <w:lang w:val="en-IE" w:eastAsia="fr-BE"/>
        </w:rPr>
        <w:t>;</w:t>
      </w:r>
    </w:p>
    <w:p w14:paraId="2C3A562C" w14:textId="0506E588" w:rsidR="0038372C" w:rsidRPr="00DF5C23" w:rsidRDefault="004F5E59" w:rsidP="004F5E59">
      <w:pPr>
        <w:pStyle w:val="Point0"/>
        <w:rPr>
          <w:noProof/>
          <w:lang w:val="en-IE" w:eastAsia="fr-BE"/>
        </w:rPr>
      </w:pPr>
      <w:r w:rsidRPr="004F5E59">
        <w:t>(30)</w:t>
      </w:r>
      <w:r w:rsidRPr="004F5E59">
        <w:tab/>
      </w:r>
      <w:r w:rsidR="0038372C" w:rsidRPr="00DF5C23">
        <w:rPr>
          <w:noProof/>
          <w:lang w:val="en-IE" w:eastAsia="fr-BE"/>
        </w:rPr>
        <w:t xml:space="preserve">‘data carrier’ means a linear bar code symbol, a two-dimensional symbol or other automatic identification data capture medium </w:t>
      </w:r>
      <w:r w:rsidR="0038372C" w:rsidRPr="00DF5C23">
        <w:rPr>
          <w:noProof/>
          <w:lang w:eastAsia="fr-BE"/>
        </w:rPr>
        <w:t>that can be read by a device</w:t>
      </w:r>
      <w:r w:rsidR="0038372C" w:rsidRPr="00DF5C23">
        <w:rPr>
          <w:noProof/>
          <w:lang w:val="en-IE" w:eastAsia="fr-BE"/>
        </w:rPr>
        <w:t xml:space="preserve">; </w:t>
      </w:r>
    </w:p>
    <w:p w14:paraId="2C3A562D" w14:textId="4DCE790E" w:rsidR="00A6746E" w:rsidRPr="00DF5C23" w:rsidRDefault="004F5E59" w:rsidP="004F5E59">
      <w:pPr>
        <w:pStyle w:val="Point0"/>
        <w:rPr>
          <w:noProof/>
          <w:lang w:val="en-IE" w:eastAsia="fr-BE"/>
        </w:rPr>
      </w:pPr>
      <w:r w:rsidRPr="004F5E59">
        <w:t>(31)</w:t>
      </w:r>
      <w:r w:rsidRPr="004F5E59">
        <w:tab/>
      </w:r>
      <w:r w:rsidR="00A6746E" w:rsidRPr="00DF5C23">
        <w:rPr>
          <w:noProof/>
          <w:lang w:val="en-IE" w:eastAsia="fr-BE"/>
        </w:rPr>
        <w:t>‘unique product identifier’ means a unique string of characters for the identification of products that also enables a web link to the product passport;</w:t>
      </w:r>
    </w:p>
    <w:p w14:paraId="2C3A562E" w14:textId="11B45285" w:rsidR="005400DA" w:rsidRPr="00DF5C23" w:rsidRDefault="004F5E59" w:rsidP="004F5E59">
      <w:pPr>
        <w:pStyle w:val="Point0"/>
        <w:rPr>
          <w:rFonts w:eastAsia="Times New Roman"/>
          <w:noProof/>
          <w:lang w:val="en-IE" w:eastAsia="fr-BE"/>
        </w:rPr>
      </w:pPr>
      <w:r w:rsidRPr="004F5E59">
        <w:t>(32)</w:t>
      </w:r>
      <w:r w:rsidRPr="004F5E59">
        <w:tab/>
      </w:r>
      <w:r w:rsidR="005400DA" w:rsidRPr="00DF5C23">
        <w:rPr>
          <w:noProof/>
          <w:lang w:val="en-IE" w:eastAsia="fr-BE"/>
        </w:rPr>
        <w:t>‘unique operator identifier’ means a unique string of characters for the identification of actors involved in the value chain of products;</w:t>
      </w:r>
    </w:p>
    <w:p w14:paraId="2C3A562F" w14:textId="115C018E" w:rsidR="005400DA" w:rsidRPr="00DF5C23" w:rsidRDefault="004F5E59" w:rsidP="004F5E59">
      <w:pPr>
        <w:pStyle w:val="Point0"/>
        <w:rPr>
          <w:noProof/>
          <w:lang w:val="en-IE" w:eastAsia="fr-BE"/>
        </w:rPr>
      </w:pPr>
      <w:r w:rsidRPr="004F5E59">
        <w:t>(33)</w:t>
      </w:r>
      <w:r w:rsidRPr="004F5E59">
        <w:tab/>
      </w:r>
      <w:r w:rsidR="005400DA" w:rsidRPr="00DF5C23">
        <w:rPr>
          <w:noProof/>
          <w:lang w:val="en-IE" w:eastAsia="fr-BE"/>
        </w:rPr>
        <w:t xml:space="preserve">‘unique facility identifier’ means a unique string of characters for the identification of locations or buildings involved in the value chain of a product or used by actors involved in the value chain of </w:t>
      </w:r>
      <w:r w:rsidR="009A7F4A" w:rsidRPr="00DF5C23">
        <w:rPr>
          <w:noProof/>
          <w:lang w:val="en-IE" w:eastAsia="fr-BE"/>
        </w:rPr>
        <w:t>a</w:t>
      </w:r>
      <w:r w:rsidR="005400DA" w:rsidRPr="00DF5C23">
        <w:rPr>
          <w:noProof/>
          <w:lang w:val="en-IE" w:eastAsia="fr-BE"/>
        </w:rPr>
        <w:t xml:space="preserve"> product;</w:t>
      </w:r>
      <w:r w:rsidR="005400DA" w:rsidRPr="00DF5C23" w:rsidDel="005400DA">
        <w:rPr>
          <w:noProof/>
          <w:lang w:val="en-IE" w:eastAsia="fr-BE"/>
        </w:rPr>
        <w:t xml:space="preserve"> </w:t>
      </w:r>
    </w:p>
    <w:p w14:paraId="2C3A5630" w14:textId="46BB0FDA" w:rsidR="00710DF1" w:rsidRPr="00DF5C23" w:rsidRDefault="004F5E59" w:rsidP="004F5E59">
      <w:pPr>
        <w:pStyle w:val="Point0"/>
        <w:rPr>
          <w:noProof/>
          <w:lang w:val="en-IE" w:eastAsia="fr-BE"/>
        </w:rPr>
      </w:pPr>
      <w:r w:rsidRPr="004F5E59">
        <w:t>(34)</w:t>
      </w:r>
      <w:r w:rsidRPr="004F5E59">
        <w:tab/>
      </w:r>
      <w:r w:rsidR="00710DF1" w:rsidRPr="00DF5C23">
        <w:rPr>
          <w:noProof/>
          <w:lang w:val="en-IE" w:eastAsia="fr-BE"/>
        </w:rPr>
        <w:t xml:space="preserve">‘processing’ means processing as defined </w:t>
      </w:r>
      <w:r w:rsidR="009A7F4A" w:rsidRPr="00DF5C23">
        <w:rPr>
          <w:noProof/>
          <w:lang w:val="en-IE" w:eastAsia="fr-BE"/>
        </w:rPr>
        <w:t>in</w:t>
      </w:r>
      <w:r w:rsidR="00710DF1" w:rsidRPr="00DF5C23">
        <w:rPr>
          <w:noProof/>
          <w:lang w:val="en-IE" w:eastAsia="fr-BE"/>
        </w:rPr>
        <w:t xml:space="preserve"> Article 3</w:t>
      </w:r>
      <w:r w:rsidR="009A7F4A" w:rsidRPr="00DF5C23">
        <w:rPr>
          <w:noProof/>
          <w:lang w:val="en-IE" w:eastAsia="fr-BE"/>
        </w:rPr>
        <w:t xml:space="preserve">, point </w:t>
      </w:r>
      <w:r w:rsidR="00710DF1" w:rsidRPr="00DF5C23">
        <w:rPr>
          <w:noProof/>
          <w:lang w:val="en-IE" w:eastAsia="fr-BE"/>
        </w:rPr>
        <w:t>(2)</w:t>
      </w:r>
      <w:r w:rsidR="009A7F4A" w:rsidRPr="00DF5C23">
        <w:rPr>
          <w:noProof/>
          <w:lang w:val="en-IE" w:eastAsia="fr-BE"/>
        </w:rPr>
        <w:t>,</w:t>
      </w:r>
      <w:r w:rsidR="00710DF1" w:rsidRPr="00DF5C23">
        <w:rPr>
          <w:noProof/>
          <w:lang w:val="en-IE" w:eastAsia="fr-BE"/>
        </w:rPr>
        <w:t xml:space="preserve"> of Regulation (EU) 2018/1807;</w:t>
      </w:r>
    </w:p>
    <w:p w14:paraId="2C3A5631" w14:textId="0EA7642F" w:rsidR="0038372C" w:rsidRPr="00DF5C23" w:rsidRDefault="004F5E59" w:rsidP="004F5E59">
      <w:pPr>
        <w:pStyle w:val="Point0"/>
        <w:rPr>
          <w:noProof/>
          <w:lang w:val="en-IE"/>
        </w:rPr>
      </w:pPr>
      <w:r w:rsidRPr="004F5E59">
        <w:t>(35)</w:t>
      </w:r>
      <w:r w:rsidRPr="004F5E59">
        <w:tab/>
      </w:r>
      <w:r w:rsidR="0038372C" w:rsidRPr="00DF5C23">
        <w:rPr>
          <w:noProof/>
          <w:lang w:val="en-IE"/>
        </w:rPr>
        <w:t xml:space="preserve">‘destruction’ means the </w:t>
      </w:r>
      <w:r w:rsidR="003D1315" w:rsidRPr="00DF5C23">
        <w:rPr>
          <w:noProof/>
          <w:lang w:val="en-IE"/>
        </w:rPr>
        <w:t xml:space="preserve">intentional damaging or </w:t>
      </w:r>
      <w:r w:rsidR="0038372C" w:rsidRPr="00DF5C23">
        <w:rPr>
          <w:noProof/>
          <w:lang w:val="en-IE"/>
        </w:rPr>
        <w:t xml:space="preserve">discarding of a product </w:t>
      </w:r>
      <w:r w:rsidR="00983F51" w:rsidRPr="00DF5C23">
        <w:rPr>
          <w:noProof/>
          <w:lang w:val="en-IE"/>
        </w:rPr>
        <w:t xml:space="preserve">as waste </w:t>
      </w:r>
      <w:r w:rsidR="0038372C" w:rsidRPr="00DF5C23">
        <w:rPr>
          <w:noProof/>
          <w:lang w:val="en-IE"/>
        </w:rPr>
        <w:t xml:space="preserve">with the exception of </w:t>
      </w:r>
      <w:r w:rsidR="003D1315" w:rsidRPr="00DF5C23">
        <w:rPr>
          <w:noProof/>
          <w:lang w:val="en-IE"/>
        </w:rPr>
        <w:t xml:space="preserve">discarding for the only purpose of </w:t>
      </w:r>
      <w:r w:rsidR="0038372C" w:rsidRPr="00DF5C23">
        <w:rPr>
          <w:noProof/>
          <w:lang w:val="en-IE"/>
        </w:rPr>
        <w:t>delivering a product for preparing for re</w:t>
      </w:r>
      <w:r w:rsidR="00AB244C" w:rsidRPr="00DF5C23">
        <w:rPr>
          <w:noProof/>
          <w:lang w:val="en-IE"/>
        </w:rPr>
        <w:t>-</w:t>
      </w:r>
      <w:r w:rsidR="0038372C" w:rsidRPr="00DF5C23">
        <w:rPr>
          <w:noProof/>
          <w:lang w:val="en-IE"/>
        </w:rPr>
        <w:t>use or remanufacturing operations;</w:t>
      </w:r>
    </w:p>
    <w:p w14:paraId="2C3A5632" w14:textId="5EC03468" w:rsidR="0038372C" w:rsidRPr="00DF5C23" w:rsidRDefault="004F5E59" w:rsidP="004F5E59">
      <w:pPr>
        <w:pStyle w:val="Point0"/>
        <w:rPr>
          <w:noProof/>
          <w:lang w:val="en-IE"/>
        </w:rPr>
      </w:pPr>
      <w:r w:rsidRPr="004F5E59">
        <w:t>(36)</w:t>
      </w:r>
      <w:r w:rsidRPr="004F5E59">
        <w:tab/>
      </w:r>
      <w:r w:rsidR="0038372C" w:rsidRPr="00DF5C23">
        <w:rPr>
          <w:noProof/>
          <w:lang w:val="en-IE"/>
        </w:rPr>
        <w:t xml:space="preserve">‘consumer product’ means any product, excluding components and intermediate products, </w:t>
      </w:r>
      <w:r w:rsidR="0038372C" w:rsidRPr="00DF5C23">
        <w:rPr>
          <w:noProof/>
        </w:rPr>
        <w:t xml:space="preserve">primarily intended for consumers as defined </w:t>
      </w:r>
      <w:r w:rsidR="00423406" w:rsidRPr="00DF5C23">
        <w:rPr>
          <w:noProof/>
        </w:rPr>
        <w:t>in Article 2</w:t>
      </w:r>
      <w:r w:rsidR="009A7F4A" w:rsidRPr="00DF5C23">
        <w:rPr>
          <w:noProof/>
        </w:rPr>
        <w:t xml:space="preserve">, point </w:t>
      </w:r>
      <w:r w:rsidR="00423406" w:rsidRPr="00DF5C23">
        <w:rPr>
          <w:noProof/>
        </w:rPr>
        <w:t>(2)</w:t>
      </w:r>
      <w:r w:rsidR="009A7F4A" w:rsidRPr="00DF5C23">
        <w:rPr>
          <w:noProof/>
        </w:rPr>
        <w:t>, of</w:t>
      </w:r>
      <w:r w:rsidR="0038372C" w:rsidRPr="00DF5C23">
        <w:rPr>
          <w:noProof/>
        </w:rPr>
        <w:t xml:space="preserve"> </w:t>
      </w:r>
      <w:r w:rsidR="0038372C" w:rsidRPr="00DF5C23">
        <w:rPr>
          <w:noProof/>
          <w:shd w:val="clear" w:color="auto" w:fill="FFFFFF"/>
          <w:lang w:val="en-US"/>
        </w:rPr>
        <w:t>Directive (EU) 2019/771;</w:t>
      </w:r>
    </w:p>
    <w:p w14:paraId="2C3A5633" w14:textId="10566DD5" w:rsidR="0038372C" w:rsidRPr="00DF5C23" w:rsidRDefault="004F5E59" w:rsidP="004F5E59">
      <w:pPr>
        <w:pStyle w:val="Point0"/>
        <w:rPr>
          <w:noProof/>
        </w:rPr>
      </w:pPr>
      <w:r w:rsidRPr="004F5E59">
        <w:t>(37)</w:t>
      </w:r>
      <w:r w:rsidRPr="004F5E59">
        <w:tab/>
      </w:r>
      <w:r w:rsidR="0038372C" w:rsidRPr="00DF5C23">
        <w:rPr>
          <w:noProof/>
        </w:rPr>
        <w:t xml:space="preserve">‘unsold consumer product’ means any consumer product that has not </w:t>
      </w:r>
      <w:r w:rsidR="0038372C" w:rsidRPr="00DF5C23" w:rsidDel="000821AF">
        <w:rPr>
          <w:noProof/>
        </w:rPr>
        <w:t>been sold</w:t>
      </w:r>
      <w:r w:rsidR="0038372C" w:rsidRPr="00DF5C23">
        <w:rPr>
          <w:noProof/>
        </w:rPr>
        <w:t xml:space="preserve"> </w:t>
      </w:r>
      <w:r w:rsidR="000D697D" w:rsidRPr="00DF5C23">
        <w:rPr>
          <w:noProof/>
        </w:rPr>
        <w:t>or</w:t>
      </w:r>
      <w:r w:rsidR="0038372C" w:rsidRPr="00DF5C23">
        <w:rPr>
          <w:noProof/>
        </w:rPr>
        <w:t xml:space="preserve"> that ha</w:t>
      </w:r>
      <w:r w:rsidR="00C005E6" w:rsidRPr="00DF5C23">
        <w:rPr>
          <w:noProof/>
        </w:rPr>
        <w:t>s</w:t>
      </w:r>
      <w:r w:rsidR="0038372C" w:rsidRPr="00DF5C23">
        <w:rPr>
          <w:noProof/>
        </w:rPr>
        <w:t xml:space="preserve"> been returned by a consumer </w:t>
      </w:r>
      <w:r w:rsidR="00C62289" w:rsidRPr="00DF5C23">
        <w:rPr>
          <w:noProof/>
        </w:rPr>
        <w:t xml:space="preserve">in view </w:t>
      </w:r>
      <w:r w:rsidR="00012D36" w:rsidRPr="00DF5C23">
        <w:rPr>
          <w:noProof/>
        </w:rPr>
        <w:t xml:space="preserve">of </w:t>
      </w:r>
      <w:r w:rsidR="00C62289" w:rsidRPr="00DF5C23">
        <w:rPr>
          <w:noProof/>
        </w:rPr>
        <w:t>their right of withdrawal in accordance with Article</w:t>
      </w:r>
      <w:r w:rsidR="00C03D04" w:rsidRPr="00DF5C23">
        <w:rPr>
          <w:noProof/>
        </w:rPr>
        <w:t xml:space="preserve"> 9 of Directive (EU) 2011/83/EU</w:t>
      </w:r>
      <w:r w:rsidR="0038372C" w:rsidRPr="00DF5C23">
        <w:rPr>
          <w:noProof/>
        </w:rPr>
        <w:t xml:space="preserve">; </w:t>
      </w:r>
    </w:p>
    <w:p w14:paraId="2C3A5634" w14:textId="03DB54F2" w:rsidR="0038372C" w:rsidRPr="00DF5C23" w:rsidRDefault="004F5E59" w:rsidP="004F5E59">
      <w:pPr>
        <w:pStyle w:val="Point0"/>
        <w:rPr>
          <w:noProof/>
          <w:lang w:val="en-IE" w:eastAsia="fr-BE"/>
        </w:rPr>
      </w:pPr>
      <w:r w:rsidRPr="004F5E59">
        <w:t>(38)</w:t>
      </w:r>
      <w:r w:rsidRPr="004F5E59">
        <w:tab/>
      </w:r>
      <w:r w:rsidR="0038372C" w:rsidRPr="00DF5C23">
        <w:rPr>
          <w:noProof/>
          <w:lang w:val="en-IE" w:eastAsia="fr-BE"/>
        </w:rPr>
        <w:t>‘self-regulation measure’ means a voluntary agreement or codes of conduct, concluded by industry sectors on their own initiative, which they are responsible for enforcing;</w:t>
      </w:r>
    </w:p>
    <w:p w14:paraId="2C3A5635" w14:textId="49EF7EAB" w:rsidR="003D7180" w:rsidRPr="00DF5C23" w:rsidRDefault="004F5E59" w:rsidP="004F5E59">
      <w:pPr>
        <w:pStyle w:val="Point0"/>
        <w:rPr>
          <w:noProof/>
          <w:lang w:val="en-IE" w:eastAsia="fr-BE"/>
        </w:rPr>
      </w:pPr>
      <w:r w:rsidRPr="004F5E59">
        <w:t>(39)</w:t>
      </w:r>
      <w:r w:rsidRPr="004F5E59">
        <w:tab/>
      </w:r>
      <w:r w:rsidR="003D7180" w:rsidRPr="00DF5C23">
        <w:rPr>
          <w:noProof/>
          <w:lang w:val="en-IE" w:eastAsia="fr-BE"/>
        </w:rPr>
        <w:t xml:space="preserve">‘making available on the market’ </w:t>
      </w:r>
      <w:r w:rsidR="00BD0D3A" w:rsidRPr="00DF5C23">
        <w:rPr>
          <w:noProof/>
          <w:lang w:val="en-IE" w:eastAsia="fr-BE"/>
        </w:rPr>
        <w:t>means</w:t>
      </w:r>
      <w:r w:rsidR="003D7180" w:rsidRPr="00DF5C23">
        <w:rPr>
          <w:noProof/>
          <w:lang w:val="en-IE" w:eastAsia="fr-BE"/>
        </w:rPr>
        <w:t xml:space="preserve"> any supply of a product for distribution, consumption or use on the Union market in the course of a commercial activity, whether in return for payment or free of charge;</w:t>
      </w:r>
    </w:p>
    <w:p w14:paraId="2C3A5636" w14:textId="6D17ED17" w:rsidR="003D7180" w:rsidRPr="00DF5C23" w:rsidRDefault="004F5E59" w:rsidP="004F5E59">
      <w:pPr>
        <w:pStyle w:val="Point0"/>
        <w:rPr>
          <w:noProof/>
          <w:lang w:val="en-IE" w:eastAsia="fr-BE"/>
        </w:rPr>
      </w:pPr>
      <w:r w:rsidRPr="004F5E59">
        <w:t>(40)</w:t>
      </w:r>
      <w:r w:rsidRPr="004F5E59">
        <w:tab/>
      </w:r>
      <w:r w:rsidR="003D7180" w:rsidRPr="00DF5C23">
        <w:rPr>
          <w:noProof/>
          <w:lang w:val="en-IE" w:eastAsia="fr-BE"/>
        </w:rPr>
        <w:t xml:space="preserve">‘placing on the market’ </w:t>
      </w:r>
      <w:r w:rsidR="00BD0D3A" w:rsidRPr="00DF5C23">
        <w:rPr>
          <w:noProof/>
          <w:lang w:val="en-IE" w:eastAsia="fr-BE"/>
        </w:rPr>
        <w:t>means</w:t>
      </w:r>
      <w:r w:rsidR="003D7180" w:rsidRPr="00DF5C23">
        <w:rPr>
          <w:noProof/>
          <w:lang w:val="en-IE" w:eastAsia="fr-BE"/>
        </w:rPr>
        <w:t xml:space="preserve"> the first making available of a product on the Union market;</w:t>
      </w:r>
    </w:p>
    <w:p w14:paraId="2C3A5637" w14:textId="6C073F65" w:rsidR="003D7180" w:rsidRPr="00DF5C23" w:rsidRDefault="004F5E59" w:rsidP="004F5E59">
      <w:pPr>
        <w:pStyle w:val="Point0"/>
        <w:rPr>
          <w:noProof/>
          <w:lang w:val="en-IE" w:eastAsia="fr-BE"/>
        </w:rPr>
      </w:pPr>
      <w:r w:rsidRPr="004F5E59">
        <w:t>(41)</w:t>
      </w:r>
      <w:r w:rsidRPr="004F5E59">
        <w:tab/>
      </w:r>
      <w:r w:rsidR="003D7180" w:rsidRPr="00DF5C23">
        <w:rPr>
          <w:noProof/>
          <w:lang w:val="en-IE" w:eastAsia="fr-BE"/>
        </w:rPr>
        <w:t xml:space="preserve">‘putting into service’ means the first use, for its intended purpose, in the Union, of a product; </w:t>
      </w:r>
    </w:p>
    <w:p w14:paraId="2C3A5638" w14:textId="1F53C708" w:rsidR="003D7180" w:rsidRPr="00DF5C23" w:rsidRDefault="004F5E59" w:rsidP="004F5E59">
      <w:pPr>
        <w:pStyle w:val="Point0"/>
        <w:rPr>
          <w:noProof/>
          <w:lang w:val="en-IE" w:eastAsia="fr-BE"/>
        </w:rPr>
      </w:pPr>
      <w:r w:rsidRPr="004F5E59">
        <w:t>(42)</w:t>
      </w:r>
      <w:r w:rsidRPr="004F5E59">
        <w:tab/>
      </w:r>
      <w:r w:rsidR="003D7180" w:rsidRPr="00DF5C23">
        <w:rPr>
          <w:noProof/>
          <w:lang w:val="en-IE" w:eastAsia="fr-BE"/>
        </w:rPr>
        <w:t>‘manufacturer’ means any natural or legal person who manufactures a product or who has such a product designed or manufactured, and markets that product under its name or trademark</w:t>
      </w:r>
      <w:r w:rsidR="003C43B4" w:rsidRPr="00DF5C23">
        <w:rPr>
          <w:noProof/>
          <w:lang w:val="en-IE" w:eastAsia="fr-BE"/>
        </w:rPr>
        <w:t xml:space="preserve"> </w:t>
      </w:r>
      <w:r w:rsidR="003C43B4" w:rsidRPr="00DF5C23">
        <w:rPr>
          <w:noProof/>
          <w:color w:val="1F497D"/>
          <w:lang w:val="en-IE"/>
        </w:rPr>
        <w:t>or, i</w:t>
      </w:r>
      <w:r w:rsidR="003C43B4" w:rsidRPr="00DF5C23">
        <w:rPr>
          <w:iCs/>
          <w:noProof/>
          <w:color w:val="000000"/>
          <w:lang w:val="en-IE"/>
        </w:rPr>
        <w:t xml:space="preserve">n the absence of </w:t>
      </w:r>
      <w:r w:rsidR="003C43B4" w:rsidRPr="00DF5C23">
        <w:rPr>
          <w:iCs/>
          <w:noProof/>
          <w:color w:val="1F497D"/>
          <w:lang w:val="en-IE"/>
        </w:rPr>
        <w:t xml:space="preserve">such person or </w:t>
      </w:r>
      <w:r w:rsidR="003C43B4" w:rsidRPr="00DF5C23">
        <w:rPr>
          <w:iCs/>
          <w:noProof/>
          <w:color w:val="000000"/>
          <w:lang w:val="en-IE"/>
        </w:rPr>
        <w:t>an importer, any natural or legal person who places on the market or puts into service a product</w:t>
      </w:r>
      <w:r w:rsidR="003C43B4" w:rsidRPr="00DF5C23">
        <w:rPr>
          <w:noProof/>
          <w:color w:val="000000"/>
          <w:lang w:val="en-IE"/>
        </w:rPr>
        <w:t>;</w:t>
      </w:r>
      <w:r w:rsidR="003D7180" w:rsidRPr="00DF5C23">
        <w:rPr>
          <w:noProof/>
          <w:lang w:val="en-IE" w:eastAsia="fr-BE"/>
        </w:rPr>
        <w:t xml:space="preserve">; </w:t>
      </w:r>
    </w:p>
    <w:p w14:paraId="2C3A5639" w14:textId="02520343" w:rsidR="003D7180" w:rsidRPr="00DF5C23" w:rsidRDefault="004F5E59" w:rsidP="004F5E59">
      <w:pPr>
        <w:pStyle w:val="Point0"/>
        <w:rPr>
          <w:noProof/>
          <w:lang w:val="en-IE" w:eastAsia="fr-BE"/>
        </w:rPr>
      </w:pPr>
      <w:r w:rsidRPr="004F5E59">
        <w:t>(43)</w:t>
      </w:r>
      <w:r w:rsidRPr="004F5E59">
        <w:tab/>
      </w:r>
      <w:r w:rsidR="003D7180" w:rsidRPr="00DF5C23">
        <w:rPr>
          <w:noProof/>
          <w:lang w:val="en-IE" w:eastAsia="fr-BE"/>
        </w:rPr>
        <w:t>‘authorised representative’ means any natural or legal person established in the Union who has received a written mandate from the manufacturer to act on its behalf in relation to specified tasks with regard to the manufacturer</w:t>
      </w:r>
      <w:r w:rsidR="00BD0D3A" w:rsidRPr="00DF5C23">
        <w:rPr>
          <w:noProof/>
          <w:lang w:val="en-IE" w:eastAsia="fr-BE"/>
        </w:rPr>
        <w:t>’</w:t>
      </w:r>
      <w:r w:rsidR="003D7180" w:rsidRPr="00DF5C23">
        <w:rPr>
          <w:noProof/>
          <w:lang w:val="en-IE" w:eastAsia="fr-BE"/>
        </w:rPr>
        <w:t>s obligations under this Regulation;</w:t>
      </w:r>
    </w:p>
    <w:p w14:paraId="2C3A563A" w14:textId="54B36C63" w:rsidR="003D7180" w:rsidRPr="00DF5C23" w:rsidRDefault="004F5E59" w:rsidP="004F5E59">
      <w:pPr>
        <w:pStyle w:val="Point0"/>
        <w:rPr>
          <w:noProof/>
          <w:lang w:val="en-IE" w:eastAsia="fr-BE"/>
        </w:rPr>
      </w:pPr>
      <w:r w:rsidRPr="004F5E59">
        <w:t>(44)</w:t>
      </w:r>
      <w:r w:rsidRPr="004F5E59">
        <w:tab/>
      </w:r>
      <w:r w:rsidR="003D7180" w:rsidRPr="00DF5C23">
        <w:rPr>
          <w:noProof/>
          <w:lang w:val="en-IE" w:eastAsia="fr-BE"/>
        </w:rPr>
        <w:t>‘importer’ means any natural or legal person established in the Union who places a product from a third country on the Union market;</w:t>
      </w:r>
    </w:p>
    <w:p w14:paraId="2C3A563B" w14:textId="211C45EE" w:rsidR="003D7180" w:rsidRPr="00DF5C23" w:rsidRDefault="004F5E59" w:rsidP="004F5E59">
      <w:pPr>
        <w:pStyle w:val="Point0"/>
        <w:rPr>
          <w:noProof/>
          <w:lang w:val="en-IE" w:eastAsia="fr-BE"/>
        </w:rPr>
      </w:pPr>
      <w:r w:rsidRPr="004F5E59">
        <w:t>(45)</w:t>
      </w:r>
      <w:r w:rsidRPr="004F5E59">
        <w:tab/>
      </w:r>
      <w:r w:rsidR="003D7180" w:rsidRPr="00DF5C23">
        <w:rPr>
          <w:noProof/>
          <w:lang w:val="en-IE" w:eastAsia="fr-BE"/>
        </w:rPr>
        <w:t>‘distributor’ means any natural or legal person in the supply chain, other than the manufacturer or the importer, who makes a product available on the market;</w:t>
      </w:r>
    </w:p>
    <w:p w14:paraId="2C3A563C" w14:textId="0BB10512" w:rsidR="003D7180" w:rsidRPr="00DF5C23" w:rsidRDefault="004F5E59" w:rsidP="004F5E59">
      <w:pPr>
        <w:pStyle w:val="Point0"/>
        <w:rPr>
          <w:noProof/>
          <w:lang w:val="en-IE" w:eastAsia="fr-BE"/>
        </w:rPr>
      </w:pPr>
      <w:r w:rsidRPr="004F5E59">
        <w:t>(46)</w:t>
      </w:r>
      <w:r w:rsidRPr="004F5E59">
        <w:tab/>
      </w:r>
      <w:r w:rsidR="003D7180" w:rsidRPr="00DF5C23">
        <w:rPr>
          <w:noProof/>
          <w:lang w:val="en-IE" w:eastAsia="fr-BE"/>
        </w:rPr>
        <w:t>‘economic operator’ means</w:t>
      </w:r>
      <w:r w:rsidR="003D7180" w:rsidRPr="00DF5C23">
        <w:rPr>
          <w:noProof/>
          <w:lang w:val="en-IE"/>
        </w:rPr>
        <w:t xml:space="preserve"> </w:t>
      </w:r>
      <w:r w:rsidR="003D7180" w:rsidRPr="00DF5C23">
        <w:rPr>
          <w:noProof/>
          <w:lang w:val="en-IE" w:eastAsia="fr-BE"/>
        </w:rPr>
        <w:t>the manufacturer, the authorised representative, the importer, the distributor, the dealer and the fulfilment service provider;</w:t>
      </w:r>
    </w:p>
    <w:p w14:paraId="2C3A563D" w14:textId="20DE5008" w:rsidR="00EE27E2" w:rsidRPr="00DF5C23" w:rsidRDefault="004F5E59" w:rsidP="004F5E59">
      <w:pPr>
        <w:pStyle w:val="Point0"/>
        <w:rPr>
          <w:noProof/>
          <w:lang w:val="en-IE" w:eastAsia="fr-BE"/>
        </w:rPr>
      </w:pPr>
      <w:r w:rsidRPr="004F5E59">
        <w:t>(47)</w:t>
      </w:r>
      <w:r w:rsidRPr="004F5E59">
        <w:tab/>
      </w:r>
      <w:r w:rsidR="0681B866" w:rsidRPr="00DF5C23">
        <w:rPr>
          <w:noProof/>
          <w:lang w:val="en-IE" w:eastAsia="fr-BE"/>
        </w:rPr>
        <w:t>‘technical specification’ means a document that prescribes technical requirements to be fulfilled by a product, process or service;</w:t>
      </w:r>
    </w:p>
    <w:p w14:paraId="2C3A563E" w14:textId="39A598A9" w:rsidR="00EE27E2" w:rsidRPr="00DF5C23" w:rsidRDefault="004F5E59" w:rsidP="004F5E59">
      <w:pPr>
        <w:pStyle w:val="Point0"/>
        <w:rPr>
          <w:noProof/>
          <w:lang w:val="en-IE"/>
        </w:rPr>
      </w:pPr>
      <w:r w:rsidRPr="004F5E59">
        <w:t>(48)</w:t>
      </w:r>
      <w:r w:rsidRPr="004F5E59">
        <w:tab/>
      </w:r>
      <w:r w:rsidR="0681B866" w:rsidRPr="00DF5C23">
        <w:rPr>
          <w:noProof/>
          <w:lang w:val="en-IE" w:eastAsia="fr-BE"/>
        </w:rPr>
        <w:t>‘harmonised standard’ means a standard as defined in Article 2(1)</w:t>
      </w:r>
      <w:r w:rsidR="00C005E6" w:rsidRPr="00DF5C23">
        <w:rPr>
          <w:noProof/>
          <w:lang w:val="en-IE" w:eastAsia="fr-BE"/>
        </w:rPr>
        <w:t xml:space="preserve">, point </w:t>
      </w:r>
      <w:r w:rsidR="0681B866" w:rsidRPr="00DF5C23">
        <w:rPr>
          <w:noProof/>
          <w:lang w:val="en-IE" w:eastAsia="fr-BE"/>
        </w:rPr>
        <w:t>(c)</w:t>
      </w:r>
      <w:r w:rsidR="00C005E6" w:rsidRPr="00DF5C23">
        <w:rPr>
          <w:noProof/>
          <w:lang w:val="en-IE" w:eastAsia="fr-BE"/>
        </w:rPr>
        <w:t>,</w:t>
      </w:r>
      <w:r w:rsidR="0681B866" w:rsidRPr="00DF5C23">
        <w:rPr>
          <w:noProof/>
          <w:lang w:val="en-IE" w:eastAsia="fr-BE"/>
        </w:rPr>
        <w:t xml:space="preserve"> of Regulation (EU) No 1025/2012;</w:t>
      </w:r>
    </w:p>
    <w:p w14:paraId="2C3A563F" w14:textId="0AFA268D" w:rsidR="00EE27E2" w:rsidRPr="00DF5C23" w:rsidRDefault="004F5E59" w:rsidP="004F5E59">
      <w:pPr>
        <w:pStyle w:val="Point0"/>
        <w:rPr>
          <w:noProof/>
          <w:lang w:val="en-IE"/>
        </w:rPr>
      </w:pPr>
      <w:r w:rsidRPr="004F5E59">
        <w:t>(49)</w:t>
      </w:r>
      <w:r w:rsidRPr="004F5E59">
        <w:tab/>
      </w:r>
      <w:r w:rsidR="0681B866" w:rsidRPr="00DF5C23">
        <w:rPr>
          <w:noProof/>
          <w:lang w:val="en-IE" w:eastAsia="fr-BE"/>
        </w:rPr>
        <w:t>‘CE marking’ means a marking by which the manufacturer indicates that the relevant product is in conformity with the applicable requirements set out in Union harmonisation legislation providing for its affixing;</w:t>
      </w:r>
    </w:p>
    <w:p w14:paraId="2C3A5640" w14:textId="244F22E3" w:rsidR="00EE27E2" w:rsidRPr="00DF5C23" w:rsidRDefault="004F5E59" w:rsidP="004F5E59">
      <w:pPr>
        <w:pStyle w:val="Point0"/>
        <w:rPr>
          <w:noProof/>
          <w:lang w:val="en-IE"/>
        </w:rPr>
      </w:pPr>
      <w:r w:rsidRPr="004F5E59">
        <w:t>(50)</w:t>
      </w:r>
      <w:r w:rsidRPr="004F5E59">
        <w:tab/>
      </w:r>
      <w:r w:rsidR="0681B866" w:rsidRPr="00DF5C23">
        <w:rPr>
          <w:noProof/>
          <w:lang w:val="en-IE" w:eastAsia="fr-BE"/>
        </w:rPr>
        <w:t xml:space="preserve">‘accreditation’ means accreditation as defined in Article 2(10) of Regulation (EC) No 765/2008; </w:t>
      </w:r>
    </w:p>
    <w:p w14:paraId="2C3A5641" w14:textId="1812CCFF" w:rsidR="00EE27E2" w:rsidRPr="00DF5C23" w:rsidRDefault="004F5E59" w:rsidP="004F5E59">
      <w:pPr>
        <w:pStyle w:val="Point0"/>
        <w:rPr>
          <w:noProof/>
          <w:lang w:val="en-IE"/>
        </w:rPr>
      </w:pPr>
      <w:r w:rsidRPr="004F5E59">
        <w:t>(51)</w:t>
      </w:r>
      <w:r w:rsidRPr="004F5E59">
        <w:tab/>
      </w:r>
      <w:r w:rsidR="0681B866" w:rsidRPr="00DF5C23">
        <w:rPr>
          <w:noProof/>
          <w:lang w:val="en-IE" w:eastAsia="fr-BE"/>
        </w:rPr>
        <w:t xml:space="preserve">‘national accreditation body’ means a national accreditation body as defined in Article 2(11) of Regulation (EC) No 765/2008; </w:t>
      </w:r>
    </w:p>
    <w:p w14:paraId="2C3A5642" w14:textId="5BA65B8B" w:rsidR="00EE27E2" w:rsidRPr="00DF5C23" w:rsidRDefault="004F5E59" w:rsidP="004F5E59">
      <w:pPr>
        <w:pStyle w:val="Point0"/>
        <w:rPr>
          <w:noProof/>
          <w:lang w:val="en-IE"/>
        </w:rPr>
      </w:pPr>
      <w:r w:rsidRPr="004F5E59">
        <w:t>(52)</w:t>
      </w:r>
      <w:r w:rsidRPr="004F5E59">
        <w:tab/>
      </w:r>
      <w:r w:rsidR="0681B866" w:rsidRPr="00DF5C23">
        <w:rPr>
          <w:noProof/>
          <w:lang w:val="en-IE" w:eastAsia="fr-BE"/>
        </w:rPr>
        <w:t xml:space="preserve">‘conformity assessment’ means the process demonstrating whether the requirements set out in the relevant delegated acts </w:t>
      </w:r>
      <w:r w:rsidR="00850318" w:rsidRPr="00DF5C23">
        <w:rPr>
          <w:noProof/>
          <w:lang w:val="en-IE" w:eastAsia="fr-BE"/>
        </w:rPr>
        <w:t>adopted pursuant to Article 4</w:t>
      </w:r>
      <w:r w:rsidR="0681B866" w:rsidRPr="00DF5C23">
        <w:rPr>
          <w:noProof/>
          <w:lang w:val="en-IE" w:eastAsia="fr-BE"/>
        </w:rPr>
        <w:t xml:space="preserve"> have been fulfilled; </w:t>
      </w:r>
    </w:p>
    <w:p w14:paraId="2C3A5643" w14:textId="35E2DF89" w:rsidR="00EE27E2" w:rsidRPr="00DF5C23" w:rsidRDefault="004F5E59" w:rsidP="004F5E59">
      <w:pPr>
        <w:pStyle w:val="Point0"/>
        <w:rPr>
          <w:noProof/>
          <w:lang w:val="en-IE"/>
        </w:rPr>
      </w:pPr>
      <w:r w:rsidRPr="004F5E59">
        <w:t>(53)</w:t>
      </w:r>
      <w:r w:rsidRPr="004F5E59">
        <w:tab/>
      </w:r>
      <w:r w:rsidR="0681B866" w:rsidRPr="00DF5C23">
        <w:rPr>
          <w:noProof/>
          <w:lang w:val="en-IE" w:eastAsia="fr-BE"/>
        </w:rPr>
        <w:t>‘conformity assessment body’ means a body that performs conformity assessment activities including calibration, testing, certification and inspection;</w:t>
      </w:r>
    </w:p>
    <w:p w14:paraId="2C3A5644" w14:textId="0338D227" w:rsidR="00EE27E2" w:rsidRPr="00DF5C23" w:rsidRDefault="004F5E59" w:rsidP="004F5E59">
      <w:pPr>
        <w:pStyle w:val="Point0"/>
        <w:rPr>
          <w:noProof/>
          <w:lang w:val="en-IE"/>
        </w:rPr>
      </w:pPr>
      <w:r w:rsidRPr="004F5E59">
        <w:t>(54)</w:t>
      </w:r>
      <w:r w:rsidRPr="004F5E59">
        <w:tab/>
      </w:r>
      <w:r w:rsidR="00646885" w:rsidRPr="00DF5C23">
        <w:rPr>
          <w:noProof/>
          <w:lang w:val="en-IE" w:eastAsia="fr-BE"/>
        </w:rPr>
        <w:t>‘notified body’ means a conformity assessment body notif</w:t>
      </w:r>
      <w:r w:rsidR="00C03D04" w:rsidRPr="00DF5C23">
        <w:rPr>
          <w:noProof/>
          <w:lang w:val="en-IE" w:eastAsia="fr-BE"/>
        </w:rPr>
        <w:t>ied in accordance with Chapter IX</w:t>
      </w:r>
      <w:r w:rsidR="00646885" w:rsidRPr="00DF5C23">
        <w:rPr>
          <w:noProof/>
          <w:lang w:val="en-IE" w:eastAsia="fr-BE"/>
        </w:rPr>
        <w:t xml:space="preserve"> of this Regulation</w:t>
      </w:r>
      <w:r w:rsidR="00EE27E2" w:rsidRPr="00DF5C23">
        <w:rPr>
          <w:noProof/>
          <w:lang w:val="en-IE" w:eastAsia="fr-BE"/>
        </w:rPr>
        <w:t>;</w:t>
      </w:r>
    </w:p>
    <w:p w14:paraId="2C3A5645" w14:textId="7931B6A5" w:rsidR="00965FB1" w:rsidRPr="00DF5C23" w:rsidRDefault="004F5E59" w:rsidP="004F5E59">
      <w:pPr>
        <w:pStyle w:val="Point0"/>
        <w:rPr>
          <w:noProof/>
          <w:lang w:val="en-IE"/>
        </w:rPr>
      </w:pPr>
      <w:r w:rsidRPr="004F5E59">
        <w:t>(55)</w:t>
      </w:r>
      <w:r w:rsidRPr="004F5E59">
        <w:tab/>
      </w:r>
      <w:r w:rsidR="0681B866" w:rsidRPr="00DF5C23">
        <w:rPr>
          <w:noProof/>
        </w:rPr>
        <w:t xml:space="preserve">‘online marketplace’ means a provider of an intermediary service using software, including a website, part of a website or an application, </w:t>
      </w:r>
      <w:r w:rsidR="00BD0D3A" w:rsidRPr="00DF5C23">
        <w:rPr>
          <w:noProof/>
        </w:rPr>
        <w:t>that</w:t>
      </w:r>
      <w:r w:rsidR="0681B866" w:rsidRPr="00DF5C23">
        <w:rPr>
          <w:noProof/>
        </w:rPr>
        <w:t xml:space="preserve"> allows </w:t>
      </w:r>
      <w:r w:rsidR="008B0A11" w:rsidRPr="00DF5C23">
        <w:rPr>
          <w:noProof/>
        </w:rPr>
        <w:t xml:space="preserve">customers </w:t>
      </w:r>
      <w:r w:rsidR="0681B866" w:rsidRPr="00DF5C23">
        <w:rPr>
          <w:noProof/>
        </w:rPr>
        <w:t xml:space="preserve">to conclude distance contracts with </w:t>
      </w:r>
      <w:r w:rsidR="008B0A11" w:rsidRPr="00DF5C23">
        <w:rPr>
          <w:noProof/>
        </w:rPr>
        <w:t>economic operators</w:t>
      </w:r>
      <w:r w:rsidR="0681B866" w:rsidRPr="00DF5C23">
        <w:rPr>
          <w:noProof/>
        </w:rPr>
        <w:t xml:space="preserve"> for the sale of products covered by delegated acts </w:t>
      </w:r>
      <w:r w:rsidR="00850318" w:rsidRPr="00DF5C23">
        <w:rPr>
          <w:noProof/>
        </w:rPr>
        <w:t>adopted pursuant to Article 4</w:t>
      </w:r>
      <w:r w:rsidR="0681B866" w:rsidRPr="00DF5C23">
        <w:rPr>
          <w:noProof/>
        </w:rPr>
        <w:t>;</w:t>
      </w:r>
    </w:p>
    <w:p w14:paraId="2C3A5646" w14:textId="1695502E" w:rsidR="009A1350" w:rsidRPr="00DF5C23" w:rsidRDefault="004F5E59" w:rsidP="004F5E59">
      <w:pPr>
        <w:pStyle w:val="Point0"/>
        <w:rPr>
          <w:rFonts w:eastAsia="Times New Roman"/>
          <w:noProof/>
          <w:color w:val="000000" w:themeColor="text1"/>
          <w:lang w:val="en-IE" w:eastAsia="fr-BE"/>
        </w:rPr>
      </w:pPr>
      <w:r w:rsidRPr="004F5E59">
        <w:t>(56)</w:t>
      </w:r>
      <w:r w:rsidRPr="004F5E59">
        <w:tab/>
      </w:r>
      <w:r w:rsidR="00983A44" w:rsidRPr="00DF5C23">
        <w:rPr>
          <w:noProof/>
          <w:lang w:val="en-IE" w:eastAsia="fr-BE"/>
        </w:rPr>
        <w:t>‘d</w:t>
      </w:r>
      <w:r w:rsidR="009A1350" w:rsidRPr="00DF5C23">
        <w:rPr>
          <w:noProof/>
          <w:lang w:val="en-IE" w:eastAsia="fr-BE"/>
        </w:rPr>
        <w:t>ealer</w:t>
      </w:r>
      <w:r w:rsidR="00983A44" w:rsidRPr="00DF5C23">
        <w:rPr>
          <w:noProof/>
          <w:lang w:val="en-IE" w:eastAsia="fr-BE"/>
        </w:rPr>
        <w:t>’</w:t>
      </w:r>
      <w:r w:rsidR="009A1350" w:rsidRPr="00DF5C23">
        <w:rPr>
          <w:noProof/>
          <w:lang w:val="en-IE" w:eastAsia="fr-BE"/>
        </w:rPr>
        <w:t xml:space="preserve"> means </w:t>
      </w:r>
      <w:r w:rsidR="003C1B7E" w:rsidRPr="00DF5C23">
        <w:rPr>
          <w:rFonts w:eastAsia="Times New Roman"/>
          <w:noProof/>
          <w:color w:val="000000" w:themeColor="text1"/>
          <w:lang w:val="en-IE" w:eastAsia="fr-BE"/>
        </w:rPr>
        <w:t xml:space="preserve">a retailer or </w:t>
      </w:r>
      <w:r w:rsidR="00C005E6" w:rsidRPr="00DF5C23">
        <w:rPr>
          <w:rFonts w:eastAsia="Times New Roman"/>
          <w:noProof/>
          <w:color w:val="000000" w:themeColor="text1"/>
          <w:lang w:val="en-IE" w:eastAsia="fr-BE"/>
        </w:rPr>
        <w:t>any</w:t>
      </w:r>
      <w:r w:rsidR="003C1B7E" w:rsidRPr="00DF5C23">
        <w:rPr>
          <w:rFonts w:eastAsia="Times New Roman"/>
          <w:noProof/>
          <w:color w:val="000000" w:themeColor="text1"/>
          <w:lang w:val="en-IE" w:eastAsia="fr-BE"/>
        </w:rPr>
        <w:t xml:space="preserve"> other natural or legal person</w:t>
      </w:r>
      <w:r w:rsidR="003C1B7E" w:rsidRPr="00DF5C23">
        <w:rPr>
          <w:noProof/>
          <w:lang w:val="en-IE" w:eastAsia="fr-BE"/>
        </w:rPr>
        <w:t xml:space="preserve"> </w:t>
      </w:r>
      <w:r w:rsidR="009A1350" w:rsidRPr="00DF5C23">
        <w:rPr>
          <w:noProof/>
          <w:lang w:val="en-IE" w:eastAsia="fr-BE"/>
        </w:rPr>
        <w:t xml:space="preserve">who offers </w:t>
      </w:r>
      <w:r w:rsidR="007D4BFF" w:rsidRPr="00DF5C23">
        <w:rPr>
          <w:noProof/>
          <w:lang w:val="en-IE" w:eastAsia="fr-BE"/>
        </w:rPr>
        <w:t xml:space="preserve">products </w:t>
      </w:r>
      <w:r w:rsidR="009A1350" w:rsidRPr="00DF5C23">
        <w:rPr>
          <w:noProof/>
          <w:lang w:val="en-IE" w:eastAsia="fr-BE"/>
        </w:rPr>
        <w:t>for sale, hire or hire purchase, or displays products to customers in the course of a commercial activity, whether or not in return for payment;</w:t>
      </w:r>
    </w:p>
    <w:p w14:paraId="2C3A5647" w14:textId="66D1B839" w:rsidR="009A1350" w:rsidRPr="00DF5C23" w:rsidRDefault="004F5E59" w:rsidP="004F5E59">
      <w:pPr>
        <w:pStyle w:val="Point0"/>
        <w:rPr>
          <w:noProof/>
          <w:lang w:val="en-IE" w:eastAsia="fr-BE"/>
        </w:rPr>
      </w:pPr>
      <w:r w:rsidRPr="004F5E59">
        <w:t>(57)</w:t>
      </w:r>
      <w:r w:rsidRPr="004F5E59">
        <w:tab/>
      </w:r>
      <w:r w:rsidR="0681B866" w:rsidRPr="00DF5C23">
        <w:rPr>
          <w:noProof/>
          <w:lang w:val="en-IE" w:eastAsia="fr-BE"/>
        </w:rPr>
        <w:t>‘distance selling’ means the offer for sale, hire or hire purchase of products, online or through other means of distance sales, whereby the potential customer cannot physically access the product displayed;</w:t>
      </w:r>
    </w:p>
    <w:p w14:paraId="2C3A5648" w14:textId="274D9820" w:rsidR="00016927" w:rsidRPr="00DF5C23" w:rsidRDefault="004F5E59" w:rsidP="004F5E59">
      <w:pPr>
        <w:pStyle w:val="Point0"/>
        <w:rPr>
          <w:rFonts w:eastAsia="Times New Roman"/>
          <w:noProof/>
          <w:color w:val="000000" w:themeColor="text1"/>
          <w:lang w:val="en-IE" w:eastAsia="fr-BE"/>
        </w:rPr>
      </w:pPr>
      <w:r w:rsidRPr="004F5E59">
        <w:t>(58)</w:t>
      </w:r>
      <w:r w:rsidRPr="004F5E59">
        <w:tab/>
      </w:r>
      <w:r w:rsidR="00016927" w:rsidRPr="00DF5C23">
        <w:rPr>
          <w:noProof/>
          <w:lang w:val="en-IE"/>
        </w:rPr>
        <w:t xml:space="preserve">‘product presenting a risk’ means a product that, by not complying with a requirement </w:t>
      </w:r>
      <w:r w:rsidR="007D4BFF" w:rsidRPr="00DF5C23">
        <w:rPr>
          <w:noProof/>
          <w:lang w:val="en-IE"/>
        </w:rPr>
        <w:t xml:space="preserve">set </w:t>
      </w:r>
      <w:r w:rsidR="007D4BFF" w:rsidRPr="00DF5C23">
        <w:rPr>
          <w:noProof/>
        </w:rPr>
        <w:t xml:space="preserve">out </w:t>
      </w:r>
      <w:r w:rsidR="00016927" w:rsidRPr="00DF5C23">
        <w:rPr>
          <w:noProof/>
          <w:lang w:val="en-IE"/>
        </w:rPr>
        <w:t>in or pursuant to this Regulation other than those listed in Article 6</w:t>
      </w:r>
      <w:r w:rsidR="00B12939" w:rsidRPr="00DF5C23">
        <w:rPr>
          <w:noProof/>
          <w:lang w:val="en-IE"/>
        </w:rPr>
        <w:t>5</w:t>
      </w:r>
      <w:r w:rsidR="00016927" w:rsidRPr="00DF5C23">
        <w:rPr>
          <w:noProof/>
          <w:lang w:val="en-IE"/>
        </w:rPr>
        <w:t>(1)</w:t>
      </w:r>
      <w:r w:rsidR="007D4BFF" w:rsidRPr="00DF5C23">
        <w:rPr>
          <w:noProof/>
          <w:lang w:val="en-IE"/>
        </w:rPr>
        <w:t>,</w:t>
      </w:r>
      <w:r w:rsidR="00016927" w:rsidRPr="00DF5C23">
        <w:rPr>
          <w:noProof/>
          <w:lang w:val="en-IE"/>
        </w:rPr>
        <w:t xml:space="preserve"> </w:t>
      </w:r>
      <w:r w:rsidR="00EF3EAC" w:rsidRPr="00DF5C23">
        <w:rPr>
          <w:noProof/>
          <w:lang w:val="en-IE"/>
        </w:rPr>
        <w:t>may</w:t>
      </w:r>
      <w:r w:rsidR="00016927" w:rsidRPr="00DF5C23">
        <w:rPr>
          <w:noProof/>
          <w:lang w:val="en-IE"/>
        </w:rPr>
        <w:t xml:space="preserve"> adversely affect the environment or other public interests protected by that requirement</w:t>
      </w:r>
      <w:r w:rsidR="00A24123" w:rsidRPr="00DF5C23">
        <w:rPr>
          <w:noProof/>
          <w:lang w:val="en-IE"/>
        </w:rPr>
        <w:t>;</w:t>
      </w:r>
    </w:p>
    <w:p w14:paraId="2C3A5649" w14:textId="3BD2F6A9" w:rsidR="00756D5E" w:rsidRPr="00DF5C23" w:rsidRDefault="004F5E59" w:rsidP="004F5E59">
      <w:pPr>
        <w:pStyle w:val="Point0"/>
        <w:rPr>
          <w:noProof/>
          <w:lang w:val="en-IE"/>
        </w:rPr>
      </w:pPr>
      <w:r w:rsidRPr="004F5E59">
        <w:t>(59)</w:t>
      </w:r>
      <w:r w:rsidRPr="004F5E59">
        <w:tab/>
      </w:r>
      <w:r w:rsidR="00756D5E" w:rsidRPr="00DF5C23">
        <w:rPr>
          <w:noProof/>
          <w:lang w:val="en-IE"/>
        </w:rPr>
        <w:t>‘product presenting a serious risk’ means a product presenting a risk for which, based on an assessment, the degree of the relevant non-compliance or the associated harm is considered to require rapid intervention by the market surveillance authorities, including cases where the effects of the non-compliance are not immediate</w:t>
      </w:r>
      <w:r w:rsidR="00A24123" w:rsidRPr="00DF5C23">
        <w:rPr>
          <w:noProof/>
          <w:lang w:val="en-IE"/>
        </w:rPr>
        <w:t>.</w:t>
      </w:r>
    </w:p>
    <w:p w14:paraId="2C3A564A" w14:textId="77777777" w:rsidR="004A1643" w:rsidRPr="00DF5C23" w:rsidRDefault="009A7F4A" w:rsidP="0681B866">
      <w:pPr>
        <w:rPr>
          <w:noProof/>
          <w:lang w:val="en-IE" w:eastAsia="fr-BE"/>
        </w:rPr>
      </w:pPr>
      <w:r w:rsidRPr="00DF5C23">
        <w:rPr>
          <w:noProof/>
          <w:lang w:val="en-IE" w:eastAsia="fr-BE"/>
        </w:rPr>
        <w:t>In addition, t</w:t>
      </w:r>
      <w:r w:rsidR="004A1643" w:rsidRPr="00DF5C23">
        <w:rPr>
          <w:noProof/>
          <w:lang w:val="en-IE" w:eastAsia="fr-BE"/>
        </w:rPr>
        <w:t>he definitions of ‘waste’, ‘hazardous waste’, ‘</w:t>
      </w:r>
      <w:r w:rsidR="002B360E" w:rsidRPr="00DF5C23">
        <w:rPr>
          <w:noProof/>
          <w:lang w:val="en-IE" w:eastAsia="fr-BE"/>
        </w:rPr>
        <w:t>re-use’,</w:t>
      </w:r>
      <w:r w:rsidR="004A1643" w:rsidRPr="00DF5C23">
        <w:rPr>
          <w:noProof/>
          <w:lang w:val="en-IE" w:eastAsia="fr-BE"/>
        </w:rPr>
        <w:t xml:space="preserve"> ‘recovery’</w:t>
      </w:r>
      <w:r w:rsidR="005439C4" w:rsidRPr="00DF5C23">
        <w:rPr>
          <w:noProof/>
          <w:lang w:val="en-IE" w:eastAsia="fr-BE"/>
        </w:rPr>
        <w:t>, ‘preparing for re-use’</w:t>
      </w:r>
      <w:r w:rsidR="004A1643" w:rsidRPr="00DF5C23">
        <w:rPr>
          <w:noProof/>
          <w:lang w:val="en-IE" w:eastAsia="fr-BE"/>
        </w:rPr>
        <w:t xml:space="preserve"> and ‘recycling’ in Article 3</w:t>
      </w:r>
      <w:r w:rsidR="00A95E12" w:rsidRPr="00DF5C23">
        <w:rPr>
          <w:noProof/>
          <w:lang w:val="en-IE" w:eastAsia="fr-BE"/>
        </w:rPr>
        <w:t>,</w:t>
      </w:r>
      <w:r w:rsidR="00A95E12" w:rsidRPr="00DF5C23">
        <w:rPr>
          <w:noProof/>
          <w:lang w:val="en-IE"/>
        </w:rPr>
        <w:t xml:space="preserve"> points (1), (2), (13), (15), (16) and (17),</w:t>
      </w:r>
      <w:r w:rsidR="004A1643" w:rsidRPr="00DF5C23">
        <w:rPr>
          <w:noProof/>
          <w:lang w:val="en-IE" w:eastAsia="fr-BE"/>
        </w:rPr>
        <w:t xml:space="preserve"> of Directive 2008/98/EC</w:t>
      </w:r>
      <w:r w:rsidRPr="00DF5C23">
        <w:rPr>
          <w:noProof/>
          <w:lang w:val="en-IE" w:eastAsia="fr-BE"/>
        </w:rPr>
        <w:t xml:space="preserve"> of the European Parliament and of the Council</w:t>
      </w:r>
      <w:r w:rsidR="00BB6FF0" w:rsidRPr="00DF5C23">
        <w:rPr>
          <w:rStyle w:val="FootnoteReference0"/>
          <w:noProof/>
          <w:lang w:val="en-IE" w:eastAsia="fr-BE"/>
        </w:rPr>
        <w:footnoteReference w:id="84"/>
      </w:r>
      <w:r w:rsidR="004A1643" w:rsidRPr="00DF5C23">
        <w:rPr>
          <w:noProof/>
          <w:lang w:val="en-IE" w:eastAsia="fr-BE"/>
        </w:rPr>
        <w:t xml:space="preserve"> shall apply.</w:t>
      </w:r>
    </w:p>
    <w:p w14:paraId="2C3A564B" w14:textId="77777777" w:rsidR="004A1643" w:rsidRPr="00DF5C23" w:rsidRDefault="00A95E12" w:rsidP="0681B866">
      <w:pPr>
        <w:rPr>
          <w:noProof/>
          <w:lang w:val="en-IE" w:eastAsia="fr-BE"/>
        </w:rPr>
      </w:pPr>
      <w:r w:rsidRPr="00DF5C23">
        <w:rPr>
          <w:noProof/>
          <w:lang w:val="en-IE" w:eastAsia="fr-BE"/>
        </w:rPr>
        <w:t>T</w:t>
      </w:r>
      <w:r w:rsidR="004A1643" w:rsidRPr="00DF5C23">
        <w:rPr>
          <w:noProof/>
          <w:lang w:val="en-IE" w:eastAsia="fr-BE"/>
        </w:rPr>
        <w:t xml:space="preserve">he definitions of ‘market surveillance’, ‘market surveillance authority’, ‘fulfilment service provider’, </w:t>
      </w:r>
      <w:r w:rsidR="004A1643" w:rsidRPr="00DF5C23">
        <w:rPr>
          <w:noProof/>
        </w:rPr>
        <w:t>‘online interface’,</w:t>
      </w:r>
      <w:r w:rsidR="004A1643" w:rsidRPr="00DF5C23">
        <w:rPr>
          <w:noProof/>
          <w:lang w:val="en-IE" w:eastAsia="fr-BE"/>
        </w:rPr>
        <w:t xml:space="preserve"> ‘corrective action’, </w:t>
      </w:r>
      <w:r w:rsidR="004A1643" w:rsidRPr="00DF5C23">
        <w:rPr>
          <w:noProof/>
          <w:lang w:val="en-IE"/>
        </w:rPr>
        <w:t>‘</w:t>
      </w:r>
      <w:r w:rsidRPr="00DF5C23">
        <w:rPr>
          <w:noProof/>
          <w:lang w:val="en-IE"/>
        </w:rPr>
        <w:t xml:space="preserve">end-user’, </w:t>
      </w:r>
      <w:r w:rsidR="004A1643" w:rsidRPr="00DF5C23">
        <w:rPr>
          <w:noProof/>
          <w:lang w:val="en-IE" w:eastAsia="fr-BE"/>
        </w:rPr>
        <w:t>‘recall’</w:t>
      </w:r>
      <w:r w:rsidR="00365F11" w:rsidRPr="00DF5C23">
        <w:rPr>
          <w:noProof/>
          <w:lang w:val="en-IE" w:eastAsia="fr-BE"/>
        </w:rPr>
        <w:t>,</w:t>
      </w:r>
      <w:r w:rsidR="004A1643" w:rsidRPr="00DF5C23">
        <w:rPr>
          <w:noProof/>
          <w:lang w:val="en-IE" w:eastAsia="fr-BE"/>
        </w:rPr>
        <w:t xml:space="preserve"> ‘withdrawal’</w:t>
      </w:r>
      <w:r w:rsidR="00365F11" w:rsidRPr="00DF5C23">
        <w:rPr>
          <w:noProof/>
          <w:lang w:val="en-IE" w:eastAsia="fr-BE"/>
        </w:rPr>
        <w:t>, ‘customs authorities’ and</w:t>
      </w:r>
      <w:r w:rsidR="00C03D04" w:rsidRPr="00DF5C23">
        <w:rPr>
          <w:noProof/>
          <w:lang w:val="en-IE" w:eastAsia="fr-BE"/>
        </w:rPr>
        <w:t xml:space="preserve"> ‘release for free circulation’</w:t>
      </w:r>
      <w:r w:rsidR="004A1643" w:rsidRPr="00DF5C23">
        <w:rPr>
          <w:noProof/>
          <w:lang w:val="en-IE" w:eastAsia="fr-BE"/>
        </w:rPr>
        <w:t xml:space="preserve"> in Article 3</w:t>
      </w:r>
      <w:r w:rsidRPr="00DF5C23">
        <w:rPr>
          <w:noProof/>
          <w:lang w:val="en-IE" w:eastAsia="fr-BE"/>
        </w:rPr>
        <w:t>,</w:t>
      </w:r>
      <w:r w:rsidRPr="00DF5C23">
        <w:rPr>
          <w:noProof/>
          <w:lang w:val="en-IE"/>
        </w:rPr>
        <w:t xml:space="preserve"> points (3), (4), (11), (15), (16), (21), (22)</w:t>
      </w:r>
      <w:r w:rsidR="00365F11" w:rsidRPr="00DF5C23">
        <w:rPr>
          <w:noProof/>
          <w:lang w:val="en-IE"/>
        </w:rPr>
        <w:t xml:space="preserve">, </w:t>
      </w:r>
      <w:r w:rsidRPr="00DF5C23">
        <w:rPr>
          <w:noProof/>
          <w:lang w:val="en-IE"/>
        </w:rPr>
        <w:t>(23),</w:t>
      </w:r>
      <w:r w:rsidR="00365F11" w:rsidRPr="00DF5C23">
        <w:rPr>
          <w:noProof/>
          <w:lang w:val="en-IE"/>
        </w:rPr>
        <w:t xml:space="preserve"> (24</w:t>
      </w:r>
      <w:r w:rsidRPr="00DF5C23">
        <w:rPr>
          <w:noProof/>
          <w:lang w:val="en-IE"/>
        </w:rPr>
        <w:t>) and (</w:t>
      </w:r>
      <w:r w:rsidR="00365F11" w:rsidRPr="00DF5C23">
        <w:rPr>
          <w:noProof/>
          <w:lang w:val="en-IE"/>
        </w:rPr>
        <w:t>25)</w:t>
      </w:r>
      <w:r w:rsidR="009A7F4A" w:rsidRPr="00DF5C23">
        <w:rPr>
          <w:noProof/>
          <w:lang w:val="en-IE"/>
        </w:rPr>
        <w:t>,</w:t>
      </w:r>
      <w:r w:rsidR="004A1643" w:rsidRPr="00DF5C23">
        <w:rPr>
          <w:noProof/>
          <w:lang w:val="en-IE" w:eastAsia="fr-BE"/>
        </w:rPr>
        <w:t xml:space="preserve"> of Regulation (EU) 2019/1020 shall </w:t>
      </w:r>
      <w:r w:rsidRPr="00DF5C23">
        <w:rPr>
          <w:noProof/>
          <w:lang w:val="en-IE" w:eastAsia="fr-BE"/>
        </w:rPr>
        <w:t xml:space="preserve">also </w:t>
      </w:r>
      <w:r w:rsidR="004A1643" w:rsidRPr="00DF5C23">
        <w:rPr>
          <w:noProof/>
          <w:lang w:val="en-IE" w:eastAsia="fr-BE"/>
        </w:rPr>
        <w:t xml:space="preserve">apply. </w:t>
      </w:r>
    </w:p>
    <w:p w14:paraId="2C3A564C" w14:textId="77777777" w:rsidR="002805C7" w:rsidRPr="00DF5C23" w:rsidRDefault="002805C7" w:rsidP="0681B866">
      <w:pPr>
        <w:rPr>
          <w:noProof/>
          <w:lang w:val="en-IE" w:eastAsia="fr-BE"/>
        </w:rPr>
      </w:pPr>
      <w:r w:rsidRPr="00DF5C23">
        <w:rPr>
          <w:noProof/>
          <w:lang w:val="en-IE" w:eastAsia="fr-BE"/>
        </w:rPr>
        <w:t>The definitions of ‘SMEs’,</w:t>
      </w:r>
      <w:r w:rsidR="00C70A1E" w:rsidRPr="00DF5C23">
        <w:rPr>
          <w:noProof/>
          <w:lang w:val="en-IE" w:eastAsia="fr-BE"/>
        </w:rPr>
        <w:t xml:space="preserve"> ‘small </w:t>
      </w:r>
      <w:r w:rsidR="009A7F4A" w:rsidRPr="00DF5C23">
        <w:rPr>
          <w:noProof/>
          <w:lang w:eastAsia="fr-BE"/>
        </w:rPr>
        <w:t>enterprises</w:t>
      </w:r>
      <w:r w:rsidR="00C70A1E" w:rsidRPr="00DF5C23">
        <w:rPr>
          <w:noProof/>
          <w:lang w:eastAsia="fr-BE"/>
        </w:rPr>
        <w:t>’ and ‘</w:t>
      </w:r>
      <w:r w:rsidR="009A7F4A" w:rsidRPr="00DF5C23">
        <w:rPr>
          <w:noProof/>
          <w:lang w:eastAsia="fr-BE"/>
        </w:rPr>
        <w:t>microenterprises</w:t>
      </w:r>
      <w:r w:rsidRPr="00DF5C23">
        <w:rPr>
          <w:noProof/>
          <w:lang w:eastAsia="fr-BE"/>
        </w:rPr>
        <w:t>’</w:t>
      </w:r>
      <w:r w:rsidRPr="00DF5C23">
        <w:rPr>
          <w:noProof/>
          <w:lang w:val="en-IE" w:eastAsia="fr-BE"/>
        </w:rPr>
        <w:t xml:space="preserve"> in Article 2(1), (2) and (3)</w:t>
      </w:r>
      <w:r w:rsidR="009A7F4A" w:rsidRPr="00DF5C23">
        <w:rPr>
          <w:noProof/>
          <w:lang w:val="en-IE" w:eastAsia="fr-BE"/>
        </w:rPr>
        <w:t>,</w:t>
      </w:r>
      <w:r w:rsidRPr="00DF5C23">
        <w:rPr>
          <w:noProof/>
          <w:lang w:val="en-IE" w:eastAsia="fr-BE"/>
        </w:rPr>
        <w:t xml:space="preserve"> of Annex I to </w:t>
      </w:r>
      <w:r w:rsidRPr="00DF5C23">
        <w:rPr>
          <w:noProof/>
          <w:lang w:val="en-IE"/>
        </w:rPr>
        <w:t xml:space="preserve">Commission Recommendation </w:t>
      </w:r>
      <w:r w:rsidRPr="00DF5C23">
        <w:rPr>
          <w:noProof/>
        </w:rPr>
        <w:t>2003/361/EC</w:t>
      </w:r>
      <w:r w:rsidR="007225F9" w:rsidRPr="00DF5C23">
        <w:rPr>
          <w:rStyle w:val="FootnoteReference0"/>
          <w:noProof/>
        </w:rPr>
        <w:footnoteReference w:id="85"/>
      </w:r>
      <w:r w:rsidRPr="00DF5C23">
        <w:rPr>
          <w:noProof/>
        </w:rPr>
        <w:t xml:space="preserve"> </w:t>
      </w:r>
      <w:r w:rsidRPr="00DF5C23">
        <w:rPr>
          <w:noProof/>
          <w:lang w:val="en-IE"/>
        </w:rPr>
        <w:t xml:space="preserve">shall also apply. </w:t>
      </w:r>
    </w:p>
    <w:p w14:paraId="2C3A564D" w14:textId="77777777" w:rsidR="00646885" w:rsidRPr="00DF5C23" w:rsidRDefault="0681B866" w:rsidP="0681B866">
      <w:pPr>
        <w:pStyle w:val="Titrearticle"/>
        <w:rPr>
          <w:noProof/>
          <w:color w:val="000000" w:themeColor="text1"/>
          <w:lang w:val="en-IE" w:eastAsia="fr-BE"/>
        </w:rPr>
      </w:pPr>
      <w:r w:rsidRPr="00DF5C23">
        <w:rPr>
          <w:noProof/>
          <w:lang w:val="en-IE" w:eastAsia="fr-BE"/>
        </w:rPr>
        <w:t>Article 3</w:t>
      </w:r>
      <w:r w:rsidR="00646885" w:rsidRPr="00DF5C23">
        <w:rPr>
          <w:noProof/>
        </w:rPr>
        <w:br/>
      </w:r>
      <w:r w:rsidRPr="00DF5C23">
        <w:rPr>
          <w:noProof/>
          <w:color w:val="000000" w:themeColor="text1"/>
          <w:lang w:val="en-IE" w:eastAsia="fr-BE"/>
        </w:rPr>
        <w:t>Free movement</w:t>
      </w:r>
    </w:p>
    <w:p w14:paraId="2C3A564E" w14:textId="6816554A" w:rsidR="00236EB4" w:rsidRPr="00DF5C23" w:rsidRDefault="004F5E59" w:rsidP="004F5E59">
      <w:pPr>
        <w:pStyle w:val="ManualNumPar1"/>
        <w:rPr>
          <w:noProof/>
          <w:color w:val="000000" w:themeColor="text1"/>
          <w:lang w:val="en-IE" w:eastAsia="fr-BE"/>
        </w:rPr>
      </w:pPr>
      <w:r w:rsidRPr="004F5E59">
        <w:t>1.</w:t>
      </w:r>
      <w:r w:rsidRPr="004F5E59">
        <w:tab/>
      </w:r>
      <w:r w:rsidR="00236EB4" w:rsidRPr="00DF5C23">
        <w:rPr>
          <w:noProof/>
        </w:rPr>
        <w:t>Products shall only be placed on the market or put into service</w:t>
      </w:r>
      <w:r w:rsidR="00DA1886" w:rsidRPr="00DF5C23">
        <w:rPr>
          <w:noProof/>
        </w:rPr>
        <w:t xml:space="preserve"> </w:t>
      </w:r>
      <w:r w:rsidR="00236EB4" w:rsidRPr="00DF5C23">
        <w:rPr>
          <w:noProof/>
        </w:rPr>
        <w:t xml:space="preserve">if they comply with </w:t>
      </w:r>
      <w:r w:rsidR="00236EB4" w:rsidRPr="00DF5C23">
        <w:rPr>
          <w:noProof/>
          <w:lang w:val="en-IE" w:eastAsia="fr-BE"/>
        </w:rPr>
        <w:t xml:space="preserve">the ecodesign requirements set out in the delegated acts adopted pursuant to Article </w:t>
      </w:r>
      <w:r w:rsidR="00AF17E7" w:rsidRPr="00DF5C23">
        <w:rPr>
          <w:noProof/>
          <w:lang w:val="en-IE" w:eastAsia="fr-BE"/>
        </w:rPr>
        <w:t>4</w:t>
      </w:r>
      <w:r w:rsidR="00236EB4" w:rsidRPr="00DF5C23">
        <w:rPr>
          <w:noProof/>
          <w:lang w:val="en-IE" w:eastAsia="fr-BE"/>
        </w:rPr>
        <w:t xml:space="preserve"> applicable to those products.</w:t>
      </w:r>
    </w:p>
    <w:p w14:paraId="2C3A564F" w14:textId="6358FE08" w:rsidR="00646885" w:rsidRDefault="004F5E59" w:rsidP="004F5E59">
      <w:pPr>
        <w:pStyle w:val="ManualNumPar1"/>
        <w:rPr>
          <w:noProof/>
        </w:rPr>
      </w:pPr>
      <w:r w:rsidRPr="004F5E59">
        <w:t>2.</w:t>
      </w:r>
      <w:r w:rsidRPr="004F5E59">
        <w:tab/>
      </w:r>
      <w:r w:rsidR="00646885" w:rsidRPr="00DF5C23">
        <w:rPr>
          <w:noProof/>
        </w:rPr>
        <w:t xml:space="preserve">Member States shall not prohibit, restrict or impede the placing on the market or putting into service of products </w:t>
      </w:r>
      <w:r w:rsidR="007D4BFF" w:rsidRPr="00DF5C23">
        <w:rPr>
          <w:noProof/>
          <w:lang w:eastAsia="fr-BE"/>
        </w:rPr>
        <w:t xml:space="preserve">that comply </w:t>
      </w:r>
      <w:r w:rsidR="00646885" w:rsidRPr="00DF5C23">
        <w:rPr>
          <w:noProof/>
        </w:rPr>
        <w:t xml:space="preserve">with </w:t>
      </w:r>
      <w:r w:rsidR="00BD5EC4" w:rsidRPr="00DF5C23">
        <w:rPr>
          <w:noProof/>
        </w:rPr>
        <w:t xml:space="preserve">the </w:t>
      </w:r>
      <w:r w:rsidR="001A6523">
        <w:rPr>
          <w:noProof/>
          <w:lang w:val="en-IE" w:eastAsia="fr-BE"/>
        </w:rPr>
        <w:t>performance</w:t>
      </w:r>
      <w:r w:rsidR="001A6523" w:rsidRPr="00DF5C23">
        <w:rPr>
          <w:noProof/>
          <w:lang w:val="en-IE" w:eastAsia="fr-BE"/>
        </w:rPr>
        <w:t xml:space="preserve"> </w:t>
      </w:r>
      <w:r w:rsidR="00D42014" w:rsidRPr="00DF5C23">
        <w:rPr>
          <w:noProof/>
        </w:rPr>
        <w:t xml:space="preserve">requirements set out in delegated acts </w:t>
      </w:r>
      <w:r w:rsidR="00AF17E7" w:rsidRPr="00DF5C23">
        <w:rPr>
          <w:noProof/>
        </w:rPr>
        <w:t>adopted pursuant to Article 4</w:t>
      </w:r>
      <w:r w:rsidR="00D42014" w:rsidRPr="00DF5C23">
        <w:rPr>
          <w:noProof/>
        </w:rPr>
        <w:t xml:space="preserve"> </w:t>
      </w:r>
      <w:r w:rsidR="00AF17E7" w:rsidRPr="00DF5C23">
        <w:rPr>
          <w:noProof/>
        </w:rPr>
        <w:t>for reasons</w:t>
      </w:r>
      <w:r w:rsidR="00AF17E7" w:rsidRPr="00DF5C23">
        <w:rPr>
          <w:noProof/>
          <w:lang w:val="en-IE" w:eastAsia="fr-BE"/>
        </w:rPr>
        <w:t xml:space="preserve"> of non-compliance with </w:t>
      </w:r>
      <w:r w:rsidR="005400DA" w:rsidRPr="00DF5C23">
        <w:rPr>
          <w:noProof/>
          <w:lang w:val="en-IE" w:eastAsia="fr-BE"/>
        </w:rPr>
        <w:t xml:space="preserve">national </w:t>
      </w:r>
      <w:r w:rsidR="001A6523">
        <w:rPr>
          <w:noProof/>
          <w:lang w:val="en-IE" w:eastAsia="fr-BE"/>
        </w:rPr>
        <w:t xml:space="preserve">performance </w:t>
      </w:r>
      <w:r w:rsidR="00AF17E7" w:rsidRPr="00DF5C23">
        <w:rPr>
          <w:noProof/>
          <w:lang w:val="en-IE" w:eastAsia="fr-BE"/>
        </w:rPr>
        <w:t xml:space="preserve">requirements relating to </w:t>
      </w:r>
      <w:r w:rsidR="00214C38" w:rsidRPr="00DF5C23">
        <w:rPr>
          <w:noProof/>
        </w:rPr>
        <w:t xml:space="preserve">product </w:t>
      </w:r>
      <w:r w:rsidR="00AF17E7" w:rsidRPr="00DF5C23">
        <w:rPr>
          <w:noProof/>
          <w:lang w:val="en-IE" w:eastAsia="fr-BE"/>
        </w:rPr>
        <w:t>parameters referred to in Annex I</w:t>
      </w:r>
      <w:r w:rsidR="00AF17E7" w:rsidRPr="00DF5C23" w:rsidDel="00AF17E7">
        <w:rPr>
          <w:noProof/>
        </w:rPr>
        <w:t xml:space="preserve"> </w:t>
      </w:r>
      <w:r w:rsidR="00D42014" w:rsidRPr="00DF5C23">
        <w:rPr>
          <w:noProof/>
        </w:rPr>
        <w:t>covered by</w:t>
      </w:r>
      <w:r w:rsidR="005400DA" w:rsidRPr="00DF5C23">
        <w:rPr>
          <w:noProof/>
        </w:rPr>
        <w:t xml:space="preserve"> </w:t>
      </w:r>
      <w:r w:rsidR="001A6523">
        <w:rPr>
          <w:noProof/>
        </w:rPr>
        <w:t>performance</w:t>
      </w:r>
      <w:r w:rsidR="001A6523" w:rsidRPr="00DF5C23">
        <w:rPr>
          <w:noProof/>
        </w:rPr>
        <w:t xml:space="preserve"> </w:t>
      </w:r>
      <w:r w:rsidR="005400DA" w:rsidRPr="00DF5C23">
        <w:rPr>
          <w:noProof/>
        </w:rPr>
        <w:t>requirements included in</w:t>
      </w:r>
      <w:r w:rsidR="00D42014" w:rsidRPr="00DF5C23">
        <w:rPr>
          <w:noProof/>
        </w:rPr>
        <w:t xml:space="preserve"> </w:t>
      </w:r>
      <w:r w:rsidR="00AE6630" w:rsidRPr="00DF5C23">
        <w:rPr>
          <w:noProof/>
        </w:rPr>
        <w:t>such</w:t>
      </w:r>
      <w:r w:rsidR="00D42014" w:rsidRPr="00DF5C23">
        <w:rPr>
          <w:noProof/>
        </w:rPr>
        <w:t xml:space="preserve"> </w:t>
      </w:r>
      <w:r w:rsidR="004A1643" w:rsidRPr="00DF5C23">
        <w:rPr>
          <w:noProof/>
        </w:rPr>
        <w:t>delegated act</w:t>
      </w:r>
      <w:r w:rsidR="007D4BFF" w:rsidRPr="00DF5C23">
        <w:rPr>
          <w:noProof/>
        </w:rPr>
        <w:t>s</w:t>
      </w:r>
      <w:r w:rsidR="00646885" w:rsidRPr="00DF5C23">
        <w:rPr>
          <w:noProof/>
        </w:rPr>
        <w:t xml:space="preserve">. </w:t>
      </w:r>
    </w:p>
    <w:p w14:paraId="1249160F" w14:textId="743C78C2" w:rsidR="001A6523" w:rsidRPr="001A6523" w:rsidRDefault="001A6523" w:rsidP="001A6523">
      <w:pPr>
        <w:pStyle w:val="Text1"/>
        <w:rPr>
          <w:noProof/>
        </w:rPr>
      </w:pPr>
      <w:r w:rsidRPr="23DF1179">
        <w:rPr>
          <w:noProof/>
          <w:lang w:val="en-IE"/>
        </w:rPr>
        <w:t>Member States shall not prohibit, restrict or impede the placing on the market or putting into service of products that comply with the information requirements set out in delegated acts adopted pursuant to Article 4 for reasons of non-compliance with national information requirements relating to product parameters referred to in Annex I covered by information requirements included such delegated ac</w:t>
      </w:r>
      <w:r w:rsidRPr="23DF1179">
        <w:rPr>
          <w:noProof/>
          <w:color w:val="000000"/>
          <w:lang w:val="en-IE"/>
        </w:rPr>
        <w:t>t</w:t>
      </w:r>
      <w:r w:rsidRPr="23DF1179">
        <w:rPr>
          <w:noProof/>
          <w:lang w:val="en-IE"/>
        </w:rPr>
        <w:t>.</w:t>
      </w:r>
    </w:p>
    <w:p w14:paraId="2C3A5650" w14:textId="429B8563" w:rsidR="00646885" w:rsidRPr="00DF5C23" w:rsidRDefault="004F5E59" w:rsidP="004F5E59">
      <w:pPr>
        <w:pStyle w:val="ManualNumPar1"/>
        <w:rPr>
          <w:noProof/>
          <w:lang w:val="en-IE" w:eastAsia="fr-BE"/>
        </w:rPr>
      </w:pPr>
      <w:r w:rsidRPr="004F5E59">
        <w:t>3.</w:t>
      </w:r>
      <w:r w:rsidRPr="004F5E59">
        <w:tab/>
      </w:r>
      <w:r w:rsidR="001C6360">
        <w:rPr>
          <w:noProof/>
          <w:lang w:val="en-IE" w:eastAsia="fr-BE"/>
        </w:rPr>
        <w:t>Paragraph 2</w:t>
      </w:r>
      <w:r w:rsidR="0681B866" w:rsidRPr="00DF5C23">
        <w:rPr>
          <w:noProof/>
          <w:lang w:val="en-IE" w:eastAsia="fr-BE"/>
        </w:rPr>
        <w:t xml:space="preserve"> </w:t>
      </w:r>
      <w:r w:rsidR="00FB5188" w:rsidRPr="00DF5C23">
        <w:rPr>
          <w:noProof/>
          <w:lang w:val="en-IE" w:eastAsia="fr-BE"/>
        </w:rPr>
        <w:t>shall</w:t>
      </w:r>
      <w:r w:rsidR="0681B866" w:rsidRPr="00DF5C23">
        <w:rPr>
          <w:noProof/>
          <w:lang w:val="en-IE" w:eastAsia="fr-BE"/>
        </w:rPr>
        <w:t xml:space="preserve"> not prevent Member States from setting </w:t>
      </w:r>
      <w:r w:rsidR="00FB5188" w:rsidRPr="00DF5C23">
        <w:rPr>
          <w:noProof/>
          <w:lang w:val="en-IE" w:eastAsia="fr-BE"/>
        </w:rPr>
        <w:t xml:space="preserve">minimum </w:t>
      </w:r>
      <w:r w:rsidR="0681B866" w:rsidRPr="00DF5C23">
        <w:rPr>
          <w:noProof/>
          <w:lang w:val="en-IE" w:eastAsia="fr-BE"/>
        </w:rPr>
        <w:t xml:space="preserve">energy performance requirements </w:t>
      </w:r>
      <w:r w:rsidR="00FB5188" w:rsidRPr="00DF5C23">
        <w:rPr>
          <w:noProof/>
          <w:lang w:val="en-IE" w:eastAsia="fr-BE"/>
        </w:rPr>
        <w:t xml:space="preserve">in accordance with Article </w:t>
      </w:r>
      <w:r w:rsidR="00DA1886" w:rsidRPr="00DF5C23">
        <w:rPr>
          <w:noProof/>
          <w:lang w:val="en-IE" w:eastAsia="fr-BE"/>
        </w:rPr>
        <w:t>4</w:t>
      </w:r>
      <w:r w:rsidR="00FB5188" w:rsidRPr="00DF5C23">
        <w:rPr>
          <w:noProof/>
          <w:lang w:val="en-IE" w:eastAsia="fr-BE"/>
        </w:rPr>
        <w:t xml:space="preserve">(1) </w:t>
      </w:r>
      <w:r w:rsidR="0681B866" w:rsidRPr="00DF5C23">
        <w:rPr>
          <w:noProof/>
          <w:lang w:val="en-IE" w:eastAsia="fr-BE"/>
        </w:rPr>
        <w:t xml:space="preserve">and system requirements in accordance with Article </w:t>
      </w:r>
      <w:r w:rsidR="00DA1886" w:rsidRPr="00DF5C23">
        <w:rPr>
          <w:noProof/>
          <w:lang w:val="en-IE" w:eastAsia="fr-BE"/>
        </w:rPr>
        <w:t>8</w:t>
      </w:r>
      <w:r w:rsidR="00FB5188" w:rsidRPr="00DF5C23">
        <w:rPr>
          <w:noProof/>
          <w:lang w:val="en-IE" w:eastAsia="fr-BE"/>
        </w:rPr>
        <w:t xml:space="preserve"> of </w:t>
      </w:r>
      <w:r w:rsidR="0681B866" w:rsidRPr="00DF5C23">
        <w:rPr>
          <w:noProof/>
          <w:lang w:val="en-IE" w:eastAsia="fr-BE"/>
        </w:rPr>
        <w:t>Directive 2010/31/EU</w:t>
      </w:r>
      <w:r w:rsidR="00DA1886" w:rsidRPr="00DF5C23">
        <w:rPr>
          <w:noProof/>
          <w:lang w:val="en-IE" w:eastAsia="fr-BE"/>
        </w:rPr>
        <w:t xml:space="preserve"> of the European Parliament and of the Council</w:t>
      </w:r>
      <w:r w:rsidR="00DA1886" w:rsidRPr="00DF5C23">
        <w:rPr>
          <w:rStyle w:val="FootnoteReference0"/>
          <w:noProof/>
          <w:lang w:val="en-IE" w:eastAsia="fr-BE"/>
        </w:rPr>
        <w:footnoteReference w:id="86"/>
      </w:r>
      <w:r w:rsidR="0681B866" w:rsidRPr="00DF5C23">
        <w:rPr>
          <w:noProof/>
          <w:lang w:val="en-IE" w:eastAsia="fr-BE"/>
        </w:rPr>
        <w:t>.</w:t>
      </w:r>
    </w:p>
    <w:p w14:paraId="2C3A5651" w14:textId="1379CC33" w:rsidR="00DA5CBA" w:rsidRPr="00DF5C23" w:rsidRDefault="004F5E59" w:rsidP="004F5E59">
      <w:pPr>
        <w:pStyle w:val="ManualNumPar1"/>
        <w:rPr>
          <w:noProof/>
          <w:lang w:val="en-IE" w:eastAsia="fr-BE"/>
        </w:rPr>
      </w:pPr>
      <w:r w:rsidRPr="004F5E59">
        <w:t>4.</w:t>
      </w:r>
      <w:r w:rsidRPr="004F5E59">
        <w:tab/>
      </w:r>
      <w:r w:rsidR="00646885" w:rsidRPr="00DF5C23">
        <w:rPr>
          <w:noProof/>
          <w:lang w:val="en-IE" w:eastAsia="fr-BE"/>
        </w:rPr>
        <w:t xml:space="preserve">Member States shall not prohibit, restrict or impede the placing on the market or putting into service of products on grounds of </w:t>
      </w:r>
      <w:r w:rsidR="00BD5EC4" w:rsidRPr="00DF5C23">
        <w:rPr>
          <w:noProof/>
          <w:lang w:val="en-IE" w:eastAsia="fr-BE"/>
        </w:rPr>
        <w:t>non-compliance with</w:t>
      </w:r>
      <w:r w:rsidR="005400DA" w:rsidRPr="00DF5C23">
        <w:rPr>
          <w:noProof/>
          <w:lang w:val="en-IE" w:eastAsia="fr-BE"/>
        </w:rPr>
        <w:t xml:space="preserve"> national </w:t>
      </w:r>
      <w:r w:rsidR="00646885" w:rsidRPr="00DF5C23">
        <w:rPr>
          <w:noProof/>
          <w:lang w:val="en-IE" w:eastAsia="fr-BE"/>
        </w:rPr>
        <w:t xml:space="preserve">requirements relating to </w:t>
      </w:r>
      <w:r w:rsidR="00214C38" w:rsidRPr="00DF5C23">
        <w:rPr>
          <w:noProof/>
        </w:rPr>
        <w:t xml:space="preserve">product </w:t>
      </w:r>
      <w:r w:rsidR="00646885" w:rsidRPr="00DF5C23">
        <w:rPr>
          <w:noProof/>
          <w:lang w:val="en-IE" w:eastAsia="fr-BE"/>
        </w:rPr>
        <w:t xml:space="preserve">parameters </w:t>
      </w:r>
      <w:r w:rsidR="00244960" w:rsidRPr="00DF5C23">
        <w:rPr>
          <w:noProof/>
          <w:lang w:val="en-IE" w:eastAsia="fr-BE"/>
        </w:rPr>
        <w:t xml:space="preserve">referred to in </w:t>
      </w:r>
      <w:r w:rsidR="00646885" w:rsidRPr="00DF5C23">
        <w:rPr>
          <w:noProof/>
          <w:lang w:val="en-IE" w:eastAsia="fr-BE"/>
        </w:rPr>
        <w:t>Annex I</w:t>
      </w:r>
      <w:r w:rsidR="00C15A29" w:rsidRPr="00DF5C23">
        <w:rPr>
          <w:noProof/>
          <w:lang w:val="en-IE" w:eastAsia="fr-BE"/>
        </w:rPr>
        <w:t>,</w:t>
      </w:r>
      <w:r w:rsidR="00646885" w:rsidRPr="00DF5C23">
        <w:rPr>
          <w:noProof/>
          <w:lang w:val="en-IE" w:eastAsia="fr-BE"/>
        </w:rPr>
        <w:t xml:space="preserve"> for which </w:t>
      </w:r>
      <w:r w:rsidR="004A1643" w:rsidRPr="00DF5C23">
        <w:rPr>
          <w:noProof/>
          <w:lang w:val="en-IE" w:eastAsia="fr-BE"/>
        </w:rPr>
        <w:t>a delegated</w:t>
      </w:r>
      <w:r w:rsidR="000D7D5A">
        <w:rPr>
          <w:noProof/>
          <w:lang w:val="en-IE" w:eastAsia="fr-BE"/>
        </w:rPr>
        <w:t xml:space="preserve"> act</w:t>
      </w:r>
      <w:r w:rsidR="004A1643" w:rsidRPr="00DF5C23">
        <w:rPr>
          <w:noProof/>
          <w:lang w:val="en-IE" w:eastAsia="fr-BE"/>
        </w:rPr>
        <w:t xml:space="preserve"> </w:t>
      </w:r>
      <w:r w:rsidR="00F154EB" w:rsidRPr="00DF5C23">
        <w:rPr>
          <w:noProof/>
          <w:lang w:val="en-IE" w:eastAsia="fr-BE"/>
        </w:rPr>
        <w:t>adopted pursuant</w:t>
      </w:r>
      <w:r w:rsidR="004A1643" w:rsidRPr="00DF5C23">
        <w:rPr>
          <w:noProof/>
          <w:lang w:val="en-IE" w:eastAsia="fr-BE"/>
        </w:rPr>
        <w:t xml:space="preserve"> to Article </w:t>
      </w:r>
      <w:r w:rsidR="00850318" w:rsidRPr="00DF5C23">
        <w:rPr>
          <w:noProof/>
          <w:lang w:val="en-IE" w:eastAsia="fr-BE"/>
        </w:rPr>
        <w:t>4</w:t>
      </w:r>
      <w:r w:rsidR="004A1643" w:rsidRPr="00DF5C23">
        <w:rPr>
          <w:noProof/>
          <w:lang w:val="en-IE" w:eastAsia="fr-BE"/>
        </w:rPr>
        <w:t xml:space="preserve"> </w:t>
      </w:r>
      <w:r w:rsidR="00646885" w:rsidRPr="00DF5C23">
        <w:rPr>
          <w:noProof/>
          <w:lang w:val="en-IE" w:eastAsia="fr-BE"/>
        </w:rPr>
        <w:t xml:space="preserve">provides that no </w:t>
      </w:r>
      <w:r w:rsidR="001A6523">
        <w:rPr>
          <w:noProof/>
          <w:lang w:val="en-IE" w:eastAsia="fr-BE"/>
        </w:rPr>
        <w:t>performance, no information or neither performance nor information</w:t>
      </w:r>
      <w:r w:rsidR="00646885" w:rsidRPr="00DF5C23">
        <w:rPr>
          <w:noProof/>
          <w:lang w:val="en-IE" w:eastAsia="fr-BE"/>
        </w:rPr>
        <w:t xml:space="preserve"> requirement</w:t>
      </w:r>
      <w:r w:rsidR="001A6523">
        <w:rPr>
          <w:noProof/>
          <w:lang w:val="en-IE" w:eastAsia="fr-BE"/>
        </w:rPr>
        <w:t>s</w:t>
      </w:r>
      <w:r w:rsidR="00646885" w:rsidRPr="00DF5C23">
        <w:rPr>
          <w:noProof/>
          <w:lang w:val="en-IE" w:eastAsia="fr-BE"/>
        </w:rPr>
        <w:t xml:space="preserve"> </w:t>
      </w:r>
      <w:r w:rsidR="001A6523">
        <w:rPr>
          <w:noProof/>
          <w:lang w:val="en-IE" w:eastAsia="fr-BE"/>
        </w:rPr>
        <w:t>are</w:t>
      </w:r>
      <w:r w:rsidR="001A6523" w:rsidRPr="00DF5C23">
        <w:rPr>
          <w:noProof/>
          <w:lang w:val="en-IE" w:eastAsia="fr-BE"/>
        </w:rPr>
        <w:t xml:space="preserve"> </w:t>
      </w:r>
      <w:r w:rsidR="00646885" w:rsidRPr="00DF5C23">
        <w:rPr>
          <w:noProof/>
          <w:lang w:val="en-IE" w:eastAsia="fr-BE"/>
        </w:rPr>
        <w:t>necessary.</w:t>
      </w:r>
    </w:p>
    <w:p w14:paraId="2C3A5652" w14:textId="27556E6B" w:rsidR="00646885" w:rsidRPr="00DF5C23" w:rsidRDefault="004F5E59" w:rsidP="004F5E59">
      <w:pPr>
        <w:pStyle w:val="ManualNumPar1"/>
        <w:rPr>
          <w:noProof/>
          <w:lang w:val="en-IE" w:eastAsia="fr-BE"/>
        </w:rPr>
      </w:pPr>
      <w:r w:rsidRPr="004F5E59">
        <w:t>5.</w:t>
      </w:r>
      <w:r w:rsidRPr="004F5E59">
        <w:tab/>
      </w:r>
      <w:r w:rsidR="00507D9B" w:rsidRPr="00DF5C23">
        <w:rPr>
          <w:noProof/>
          <w:lang w:val="en-IE" w:eastAsia="fr-BE"/>
        </w:rPr>
        <w:t xml:space="preserve">At trade fair, exhibitions and similar events, </w:t>
      </w:r>
      <w:r w:rsidR="0681B866" w:rsidRPr="00DF5C23">
        <w:rPr>
          <w:noProof/>
          <w:lang w:val="en-IE" w:eastAsia="fr-BE"/>
        </w:rPr>
        <w:t xml:space="preserve">Member States shall not prevent the </w:t>
      </w:r>
      <w:r w:rsidR="00507D9B" w:rsidRPr="00DF5C23">
        <w:rPr>
          <w:noProof/>
          <w:lang w:val="en-IE" w:eastAsia="fr-BE"/>
        </w:rPr>
        <w:t xml:space="preserve">showing </w:t>
      </w:r>
      <w:r w:rsidR="0681B866" w:rsidRPr="00DF5C23">
        <w:rPr>
          <w:noProof/>
          <w:lang w:val="en-IE" w:eastAsia="fr-BE"/>
        </w:rPr>
        <w:t xml:space="preserve">of products </w:t>
      </w:r>
      <w:r w:rsidR="007D4BFF" w:rsidRPr="00DF5C23">
        <w:rPr>
          <w:noProof/>
          <w:lang w:val="en-IE" w:eastAsia="fr-BE"/>
        </w:rPr>
        <w:t>that do not co</w:t>
      </w:r>
      <w:r w:rsidR="00507D9B" w:rsidRPr="00DF5C23">
        <w:rPr>
          <w:noProof/>
          <w:lang w:val="en-IE" w:eastAsia="fr-BE"/>
        </w:rPr>
        <w:t>mply</w:t>
      </w:r>
      <w:r w:rsidR="007D4BFF" w:rsidRPr="00DF5C23">
        <w:rPr>
          <w:noProof/>
          <w:lang w:val="en-IE" w:eastAsia="fr-BE"/>
        </w:rPr>
        <w:t xml:space="preserve"> with delegated acts </w:t>
      </w:r>
      <w:r w:rsidR="00850318" w:rsidRPr="00DF5C23">
        <w:rPr>
          <w:noProof/>
          <w:lang w:val="en-IE" w:eastAsia="fr-BE"/>
        </w:rPr>
        <w:t>adopted pursuant to Article 4</w:t>
      </w:r>
      <w:r w:rsidR="007D4BFF" w:rsidRPr="00DF5C23">
        <w:rPr>
          <w:noProof/>
          <w:lang w:val="en-IE" w:eastAsia="fr-BE"/>
        </w:rPr>
        <w:t xml:space="preserve">, </w:t>
      </w:r>
      <w:r w:rsidR="00507D9B" w:rsidRPr="00DF5C23">
        <w:rPr>
          <w:noProof/>
          <w:lang w:val="en-IE" w:eastAsia="fr-BE"/>
        </w:rPr>
        <w:t xml:space="preserve">provided that a visible sign clearly indicates that such products do not comply and that they are not for sale until they have been </w:t>
      </w:r>
      <w:r w:rsidR="0681B866" w:rsidRPr="00DF5C23">
        <w:rPr>
          <w:noProof/>
          <w:lang w:val="en-IE" w:eastAsia="fr-BE"/>
        </w:rPr>
        <w:t>brought into conformity.</w:t>
      </w:r>
    </w:p>
    <w:p w14:paraId="2C3A5653" w14:textId="77777777" w:rsidR="00AD4B9A" w:rsidRPr="00DF5C23" w:rsidRDefault="00AD4B9A" w:rsidP="00AD4B9A">
      <w:pPr>
        <w:pStyle w:val="ManualHeading1"/>
        <w:jc w:val="center"/>
        <w:rPr>
          <w:noProof/>
        </w:rPr>
      </w:pPr>
      <w:r w:rsidRPr="00DF5C23">
        <w:rPr>
          <w:noProof/>
        </w:rPr>
        <w:t>Chapter II - Ecodesign requirements</w:t>
      </w:r>
    </w:p>
    <w:p w14:paraId="2C3A5654" w14:textId="77777777" w:rsidR="00B57782" w:rsidRPr="00DF5C23" w:rsidRDefault="00B57782" w:rsidP="00B57782">
      <w:pPr>
        <w:pStyle w:val="Titrearticle"/>
        <w:rPr>
          <w:noProof/>
          <w:lang w:val="en-IE" w:eastAsia="fr-BE"/>
        </w:rPr>
      </w:pPr>
      <w:r w:rsidRPr="00DF5C23">
        <w:rPr>
          <w:noProof/>
          <w:lang w:val="en-IE" w:eastAsia="fr-BE"/>
        </w:rPr>
        <w:t xml:space="preserve">Article </w:t>
      </w:r>
      <w:r w:rsidR="00AF17E7" w:rsidRPr="00DF5C23">
        <w:rPr>
          <w:noProof/>
          <w:lang w:val="en-IE" w:eastAsia="fr-BE"/>
        </w:rPr>
        <w:t>4</w:t>
      </w:r>
      <w:r w:rsidRPr="00DF5C23">
        <w:rPr>
          <w:noProof/>
          <w:lang w:val="en-IE" w:eastAsia="fr-BE"/>
        </w:rPr>
        <w:t xml:space="preserve"> </w:t>
      </w:r>
      <w:r w:rsidRPr="00DF5C23">
        <w:rPr>
          <w:noProof/>
        </w:rPr>
        <w:br/>
      </w:r>
      <w:r w:rsidRPr="00DF5C23">
        <w:rPr>
          <w:noProof/>
          <w:lang w:val="en-IE" w:eastAsia="fr-BE"/>
        </w:rPr>
        <w:t>Empowerments to adopt delegated acts</w:t>
      </w:r>
    </w:p>
    <w:p w14:paraId="2C3A5655" w14:textId="65A02393" w:rsidR="00B57782" w:rsidRPr="00DF5C23" w:rsidRDefault="00B57782" w:rsidP="00811441">
      <w:pPr>
        <w:rPr>
          <w:noProof/>
          <w:lang w:val="en-IE" w:eastAsia="fr-BE"/>
        </w:rPr>
      </w:pPr>
      <w:r w:rsidRPr="00DF5C23">
        <w:rPr>
          <w:noProof/>
          <w:lang w:val="en-IE" w:eastAsia="fr-BE"/>
        </w:rPr>
        <w:t>The Commission is empowered to adopt delegated acts in accordance with Article 6</w:t>
      </w:r>
      <w:r w:rsidR="00B12939" w:rsidRPr="00DF5C23">
        <w:rPr>
          <w:noProof/>
          <w:lang w:val="en-IE" w:eastAsia="fr-BE"/>
        </w:rPr>
        <w:t>6</w:t>
      </w:r>
      <w:r w:rsidRPr="00DF5C23">
        <w:rPr>
          <w:noProof/>
          <w:lang w:val="en-IE" w:eastAsia="fr-BE"/>
        </w:rPr>
        <w:t xml:space="preserve"> to supplement this Regulation by establishing ecodesign requirements</w:t>
      </w:r>
      <w:r w:rsidR="00D332B6" w:rsidRPr="00DF5C23">
        <w:rPr>
          <w:noProof/>
          <w:lang w:val="en-IE" w:eastAsia="fr-BE"/>
        </w:rPr>
        <w:t xml:space="preserve"> </w:t>
      </w:r>
      <w:r w:rsidRPr="00DF5C23">
        <w:rPr>
          <w:noProof/>
          <w:lang w:val="en-IE" w:eastAsia="fr-BE"/>
        </w:rPr>
        <w:t>for, or in relation to, products</w:t>
      </w:r>
      <w:r w:rsidR="00E3422A" w:rsidRPr="00DF5C23">
        <w:rPr>
          <w:noProof/>
          <w:lang w:val="en-IE" w:eastAsia="fr-BE"/>
        </w:rPr>
        <w:t xml:space="preserve"> to improve their environmental sustainability</w:t>
      </w:r>
      <w:r w:rsidRPr="00DF5C23">
        <w:rPr>
          <w:noProof/>
          <w:lang w:val="en-IE" w:eastAsia="fr-BE"/>
        </w:rPr>
        <w:t>. Those requirements shall include the elements listed in Annex VI and shall be established in accordance with Articles 5, 6 and 7 and Chapter III.</w:t>
      </w:r>
      <w:r w:rsidR="00F154EB" w:rsidRPr="00DF5C23">
        <w:rPr>
          <w:noProof/>
          <w:lang w:val="en-IE" w:eastAsia="fr-BE"/>
        </w:rPr>
        <w:t xml:space="preserve"> The empowerment to adopt ecodesign requirements includes the power to establish that no </w:t>
      </w:r>
      <w:r w:rsidR="001A6523" w:rsidRPr="001A6523">
        <w:rPr>
          <w:noProof/>
          <w:lang w:val="en-IE"/>
        </w:rPr>
        <w:t xml:space="preserve">performance requirements, no information requirements or neither performance nor information requirements </w:t>
      </w:r>
      <w:r w:rsidR="00F154EB" w:rsidRPr="00DF5C23">
        <w:rPr>
          <w:noProof/>
          <w:lang w:val="en-IE" w:eastAsia="fr-BE"/>
        </w:rPr>
        <w:t xml:space="preserve">are necessary for certain specified </w:t>
      </w:r>
      <w:r w:rsidR="00214C38" w:rsidRPr="00DF5C23">
        <w:rPr>
          <w:noProof/>
        </w:rPr>
        <w:t xml:space="preserve">product </w:t>
      </w:r>
      <w:r w:rsidR="00F154EB" w:rsidRPr="00DF5C23">
        <w:rPr>
          <w:noProof/>
          <w:lang w:val="en-IE" w:eastAsia="fr-BE"/>
        </w:rPr>
        <w:t>parameters referred to in Annex I.</w:t>
      </w:r>
    </w:p>
    <w:p w14:paraId="2C3A5656" w14:textId="77777777" w:rsidR="00121761" w:rsidRPr="00DF5C23" w:rsidRDefault="00121761" w:rsidP="00811441">
      <w:pPr>
        <w:rPr>
          <w:noProof/>
          <w:lang w:val="en-IE" w:eastAsia="fr-BE"/>
        </w:rPr>
      </w:pPr>
      <w:r w:rsidRPr="00DF5C23">
        <w:rPr>
          <w:noProof/>
          <w:lang w:val="en-IE" w:eastAsia="fr-BE"/>
        </w:rPr>
        <w:t xml:space="preserve">When establishing ecodesign requirements </w:t>
      </w:r>
      <w:r w:rsidR="00793608" w:rsidRPr="00DF5C23">
        <w:rPr>
          <w:noProof/>
          <w:lang w:val="en-IE" w:eastAsia="fr-BE"/>
        </w:rPr>
        <w:t>in delegated acts referred to in the</w:t>
      </w:r>
      <w:r w:rsidRPr="00DF5C23">
        <w:rPr>
          <w:noProof/>
          <w:lang w:val="en-IE" w:eastAsia="fr-BE"/>
        </w:rPr>
        <w:t xml:space="preserve"> first subparagraph, the Commission shall also supplement this Regulation by</w:t>
      </w:r>
      <w:r w:rsidRPr="00DF5C23">
        <w:rPr>
          <w:noProof/>
        </w:rPr>
        <w:t xml:space="preserve"> </w:t>
      </w:r>
      <w:r w:rsidRPr="00DF5C23">
        <w:rPr>
          <w:noProof/>
          <w:lang w:val="en-IE" w:eastAsia="fr-BE"/>
        </w:rPr>
        <w:t>specifying the applicable conformity assessment procedures from among the modules set out in Annex IV to this Regulation and Annex II to Decision No 768/2008/EC, with the adaptations necessary in view of the product or ecodesign requirements concerned, in accordance with Article 3</w:t>
      </w:r>
      <w:r w:rsidR="00B12939" w:rsidRPr="00DF5C23">
        <w:rPr>
          <w:noProof/>
          <w:lang w:val="en-IE" w:eastAsia="fr-BE"/>
        </w:rPr>
        <w:t>6</w:t>
      </w:r>
      <w:r w:rsidR="00FA6536" w:rsidRPr="00DF5C23">
        <w:rPr>
          <w:noProof/>
          <w:lang w:val="en-IE" w:eastAsia="fr-BE"/>
        </w:rPr>
        <w:t>.</w:t>
      </w:r>
    </w:p>
    <w:p w14:paraId="2C3A5657" w14:textId="77777777" w:rsidR="00B57782" w:rsidRPr="00DF5C23" w:rsidRDefault="00121761" w:rsidP="00811441">
      <w:pPr>
        <w:rPr>
          <w:noProof/>
          <w:lang w:val="en-IE" w:eastAsia="fr-BE"/>
        </w:rPr>
      </w:pPr>
      <w:r w:rsidRPr="00DF5C23">
        <w:rPr>
          <w:noProof/>
          <w:lang w:val="en-IE" w:eastAsia="fr-BE"/>
        </w:rPr>
        <w:t>D</w:t>
      </w:r>
      <w:r w:rsidR="00B57782" w:rsidRPr="00DF5C23">
        <w:rPr>
          <w:noProof/>
          <w:lang w:val="en-IE" w:eastAsia="fr-BE"/>
        </w:rPr>
        <w:t>elegated acts</w:t>
      </w:r>
      <w:r w:rsidRPr="00DF5C23">
        <w:rPr>
          <w:noProof/>
          <w:lang w:val="en-IE" w:eastAsia="fr-BE"/>
        </w:rPr>
        <w:t xml:space="preserve"> </w:t>
      </w:r>
      <w:r w:rsidR="00793608" w:rsidRPr="00DF5C23">
        <w:rPr>
          <w:noProof/>
          <w:lang w:val="en-IE" w:eastAsia="fr-BE"/>
        </w:rPr>
        <w:t>referred to in</w:t>
      </w:r>
      <w:r w:rsidRPr="00DF5C23">
        <w:rPr>
          <w:noProof/>
          <w:lang w:val="en-IE" w:eastAsia="fr-BE"/>
        </w:rPr>
        <w:t xml:space="preserve"> the first </w:t>
      </w:r>
      <w:r w:rsidR="00DB3F29" w:rsidRPr="00DF5C23">
        <w:rPr>
          <w:noProof/>
          <w:lang w:val="en-IE" w:eastAsia="fr-BE"/>
        </w:rPr>
        <w:t>subparagraph</w:t>
      </w:r>
      <w:r w:rsidR="00B57782" w:rsidRPr="00DF5C23">
        <w:rPr>
          <w:noProof/>
          <w:lang w:val="en-IE" w:eastAsia="fr-BE"/>
        </w:rPr>
        <w:t xml:space="preserve"> may also</w:t>
      </w:r>
      <w:r w:rsidR="009E584E" w:rsidRPr="00DF5C23">
        <w:rPr>
          <w:noProof/>
          <w:lang w:val="en-IE" w:eastAsia="fr-BE"/>
        </w:rPr>
        <w:t xml:space="preserve"> supplement this Regulation by</w:t>
      </w:r>
      <w:r w:rsidR="00B57782" w:rsidRPr="00DF5C23">
        <w:rPr>
          <w:noProof/>
          <w:lang w:val="en-IE" w:eastAsia="fr-BE"/>
        </w:rPr>
        <w:t>:</w:t>
      </w:r>
    </w:p>
    <w:p w14:paraId="2C3A5658" w14:textId="044D5F80" w:rsidR="00DB3F29" w:rsidRPr="00DF5C23" w:rsidRDefault="004F5E59" w:rsidP="004F5E59">
      <w:pPr>
        <w:pStyle w:val="Point0"/>
        <w:rPr>
          <w:noProof/>
          <w:lang w:val="en-IE" w:eastAsia="fr-BE"/>
        </w:rPr>
      </w:pPr>
      <w:r w:rsidRPr="004F5E59">
        <w:t>(a)</w:t>
      </w:r>
      <w:r w:rsidRPr="004F5E59">
        <w:tab/>
      </w:r>
      <w:r w:rsidR="00E3422A" w:rsidRPr="00DF5C23">
        <w:rPr>
          <w:noProof/>
          <w:lang w:val="en-IE" w:eastAsia="fr-BE"/>
        </w:rPr>
        <w:t>requiring</w:t>
      </w:r>
      <w:r w:rsidR="00DB3F29" w:rsidRPr="00DF5C23">
        <w:rPr>
          <w:noProof/>
          <w:lang w:val="en-IE" w:eastAsia="fr-BE"/>
        </w:rPr>
        <w:t xml:space="preserve"> manufacturers, their authorised representatives or importers to make parts of the technical documentation related to the </w:t>
      </w:r>
      <w:r w:rsidR="00DB3F29" w:rsidRPr="00DF5C23">
        <w:rPr>
          <w:noProof/>
          <w:lang w:eastAsia="fr-BE"/>
        </w:rPr>
        <w:t xml:space="preserve">relevant product </w:t>
      </w:r>
      <w:r w:rsidR="00DB3F29" w:rsidRPr="00DF5C23">
        <w:rPr>
          <w:noProof/>
          <w:lang w:val="en-IE" w:eastAsia="fr-BE"/>
        </w:rPr>
        <w:t xml:space="preserve">digitally available to the Commission or market surveillance authorities without request, </w:t>
      </w:r>
      <w:r w:rsidR="00DB3F29" w:rsidRPr="00DF5C23">
        <w:rPr>
          <w:noProof/>
          <w:lang w:val="en-IE"/>
        </w:rPr>
        <w:t xml:space="preserve">in accordance with Article </w:t>
      </w:r>
      <w:r w:rsidR="00B12939" w:rsidRPr="00DF5C23">
        <w:rPr>
          <w:noProof/>
          <w:lang w:val="en-IE"/>
        </w:rPr>
        <w:t>30</w:t>
      </w:r>
      <w:r w:rsidR="00DB3F29" w:rsidRPr="00DF5C23">
        <w:rPr>
          <w:noProof/>
          <w:lang w:val="en-IE"/>
        </w:rPr>
        <w:t>(3);</w:t>
      </w:r>
    </w:p>
    <w:p w14:paraId="2C3A5659" w14:textId="264A1D28" w:rsidR="00944EFB" w:rsidRPr="00DF5C23" w:rsidDel="00A149F6" w:rsidRDefault="004F5E59" w:rsidP="004F5E59">
      <w:pPr>
        <w:pStyle w:val="Point0"/>
        <w:rPr>
          <w:noProof/>
          <w:lang w:val="en-IE" w:eastAsia="fr-BE"/>
        </w:rPr>
      </w:pPr>
      <w:r w:rsidRPr="004F5E59">
        <w:t>(b)</w:t>
      </w:r>
      <w:r w:rsidRPr="004F5E59">
        <w:tab/>
      </w:r>
      <w:r w:rsidR="00944EFB" w:rsidRPr="00DF5C23">
        <w:rPr>
          <w:noProof/>
          <w:lang w:val="en-IE" w:eastAsia="fr-BE"/>
        </w:rPr>
        <w:t xml:space="preserve">requiring manufacturers, their authorised representatives or importers to make available to the Commission information  on the quantities of a product covered by those delegated acts placed on the market or put into service, in accordance with Article </w:t>
      </w:r>
      <w:r w:rsidR="00B12939" w:rsidRPr="00DF5C23">
        <w:rPr>
          <w:noProof/>
          <w:lang w:val="en-IE" w:eastAsia="fr-BE"/>
        </w:rPr>
        <w:t>31</w:t>
      </w:r>
      <w:r w:rsidR="00944EFB" w:rsidRPr="00DF5C23">
        <w:rPr>
          <w:noProof/>
          <w:lang w:val="en-IE" w:eastAsia="fr-BE"/>
        </w:rPr>
        <w:t>(1);</w:t>
      </w:r>
    </w:p>
    <w:p w14:paraId="2C3A565A" w14:textId="1BB267F0" w:rsidR="00FA6536" w:rsidRPr="00DF5C23" w:rsidRDefault="004F5E59" w:rsidP="004F5E59">
      <w:pPr>
        <w:pStyle w:val="Point0"/>
        <w:rPr>
          <w:noProof/>
          <w:lang w:val="en-IE" w:eastAsia="fr-BE"/>
        </w:rPr>
      </w:pPr>
      <w:r w:rsidRPr="004F5E59">
        <w:t>(c)</w:t>
      </w:r>
      <w:r w:rsidRPr="004F5E59">
        <w:tab/>
      </w:r>
      <w:r w:rsidR="00A149F6" w:rsidRPr="00DF5C23">
        <w:rPr>
          <w:noProof/>
          <w:lang w:val="en-IE" w:eastAsia="fr-BE"/>
        </w:rPr>
        <w:t xml:space="preserve">requiring products placed on the market to be able to measure the energy they consume or their performance in relation to other relevant </w:t>
      </w:r>
      <w:r w:rsidR="00214C38" w:rsidRPr="00DF5C23">
        <w:rPr>
          <w:noProof/>
        </w:rPr>
        <w:t xml:space="preserve">product </w:t>
      </w:r>
      <w:r w:rsidR="00A149F6" w:rsidRPr="00DF5C23">
        <w:rPr>
          <w:noProof/>
          <w:lang w:val="en-IE" w:eastAsia="fr-BE"/>
        </w:rPr>
        <w:t xml:space="preserve">parameters referred to in Annex I while in use, in accordance with Article </w:t>
      </w:r>
      <w:r w:rsidR="00B12939" w:rsidRPr="00DF5C23">
        <w:rPr>
          <w:noProof/>
          <w:lang w:val="en-IE" w:eastAsia="fr-BE"/>
        </w:rPr>
        <w:t>31</w:t>
      </w:r>
      <w:r w:rsidR="00A149F6" w:rsidRPr="00DF5C23">
        <w:rPr>
          <w:noProof/>
          <w:lang w:val="en-IE" w:eastAsia="fr-BE"/>
        </w:rPr>
        <w:t>(2)</w:t>
      </w:r>
      <w:r w:rsidR="00B9321C" w:rsidRPr="00DF5C23">
        <w:rPr>
          <w:noProof/>
          <w:lang w:val="en-IE" w:eastAsia="fr-BE"/>
        </w:rPr>
        <w:t>;</w:t>
      </w:r>
      <w:r w:rsidR="00FA6536" w:rsidRPr="00DF5C23">
        <w:rPr>
          <w:noProof/>
          <w:lang w:val="en-IE" w:eastAsia="fr-BE"/>
        </w:rPr>
        <w:t xml:space="preserve"> </w:t>
      </w:r>
    </w:p>
    <w:p w14:paraId="2C3A565B" w14:textId="6A716812" w:rsidR="00486F34" w:rsidRPr="00DF5C23" w:rsidRDefault="004F5E59" w:rsidP="004F5E59">
      <w:pPr>
        <w:pStyle w:val="Point0"/>
        <w:rPr>
          <w:noProof/>
          <w:lang w:val="en-IE" w:eastAsia="fr-BE"/>
        </w:rPr>
      </w:pPr>
      <w:r w:rsidRPr="004F5E59">
        <w:t>(d)</w:t>
      </w:r>
      <w:r w:rsidRPr="004F5E59">
        <w:tab/>
      </w:r>
      <w:r w:rsidR="00FA6536" w:rsidRPr="00DF5C23">
        <w:rPr>
          <w:noProof/>
          <w:lang w:val="en-IE" w:eastAsia="fr-BE"/>
        </w:rPr>
        <w:t xml:space="preserve">requiring manufacturers, their authorised representatives or importers to </w:t>
      </w:r>
      <w:r w:rsidR="00B02976" w:rsidRPr="00DF5C23">
        <w:rPr>
          <w:noProof/>
          <w:lang w:val="en-IE" w:eastAsia="fr-BE"/>
        </w:rPr>
        <w:t xml:space="preserve">collect, anonymise, or </w:t>
      </w:r>
      <w:r w:rsidR="00FA6536" w:rsidRPr="00DF5C23">
        <w:rPr>
          <w:noProof/>
          <w:lang w:val="en-IE" w:eastAsia="fr-BE"/>
        </w:rPr>
        <w:t xml:space="preserve">report to the Commission the in-use data </w:t>
      </w:r>
      <w:r w:rsidR="00B02976" w:rsidRPr="00DF5C23">
        <w:rPr>
          <w:noProof/>
          <w:lang w:val="en-IE" w:eastAsia="fr-BE"/>
        </w:rPr>
        <w:t>referred to in</w:t>
      </w:r>
      <w:r w:rsidR="00FA6536" w:rsidRPr="00DF5C23">
        <w:rPr>
          <w:noProof/>
          <w:lang w:val="en-IE" w:eastAsia="fr-BE"/>
        </w:rPr>
        <w:t xml:space="preserve"> point (c), in accordance with Article </w:t>
      </w:r>
      <w:r w:rsidR="00B12939" w:rsidRPr="00DF5C23">
        <w:rPr>
          <w:noProof/>
          <w:lang w:val="en-IE" w:eastAsia="fr-BE"/>
        </w:rPr>
        <w:t>31</w:t>
      </w:r>
      <w:r w:rsidR="00FA6536" w:rsidRPr="00DF5C23">
        <w:rPr>
          <w:noProof/>
          <w:lang w:val="en-IE" w:eastAsia="fr-BE"/>
        </w:rPr>
        <w:t>(3);</w:t>
      </w:r>
    </w:p>
    <w:p w14:paraId="2C3A565C" w14:textId="3F7E46DD" w:rsidR="00B9321C" w:rsidRPr="00DF5C23" w:rsidRDefault="004F5E59" w:rsidP="004F5E59">
      <w:pPr>
        <w:pStyle w:val="Point0"/>
        <w:rPr>
          <w:noProof/>
          <w:lang w:val="en-IE" w:eastAsia="fr-BE"/>
        </w:rPr>
      </w:pPr>
      <w:r w:rsidRPr="004F5E59">
        <w:t>(e)</w:t>
      </w:r>
      <w:r w:rsidRPr="004F5E59">
        <w:tab/>
      </w:r>
      <w:r w:rsidR="00B9321C" w:rsidRPr="00DF5C23">
        <w:rPr>
          <w:noProof/>
          <w:lang w:val="en-IE" w:eastAsia="fr-BE"/>
        </w:rPr>
        <w:t xml:space="preserve">requiring </w:t>
      </w:r>
      <w:r w:rsidR="00B9321C" w:rsidRPr="00DF5C23">
        <w:rPr>
          <w:noProof/>
          <w:lang w:eastAsia="fr-BE"/>
        </w:rPr>
        <w:t>the use of online tools to calculate the performance of a product in relation to a product parameter referred to in Annex I</w:t>
      </w:r>
      <w:r w:rsidR="00FA6536" w:rsidRPr="00DF5C23">
        <w:rPr>
          <w:noProof/>
          <w:lang w:eastAsia="fr-BE"/>
        </w:rPr>
        <w:t>,</w:t>
      </w:r>
      <w:r w:rsidR="00B9321C" w:rsidRPr="00DF5C23">
        <w:rPr>
          <w:noProof/>
          <w:lang w:eastAsia="fr-BE"/>
        </w:rPr>
        <w:t xml:space="preserve"> in accordance with Article </w:t>
      </w:r>
      <w:r w:rsidR="00B12939" w:rsidRPr="00DF5C23">
        <w:rPr>
          <w:noProof/>
          <w:lang w:eastAsia="fr-BE"/>
        </w:rPr>
        <w:t>32</w:t>
      </w:r>
      <w:r w:rsidR="00B9321C" w:rsidRPr="00DF5C23">
        <w:rPr>
          <w:noProof/>
          <w:lang w:eastAsia="fr-BE"/>
        </w:rPr>
        <w:t xml:space="preserve">(2); </w:t>
      </w:r>
    </w:p>
    <w:p w14:paraId="2C3A565D" w14:textId="77E5A1D4" w:rsidR="00B9321C" w:rsidRPr="00DF5C23" w:rsidRDefault="004F5E59" w:rsidP="004F5E59">
      <w:pPr>
        <w:pStyle w:val="Point0"/>
        <w:rPr>
          <w:noProof/>
          <w:lang w:val="en-IE" w:eastAsia="fr-BE"/>
        </w:rPr>
      </w:pPr>
      <w:r w:rsidRPr="004F5E59">
        <w:t>(f)</w:t>
      </w:r>
      <w:r w:rsidRPr="004F5E59">
        <w:tab/>
      </w:r>
      <w:r w:rsidR="00B9321C" w:rsidRPr="00DF5C23">
        <w:rPr>
          <w:noProof/>
          <w:lang w:val="en-IE" w:eastAsia="fr-BE"/>
        </w:rPr>
        <w:t>specify</w:t>
      </w:r>
      <w:r w:rsidR="00912380" w:rsidRPr="00DF5C23">
        <w:rPr>
          <w:noProof/>
          <w:lang w:val="en-IE" w:eastAsia="fr-BE"/>
        </w:rPr>
        <w:t>ing</w:t>
      </w:r>
      <w:r w:rsidR="00B9321C" w:rsidRPr="00DF5C23">
        <w:rPr>
          <w:noProof/>
          <w:lang w:val="en-IE" w:eastAsia="fr-BE"/>
        </w:rPr>
        <w:t xml:space="preserve"> </w:t>
      </w:r>
      <w:r w:rsidR="00B9321C" w:rsidRPr="00DF5C23">
        <w:rPr>
          <w:noProof/>
          <w:lang w:val="en-IE"/>
        </w:rPr>
        <w:t xml:space="preserve">alternative rules on the declaration of conformity or markings indicating conformity with </w:t>
      </w:r>
      <w:r w:rsidR="00B9321C" w:rsidRPr="00DF5C23">
        <w:rPr>
          <w:noProof/>
          <w:lang w:val="en-IE" w:eastAsia="fr-BE"/>
        </w:rPr>
        <w:t xml:space="preserve">ecodesign </w:t>
      </w:r>
      <w:r w:rsidR="004C191B" w:rsidRPr="00DF5C23">
        <w:rPr>
          <w:noProof/>
          <w:lang w:val="en-IE" w:eastAsia="fr-BE"/>
        </w:rPr>
        <w:t>requirements</w:t>
      </w:r>
      <w:r w:rsidR="00B12939" w:rsidRPr="00DF5C23">
        <w:rPr>
          <w:noProof/>
          <w:lang w:val="en-IE" w:eastAsia="fr-BE"/>
        </w:rPr>
        <w:t xml:space="preserve"> </w:t>
      </w:r>
      <w:r w:rsidR="00793608" w:rsidRPr="00DF5C23">
        <w:rPr>
          <w:noProof/>
          <w:lang w:val="en-IE" w:eastAsia="fr-BE"/>
        </w:rPr>
        <w:t>by way of</w:t>
      </w:r>
      <w:r w:rsidR="00B12939" w:rsidRPr="00DF5C23">
        <w:rPr>
          <w:noProof/>
          <w:lang w:val="en-IE" w:eastAsia="fr-BE"/>
        </w:rPr>
        <w:t xml:space="preserve"> derogation from Articles 37 and 39</w:t>
      </w:r>
      <w:r w:rsidR="00B9321C" w:rsidRPr="00DF5C23">
        <w:rPr>
          <w:noProof/>
          <w:lang w:val="en-IE" w:eastAsia="fr-BE"/>
        </w:rPr>
        <w:t>,</w:t>
      </w:r>
      <w:r w:rsidR="00B9321C" w:rsidRPr="00DF5C23">
        <w:rPr>
          <w:noProof/>
          <w:lang w:val="en-IE"/>
        </w:rPr>
        <w:t xml:space="preserve"> in accordance with Article </w:t>
      </w:r>
      <w:r w:rsidR="00B12939" w:rsidRPr="00DF5C23">
        <w:rPr>
          <w:noProof/>
          <w:lang w:val="en-IE" w:eastAsia="fr-BE"/>
        </w:rPr>
        <w:t>40</w:t>
      </w:r>
      <w:r w:rsidR="00B9321C" w:rsidRPr="00DF5C23">
        <w:rPr>
          <w:noProof/>
          <w:lang w:val="en-IE" w:eastAsia="fr-BE"/>
        </w:rPr>
        <w:t>;</w:t>
      </w:r>
    </w:p>
    <w:p w14:paraId="2C3A565E" w14:textId="1D5F9BB8" w:rsidR="00F45C32" w:rsidRPr="00DF5C23" w:rsidRDefault="004F5E59" w:rsidP="004F5E59">
      <w:pPr>
        <w:pStyle w:val="Point0"/>
        <w:rPr>
          <w:noProof/>
          <w:lang w:val="en-IE" w:eastAsia="fr-BE"/>
        </w:rPr>
      </w:pPr>
      <w:r w:rsidRPr="004F5E59">
        <w:t>(g)</w:t>
      </w:r>
      <w:r w:rsidRPr="004F5E59">
        <w:tab/>
      </w:r>
      <w:r w:rsidR="00F45C32" w:rsidRPr="00DF5C23">
        <w:rPr>
          <w:noProof/>
          <w:lang w:val="en-IE" w:eastAsia="fr-BE"/>
        </w:rPr>
        <w:t xml:space="preserve">specifying rules to direct Member States incentives </w:t>
      </w:r>
      <w:r w:rsidR="00F45C32" w:rsidRPr="00DF5C23">
        <w:rPr>
          <w:noProof/>
          <w:lang w:val="en-IE"/>
        </w:rPr>
        <w:t xml:space="preserve">in accordance with Article </w:t>
      </w:r>
      <w:r w:rsidR="00F45C32" w:rsidRPr="00DF5C23">
        <w:rPr>
          <w:noProof/>
          <w:lang w:val="en-IE" w:eastAsia="fr-BE"/>
        </w:rPr>
        <w:t>5</w:t>
      </w:r>
      <w:r w:rsidR="00B12939" w:rsidRPr="00DF5C23">
        <w:rPr>
          <w:noProof/>
          <w:lang w:val="en-IE" w:eastAsia="fr-BE"/>
        </w:rPr>
        <w:t>7</w:t>
      </w:r>
      <w:r w:rsidR="00F45C32" w:rsidRPr="00DF5C23">
        <w:rPr>
          <w:noProof/>
          <w:lang w:val="en-IE" w:eastAsia="fr-BE"/>
        </w:rPr>
        <w:t xml:space="preserve">; </w:t>
      </w:r>
      <w:r w:rsidR="00F45C32" w:rsidRPr="00DF5C23" w:rsidDel="00702B3C">
        <w:rPr>
          <w:noProof/>
          <w:lang w:val="en-IE" w:eastAsia="fr-BE"/>
        </w:rPr>
        <w:t xml:space="preserve"> </w:t>
      </w:r>
    </w:p>
    <w:p w14:paraId="2C3A565F" w14:textId="19A9AD07" w:rsidR="00A149F6" w:rsidRPr="00DF5C23" w:rsidRDefault="004F5E59" w:rsidP="004F5E59">
      <w:pPr>
        <w:pStyle w:val="Point0"/>
        <w:rPr>
          <w:noProof/>
          <w:lang w:val="en-IE" w:eastAsia="fr-BE"/>
        </w:rPr>
      </w:pPr>
      <w:r w:rsidRPr="004F5E59">
        <w:t>(h)</w:t>
      </w:r>
      <w:r w:rsidRPr="004F5E59">
        <w:tab/>
      </w:r>
      <w:r w:rsidR="00B9321C" w:rsidRPr="00DF5C23">
        <w:rPr>
          <w:noProof/>
          <w:lang w:val="en-IE" w:eastAsia="fr-BE"/>
        </w:rPr>
        <w:t>establishing requirements applicable to public contracts, including implementation, monitoring and reporting of those requirements by Member States. Those requirements shall be based on the</w:t>
      </w:r>
      <w:r w:rsidR="006859F8" w:rsidRPr="00DF5C23">
        <w:rPr>
          <w:noProof/>
          <w:lang w:val="en-IE" w:eastAsia="fr-BE"/>
        </w:rPr>
        <w:t xml:space="preserve"> product</w:t>
      </w:r>
      <w:r w:rsidR="00B9321C" w:rsidRPr="00DF5C23">
        <w:rPr>
          <w:noProof/>
          <w:lang w:val="en-IE" w:eastAsia="fr-BE"/>
        </w:rPr>
        <w:t xml:space="preserve"> parameters referred to in Annex I and established in accordance with Article 5</w:t>
      </w:r>
      <w:r w:rsidR="00B12939" w:rsidRPr="00DF5C23">
        <w:rPr>
          <w:noProof/>
          <w:lang w:val="en-IE" w:eastAsia="fr-BE"/>
        </w:rPr>
        <w:t>8</w:t>
      </w:r>
      <w:r w:rsidR="00A149F6" w:rsidRPr="00DF5C23">
        <w:rPr>
          <w:noProof/>
          <w:lang w:val="en-IE" w:eastAsia="fr-BE"/>
        </w:rPr>
        <w:t>.</w:t>
      </w:r>
    </w:p>
    <w:p w14:paraId="2C3A5660" w14:textId="77777777" w:rsidR="00646885" w:rsidRPr="00DF5C23" w:rsidRDefault="0681B866" w:rsidP="0681B866">
      <w:pPr>
        <w:pStyle w:val="Titrearticle"/>
        <w:rPr>
          <w:noProof/>
          <w:lang w:val="en-IE" w:eastAsia="fr-BE"/>
        </w:rPr>
      </w:pPr>
      <w:r w:rsidRPr="00DF5C23">
        <w:rPr>
          <w:noProof/>
          <w:lang w:val="en-IE" w:eastAsia="fr-BE"/>
        </w:rPr>
        <w:t>Article 5</w:t>
      </w:r>
      <w:r w:rsidR="00B4043C" w:rsidRPr="00DF5C23">
        <w:rPr>
          <w:noProof/>
          <w:lang w:val="en-IE" w:eastAsia="fr-BE"/>
        </w:rPr>
        <w:t xml:space="preserve"> </w:t>
      </w:r>
      <w:r w:rsidR="00646885" w:rsidRPr="00DF5C23">
        <w:rPr>
          <w:noProof/>
        </w:rPr>
        <w:br/>
      </w:r>
      <w:r w:rsidR="00746AD1" w:rsidRPr="00DF5C23">
        <w:rPr>
          <w:noProof/>
          <w:lang w:val="en-IE" w:eastAsia="fr-BE"/>
        </w:rPr>
        <w:t xml:space="preserve">Ecodesign </w:t>
      </w:r>
      <w:r w:rsidRPr="00DF5C23">
        <w:rPr>
          <w:noProof/>
          <w:lang w:val="en-IE" w:eastAsia="fr-BE"/>
        </w:rPr>
        <w:t>requirements</w:t>
      </w:r>
    </w:p>
    <w:p w14:paraId="2C3A5661" w14:textId="52762657" w:rsidR="00132B6B" w:rsidRPr="00DF5C23" w:rsidRDefault="004F5E59" w:rsidP="004F5E59">
      <w:pPr>
        <w:pStyle w:val="ManualNumPar1"/>
        <w:rPr>
          <w:noProof/>
          <w:lang w:val="en-IE" w:eastAsia="fr-BE"/>
        </w:rPr>
      </w:pPr>
      <w:r w:rsidRPr="004F5E59">
        <w:t>1.</w:t>
      </w:r>
      <w:r w:rsidRPr="004F5E59">
        <w:tab/>
      </w:r>
      <w:r w:rsidR="00132B6B" w:rsidRPr="00DF5C23">
        <w:rPr>
          <w:noProof/>
          <w:lang w:val="en-IE" w:eastAsia="fr-BE"/>
        </w:rPr>
        <w:t xml:space="preserve">The Commission shall, as appropriate to </w:t>
      </w:r>
      <w:r w:rsidR="00AD116D" w:rsidRPr="00DF5C23">
        <w:rPr>
          <w:noProof/>
          <w:lang w:val="en-IE" w:eastAsia="fr-BE"/>
        </w:rPr>
        <w:t>the relevant</w:t>
      </w:r>
      <w:r w:rsidR="00132B6B" w:rsidRPr="00DF5C23">
        <w:rPr>
          <w:noProof/>
          <w:lang w:val="en-IE" w:eastAsia="fr-BE"/>
        </w:rPr>
        <w:t xml:space="preserve"> product group</w:t>
      </w:r>
      <w:r w:rsidR="00A47D17" w:rsidRPr="00DF5C23">
        <w:rPr>
          <w:noProof/>
          <w:lang w:val="en-IE" w:eastAsia="fr-BE"/>
        </w:rPr>
        <w:t>s</w:t>
      </w:r>
      <w:r w:rsidR="00132B6B" w:rsidRPr="00DF5C23">
        <w:rPr>
          <w:noProof/>
          <w:lang w:val="en-IE" w:eastAsia="fr-BE"/>
        </w:rPr>
        <w:t xml:space="preserve"> and with due consideration for all stages of </w:t>
      </w:r>
      <w:r w:rsidR="003B7849" w:rsidRPr="00DF5C23">
        <w:rPr>
          <w:noProof/>
          <w:lang w:val="en-IE" w:eastAsia="fr-BE"/>
        </w:rPr>
        <w:t>their</w:t>
      </w:r>
      <w:r w:rsidR="00132B6B" w:rsidRPr="00DF5C23">
        <w:rPr>
          <w:noProof/>
          <w:lang w:val="en-IE" w:eastAsia="fr-BE"/>
        </w:rPr>
        <w:t xml:space="preserve"> life cycle, establish ecodesign requirements to improve the following product aspects:</w:t>
      </w:r>
    </w:p>
    <w:p w14:paraId="2C3A5662" w14:textId="0981C52E" w:rsidR="00132B6B" w:rsidRPr="00DF5C23" w:rsidRDefault="004F5E59" w:rsidP="004F5E59">
      <w:pPr>
        <w:pStyle w:val="Point1"/>
        <w:rPr>
          <w:noProof/>
          <w:lang w:val="en-IE" w:eastAsia="fr-BE"/>
        </w:rPr>
      </w:pPr>
      <w:r w:rsidRPr="004F5E59">
        <w:t>(a)</w:t>
      </w:r>
      <w:r w:rsidRPr="004F5E59">
        <w:tab/>
      </w:r>
      <w:r w:rsidR="00132B6B" w:rsidRPr="00DF5C23">
        <w:rPr>
          <w:noProof/>
          <w:lang w:val="en-IE" w:eastAsia="fr-BE"/>
        </w:rPr>
        <w:t xml:space="preserve">durability; </w:t>
      </w:r>
    </w:p>
    <w:p w14:paraId="2C3A5663" w14:textId="7B1C58A6" w:rsidR="00132B6B" w:rsidRPr="00DF5C23" w:rsidRDefault="004F5E59" w:rsidP="004F5E59">
      <w:pPr>
        <w:pStyle w:val="Point1"/>
        <w:rPr>
          <w:noProof/>
          <w:lang w:val="en-IE" w:eastAsia="fr-BE"/>
        </w:rPr>
      </w:pPr>
      <w:r w:rsidRPr="004F5E59">
        <w:t>(b)</w:t>
      </w:r>
      <w:r w:rsidRPr="004F5E59">
        <w:tab/>
      </w:r>
      <w:r w:rsidR="00132B6B" w:rsidRPr="00DF5C23">
        <w:rPr>
          <w:noProof/>
          <w:lang w:val="en-IE" w:eastAsia="fr-BE"/>
        </w:rPr>
        <w:t xml:space="preserve">reliability; </w:t>
      </w:r>
    </w:p>
    <w:p w14:paraId="2C3A5664" w14:textId="3CB4B1F8" w:rsidR="00132B6B" w:rsidRPr="00DF5C23" w:rsidRDefault="004F5E59" w:rsidP="004F5E59">
      <w:pPr>
        <w:pStyle w:val="Point1"/>
        <w:rPr>
          <w:noProof/>
          <w:lang w:val="en-IE" w:eastAsia="fr-BE"/>
        </w:rPr>
      </w:pPr>
      <w:r w:rsidRPr="004F5E59">
        <w:t>(c)</w:t>
      </w:r>
      <w:r w:rsidRPr="004F5E59">
        <w:tab/>
      </w:r>
      <w:r w:rsidR="00132B6B" w:rsidRPr="00DF5C23">
        <w:rPr>
          <w:noProof/>
          <w:lang w:val="en-IE" w:eastAsia="fr-BE"/>
        </w:rPr>
        <w:t xml:space="preserve">reusability; </w:t>
      </w:r>
    </w:p>
    <w:p w14:paraId="2C3A5665" w14:textId="61F2DA7C" w:rsidR="00132B6B" w:rsidRPr="00DF5C23" w:rsidRDefault="004F5E59" w:rsidP="004F5E59">
      <w:pPr>
        <w:pStyle w:val="Point1"/>
        <w:rPr>
          <w:noProof/>
          <w:lang w:val="en-IE" w:eastAsia="fr-BE"/>
        </w:rPr>
      </w:pPr>
      <w:r w:rsidRPr="004F5E59">
        <w:t>(d)</w:t>
      </w:r>
      <w:r w:rsidRPr="004F5E59">
        <w:tab/>
      </w:r>
      <w:r w:rsidR="00132B6B" w:rsidRPr="00DF5C23">
        <w:rPr>
          <w:noProof/>
          <w:lang w:val="en-IE" w:eastAsia="fr-BE"/>
        </w:rPr>
        <w:t>upgradability;</w:t>
      </w:r>
    </w:p>
    <w:p w14:paraId="2C3A5666" w14:textId="7C9457A2" w:rsidR="00132B6B" w:rsidRPr="00DF5C23" w:rsidRDefault="004F5E59" w:rsidP="004F5E59">
      <w:pPr>
        <w:pStyle w:val="Point1"/>
        <w:rPr>
          <w:noProof/>
          <w:lang w:val="en-IE" w:eastAsia="fr-BE"/>
        </w:rPr>
      </w:pPr>
      <w:r w:rsidRPr="004F5E59">
        <w:t>(e)</w:t>
      </w:r>
      <w:r w:rsidRPr="004F5E59">
        <w:tab/>
      </w:r>
      <w:r w:rsidR="00132B6B" w:rsidRPr="00DF5C23">
        <w:rPr>
          <w:noProof/>
          <w:lang w:val="en-IE" w:eastAsia="fr-BE"/>
        </w:rPr>
        <w:t>reparability;</w:t>
      </w:r>
    </w:p>
    <w:p w14:paraId="2C3A5667" w14:textId="1BE007B4" w:rsidR="00132B6B" w:rsidRPr="00DF5C23" w:rsidRDefault="004F5E59" w:rsidP="004F5E59">
      <w:pPr>
        <w:pStyle w:val="Point1"/>
        <w:rPr>
          <w:noProof/>
          <w:lang w:val="en-IE"/>
        </w:rPr>
      </w:pPr>
      <w:r w:rsidRPr="004F5E59">
        <w:t>(f)</w:t>
      </w:r>
      <w:r w:rsidRPr="004F5E59">
        <w:tab/>
      </w:r>
      <w:r w:rsidR="00132B6B" w:rsidRPr="00DF5C23">
        <w:rPr>
          <w:noProof/>
          <w:lang w:val="en-IE" w:eastAsia="fr-BE"/>
        </w:rPr>
        <w:t xml:space="preserve">possibility of </w:t>
      </w:r>
      <w:r w:rsidR="00132B6B" w:rsidRPr="00DF5C23">
        <w:rPr>
          <w:noProof/>
          <w:lang w:val="en-IE"/>
        </w:rPr>
        <w:t>maintenance and refurbishment;</w:t>
      </w:r>
    </w:p>
    <w:p w14:paraId="2C3A5668" w14:textId="7160711B" w:rsidR="00132B6B" w:rsidRPr="00DF5C23" w:rsidRDefault="004F5E59" w:rsidP="004F5E59">
      <w:pPr>
        <w:pStyle w:val="Point1"/>
        <w:rPr>
          <w:noProof/>
          <w:lang w:val="en-IE" w:eastAsia="fr-BE"/>
        </w:rPr>
      </w:pPr>
      <w:r w:rsidRPr="004F5E59">
        <w:t>(g)</w:t>
      </w:r>
      <w:r w:rsidRPr="004F5E59">
        <w:tab/>
      </w:r>
      <w:r w:rsidR="00132B6B" w:rsidRPr="00DF5C23">
        <w:rPr>
          <w:noProof/>
          <w:lang w:val="en-IE" w:eastAsia="fr-BE"/>
        </w:rPr>
        <w:t>presence of substances of concern;</w:t>
      </w:r>
    </w:p>
    <w:p w14:paraId="2C3A5669" w14:textId="583E8425" w:rsidR="00132B6B" w:rsidRPr="00DF5C23" w:rsidRDefault="004F5E59" w:rsidP="004F5E59">
      <w:pPr>
        <w:pStyle w:val="Point1"/>
        <w:rPr>
          <w:noProof/>
          <w:lang w:val="en-IE" w:eastAsia="fr-BE"/>
        </w:rPr>
      </w:pPr>
      <w:r w:rsidRPr="004F5E59">
        <w:t>(h)</w:t>
      </w:r>
      <w:r w:rsidRPr="004F5E59">
        <w:tab/>
      </w:r>
      <w:r w:rsidR="00132B6B" w:rsidRPr="00DF5C23">
        <w:rPr>
          <w:noProof/>
          <w:lang w:val="en-IE" w:eastAsia="fr-BE"/>
        </w:rPr>
        <w:t xml:space="preserve">energy use or energy efficiency; </w:t>
      </w:r>
    </w:p>
    <w:p w14:paraId="2C3A566A" w14:textId="6CE64052" w:rsidR="00132B6B" w:rsidRPr="00DF5C23" w:rsidRDefault="004F5E59" w:rsidP="004F5E59">
      <w:pPr>
        <w:pStyle w:val="Point1"/>
        <w:rPr>
          <w:noProof/>
          <w:lang w:val="en-IE" w:eastAsia="fr-BE"/>
        </w:rPr>
      </w:pPr>
      <w:r w:rsidRPr="004F5E59">
        <w:t>(i)</w:t>
      </w:r>
      <w:r w:rsidRPr="004F5E59">
        <w:tab/>
      </w:r>
      <w:r w:rsidR="00132B6B" w:rsidRPr="00DF5C23">
        <w:rPr>
          <w:noProof/>
          <w:lang w:val="en-IE" w:eastAsia="fr-BE"/>
        </w:rPr>
        <w:t>resource</w:t>
      </w:r>
      <w:r w:rsidR="00B11644" w:rsidRPr="00DF5C23">
        <w:rPr>
          <w:noProof/>
          <w:lang w:val="en-IE" w:eastAsia="fr-BE"/>
        </w:rPr>
        <w:t xml:space="preserve"> use or resource</w:t>
      </w:r>
      <w:r w:rsidR="00132B6B" w:rsidRPr="00DF5C23">
        <w:rPr>
          <w:noProof/>
          <w:lang w:val="en-IE" w:eastAsia="fr-BE"/>
        </w:rPr>
        <w:t xml:space="preserve"> efficiency;</w:t>
      </w:r>
    </w:p>
    <w:p w14:paraId="2C3A566B" w14:textId="0B984D9D" w:rsidR="00132B6B" w:rsidRPr="00DF5C23" w:rsidRDefault="004F5E59" w:rsidP="004F5E59">
      <w:pPr>
        <w:pStyle w:val="Point1"/>
        <w:rPr>
          <w:noProof/>
          <w:lang w:val="en-IE"/>
        </w:rPr>
      </w:pPr>
      <w:r w:rsidRPr="004F5E59">
        <w:t>(j)</w:t>
      </w:r>
      <w:r w:rsidRPr="004F5E59">
        <w:tab/>
      </w:r>
      <w:r w:rsidR="00132B6B" w:rsidRPr="00DF5C23">
        <w:rPr>
          <w:noProof/>
          <w:lang w:val="en-IE" w:eastAsia="fr-BE"/>
        </w:rPr>
        <w:t>recycled content;</w:t>
      </w:r>
      <w:r w:rsidR="00132B6B" w:rsidRPr="00DF5C23">
        <w:rPr>
          <w:noProof/>
          <w:lang w:val="en-IE"/>
        </w:rPr>
        <w:t xml:space="preserve"> </w:t>
      </w:r>
    </w:p>
    <w:p w14:paraId="2C3A566C" w14:textId="2D6B61EB" w:rsidR="00132B6B" w:rsidRPr="00DF5C23" w:rsidRDefault="004F5E59" w:rsidP="004F5E59">
      <w:pPr>
        <w:pStyle w:val="Point1"/>
        <w:rPr>
          <w:noProof/>
          <w:lang w:val="en-IE" w:eastAsia="fr-BE"/>
        </w:rPr>
      </w:pPr>
      <w:r w:rsidRPr="004F5E59">
        <w:t>(k)</w:t>
      </w:r>
      <w:r w:rsidRPr="004F5E59">
        <w:tab/>
      </w:r>
      <w:r w:rsidR="00132B6B" w:rsidRPr="00DF5C23">
        <w:rPr>
          <w:noProof/>
          <w:lang w:val="en-IE" w:eastAsia="fr-BE"/>
        </w:rPr>
        <w:t>possibility of remanufacturing and recycling;</w:t>
      </w:r>
    </w:p>
    <w:p w14:paraId="2C3A566D" w14:textId="25118D6D" w:rsidR="00132B6B" w:rsidRPr="00DF5C23" w:rsidRDefault="004F5E59" w:rsidP="004F5E59">
      <w:pPr>
        <w:pStyle w:val="Point1"/>
        <w:rPr>
          <w:noProof/>
          <w:lang w:val="en-IE" w:eastAsia="fr-BE"/>
        </w:rPr>
      </w:pPr>
      <w:r w:rsidRPr="004F5E59">
        <w:t>(l)</w:t>
      </w:r>
      <w:r w:rsidRPr="004F5E59">
        <w:tab/>
      </w:r>
      <w:r w:rsidR="00132B6B" w:rsidRPr="00DF5C23">
        <w:rPr>
          <w:noProof/>
          <w:lang w:val="en-IE"/>
        </w:rPr>
        <w:t>possibility of recovery of materials;</w:t>
      </w:r>
    </w:p>
    <w:p w14:paraId="2C3A566E" w14:textId="23F91118" w:rsidR="00132B6B" w:rsidRPr="00DF5C23" w:rsidRDefault="004F5E59" w:rsidP="004F5E59">
      <w:pPr>
        <w:pStyle w:val="Point1"/>
        <w:rPr>
          <w:noProof/>
          <w:lang w:val="en-IE" w:eastAsia="fr-BE"/>
        </w:rPr>
      </w:pPr>
      <w:r w:rsidRPr="004F5E59">
        <w:t>(m)</w:t>
      </w:r>
      <w:r w:rsidRPr="004F5E59">
        <w:tab/>
      </w:r>
      <w:r w:rsidR="00B11644" w:rsidRPr="00DF5C23">
        <w:rPr>
          <w:noProof/>
          <w:lang w:val="en-IE" w:eastAsia="fr-BE"/>
        </w:rPr>
        <w:t>environmental impacts, including carbon and environmental footprint</w:t>
      </w:r>
      <w:r w:rsidR="00132B6B" w:rsidRPr="00DF5C23">
        <w:rPr>
          <w:noProof/>
          <w:lang w:val="en-IE" w:eastAsia="fr-BE"/>
        </w:rPr>
        <w:t xml:space="preserve">; </w:t>
      </w:r>
    </w:p>
    <w:p w14:paraId="2C3A566F" w14:textId="541AD20D" w:rsidR="00B6519A" w:rsidRPr="00DF5C23" w:rsidRDefault="004F5E59" w:rsidP="004F5E59">
      <w:pPr>
        <w:pStyle w:val="Point1"/>
        <w:rPr>
          <w:noProof/>
          <w:lang w:val="en-IE" w:eastAsia="fr-BE"/>
        </w:rPr>
      </w:pPr>
      <w:r w:rsidRPr="004F5E59">
        <w:t>(n)</w:t>
      </w:r>
      <w:r w:rsidRPr="004F5E59">
        <w:tab/>
      </w:r>
      <w:r w:rsidR="00B11644" w:rsidRPr="00DF5C23">
        <w:rPr>
          <w:noProof/>
          <w:lang w:val="en-IE"/>
        </w:rPr>
        <w:t>expected generation of waste materials</w:t>
      </w:r>
      <w:r w:rsidR="00132B6B" w:rsidRPr="00DF5C23">
        <w:rPr>
          <w:noProof/>
          <w:lang w:val="en-IE" w:eastAsia="fr-BE"/>
        </w:rPr>
        <w:t>.</w:t>
      </w:r>
    </w:p>
    <w:p w14:paraId="2C3A5670" w14:textId="45010B49" w:rsidR="009F7CE7" w:rsidRPr="00DF5C23" w:rsidRDefault="004F5E59" w:rsidP="004F5E59">
      <w:pPr>
        <w:pStyle w:val="ManualNumPar1"/>
        <w:rPr>
          <w:noProof/>
          <w:lang w:val="en-IE" w:eastAsia="fr-BE"/>
        </w:rPr>
      </w:pPr>
      <w:r w:rsidRPr="004F5E59">
        <w:t>2.</w:t>
      </w:r>
      <w:r w:rsidRPr="004F5E59">
        <w:tab/>
      </w:r>
      <w:r w:rsidR="00811441" w:rsidRPr="00DF5C23">
        <w:rPr>
          <w:noProof/>
          <w:lang w:val="en-IE" w:eastAsia="fr-BE"/>
        </w:rPr>
        <w:t>E</w:t>
      </w:r>
      <w:r w:rsidR="00746AD1" w:rsidRPr="00DF5C23">
        <w:rPr>
          <w:noProof/>
          <w:lang w:val="en-IE" w:eastAsia="fr-BE"/>
        </w:rPr>
        <w:t>codesign</w:t>
      </w:r>
      <w:r w:rsidR="0681B866" w:rsidRPr="00DF5C23">
        <w:rPr>
          <w:noProof/>
          <w:lang w:val="en-IE" w:eastAsia="fr-BE"/>
        </w:rPr>
        <w:t xml:space="preserve"> requirements </w:t>
      </w:r>
      <w:r w:rsidR="00AD116D" w:rsidRPr="00DF5C23">
        <w:rPr>
          <w:noProof/>
          <w:lang w:val="en-IE" w:eastAsia="fr-BE"/>
        </w:rPr>
        <w:t xml:space="preserve">shall be established </w:t>
      </w:r>
      <w:r w:rsidR="00994E7C" w:rsidRPr="00DF5C23">
        <w:rPr>
          <w:noProof/>
          <w:lang w:val="en-IE" w:eastAsia="fr-BE"/>
        </w:rPr>
        <w:t xml:space="preserve">for </w:t>
      </w:r>
      <w:r w:rsidR="009F7CE7" w:rsidRPr="00DF5C23">
        <w:rPr>
          <w:noProof/>
          <w:lang w:val="en-IE" w:eastAsia="fr-BE"/>
        </w:rPr>
        <w:t xml:space="preserve">a </w:t>
      </w:r>
      <w:r w:rsidR="00994E7C" w:rsidRPr="00DF5C23">
        <w:rPr>
          <w:noProof/>
          <w:lang w:val="en-IE" w:eastAsia="fr-BE"/>
        </w:rPr>
        <w:t>specific product group</w:t>
      </w:r>
      <w:r w:rsidR="00AD116D" w:rsidRPr="00DF5C23">
        <w:rPr>
          <w:noProof/>
          <w:lang w:val="en-IE" w:eastAsia="fr-BE"/>
        </w:rPr>
        <w:t>.</w:t>
      </w:r>
      <w:r w:rsidR="009F7CE7" w:rsidRPr="00DF5C23">
        <w:rPr>
          <w:noProof/>
          <w:lang w:val="en-IE" w:eastAsia="fr-BE"/>
        </w:rPr>
        <w:t xml:space="preserve"> </w:t>
      </w:r>
    </w:p>
    <w:p w14:paraId="2C3A5671" w14:textId="77777777" w:rsidR="0052414F" w:rsidRPr="00DF5C23" w:rsidRDefault="009F7CE7" w:rsidP="0052414F">
      <w:pPr>
        <w:pStyle w:val="Text1"/>
        <w:rPr>
          <w:noProof/>
          <w:lang w:val="en-IE" w:eastAsia="fr-BE"/>
        </w:rPr>
      </w:pPr>
      <w:r w:rsidRPr="00DF5C23">
        <w:rPr>
          <w:noProof/>
          <w:lang w:val="en-IE" w:eastAsia="fr-BE"/>
        </w:rPr>
        <w:t>However, where</w:t>
      </w:r>
      <w:r w:rsidR="00B770BB" w:rsidRPr="00DF5C23">
        <w:rPr>
          <w:noProof/>
          <w:lang w:val="en-IE" w:eastAsia="fr-BE"/>
        </w:rPr>
        <w:t xml:space="preserve"> two or more </w:t>
      </w:r>
      <w:r w:rsidRPr="00DF5C23">
        <w:rPr>
          <w:noProof/>
          <w:lang w:val="en-IE" w:eastAsia="fr-BE"/>
        </w:rPr>
        <w:t xml:space="preserve">product groups display technical similarities allowing a product aspect referred to in </w:t>
      </w:r>
      <w:r w:rsidR="008334C7" w:rsidRPr="00DF5C23">
        <w:rPr>
          <w:noProof/>
          <w:lang w:val="en-IE" w:eastAsia="fr-BE"/>
        </w:rPr>
        <w:t xml:space="preserve">paragraph </w:t>
      </w:r>
      <w:r w:rsidRPr="00DF5C23">
        <w:rPr>
          <w:noProof/>
          <w:lang w:val="en-IE" w:eastAsia="fr-BE"/>
        </w:rPr>
        <w:t>1 to be improved based on a common requirement, ecodesign</w:t>
      </w:r>
      <w:r w:rsidRPr="00DF5C23">
        <w:rPr>
          <w:noProof/>
          <w:lang w:eastAsia="fr-BE"/>
        </w:rPr>
        <w:t xml:space="preserve"> requirements may be established horizontally for </w:t>
      </w:r>
      <w:r w:rsidR="00B770BB" w:rsidRPr="00DF5C23">
        <w:rPr>
          <w:noProof/>
          <w:lang w:eastAsia="fr-BE"/>
        </w:rPr>
        <w:t>those</w:t>
      </w:r>
      <w:r w:rsidRPr="00DF5C23">
        <w:rPr>
          <w:noProof/>
          <w:lang w:val="en-IE" w:eastAsia="fr-BE"/>
        </w:rPr>
        <w:t xml:space="preserve"> product groups.</w:t>
      </w:r>
      <w:r w:rsidR="00BA1E9E" w:rsidRPr="00DF5C23">
        <w:rPr>
          <w:noProof/>
          <w:lang w:val="en-IE" w:eastAsia="fr-BE"/>
        </w:rPr>
        <w:t xml:space="preserve"> </w:t>
      </w:r>
    </w:p>
    <w:p w14:paraId="2C3A5672" w14:textId="77777777" w:rsidR="00553EC3" w:rsidRPr="00DF5C23" w:rsidRDefault="004E2E13" w:rsidP="00553EC3">
      <w:pPr>
        <w:pStyle w:val="Text1"/>
        <w:rPr>
          <w:noProof/>
          <w:lang w:val="en-IE" w:eastAsia="fr-BE"/>
        </w:rPr>
      </w:pPr>
      <w:r w:rsidRPr="00DF5C23">
        <w:rPr>
          <w:noProof/>
          <w:lang w:val="en-IE" w:eastAsia="fr-BE"/>
        </w:rPr>
        <w:t>A h</w:t>
      </w:r>
      <w:r w:rsidR="009C1C5C" w:rsidRPr="00DF5C23">
        <w:rPr>
          <w:noProof/>
          <w:lang w:val="en-IE" w:eastAsia="fr-BE"/>
        </w:rPr>
        <w:t xml:space="preserve">orizontal </w:t>
      </w:r>
      <w:r w:rsidRPr="00DF5C23">
        <w:rPr>
          <w:noProof/>
          <w:lang w:val="en-IE" w:eastAsia="fr-BE"/>
        </w:rPr>
        <w:t>ecodesign requirement</w:t>
      </w:r>
      <w:r w:rsidR="009C1C5C" w:rsidRPr="00DF5C23">
        <w:rPr>
          <w:noProof/>
          <w:lang w:val="en-IE" w:eastAsia="fr-BE"/>
        </w:rPr>
        <w:t xml:space="preserve"> established pursuant to the </w:t>
      </w:r>
      <w:r w:rsidRPr="00DF5C23">
        <w:rPr>
          <w:noProof/>
          <w:lang w:val="en-IE" w:eastAsia="fr-BE"/>
        </w:rPr>
        <w:t>second subparagraph</w:t>
      </w:r>
      <w:r w:rsidR="009C1C5C" w:rsidRPr="00DF5C23">
        <w:rPr>
          <w:noProof/>
          <w:lang w:val="en-IE" w:eastAsia="fr-BE"/>
        </w:rPr>
        <w:t xml:space="preserve"> may cover products falling in the scope of </w:t>
      </w:r>
      <w:r w:rsidRPr="00DF5C23">
        <w:rPr>
          <w:noProof/>
          <w:lang w:val="en-IE" w:eastAsia="fr-BE"/>
        </w:rPr>
        <w:t xml:space="preserve">a </w:t>
      </w:r>
      <w:r w:rsidR="009C1C5C" w:rsidRPr="00DF5C23">
        <w:rPr>
          <w:noProof/>
          <w:lang w:val="en-IE" w:eastAsia="fr-BE"/>
        </w:rPr>
        <w:t>self-regulation measure</w:t>
      </w:r>
      <w:r w:rsidRPr="00DF5C23">
        <w:rPr>
          <w:noProof/>
          <w:lang w:val="en-IE" w:eastAsia="fr-BE"/>
        </w:rPr>
        <w:t xml:space="preserve"> established as a valid alternative pursuant to Article 18(3),</w:t>
      </w:r>
      <w:r w:rsidR="009C1C5C" w:rsidRPr="00DF5C23">
        <w:rPr>
          <w:noProof/>
          <w:lang w:val="en-IE" w:eastAsia="fr-BE"/>
        </w:rPr>
        <w:t xml:space="preserve"> where the Commission considers </w:t>
      </w:r>
      <w:r w:rsidRPr="00DF5C23">
        <w:rPr>
          <w:noProof/>
          <w:lang w:val="en-IE" w:eastAsia="fr-BE"/>
        </w:rPr>
        <w:t>that that</w:t>
      </w:r>
      <w:r w:rsidR="009C1C5C" w:rsidRPr="00DF5C23">
        <w:rPr>
          <w:noProof/>
          <w:lang w:val="en-IE" w:eastAsia="fr-BE"/>
        </w:rPr>
        <w:t xml:space="preserve"> self-regulation measure does not address</w:t>
      </w:r>
      <w:r w:rsidRPr="00DF5C23">
        <w:rPr>
          <w:noProof/>
          <w:lang w:val="en-IE" w:eastAsia="fr-BE"/>
        </w:rPr>
        <w:t xml:space="preserve"> the product aspect covered by that horizontal ecodesign requirement. </w:t>
      </w:r>
      <w:r w:rsidR="009C1C5C" w:rsidRPr="00DF5C23">
        <w:rPr>
          <w:noProof/>
          <w:lang w:val="en-IE" w:eastAsia="fr-BE"/>
        </w:rPr>
        <w:t xml:space="preserve"> </w:t>
      </w:r>
    </w:p>
    <w:p w14:paraId="2C3A5673" w14:textId="48717E24" w:rsidR="00544DD7" w:rsidRPr="00DF5C23" w:rsidRDefault="004F5E59" w:rsidP="004F5E59">
      <w:pPr>
        <w:pStyle w:val="ManualNumPar1"/>
        <w:rPr>
          <w:noProof/>
          <w:lang w:val="en-IE" w:eastAsia="fr-BE"/>
        </w:rPr>
      </w:pPr>
      <w:r w:rsidRPr="004F5E59">
        <w:t>3.</w:t>
      </w:r>
      <w:r w:rsidRPr="004F5E59">
        <w:tab/>
      </w:r>
      <w:r w:rsidR="00ED0B52" w:rsidRPr="00DF5C23">
        <w:rPr>
          <w:noProof/>
          <w:lang w:val="en-IE" w:eastAsia="fr-BE"/>
        </w:rPr>
        <w:t xml:space="preserve">Ecodesign requirements </w:t>
      </w:r>
      <w:r w:rsidR="00CC69A4" w:rsidRPr="00DF5C23">
        <w:rPr>
          <w:noProof/>
          <w:lang w:val="en-IE" w:eastAsia="fr-BE"/>
        </w:rPr>
        <w:t>shall, as appropriate,</w:t>
      </w:r>
      <w:r w:rsidR="0681B866" w:rsidRPr="00DF5C23">
        <w:rPr>
          <w:noProof/>
          <w:lang w:val="en-IE" w:eastAsia="fr-BE"/>
        </w:rPr>
        <w:t xml:space="preserve"> include:</w:t>
      </w:r>
    </w:p>
    <w:p w14:paraId="2C3A5674" w14:textId="579D4BCB" w:rsidR="0014553D" w:rsidRPr="00DF5C23" w:rsidRDefault="004F5E59" w:rsidP="004F5E59">
      <w:pPr>
        <w:pStyle w:val="Point1"/>
        <w:rPr>
          <w:noProof/>
          <w:lang w:val="en-IE" w:eastAsia="fr-BE"/>
        </w:rPr>
      </w:pPr>
      <w:r w:rsidRPr="004F5E59">
        <w:t>(a)</w:t>
      </w:r>
      <w:r w:rsidRPr="004F5E59">
        <w:tab/>
      </w:r>
      <w:r w:rsidR="00544DD7" w:rsidRPr="00DF5C23">
        <w:rPr>
          <w:noProof/>
          <w:lang w:val="en-IE" w:eastAsia="fr-BE"/>
        </w:rPr>
        <w:t xml:space="preserve">performance </w:t>
      </w:r>
      <w:r w:rsidR="0014553D" w:rsidRPr="00DF5C23">
        <w:rPr>
          <w:noProof/>
          <w:lang w:val="en-IE" w:eastAsia="fr-BE"/>
        </w:rPr>
        <w:t>requirements as set out in</w:t>
      </w:r>
      <w:r w:rsidR="009B0CF3" w:rsidRPr="00DF5C23">
        <w:rPr>
          <w:noProof/>
          <w:lang w:val="en-IE" w:eastAsia="fr-BE"/>
        </w:rPr>
        <w:t xml:space="preserve"> </w:t>
      </w:r>
      <w:r w:rsidR="0014553D" w:rsidRPr="00DF5C23">
        <w:rPr>
          <w:noProof/>
          <w:lang w:val="en-IE" w:eastAsia="fr-BE"/>
        </w:rPr>
        <w:t xml:space="preserve">Article </w:t>
      </w:r>
      <w:r w:rsidR="00671046" w:rsidRPr="00DF5C23">
        <w:rPr>
          <w:noProof/>
          <w:lang w:val="en-IE" w:eastAsia="fr-BE"/>
        </w:rPr>
        <w:t>6</w:t>
      </w:r>
      <w:r w:rsidR="002A032D" w:rsidRPr="00DF5C23">
        <w:rPr>
          <w:noProof/>
          <w:lang w:val="en-IE" w:eastAsia="fr-BE"/>
        </w:rPr>
        <w:t>;</w:t>
      </w:r>
      <w:r w:rsidR="000C2F80" w:rsidRPr="00DF5C23">
        <w:rPr>
          <w:noProof/>
          <w:lang w:val="en-IE" w:eastAsia="fr-BE"/>
        </w:rPr>
        <w:t xml:space="preserve"> </w:t>
      </w:r>
    </w:p>
    <w:p w14:paraId="2C3A5675" w14:textId="14D557FD" w:rsidR="00811441" w:rsidRPr="00DF5C23" w:rsidRDefault="004F5E59" w:rsidP="004F5E59">
      <w:pPr>
        <w:pStyle w:val="Point1"/>
        <w:rPr>
          <w:noProof/>
          <w:lang w:val="en-IE" w:eastAsia="fr-BE"/>
        </w:rPr>
      </w:pPr>
      <w:r w:rsidRPr="004F5E59">
        <w:t>(b)</w:t>
      </w:r>
      <w:r w:rsidRPr="004F5E59">
        <w:tab/>
      </w:r>
      <w:r w:rsidR="00544DD7" w:rsidRPr="00DF5C23">
        <w:rPr>
          <w:noProof/>
          <w:lang w:val="en-IE" w:eastAsia="fr-BE"/>
        </w:rPr>
        <w:t xml:space="preserve">information requirements as set out in Article </w:t>
      </w:r>
      <w:r w:rsidR="00671046" w:rsidRPr="00DF5C23">
        <w:rPr>
          <w:noProof/>
          <w:lang w:val="en-IE" w:eastAsia="fr-BE"/>
        </w:rPr>
        <w:t>7</w:t>
      </w:r>
      <w:r w:rsidR="00863FAF" w:rsidRPr="00DF5C23">
        <w:rPr>
          <w:noProof/>
          <w:lang w:val="en-IE" w:eastAsia="fr-BE"/>
        </w:rPr>
        <w:t xml:space="preserve">. </w:t>
      </w:r>
    </w:p>
    <w:p w14:paraId="2C3A5676" w14:textId="0B9601F2" w:rsidR="00F568D7" w:rsidRPr="00DF5C23" w:rsidRDefault="004F5E59" w:rsidP="004F5E59">
      <w:pPr>
        <w:pStyle w:val="ManualNumPar1"/>
        <w:rPr>
          <w:noProof/>
          <w:lang w:val="en-IE" w:eastAsia="fr-BE"/>
        </w:rPr>
      </w:pPr>
      <w:r w:rsidRPr="004F5E59">
        <w:t>4.</w:t>
      </w:r>
      <w:r w:rsidRPr="004F5E59">
        <w:tab/>
      </w:r>
      <w:r w:rsidR="00ED5E0B" w:rsidRPr="00DF5C23">
        <w:rPr>
          <w:noProof/>
          <w:lang w:val="en-IE" w:eastAsia="fr-BE"/>
        </w:rPr>
        <w:t xml:space="preserve">When preparing </w:t>
      </w:r>
      <w:r w:rsidR="00810EB9" w:rsidRPr="00DF5C23">
        <w:rPr>
          <w:noProof/>
          <w:lang w:val="en-IE" w:eastAsia="fr-BE"/>
        </w:rPr>
        <w:t>eco</w:t>
      </w:r>
      <w:r w:rsidR="00ED5E0B" w:rsidRPr="00DF5C23">
        <w:rPr>
          <w:noProof/>
          <w:lang w:val="en-IE" w:eastAsia="fr-BE"/>
        </w:rPr>
        <w:t>design requirements, the Commission shall</w:t>
      </w:r>
      <w:r w:rsidR="00F568D7" w:rsidRPr="00DF5C23">
        <w:rPr>
          <w:noProof/>
          <w:lang w:val="en-IE" w:eastAsia="fr-BE"/>
        </w:rPr>
        <w:t>:</w:t>
      </w:r>
      <w:r w:rsidR="00ED5E0B" w:rsidRPr="00DF5C23">
        <w:rPr>
          <w:noProof/>
          <w:lang w:val="en-IE" w:eastAsia="fr-BE"/>
        </w:rPr>
        <w:t xml:space="preserve"> </w:t>
      </w:r>
    </w:p>
    <w:p w14:paraId="2C3A5677" w14:textId="58749571" w:rsidR="00E6262B" w:rsidRPr="00DF5C23" w:rsidRDefault="004F5E59" w:rsidP="004F5E59">
      <w:pPr>
        <w:pStyle w:val="Point1"/>
        <w:rPr>
          <w:noProof/>
          <w:lang w:val="en-IE" w:eastAsia="fr-BE"/>
        </w:rPr>
      </w:pPr>
      <w:r w:rsidRPr="004F5E59">
        <w:t>(a)</w:t>
      </w:r>
      <w:r w:rsidRPr="004F5E59">
        <w:tab/>
      </w:r>
      <w:r w:rsidR="00646885" w:rsidRPr="00DF5C23">
        <w:rPr>
          <w:noProof/>
          <w:lang w:val="en-IE" w:eastAsia="fr-BE"/>
        </w:rPr>
        <w:t xml:space="preserve">take into account </w:t>
      </w:r>
      <w:r w:rsidR="00C650F8" w:rsidRPr="00DF5C23">
        <w:rPr>
          <w:noProof/>
          <w:lang w:val="en-IE" w:eastAsia="fr-BE"/>
        </w:rPr>
        <w:t>the following elements</w:t>
      </w:r>
      <w:r w:rsidR="00646885" w:rsidRPr="00DF5C23">
        <w:rPr>
          <w:noProof/>
          <w:lang w:val="en-IE" w:eastAsia="fr-BE"/>
        </w:rPr>
        <w:t>:</w:t>
      </w:r>
    </w:p>
    <w:p w14:paraId="2C3A5678" w14:textId="77777777" w:rsidR="00646885" w:rsidRPr="00DF5C23" w:rsidRDefault="004A1643" w:rsidP="0681B866">
      <w:pPr>
        <w:pStyle w:val="Point2"/>
        <w:rPr>
          <w:noProof/>
          <w:lang w:val="en-IE" w:eastAsia="fr-BE"/>
        </w:rPr>
      </w:pPr>
      <w:r w:rsidRPr="00DF5C23">
        <w:rPr>
          <w:noProof/>
          <w:lang w:val="en-IE" w:eastAsia="fr-BE"/>
        </w:rPr>
        <w:t>(i)</w:t>
      </w:r>
      <w:r w:rsidRPr="00DF5C23">
        <w:rPr>
          <w:noProof/>
          <w:lang w:val="en-IE" w:eastAsia="fr-BE"/>
        </w:rPr>
        <w:tab/>
      </w:r>
      <w:r w:rsidR="00646885" w:rsidRPr="00DF5C23">
        <w:rPr>
          <w:noProof/>
          <w:lang w:val="en-IE" w:eastAsia="fr-BE"/>
        </w:rPr>
        <w:t>Union</w:t>
      </w:r>
      <w:r w:rsidR="00A45DBC" w:rsidRPr="00DF5C23">
        <w:rPr>
          <w:noProof/>
          <w:lang w:val="en-IE" w:eastAsia="fr-BE"/>
        </w:rPr>
        <w:t xml:space="preserve"> climate, </w:t>
      </w:r>
      <w:r w:rsidR="00DC6988" w:rsidRPr="00DF5C23">
        <w:rPr>
          <w:noProof/>
          <w:lang w:val="en-IE" w:eastAsia="fr-BE"/>
        </w:rPr>
        <w:t xml:space="preserve">environmental and energy </w:t>
      </w:r>
      <w:r w:rsidR="00565261" w:rsidRPr="00DF5C23">
        <w:rPr>
          <w:noProof/>
          <w:lang w:val="en-IE" w:eastAsia="fr-BE"/>
        </w:rPr>
        <w:t xml:space="preserve">efficiency </w:t>
      </w:r>
      <w:r w:rsidR="00646885" w:rsidRPr="00DF5C23">
        <w:rPr>
          <w:noProof/>
          <w:lang w:val="en-IE" w:eastAsia="fr-BE"/>
        </w:rPr>
        <w:t>priorities</w:t>
      </w:r>
      <w:r w:rsidR="0006202B" w:rsidRPr="00DF5C23">
        <w:rPr>
          <w:noProof/>
          <w:lang w:val="en-IE" w:eastAsia="fr-BE"/>
        </w:rPr>
        <w:t xml:space="preserve"> and other </w:t>
      </w:r>
      <w:r w:rsidR="00565261" w:rsidRPr="00DF5C23">
        <w:rPr>
          <w:noProof/>
          <w:lang w:val="en-IE" w:eastAsia="fr-BE"/>
        </w:rPr>
        <w:t xml:space="preserve">related </w:t>
      </w:r>
      <w:r w:rsidR="0006202B" w:rsidRPr="00DF5C23">
        <w:rPr>
          <w:noProof/>
          <w:lang w:val="en-IE" w:eastAsia="fr-BE"/>
        </w:rPr>
        <w:t>Union priorities</w:t>
      </w:r>
      <w:r w:rsidR="00646885" w:rsidRPr="00DF5C23">
        <w:rPr>
          <w:noProof/>
          <w:lang w:val="en-IE" w:eastAsia="fr-BE"/>
        </w:rPr>
        <w:t>;</w:t>
      </w:r>
    </w:p>
    <w:p w14:paraId="2C3A5679" w14:textId="77777777" w:rsidR="00DD2FD9" w:rsidRPr="00DF5C23" w:rsidRDefault="004A1643" w:rsidP="0681B866">
      <w:pPr>
        <w:pStyle w:val="Point2"/>
        <w:rPr>
          <w:noProof/>
          <w:lang w:val="en-IE" w:eastAsia="fr-BE"/>
        </w:rPr>
      </w:pPr>
      <w:r w:rsidRPr="00DF5C23">
        <w:rPr>
          <w:noProof/>
          <w:lang w:val="en-IE" w:eastAsia="fr-BE"/>
        </w:rPr>
        <w:t>(ii)</w:t>
      </w:r>
      <w:r w:rsidRPr="00DF5C23">
        <w:rPr>
          <w:noProof/>
          <w:lang w:val="en-IE" w:eastAsia="fr-BE"/>
        </w:rPr>
        <w:tab/>
      </w:r>
      <w:r w:rsidR="00646885" w:rsidRPr="00DF5C23">
        <w:rPr>
          <w:noProof/>
          <w:lang w:val="en-IE" w:eastAsia="fr-BE"/>
        </w:rPr>
        <w:t>relevant Union legislation</w:t>
      </w:r>
      <w:r w:rsidR="00E473B3" w:rsidRPr="00DF5C23">
        <w:rPr>
          <w:noProof/>
          <w:lang w:val="en-IE" w:eastAsia="fr-BE"/>
        </w:rPr>
        <w:t xml:space="preserve">, including the extent to which it addresses the relevant </w:t>
      </w:r>
      <w:r w:rsidR="00A45DBC" w:rsidRPr="00DF5C23">
        <w:rPr>
          <w:noProof/>
          <w:lang w:val="en-IE" w:eastAsia="fr-BE"/>
        </w:rPr>
        <w:t>product</w:t>
      </w:r>
      <w:r w:rsidR="00E473B3" w:rsidRPr="00DF5C23">
        <w:rPr>
          <w:noProof/>
          <w:lang w:val="en-IE" w:eastAsia="fr-BE"/>
        </w:rPr>
        <w:t xml:space="preserve"> aspects</w:t>
      </w:r>
      <w:r w:rsidR="004415E9" w:rsidRPr="00DF5C23">
        <w:rPr>
          <w:noProof/>
          <w:lang w:val="en-IE" w:eastAsia="fr-BE"/>
        </w:rPr>
        <w:t xml:space="preserve"> listed in paragraph 1</w:t>
      </w:r>
      <w:r w:rsidR="00CB7443" w:rsidRPr="00DF5C23">
        <w:rPr>
          <w:noProof/>
          <w:lang w:val="en-IE" w:eastAsia="fr-BE"/>
        </w:rPr>
        <w:t>;</w:t>
      </w:r>
    </w:p>
    <w:p w14:paraId="2C3A567A" w14:textId="77777777" w:rsidR="00646885" w:rsidRPr="00DF5C23" w:rsidRDefault="004A1643" w:rsidP="0681B866">
      <w:pPr>
        <w:pStyle w:val="Point2"/>
        <w:rPr>
          <w:noProof/>
          <w:lang w:val="en-IE" w:eastAsia="fr-BE"/>
        </w:rPr>
      </w:pPr>
      <w:r w:rsidRPr="00DF5C23">
        <w:rPr>
          <w:noProof/>
          <w:lang w:val="en-IE" w:eastAsia="fr-BE"/>
        </w:rPr>
        <w:t>(iii)</w:t>
      </w:r>
      <w:r w:rsidRPr="00DF5C23">
        <w:rPr>
          <w:noProof/>
          <w:lang w:val="en-IE" w:eastAsia="fr-BE"/>
        </w:rPr>
        <w:tab/>
      </w:r>
      <w:r w:rsidR="00646885" w:rsidRPr="00DF5C23">
        <w:rPr>
          <w:noProof/>
          <w:lang w:val="en-IE" w:eastAsia="fr-BE"/>
        </w:rPr>
        <w:t xml:space="preserve">self-regulation measures, </w:t>
      </w:r>
      <w:r w:rsidR="00B500FD" w:rsidRPr="00DF5C23">
        <w:rPr>
          <w:noProof/>
          <w:lang w:val="en-IE" w:eastAsia="fr-BE"/>
        </w:rPr>
        <w:t xml:space="preserve">as provided </w:t>
      </w:r>
      <w:r w:rsidR="00B649A1" w:rsidRPr="00DF5C23">
        <w:rPr>
          <w:noProof/>
          <w:lang w:val="en-IE" w:eastAsia="fr-BE"/>
        </w:rPr>
        <w:t xml:space="preserve">for </w:t>
      </w:r>
      <w:r w:rsidR="00B500FD" w:rsidRPr="00DF5C23">
        <w:rPr>
          <w:noProof/>
          <w:lang w:val="en-IE" w:eastAsia="fr-BE"/>
        </w:rPr>
        <w:t xml:space="preserve">in Article </w:t>
      </w:r>
      <w:r w:rsidR="001F0AB8" w:rsidRPr="00DF5C23">
        <w:rPr>
          <w:noProof/>
          <w:lang w:val="en-IE" w:eastAsia="fr-BE"/>
        </w:rPr>
        <w:t>1</w:t>
      </w:r>
      <w:r w:rsidR="00DE5BBF" w:rsidRPr="00DF5C23">
        <w:rPr>
          <w:noProof/>
          <w:lang w:val="en-IE" w:eastAsia="fr-BE"/>
        </w:rPr>
        <w:t>8</w:t>
      </w:r>
      <w:r w:rsidR="00DA5CBA" w:rsidRPr="00DF5C23">
        <w:rPr>
          <w:noProof/>
          <w:lang w:val="en-IE" w:eastAsia="fr-BE"/>
        </w:rPr>
        <w:t>;</w:t>
      </w:r>
    </w:p>
    <w:p w14:paraId="2C3A567B" w14:textId="77777777" w:rsidR="00565261" w:rsidRPr="00DF5C23" w:rsidRDefault="004A1643" w:rsidP="0681B866">
      <w:pPr>
        <w:pStyle w:val="Point2"/>
        <w:rPr>
          <w:noProof/>
          <w:lang w:val="fr-BE" w:eastAsia="fr-BE"/>
        </w:rPr>
      </w:pPr>
      <w:r w:rsidRPr="00DF5C23">
        <w:rPr>
          <w:noProof/>
          <w:lang w:val="fr-BE" w:eastAsia="fr-BE"/>
        </w:rPr>
        <w:t>(iv)</w:t>
      </w:r>
      <w:r w:rsidRPr="00DF5C23">
        <w:rPr>
          <w:noProof/>
          <w:lang w:val="fr-BE" w:eastAsia="fr-BE"/>
        </w:rPr>
        <w:tab/>
      </w:r>
      <w:r w:rsidR="00646885" w:rsidRPr="00DF5C23">
        <w:rPr>
          <w:noProof/>
          <w:lang w:val="fr-BE" w:eastAsia="fr-BE"/>
        </w:rPr>
        <w:t>relevant nat</w:t>
      </w:r>
      <w:r w:rsidR="00DA5CBA" w:rsidRPr="00DF5C23">
        <w:rPr>
          <w:noProof/>
          <w:lang w:val="fr-BE" w:eastAsia="fr-BE"/>
        </w:rPr>
        <w:t>ional environmental legislation</w:t>
      </w:r>
      <w:r w:rsidR="00565261" w:rsidRPr="00DF5C23">
        <w:rPr>
          <w:noProof/>
          <w:lang w:val="fr-BE" w:eastAsia="fr-BE"/>
        </w:rPr>
        <w:t>;</w:t>
      </w:r>
    </w:p>
    <w:p w14:paraId="2C3A567C" w14:textId="77777777" w:rsidR="00646885" w:rsidRPr="00DF5C23" w:rsidDel="00565261" w:rsidRDefault="00565261" w:rsidP="0681B866">
      <w:pPr>
        <w:pStyle w:val="Point2"/>
        <w:rPr>
          <w:noProof/>
          <w:lang w:val="en-IE" w:eastAsia="fr-BE"/>
        </w:rPr>
      </w:pPr>
      <w:r w:rsidRPr="00DF5C23">
        <w:rPr>
          <w:noProof/>
          <w:lang w:val="en-IE" w:eastAsia="fr-BE"/>
        </w:rPr>
        <w:t>(v)</w:t>
      </w:r>
      <w:r w:rsidR="00B649A1" w:rsidRPr="00DF5C23">
        <w:rPr>
          <w:noProof/>
          <w:lang w:val="en-IE" w:eastAsia="fr-BE"/>
        </w:rPr>
        <w:tab/>
      </w:r>
      <w:r w:rsidRPr="00DF5C23">
        <w:rPr>
          <w:noProof/>
          <w:lang w:val="en-IE" w:eastAsia="fr-BE"/>
        </w:rPr>
        <w:t xml:space="preserve">relevant </w:t>
      </w:r>
      <w:r w:rsidR="00996C83" w:rsidRPr="00DF5C23">
        <w:rPr>
          <w:noProof/>
          <w:lang w:val="en-IE" w:eastAsia="fr-BE"/>
        </w:rPr>
        <w:t xml:space="preserve">European and </w:t>
      </w:r>
      <w:r w:rsidRPr="00DF5C23">
        <w:rPr>
          <w:noProof/>
          <w:lang w:val="en-IE" w:eastAsia="fr-BE"/>
        </w:rPr>
        <w:t>international standards</w:t>
      </w:r>
      <w:r w:rsidR="00C70A1E" w:rsidRPr="00DF5C23">
        <w:rPr>
          <w:noProof/>
          <w:lang w:val="en-IE" w:eastAsia="fr-BE"/>
        </w:rPr>
        <w:t>;</w:t>
      </w:r>
    </w:p>
    <w:p w14:paraId="2C3A567D" w14:textId="32072DCB" w:rsidR="00996C83" w:rsidRPr="00DF5C23" w:rsidRDefault="004F5E59" w:rsidP="004F5E59">
      <w:pPr>
        <w:pStyle w:val="Point1"/>
        <w:rPr>
          <w:noProof/>
          <w:lang w:val="en-IE" w:eastAsia="fr-BE"/>
        </w:rPr>
      </w:pPr>
      <w:r w:rsidRPr="004F5E59">
        <w:t>(b)</w:t>
      </w:r>
      <w:r w:rsidRPr="004F5E59">
        <w:tab/>
      </w:r>
      <w:r w:rsidR="00F568D7" w:rsidRPr="00DF5C23">
        <w:rPr>
          <w:noProof/>
          <w:lang w:val="en-IE" w:eastAsia="fr-BE"/>
        </w:rPr>
        <w:t xml:space="preserve">carry out an impact assessment based on best available evidence and analyses, and </w:t>
      </w:r>
      <w:r w:rsidR="003A5181" w:rsidRPr="00DF5C23">
        <w:rPr>
          <w:noProof/>
          <w:lang w:val="en-IE" w:eastAsia="fr-BE"/>
        </w:rPr>
        <w:t xml:space="preserve">as appropriate </w:t>
      </w:r>
      <w:r w:rsidR="00F568D7" w:rsidRPr="00DF5C23">
        <w:rPr>
          <w:noProof/>
          <w:lang w:val="en-IE" w:eastAsia="fr-BE"/>
        </w:rPr>
        <w:t xml:space="preserve">on additional studies </w:t>
      </w:r>
      <w:r w:rsidR="003A5181" w:rsidRPr="00DF5C23">
        <w:rPr>
          <w:noProof/>
          <w:lang w:val="en-IE" w:eastAsia="fr-BE"/>
        </w:rPr>
        <w:t>and research results produced under European funding programmes</w:t>
      </w:r>
      <w:r w:rsidR="00F568D7" w:rsidRPr="00DF5C23">
        <w:rPr>
          <w:noProof/>
          <w:lang w:val="en-IE" w:eastAsia="fr-BE"/>
        </w:rPr>
        <w:t xml:space="preserve">. In doing so, the Commission shall ensure that the depth of analysis of the product aspects listed in </w:t>
      </w:r>
      <w:r w:rsidR="004415E9" w:rsidRPr="00DF5C23">
        <w:rPr>
          <w:noProof/>
          <w:lang w:val="en-IE" w:eastAsia="fr-BE"/>
        </w:rPr>
        <w:t>paragraph 1</w:t>
      </w:r>
      <w:r w:rsidR="00F568D7" w:rsidRPr="00DF5C23">
        <w:rPr>
          <w:noProof/>
          <w:lang w:val="en-IE" w:eastAsia="fr-BE"/>
        </w:rPr>
        <w:t xml:space="preserve"> is proportionate to their significance. The establishment of ecodesign requirements on the most significant aspects of a product </w:t>
      </w:r>
      <w:r w:rsidR="00793608" w:rsidRPr="00DF5C23">
        <w:rPr>
          <w:noProof/>
          <w:lang w:val="en-IE" w:eastAsia="fr-BE"/>
        </w:rPr>
        <w:t>among those listed in paragraph 1</w:t>
      </w:r>
      <w:r w:rsidR="00F568D7" w:rsidRPr="00DF5C23">
        <w:rPr>
          <w:noProof/>
          <w:lang w:val="en-IE" w:eastAsia="fr-BE"/>
        </w:rPr>
        <w:t xml:space="preserve"> shall not be unduly delayed by uncertainties regarding </w:t>
      </w:r>
      <w:r w:rsidR="00F568D7" w:rsidRPr="00DF5C23" w:rsidDel="00996C83">
        <w:rPr>
          <w:noProof/>
          <w:lang w:val="en-IE" w:eastAsia="fr-BE"/>
        </w:rPr>
        <w:t xml:space="preserve">the </w:t>
      </w:r>
      <w:r w:rsidR="008334C7" w:rsidRPr="00DF5C23">
        <w:rPr>
          <w:noProof/>
          <w:lang w:val="en-IE" w:eastAsia="fr-BE"/>
        </w:rPr>
        <w:t xml:space="preserve">possibility to establish </w:t>
      </w:r>
      <w:r w:rsidR="00793608" w:rsidRPr="00DF5C23">
        <w:rPr>
          <w:noProof/>
          <w:lang w:val="en-IE" w:eastAsia="fr-BE"/>
        </w:rPr>
        <w:t xml:space="preserve">ecodesign </w:t>
      </w:r>
      <w:r w:rsidR="008334C7" w:rsidRPr="00DF5C23">
        <w:rPr>
          <w:noProof/>
          <w:lang w:val="en-IE" w:eastAsia="fr-BE"/>
        </w:rPr>
        <w:t>requirements to improve</w:t>
      </w:r>
      <w:r w:rsidR="00F568D7" w:rsidRPr="00DF5C23">
        <w:rPr>
          <w:noProof/>
          <w:lang w:val="en-IE" w:eastAsia="fr-BE"/>
        </w:rPr>
        <w:t xml:space="preserve"> other aspects</w:t>
      </w:r>
      <w:r w:rsidR="00793608" w:rsidRPr="00DF5C23">
        <w:rPr>
          <w:noProof/>
          <w:lang w:val="en-IE" w:eastAsia="fr-BE"/>
        </w:rPr>
        <w:t xml:space="preserve"> of that product</w:t>
      </w:r>
      <w:r w:rsidR="00A03FCE" w:rsidRPr="00DF5C23">
        <w:rPr>
          <w:noProof/>
          <w:lang w:val="en-IE" w:eastAsia="fr-BE"/>
        </w:rPr>
        <w:t>;</w:t>
      </w:r>
    </w:p>
    <w:p w14:paraId="2C3A567E" w14:textId="345EC062" w:rsidR="00996C83" w:rsidRPr="00DF5C23" w:rsidRDefault="004F5E59" w:rsidP="004F5E59">
      <w:pPr>
        <w:pStyle w:val="Point1"/>
        <w:rPr>
          <w:noProof/>
          <w:lang w:val="en-IE" w:eastAsia="fr-BE"/>
        </w:rPr>
      </w:pPr>
      <w:r w:rsidRPr="004F5E59">
        <w:t>(c)</w:t>
      </w:r>
      <w:r w:rsidRPr="004F5E59">
        <w:tab/>
      </w:r>
      <w:r w:rsidR="007F78D1" w:rsidRPr="00DF5C23">
        <w:rPr>
          <w:noProof/>
          <w:lang w:val="en-IE" w:eastAsia="fr-BE"/>
        </w:rPr>
        <w:t>take into consideration</w:t>
      </w:r>
      <w:r w:rsidR="00996C83" w:rsidRPr="00DF5C23">
        <w:rPr>
          <w:noProof/>
          <w:lang w:val="en-IE" w:eastAsia="fr-BE"/>
        </w:rPr>
        <w:t xml:space="preserve"> relevant technical information used as a basis for or derived from Union legislation or instruments, including Regulation (EC) No 66/2010, Directive 2010/75/EU, technical screening criteria adopted pursuant to Regulation (EU) 2020/852 and green public procurement criteria</w:t>
      </w:r>
      <w:r w:rsidR="00C70A1E" w:rsidRPr="00DF5C23">
        <w:rPr>
          <w:noProof/>
          <w:lang w:val="en-IE" w:eastAsia="fr-BE"/>
        </w:rPr>
        <w:t>;</w:t>
      </w:r>
    </w:p>
    <w:p w14:paraId="2C3A567F" w14:textId="69F9EF50" w:rsidR="00DC08F4" w:rsidRPr="00DF5C23" w:rsidRDefault="004F5E59" w:rsidP="004F5E59">
      <w:pPr>
        <w:pStyle w:val="Point1"/>
        <w:rPr>
          <w:noProof/>
          <w:lang w:val="en-IE" w:eastAsia="fr-BE"/>
        </w:rPr>
      </w:pPr>
      <w:r w:rsidRPr="004F5E59">
        <w:t>(d)</w:t>
      </w:r>
      <w:r w:rsidRPr="004F5E59">
        <w:tab/>
      </w:r>
      <w:r w:rsidR="00DC08F4" w:rsidRPr="00DF5C23">
        <w:rPr>
          <w:noProof/>
          <w:lang w:val="en-IE" w:eastAsia="fr-BE"/>
        </w:rPr>
        <w:t>take into account the views expressed by the Ecodesign Forum referred to in Article 17.</w:t>
      </w:r>
    </w:p>
    <w:p w14:paraId="2C3A5680" w14:textId="7CC9EF9A" w:rsidR="00644780" w:rsidRPr="00DF5C23" w:rsidRDefault="004F5E59" w:rsidP="004F5E59">
      <w:pPr>
        <w:pStyle w:val="ManualNumPar1"/>
        <w:rPr>
          <w:noProof/>
          <w:lang w:val="en-IE" w:eastAsia="fr-BE"/>
        </w:rPr>
      </w:pPr>
      <w:r w:rsidRPr="004F5E59">
        <w:t>5.</w:t>
      </w:r>
      <w:r w:rsidRPr="004F5E59">
        <w:tab/>
      </w:r>
      <w:r w:rsidR="00AB7ABF" w:rsidRPr="00DF5C23">
        <w:rPr>
          <w:noProof/>
          <w:lang w:val="en-IE" w:eastAsia="fr-BE"/>
        </w:rPr>
        <w:t xml:space="preserve">Ecodesign requirements </w:t>
      </w:r>
      <w:r w:rsidR="00644780" w:rsidRPr="00DF5C23">
        <w:rPr>
          <w:noProof/>
          <w:lang w:val="en-IE" w:eastAsia="fr-BE"/>
        </w:rPr>
        <w:t>shall meet the following criteria:</w:t>
      </w:r>
    </w:p>
    <w:p w14:paraId="2C3A5681" w14:textId="64BB3415" w:rsidR="002558DB" w:rsidRPr="00DF5C23" w:rsidRDefault="004F5E59" w:rsidP="004F5E59">
      <w:pPr>
        <w:pStyle w:val="Point1"/>
        <w:rPr>
          <w:noProof/>
          <w:lang w:val="en-IE" w:eastAsia="fr-BE"/>
        </w:rPr>
      </w:pPr>
      <w:r w:rsidRPr="004F5E59">
        <w:t>(a)</w:t>
      </w:r>
      <w:r w:rsidRPr="004F5E59">
        <w:tab/>
      </w:r>
      <w:r w:rsidR="0681B866" w:rsidRPr="00DF5C23">
        <w:rPr>
          <w:noProof/>
          <w:lang w:val="en-IE" w:eastAsia="fr-BE"/>
        </w:rPr>
        <w:t>there shall be no significant negative impact on the functionality of the product, from the perspective of the user;</w:t>
      </w:r>
    </w:p>
    <w:p w14:paraId="2C3A5682" w14:textId="2BA7F052" w:rsidR="002558DB" w:rsidRPr="00DF5C23" w:rsidRDefault="004F5E59" w:rsidP="004F5E59">
      <w:pPr>
        <w:pStyle w:val="Point1"/>
        <w:rPr>
          <w:noProof/>
          <w:lang w:val="en-IE" w:eastAsia="fr-BE"/>
        </w:rPr>
      </w:pPr>
      <w:r w:rsidRPr="004F5E59">
        <w:t>(b)</w:t>
      </w:r>
      <w:r w:rsidRPr="004F5E59">
        <w:tab/>
      </w:r>
      <w:r w:rsidR="00AB7ABF" w:rsidRPr="00DF5C23">
        <w:rPr>
          <w:noProof/>
          <w:lang w:val="en-IE" w:eastAsia="fr-BE"/>
        </w:rPr>
        <w:t xml:space="preserve">there shall be no adverse effect on </w:t>
      </w:r>
      <w:r w:rsidR="007D4BFF" w:rsidRPr="00DF5C23">
        <w:rPr>
          <w:noProof/>
          <w:lang w:val="en-IE" w:eastAsia="fr-BE"/>
        </w:rPr>
        <w:t xml:space="preserve">the </w:t>
      </w:r>
      <w:r w:rsidR="0681B866" w:rsidRPr="00DF5C23">
        <w:rPr>
          <w:noProof/>
          <w:lang w:val="en-IE" w:eastAsia="fr-BE"/>
        </w:rPr>
        <w:t>health and safety of persons;</w:t>
      </w:r>
    </w:p>
    <w:p w14:paraId="2C3A5683" w14:textId="0ED20F77" w:rsidR="002558DB" w:rsidRPr="00DF5C23" w:rsidRDefault="004F5E59" w:rsidP="004F5E59">
      <w:pPr>
        <w:pStyle w:val="Point1"/>
        <w:rPr>
          <w:noProof/>
          <w:lang w:val="en-IE" w:eastAsia="fr-BE"/>
        </w:rPr>
      </w:pPr>
      <w:r w:rsidRPr="004F5E59">
        <w:t>(c)</w:t>
      </w:r>
      <w:r w:rsidRPr="004F5E59">
        <w:tab/>
      </w:r>
      <w:r w:rsidR="0681B866" w:rsidRPr="00DF5C23">
        <w:rPr>
          <w:noProof/>
          <w:lang w:val="en-IE" w:eastAsia="fr-BE"/>
        </w:rPr>
        <w:t>there shall be no significant negative impact on consumers in terms of the affordability of relevant products, also taking into account  access to second-hand products, durability and</w:t>
      </w:r>
      <w:r w:rsidR="007D4BFF" w:rsidRPr="00DF5C23">
        <w:rPr>
          <w:noProof/>
          <w:lang w:val="en-IE" w:eastAsia="fr-BE"/>
        </w:rPr>
        <w:t xml:space="preserve"> the</w:t>
      </w:r>
      <w:r w:rsidR="0681B866" w:rsidRPr="00DF5C23">
        <w:rPr>
          <w:noProof/>
          <w:lang w:val="en-IE" w:eastAsia="fr-BE"/>
        </w:rPr>
        <w:t xml:space="preserve"> life cycle cost of products;</w:t>
      </w:r>
    </w:p>
    <w:p w14:paraId="2C3A5684" w14:textId="50BA1C07" w:rsidR="002558DB" w:rsidRPr="00DF5C23" w:rsidRDefault="004F5E59" w:rsidP="004F5E59">
      <w:pPr>
        <w:pStyle w:val="Point1"/>
        <w:rPr>
          <w:noProof/>
          <w:lang w:val="en-IE" w:eastAsia="fr-BE"/>
        </w:rPr>
      </w:pPr>
      <w:r w:rsidRPr="004F5E59">
        <w:t>(d)</w:t>
      </w:r>
      <w:r w:rsidRPr="004F5E59">
        <w:tab/>
      </w:r>
      <w:r w:rsidR="0681B866" w:rsidRPr="00DF5C23">
        <w:rPr>
          <w:noProof/>
          <w:lang w:val="en-IE" w:eastAsia="fr-BE"/>
        </w:rPr>
        <w:t>there shall be no disproportionate negative impact on</w:t>
      </w:r>
      <w:r w:rsidR="00E76990" w:rsidRPr="00DF5C23">
        <w:rPr>
          <w:noProof/>
          <w:lang w:val="en-IE" w:eastAsia="fr-BE"/>
        </w:rPr>
        <w:t xml:space="preserve"> the competitiveness of economic actors</w:t>
      </w:r>
      <w:r w:rsidR="0681B866" w:rsidRPr="00DF5C23">
        <w:rPr>
          <w:noProof/>
          <w:lang w:val="en-IE" w:eastAsia="fr-BE"/>
        </w:rPr>
        <w:t xml:space="preserve">, </w:t>
      </w:r>
      <w:r w:rsidR="00CD4F25" w:rsidRPr="00DF5C23">
        <w:rPr>
          <w:noProof/>
          <w:lang w:val="en-IE" w:eastAsia="fr-BE"/>
        </w:rPr>
        <w:t>at least of</w:t>
      </w:r>
      <w:r w:rsidR="007F78D1" w:rsidRPr="00DF5C23">
        <w:rPr>
          <w:noProof/>
          <w:lang w:val="en-IE" w:eastAsia="fr-BE"/>
        </w:rPr>
        <w:t xml:space="preserve"> </w:t>
      </w:r>
      <w:r w:rsidR="0681B866" w:rsidRPr="00DF5C23">
        <w:rPr>
          <w:noProof/>
          <w:lang w:val="en-IE" w:eastAsia="fr-BE"/>
        </w:rPr>
        <w:t>SMEs;</w:t>
      </w:r>
    </w:p>
    <w:p w14:paraId="2C3A5685" w14:textId="4A9BA948" w:rsidR="002558DB" w:rsidRPr="00DF5C23" w:rsidRDefault="004F5E59" w:rsidP="004F5E59">
      <w:pPr>
        <w:pStyle w:val="Point1"/>
        <w:rPr>
          <w:noProof/>
          <w:lang w:val="en-IE" w:eastAsia="fr-BE"/>
        </w:rPr>
      </w:pPr>
      <w:r w:rsidRPr="004F5E59">
        <w:t>(e)</w:t>
      </w:r>
      <w:r w:rsidRPr="004F5E59">
        <w:tab/>
      </w:r>
      <w:r w:rsidR="007F78D1" w:rsidRPr="00DF5C23">
        <w:rPr>
          <w:noProof/>
          <w:lang w:val="en-IE" w:eastAsia="fr-BE"/>
        </w:rPr>
        <w:t>there shall be no</w:t>
      </w:r>
      <w:r w:rsidR="007D4BFF" w:rsidRPr="00DF5C23">
        <w:rPr>
          <w:noProof/>
          <w:lang w:eastAsia="fr-BE"/>
        </w:rPr>
        <w:t xml:space="preserve"> proprietary technology imposed on manufacturers or other economic actors</w:t>
      </w:r>
      <w:r w:rsidR="00646885" w:rsidRPr="00DF5C23">
        <w:rPr>
          <w:noProof/>
          <w:lang w:val="en-IE" w:eastAsia="fr-BE"/>
        </w:rPr>
        <w:t xml:space="preserve">; </w:t>
      </w:r>
    </w:p>
    <w:p w14:paraId="2C3A5686" w14:textId="7B60C612" w:rsidR="00646885" w:rsidRPr="00DF5C23" w:rsidRDefault="004F5E59" w:rsidP="004F5E59">
      <w:pPr>
        <w:pStyle w:val="Point1"/>
        <w:rPr>
          <w:noProof/>
          <w:lang w:val="en-IE" w:eastAsia="fr-BE"/>
        </w:rPr>
      </w:pPr>
      <w:r w:rsidRPr="004F5E59">
        <w:t>(f)</w:t>
      </w:r>
      <w:r w:rsidRPr="004F5E59">
        <w:tab/>
      </w:r>
      <w:r w:rsidR="007F78D1" w:rsidRPr="00DF5C23">
        <w:rPr>
          <w:noProof/>
          <w:lang w:val="en-IE" w:eastAsia="fr-BE"/>
        </w:rPr>
        <w:t xml:space="preserve">there shall be </w:t>
      </w:r>
      <w:r w:rsidR="0681B866" w:rsidRPr="00DF5C23">
        <w:rPr>
          <w:noProof/>
          <w:lang w:val="en-IE" w:eastAsia="fr-BE"/>
        </w:rPr>
        <w:t>no disproportionate administrative burden on manufacturers</w:t>
      </w:r>
      <w:r w:rsidR="007F78D1" w:rsidRPr="00DF5C23">
        <w:rPr>
          <w:noProof/>
          <w:lang w:eastAsia="fr-BE"/>
        </w:rPr>
        <w:t xml:space="preserve"> or other economic actors</w:t>
      </w:r>
      <w:r w:rsidR="0681B866" w:rsidRPr="00DF5C23">
        <w:rPr>
          <w:noProof/>
          <w:lang w:val="en-IE" w:eastAsia="fr-BE"/>
        </w:rPr>
        <w:t>.</w:t>
      </w:r>
    </w:p>
    <w:p w14:paraId="2C3A5687" w14:textId="5985C198" w:rsidR="00DC6988" w:rsidRPr="00DF5C23" w:rsidRDefault="004F5E59" w:rsidP="004F5E59">
      <w:pPr>
        <w:pStyle w:val="ManualNumPar1"/>
        <w:rPr>
          <w:noProof/>
        </w:rPr>
      </w:pPr>
      <w:r w:rsidRPr="004F5E59">
        <w:t>6.</w:t>
      </w:r>
      <w:r w:rsidRPr="004F5E59">
        <w:tab/>
      </w:r>
      <w:r w:rsidR="007F78D1" w:rsidRPr="00DF5C23">
        <w:rPr>
          <w:noProof/>
          <w:lang w:val="en-IE" w:eastAsia="fr-BE"/>
        </w:rPr>
        <w:t xml:space="preserve">The Commission shall, where </w:t>
      </w:r>
      <w:r w:rsidR="00CC6869" w:rsidRPr="00DF5C23">
        <w:rPr>
          <w:noProof/>
          <w:lang w:val="en-IE" w:eastAsia="fr-BE"/>
        </w:rPr>
        <w:t>appropriate</w:t>
      </w:r>
      <w:r w:rsidR="007F78D1" w:rsidRPr="00DF5C23">
        <w:rPr>
          <w:noProof/>
          <w:lang w:val="en-IE" w:eastAsia="fr-BE"/>
        </w:rPr>
        <w:t>,</w:t>
      </w:r>
      <w:r w:rsidR="00DC6988" w:rsidRPr="00DF5C23">
        <w:rPr>
          <w:noProof/>
          <w:lang w:val="en-IE" w:eastAsia="fr-BE"/>
        </w:rPr>
        <w:t xml:space="preserve"> require</w:t>
      </w:r>
      <w:r w:rsidR="00DC6988" w:rsidRPr="00DF5C23">
        <w:rPr>
          <w:noProof/>
          <w:lang w:eastAsia="en-GB"/>
        </w:rPr>
        <w:t xml:space="preserve"> </w:t>
      </w:r>
      <w:r w:rsidR="00364926" w:rsidRPr="00DF5C23">
        <w:rPr>
          <w:rFonts w:eastAsia="Times New Roman"/>
          <w:noProof/>
          <w:color w:val="000000" w:themeColor="text1"/>
          <w:lang w:val="en-IE" w:eastAsia="fr-BE"/>
        </w:rPr>
        <w:t>supply chain actors</w:t>
      </w:r>
      <w:r w:rsidR="00364926" w:rsidRPr="00DF5C23" w:rsidDel="00364926">
        <w:rPr>
          <w:noProof/>
          <w:lang w:eastAsia="en-GB"/>
        </w:rPr>
        <w:t xml:space="preserve"> </w:t>
      </w:r>
      <w:r w:rsidR="00DC6988" w:rsidRPr="00DF5C23">
        <w:rPr>
          <w:noProof/>
          <w:lang w:eastAsia="en-GB"/>
        </w:rPr>
        <w:t>to:</w:t>
      </w:r>
    </w:p>
    <w:p w14:paraId="2C3A5688" w14:textId="18CBB259" w:rsidR="00DC6988" w:rsidRPr="00DF5C23" w:rsidRDefault="004F5E59" w:rsidP="004F5E59">
      <w:pPr>
        <w:pStyle w:val="Point1"/>
        <w:rPr>
          <w:noProof/>
          <w:lang w:val="en-IE" w:eastAsia="fr-BE"/>
        </w:rPr>
      </w:pPr>
      <w:r w:rsidRPr="004F5E59">
        <w:t>(a)</w:t>
      </w:r>
      <w:r w:rsidRPr="004F5E59">
        <w:tab/>
      </w:r>
      <w:r w:rsidR="00DC6988" w:rsidRPr="00DF5C23">
        <w:rPr>
          <w:noProof/>
          <w:lang w:val="en-IE" w:eastAsia="fr-BE"/>
        </w:rPr>
        <w:t xml:space="preserve">provide, upon request, manufacturers, notified bodies and competent national authorities with available information related to their supplies or services that is relevant </w:t>
      </w:r>
      <w:r w:rsidR="007F78D1" w:rsidRPr="00DF5C23">
        <w:rPr>
          <w:noProof/>
          <w:lang w:val="en-IE" w:eastAsia="fr-BE"/>
        </w:rPr>
        <w:t>in order to verify</w:t>
      </w:r>
      <w:r w:rsidR="00DC6988" w:rsidRPr="00DF5C23">
        <w:rPr>
          <w:noProof/>
          <w:lang w:val="en-IE" w:eastAsia="fr-BE"/>
        </w:rPr>
        <w:t xml:space="preserve"> compliance with ecodesign requirements;</w:t>
      </w:r>
    </w:p>
    <w:p w14:paraId="2C3A5689" w14:textId="73EE51F9" w:rsidR="007F78D1" w:rsidRPr="00DF5C23" w:rsidRDefault="004F5E59" w:rsidP="004F5E59">
      <w:pPr>
        <w:pStyle w:val="Point1"/>
        <w:rPr>
          <w:noProof/>
          <w:lang w:eastAsia="fr-BE"/>
        </w:rPr>
      </w:pPr>
      <w:r w:rsidRPr="004F5E59">
        <w:t>(b)</w:t>
      </w:r>
      <w:r w:rsidRPr="004F5E59">
        <w:tab/>
      </w:r>
      <w:r w:rsidR="007F78D1" w:rsidRPr="00DF5C23">
        <w:rPr>
          <w:noProof/>
          <w:lang w:eastAsia="fr-BE"/>
        </w:rPr>
        <w:t>allow, in the absence of information referred to in point (a), manufacturers to assess their supplies or services in order to verify compliance with ecodesign requirements and give access to relevant documents or facilities</w:t>
      </w:r>
      <w:r w:rsidR="00CC6869" w:rsidRPr="00DF5C23">
        <w:rPr>
          <w:noProof/>
          <w:lang w:eastAsia="fr-BE"/>
        </w:rPr>
        <w:t xml:space="preserve"> to those manufacturers</w:t>
      </w:r>
      <w:r w:rsidR="007F78D1" w:rsidRPr="00DF5C23">
        <w:rPr>
          <w:noProof/>
          <w:lang w:eastAsia="fr-BE"/>
        </w:rPr>
        <w:t>;</w:t>
      </w:r>
    </w:p>
    <w:p w14:paraId="2C3A568A" w14:textId="5F5FA949" w:rsidR="00DC6988" w:rsidRPr="00DF5C23" w:rsidRDefault="004F5E59" w:rsidP="004F5E59">
      <w:pPr>
        <w:pStyle w:val="Point1"/>
        <w:rPr>
          <w:noProof/>
          <w:lang w:val="en-IE" w:eastAsia="fr-BE"/>
        </w:rPr>
      </w:pPr>
      <w:r w:rsidRPr="004F5E59">
        <w:t>(c)</w:t>
      </w:r>
      <w:r w:rsidRPr="004F5E59">
        <w:tab/>
      </w:r>
      <w:r w:rsidR="00DC6988" w:rsidRPr="00DF5C23">
        <w:rPr>
          <w:noProof/>
          <w:lang w:eastAsia="fr-BE"/>
        </w:rPr>
        <w:t xml:space="preserve">enable notified bodies and competent national authorities to verify the correctness of information related to their activities </w:t>
      </w:r>
      <w:r w:rsidR="007F78D1" w:rsidRPr="00DF5C23">
        <w:rPr>
          <w:noProof/>
          <w:lang w:eastAsia="fr-BE"/>
        </w:rPr>
        <w:t>and</w:t>
      </w:r>
      <w:r w:rsidR="00DC6988" w:rsidRPr="00DF5C23">
        <w:rPr>
          <w:noProof/>
          <w:lang w:eastAsia="fr-BE"/>
        </w:rPr>
        <w:t xml:space="preserve"> relevant for </w:t>
      </w:r>
      <w:r w:rsidR="00CC6869" w:rsidRPr="00DF5C23">
        <w:rPr>
          <w:noProof/>
          <w:lang w:eastAsia="fr-BE"/>
        </w:rPr>
        <w:t>verifying</w:t>
      </w:r>
      <w:r w:rsidR="00DC6988" w:rsidRPr="00DF5C23">
        <w:rPr>
          <w:noProof/>
          <w:lang w:eastAsia="fr-BE"/>
        </w:rPr>
        <w:t xml:space="preserve"> compliance with </w:t>
      </w:r>
      <w:r w:rsidR="00DC6988" w:rsidRPr="00DF5C23">
        <w:rPr>
          <w:noProof/>
          <w:lang w:val="en-IE" w:eastAsia="fr-BE"/>
        </w:rPr>
        <w:t>ecodesign</w:t>
      </w:r>
      <w:r w:rsidR="00DC6988" w:rsidRPr="00DF5C23">
        <w:rPr>
          <w:noProof/>
          <w:lang w:eastAsia="fr-BE"/>
        </w:rPr>
        <w:t xml:space="preserve"> requirements</w:t>
      </w:r>
      <w:r w:rsidR="00DC6988" w:rsidRPr="00DF5C23">
        <w:rPr>
          <w:noProof/>
          <w:lang w:val="en-IE" w:eastAsia="fr-BE"/>
        </w:rPr>
        <w:t>.</w:t>
      </w:r>
    </w:p>
    <w:p w14:paraId="2C3A568B" w14:textId="18145723" w:rsidR="00060C17" w:rsidRPr="00DF5C23" w:rsidRDefault="004F5E59" w:rsidP="004F5E59">
      <w:pPr>
        <w:pStyle w:val="ManualNumPar1"/>
        <w:rPr>
          <w:noProof/>
          <w:lang w:val="en-IE" w:eastAsia="fr-BE"/>
        </w:rPr>
      </w:pPr>
      <w:r w:rsidRPr="004F5E59">
        <w:t>7.</w:t>
      </w:r>
      <w:r w:rsidRPr="004F5E59">
        <w:tab/>
      </w:r>
      <w:r w:rsidR="00CC6869" w:rsidRPr="00DF5C23">
        <w:rPr>
          <w:noProof/>
          <w:lang w:val="en-IE" w:eastAsia="fr-BE"/>
        </w:rPr>
        <w:t xml:space="preserve">The Commission shall, where appropriate, </w:t>
      </w:r>
      <w:r w:rsidR="00060C17" w:rsidRPr="00DF5C23">
        <w:rPr>
          <w:noProof/>
          <w:lang w:val="en-IE" w:eastAsia="fr-BE"/>
        </w:rPr>
        <w:t xml:space="preserve">identify appropriate means of verification for specific </w:t>
      </w:r>
      <w:r w:rsidR="00092811" w:rsidRPr="00DF5C23">
        <w:rPr>
          <w:noProof/>
          <w:lang w:val="en-IE" w:eastAsia="fr-BE"/>
        </w:rPr>
        <w:t>ecodesign</w:t>
      </w:r>
      <w:r w:rsidR="00060C17" w:rsidRPr="00DF5C23">
        <w:rPr>
          <w:noProof/>
          <w:lang w:val="en-IE" w:eastAsia="fr-BE"/>
        </w:rPr>
        <w:t xml:space="preserve"> requirements, including directly on the product or on the basis of the technical documentation.</w:t>
      </w:r>
    </w:p>
    <w:p w14:paraId="2C3A568C" w14:textId="0A8B2B9A" w:rsidR="00432C77" w:rsidRPr="00DF5C23" w:rsidRDefault="004F5E59" w:rsidP="004F5E59">
      <w:pPr>
        <w:pStyle w:val="ManualNumPar1"/>
        <w:rPr>
          <w:noProof/>
          <w:lang w:val="en-IE" w:eastAsia="fr-BE"/>
        </w:rPr>
      </w:pPr>
      <w:r w:rsidRPr="004F5E59">
        <w:t>8.</w:t>
      </w:r>
      <w:r w:rsidRPr="004F5E59">
        <w:tab/>
      </w:r>
      <w:r w:rsidR="002E01E2" w:rsidRPr="00DF5C23">
        <w:rPr>
          <w:noProof/>
          <w:lang w:val="en-IE" w:eastAsia="fr-BE"/>
        </w:rPr>
        <w:t xml:space="preserve">The Commission shall publish relevant studies and analyses used in </w:t>
      </w:r>
      <w:r w:rsidR="00CC6869" w:rsidRPr="00DF5C23">
        <w:rPr>
          <w:noProof/>
          <w:lang w:val="en-IE" w:eastAsia="fr-BE"/>
        </w:rPr>
        <w:t>the establishment of ecodesign requirements in accordance with this Regulation</w:t>
      </w:r>
      <w:r w:rsidR="008E02C1" w:rsidRPr="00DF5C23">
        <w:rPr>
          <w:noProof/>
          <w:lang w:val="en-IE" w:eastAsia="fr-BE"/>
        </w:rPr>
        <w:t>.</w:t>
      </w:r>
    </w:p>
    <w:p w14:paraId="2C3A568D" w14:textId="77777777" w:rsidR="009D514E" w:rsidRPr="00DF5C23" w:rsidRDefault="0681B866" w:rsidP="0681B866">
      <w:pPr>
        <w:pStyle w:val="Titrearticle"/>
        <w:rPr>
          <w:noProof/>
          <w:lang w:val="en-IE" w:eastAsia="fr-BE"/>
        </w:rPr>
      </w:pPr>
      <w:r w:rsidRPr="00DF5C23">
        <w:rPr>
          <w:noProof/>
          <w:lang w:val="en-IE" w:eastAsia="fr-BE"/>
        </w:rPr>
        <w:t>Article 6</w:t>
      </w:r>
      <w:r w:rsidR="00544DD7" w:rsidRPr="00DF5C23">
        <w:rPr>
          <w:noProof/>
        </w:rPr>
        <w:br/>
      </w:r>
      <w:r w:rsidRPr="00DF5C23">
        <w:rPr>
          <w:noProof/>
          <w:lang w:val="en-IE" w:eastAsia="fr-BE"/>
        </w:rPr>
        <w:t xml:space="preserve">Performance requirements </w:t>
      </w:r>
    </w:p>
    <w:p w14:paraId="2C3A568E" w14:textId="756A4FFA" w:rsidR="000B719A" w:rsidRPr="00DF5C23" w:rsidRDefault="004F5E59" w:rsidP="004F5E59">
      <w:pPr>
        <w:pStyle w:val="ManualNumPar1"/>
        <w:rPr>
          <w:noProof/>
          <w:lang w:val="en-IE"/>
        </w:rPr>
      </w:pPr>
      <w:r w:rsidRPr="004F5E59">
        <w:t>1.</w:t>
      </w:r>
      <w:r w:rsidRPr="004F5E59">
        <w:tab/>
      </w:r>
      <w:r w:rsidR="00FB75D4" w:rsidRPr="00DF5C23">
        <w:rPr>
          <w:noProof/>
          <w:lang w:val="en-IE"/>
        </w:rPr>
        <w:t xml:space="preserve">Products shall comply with </w:t>
      </w:r>
      <w:r w:rsidR="00FB75D4" w:rsidRPr="00DF5C23">
        <w:rPr>
          <w:noProof/>
          <w:lang w:val="en-IE" w:eastAsia="fr-BE"/>
        </w:rPr>
        <w:t xml:space="preserve">performance requirements </w:t>
      </w:r>
      <w:r w:rsidR="000B719A" w:rsidRPr="00DF5C23">
        <w:rPr>
          <w:noProof/>
          <w:lang w:val="en-IE" w:eastAsia="fr-BE"/>
        </w:rPr>
        <w:t>related to</w:t>
      </w:r>
      <w:r w:rsidR="00FB75D4" w:rsidRPr="00DF5C23">
        <w:rPr>
          <w:noProof/>
          <w:lang w:val="en-IE" w:eastAsia="fr-BE"/>
        </w:rPr>
        <w:t xml:space="preserve"> </w:t>
      </w:r>
      <w:r w:rsidR="00FB75D4" w:rsidRPr="00DF5C23">
        <w:rPr>
          <w:noProof/>
          <w:lang w:val="en-IE"/>
        </w:rPr>
        <w:t>the product aspects listed in Article 5</w:t>
      </w:r>
      <w:r w:rsidR="0056057B" w:rsidRPr="00DF5C23">
        <w:rPr>
          <w:noProof/>
          <w:lang w:val="en-IE"/>
        </w:rPr>
        <w:t>(1</w:t>
      </w:r>
      <w:r w:rsidR="00FB75D4" w:rsidRPr="00DF5C23">
        <w:rPr>
          <w:noProof/>
          <w:lang w:val="en-IE"/>
        </w:rPr>
        <w:t xml:space="preserve">), as laid down in the delegated acts adopted pursuant to Article </w:t>
      </w:r>
      <w:r w:rsidR="0056057B" w:rsidRPr="00DF5C23">
        <w:rPr>
          <w:noProof/>
          <w:lang w:val="en-IE"/>
        </w:rPr>
        <w:t>4</w:t>
      </w:r>
      <w:r w:rsidR="00FB75D4" w:rsidRPr="00DF5C23">
        <w:rPr>
          <w:noProof/>
          <w:lang w:val="en-IE"/>
        </w:rPr>
        <w:t>.</w:t>
      </w:r>
    </w:p>
    <w:p w14:paraId="2C3A568F" w14:textId="075F7DD0" w:rsidR="002A032D"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Performance requirements</w:t>
      </w:r>
      <w:r w:rsidR="009E33DE" w:rsidRPr="00DF5C23">
        <w:rPr>
          <w:noProof/>
          <w:lang w:val="en-IE" w:eastAsia="fr-BE"/>
        </w:rPr>
        <w:t xml:space="preserve"> referred to in paragraph 1 shall be</w:t>
      </w:r>
      <w:r w:rsidR="009E33DE" w:rsidRPr="00DF5C23">
        <w:rPr>
          <w:rFonts w:eastAsia="Times New Roman"/>
          <w:noProof/>
          <w:lang w:val="en-IE"/>
        </w:rPr>
        <w:t xml:space="preserve"> based on </w:t>
      </w:r>
      <w:r w:rsidR="00CD30B4" w:rsidRPr="00DF5C23">
        <w:rPr>
          <w:rFonts w:eastAsia="Times New Roman"/>
          <w:noProof/>
          <w:lang w:val="en-IE"/>
        </w:rPr>
        <w:t xml:space="preserve">the </w:t>
      </w:r>
      <w:r w:rsidR="009E33DE" w:rsidRPr="00DF5C23">
        <w:rPr>
          <w:rFonts w:eastAsia="Times New Roman"/>
          <w:noProof/>
          <w:lang w:val="en-IE"/>
        </w:rPr>
        <w:t>product parameters referred to in Annex I</w:t>
      </w:r>
      <w:r w:rsidR="0681B866" w:rsidRPr="00DF5C23">
        <w:rPr>
          <w:noProof/>
          <w:lang w:val="en-IE" w:eastAsia="fr-BE"/>
        </w:rPr>
        <w:t xml:space="preserve"> </w:t>
      </w:r>
      <w:r w:rsidR="009E33DE" w:rsidRPr="00DF5C23">
        <w:rPr>
          <w:noProof/>
          <w:lang w:val="en-IE" w:eastAsia="fr-BE"/>
        </w:rPr>
        <w:t xml:space="preserve">and </w:t>
      </w:r>
      <w:r w:rsidR="008D46CA" w:rsidRPr="00DF5C23">
        <w:rPr>
          <w:noProof/>
          <w:lang w:val="en-IE" w:eastAsia="fr-BE"/>
        </w:rPr>
        <w:t>shall, as appropriate,</w:t>
      </w:r>
      <w:r w:rsidR="0681B866" w:rsidRPr="00DF5C23">
        <w:rPr>
          <w:noProof/>
          <w:lang w:val="en-IE" w:eastAsia="fr-BE"/>
        </w:rPr>
        <w:t xml:space="preserve"> include:</w:t>
      </w:r>
    </w:p>
    <w:p w14:paraId="2C3A5690" w14:textId="0FD55D0D" w:rsidR="001B4E06" w:rsidRPr="00DF5C23" w:rsidRDefault="004F5E59" w:rsidP="004F5E59">
      <w:pPr>
        <w:pStyle w:val="Point1"/>
        <w:rPr>
          <w:noProof/>
          <w:lang w:val="en-IE"/>
        </w:rPr>
      </w:pPr>
      <w:r w:rsidRPr="004F5E59">
        <w:t>(a)</w:t>
      </w:r>
      <w:r w:rsidRPr="004F5E59">
        <w:tab/>
      </w:r>
      <w:r w:rsidR="0014553D" w:rsidRPr="00DF5C23">
        <w:rPr>
          <w:noProof/>
          <w:lang w:val="en-IE"/>
        </w:rPr>
        <w:t xml:space="preserve">minimum or maximum levels in relation to </w:t>
      </w:r>
      <w:r w:rsidR="001B4E06" w:rsidRPr="00DF5C23">
        <w:rPr>
          <w:noProof/>
          <w:lang w:val="en-IE"/>
        </w:rPr>
        <w:t xml:space="preserve">a </w:t>
      </w:r>
      <w:r w:rsidR="0014553D" w:rsidRPr="00DF5C23">
        <w:rPr>
          <w:noProof/>
          <w:lang w:val="en-IE"/>
        </w:rPr>
        <w:t xml:space="preserve">specific </w:t>
      </w:r>
      <w:r w:rsidR="009E33DE" w:rsidRPr="00DF5C23">
        <w:rPr>
          <w:noProof/>
          <w:lang w:val="en-IE"/>
        </w:rPr>
        <w:t xml:space="preserve">product </w:t>
      </w:r>
      <w:r w:rsidR="0014553D" w:rsidRPr="00DF5C23">
        <w:rPr>
          <w:noProof/>
          <w:lang w:val="en-IE"/>
        </w:rPr>
        <w:t xml:space="preserve">parameter </w:t>
      </w:r>
      <w:r w:rsidR="008D46CA" w:rsidRPr="00DF5C23">
        <w:rPr>
          <w:noProof/>
          <w:lang w:val="en-IE"/>
        </w:rPr>
        <w:t xml:space="preserve">referred to </w:t>
      </w:r>
      <w:r w:rsidR="0014553D" w:rsidRPr="00DF5C23">
        <w:rPr>
          <w:noProof/>
          <w:lang w:val="en-IE"/>
        </w:rPr>
        <w:t xml:space="preserve">in Annex </w:t>
      </w:r>
      <w:r w:rsidR="001B4E06" w:rsidRPr="00DF5C23">
        <w:rPr>
          <w:noProof/>
          <w:lang w:val="en-IE"/>
        </w:rPr>
        <w:t>I</w:t>
      </w:r>
      <w:r w:rsidR="0014553D" w:rsidRPr="00DF5C23">
        <w:rPr>
          <w:noProof/>
          <w:lang w:val="en-IE"/>
        </w:rPr>
        <w:t xml:space="preserve"> or </w:t>
      </w:r>
      <w:r w:rsidR="007D4BFF" w:rsidRPr="00DF5C23">
        <w:rPr>
          <w:noProof/>
          <w:lang w:val="en-IE"/>
        </w:rPr>
        <w:t xml:space="preserve">a </w:t>
      </w:r>
      <w:r w:rsidR="0014553D" w:rsidRPr="00DF5C23">
        <w:rPr>
          <w:noProof/>
          <w:lang w:val="en-IE"/>
        </w:rPr>
        <w:t>combination thereof</w:t>
      </w:r>
      <w:r w:rsidR="007D4BFF" w:rsidRPr="00DF5C23">
        <w:rPr>
          <w:noProof/>
          <w:lang w:val="en-IE"/>
        </w:rPr>
        <w:t>;</w:t>
      </w:r>
      <w:r w:rsidR="0014553D" w:rsidRPr="00DF5C23">
        <w:rPr>
          <w:noProof/>
          <w:lang w:val="en-IE"/>
        </w:rPr>
        <w:t xml:space="preserve"> </w:t>
      </w:r>
    </w:p>
    <w:p w14:paraId="2C3A5691" w14:textId="1F8D6E83" w:rsidR="002A032D" w:rsidRPr="00DF5C23" w:rsidRDefault="004F5E59" w:rsidP="004F5E59">
      <w:pPr>
        <w:pStyle w:val="Point1"/>
        <w:rPr>
          <w:noProof/>
          <w:lang w:val="en-IE"/>
        </w:rPr>
      </w:pPr>
      <w:r w:rsidRPr="004F5E59">
        <w:t>(b)</w:t>
      </w:r>
      <w:r w:rsidRPr="004F5E59">
        <w:tab/>
      </w:r>
      <w:r w:rsidR="0014553D" w:rsidRPr="00DF5C23">
        <w:rPr>
          <w:noProof/>
          <w:lang w:val="en-IE"/>
        </w:rPr>
        <w:t xml:space="preserve">non-quantitative requirements that aim </w:t>
      </w:r>
      <w:r w:rsidR="007D4BFF" w:rsidRPr="00DF5C23">
        <w:rPr>
          <w:noProof/>
          <w:lang w:val="en-IE"/>
        </w:rPr>
        <w:t>to</w:t>
      </w:r>
      <w:r w:rsidR="0014553D" w:rsidRPr="00DF5C23">
        <w:rPr>
          <w:noProof/>
          <w:lang w:val="en-IE"/>
        </w:rPr>
        <w:t xml:space="preserve"> improv</w:t>
      </w:r>
      <w:r w:rsidR="007D4BFF" w:rsidRPr="00DF5C23">
        <w:rPr>
          <w:noProof/>
          <w:lang w:val="en-IE"/>
        </w:rPr>
        <w:t>e</w:t>
      </w:r>
      <w:r w:rsidR="0014553D" w:rsidRPr="00DF5C23">
        <w:rPr>
          <w:noProof/>
          <w:lang w:val="en-IE"/>
        </w:rPr>
        <w:t xml:space="preserve"> performance in relation to </w:t>
      </w:r>
      <w:r w:rsidR="00CD30B4" w:rsidRPr="00DF5C23">
        <w:rPr>
          <w:noProof/>
          <w:lang w:val="en-IE"/>
        </w:rPr>
        <w:t xml:space="preserve">one or more </w:t>
      </w:r>
      <w:r w:rsidR="009E33DE" w:rsidRPr="00DF5C23">
        <w:rPr>
          <w:noProof/>
          <w:lang w:val="en-IE"/>
        </w:rPr>
        <w:t xml:space="preserve">product </w:t>
      </w:r>
      <w:r w:rsidR="0014553D" w:rsidRPr="00DF5C23">
        <w:rPr>
          <w:noProof/>
          <w:lang w:val="en-IE"/>
        </w:rPr>
        <w:t>parameters</w:t>
      </w:r>
      <w:r w:rsidR="008D46CA" w:rsidRPr="00DF5C23">
        <w:rPr>
          <w:noProof/>
          <w:lang w:val="en-IE"/>
        </w:rPr>
        <w:t xml:space="preserve"> </w:t>
      </w:r>
      <w:r w:rsidR="00244960" w:rsidRPr="00DF5C23">
        <w:rPr>
          <w:noProof/>
          <w:lang w:val="en-IE" w:eastAsia="fr-BE"/>
        </w:rPr>
        <w:t>referred to</w:t>
      </w:r>
      <w:r w:rsidR="00244960" w:rsidRPr="00DF5C23">
        <w:rPr>
          <w:noProof/>
          <w:lang w:val="en-IE"/>
        </w:rPr>
        <w:t xml:space="preserve"> </w:t>
      </w:r>
      <w:r w:rsidR="0014553D" w:rsidRPr="00DF5C23">
        <w:rPr>
          <w:noProof/>
          <w:lang w:val="en-IE"/>
        </w:rPr>
        <w:t xml:space="preserve">in </w:t>
      </w:r>
      <w:r w:rsidR="001B4E06" w:rsidRPr="00DF5C23">
        <w:rPr>
          <w:noProof/>
          <w:lang w:val="en-IE"/>
        </w:rPr>
        <w:t>Annex I</w:t>
      </w:r>
      <w:r w:rsidR="007D4BFF" w:rsidRPr="00DF5C23">
        <w:rPr>
          <w:noProof/>
          <w:lang w:val="en-IE"/>
        </w:rPr>
        <w:t>;</w:t>
      </w:r>
    </w:p>
    <w:p w14:paraId="2C3A5692" w14:textId="2F926DDC" w:rsidR="000E70B3" w:rsidRPr="00DF5C23" w:rsidRDefault="004F5E59" w:rsidP="004F5E59">
      <w:pPr>
        <w:pStyle w:val="Point1"/>
        <w:rPr>
          <w:noProof/>
          <w:lang w:val="en-IE"/>
        </w:rPr>
      </w:pPr>
      <w:r w:rsidRPr="004F5E59">
        <w:t>(c)</w:t>
      </w:r>
      <w:r w:rsidRPr="004F5E59">
        <w:tab/>
      </w:r>
      <w:r w:rsidR="0014553D" w:rsidRPr="00DF5C23">
        <w:rPr>
          <w:noProof/>
          <w:lang w:val="en-IE"/>
        </w:rPr>
        <w:t>requirements related to the functional performance of a product</w:t>
      </w:r>
      <w:r w:rsidR="00C70A1E" w:rsidRPr="00DF5C23">
        <w:rPr>
          <w:noProof/>
          <w:lang w:val="en-IE"/>
        </w:rPr>
        <w:t>.</w:t>
      </w:r>
      <w:r w:rsidR="0014553D" w:rsidRPr="00DF5C23">
        <w:rPr>
          <w:noProof/>
          <w:lang w:val="en-IE"/>
        </w:rPr>
        <w:t xml:space="preserve"> </w:t>
      </w:r>
    </w:p>
    <w:p w14:paraId="2C3A5693" w14:textId="03109E38" w:rsidR="009E33DE" w:rsidRPr="00DF5C23" w:rsidRDefault="004F5E59" w:rsidP="004F5E59">
      <w:pPr>
        <w:pStyle w:val="ManualNumPar1"/>
        <w:rPr>
          <w:noProof/>
          <w:lang w:val="en-IE" w:eastAsia="fr-BE"/>
        </w:rPr>
      </w:pPr>
      <w:r w:rsidRPr="004F5E59">
        <w:t>3.</w:t>
      </w:r>
      <w:r w:rsidRPr="004F5E59">
        <w:tab/>
      </w:r>
      <w:r w:rsidR="000E70B3" w:rsidRPr="00DF5C23">
        <w:rPr>
          <w:noProof/>
          <w:lang w:val="en-IE" w:eastAsia="fr-BE"/>
        </w:rPr>
        <w:t xml:space="preserve">Performance requirements </w:t>
      </w:r>
      <w:r w:rsidR="00A13533" w:rsidRPr="00DF5C23">
        <w:rPr>
          <w:noProof/>
          <w:lang w:val="en-IE" w:eastAsia="fr-BE"/>
        </w:rPr>
        <w:t xml:space="preserve">based on the product parameter set out in </w:t>
      </w:r>
      <w:r w:rsidR="00C4493A" w:rsidRPr="00DF5C23">
        <w:rPr>
          <w:noProof/>
          <w:lang w:val="en-IE" w:eastAsia="fr-BE"/>
        </w:rPr>
        <w:t xml:space="preserve">Annex I, </w:t>
      </w:r>
      <w:r w:rsidR="00C4493A" w:rsidRPr="00DF5C23">
        <w:rPr>
          <w:rFonts w:eastAsia="Times New Roman"/>
          <w:noProof/>
          <w:color w:val="000000" w:themeColor="text1"/>
          <w:lang w:val="en-IE" w:eastAsia="fr-BE"/>
        </w:rPr>
        <w:t>point (</w:t>
      </w:r>
      <w:r w:rsidR="00014108" w:rsidRPr="00DF5C23">
        <w:rPr>
          <w:rFonts w:eastAsia="Times New Roman"/>
          <w:noProof/>
          <w:color w:val="000000" w:themeColor="text1"/>
          <w:lang w:val="en-IE" w:eastAsia="fr-BE"/>
        </w:rPr>
        <w:t>f</w:t>
      </w:r>
      <w:r w:rsidR="00C4493A" w:rsidRPr="00DF5C23">
        <w:rPr>
          <w:rFonts w:eastAsia="Times New Roman"/>
          <w:noProof/>
          <w:color w:val="000000" w:themeColor="text1"/>
          <w:lang w:val="en-IE" w:eastAsia="fr-BE"/>
        </w:rPr>
        <w:t>)</w:t>
      </w:r>
      <w:r w:rsidR="00DD5A3B" w:rsidRPr="00DF5C23">
        <w:rPr>
          <w:rFonts w:eastAsia="Times New Roman"/>
          <w:noProof/>
          <w:color w:val="000000" w:themeColor="text1"/>
          <w:lang w:val="en-IE" w:eastAsia="fr-BE"/>
        </w:rPr>
        <w:t>,</w:t>
      </w:r>
      <w:r w:rsidR="000E70B3" w:rsidRPr="00DF5C23">
        <w:rPr>
          <w:noProof/>
          <w:lang w:val="en-IE" w:eastAsia="fr-BE"/>
        </w:rPr>
        <w:t xml:space="preserve"> </w:t>
      </w:r>
      <w:r w:rsidR="00C4493A" w:rsidRPr="00DF5C23">
        <w:rPr>
          <w:noProof/>
          <w:lang w:val="en-IE" w:eastAsia="fr-BE"/>
        </w:rPr>
        <w:t xml:space="preserve">shall not restrict the presence of substances in products for reasons relating primarily to chemical safety. </w:t>
      </w:r>
    </w:p>
    <w:p w14:paraId="2C3A5694" w14:textId="3B77EECA" w:rsidR="009E33DE" w:rsidRPr="00DF5C23" w:rsidRDefault="004F5E59" w:rsidP="004F5E59">
      <w:pPr>
        <w:pStyle w:val="ManualNumPar1"/>
        <w:rPr>
          <w:noProof/>
          <w:lang w:val="en-IE" w:eastAsia="fr-BE"/>
        </w:rPr>
      </w:pPr>
      <w:r w:rsidRPr="004F5E59">
        <w:t>4.</w:t>
      </w:r>
      <w:r w:rsidRPr="004F5E59">
        <w:tab/>
      </w:r>
      <w:r w:rsidR="009E33DE" w:rsidRPr="00DF5C23">
        <w:rPr>
          <w:noProof/>
          <w:lang w:val="en-IE" w:eastAsia="fr-BE"/>
        </w:rPr>
        <w:t xml:space="preserve">When establishing performance requirements, the Commission shall </w:t>
      </w:r>
      <w:r w:rsidR="008334C7" w:rsidRPr="00DF5C23">
        <w:rPr>
          <w:noProof/>
          <w:lang w:val="en-IE" w:eastAsia="fr-BE"/>
        </w:rPr>
        <w:t xml:space="preserve">follow </w:t>
      </w:r>
      <w:r w:rsidR="009E33DE" w:rsidRPr="00DF5C23">
        <w:rPr>
          <w:noProof/>
          <w:lang w:val="en-IE" w:eastAsia="fr-BE"/>
        </w:rPr>
        <w:t>the procedure set out in Annex II.</w:t>
      </w:r>
    </w:p>
    <w:p w14:paraId="2C3A5695" w14:textId="77777777" w:rsidR="00697A54" w:rsidRPr="00DF5C23" w:rsidRDefault="0681B866" w:rsidP="0681B866">
      <w:pPr>
        <w:pStyle w:val="Titrearticle"/>
        <w:rPr>
          <w:noProof/>
          <w:lang w:val="en-IE" w:eastAsia="fr-BE"/>
        </w:rPr>
      </w:pPr>
      <w:r w:rsidRPr="00DF5C23">
        <w:rPr>
          <w:noProof/>
          <w:lang w:val="en-IE" w:eastAsia="fr-BE"/>
        </w:rPr>
        <w:t>Article 7</w:t>
      </w:r>
      <w:r w:rsidR="004A1643" w:rsidRPr="00DF5C23">
        <w:rPr>
          <w:noProof/>
        </w:rPr>
        <w:br/>
      </w:r>
      <w:r w:rsidRPr="00DF5C23">
        <w:rPr>
          <w:noProof/>
          <w:lang w:val="en-IE" w:eastAsia="fr-BE"/>
        </w:rPr>
        <w:t>Information requirements</w:t>
      </w:r>
    </w:p>
    <w:p w14:paraId="2C3A5696" w14:textId="7B7E6865" w:rsidR="00CD30B4" w:rsidRPr="00DF5C23" w:rsidRDefault="004F5E59" w:rsidP="004F5E59">
      <w:pPr>
        <w:pStyle w:val="ManualNumPar1"/>
        <w:rPr>
          <w:noProof/>
          <w:lang w:val="en-IE"/>
        </w:rPr>
      </w:pPr>
      <w:r w:rsidRPr="004F5E59">
        <w:t>1.</w:t>
      </w:r>
      <w:r w:rsidRPr="004F5E59">
        <w:tab/>
      </w:r>
      <w:r w:rsidR="00CD30B4" w:rsidRPr="00DF5C23">
        <w:rPr>
          <w:noProof/>
          <w:lang w:val="en-IE"/>
        </w:rPr>
        <w:t xml:space="preserve">Products shall comply with </w:t>
      </w:r>
      <w:r w:rsidR="00CD30B4" w:rsidRPr="00DF5C23">
        <w:rPr>
          <w:noProof/>
          <w:lang w:val="en-IE" w:eastAsia="fr-BE"/>
        </w:rPr>
        <w:t xml:space="preserve">information requirements </w:t>
      </w:r>
      <w:r w:rsidR="00CD30B4" w:rsidRPr="00DF5C23">
        <w:rPr>
          <w:noProof/>
          <w:lang w:val="en-IE"/>
        </w:rPr>
        <w:t>related to the product aspects listed in Article 5(</w:t>
      </w:r>
      <w:r w:rsidR="004415E9" w:rsidRPr="00DF5C23">
        <w:rPr>
          <w:noProof/>
          <w:lang w:val="en-IE"/>
        </w:rPr>
        <w:t>1</w:t>
      </w:r>
      <w:r w:rsidR="00CD30B4" w:rsidRPr="00DF5C23">
        <w:rPr>
          <w:noProof/>
          <w:lang w:val="en-IE"/>
        </w:rPr>
        <w:t xml:space="preserve">), as laid down in the delegated acts </w:t>
      </w:r>
      <w:r w:rsidR="00E80AC8" w:rsidRPr="00DF5C23">
        <w:rPr>
          <w:noProof/>
          <w:lang w:val="en-IE"/>
        </w:rPr>
        <w:t>adopted pursuant</w:t>
      </w:r>
      <w:r w:rsidR="00CD30B4" w:rsidRPr="00DF5C23">
        <w:rPr>
          <w:noProof/>
          <w:lang w:val="en-IE"/>
        </w:rPr>
        <w:t xml:space="preserve"> to Article </w:t>
      </w:r>
      <w:r w:rsidR="004415E9" w:rsidRPr="00DF5C23">
        <w:rPr>
          <w:noProof/>
          <w:lang w:val="en-IE"/>
        </w:rPr>
        <w:t>4</w:t>
      </w:r>
      <w:r w:rsidR="00CD30B4" w:rsidRPr="00DF5C23">
        <w:rPr>
          <w:noProof/>
          <w:lang w:val="en-IE"/>
        </w:rPr>
        <w:t>.</w:t>
      </w:r>
      <w:r w:rsidR="00CD30B4" w:rsidRPr="00DF5C23" w:rsidDel="00B3328F">
        <w:rPr>
          <w:noProof/>
          <w:lang w:val="en-IE" w:eastAsia="fr-BE"/>
        </w:rPr>
        <w:t xml:space="preserve"> </w:t>
      </w:r>
    </w:p>
    <w:p w14:paraId="2C3A5697" w14:textId="77A47737" w:rsidR="00CC69A4" w:rsidRPr="00DF5C23" w:rsidRDefault="004F5E59" w:rsidP="004F5E59">
      <w:pPr>
        <w:pStyle w:val="ManualNumPar1"/>
        <w:rPr>
          <w:noProof/>
          <w:lang w:val="en-IE"/>
        </w:rPr>
      </w:pPr>
      <w:r w:rsidRPr="004F5E59">
        <w:t>2.</w:t>
      </w:r>
      <w:r w:rsidRPr="004F5E59">
        <w:tab/>
      </w:r>
      <w:r w:rsidR="00A11686" w:rsidRPr="00DF5C23">
        <w:rPr>
          <w:noProof/>
          <w:lang w:val="en-IE"/>
        </w:rPr>
        <w:t>The i</w:t>
      </w:r>
      <w:r w:rsidR="00CC69A4" w:rsidRPr="00DF5C23">
        <w:rPr>
          <w:noProof/>
          <w:lang w:val="en-IE"/>
        </w:rPr>
        <w:t xml:space="preserve">nformation requirements referred to in paragraph 1 shall: </w:t>
      </w:r>
    </w:p>
    <w:p w14:paraId="2C3A5698" w14:textId="79601F7A" w:rsidR="00CC69A4" w:rsidRPr="00DF5C23" w:rsidRDefault="004F5E59" w:rsidP="004F5E59">
      <w:pPr>
        <w:pStyle w:val="Point1"/>
        <w:rPr>
          <w:noProof/>
          <w:lang w:val="en-IE"/>
        </w:rPr>
      </w:pPr>
      <w:r w:rsidRPr="004F5E59">
        <w:t>(a)</w:t>
      </w:r>
      <w:r w:rsidRPr="004F5E59">
        <w:tab/>
      </w:r>
      <w:r w:rsidR="00CD4F25" w:rsidRPr="00DF5C23">
        <w:rPr>
          <w:noProof/>
          <w:lang w:val="en-IE"/>
        </w:rPr>
        <w:t>i</w:t>
      </w:r>
      <w:r w:rsidR="00CC69A4" w:rsidRPr="00DF5C23">
        <w:rPr>
          <w:noProof/>
          <w:lang w:val="en-IE"/>
        </w:rPr>
        <w:t>nclude</w:t>
      </w:r>
      <w:r w:rsidR="008334C7" w:rsidRPr="00DF5C23">
        <w:rPr>
          <w:noProof/>
          <w:lang w:val="en-IE"/>
        </w:rPr>
        <w:t>,</w:t>
      </w:r>
      <w:r w:rsidR="00CC69A4" w:rsidRPr="00DF5C23">
        <w:rPr>
          <w:noProof/>
          <w:lang w:val="en-IE"/>
        </w:rPr>
        <w:t xml:space="preserve"> as a minimum</w:t>
      </w:r>
      <w:r w:rsidR="008334C7" w:rsidRPr="00DF5C23">
        <w:rPr>
          <w:noProof/>
          <w:lang w:val="en-IE"/>
        </w:rPr>
        <w:t>,</w:t>
      </w:r>
      <w:r w:rsidR="00CC69A4" w:rsidRPr="00DF5C23">
        <w:rPr>
          <w:noProof/>
          <w:lang w:val="en-IE"/>
        </w:rPr>
        <w:t xml:space="preserve"> requirements related to the product passport referred to in Chapter III</w:t>
      </w:r>
      <w:r w:rsidR="00BD609A" w:rsidRPr="00DF5C23">
        <w:rPr>
          <w:noProof/>
          <w:lang w:val="en-IE"/>
        </w:rPr>
        <w:t xml:space="preserve"> and requirements related to substances of concern referred to in paragraph 5</w:t>
      </w:r>
      <w:r w:rsidR="00A11686" w:rsidRPr="00DF5C23">
        <w:rPr>
          <w:noProof/>
          <w:lang w:val="en-IE"/>
        </w:rPr>
        <w:t>; and</w:t>
      </w:r>
    </w:p>
    <w:p w14:paraId="2C3A5699" w14:textId="4969C2B9" w:rsidR="00697A54" w:rsidRPr="00DF5C23" w:rsidRDefault="004F5E59" w:rsidP="004F5E59">
      <w:pPr>
        <w:pStyle w:val="Point1"/>
        <w:rPr>
          <w:rFonts w:eastAsia="Times New Roman"/>
          <w:noProof/>
          <w:lang w:val="en-IE"/>
        </w:rPr>
      </w:pPr>
      <w:r w:rsidRPr="004F5E59">
        <w:t>(b)</w:t>
      </w:r>
      <w:r w:rsidRPr="004F5E59">
        <w:tab/>
      </w:r>
      <w:r w:rsidR="008D46CA" w:rsidRPr="00DF5C23">
        <w:rPr>
          <w:noProof/>
          <w:lang w:val="en-IE" w:eastAsia="fr-BE"/>
        </w:rPr>
        <w:t xml:space="preserve">as appropriate, </w:t>
      </w:r>
      <w:r w:rsidR="00697A54" w:rsidRPr="00DF5C23">
        <w:rPr>
          <w:noProof/>
          <w:lang w:val="en-IE" w:eastAsia="fr-BE"/>
        </w:rPr>
        <w:t xml:space="preserve">require </w:t>
      </w:r>
      <w:r w:rsidR="006755A6" w:rsidRPr="00DF5C23">
        <w:rPr>
          <w:noProof/>
          <w:lang w:val="en-IE" w:eastAsia="fr-BE"/>
        </w:rPr>
        <w:t>products to be accompanied by</w:t>
      </w:r>
      <w:r w:rsidR="00697A54" w:rsidRPr="00DF5C23">
        <w:rPr>
          <w:rFonts w:eastAsia="Times New Roman"/>
          <w:noProof/>
          <w:lang w:val="en-IE"/>
        </w:rPr>
        <w:t>:</w:t>
      </w:r>
    </w:p>
    <w:p w14:paraId="2C3A569A" w14:textId="77777777" w:rsidR="00697A54" w:rsidRPr="00DF5C23" w:rsidRDefault="00C93223" w:rsidP="0052414F">
      <w:pPr>
        <w:pStyle w:val="Point2"/>
        <w:rPr>
          <w:noProof/>
          <w:lang w:val="en-IE" w:eastAsia="fr-BE"/>
        </w:rPr>
      </w:pPr>
      <w:r w:rsidRPr="00DF5C23">
        <w:rPr>
          <w:noProof/>
          <w:lang w:val="en-IE" w:eastAsia="fr-BE"/>
        </w:rPr>
        <w:t>(i)</w:t>
      </w:r>
      <w:r w:rsidRPr="00DF5C23">
        <w:rPr>
          <w:noProof/>
          <w:lang w:val="en-IE" w:eastAsia="fr-BE"/>
        </w:rPr>
        <w:tab/>
      </w:r>
      <w:r w:rsidR="00AB4669" w:rsidRPr="00DF5C23">
        <w:rPr>
          <w:noProof/>
          <w:lang w:val="en-IE" w:eastAsia="fr-BE"/>
        </w:rPr>
        <w:t>i</w:t>
      </w:r>
      <w:r w:rsidR="00697A54" w:rsidRPr="00DF5C23">
        <w:rPr>
          <w:noProof/>
          <w:lang w:val="en-IE" w:eastAsia="fr-BE"/>
        </w:rPr>
        <w:t xml:space="preserve">nformation on the performance of the product in relation to </w:t>
      </w:r>
      <w:r w:rsidR="008334C7" w:rsidRPr="00DF5C23">
        <w:rPr>
          <w:noProof/>
          <w:lang w:val="en-IE" w:eastAsia="fr-BE"/>
        </w:rPr>
        <w:t>the</w:t>
      </w:r>
      <w:r w:rsidR="00697A54" w:rsidRPr="00DF5C23">
        <w:rPr>
          <w:noProof/>
          <w:lang w:val="en-IE" w:eastAsia="fr-BE"/>
        </w:rPr>
        <w:t xml:space="preserve"> </w:t>
      </w:r>
      <w:r w:rsidR="00A13533" w:rsidRPr="00DF5C23">
        <w:rPr>
          <w:noProof/>
          <w:lang w:val="en-IE" w:eastAsia="fr-BE"/>
        </w:rPr>
        <w:t>product</w:t>
      </w:r>
      <w:r w:rsidR="00697A54" w:rsidRPr="00DF5C23">
        <w:rPr>
          <w:noProof/>
          <w:lang w:val="en-IE" w:eastAsia="fr-BE"/>
        </w:rPr>
        <w:t xml:space="preserve"> parameters </w:t>
      </w:r>
      <w:r w:rsidR="00244960" w:rsidRPr="00DF5C23">
        <w:rPr>
          <w:noProof/>
          <w:lang w:val="en-IE" w:eastAsia="fr-BE"/>
        </w:rPr>
        <w:t xml:space="preserve">referred to in </w:t>
      </w:r>
      <w:r w:rsidR="00F63129" w:rsidRPr="00DF5C23">
        <w:rPr>
          <w:noProof/>
          <w:lang w:val="en-IE" w:eastAsia="fr-BE"/>
        </w:rPr>
        <w:t>Annex I</w:t>
      </w:r>
      <w:r w:rsidR="00697A54" w:rsidRPr="00DF5C23">
        <w:rPr>
          <w:noProof/>
          <w:lang w:val="en-IE" w:eastAsia="fr-BE"/>
        </w:rPr>
        <w:t xml:space="preserve">; </w:t>
      </w:r>
    </w:p>
    <w:p w14:paraId="2C3A569B" w14:textId="77777777" w:rsidR="00697A54" w:rsidRPr="00DF5C23" w:rsidRDefault="00697A54" w:rsidP="0052414F">
      <w:pPr>
        <w:pStyle w:val="Point2"/>
        <w:rPr>
          <w:noProof/>
          <w:lang w:val="en-IE" w:eastAsia="fr-BE"/>
        </w:rPr>
      </w:pPr>
      <w:r w:rsidRPr="00DF5C23">
        <w:rPr>
          <w:noProof/>
          <w:lang w:val="en-IE" w:eastAsia="fr-BE"/>
        </w:rPr>
        <w:t>(i</w:t>
      </w:r>
      <w:r w:rsidR="00044CC9" w:rsidRPr="00DF5C23">
        <w:rPr>
          <w:noProof/>
          <w:lang w:val="en-IE" w:eastAsia="fr-BE"/>
        </w:rPr>
        <w:t>i</w:t>
      </w:r>
      <w:r w:rsidRPr="00DF5C23">
        <w:rPr>
          <w:noProof/>
          <w:lang w:val="en-IE" w:eastAsia="fr-BE"/>
        </w:rPr>
        <w:t>)</w:t>
      </w:r>
      <w:r w:rsidRPr="00DF5C23">
        <w:rPr>
          <w:noProof/>
          <w:lang w:val="en-IE" w:eastAsia="fr-BE"/>
        </w:rPr>
        <w:tab/>
        <w:t xml:space="preserve">information for consumers </w:t>
      </w:r>
      <w:r w:rsidR="008B0A11" w:rsidRPr="00DF5C23">
        <w:rPr>
          <w:noProof/>
          <w:lang w:val="en-IE" w:eastAsia="fr-BE"/>
        </w:rPr>
        <w:t xml:space="preserve">and other end-users </w:t>
      </w:r>
      <w:r w:rsidRPr="00DF5C23">
        <w:rPr>
          <w:noProof/>
          <w:lang w:val="en-IE" w:eastAsia="fr-BE"/>
        </w:rPr>
        <w:t xml:space="preserve">on how to install, use, maintain and repair the product in order to minimise its impact on the environment and to ensure </w:t>
      </w:r>
      <w:r w:rsidR="007D4BFF" w:rsidRPr="00DF5C23">
        <w:rPr>
          <w:noProof/>
          <w:lang w:val="en-IE" w:eastAsia="fr-BE"/>
        </w:rPr>
        <w:t xml:space="preserve">optimum </w:t>
      </w:r>
      <w:r w:rsidR="00E545C2" w:rsidRPr="00DF5C23">
        <w:rPr>
          <w:noProof/>
          <w:lang w:val="en-IE" w:eastAsia="fr-BE"/>
        </w:rPr>
        <w:t>durability</w:t>
      </w:r>
      <w:r w:rsidRPr="00DF5C23">
        <w:rPr>
          <w:noProof/>
          <w:lang w:val="en-IE" w:eastAsia="fr-BE"/>
        </w:rPr>
        <w:t xml:space="preserve">, as well as on how to return </w:t>
      </w:r>
      <w:r w:rsidR="000C7942" w:rsidRPr="00DF5C23">
        <w:rPr>
          <w:noProof/>
          <w:lang w:val="en-IE" w:eastAsia="fr-BE"/>
        </w:rPr>
        <w:t xml:space="preserve">or dispose of </w:t>
      </w:r>
      <w:r w:rsidRPr="00DF5C23">
        <w:rPr>
          <w:noProof/>
          <w:lang w:val="en-IE" w:eastAsia="fr-BE"/>
        </w:rPr>
        <w:t xml:space="preserve">the product at end-of-life; </w:t>
      </w:r>
    </w:p>
    <w:p w14:paraId="2C3A569C" w14:textId="77777777" w:rsidR="00920B8F" w:rsidRPr="00DF5C23" w:rsidRDefault="00697A54" w:rsidP="0052414F">
      <w:pPr>
        <w:pStyle w:val="Point2"/>
        <w:rPr>
          <w:noProof/>
          <w:lang w:val="en-IE" w:eastAsia="fr-BE"/>
        </w:rPr>
      </w:pPr>
      <w:r w:rsidRPr="00DF5C23">
        <w:rPr>
          <w:noProof/>
          <w:lang w:val="en-IE" w:eastAsia="fr-BE"/>
        </w:rPr>
        <w:t>(ii</w:t>
      </w:r>
      <w:r w:rsidR="00044CC9" w:rsidRPr="00DF5C23">
        <w:rPr>
          <w:noProof/>
          <w:lang w:val="en-IE" w:eastAsia="fr-BE"/>
        </w:rPr>
        <w:t>i</w:t>
      </w:r>
      <w:r w:rsidRPr="00DF5C23">
        <w:rPr>
          <w:noProof/>
          <w:lang w:val="en-IE" w:eastAsia="fr-BE"/>
        </w:rPr>
        <w:t>)</w:t>
      </w:r>
      <w:r w:rsidRPr="00DF5C23">
        <w:rPr>
          <w:noProof/>
          <w:lang w:val="en-IE" w:eastAsia="fr-BE"/>
        </w:rPr>
        <w:tab/>
        <w:t xml:space="preserve">information for treatment facilities </w:t>
      </w:r>
      <w:r w:rsidR="007D4BFF" w:rsidRPr="00DF5C23">
        <w:rPr>
          <w:noProof/>
          <w:lang w:val="en-IE" w:eastAsia="fr-BE"/>
        </w:rPr>
        <w:t xml:space="preserve">on </w:t>
      </w:r>
      <w:r w:rsidRPr="00DF5C23">
        <w:rPr>
          <w:noProof/>
          <w:lang w:val="en-IE" w:eastAsia="fr-BE"/>
        </w:rPr>
        <w:t>disassembly, recycling, or disposal at end-of-life</w:t>
      </w:r>
      <w:r w:rsidR="00E66252" w:rsidRPr="00DF5C23">
        <w:rPr>
          <w:noProof/>
          <w:lang w:val="en-IE" w:eastAsia="fr-BE"/>
        </w:rPr>
        <w:t>;</w:t>
      </w:r>
    </w:p>
    <w:p w14:paraId="2C3A569D" w14:textId="77777777" w:rsidR="00E66252" w:rsidRPr="00DF5C23" w:rsidRDefault="00044CC9" w:rsidP="0052414F">
      <w:pPr>
        <w:pStyle w:val="Point2"/>
        <w:rPr>
          <w:noProof/>
          <w:lang w:val="en-IE" w:eastAsia="fr-BE"/>
        </w:rPr>
      </w:pPr>
      <w:r w:rsidRPr="00DF5C23">
        <w:rPr>
          <w:noProof/>
          <w:lang w:val="en-IE" w:eastAsia="fr-BE"/>
        </w:rPr>
        <w:t>(iv)</w:t>
      </w:r>
      <w:r w:rsidRPr="00DF5C23">
        <w:rPr>
          <w:noProof/>
          <w:lang w:val="en-IE" w:eastAsia="fr-BE"/>
        </w:rPr>
        <w:tab/>
      </w:r>
      <w:r w:rsidR="00A13533" w:rsidRPr="00DF5C23">
        <w:rPr>
          <w:noProof/>
          <w:lang w:val="en-IE" w:eastAsia="fr-BE"/>
        </w:rPr>
        <w:t>other information that may influence the way the product is handled by parties other than the manufacturer in order to improve performance in relation to product parameters referred to in Annex I</w:t>
      </w:r>
      <w:r w:rsidR="00E66252" w:rsidRPr="00DF5C23">
        <w:rPr>
          <w:noProof/>
          <w:lang w:val="en-IE" w:eastAsia="fr-BE"/>
        </w:rPr>
        <w:t>.</w:t>
      </w:r>
    </w:p>
    <w:p w14:paraId="2C3A569E" w14:textId="77777777" w:rsidR="00695AB2" w:rsidRPr="00DF5C23" w:rsidRDefault="00695AB2" w:rsidP="00F84D24">
      <w:pPr>
        <w:pStyle w:val="Text1"/>
        <w:rPr>
          <w:noProof/>
          <w:lang w:val="en-IE"/>
        </w:rPr>
      </w:pPr>
      <w:r w:rsidRPr="00DF5C23">
        <w:rPr>
          <w:noProof/>
          <w:lang w:val="en-IE"/>
        </w:rPr>
        <w:t>Where a delegated acts contains horizontal ecodesign requirements for two or more product groups as referred to in Article 5(2)</w:t>
      </w:r>
      <w:r w:rsidR="007C5713" w:rsidRPr="00DF5C23">
        <w:rPr>
          <w:noProof/>
          <w:lang w:val="en-IE"/>
        </w:rPr>
        <w:t>, second subparagraph</w:t>
      </w:r>
      <w:r w:rsidRPr="00DF5C23">
        <w:rPr>
          <w:noProof/>
          <w:lang w:val="en-IE"/>
        </w:rPr>
        <w:t>, point (a) of this paragraph shall not apply.</w:t>
      </w:r>
    </w:p>
    <w:p w14:paraId="2C3A569F" w14:textId="4BC115AF" w:rsidR="00C4493A" w:rsidRPr="00DF5C23" w:rsidRDefault="004F5E59" w:rsidP="004F5E59">
      <w:pPr>
        <w:pStyle w:val="ManualNumPar1"/>
        <w:rPr>
          <w:noProof/>
          <w:lang w:val="en-IE" w:eastAsia="fr-BE"/>
        </w:rPr>
      </w:pPr>
      <w:r w:rsidRPr="004F5E59">
        <w:t>3.</w:t>
      </w:r>
      <w:r w:rsidRPr="004F5E59">
        <w:tab/>
      </w:r>
      <w:r w:rsidR="00C4493A" w:rsidRPr="00DF5C23">
        <w:rPr>
          <w:noProof/>
          <w:lang w:val="en-IE" w:eastAsia="fr-BE"/>
        </w:rPr>
        <w:t xml:space="preserve">Information requirements </w:t>
      </w:r>
      <w:r w:rsidR="00A13533" w:rsidRPr="00DF5C23">
        <w:rPr>
          <w:noProof/>
          <w:lang w:val="en-IE" w:eastAsia="fr-BE"/>
        </w:rPr>
        <w:t>based on the product parameter set out in</w:t>
      </w:r>
      <w:r w:rsidR="00C4493A" w:rsidRPr="00DF5C23">
        <w:rPr>
          <w:noProof/>
          <w:lang w:val="en-IE" w:eastAsia="fr-BE"/>
        </w:rPr>
        <w:t xml:space="preserve"> Annex I, point (</w:t>
      </w:r>
      <w:r w:rsidR="00014108" w:rsidRPr="00DF5C23">
        <w:rPr>
          <w:noProof/>
          <w:lang w:val="en-IE" w:eastAsia="fr-BE"/>
        </w:rPr>
        <w:t>f</w:t>
      </w:r>
      <w:r w:rsidR="00C4493A" w:rsidRPr="00DF5C23">
        <w:rPr>
          <w:noProof/>
          <w:lang w:val="en-IE" w:eastAsia="fr-BE"/>
        </w:rPr>
        <w:t>)</w:t>
      </w:r>
      <w:r w:rsidR="00DD5A3B" w:rsidRPr="00DF5C23">
        <w:rPr>
          <w:noProof/>
          <w:lang w:val="en-IE" w:eastAsia="fr-BE"/>
        </w:rPr>
        <w:t>,</w:t>
      </w:r>
      <w:r w:rsidR="00C4493A" w:rsidRPr="00DF5C23">
        <w:rPr>
          <w:noProof/>
          <w:lang w:val="en-IE" w:eastAsia="fr-BE"/>
        </w:rPr>
        <w:t xml:space="preserve"> shall not provide obligations on</w:t>
      </w:r>
      <w:r w:rsidR="007D4BFF" w:rsidRPr="00DF5C23">
        <w:rPr>
          <w:noProof/>
          <w:lang w:val="en-IE" w:eastAsia="fr-BE"/>
        </w:rPr>
        <w:t xml:space="preserve"> the</w:t>
      </w:r>
      <w:r w:rsidR="00C4493A" w:rsidRPr="00DF5C23">
        <w:rPr>
          <w:noProof/>
          <w:lang w:val="en-IE" w:eastAsia="fr-BE"/>
        </w:rPr>
        <w:t xml:space="preserve"> labelling of substances or mixtures for reasons relating primarily to their hazards to health or the environment. </w:t>
      </w:r>
    </w:p>
    <w:p w14:paraId="2C3A56A0" w14:textId="0A2515C6" w:rsidR="00A13533" w:rsidRPr="00DF5C23" w:rsidRDefault="004F5E59" w:rsidP="004F5E59">
      <w:pPr>
        <w:pStyle w:val="ManualNumPar1"/>
        <w:rPr>
          <w:noProof/>
          <w:lang w:val="en-IE" w:eastAsia="fr-BE"/>
        </w:rPr>
      </w:pPr>
      <w:r w:rsidRPr="004F5E59">
        <w:t>4.</w:t>
      </w:r>
      <w:r w:rsidRPr="004F5E59">
        <w:tab/>
      </w:r>
      <w:r w:rsidR="00A13533" w:rsidRPr="00DF5C23">
        <w:rPr>
          <w:noProof/>
          <w:lang w:val="en-IE" w:eastAsia="fr-BE"/>
        </w:rPr>
        <w:t>When establishing the information requirements referred to in paragraph 2, point (</w:t>
      </w:r>
      <w:r w:rsidR="00CD4F25" w:rsidRPr="00DF5C23">
        <w:rPr>
          <w:noProof/>
          <w:lang w:val="en-IE" w:eastAsia="fr-BE"/>
        </w:rPr>
        <w:t>b</w:t>
      </w:r>
      <w:r w:rsidR="00A13533" w:rsidRPr="00DF5C23">
        <w:rPr>
          <w:noProof/>
          <w:lang w:val="en-IE" w:eastAsia="fr-BE"/>
        </w:rPr>
        <w:t>)</w:t>
      </w:r>
      <w:r w:rsidR="00F84D24" w:rsidRPr="00DF5C23">
        <w:rPr>
          <w:noProof/>
          <w:lang w:val="en-IE" w:eastAsia="fr-BE"/>
        </w:rPr>
        <w:t xml:space="preserve">, </w:t>
      </w:r>
      <w:r w:rsidR="005F2683" w:rsidRPr="00DF5C23">
        <w:rPr>
          <w:noProof/>
          <w:lang w:val="en-IE" w:eastAsia="fr-BE"/>
        </w:rPr>
        <w:t>point (i),</w:t>
      </w:r>
      <w:r w:rsidR="00F84D24" w:rsidRPr="00DF5C23">
        <w:rPr>
          <w:noProof/>
          <w:lang w:val="en-IE" w:eastAsia="fr-BE"/>
        </w:rPr>
        <w:t xml:space="preserve"> </w:t>
      </w:r>
      <w:r w:rsidR="00A13533" w:rsidRPr="00DF5C23">
        <w:rPr>
          <w:noProof/>
          <w:lang w:val="en-IE" w:eastAsia="fr-BE"/>
        </w:rPr>
        <w:t xml:space="preserve">the Commission </w:t>
      </w:r>
      <w:r w:rsidR="009D4520" w:rsidRPr="00DF5C23">
        <w:rPr>
          <w:noProof/>
          <w:lang w:val="en-IE" w:eastAsia="fr-BE"/>
        </w:rPr>
        <w:t xml:space="preserve">shall, as appropriate, </w:t>
      </w:r>
      <w:r w:rsidR="00A13533" w:rsidRPr="00DF5C23">
        <w:rPr>
          <w:noProof/>
          <w:lang w:val="en-IE" w:eastAsia="fr-BE"/>
        </w:rPr>
        <w:t>determine classes of performance.</w:t>
      </w:r>
    </w:p>
    <w:p w14:paraId="2C3A56A1" w14:textId="77777777" w:rsidR="00697A54" w:rsidRPr="00DF5C23" w:rsidRDefault="008334C7" w:rsidP="0681B866">
      <w:pPr>
        <w:pStyle w:val="Text1"/>
        <w:rPr>
          <w:noProof/>
          <w:lang w:val="en-IE" w:eastAsia="fr-BE"/>
        </w:rPr>
      </w:pPr>
      <w:r w:rsidRPr="00DF5C23">
        <w:rPr>
          <w:noProof/>
          <w:lang w:val="en-IE" w:eastAsia="fr-BE"/>
        </w:rPr>
        <w:t xml:space="preserve">Those classes </w:t>
      </w:r>
      <w:r w:rsidR="005F2683" w:rsidRPr="00DF5C23">
        <w:rPr>
          <w:noProof/>
          <w:lang w:val="en-IE" w:eastAsia="fr-BE"/>
        </w:rPr>
        <w:t>of performance</w:t>
      </w:r>
      <w:r w:rsidRPr="00DF5C23">
        <w:rPr>
          <w:noProof/>
          <w:lang w:val="en-IE" w:eastAsia="fr-BE"/>
        </w:rPr>
        <w:t xml:space="preserve"> </w:t>
      </w:r>
      <w:r w:rsidR="00697A54" w:rsidRPr="00DF5C23">
        <w:rPr>
          <w:noProof/>
          <w:lang w:val="en-IE" w:eastAsia="fr-BE"/>
        </w:rPr>
        <w:t xml:space="preserve">shall correspond to statistically significant improvements in performance levels. </w:t>
      </w:r>
    </w:p>
    <w:p w14:paraId="2C3A56A2" w14:textId="6C54BEB5" w:rsidR="00C4493A" w:rsidRPr="00DF5C23" w:rsidRDefault="004F5E59" w:rsidP="004F5E59">
      <w:pPr>
        <w:pStyle w:val="ManualNumPar1"/>
        <w:rPr>
          <w:noProof/>
          <w:lang w:val="en-IE" w:eastAsia="fr-BE"/>
        </w:rPr>
      </w:pPr>
      <w:r w:rsidRPr="004F5E59">
        <w:t>5.</w:t>
      </w:r>
      <w:r w:rsidRPr="004F5E59">
        <w:tab/>
      </w:r>
      <w:r w:rsidR="006D6587" w:rsidRPr="00DF5C23">
        <w:rPr>
          <w:noProof/>
          <w:lang w:val="en-IE" w:eastAsia="fr-BE"/>
        </w:rPr>
        <w:t>The i</w:t>
      </w:r>
      <w:r w:rsidR="00254E56" w:rsidRPr="00DF5C23">
        <w:rPr>
          <w:noProof/>
          <w:lang w:val="en-IE" w:eastAsia="fr-BE"/>
        </w:rPr>
        <w:t>nformation</w:t>
      </w:r>
      <w:r w:rsidR="00C4493A" w:rsidRPr="00DF5C23">
        <w:rPr>
          <w:noProof/>
          <w:lang w:val="en-IE" w:eastAsia="fr-BE"/>
        </w:rPr>
        <w:t xml:space="preserve"> requirements</w:t>
      </w:r>
      <w:r w:rsidR="00A11686" w:rsidRPr="00DF5C23">
        <w:rPr>
          <w:noProof/>
          <w:lang w:val="en-IE" w:eastAsia="fr-BE"/>
        </w:rPr>
        <w:t xml:space="preserve"> referred to in paragraph 1</w:t>
      </w:r>
      <w:r w:rsidR="00C4493A" w:rsidRPr="00DF5C23">
        <w:rPr>
          <w:noProof/>
          <w:lang w:val="en-IE" w:eastAsia="fr-BE"/>
        </w:rPr>
        <w:t xml:space="preserve"> </w:t>
      </w:r>
      <w:r w:rsidR="008E2859" w:rsidRPr="00DF5C23">
        <w:rPr>
          <w:noProof/>
          <w:lang w:val="en-IE" w:eastAsia="fr-BE"/>
        </w:rPr>
        <w:t xml:space="preserve">shall </w:t>
      </w:r>
      <w:r w:rsidR="00C4493A" w:rsidRPr="00DF5C23">
        <w:rPr>
          <w:noProof/>
          <w:lang w:val="en-IE" w:eastAsia="fr-BE"/>
        </w:rPr>
        <w:t>enable the tracking of all substances of concern throughout the life</w:t>
      </w:r>
      <w:r w:rsidR="00D4569B" w:rsidRPr="00DF5C23">
        <w:rPr>
          <w:noProof/>
          <w:lang w:val="en-IE" w:eastAsia="fr-BE"/>
        </w:rPr>
        <w:t xml:space="preserve"> </w:t>
      </w:r>
      <w:r w:rsidR="00553EC3" w:rsidRPr="00DF5C23">
        <w:rPr>
          <w:noProof/>
          <w:lang w:val="en-IE" w:eastAsia="fr-BE"/>
        </w:rPr>
        <w:t xml:space="preserve">cycle of </w:t>
      </w:r>
      <w:r w:rsidR="00C4493A" w:rsidRPr="00DF5C23">
        <w:rPr>
          <w:noProof/>
          <w:lang w:val="en-IE" w:eastAsia="fr-BE"/>
        </w:rPr>
        <w:t>products</w:t>
      </w:r>
      <w:r w:rsidR="00EE4595" w:rsidRPr="00DF5C23">
        <w:rPr>
          <w:noProof/>
          <w:lang w:val="en-IE" w:eastAsia="fr-BE"/>
        </w:rPr>
        <w:t>,</w:t>
      </w:r>
      <w:r w:rsidR="00254E56" w:rsidRPr="00DF5C23">
        <w:rPr>
          <w:noProof/>
          <w:lang w:val="en-IE" w:eastAsia="fr-BE"/>
        </w:rPr>
        <w:t xml:space="preserve"> unless </w:t>
      </w:r>
      <w:r w:rsidR="008334C7" w:rsidRPr="00DF5C23">
        <w:rPr>
          <w:noProof/>
          <w:lang w:val="en-IE" w:eastAsia="fr-BE"/>
        </w:rPr>
        <w:t xml:space="preserve">such tracking </w:t>
      </w:r>
      <w:r w:rsidR="00254E56" w:rsidRPr="00DF5C23">
        <w:rPr>
          <w:noProof/>
          <w:lang w:val="en-IE" w:eastAsia="fr-BE"/>
        </w:rPr>
        <w:t xml:space="preserve">is already </w:t>
      </w:r>
      <w:r w:rsidR="008E2859" w:rsidRPr="00DF5C23">
        <w:rPr>
          <w:noProof/>
          <w:lang w:val="en-IE" w:eastAsia="fr-BE"/>
        </w:rPr>
        <w:t>enabled by</w:t>
      </w:r>
      <w:r w:rsidR="00254E56" w:rsidRPr="00DF5C23">
        <w:rPr>
          <w:noProof/>
          <w:lang w:val="en-IE" w:eastAsia="fr-BE"/>
        </w:rPr>
        <w:t xml:space="preserve"> another delegated act </w:t>
      </w:r>
      <w:r w:rsidR="008E2859" w:rsidRPr="00DF5C23">
        <w:rPr>
          <w:noProof/>
          <w:lang w:val="en-IE" w:eastAsia="fr-BE"/>
        </w:rPr>
        <w:t xml:space="preserve">adopted pursuant to Article </w:t>
      </w:r>
      <w:r w:rsidR="0056057B" w:rsidRPr="00DF5C23">
        <w:rPr>
          <w:noProof/>
          <w:lang w:val="en-IE" w:eastAsia="fr-BE"/>
        </w:rPr>
        <w:t>4</w:t>
      </w:r>
      <w:r w:rsidR="008E2859" w:rsidRPr="00DF5C23">
        <w:rPr>
          <w:noProof/>
          <w:lang w:val="en-IE" w:eastAsia="fr-BE"/>
        </w:rPr>
        <w:t xml:space="preserve"> </w:t>
      </w:r>
      <w:r w:rsidR="00254E56" w:rsidRPr="00DF5C23">
        <w:rPr>
          <w:noProof/>
          <w:lang w:val="en-IE" w:eastAsia="fr-BE"/>
        </w:rPr>
        <w:t xml:space="preserve">covering the </w:t>
      </w:r>
      <w:r w:rsidR="00EE4595" w:rsidRPr="00DF5C23">
        <w:rPr>
          <w:noProof/>
          <w:lang w:val="en-IE" w:eastAsia="fr-BE"/>
        </w:rPr>
        <w:t>products</w:t>
      </w:r>
      <w:r w:rsidR="00254E56" w:rsidRPr="00DF5C23">
        <w:rPr>
          <w:noProof/>
          <w:lang w:val="en-IE" w:eastAsia="fr-BE"/>
        </w:rPr>
        <w:t xml:space="preserve"> concerned</w:t>
      </w:r>
      <w:r w:rsidR="006D6587" w:rsidRPr="00DF5C23">
        <w:rPr>
          <w:noProof/>
          <w:lang w:val="en-IE" w:eastAsia="fr-BE"/>
        </w:rPr>
        <w:t>, and</w:t>
      </w:r>
      <w:r w:rsidR="00C4493A" w:rsidRPr="00DF5C23">
        <w:rPr>
          <w:noProof/>
          <w:lang w:val="en-IE" w:eastAsia="fr-BE"/>
        </w:rPr>
        <w:t xml:space="preserve"> shall include </w:t>
      </w:r>
      <w:r w:rsidR="006D6587" w:rsidRPr="00DF5C23">
        <w:rPr>
          <w:noProof/>
          <w:lang w:val="en-IE" w:eastAsia="fr-BE"/>
        </w:rPr>
        <w:t>at least the following</w:t>
      </w:r>
      <w:r w:rsidR="00C4493A" w:rsidRPr="00DF5C23">
        <w:rPr>
          <w:noProof/>
          <w:lang w:val="en-IE" w:eastAsia="fr-BE"/>
        </w:rPr>
        <w:t>:</w:t>
      </w:r>
    </w:p>
    <w:p w14:paraId="2C3A56A3" w14:textId="1CD9D889" w:rsidR="00C4493A" w:rsidRPr="00DF5C23" w:rsidRDefault="004F5E59" w:rsidP="004F5E59">
      <w:pPr>
        <w:pStyle w:val="Point1"/>
        <w:rPr>
          <w:noProof/>
          <w:lang w:val="en-IE" w:eastAsia="fr-BE"/>
        </w:rPr>
      </w:pPr>
      <w:r w:rsidRPr="004F5E59">
        <w:t>(a)</w:t>
      </w:r>
      <w:r w:rsidRPr="004F5E59">
        <w:tab/>
      </w:r>
      <w:r w:rsidR="00C4493A" w:rsidRPr="00DF5C23">
        <w:rPr>
          <w:noProof/>
          <w:lang w:val="en-IE" w:eastAsia="fr-BE"/>
        </w:rPr>
        <w:t xml:space="preserve">the name of the substances of concern present in the product; </w:t>
      </w:r>
    </w:p>
    <w:p w14:paraId="2C3A56A4" w14:textId="6A8C20F9" w:rsidR="00C4493A" w:rsidRPr="00DF5C23" w:rsidRDefault="004F5E59" w:rsidP="004F5E59">
      <w:pPr>
        <w:pStyle w:val="Point1"/>
        <w:rPr>
          <w:noProof/>
          <w:lang w:val="en-IE" w:eastAsia="fr-BE"/>
        </w:rPr>
      </w:pPr>
      <w:r w:rsidRPr="004F5E59">
        <w:t>(b)</w:t>
      </w:r>
      <w:r w:rsidRPr="004F5E59">
        <w:tab/>
      </w:r>
      <w:r w:rsidR="00C4493A" w:rsidRPr="00DF5C23">
        <w:rPr>
          <w:noProof/>
          <w:lang w:val="en-IE" w:eastAsia="fr-BE"/>
        </w:rPr>
        <w:t xml:space="preserve">the location </w:t>
      </w:r>
      <w:r w:rsidR="008A4680" w:rsidRPr="00DF5C23">
        <w:rPr>
          <w:noProof/>
          <w:lang w:val="en-IE" w:eastAsia="fr-BE"/>
        </w:rPr>
        <w:t>of the substances of concern</w:t>
      </w:r>
      <w:r w:rsidR="00C4493A" w:rsidRPr="00DF5C23">
        <w:rPr>
          <w:noProof/>
          <w:lang w:val="en-IE" w:eastAsia="fr-BE"/>
        </w:rPr>
        <w:t xml:space="preserve"> within the product;</w:t>
      </w:r>
    </w:p>
    <w:p w14:paraId="2C3A56A5" w14:textId="6EEBE3B9" w:rsidR="00C4493A" w:rsidRPr="00DF5C23" w:rsidRDefault="004F5E59" w:rsidP="004F5E59">
      <w:pPr>
        <w:pStyle w:val="Point1"/>
        <w:rPr>
          <w:noProof/>
          <w:lang w:val="en-IE" w:eastAsia="fr-BE"/>
        </w:rPr>
      </w:pPr>
      <w:r w:rsidRPr="004F5E59">
        <w:t>(c)</w:t>
      </w:r>
      <w:r w:rsidRPr="004F5E59">
        <w:tab/>
      </w:r>
      <w:r w:rsidR="00C4493A" w:rsidRPr="00DF5C23">
        <w:rPr>
          <w:noProof/>
          <w:lang w:val="en-IE" w:eastAsia="fr-BE"/>
        </w:rPr>
        <w:t>the concentration, maximum concentration or concentration range</w:t>
      </w:r>
      <w:r w:rsidR="008A4680" w:rsidRPr="00DF5C23">
        <w:rPr>
          <w:noProof/>
          <w:lang w:val="en-IE" w:eastAsia="fr-BE"/>
        </w:rPr>
        <w:t xml:space="preserve"> of the substances of concern</w:t>
      </w:r>
      <w:r w:rsidR="00C4493A" w:rsidRPr="00DF5C23">
        <w:rPr>
          <w:noProof/>
          <w:lang w:val="en-IE" w:eastAsia="fr-BE"/>
        </w:rPr>
        <w:t>, at the level of the product, its main components, or spare parts;</w:t>
      </w:r>
    </w:p>
    <w:p w14:paraId="2C3A56A6" w14:textId="469C22B2" w:rsidR="00C4493A" w:rsidRPr="00DF5C23" w:rsidRDefault="004F5E59" w:rsidP="004F5E59">
      <w:pPr>
        <w:pStyle w:val="Point1"/>
        <w:rPr>
          <w:noProof/>
          <w:lang w:val="en-IE" w:eastAsia="fr-BE"/>
        </w:rPr>
      </w:pPr>
      <w:r w:rsidRPr="004F5E59">
        <w:t>(d)</w:t>
      </w:r>
      <w:r w:rsidRPr="004F5E59">
        <w:tab/>
      </w:r>
      <w:r w:rsidR="00C4493A" w:rsidRPr="00DF5C23">
        <w:rPr>
          <w:noProof/>
          <w:lang w:val="en-IE" w:eastAsia="fr-BE"/>
        </w:rPr>
        <w:t>relevant instructions for the safe use of the product;</w:t>
      </w:r>
      <w:r w:rsidR="00EE4595" w:rsidRPr="00DF5C23">
        <w:rPr>
          <w:noProof/>
          <w:lang w:val="en-IE" w:eastAsia="fr-BE"/>
        </w:rPr>
        <w:t> </w:t>
      </w:r>
      <w:r w:rsidR="00C4493A" w:rsidRPr="00DF5C23">
        <w:rPr>
          <w:noProof/>
          <w:lang w:val="en-IE" w:eastAsia="fr-BE"/>
        </w:rPr>
        <w:t xml:space="preserve"> </w:t>
      </w:r>
    </w:p>
    <w:p w14:paraId="2C3A56A7" w14:textId="4C67D67C" w:rsidR="00C4493A" w:rsidRPr="00DF5C23" w:rsidRDefault="004F5E59" w:rsidP="004F5E59">
      <w:pPr>
        <w:pStyle w:val="Point1"/>
        <w:rPr>
          <w:noProof/>
          <w:lang w:val="en-IE" w:eastAsia="fr-BE"/>
        </w:rPr>
      </w:pPr>
      <w:r w:rsidRPr="004F5E59">
        <w:t>(e)</w:t>
      </w:r>
      <w:r w:rsidRPr="004F5E59">
        <w:tab/>
      </w:r>
      <w:r w:rsidR="00C4493A" w:rsidRPr="00DF5C23">
        <w:rPr>
          <w:noProof/>
          <w:lang w:val="en-IE" w:eastAsia="fr-BE"/>
        </w:rPr>
        <w:t>information relevant for disassembly.</w:t>
      </w:r>
    </w:p>
    <w:p w14:paraId="2C3A56A8" w14:textId="77777777" w:rsidR="00C4493A" w:rsidRPr="00DF5C23" w:rsidRDefault="008334C7" w:rsidP="00254E56">
      <w:pPr>
        <w:pStyle w:val="Text1"/>
        <w:rPr>
          <w:noProof/>
          <w:lang w:val="en-IE" w:eastAsia="fr-BE"/>
        </w:rPr>
      </w:pPr>
      <w:r w:rsidRPr="00DF5C23">
        <w:rPr>
          <w:noProof/>
        </w:rPr>
        <w:t>Where the Commission sets out information requirements in a delegated act adopted pursuant to Article 4, it shall</w:t>
      </w:r>
      <w:r w:rsidR="00C4493A" w:rsidRPr="00DF5C23">
        <w:rPr>
          <w:noProof/>
          <w:lang w:val="en-IE" w:eastAsia="fr-BE"/>
        </w:rPr>
        <w:t>:</w:t>
      </w:r>
    </w:p>
    <w:p w14:paraId="2C3A56A9" w14:textId="1EC6D1B5" w:rsidR="00C4493A" w:rsidRPr="00DF5C23" w:rsidRDefault="004F5E59" w:rsidP="004F5E59">
      <w:pPr>
        <w:pStyle w:val="Point1"/>
        <w:rPr>
          <w:noProof/>
          <w:lang w:val="en-IE" w:eastAsia="fr-BE"/>
        </w:rPr>
      </w:pPr>
      <w:r w:rsidRPr="004F5E59">
        <w:t>(a)</w:t>
      </w:r>
      <w:r w:rsidRPr="004F5E59">
        <w:tab/>
      </w:r>
      <w:r w:rsidR="008334C7" w:rsidRPr="00DF5C23">
        <w:rPr>
          <w:noProof/>
          <w:lang w:val="en-IE" w:eastAsia="fr-BE"/>
        </w:rPr>
        <w:t xml:space="preserve">establish </w:t>
      </w:r>
      <w:r w:rsidR="00C4493A" w:rsidRPr="00DF5C23">
        <w:rPr>
          <w:noProof/>
          <w:lang w:val="en-IE" w:eastAsia="fr-BE"/>
        </w:rPr>
        <w:t xml:space="preserve">which substances fall under </w:t>
      </w:r>
      <w:r w:rsidR="008334C7" w:rsidRPr="00DF5C23">
        <w:rPr>
          <w:noProof/>
          <w:lang w:val="en-IE" w:eastAsia="fr-BE"/>
        </w:rPr>
        <w:t>the definition in</w:t>
      </w:r>
      <w:r w:rsidR="007C5713" w:rsidRPr="00DF5C23">
        <w:rPr>
          <w:noProof/>
          <w:lang w:val="en-IE" w:eastAsia="fr-BE"/>
        </w:rPr>
        <w:t xml:space="preserve"> </w:t>
      </w:r>
      <w:r w:rsidR="00C4493A" w:rsidRPr="00DF5C23">
        <w:rPr>
          <w:noProof/>
          <w:lang w:val="en-IE" w:eastAsia="fr-BE"/>
        </w:rPr>
        <w:t>Article 2(</w:t>
      </w:r>
      <w:r w:rsidR="007C5713" w:rsidRPr="00DF5C23">
        <w:rPr>
          <w:noProof/>
          <w:lang w:val="en-IE" w:eastAsia="fr-BE"/>
        </w:rPr>
        <w:t>28</w:t>
      </w:r>
      <w:r w:rsidR="00C4493A" w:rsidRPr="00DF5C23">
        <w:rPr>
          <w:noProof/>
          <w:lang w:val="en-IE" w:eastAsia="fr-BE"/>
        </w:rPr>
        <w:t>)</w:t>
      </w:r>
      <w:r w:rsidR="008A4680" w:rsidRPr="00DF5C23">
        <w:rPr>
          <w:noProof/>
          <w:lang w:val="en-IE" w:eastAsia="fr-BE"/>
        </w:rPr>
        <w:t xml:space="preserve">, </w:t>
      </w:r>
      <w:r w:rsidR="00553EC3" w:rsidRPr="00DF5C23">
        <w:rPr>
          <w:noProof/>
          <w:lang w:val="en-IE" w:eastAsia="fr-BE"/>
        </w:rPr>
        <w:t>point (</w:t>
      </w:r>
      <w:r w:rsidR="003D4984" w:rsidRPr="00DF5C23">
        <w:rPr>
          <w:noProof/>
          <w:lang w:val="en-IE" w:eastAsia="fr-BE"/>
        </w:rPr>
        <w:t>c</w:t>
      </w:r>
      <w:r w:rsidR="00553EC3" w:rsidRPr="00DF5C23">
        <w:rPr>
          <w:noProof/>
          <w:lang w:val="en-IE" w:eastAsia="fr-BE"/>
        </w:rPr>
        <w:t>)</w:t>
      </w:r>
      <w:r w:rsidR="008A4680" w:rsidRPr="00DF5C23">
        <w:rPr>
          <w:noProof/>
          <w:lang w:val="en-IE" w:eastAsia="fr-BE"/>
        </w:rPr>
        <w:t>,</w:t>
      </w:r>
      <w:r w:rsidR="00C4493A" w:rsidRPr="00DF5C23">
        <w:rPr>
          <w:noProof/>
          <w:lang w:val="en-IE" w:eastAsia="fr-BE"/>
        </w:rPr>
        <w:t xml:space="preserve"> for the purposes of the product groups covered;</w:t>
      </w:r>
    </w:p>
    <w:p w14:paraId="2C3A56AA" w14:textId="60B51A82" w:rsidR="00C4493A" w:rsidRPr="00DF5C23" w:rsidRDefault="004F5E59" w:rsidP="004F5E59">
      <w:pPr>
        <w:pStyle w:val="Point1"/>
        <w:rPr>
          <w:noProof/>
          <w:lang w:val="en-IE" w:eastAsia="fr-BE"/>
        </w:rPr>
      </w:pPr>
      <w:r w:rsidRPr="004F5E59">
        <w:t>(b)</w:t>
      </w:r>
      <w:r w:rsidRPr="004F5E59">
        <w:tab/>
      </w:r>
      <w:r w:rsidR="00C4493A" w:rsidRPr="00DF5C23">
        <w:rPr>
          <w:noProof/>
          <w:lang w:val="en-IE" w:eastAsia="fr-BE"/>
        </w:rPr>
        <w:t xml:space="preserve">lay down deadlines for the entry into application of </w:t>
      </w:r>
      <w:r w:rsidR="008A0B4E" w:rsidRPr="00DF5C23">
        <w:rPr>
          <w:noProof/>
          <w:lang w:val="en-IE" w:eastAsia="fr-BE"/>
        </w:rPr>
        <w:t xml:space="preserve">the information </w:t>
      </w:r>
      <w:r w:rsidR="00C4493A" w:rsidRPr="00DF5C23">
        <w:rPr>
          <w:noProof/>
          <w:lang w:val="en-IE" w:eastAsia="fr-BE"/>
        </w:rPr>
        <w:t>requirements</w:t>
      </w:r>
      <w:r w:rsidR="008A0B4E" w:rsidRPr="00DF5C23">
        <w:rPr>
          <w:noProof/>
          <w:lang w:val="en-IE" w:eastAsia="fr-BE"/>
        </w:rPr>
        <w:t xml:space="preserve"> referred to in the first subparagraph</w:t>
      </w:r>
      <w:r w:rsidR="00C4493A" w:rsidRPr="00DF5C23">
        <w:rPr>
          <w:noProof/>
          <w:lang w:val="en-IE" w:eastAsia="fr-BE"/>
        </w:rPr>
        <w:t xml:space="preserve">, </w:t>
      </w:r>
      <w:r w:rsidR="00AD3559" w:rsidRPr="00DF5C23">
        <w:rPr>
          <w:noProof/>
        </w:rPr>
        <w:t>with possible differentiation between substances</w:t>
      </w:r>
      <w:r w:rsidR="00C4493A" w:rsidRPr="00DF5C23">
        <w:rPr>
          <w:noProof/>
          <w:lang w:val="en-IE" w:eastAsia="fr-BE"/>
        </w:rPr>
        <w:t>; and</w:t>
      </w:r>
    </w:p>
    <w:p w14:paraId="2C3A56AB" w14:textId="7FF7CE5F" w:rsidR="008A0B4E" w:rsidRPr="00DF5C23" w:rsidRDefault="004F5E59" w:rsidP="004F5E59">
      <w:pPr>
        <w:pStyle w:val="Point1"/>
        <w:rPr>
          <w:noProof/>
          <w:lang w:val="en-IE" w:eastAsia="fr-BE"/>
        </w:rPr>
      </w:pPr>
      <w:r w:rsidRPr="004F5E59">
        <w:t>(c)</w:t>
      </w:r>
      <w:r w:rsidRPr="004F5E59">
        <w:tab/>
      </w:r>
      <w:r w:rsidR="008A0B4E" w:rsidRPr="00DF5C23">
        <w:rPr>
          <w:noProof/>
          <w:lang w:val="en-IE" w:eastAsia="fr-BE"/>
        </w:rPr>
        <w:t xml:space="preserve">provide exemptions for </w:t>
      </w:r>
      <w:r w:rsidR="00EE4595" w:rsidRPr="00DF5C23">
        <w:rPr>
          <w:noProof/>
          <w:lang w:val="en-IE" w:eastAsia="fr-BE"/>
        </w:rPr>
        <w:t xml:space="preserve">substances of concern or information elements </w:t>
      </w:r>
      <w:r w:rsidR="00F23791" w:rsidRPr="00DF5C23">
        <w:rPr>
          <w:noProof/>
          <w:lang w:val="en-IE" w:eastAsia="fr-BE"/>
        </w:rPr>
        <w:t>from the information requirement</w:t>
      </w:r>
      <w:r w:rsidR="00553EC3" w:rsidRPr="00DF5C23">
        <w:rPr>
          <w:noProof/>
          <w:lang w:val="en-IE" w:eastAsia="fr-BE"/>
        </w:rPr>
        <w:t>s</w:t>
      </w:r>
      <w:r w:rsidR="00F23791" w:rsidRPr="00DF5C23">
        <w:rPr>
          <w:noProof/>
          <w:lang w:val="en-IE" w:eastAsia="fr-BE"/>
        </w:rPr>
        <w:t xml:space="preserve"> referred to in the first subparagraph</w:t>
      </w:r>
      <w:r w:rsidR="00EE4595" w:rsidRPr="00DF5C23">
        <w:rPr>
          <w:noProof/>
          <w:lang w:val="en-IE" w:eastAsia="fr-BE"/>
        </w:rPr>
        <w:t>.</w:t>
      </w:r>
      <w:r w:rsidR="009D4520" w:rsidRPr="00DF5C23">
        <w:rPr>
          <w:noProof/>
          <w:lang w:val="en-IE" w:eastAsia="fr-BE"/>
        </w:rPr>
        <w:t xml:space="preserve"> </w:t>
      </w:r>
    </w:p>
    <w:p w14:paraId="2C3A56AC" w14:textId="77777777" w:rsidR="006D6587" w:rsidRPr="00DF5C23" w:rsidRDefault="008A0B4E" w:rsidP="00EC0E40">
      <w:pPr>
        <w:pStyle w:val="Text1"/>
        <w:rPr>
          <w:noProof/>
          <w:lang w:val="en-IE" w:eastAsia="fr-BE"/>
        </w:rPr>
      </w:pPr>
      <w:r w:rsidRPr="00DF5C23">
        <w:rPr>
          <w:noProof/>
          <w:lang w:val="en-IE" w:eastAsia="fr-BE"/>
        </w:rPr>
        <w:t>Exemptions referred to in the second subparagraph, point (c), may be provided based on</w:t>
      </w:r>
      <w:r w:rsidR="009D4520" w:rsidRPr="00DF5C23">
        <w:rPr>
          <w:noProof/>
          <w:lang w:val="en-IE" w:eastAsia="fr-BE"/>
        </w:rPr>
        <w:t xml:space="preserve"> the technical feasibility or relevance of tracking substances of concern</w:t>
      </w:r>
      <w:r w:rsidRPr="00DF5C23">
        <w:rPr>
          <w:noProof/>
          <w:lang w:val="en-IE" w:eastAsia="fr-BE"/>
        </w:rPr>
        <w:t>,</w:t>
      </w:r>
      <w:r w:rsidR="009D4520" w:rsidRPr="00DF5C23">
        <w:rPr>
          <w:noProof/>
          <w:lang w:val="en-IE" w:eastAsia="fr-BE"/>
        </w:rPr>
        <w:t xml:space="preserve"> the need to protect confidential business information</w:t>
      </w:r>
      <w:r w:rsidRPr="00DF5C23">
        <w:rPr>
          <w:noProof/>
          <w:lang w:val="en-IE" w:eastAsia="fr-BE"/>
        </w:rPr>
        <w:t xml:space="preserve"> and in other duly justified cases</w:t>
      </w:r>
      <w:r w:rsidR="009D4520" w:rsidRPr="00DF5C23">
        <w:rPr>
          <w:noProof/>
          <w:lang w:val="en-IE" w:eastAsia="fr-BE"/>
        </w:rPr>
        <w:t>.</w:t>
      </w:r>
      <w:r w:rsidR="00EE4595" w:rsidRPr="00DF5C23">
        <w:rPr>
          <w:noProof/>
          <w:lang w:val="en-IE" w:eastAsia="fr-BE"/>
        </w:rPr>
        <w:t xml:space="preserve"> </w:t>
      </w:r>
      <w:r w:rsidRPr="00DF5C23" w:rsidDel="008A0B4E">
        <w:rPr>
          <w:rStyle w:val="CommentReference"/>
          <w:rFonts w:eastAsia="Times New Roman"/>
          <w:noProof/>
          <w:lang w:val="en-IE" w:eastAsia="en-GB"/>
        </w:rPr>
        <w:t xml:space="preserve"> </w:t>
      </w:r>
    </w:p>
    <w:p w14:paraId="2C3A56AD" w14:textId="77777777" w:rsidR="00EE4595" w:rsidRPr="00DF5C23" w:rsidRDefault="00EE4595" w:rsidP="00195D72">
      <w:pPr>
        <w:pStyle w:val="Text1"/>
        <w:rPr>
          <w:noProof/>
          <w:lang w:val="en-IE" w:eastAsia="fr-BE"/>
        </w:rPr>
      </w:pPr>
      <w:r w:rsidRPr="00DF5C23">
        <w:rPr>
          <w:noProof/>
          <w:lang w:val="en-IE" w:eastAsia="fr-BE"/>
        </w:rPr>
        <w:t xml:space="preserve">Substances </w:t>
      </w:r>
      <w:r w:rsidR="006D6587" w:rsidRPr="00DF5C23">
        <w:rPr>
          <w:noProof/>
          <w:lang w:val="en-IE" w:eastAsia="fr-BE"/>
        </w:rPr>
        <w:t>of concern</w:t>
      </w:r>
      <w:r w:rsidRPr="00DF5C23">
        <w:rPr>
          <w:noProof/>
          <w:lang w:val="en-IE" w:eastAsia="fr-BE"/>
        </w:rPr>
        <w:t xml:space="preserve"> </w:t>
      </w:r>
      <w:r w:rsidR="008A0B4E" w:rsidRPr="00DF5C23">
        <w:rPr>
          <w:noProof/>
          <w:lang w:val="en-IE" w:eastAsia="fr-BE"/>
        </w:rPr>
        <w:t>falling under the definition in</w:t>
      </w:r>
      <w:r w:rsidRPr="00DF5C23">
        <w:rPr>
          <w:noProof/>
          <w:lang w:val="en-IE" w:eastAsia="fr-BE"/>
        </w:rPr>
        <w:t xml:space="preserve"> Article 2(</w:t>
      </w:r>
      <w:r w:rsidR="007C5713" w:rsidRPr="00DF5C23">
        <w:rPr>
          <w:noProof/>
          <w:lang w:val="en-IE" w:eastAsia="fr-BE"/>
        </w:rPr>
        <w:t>28</w:t>
      </w:r>
      <w:r w:rsidRPr="00DF5C23">
        <w:rPr>
          <w:noProof/>
          <w:lang w:val="en-IE" w:eastAsia="fr-BE"/>
        </w:rPr>
        <w:t>)</w:t>
      </w:r>
      <w:r w:rsidR="006D6587" w:rsidRPr="00DF5C23">
        <w:rPr>
          <w:noProof/>
          <w:lang w:val="en-IE" w:eastAsia="fr-BE"/>
        </w:rPr>
        <w:t xml:space="preserve">, </w:t>
      </w:r>
      <w:r w:rsidR="005F2683" w:rsidRPr="00DF5C23">
        <w:rPr>
          <w:noProof/>
          <w:lang w:val="en-IE" w:eastAsia="fr-BE"/>
        </w:rPr>
        <w:t>point (</w:t>
      </w:r>
      <w:r w:rsidR="009C2B90" w:rsidRPr="00DF5C23">
        <w:rPr>
          <w:noProof/>
          <w:lang w:val="en-IE" w:eastAsia="fr-BE"/>
        </w:rPr>
        <w:t>a)</w:t>
      </w:r>
      <w:r w:rsidR="006D6587" w:rsidRPr="00DF5C23">
        <w:rPr>
          <w:noProof/>
          <w:lang w:val="en-IE" w:eastAsia="fr-BE"/>
        </w:rPr>
        <w:t>,</w:t>
      </w:r>
      <w:r w:rsidRPr="00DF5C23">
        <w:rPr>
          <w:noProof/>
          <w:lang w:val="en-IE" w:eastAsia="fr-BE"/>
        </w:rPr>
        <w:t xml:space="preserve"> shall not be exempted </w:t>
      </w:r>
      <w:r w:rsidR="00F23791" w:rsidRPr="00DF5C23">
        <w:rPr>
          <w:noProof/>
          <w:lang w:val="en-IE" w:eastAsia="fr-BE"/>
        </w:rPr>
        <w:t>from the information requirement referred to in the first subparagraph</w:t>
      </w:r>
      <w:r w:rsidRPr="00DF5C23">
        <w:rPr>
          <w:noProof/>
          <w:lang w:val="en-IE" w:eastAsia="fr-BE"/>
        </w:rPr>
        <w:t xml:space="preserve"> if they are present in the relevant products, their main components or spare parts in a concentration above 0</w:t>
      </w:r>
      <w:r w:rsidR="008A0B4E" w:rsidRPr="00DF5C23">
        <w:rPr>
          <w:noProof/>
          <w:lang w:val="en-IE" w:eastAsia="fr-BE"/>
        </w:rPr>
        <w:t>,</w:t>
      </w:r>
      <w:r w:rsidRPr="00DF5C23">
        <w:rPr>
          <w:noProof/>
          <w:lang w:val="en-IE" w:eastAsia="fr-BE"/>
        </w:rPr>
        <w:t xml:space="preserve">1 % weight by weight. </w:t>
      </w:r>
    </w:p>
    <w:p w14:paraId="2C3A56AE" w14:textId="0344C2F4" w:rsidR="00F23791" w:rsidRPr="00DF5C23" w:rsidRDefault="004F5E59" w:rsidP="004F5E59">
      <w:pPr>
        <w:pStyle w:val="ManualNumPar1"/>
        <w:rPr>
          <w:noProof/>
          <w:lang w:val="en-IE" w:eastAsia="fr-BE"/>
        </w:rPr>
      </w:pPr>
      <w:r w:rsidRPr="004F5E59">
        <w:t>6.</w:t>
      </w:r>
      <w:r w:rsidRPr="004F5E59">
        <w:tab/>
      </w:r>
      <w:r w:rsidR="0681B866" w:rsidRPr="00DF5C23">
        <w:rPr>
          <w:noProof/>
          <w:lang w:val="en-IE" w:eastAsia="fr-BE"/>
        </w:rPr>
        <w:t xml:space="preserve">Information requirements shall indicate the </w:t>
      </w:r>
      <w:r w:rsidR="00F23791" w:rsidRPr="00DF5C23">
        <w:rPr>
          <w:noProof/>
          <w:lang w:val="en-IE" w:eastAsia="fr-BE"/>
        </w:rPr>
        <w:t xml:space="preserve">manner in which the </w:t>
      </w:r>
      <w:r w:rsidR="00AD3559" w:rsidRPr="00DF5C23">
        <w:rPr>
          <w:noProof/>
          <w:lang w:eastAsia="fr-BE"/>
        </w:rPr>
        <w:t xml:space="preserve">required information </w:t>
      </w:r>
      <w:r w:rsidR="00F23791" w:rsidRPr="00DF5C23">
        <w:rPr>
          <w:noProof/>
          <w:lang w:eastAsia="fr-BE"/>
        </w:rPr>
        <w:t>shall be made</w:t>
      </w:r>
      <w:r w:rsidR="00AD3559" w:rsidRPr="00DF5C23">
        <w:rPr>
          <w:noProof/>
          <w:lang w:eastAsia="fr-BE"/>
        </w:rPr>
        <w:t xml:space="preserve"> available. </w:t>
      </w:r>
    </w:p>
    <w:p w14:paraId="2C3A56AF" w14:textId="77777777" w:rsidR="00697A54" w:rsidRPr="00DF5C23" w:rsidRDefault="00F23791" w:rsidP="00F23791">
      <w:pPr>
        <w:pStyle w:val="Text1"/>
        <w:rPr>
          <w:noProof/>
          <w:lang w:val="en-IE" w:eastAsia="fr-BE"/>
        </w:rPr>
      </w:pPr>
      <w:r w:rsidRPr="00DF5C23">
        <w:rPr>
          <w:noProof/>
          <w:lang w:val="en-IE" w:eastAsia="fr-BE"/>
        </w:rPr>
        <w:t>The required information shall, as appropriate, be provided in at least one of the following manners</w:t>
      </w:r>
      <w:r w:rsidR="0681B866" w:rsidRPr="00DF5C23">
        <w:rPr>
          <w:noProof/>
          <w:lang w:val="en-IE" w:eastAsia="fr-BE"/>
        </w:rPr>
        <w:t>:</w:t>
      </w:r>
    </w:p>
    <w:p w14:paraId="2C3A56B0" w14:textId="3EC4141F" w:rsidR="00697A54" w:rsidRPr="00DF5C23" w:rsidRDefault="004F5E59" w:rsidP="004F5E59">
      <w:pPr>
        <w:pStyle w:val="Point1"/>
        <w:rPr>
          <w:noProof/>
          <w:lang w:val="en-IE" w:eastAsia="fr-BE"/>
        </w:rPr>
      </w:pPr>
      <w:r w:rsidRPr="004F5E59">
        <w:t>(a)</w:t>
      </w:r>
      <w:r w:rsidRPr="004F5E59">
        <w:tab/>
      </w:r>
      <w:r w:rsidR="0681B866" w:rsidRPr="00DF5C23">
        <w:rPr>
          <w:noProof/>
          <w:lang w:val="en-IE" w:eastAsia="fr-BE"/>
        </w:rPr>
        <w:t>on the product itself;</w:t>
      </w:r>
    </w:p>
    <w:p w14:paraId="2C3A56B1" w14:textId="7C50B1DB" w:rsidR="00697A54" w:rsidRPr="00DF5C23" w:rsidRDefault="004F5E59" w:rsidP="004F5E59">
      <w:pPr>
        <w:pStyle w:val="Point1"/>
        <w:rPr>
          <w:noProof/>
          <w:lang w:val="en-IE"/>
        </w:rPr>
      </w:pPr>
      <w:r w:rsidRPr="004F5E59">
        <w:t>(b)</w:t>
      </w:r>
      <w:r w:rsidRPr="004F5E59">
        <w:tab/>
      </w:r>
      <w:r w:rsidR="0681B866" w:rsidRPr="00DF5C23">
        <w:rPr>
          <w:noProof/>
          <w:lang w:val="en-IE"/>
        </w:rPr>
        <w:t>on the product’s packaging;</w:t>
      </w:r>
    </w:p>
    <w:p w14:paraId="2C3A56B2" w14:textId="1A66FEFB" w:rsidR="00697A54" w:rsidRPr="00DF5C23" w:rsidRDefault="004F5E59" w:rsidP="004F5E59">
      <w:pPr>
        <w:pStyle w:val="Point1"/>
        <w:rPr>
          <w:noProof/>
          <w:lang w:val="en-IE"/>
        </w:rPr>
      </w:pPr>
      <w:r w:rsidRPr="004F5E59">
        <w:t>(c)</w:t>
      </w:r>
      <w:r w:rsidRPr="004F5E59">
        <w:tab/>
      </w:r>
      <w:r w:rsidR="00697A54" w:rsidRPr="00DF5C23">
        <w:rPr>
          <w:noProof/>
          <w:lang w:val="en-IE"/>
        </w:rPr>
        <w:t xml:space="preserve">in the </w:t>
      </w:r>
      <w:r w:rsidR="004A1643" w:rsidRPr="00DF5C23">
        <w:rPr>
          <w:noProof/>
          <w:lang w:val="en-IE"/>
        </w:rPr>
        <w:t>product passport</w:t>
      </w:r>
      <w:r w:rsidR="00697A54" w:rsidRPr="00DF5C23">
        <w:rPr>
          <w:noProof/>
          <w:lang w:val="en-IE"/>
        </w:rPr>
        <w:t xml:space="preserve"> </w:t>
      </w:r>
      <w:r w:rsidR="00F23791" w:rsidRPr="00DF5C23">
        <w:rPr>
          <w:noProof/>
          <w:lang w:val="en-IE"/>
        </w:rPr>
        <w:t>referred to in</w:t>
      </w:r>
      <w:r w:rsidR="00697A54" w:rsidRPr="00DF5C23">
        <w:rPr>
          <w:noProof/>
          <w:lang w:val="en-IE"/>
        </w:rPr>
        <w:t xml:space="preserve"> </w:t>
      </w:r>
      <w:r w:rsidR="00990872" w:rsidRPr="00DF5C23">
        <w:rPr>
          <w:noProof/>
          <w:lang w:val="en-IE"/>
        </w:rPr>
        <w:t xml:space="preserve">Article </w:t>
      </w:r>
      <w:r w:rsidR="00055DD0" w:rsidRPr="00DF5C23">
        <w:rPr>
          <w:noProof/>
          <w:lang w:val="en-IE"/>
        </w:rPr>
        <w:t>8</w:t>
      </w:r>
      <w:r w:rsidR="00697A54" w:rsidRPr="00DF5C23">
        <w:rPr>
          <w:noProof/>
          <w:lang w:val="en-IE"/>
        </w:rPr>
        <w:t>;</w:t>
      </w:r>
    </w:p>
    <w:p w14:paraId="2C3A56B3" w14:textId="056BFA1E" w:rsidR="00697A54" w:rsidRPr="00DF5C23" w:rsidRDefault="004F5E59" w:rsidP="004F5E59">
      <w:pPr>
        <w:pStyle w:val="Point1"/>
        <w:rPr>
          <w:noProof/>
          <w:lang w:val="en-IE"/>
        </w:rPr>
      </w:pPr>
      <w:r w:rsidRPr="004F5E59">
        <w:t>(d)</w:t>
      </w:r>
      <w:r w:rsidRPr="004F5E59">
        <w:tab/>
      </w:r>
      <w:r w:rsidR="00697A54" w:rsidRPr="00DF5C23">
        <w:rPr>
          <w:noProof/>
          <w:lang w:val="en-IE"/>
        </w:rPr>
        <w:t xml:space="preserve">on a label </w:t>
      </w:r>
      <w:r w:rsidR="00F23791" w:rsidRPr="00DF5C23">
        <w:rPr>
          <w:noProof/>
          <w:lang w:val="en-IE"/>
        </w:rPr>
        <w:t>referred to in</w:t>
      </w:r>
      <w:r w:rsidR="00697A54" w:rsidRPr="00DF5C23">
        <w:rPr>
          <w:noProof/>
          <w:lang w:val="en-IE"/>
        </w:rPr>
        <w:t xml:space="preserve"> </w:t>
      </w:r>
      <w:r w:rsidR="00990872" w:rsidRPr="00DF5C23">
        <w:rPr>
          <w:noProof/>
          <w:lang w:val="en-IE"/>
        </w:rPr>
        <w:t xml:space="preserve">Article </w:t>
      </w:r>
      <w:r w:rsidR="007C5713" w:rsidRPr="00DF5C23">
        <w:rPr>
          <w:noProof/>
          <w:lang w:val="en-IE"/>
        </w:rPr>
        <w:t>14</w:t>
      </w:r>
      <w:r w:rsidR="00697A54" w:rsidRPr="00DF5C23">
        <w:rPr>
          <w:noProof/>
          <w:lang w:val="en-IE"/>
        </w:rPr>
        <w:t>;</w:t>
      </w:r>
    </w:p>
    <w:p w14:paraId="2C3A56B4" w14:textId="6D523299" w:rsidR="00697A54" w:rsidRPr="00DF5C23" w:rsidRDefault="004F5E59" w:rsidP="004F5E59">
      <w:pPr>
        <w:pStyle w:val="Point1"/>
        <w:rPr>
          <w:noProof/>
          <w:lang w:val="en-IE"/>
        </w:rPr>
      </w:pPr>
      <w:r w:rsidRPr="004F5E59">
        <w:t>(e)</w:t>
      </w:r>
      <w:r w:rsidRPr="004F5E59">
        <w:tab/>
      </w:r>
      <w:r w:rsidR="0681B866" w:rsidRPr="00DF5C23">
        <w:rPr>
          <w:noProof/>
          <w:lang w:val="en-IE"/>
        </w:rPr>
        <w:t>in a user manual;</w:t>
      </w:r>
    </w:p>
    <w:p w14:paraId="2C3A56B5" w14:textId="6A5C2DB4" w:rsidR="00697A54" w:rsidRPr="00DF5C23" w:rsidRDefault="004F5E59" w:rsidP="004F5E59">
      <w:pPr>
        <w:pStyle w:val="Point1"/>
        <w:rPr>
          <w:noProof/>
          <w:lang w:val="en-IE"/>
        </w:rPr>
      </w:pPr>
      <w:r w:rsidRPr="004F5E59">
        <w:t>(f)</w:t>
      </w:r>
      <w:r w:rsidRPr="004F5E59">
        <w:tab/>
      </w:r>
      <w:r w:rsidR="00697A54" w:rsidRPr="00DF5C23">
        <w:rPr>
          <w:noProof/>
          <w:lang w:val="en-IE"/>
        </w:rPr>
        <w:t>on a free access website</w:t>
      </w:r>
      <w:r w:rsidR="00EC64DD" w:rsidRPr="00DF5C23">
        <w:rPr>
          <w:noProof/>
          <w:lang w:val="en-IE"/>
        </w:rPr>
        <w:t xml:space="preserve"> or application</w:t>
      </w:r>
      <w:r w:rsidR="00697A54" w:rsidRPr="00DF5C23">
        <w:rPr>
          <w:noProof/>
          <w:lang w:val="en-IE"/>
        </w:rPr>
        <w:t>.</w:t>
      </w:r>
    </w:p>
    <w:p w14:paraId="2C3A56B6" w14:textId="77777777" w:rsidR="00697A54" w:rsidRPr="00DF5C23" w:rsidRDefault="00697A54" w:rsidP="0681B866">
      <w:pPr>
        <w:pStyle w:val="Text1"/>
        <w:rPr>
          <w:noProof/>
          <w:lang w:val="en-IE" w:eastAsia="fr-BE"/>
        </w:rPr>
      </w:pPr>
      <w:r w:rsidRPr="00DF5C23">
        <w:rPr>
          <w:noProof/>
          <w:lang w:val="en-IE" w:eastAsia="fr-BE"/>
        </w:rPr>
        <w:t xml:space="preserve">Information </w:t>
      </w:r>
      <w:r w:rsidR="008A0B4E" w:rsidRPr="00DF5C23">
        <w:rPr>
          <w:noProof/>
          <w:lang w:val="en-IE" w:eastAsia="fr-BE"/>
        </w:rPr>
        <w:t>ensuring</w:t>
      </w:r>
      <w:r w:rsidRPr="00DF5C23">
        <w:rPr>
          <w:noProof/>
          <w:lang w:val="en-IE" w:eastAsia="fr-BE"/>
        </w:rPr>
        <w:t xml:space="preserve"> the traceability of substances pursuant to </w:t>
      </w:r>
      <w:r w:rsidR="004A1643" w:rsidRPr="00DF5C23">
        <w:rPr>
          <w:noProof/>
          <w:lang w:val="en-IE" w:eastAsia="fr-BE"/>
        </w:rPr>
        <w:t xml:space="preserve">paragraph </w:t>
      </w:r>
      <w:r w:rsidR="00F50265" w:rsidRPr="00DF5C23">
        <w:rPr>
          <w:noProof/>
          <w:lang w:val="en-IE" w:eastAsia="fr-BE"/>
        </w:rPr>
        <w:t>5</w:t>
      </w:r>
      <w:r w:rsidRPr="00DF5C23">
        <w:rPr>
          <w:noProof/>
          <w:lang w:val="en-IE" w:eastAsia="fr-BE"/>
        </w:rPr>
        <w:t xml:space="preserve"> shall be given </w:t>
      </w:r>
      <w:r w:rsidR="00F23791" w:rsidRPr="00DF5C23">
        <w:rPr>
          <w:noProof/>
          <w:lang w:val="en-IE" w:eastAsia="fr-BE"/>
        </w:rPr>
        <w:t xml:space="preserve">either </w:t>
      </w:r>
      <w:r w:rsidRPr="00DF5C23">
        <w:rPr>
          <w:noProof/>
          <w:lang w:val="en-IE" w:eastAsia="fr-BE"/>
        </w:rPr>
        <w:t xml:space="preserve">on the product or be accessible through a data carrier included on the product. </w:t>
      </w:r>
    </w:p>
    <w:p w14:paraId="2C3A56B7" w14:textId="6456A09A" w:rsidR="00E80AC8" w:rsidRPr="00DF5C23" w:rsidRDefault="004F5E59" w:rsidP="004F5E59">
      <w:pPr>
        <w:pStyle w:val="ManualNumPar1"/>
        <w:rPr>
          <w:noProof/>
          <w:lang w:val="en-IE" w:eastAsia="fr-BE"/>
        </w:rPr>
      </w:pPr>
      <w:r w:rsidRPr="004F5E59">
        <w:t>7.</w:t>
      </w:r>
      <w:r w:rsidRPr="004F5E59">
        <w:tab/>
      </w:r>
      <w:r w:rsidR="00E80AC8" w:rsidRPr="00DF5C23">
        <w:rPr>
          <w:noProof/>
          <w:lang w:val="en-IE" w:eastAsia="fr-BE"/>
        </w:rPr>
        <w:t xml:space="preserve">The information to be supplied pursuant to </w:t>
      </w:r>
      <w:r w:rsidR="008C04B4" w:rsidRPr="00DF5C23">
        <w:rPr>
          <w:noProof/>
          <w:lang w:val="en-IE" w:eastAsia="fr-BE"/>
        </w:rPr>
        <w:t>information requirements</w:t>
      </w:r>
      <w:r w:rsidR="00E80AC8" w:rsidRPr="00DF5C23">
        <w:rPr>
          <w:noProof/>
          <w:lang w:val="en-IE" w:eastAsia="fr-BE"/>
        </w:rPr>
        <w:t xml:space="preserve"> shall be provided in a language which can be easily understood by consumers and other end-users</w:t>
      </w:r>
      <w:r w:rsidR="000D0EF5" w:rsidRPr="00DF5C23">
        <w:rPr>
          <w:noProof/>
          <w:lang w:val="en-IE" w:eastAsia="fr-BE"/>
        </w:rPr>
        <w:t>,</w:t>
      </w:r>
      <w:r w:rsidR="00E80AC8" w:rsidRPr="00DF5C23">
        <w:rPr>
          <w:noProof/>
          <w:lang w:val="en-IE" w:eastAsia="fr-BE"/>
        </w:rPr>
        <w:t xml:space="preserve"> as determined by the Member State in which the product is to be made available on the market</w:t>
      </w:r>
      <w:r w:rsidR="005F2683" w:rsidRPr="00DF5C23">
        <w:rPr>
          <w:noProof/>
          <w:lang w:val="en-IE" w:eastAsia="fr-BE"/>
        </w:rPr>
        <w:t xml:space="preserve"> or put into service</w:t>
      </w:r>
      <w:r w:rsidR="00E80AC8" w:rsidRPr="00DF5C23">
        <w:rPr>
          <w:noProof/>
          <w:lang w:val="en-IE" w:eastAsia="fr-BE"/>
        </w:rPr>
        <w:t xml:space="preserve">.  </w:t>
      </w:r>
    </w:p>
    <w:p w14:paraId="2C3A56B8" w14:textId="77777777" w:rsidR="006160FC" w:rsidRPr="00DF5C23" w:rsidRDefault="0681B866" w:rsidP="00BA4E97">
      <w:pPr>
        <w:pStyle w:val="ManualHeading1"/>
        <w:jc w:val="center"/>
        <w:rPr>
          <w:noProof/>
          <w:lang w:val="fr-BE"/>
        </w:rPr>
      </w:pPr>
      <w:r w:rsidRPr="00DF5C23">
        <w:rPr>
          <w:noProof/>
          <w:lang w:val="fr-BE"/>
        </w:rPr>
        <w:t>Chapter III</w:t>
      </w:r>
      <w:r w:rsidR="00BA4E97" w:rsidRPr="00DF5C23">
        <w:rPr>
          <w:noProof/>
          <w:lang w:val="fr-BE"/>
        </w:rPr>
        <w:t xml:space="preserve"> - </w:t>
      </w:r>
      <w:r w:rsidR="00805CB7" w:rsidRPr="00DF5C23">
        <w:rPr>
          <w:noProof/>
          <w:lang w:val="fr-BE"/>
        </w:rPr>
        <w:t>D</w:t>
      </w:r>
      <w:r w:rsidR="006160FC" w:rsidRPr="00DF5C23">
        <w:rPr>
          <w:noProof/>
          <w:lang w:val="fr-BE"/>
        </w:rPr>
        <w:t>igital product passport</w:t>
      </w:r>
    </w:p>
    <w:p w14:paraId="2C3A56B9" w14:textId="77777777" w:rsidR="006160FC" w:rsidRPr="00DF5C23" w:rsidRDefault="006160FC" w:rsidP="006160FC">
      <w:pPr>
        <w:pStyle w:val="Titrearticle"/>
        <w:rPr>
          <w:noProof/>
          <w:lang w:val="fr-BE" w:eastAsia="fr-BE"/>
        </w:rPr>
      </w:pPr>
      <w:r w:rsidRPr="00DF5C23">
        <w:rPr>
          <w:noProof/>
          <w:lang w:val="fr-BE" w:eastAsia="fr-BE"/>
        </w:rPr>
        <w:t xml:space="preserve">Article </w:t>
      </w:r>
      <w:r w:rsidR="00055DD0" w:rsidRPr="00DF5C23">
        <w:rPr>
          <w:noProof/>
          <w:lang w:val="fr-BE" w:eastAsia="fr-BE"/>
        </w:rPr>
        <w:t>8</w:t>
      </w:r>
      <w:r w:rsidRPr="00DF5C23">
        <w:rPr>
          <w:noProof/>
          <w:lang w:val="fr-BE"/>
        </w:rPr>
        <w:br/>
      </w:r>
      <w:r w:rsidR="005F2683" w:rsidRPr="00DF5C23">
        <w:rPr>
          <w:noProof/>
          <w:lang w:val="fr-BE"/>
        </w:rPr>
        <w:t>P</w:t>
      </w:r>
      <w:r w:rsidRPr="00DF5C23">
        <w:rPr>
          <w:noProof/>
          <w:lang w:val="fr-BE"/>
        </w:rPr>
        <w:t>roduct passport</w:t>
      </w:r>
    </w:p>
    <w:p w14:paraId="2C3A56BA" w14:textId="3B3B130D" w:rsidR="00751297" w:rsidRPr="00DF5C23" w:rsidRDefault="004F5E59" w:rsidP="004F5E59">
      <w:pPr>
        <w:pStyle w:val="ManualNumPar1"/>
        <w:rPr>
          <w:noProof/>
          <w:lang w:val="en-IE"/>
        </w:rPr>
      </w:pPr>
      <w:r w:rsidRPr="004F5E59">
        <w:t>1.</w:t>
      </w:r>
      <w:r w:rsidRPr="004F5E59">
        <w:tab/>
      </w:r>
      <w:r w:rsidR="009736A3" w:rsidRPr="00DF5C23">
        <w:rPr>
          <w:noProof/>
          <w:lang w:val="en-IE"/>
        </w:rPr>
        <w:t xml:space="preserve">The information requirements referred to in Article 7(1) </w:t>
      </w:r>
      <w:r w:rsidR="006160FC" w:rsidRPr="00DF5C23">
        <w:rPr>
          <w:noProof/>
          <w:lang w:val="en-IE"/>
        </w:rPr>
        <w:t xml:space="preserve">shall provide that products can only be placed on the market or put into service if a product passport is available in accordance with </w:t>
      </w:r>
      <w:r w:rsidR="009736A3" w:rsidRPr="00DF5C23">
        <w:rPr>
          <w:noProof/>
          <w:lang w:val="en-IE"/>
        </w:rPr>
        <w:t xml:space="preserve">the applicable delegated act adopted pursuant to Article 4 and </w:t>
      </w:r>
      <w:r w:rsidR="006160FC" w:rsidRPr="00DF5C23">
        <w:rPr>
          <w:noProof/>
          <w:lang w:val="en-IE"/>
        </w:rPr>
        <w:t>Article</w:t>
      </w:r>
      <w:r w:rsidR="00A03174" w:rsidRPr="00DF5C23">
        <w:rPr>
          <w:noProof/>
          <w:lang w:val="en-IE"/>
        </w:rPr>
        <w:t>s</w:t>
      </w:r>
      <w:r w:rsidR="006160FC" w:rsidRPr="00DF5C23">
        <w:rPr>
          <w:noProof/>
          <w:lang w:val="en-IE"/>
        </w:rPr>
        <w:t xml:space="preserve"> </w:t>
      </w:r>
      <w:r w:rsidR="00A03174" w:rsidRPr="00DF5C23">
        <w:rPr>
          <w:noProof/>
          <w:lang w:val="en-IE"/>
        </w:rPr>
        <w:t xml:space="preserve">9 </w:t>
      </w:r>
      <w:r w:rsidR="006160FC" w:rsidRPr="00DF5C23">
        <w:rPr>
          <w:noProof/>
          <w:lang w:val="en-IE"/>
        </w:rPr>
        <w:t xml:space="preserve">and </w:t>
      </w:r>
      <w:r w:rsidR="00A03174" w:rsidRPr="00DF5C23">
        <w:rPr>
          <w:noProof/>
          <w:lang w:val="en-IE"/>
        </w:rPr>
        <w:t>10</w:t>
      </w:r>
      <w:r w:rsidR="006160FC" w:rsidRPr="00DF5C23">
        <w:rPr>
          <w:noProof/>
          <w:lang w:val="en-IE"/>
        </w:rPr>
        <w:t xml:space="preserve">. </w:t>
      </w:r>
    </w:p>
    <w:p w14:paraId="2C3A56BB" w14:textId="367ED841" w:rsidR="006160FC" w:rsidRPr="00DF5C23" w:rsidRDefault="004F5E59" w:rsidP="004F5E59">
      <w:pPr>
        <w:pStyle w:val="ManualNumPar1"/>
        <w:rPr>
          <w:noProof/>
          <w:lang w:val="en-IE"/>
        </w:rPr>
      </w:pPr>
      <w:r w:rsidRPr="004F5E59">
        <w:t>2.</w:t>
      </w:r>
      <w:r w:rsidRPr="004F5E59">
        <w:tab/>
      </w:r>
      <w:r w:rsidR="006160FC" w:rsidRPr="00DF5C23">
        <w:rPr>
          <w:noProof/>
          <w:lang w:val="en-IE"/>
        </w:rPr>
        <w:t xml:space="preserve">The </w:t>
      </w:r>
      <w:r w:rsidR="00F96070" w:rsidRPr="00DF5C23">
        <w:rPr>
          <w:noProof/>
          <w:lang w:val="en-IE"/>
        </w:rPr>
        <w:t xml:space="preserve">requirements related to the product passport </w:t>
      </w:r>
      <w:r w:rsidR="00F96070" w:rsidRPr="00DF5C23">
        <w:rPr>
          <w:rFonts w:eastAsia="Times New Roman"/>
          <w:noProof/>
          <w:lang w:val="en-IE"/>
        </w:rPr>
        <w:t xml:space="preserve">laid down in the delegated acts adopted pursuant to Article </w:t>
      </w:r>
      <w:r w:rsidR="00552FE2" w:rsidRPr="00DF5C23">
        <w:rPr>
          <w:rFonts w:eastAsia="Times New Roman"/>
          <w:noProof/>
          <w:lang w:val="en-IE"/>
        </w:rPr>
        <w:t>4</w:t>
      </w:r>
      <w:r w:rsidR="006160FC" w:rsidRPr="00DF5C23">
        <w:rPr>
          <w:noProof/>
          <w:lang w:val="en-IE"/>
        </w:rPr>
        <w:t xml:space="preserve"> shall, as appropriate for the product groups covered</w:t>
      </w:r>
      <w:r w:rsidR="00AD3559" w:rsidRPr="00DF5C23">
        <w:rPr>
          <w:noProof/>
          <w:lang w:val="en-IE"/>
        </w:rPr>
        <w:t>, specify</w:t>
      </w:r>
      <w:r w:rsidR="00F96070" w:rsidRPr="00DF5C23">
        <w:rPr>
          <w:noProof/>
          <w:lang w:val="en-IE"/>
        </w:rPr>
        <w:t xml:space="preserve"> the following</w:t>
      </w:r>
      <w:r w:rsidR="006160FC" w:rsidRPr="00DF5C23">
        <w:rPr>
          <w:noProof/>
          <w:lang w:val="en-IE"/>
        </w:rPr>
        <w:t>:</w:t>
      </w:r>
    </w:p>
    <w:p w14:paraId="2C3A56BC" w14:textId="7048DE23" w:rsidR="006160FC" w:rsidRPr="00DF5C23" w:rsidRDefault="004F5E59" w:rsidP="004F5E59">
      <w:pPr>
        <w:pStyle w:val="Point1"/>
        <w:rPr>
          <w:noProof/>
          <w:lang w:val="en-IE" w:eastAsia="fr-BE"/>
        </w:rPr>
      </w:pPr>
      <w:r w:rsidRPr="004F5E59">
        <w:t>(a)</w:t>
      </w:r>
      <w:r w:rsidRPr="004F5E59">
        <w:tab/>
      </w:r>
      <w:r w:rsidR="006160FC" w:rsidRPr="00DF5C23">
        <w:rPr>
          <w:noProof/>
          <w:lang w:val="en-IE" w:eastAsia="fr-BE"/>
        </w:rPr>
        <w:t>the information to be included in the product passport pursuant to Annex I</w:t>
      </w:r>
      <w:r w:rsidR="004B060C" w:rsidRPr="00DF5C23">
        <w:rPr>
          <w:noProof/>
          <w:lang w:val="en-IE" w:eastAsia="fr-BE"/>
        </w:rPr>
        <w:t>II</w:t>
      </w:r>
      <w:r w:rsidR="006160FC" w:rsidRPr="00DF5C23">
        <w:rPr>
          <w:noProof/>
          <w:lang w:val="en-IE" w:eastAsia="fr-BE"/>
        </w:rPr>
        <w:t>;</w:t>
      </w:r>
    </w:p>
    <w:p w14:paraId="2C3A56BD" w14:textId="62FF1EAE" w:rsidR="006160FC" w:rsidRPr="00DF5C23" w:rsidRDefault="004F5E59" w:rsidP="004F5E59">
      <w:pPr>
        <w:pStyle w:val="Point1"/>
        <w:rPr>
          <w:noProof/>
          <w:lang w:val="en-IE" w:eastAsia="fr-BE"/>
        </w:rPr>
      </w:pPr>
      <w:r w:rsidRPr="004F5E59">
        <w:t>(b)</w:t>
      </w:r>
      <w:r w:rsidRPr="004F5E59">
        <w:tab/>
      </w:r>
      <w:r w:rsidR="006160FC" w:rsidRPr="00DF5C23">
        <w:rPr>
          <w:noProof/>
          <w:lang w:val="en-IE" w:eastAsia="fr-BE"/>
        </w:rPr>
        <w:t>the type</w:t>
      </w:r>
      <w:r w:rsidR="00C5209B" w:rsidRPr="00DF5C23">
        <w:rPr>
          <w:noProof/>
          <w:lang w:val="en-IE" w:eastAsia="fr-BE"/>
        </w:rPr>
        <w:t xml:space="preserve">s </w:t>
      </w:r>
      <w:r w:rsidR="006160FC" w:rsidRPr="00DF5C23">
        <w:rPr>
          <w:noProof/>
          <w:lang w:val="en-IE" w:eastAsia="fr-BE"/>
        </w:rPr>
        <w:t xml:space="preserve">of data carrier </w:t>
      </w:r>
      <w:r w:rsidR="00AD3559" w:rsidRPr="00DF5C23">
        <w:rPr>
          <w:noProof/>
          <w:lang w:val="en-IE" w:eastAsia="fr-BE"/>
        </w:rPr>
        <w:t>to</w:t>
      </w:r>
      <w:r w:rsidR="006160FC" w:rsidRPr="00DF5C23">
        <w:rPr>
          <w:noProof/>
          <w:lang w:val="en-IE" w:eastAsia="fr-BE"/>
        </w:rPr>
        <w:t xml:space="preserve"> be used;</w:t>
      </w:r>
    </w:p>
    <w:p w14:paraId="2C3A56BE" w14:textId="035B5CAE" w:rsidR="006160FC" w:rsidRPr="00DF5C23" w:rsidRDefault="004F5E59" w:rsidP="004F5E59">
      <w:pPr>
        <w:pStyle w:val="Point1"/>
        <w:rPr>
          <w:noProof/>
          <w:lang w:val="en-IE" w:eastAsia="fr-BE"/>
        </w:rPr>
      </w:pPr>
      <w:r w:rsidRPr="004F5E59">
        <w:t>(c)</w:t>
      </w:r>
      <w:r w:rsidRPr="004F5E59">
        <w:tab/>
      </w:r>
      <w:r w:rsidR="006160FC" w:rsidRPr="00DF5C23">
        <w:rPr>
          <w:noProof/>
          <w:lang w:val="en-IE" w:eastAsia="fr-BE"/>
        </w:rPr>
        <w:t>the layout in which the data carrier shall be presented and its positioning;</w:t>
      </w:r>
    </w:p>
    <w:p w14:paraId="2C3A56BF" w14:textId="4649414F" w:rsidR="006160FC" w:rsidRPr="00DF5C23" w:rsidRDefault="004F5E59" w:rsidP="004F5E59">
      <w:pPr>
        <w:pStyle w:val="Point1"/>
        <w:rPr>
          <w:noProof/>
          <w:lang w:val="en-IE" w:eastAsia="fr-BE"/>
        </w:rPr>
      </w:pPr>
      <w:r w:rsidRPr="004F5E59">
        <w:t>(d)</w:t>
      </w:r>
      <w:r w:rsidRPr="004F5E59">
        <w:tab/>
      </w:r>
      <w:r w:rsidR="006160FC" w:rsidRPr="00DF5C23">
        <w:rPr>
          <w:noProof/>
        </w:rPr>
        <w:t xml:space="preserve">whether the product passport </w:t>
      </w:r>
      <w:r w:rsidR="00C5209B" w:rsidRPr="00DF5C23">
        <w:rPr>
          <w:noProof/>
        </w:rPr>
        <w:t>is to</w:t>
      </w:r>
      <w:r w:rsidR="006160FC" w:rsidRPr="00DF5C23">
        <w:rPr>
          <w:noProof/>
        </w:rPr>
        <w:t xml:space="preserve"> correspond to </w:t>
      </w:r>
      <w:r w:rsidR="00CC26FD" w:rsidRPr="00DF5C23">
        <w:rPr>
          <w:noProof/>
        </w:rPr>
        <w:t>the</w:t>
      </w:r>
      <w:r w:rsidR="00CC26FD" w:rsidRPr="00DF5C23">
        <w:rPr>
          <w:noProof/>
          <w:lang w:val="en-IE" w:eastAsia="en-GB"/>
        </w:rPr>
        <w:t xml:space="preserve"> model, batch, or item</w:t>
      </w:r>
      <w:r w:rsidR="006160FC" w:rsidRPr="00DF5C23">
        <w:rPr>
          <w:noProof/>
        </w:rPr>
        <w:t xml:space="preserve"> </w:t>
      </w:r>
      <w:r w:rsidR="00FF307C" w:rsidRPr="00DF5C23">
        <w:rPr>
          <w:noProof/>
        </w:rPr>
        <w:t>level</w:t>
      </w:r>
      <w:r w:rsidR="006160FC" w:rsidRPr="00DF5C23">
        <w:rPr>
          <w:noProof/>
          <w:lang w:val="en-IE" w:eastAsia="fr-BE"/>
        </w:rPr>
        <w:t>;</w:t>
      </w:r>
    </w:p>
    <w:p w14:paraId="2C3A56C0" w14:textId="73635F3B" w:rsidR="006160FC" w:rsidRPr="00DF5C23" w:rsidRDefault="004F5E59" w:rsidP="004F5E59">
      <w:pPr>
        <w:pStyle w:val="Point1"/>
        <w:rPr>
          <w:noProof/>
          <w:lang w:val="en-IE" w:eastAsia="fr-BE"/>
        </w:rPr>
      </w:pPr>
      <w:r w:rsidRPr="004F5E59">
        <w:t>(e)</w:t>
      </w:r>
      <w:r w:rsidRPr="004F5E59">
        <w:tab/>
      </w:r>
      <w:r w:rsidR="006160FC" w:rsidRPr="00DF5C23">
        <w:rPr>
          <w:noProof/>
          <w:lang w:val="en-IE" w:eastAsia="fr-BE"/>
        </w:rPr>
        <w:t>the manner in which the product passport shall be made accessible to customers before they are bound by a sales contract, including in case of distance selling;</w:t>
      </w:r>
    </w:p>
    <w:p w14:paraId="2C3A56C1" w14:textId="443654E3" w:rsidR="006160FC" w:rsidRPr="00DF5C23" w:rsidRDefault="004F5E59" w:rsidP="004F5E59">
      <w:pPr>
        <w:pStyle w:val="Point1"/>
        <w:rPr>
          <w:noProof/>
          <w:lang w:val="en-IE" w:eastAsia="fr-BE"/>
        </w:rPr>
      </w:pPr>
      <w:r w:rsidRPr="004F5E59">
        <w:t>(f)</w:t>
      </w:r>
      <w:r w:rsidRPr="004F5E59">
        <w:tab/>
      </w:r>
      <w:r w:rsidR="006160FC" w:rsidRPr="00DF5C23">
        <w:rPr>
          <w:noProof/>
          <w:lang w:val="en-IE" w:eastAsia="fr-BE"/>
        </w:rPr>
        <w:t xml:space="preserve">the actors that shall have access to information in the product passport and to what information they shall have access, including customers, end-users, manufacturers, importers and distributors, dealers, repairers, remanufacturers, recyclers, competent national authorities, public interest organisations and the Commission, or any organisation acting on their behalf; </w:t>
      </w:r>
    </w:p>
    <w:p w14:paraId="2C3A56C2" w14:textId="149C1DF7" w:rsidR="00751297" w:rsidRPr="00DF5C23" w:rsidRDefault="004F5E59" w:rsidP="004F5E59">
      <w:pPr>
        <w:pStyle w:val="Point1"/>
        <w:rPr>
          <w:noProof/>
          <w:lang w:val="en-IE" w:eastAsia="fr-BE"/>
        </w:rPr>
      </w:pPr>
      <w:r w:rsidRPr="004F5E59">
        <w:t>(g)</w:t>
      </w:r>
      <w:r w:rsidRPr="004F5E59">
        <w:tab/>
      </w:r>
      <w:r w:rsidR="006160FC" w:rsidRPr="00DF5C23">
        <w:rPr>
          <w:noProof/>
          <w:lang w:val="en-IE" w:eastAsia="fr-BE"/>
        </w:rPr>
        <w:t>the actors that may introduce</w:t>
      </w:r>
      <w:r w:rsidR="00ED08E7" w:rsidRPr="00DF5C23">
        <w:rPr>
          <w:noProof/>
          <w:lang w:val="en-IE" w:eastAsia="fr-BE"/>
        </w:rPr>
        <w:t xml:space="preserve"> or update</w:t>
      </w:r>
      <w:r w:rsidR="006160FC" w:rsidRPr="00DF5C23">
        <w:rPr>
          <w:noProof/>
          <w:lang w:val="en-IE" w:eastAsia="fr-BE"/>
        </w:rPr>
        <w:t xml:space="preserve"> the information in the product passport, including where needed the creation of a new product passport, and what information they may introduce</w:t>
      </w:r>
      <w:r w:rsidR="00ED08E7" w:rsidRPr="00DF5C23">
        <w:rPr>
          <w:noProof/>
          <w:lang w:val="en-IE" w:eastAsia="fr-BE"/>
        </w:rPr>
        <w:t xml:space="preserve"> or update</w:t>
      </w:r>
      <w:r w:rsidR="006160FC" w:rsidRPr="00DF5C23">
        <w:rPr>
          <w:noProof/>
          <w:lang w:val="en-IE" w:eastAsia="fr-BE"/>
        </w:rPr>
        <w:t xml:space="preserve">, including manufacturers, repairers, </w:t>
      </w:r>
      <w:r w:rsidR="006160FC" w:rsidRPr="00DF5C23">
        <w:rPr>
          <w:noProof/>
        </w:rPr>
        <w:t>maintenance professionals,</w:t>
      </w:r>
      <w:r w:rsidR="006160FC" w:rsidRPr="00DF5C23">
        <w:rPr>
          <w:noProof/>
          <w:lang w:val="en-IE" w:eastAsia="fr-BE"/>
        </w:rPr>
        <w:t xml:space="preserve"> remanufacturers, recyclers, competent national authorities, and the Commission, or any organisation acting on their behalf;</w:t>
      </w:r>
    </w:p>
    <w:p w14:paraId="2C3A56C3" w14:textId="523D4C12" w:rsidR="005F2683" w:rsidRPr="00DF5C23" w:rsidRDefault="004F5E59" w:rsidP="004F5E59">
      <w:pPr>
        <w:pStyle w:val="Point1"/>
        <w:rPr>
          <w:noProof/>
          <w:lang w:val="en-IE" w:eastAsia="fr-BE"/>
        </w:rPr>
      </w:pPr>
      <w:r w:rsidRPr="004F5E59">
        <w:t>(h)</w:t>
      </w:r>
      <w:r w:rsidRPr="004F5E59">
        <w:tab/>
      </w:r>
      <w:r w:rsidR="006160FC" w:rsidRPr="00DF5C23">
        <w:rPr>
          <w:noProof/>
          <w:lang w:val="en-IE" w:eastAsia="fr-BE"/>
        </w:rPr>
        <w:t>the period for which the product passport shall remain available</w:t>
      </w:r>
      <w:r w:rsidR="005F2683" w:rsidRPr="00DF5C23">
        <w:rPr>
          <w:noProof/>
          <w:lang w:val="en-IE" w:eastAsia="fr-BE"/>
        </w:rPr>
        <w:t>.</w:t>
      </w:r>
    </w:p>
    <w:p w14:paraId="2C3A56C4" w14:textId="0BEB0577" w:rsidR="00751297" w:rsidRPr="00DF5C23" w:rsidRDefault="004F5E59" w:rsidP="004F5E59">
      <w:pPr>
        <w:pStyle w:val="ManualNumPar1"/>
        <w:rPr>
          <w:noProof/>
          <w:lang w:val="en-IE"/>
        </w:rPr>
      </w:pPr>
      <w:r w:rsidRPr="004F5E59">
        <w:t>3.</w:t>
      </w:r>
      <w:r w:rsidRPr="004F5E59">
        <w:tab/>
      </w:r>
      <w:r w:rsidR="00C053FB" w:rsidRPr="00DF5C23">
        <w:rPr>
          <w:noProof/>
          <w:lang w:val="en-IE"/>
        </w:rPr>
        <w:t>T</w:t>
      </w:r>
      <w:r w:rsidR="00751297" w:rsidRPr="00DF5C23">
        <w:rPr>
          <w:noProof/>
          <w:lang w:val="en-IE"/>
        </w:rPr>
        <w:t>he requirements referred to in paragraph 2 shall:</w:t>
      </w:r>
    </w:p>
    <w:p w14:paraId="2C3A56C5" w14:textId="2D114E06" w:rsidR="00751297" w:rsidRPr="00DF5C23" w:rsidRDefault="004F5E59" w:rsidP="004F5E59">
      <w:pPr>
        <w:pStyle w:val="Point1"/>
        <w:rPr>
          <w:noProof/>
          <w:lang w:val="en-IE" w:eastAsia="fr-BE"/>
        </w:rPr>
      </w:pPr>
      <w:r w:rsidRPr="004F5E59">
        <w:t>(a)</w:t>
      </w:r>
      <w:r w:rsidRPr="004F5E59">
        <w:tab/>
      </w:r>
      <w:r w:rsidR="00751297" w:rsidRPr="00DF5C23">
        <w:rPr>
          <w:noProof/>
          <w:lang w:val="en-IE" w:eastAsia="fr-BE"/>
        </w:rPr>
        <w:t>ensure that actors along the value chain, in particular consumers, economic operators and competent national authorities, can access product information relevant to them;</w:t>
      </w:r>
    </w:p>
    <w:p w14:paraId="2C3A56C6" w14:textId="0E855B6E" w:rsidR="009875D9" w:rsidRPr="00DF5C23" w:rsidRDefault="004F5E59" w:rsidP="004F5E59">
      <w:pPr>
        <w:pStyle w:val="Point1"/>
        <w:rPr>
          <w:noProof/>
          <w:lang w:val="en-IE" w:eastAsia="fr-BE"/>
        </w:rPr>
      </w:pPr>
      <w:r w:rsidRPr="004F5E59">
        <w:t>(b)</w:t>
      </w:r>
      <w:r w:rsidRPr="004F5E59">
        <w:tab/>
      </w:r>
      <w:r w:rsidR="009875D9" w:rsidRPr="00DF5C23">
        <w:rPr>
          <w:noProof/>
          <w:lang w:val="en-IE" w:eastAsia="fr-BE"/>
        </w:rPr>
        <w:t xml:space="preserve">facilitate the verification of product compliance by competent national authorities; and </w:t>
      </w:r>
    </w:p>
    <w:p w14:paraId="2C3A56C7" w14:textId="78CDE98A" w:rsidR="00751297" w:rsidRPr="00DF5C23" w:rsidRDefault="004F5E59" w:rsidP="004F5E59">
      <w:pPr>
        <w:pStyle w:val="Point1"/>
        <w:rPr>
          <w:noProof/>
          <w:lang w:val="en-IE" w:eastAsia="fr-BE"/>
        </w:rPr>
      </w:pPr>
      <w:r w:rsidRPr="004F5E59">
        <w:t>(c)</w:t>
      </w:r>
      <w:r w:rsidRPr="004F5E59">
        <w:tab/>
      </w:r>
      <w:r w:rsidR="00751297" w:rsidRPr="00DF5C23">
        <w:rPr>
          <w:noProof/>
          <w:lang w:val="en-IE" w:eastAsia="fr-BE"/>
        </w:rPr>
        <w:t>improve traceability of products along the value chain</w:t>
      </w:r>
      <w:r w:rsidR="009875D9" w:rsidRPr="00DF5C23">
        <w:rPr>
          <w:noProof/>
          <w:lang w:val="en-IE" w:eastAsia="fr-BE"/>
        </w:rPr>
        <w:t>.</w:t>
      </w:r>
    </w:p>
    <w:p w14:paraId="2C3A56C8" w14:textId="5C13A5D6" w:rsidR="003D6858" w:rsidRPr="00DF5C23" w:rsidRDefault="004F5E59" w:rsidP="004F5E59">
      <w:pPr>
        <w:pStyle w:val="ManualNumPar1"/>
        <w:rPr>
          <w:noProof/>
          <w:lang w:val="en-IE"/>
        </w:rPr>
      </w:pPr>
      <w:r w:rsidRPr="004F5E59">
        <w:t>4.</w:t>
      </w:r>
      <w:r w:rsidRPr="004F5E59">
        <w:tab/>
      </w:r>
      <w:r w:rsidR="00F96070" w:rsidRPr="00DF5C23">
        <w:rPr>
          <w:noProof/>
          <w:lang w:val="en-IE"/>
        </w:rPr>
        <w:t xml:space="preserve">When establishing the requirements related to the product passport, the Commission </w:t>
      </w:r>
      <w:r w:rsidR="006160FC" w:rsidRPr="00DF5C23">
        <w:rPr>
          <w:noProof/>
          <w:lang w:val="en-IE"/>
        </w:rPr>
        <w:t xml:space="preserve">may exempt product groups from </w:t>
      </w:r>
      <w:r w:rsidR="00751827" w:rsidRPr="00DF5C23">
        <w:rPr>
          <w:noProof/>
          <w:lang w:val="en-IE"/>
        </w:rPr>
        <w:t xml:space="preserve">the </w:t>
      </w:r>
      <w:r w:rsidR="006160FC" w:rsidRPr="00DF5C23">
        <w:rPr>
          <w:noProof/>
          <w:lang w:val="en-IE"/>
        </w:rPr>
        <w:t xml:space="preserve">requirement </w:t>
      </w:r>
      <w:r w:rsidR="00751827" w:rsidRPr="00DF5C23">
        <w:rPr>
          <w:noProof/>
          <w:lang w:val="en-IE"/>
        </w:rPr>
        <w:t xml:space="preserve">set out in paragraph 1 of this Article </w:t>
      </w:r>
      <w:r w:rsidR="006160FC" w:rsidRPr="00DF5C23">
        <w:rPr>
          <w:noProof/>
          <w:lang w:val="en-IE"/>
        </w:rPr>
        <w:t>where</w:t>
      </w:r>
      <w:r w:rsidR="003D6858" w:rsidRPr="00DF5C23">
        <w:rPr>
          <w:noProof/>
          <w:lang w:val="en-IE"/>
        </w:rPr>
        <w:t>:</w:t>
      </w:r>
    </w:p>
    <w:p w14:paraId="2C3A56C9" w14:textId="4DEEC54B" w:rsidR="009A0360" w:rsidRPr="00DF5C23" w:rsidRDefault="004F5E59" w:rsidP="004F5E59">
      <w:pPr>
        <w:pStyle w:val="Point1"/>
        <w:rPr>
          <w:noProof/>
          <w:lang w:val="en-IE" w:eastAsia="en-GB"/>
        </w:rPr>
      </w:pPr>
      <w:r w:rsidRPr="004F5E59">
        <w:t>(a)</w:t>
      </w:r>
      <w:r w:rsidRPr="004F5E59">
        <w:tab/>
      </w:r>
      <w:r w:rsidR="006160FC" w:rsidRPr="00DF5C23">
        <w:rPr>
          <w:noProof/>
          <w:lang w:val="en-IE"/>
        </w:rPr>
        <w:t xml:space="preserve">technical specifications are not available in relation to the essential requirements included in Article </w:t>
      </w:r>
      <w:r w:rsidR="00FF307C" w:rsidRPr="00DF5C23">
        <w:rPr>
          <w:noProof/>
          <w:lang w:val="en-IE"/>
        </w:rPr>
        <w:t>10</w:t>
      </w:r>
      <w:r w:rsidR="009A0360" w:rsidRPr="00DF5C23">
        <w:rPr>
          <w:noProof/>
          <w:lang w:val="en-IE" w:eastAsia="en-GB"/>
        </w:rPr>
        <w:t>;</w:t>
      </w:r>
      <w:r w:rsidR="00751297" w:rsidRPr="00DF5C23">
        <w:rPr>
          <w:noProof/>
          <w:lang w:val="en-IE" w:eastAsia="en-GB"/>
        </w:rPr>
        <w:t xml:space="preserve"> or</w:t>
      </w:r>
    </w:p>
    <w:p w14:paraId="2C3A56CA" w14:textId="215ED3C4" w:rsidR="006160FC" w:rsidRPr="00DF5C23" w:rsidRDefault="004F5E59" w:rsidP="004F5E59">
      <w:pPr>
        <w:pStyle w:val="Point1"/>
        <w:rPr>
          <w:noProof/>
          <w:lang w:val="en-IE"/>
        </w:rPr>
      </w:pPr>
      <w:r w:rsidRPr="004F5E59">
        <w:t>(b)</w:t>
      </w:r>
      <w:r w:rsidRPr="004F5E59">
        <w:tab/>
      </w:r>
      <w:r w:rsidR="00751297" w:rsidRPr="00DF5C23">
        <w:rPr>
          <w:noProof/>
          <w:lang w:val="en-IE"/>
        </w:rPr>
        <w:t xml:space="preserve">other Union law </w:t>
      </w:r>
      <w:r w:rsidR="00E8597A" w:rsidRPr="00DF5C23">
        <w:rPr>
          <w:noProof/>
          <w:lang w:val="en-IE"/>
        </w:rPr>
        <w:t>includes a system for the</w:t>
      </w:r>
      <w:r w:rsidR="006160FC" w:rsidRPr="00DF5C23">
        <w:rPr>
          <w:noProof/>
          <w:lang w:val="en-IE"/>
        </w:rPr>
        <w:t xml:space="preserve"> </w:t>
      </w:r>
      <w:r w:rsidR="00751297" w:rsidRPr="00DF5C23">
        <w:rPr>
          <w:noProof/>
          <w:lang w:val="en-IE" w:eastAsia="fr-BE"/>
        </w:rPr>
        <w:t xml:space="preserve">digital provision of information related to a product group </w:t>
      </w:r>
      <w:r w:rsidR="00C053FB" w:rsidRPr="00DF5C23">
        <w:rPr>
          <w:noProof/>
          <w:lang w:val="en-IE" w:eastAsia="fr-BE"/>
        </w:rPr>
        <w:t>for which the Commission considers</w:t>
      </w:r>
      <w:r w:rsidR="00751297" w:rsidRPr="00DF5C23">
        <w:rPr>
          <w:noProof/>
          <w:lang w:val="en-IE" w:eastAsia="fr-BE"/>
        </w:rPr>
        <w:t xml:space="preserve"> </w:t>
      </w:r>
      <w:r w:rsidR="00E8597A" w:rsidRPr="00DF5C23">
        <w:rPr>
          <w:noProof/>
          <w:lang w:val="en-IE" w:eastAsia="fr-BE"/>
        </w:rPr>
        <w:t>that</w:t>
      </w:r>
      <w:r w:rsidR="00C053FB" w:rsidRPr="00DF5C23">
        <w:rPr>
          <w:noProof/>
          <w:lang w:val="en-IE" w:eastAsia="fr-BE"/>
        </w:rPr>
        <w:t xml:space="preserve"> it</w:t>
      </w:r>
      <w:r w:rsidR="00E8597A" w:rsidRPr="00DF5C23">
        <w:rPr>
          <w:noProof/>
          <w:lang w:val="en-IE" w:eastAsia="fr-BE"/>
        </w:rPr>
        <w:t xml:space="preserve"> achieves the objectives referred to in paragraph 3</w:t>
      </w:r>
      <w:r w:rsidR="009875D9" w:rsidRPr="00DF5C23">
        <w:rPr>
          <w:noProof/>
          <w:lang w:val="en-IE" w:eastAsia="fr-BE"/>
        </w:rPr>
        <w:t>, point</w:t>
      </w:r>
      <w:r w:rsidR="0056057B" w:rsidRPr="00DF5C23">
        <w:rPr>
          <w:noProof/>
          <w:lang w:val="en-IE" w:eastAsia="fr-BE"/>
        </w:rPr>
        <w:t>s</w:t>
      </w:r>
      <w:r w:rsidR="009875D9" w:rsidRPr="00DF5C23">
        <w:rPr>
          <w:noProof/>
          <w:lang w:val="en-IE" w:eastAsia="fr-BE"/>
        </w:rPr>
        <w:t xml:space="preserve"> (a) and (b)</w:t>
      </w:r>
      <w:r w:rsidR="00F321D0" w:rsidRPr="00DF5C23">
        <w:rPr>
          <w:noProof/>
          <w:lang w:val="en-IE"/>
        </w:rPr>
        <w:t>.</w:t>
      </w:r>
      <w:r w:rsidR="006160FC" w:rsidRPr="00DF5C23">
        <w:rPr>
          <w:noProof/>
          <w:lang w:val="en-IE"/>
        </w:rPr>
        <w:t xml:space="preserve"> </w:t>
      </w:r>
    </w:p>
    <w:p w14:paraId="2C3A56CB" w14:textId="77777777" w:rsidR="006160FC" w:rsidRPr="00DF5C23" w:rsidRDefault="006160FC" w:rsidP="006160FC">
      <w:pPr>
        <w:pStyle w:val="Titrearticle"/>
        <w:rPr>
          <w:noProof/>
          <w:lang w:val="en-IE"/>
        </w:rPr>
      </w:pPr>
      <w:r w:rsidRPr="00DF5C23">
        <w:rPr>
          <w:noProof/>
          <w:lang w:val="en-IE"/>
        </w:rPr>
        <w:t xml:space="preserve">Article </w:t>
      </w:r>
      <w:r w:rsidR="00FF307C" w:rsidRPr="00DF5C23">
        <w:rPr>
          <w:noProof/>
          <w:lang w:val="en-IE"/>
        </w:rPr>
        <w:t>9</w:t>
      </w:r>
      <w:r w:rsidRPr="00DF5C23">
        <w:rPr>
          <w:noProof/>
          <w:lang w:val="en-IE"/>
        </w:rPr>
        <w:br/>
      </w:r>
      <w:r w:rsidR="00B14F62" w:rsidRPr="00DF5C23">
        <w:rPr>
          <w:noProof/>
          <w:lang w:val="en-IE"/>
        </w:rPr>
        <w:t>General r</w:t>
      </w:r>
      <w:r w:rsidRPr="00DF5C23">
        <w:rPr>
          <w:noProof/>
          <w:lang w:val="en-IE"/>
        </w:rPr>
        <w:t xml:space="preserve">equirements </w:t>
      </w:r>
      <w:r w:rsidR="00B14F62" w:rsidRPr="00DF5C23">
        <w:rPr>
          <w:noProof/>
          <w:lang w:val="en-IE"/>
        </w:rPr>
        <w:t>for the</w:t>
      </w:r>
      <w:r w:rsidRPr="00DF5C23">
        <w:rPr>
          <w:noProof/>
          <w:lang w:val="en-IE"/>
        </w:rPr>
        <w:t xml:space="preserve"> product passport</w:t>
      </w:r>
    </w:p>
    <w:p w14:paraId="2C3A56CC" w14:textId="40E1614E" w:rsidR="006160FC" w:rsidRPr="00DF5C23" w:rsidRDefault="004F5E59" w:rsidP="004F5E59">
      <w:pPr>
        <w:pStyle w:val="ManualNumPar1"/>
        <w:rPr>
          <w:noProof/>
          <w:lang w:val="en-IE"/>
        </w:rPr>
      </w:pPr>
      <w:r w:rsidRPr="004F5E59">
        <w:t>1.</w:t>
      </w:r>
      <w:r w:rsidRPr="004F5E59">
        <w:tab/>
      </w:r>
      <w:r w:rsidR="006160FC" w:rsidRPr="00DF5C23">
        <w:rPr>
          <w:noProof/>
          <w:lang w:val="en-IE"/>
        </w:rPr>
        <w:t xml:space="preserve">A product passport shall meet the following conditions: </w:t>
      </w:r>
    </w:p>
    <w:p w14:paraId="2C3A56CD" w14:textId="5E501278" w:rsidR="006160FC" w:rsidRPr="00DF5C23" w:rsidRDefault="004F5E59" w:rsidP="004F5E59">
      <w:pPr>
        <w:pStyle w:val="Point1"/>
        <w:rPr>
          <w:noProof/>
          <w:lang w:val="en-IE" w:eastAsia="en-GB"/>
        </w:rPr>
      </w:pPr>
      <w:r w:rsidRPr="004F5E59">
        <w:t>(a)</w:t>
      </w:r>
      <w:r w:rsidRPr="004F5E59">
        <w:tab/>
      </w:r>
      <w:r w:rsidR="006160FC" w:rsidRPr="00DF5C23" w:rsidDel="00C0295E">
        <w:rPr>
          <w:noProof/>
          <w:lang w:val="en-IE" w:eastAsia="en-GB"/>
        </w:rPr>
        <w:t xml:space="preserve">it </w:t>
      </w:r>
      <w:r w:rsidR="006160FC" w:rsidRPr="00DF5C23">
        <w:rPr>
          <w:noProof/>
          <w:lang w:val="en-IE" w:eastAsia="en-GB"/>
        </w:rPr>
        <w:t>shall be connected through a data carrier to a unique product identifier;</w:t>
      </w:r>
    </w:p>
    <w:p w14:paraId="2C3A56CE" w14:textId="47AD4C2C" w:rsidR="006160FC" w:rsidRPr="00DF5C23" w:rsidRDefault="004F5E59" w:rsidP="004F5E59">
      <w:pPr>
        <w:pStyle w:val="Point1"/>
        <w:rPr>
          <w:noProof/>
          <w:lang w:val="en-IE" w:eastAsia="en-GB"/>
        </w:rPr>
      </w:pPr>
      <w:r w:rsidRPr="004F5E59">
        <w:t>(b)</w:t>
      </w:r>
      <w:r w:rsidRPr="004F5E59">
        <w:tab/>
      </w:r>
      <w:r w:rsidR="006160FC" w:rsidRPr="00DF5C23">
        <w:rPr>
          <w:noProof/>
          <w:lang w:val="en-IE" w:eastAsia="en-GB"/>
        </w:rPr>
        <w:t>the data carrier shall be physically present on the product</w:t>
      </w:r>
      <w:r w:rsidR="00FF307C" w:rsidRPr="00DF5C23">
        <w:rPr>
          <w:noProof/>
          <w:lang w:val="en-IE" w:eastAsia="en-GB"/>
        </w:rPr>
        <w:t>,</w:t>
      </w:r>
      <w:r w:rsidR="006160FC" w:rsidRPr="00DF5C23">
        <w:rPr>
          <w:noProof/>
          <w:lang w:val="en-IE" w:eastAsia="en-GB"/>
        </w:rPr>
        <w:t xml:space="preserve"> its packaging</w:t>
      </w:r>
      <w:r w:rsidR="00FF307C" w:rsidRPr="00DF5C23">
        <w:rPr>
          <w:noProof/>
          <w:lang w:val="en-IE" w:eastAsia="en-GB"/>
        </w:rPr>
        <w:t xml:space="preserve"> or on documentation accompanying the product</w:t>
      </w:r>
      <w:r w:rsidR="006160FC" w:rsidRPr="00DF5C23">
        <w:rPr>
          <w:noProof/>
          <w:lang w:val="en-IE" w:eastAsia="en-GB"/>
        </w:rPr>
        <w:t xml:space="preserve">, as specified in the applicable delegated act </w:t>
      </w:r>
      <w:r w:rsidR="00552FE2" w:rsidRPr="00DF5C23">
        <w:rPr>
          <w:noProof/>
          <w:lang w:val="en-IE" w:eastAsia="fr-BE"/>
        </w:rPr>
        <w:t>adopted pursuant to Article 4</w:t>
      </w:r>
      <w:r w:rsidR="006160FC" w:rsidRPr="00DF5C23">
        <w:rPr>
          <w:noProof/>
          <w:lang w:val="en-IE" w:eastAsia="en-GB"/>
        </w:rPr>
        <w:t xml:space="preserve">; </w:t>
      </w:r>
    </w:p>
    <w:p w14:paraId="2C3A56CF" w14:textId="40F9BBFA" w:rsidR="006160FC" w:rsidRPr="00DF5C23" w:rsidRDefault="004F5E59" w:rsidP="004F5E59">
      <w:pPr>
        <w:pStyle w:val="Point1"/>
        <w:rPr>
          <w:noProof/>
          <w:lang w:val="en-IE" w:eastAsia="en-GB"/>
        </w:rPr>
      </w:pPr>
      <w:r w:rsidRPr="004F5E59">
        <w:t>(c)</w:t>
      </w:r>
      <w:r w:rsidRPr="004F5E59">
        <w:tab/>
      </w:r>
      <w:r w:rsidR="006160FC" w:rsidRPr="00DF5C23">
        <w:rPr>
          <w:noProof/>
          <w:lang w:val="en-IE" w:eastAsia="en-GB"/>
        </w:rPr>
        <w:t xml:space="preserve">the data carrier and the unique product identifier shall </w:t>
      </w:r>
      <w:r w:rsidR="00607307" w:rsidRPr="00DF5C23">
        <w:rPr>
          <w:noProof/>
          <w:lang w:val="en-IE" w:eastAsia="en-GB"/>
        </w:rPr>
        <w:t>comply</w:t>
      </w:r>
      <w:r w:rsidR="006160FC" w:rsidRPr="00DF5C23">
        <w:rPr>
          <w:noProof/>
          <w:lang w:val="en-IE" w:eastAsia="en-GB"/>
        </w:rPr>
        <w:t xml:space="preserve"> with standard (‘ISO/IEC’) 15459:2015</w:t>
      </w:r>
      <w:r w:rsidR="00052686" w:rsidRPr="00DF5C23">
        <w:rPr>
          <w:noProof/>
          <w:lang w:val="en-IE" w:eastAsia="en-GB"/>
        </w:rPr>
        <w:t>;</w:t>
      </w:r>
    </w:p>
    <w:p w14:paraId="2C3A56D0" w14:textId="4DE76425" w:rsidR="006160FC" w:rsidRPr="00DF5C23" w:rsidRDefault="004F5E59" w:rsidP="004F5E59">
      <w:pPr>
        <w:pStyle w:val="Point1"/>
        <w:rPr>
          <w:noProof/>
          <w:lang w:val="en-IE" w:eastAsia="en-GB"/>
        </w:rPr>
      </w:pPr>
      <w:r w:rsidRPr="004F5E59">
        <w:t>(d)</w:t>
      </w:r>
      <w:r w:rsidRPr="004F5E59">
        <w:tab/>
      </w:r>
      <w:r w:rsidR="006160FC" w:rsidRPr="00DF5C23">
        <w:rPr>
          <w:noProof/>
          <w:lang w:val="en-IE" w:eastAsia="en-GB"/>
        </w:rPr>
        <w:t xml:space="preserve">all information included in the product passport shall be </w:t>
      </w:r>
      <w:r w:rsidR="00EE0949" w:rsidRPr="00DF5C23">
        <w:rPr>
          <w:noProof/>
          <w:lang w:val="en-IE" w:eastAsia="en-GB"/>
        </w:rPr>
        <w:t>based on</w:t>
      </w:r>
      <w:r w:rsidR="006160FC" w:rsidRPr="00DF5C23">
        <w:rPr>
          <w:noProof/>
          <w:lang w:val="en-IE" w:eastAsia="en-GB"/>
        </w:rPr>
        <w:t xml:space="preserve"> open, standard</w:t>
      </w:r>
      <w:r w:rsidR="00EE0949" w:rsidRPr="00DF5C23">
        <w:rPr>
          <w:noProof/>
          <w:lang w:val="en-IE" w:eastAsia="en-GB"/>
        </w:rPr>
        <w:t>s</w:t>
      </w:r>
      <w:r w:rsidR="00A95BE5" w:rsidRPr="00DF5C23">
        <w:rPr>
          <w:noProof/>
          <w:lang w:val="en-IE" w:eastAsia="en-GB"/>
        </w:rPr>
        <w:t>,</w:t>
      </w:r>
      <w:r w:rsidR="0099759D" w:rsidRPr="00DF5C23">
        <w:rPr>
          <w:noProof/>
          <w:lang w:val="en-IE" w:eastAsia="en-GB"/>
        </w:rPr>
        <w:t xml:space="preserve"> developed with an</w:t>
      </w:r>
      <w:r w:rsidR="006160FC" w:rsidRPr="00DF5C23">
        <w:rPr>
          <w:noProof/>
          <w:lang w:val="en-IE" w:eastAsia="en-GB"/>
        </w:rPr>
        <w:t xml:space="preserve"> inter-operable format and shall be machine-readable, structured, and searchable, in accordance with the essential requirements </w:t>
      </w:r>
      <w:r w:rsidR="0065140E" w:rsidRPr="00DF5C23">
        <w:rPr>
          <w:noProof/>
          <w:lang w:val="en-IE" w:eastAsia="en-GB"/>
        </w:rPr>
        <w:t xml:space="preserve">set out </w:t>
      </w:r>
      <w:r w:rsidR="006160FC" w:rsidRPr="00DF5C23">
        <w:rPr>
          <w:noProof/>
          <w:lang w:val="en-IE" w:eastAsia="en-GB"/>
        </w:rPr>
        <w:t>in Article</w:t>
      </w:r>
      <w:r w:rsidR="00052686" w:rsidRPr="00DF5C23">
        <w:rPr>
          <w:noProof/>
          <w:lang w:val="en-IE" w:eastAsia="en-GB"/>
        </w:rPr>
        <w:t> 10</w:t>
      </w:r>
      <w:r w:rsidR="006160FC" w:rsidRPr="00DF5C23">
        <w:rPr>
          <w:noProof/>
          <w:lang w:val="en-IE" w:eastAsia="en-GB"/>
        </w:rPr>
        <w:t xml:space="preserve">; </w:t>
      </w:r>
    </w:p>
    <w:p w14:paraId="2C3A56D1" w14:textId="74B13912" w:rsidR="006160FC" w:rsidRPr="00DF5C23" w:rsidRDefault="004F5E59" w:rsidP="004F5E59">
      <w:pPr>
        <w:pStyle w:val="Point1"/>
        <w:rPr>
          <w:noProof/>
          <w:lang w:val="en-IE" w:eastAsia="en-GB"/>
        </w:rPr>
      </w:pPr>
      <w:r w:rsidRPr="004F5E59">
        <w:t>(e)</w:t>
      </w:r>
      <w:r w:rsidRPr="004F5E59">
        <w:tab/>
      </w:r>
      <w:r w:rsidR="006160FC" w:rsidRPr="00DF5C23">
        <w:rPr>
          <w:noProof/>
          <w:lang w:val="en-IE" w:eastAsia="en-GB"/>
        </w:rPr>
        <w:t xml:space="preserve">the information included in the product passport shall refer to the product model, batch, or item as specified in the delegated act </w:t>
      </w:r>
      <w:r w:rsidR="00552FE2" w:rsidRPr="00DF5C23">
        <w:rPr>
          <w:noProof/>
          <w:lang w:val="en-IE" w:eastAsia="fr-BE"/>
        </w:rPr>
        <w:t>adopted pursuant to Article 4</w:t>
      </w:r>
      <w:r w:rsidR="006160FC" w:rsidRPr="00DF5C23">
        <w:rPr>
          <w:noProof/>
          <w:lang w:val="en-IE" w:eastAsia="en-GB"/>
        </w:rPr>
        <w:t>;</w:t>
      </w:r>
    </w:p>
    <w:p w14:paraId="2C3A56D2" w14:textId="72EC777F" w:rsidR="00F321D0" w:rsidRPr="00DF5C23" w:rsidRDefault="004F5E59" w:rsidP="004F5E59">
      <w:pPr>
        <w:pStyle w:val="Point1"/>
        <w:rPr>
          <w:noProof/>
          <w:lang w:val="en-IE" w:eastAsia="en-GB"/>
        </w:rPr>
      </w:pPr>
      <w:r w:rsidRPr="004F5E59">
        <w:t>(f)</w:t>
      </w:r>
      <w:r w:rsidRPr="004F5E59">
        <w:tab/>
      </w:r>
      <w:r w:rsidR="006160FC" w:rsidRPr="00DF5C23">
        <w:rPr>
          <w:noProof/>
          <w:lang w:val="en-IE" w:eastAsia="en-GB"/>
        </w:rPr>
        <w:t xml:space="preserve">the access to information included in the </w:t>
      </w:r>
      <w:r w:rsidR="0065140E" w:rsidRPr="00DF5C23">
        <w:rPr>
          <w:noProof/>
          <w:lang w:val="en-IE" w:eastAsia="en-GB"/>
        </w:rPr>
        <w:t xml:space="preserve">product </w:t>
      </w:r>
      <w:r w:rsidR="006160FC" w:rsidRPr="00DF5C23">
        <w:rPr>
          <w:noProof/>
          <w:lang w:val="en-IE" w:eastAsia="en-GB"/>
        </w:rPr>
        <w:t xml:space="preserve">passport shall be regulated in accordance with the essential requirements </w:t>
      </w:r>
      <w:r w:rsidR="0065140E" w:rsidRPr="00DF5C23">
        <w:rPr>
          <w:noProof/>
          <w:lang w:val="en-IE" w:eastAsia="en-GB"/>
        </w:rPr>
        <w:t xml:space="preserve">set out </w:t>
      </w:r>
      <w:r w:rsidR="006160FC" w:rsidRPr="00DF5C23">
        <w:rPr>
          <w:noProof/>
          <w:lang w:val="en-IE" w:eastAsia="en-GB"/>
        </w:rPr>
        <w:t xml:space="preserve">in Article </w:t>
      </w:r>
      <w:r w:rsidR="00C16D9F" w:rsidRPr="00DF5C23">
        <w:rPr>
          <w:noProof/>
          <w:lang w:val="en-IE" w:eastAsia="en-GB"/>
        </w:rPr>
        <w:t>10</w:t>
      </w:r>
      <w:r w:rsidR="0065140E" w:rsidRPr="00DF5C23">
        <w:rPr>
          <w:noProof/>
          <w:lang w:val="en-IE"/>
        </w:rPr>
        <w:t xml:space="preserve"> and </w:t>
      </w:r>
      <w:r w:rsidR="0065140E" w:rsidRPr="00DF5C23">
        <w:rPr>
          <w:noProof/>
        </w:rPr>
        <w:t>t</w:t>
      </w:r>
      <w:r w:rsidR="006160FC" w:rsidRPr="00DF5C23">
        <w:rPr>
          <w:noProof/>
        </w:rPr>
        <w:t xml:space="preserve">he specific access rights at product group level </w:t>
      </w:r>
      <w:r w:rsidR="0065140E" w:rsidRPr="00DF5C23">
        <w:rPr>
          <w:noProof/>
        </w:rPr>
        <w:t>shall</w:t>
      </w:r>
      <w:r w:rsidR="006160FC" w:rsidRPr="00DF5C23">
        <w:rPr>
          <w:noProof/>
        </w:rPr>
        <w:t xml:space="preserve"> be identified </w:t>
      </w:r>
      <w:r w:rsidR="006160FC" w:rsidRPr="00DF5C23">
        <w:rPr>
          <w:noProof/>
          <w:lang w:val="en-IE" w:eastAsia="en-GB"/>
        </w:rPr>
        <w:t xml:space="preserve">in the applicable delegated act </w:t>
      </w:r>
      <w:r w:rsidR="00552FE2" w:rsidRPr="00DF5C23">
        <w:rPr>
          <w:noProof/>
          <w:lang w:val="en-IE" w:eastAsia="fr-BE"/>
        </w:rPr>
        <w:t>adopted pursuant to Article 4</w:t>
      </w:r>
      <w:r w:rsidR="006160FC" w:rsidRPr="00DF5C23">
        <w:rPr>
          <w:noProof/>
          <w:lang w:val="en-IE" w:eastAsia="en-GB"/>
        </w:rPr>
        <w:t>.</w:t>
      </w:r>
    </w:p>
    <w:p w14:paraId="2C3A56D3" w14:textId="429DF550" w:rsidR="006160FC" w:rsidRPr="00DF5C23" w:rsidRDefault="00F321D0" w:rsidP="00F321D0">
      <w:pPr>
        <w:pStyle w:val="Text1"/>
        <w:rPr>
          <w:noProof/>
        </w:rPr>
      </w:pPr>
      <w:r w:rsidRPr="00DF5C23">
        <w:rPr>
          <w:noProof/>
          <w:lang w:val="en-IE" w:eastAsia="fr-BE"/>
        </w:rPr>
        <w:t>The Commission is empowered to adopt delegated acts in accordance with Article 6</w:t>
      </w:r>
      <w:r w:rsidR="007C5713" w:rsidRPr="00DF5C23">
        <w:rPr>
          <w:noProof/>
          <w:lang w:val="en-IE" w:eastAsia="fr-BE"/>
        </w:rPr>
        <w:t>6</w:t>
      </w:r>
      <w:r w:rsidRPr="00DF5C23">
        <w:rPr>
          <w:noProof/>
          <w:lang w:val="en-IE" w:eastAsia="fr-BE"/>
        </w:rPr>
        <w:t xml:space="preserve"> to amend </w:t>
      </w:r>
      <w:r w:rsidR="00C053FB" w:rsidRPr="00DF5C23">
        <w:rPr>
          <w:noProof/>
          <w:lang w:val="en-IE" w:eastAsia="fr-BE"/>
        </w:rPr>
        <w:t>the first subparagraph,</w:t>
      </w:r>
      <w:r w:rsidRPr="00DF5C23">
        <w:rPr>
          <w:noProof/>
          <w:lang w:val="en-IE" w:eastAsia="fr-BE"/>
        </w:rPr>
        <w:t xml:space="preserve"> </w:t>
      </w:r>
      <w:r w:rsidR="0065140E" w:rsidRPr="00DF5C23">
        <w:rPr>
          <w:noProof/>
          <w:lang w:val="en-IE" w:eastAsia="fr-BE"/>
        </w:rPr>
        <w:t>point (c)</w:t>
      </w:r>
      <w:r w:rsidR="00C053FB" w:rsidRPr="00DF5C23">
        <w:rPr>
          <w:noProof/>
          <w:lang w:val="en-IE" w:eastAsia="fr-BE"/>
        </w:rPr>
        <w:t>,</w:t>
      </w:r>
      <w:r w:rsidR="0065140E" w:rsidRPr="00DF5C23">
        <w:rPr>
          <w:noProof/>
          <w:lang w:val="en-IE" w:eastAsia="fr-BE"/>
        </w:rPr>
        <w:t xml:space="preserve"> of </w:t>
      </w:r>
      <w:r w:rsidR="00C053FB" w:rsidRPr="00DF5C23">
        <w:rPr>
          <w:noProof/>
          <w:lang w:val="en-IE" w:eastAsia="fr-BE"/>
        </w:rPr>
        <w:t>this Article</w:t>
      </w:r>
      <w:r w:rsidR="0095134E" w:rsidRPr="00DF5C23">
        <w:rPr>
          <w:noProof/>
          <w:lang w:val="en-IE" w:eastAsia="fr-BE"/>
        </w:rPr>
        <w:t xml:space="preserve"> </w:t>
      </w:r>
      <w:r w:rsidR="0095134E" w:rsidRPr="00DF5C23">
        <w:rPr>
          <w:noProof/>
        </w:rPr>
        <w:t>in light of technical and scientific progress</w:t>
      </w:r>
      <w:r w:rsidR="0065140E" w:rsidRPr="00DF5C23">
        <w:rPr>
          <w:noProof/>
          <w:lang w:val="en-IE" w:eastAsia="fr-BE"/>
        </w:rPr>
        <w:t xml:space="preserve"> </w:t>
      </w:r>
      <w:r w:rsidRPr="00DF5C23">
        <w:rPr>
          <w:noProof/>
          <w:lang w:val="en-IE" w:eastAsia="fr-BE"/>
        </w:rPr>
        <w:t>by</w:t>
      </w:r>
      <w:r w:rsidR="0065140E" w:rsidRPr="00DF5C23">
        <w:rPr>
          <w:noProof/>
          <w:lang w:val="en-IE" w:eastAsia="fr-BE"/>
        </w:rPr>
        <w:t xml:space="preserve"> </w:t>
      </w:r>
      <w:r w:rsidR="008F2904" w:rsidRPr="00DF5C23">
        <w:rPr>
          <w:noProof/>
          <w:lang w:val="en-IE" w:eastAsia="fr-BE"/>
        </w:rPr>
        <w:t xml:space="preserve">replacing the standard referred to </w:t>
      </w:r>
      <w:r w:rsidR="00970C61">
        <w:rPr>
          <w:noProof/>
          <w:lang w:val="en-IE" w:eastAsia="fr-BE"/>
        </w:rPr>
        <w:t>in that point</w:t>
      </w:r>
      <w:r w:rsidR="008F2904" w:rsidRPr="00DF5C23">
        <w:rPr>
          <w:noProof/>
          <w:lang w:val="en-IE" w:eastAsia="fr-BE"/>
        </w:rPr>
        <w:t xml:space="preserve"> or</w:t>
      </w:r>
      <w:r w:rsidR="0065140E" w:rsidRPr="00DF5C23">
        <w:rPr>
          <w:noProof/>
          <w:lang w:val="en-IE" w:eastAsia="fr-BE"/>
        </w:rPr>
        <w:t xml:space="preserve"> adding </w:t>
      </w:r>
      <w:r w:rsidR="008F2904" w:rsidRPr="00DF5C23">
        <w:rPr>
          <w:noProof/>
          <w:lang w:val="en-IE" w:eastAsia="fr-BE"/>
        </w:rPr>
        <w:t>other</w:t>
      </w:r>
      <w:r w:rsidR="0065140E" w:rsidRPr="00DF5C23">
        <w:rPr>
          <w:noProof/>
          <w:lang w:val="en-IE" w:eastAsia="fr-BE"/>
        </w:rPr>
        <w:t xml:space="preserve"> European or international standards</w:t>
      </w:r>
      <w:r w:rsidR="0095134E" w:rsidRPr="00DF5C23">
        <w:rPr>
          <w:noProof/>
          <w:lang w:val="en-IE" w:eastAsia="fr-BE"/>
        </w:rPr>
        <w:t xml:space="preserve"> with which the </w:t>
      </w:r>
      <w:r w:rsidR="0095134E" w:rsidRPr="00DF5C23">
        <w:rPr>
          <w:noProof/>
          <w:lang w:val="en-IE" w:eastAsia="en-GB"/>
        </w:rPr>
        <w:t>data carrier and the unique identifier</w:t>
      </w:r>
      <w:r w:rsidR="00BD2393" w:rsidRPr="00DF5C23">
        <w:rPr>
          <w:noProof/>
          <w:lang w:val="en-IE" w:eastAsia="en-GB"/>
        </w:rPr>
        <w:t>s</w:t>
      </w:r>
      <w:r w:rsidR="0095134E" w:rsidRPr="00DF5C23">
        <w:rPr>
          <w:noProof/>
          <w:lang w:val="en-IE" w:eastAsia="en-GB"/>
        </w:rPr>
        <w:t xml:space="preserve"> </w:t>
      </w:r>
      <w:r w:rsidR="008F2904" w:rsidRPr="00DF5C23">
        <w:rPr>
          <w:noProof/>
          <w:lang w:val="en-IE" w:eastAsia="en-GB"/>
        </w:rPr>
        <w:t xml:space="preserve">shall </w:t>
      </w:r>
      <w:r w:rsidR="00C053FB" w:rsidRPr="00DF5C23">
        <w:rPr>
          <w:noProof/>
          <w:lang w:val="en-IE" w:eastAsia="en-GB"/>
        </w:rPr>
        <w:t>comply for the purposes of meeting the conditions set out in this Article</w:t>
      </w:r>
      <w:r w:rsidR="0065140E" w:rsidRPr="00DF5C23">
        <w:rPr>
          <w:noProof/>
        </w:rPr>
        <w:t>.</w:t>
      </w:r>
    </w:p>
    <w:p w14:paraId="2C3A56D4" w14:textId="280F6D9A" w:rsidR="007C515B" w:rsidRPr="00DF5C23" w:rsidRDefault="004F5E59" w:rsidP="004F5E59">
      <w:pPr>
        <w:pStyle w:val="ManualNumPar1"/>
        <w:rPr>
          <w:noProof/>
          <w:lang w:val="en-IE" w:eastAsia="fr-BE"/>
        </w:rPr>
      </w:pPr>
      <w:r w:rsidRPr="004F5E59">
        <w:t>2.</w:t>
      </w:r>
      <w:r w:rsidRPr="004F5E59">
        <w:tab/>
      </w:r>
      <w:r w:rsidR="007C515B" w:rsidRPr="00DF5C23">
        <w:rPr>
          <w:noProof/>
          <w:lang w:val="en-IE" w:eastAsia="fr-BE"/>
        </w:rPr>
        <w:t xml:space="preserve">Where other Union legislation requires or allows the inclusion of specific information in the product passport, that information may be added to the information to be included in the product passport pursuant to the applicable delegated act adopted pursuant to Article 4. </w:t>
      </w:r>
    </w:p>
    <w:p w14:paraId="2C3A56D5" w14:textId="37D957F0" w:rsidR="006160FC" w:rsidRPr="00DF5C23" w:rsidRDefault="004F5E59" w:rsidP="004F5E59">
      <w:pPr>
        <w:pStyle w:val="ManualNumPar1"/>
        <w:rPr>
          <w:noProof/>
          <w:lang w:val="en-IE" w:eastAsia="fr-BE"/>
        </w:rPr>
      </w:pPr>
      <w:r w:rsidRPr="004F5E59">
        <w:t>3.</w:t>
      </w:r>
      <w:r w:rsidRPr="004F5E59">
        <w:tab/>
      </w:r>
      <w:r w:rsidR="006160FC" w:rsidRPr="00DF5C23">
        <w:rPr>
          <w:noProof/>
          <w:lang w:val="en-IE" w:eastAsia="fr-BE"/>
        </w:rPr>
        <w:t xml:space="preserve">The economic operator placing the product on the market shall provide dealers with a digital copy of the data carrier to allow the dealer to make it accessible to customers </w:t>
      </w:r>
      <w:r w:rsidR="00AA57E7" w:rsidRPr="00DF5C23">
        <w:rPr>
          <w:noProof/>
          <w:lang w:val="en-IE" w:eastAsia="fr-BE"/>
        </w:rPr>
        <w:t>where</w:t>
      </w:r>
      <w:r w:rsidR="006160FC" w:rsidRPr="00DF5C23">
        <w:rPr>
          <w:noProof/>
          <w:lang w:val="en-IE" w:eastAsia="fr-BE"/>
        </w:rPr>
        <w:t xml:space="preserve"> they cannot physically access the product. </w:t>
      </w:r>
      <w:r w:rsidR="00EF07D0" w:rsidRPr="00DF5C23">
        <w:rPr>
          <w:noProof/>
          <w:lang w:val="en-IE" w:eastAsia="fr-BE"/>
        </w:rPr>
        <w:t>The economic operator</w:t>
      </w:r>
      <w:r w:rsidR="006160FC" w:rsidRPr="00DF5C23">
        <w:rPr>
          <w:noProof/>
          <w:lang w:val="en-IE" w:eastAsia="fr-BE"/>
        </w:rPr>
        <w:t xml:space="preserve"> shall </w:t>
      </w:r>
      <w:r w:rsidR="00AA57E7" w:rsidRPr="00DF5C23">
        <w:rPr>
          <w:noProof/>
          <w:lang w:val="en-IE" w:eastAsia="fr-BE"/>
        </w:rPr>
        <w:t>provide that digital copy</w:t>
      </w:r>
      <w:r w:rsidR="006160FC" w:rsidRPr="00DF5C23">
        <w:rPr>
          <w:noProof/>
          <w:lang w:val="en-IE" w:eastAsia="fr-BE"/>
        </w:rPr>
        <w:t xml:space="preserve"> free of charge</w:t>
      </w:r>
      <w:r w:rsidR="00AA57E7" w:rsidRPr="00DF5C23">
        <w:rPr>
          <w:noProof/>
          <w:lang w:val="en-IE" w:eastAsia="fr-BE"/>
        </w:rPr>
        <w:t xml:space="preserve"> and</w:t>
      </w:r>
      <w:r w:rsidR="006160FC" w:rsidRPr="00DF5C23">
        <w:rPr>
          <w:noProof/>
          <w:lang w:val="en-IE" w:eastAsia="fr-BE"/>
        </w:rPr>
        <w:t xml:space="preserve"> within </w:t>
      </w:r>
      <w:r w:rsidR="00EF07D0" w:rsidRPr="00DF5C23">
        <w:rPr>
          <w:noProof/>
          <w:lang w:val="en-IE" w:eastAsia="fr-BE"/>
        </w:rPr>
        <w:t>5</w:t>
      </w:r>
      <w:r w:rsidR="006160FC" w:rsidRPr="00DF5C23">
        <w:rPr>
          <w:noProof/>
          <w:lang w:val="en-IE" w:eastAsia="fr-BE"/>
        </w:rPr>
        <w:t xml:space="preserve"> working days </w:t>
      </w:r>
      <w:r w:rsidR="00EF07D0" w:rsidRPr="00DF5C23">
        <w:rPr>
          <w:noProof/>
          <w:lang w:val="en-IE" w:eastAsia="fr-BE"/>
        </w:rPr>
        <w:t>of</w:t>
      </w:r>
      <w:r w:rsidR="006160FC" w:rsidRPr="00DF5C23">
        <w:rPr>
          <w:noProof/>
          <w:lang w:val="en-IE" w:eastAsia="fr-BE"/>
        </w:rPr>
        <w:t xml:space="preserve"> the dealer’s request.</w:t>
      </w:r>
    </w:p>
    <w:p w14:paraId="2C3A56D6" w14:textId="77777777" w:rsidR="006160FC" w:rsidRPr="00DF5C23" w:rsidRDefault="006160FC" w:rsidP="006160FC">
      <w:pPr>
        <w:pStyle w:val="Titrearticle"/>
        <w:rPr>
          <w:noProof/>
        </w:rPr>
      </w:pPr>
      <w:r w:rsidRPr="00DF5C23">
        <w:rPr>
          <w:noProof/>
        </w:rPr>
        <w:t xml:space="preserve">Article </w:t>
      </w:r>
      <w:r w:rsidR="00052686" w:rsidRPr="00DF5C23">
        <w:rPr>
          <w:noProof/>
        </w:rPr>
        <w:t>10</w:t>
      </w:r>
      <w:r w:rsidRPr="00DF5C23">
        <w:rPr>
          <w:noProof/>
        </w:rPr>
        <w:br/>
      </w:r>
      <w:r w:rsidRPr="00DF5C23">
        <w:rPr>
          <w:noProof/>
          <w:lang w:val="en-IE"/>
        </w:rPr>
        <w:t xml:space="preserve">Technical design and operation of </w:t>
      </w:r>
      <w:r w:rsidRPr="00DF5C23">
        <w:rPr>
          <w:noProof/>
        </w:rPr>
        <w:t xml:space="preserve">the product passport </w:t>
      </w:r>
    </w:p>
    <w:p w14:paraId="2C3A56D7" w14:textId="77777777" w:rsidR="006160FC" w:rsidRPr="00DF5C23" w:rsidRDefault="006160FC" w:rsidP="006160FC">
      <w:pPr>
        <w:rPr>
          <w:noProof/>
          <w:lang w:val="en-IE"/>
        </w:rPr>
      </w:pPr>
      <w:r w:rsidRPr="00DF5C23">
        <w:rPr>
          <w:noProof/>
          <w:lang w:val="en-IE"/>
        </w:rPr>
        <w:t>The technical design and operation of the product passport shall comply with the following essential requirements: </w:t>
      </w:r>
    </w:p>
    <w:p w14:paraId="2C3A56D8" w14:textId="77777777" w:rsidR="006160FC" w:rsidRPr="00DF5C23" w:rsidRDefault="00E172E8" w:rsidP="00E172E8">
      <w:pPr>
        <w:pStyle w:val="Point0"/>
        <w:rPr>
          <w:rStyle w:val="normaltextrun"/>
          <w:noProof/>
          <w:lang w:val="en-IE" w:eastAsia="en-GB"/>
        </w:rPr>
      </w:pPr>
      <w:r w:rsidRPr="00DF5C23">
        <w:rPr>
          <w:rStyle w:val="normaltextrun"/>
          <w:noProof/>
          <w:lang w:val="en-IE" w:eastAsia="en-GB"/>
        </w:rPr>
        <w:t>(a)</w:t>
      </w:r>
      <w:r w:rsidRPr="00DF5C23">
        <w:rPr>
          <w:rStyle w:val="normaltextrun"/>
          <w:noProof/>
          <w:lang w:val="en-IE" w:eastAsia="en-GB"/>
        </w:rPr>
        <w:tab/>
      </w:r>
      <w:r w:rsidR="006160FC" w:rsidRPr="00DF5C23">
        <w:rPr>
          <w:rStyle w:val="normaltextrun"/>
          <w:noProof/>
          <w:lang w:val="en-IE" w:eastAsia="en-GB"/>
        </w:rPr>
        <w:t xml:space="preserve">product passports shall be fully interoperable with other product passports required by delegated acts </w:t>
      </w:r>
      <w:r w:rsidR="00131DC8" w:rsidRPr="00DF5C23">
        <w:rPr>
          <w:rStyle w:val="normaltextrun"/>
          <w:noProof/>
          <w:lang w:val="en-IE" w:eastAsia="en-GB"/>
        </w:rPr>
        <w:t xml:space="preserve">adopted pursuant to </w:t>
      </w:r>
      <w:r w:rsidR="006160FC" w:rsidRPr="00DF5C23">
        <w:rPr>
          <w:rStyle w:val="normaltextrun"/>
          <w:noProof/>
          <w:lang w:val="en-IE" w:eastAsia="en-GB"/>
        </w:rPr>
        <w:t xml:space="preserve">Article </w:t>
      </w:r>
      <w:r w:rsidR="00131DC8" w:rsidRPr="00DF5C23">
        <w:rPr>
          <w:rStyle w:val="normaltextrun"/>
          <w:noProof/>
          <w:lang w:val="en-IE" w:eastAsia="en-GB"/>
        </w:rPr>
        <w:t>4</w:t>
      </w:r>
      <w:r w:rsidR="002B455E" w:rsidRPr="00DF5C23">
        <w:rPr>
          <w:rStyle w:val="normaltextrun"/>
          <w:noProof/>
          <w:lang w:val="en-IE" w:eastAsia="en-GB"/>
        </w:rPr>
        <w:t xml:space="preserve"> </w:t>
      </w:r>
      <w:r w:rsidR="006160FC" w:rsidRPr="00DF5C23">
        <w:rPr>
          <w:noProof/>
          <w:lang w:val="en-IE" w:eastAsia="en-GB"/>
        </w:rPr>
        <w:t>in relation to the technical, semantic and organisational aspects of end-to-end communication and data transfer;</w:t>
      </w:r>
      <w:r w:rsidR="006160FC" w:rsidRPr="00DF5C23">
        <w:rPr>
          <w:rStyle w:val="normaltextrun"/>
          <w:noProof/>
          <w:lang w:val="en-IE"/>
        </w:rPr>
        <w:t xml:space="preserve"> </w:t>
      </w:r>
    </w:p>
    <w:p w14:paraId="2C3A56D9" w14:textId="77777777" w:rsidR="006160FC" w:rsidRPr="00DF5C23" w:rsidRDefault="00E172E8" w:rsidP="00E172E8">
      <w:pPr>
        <w:pStyle w:val="Point0"/>
        <w:rPr>
          <w:noProof/>
          <w:lang w:val="en-IE" w:eastAsia="en-GB"/>
        </w:rPr>
      </w:pPr>
      <w:r w:rsidRPr="00DF5C23">
        <w:rPr>
          <w:rStyle w:val="normaltextrun"/>
          <w:noProof/>
          <w:lang w:val="en-IE"/>
        </w:rPr>
        <w:t>(b)</w:t>
      </w:r>
      <w:r w:rsidRPr="00DF5C23">
        <w:rPr>
          <w:rStyle w:val="normaltextrun"/>
          <w:noProof/>
          <w:lang w:val="en-IE"/>
        </w:rPr>
        <w:tab/>
      </w:r>
      <w:r w:rsidR="006160FC" w:rsidRPr="00DF5C23">
        <w:rPr>
          <w:rStyle w:val="normaltextrun"/>
          <w:noProof/>
          <w:lang w:val="en-IE"/>
        </w:rPr>
        <w:t xml:space="preserve">consumers, economic operators and other relevant actors shall have free access to the </w:t>
      </w:r>
      <w:r w:rsidR="006160FC" w:rsidRPr="00DF5C23">
        <w:rPr>
          <w:noProof/>
          <w:lang w:eastAsia="en-GB"/>
        </w:rPr>
        <w:t>product passport based on their respective access rights</w:t>
      </w:r>
      <w:r w:rsidR="00131DC8" w:rsidRPr="00DF5C23">
        <w:rPr>
          <w:noProof/>
          <w:lang w:eastAsia="en-GB"/>
        </w:rPr>
        <w:t xml:space="preserve"> set out in the applicable delegated act </w:t>
      </w:r>
      <w:r w:rsidR="00131DC8" w:rsidRPr="00DF5C23">
        <w:rPr>
          <w:rStyle w:val="normaltextrun"/>
          <w:noProof/>
          <w:lang w:val="en-IE" w:eastAsia="en-GB"/>
        </w:rPr>
        <w:t>adopted pursuant to Article 4</w:t>
      </w:r>
      <w:r w:rsidR="006160FC" w:rsidRPr="00DF5C23">
        <w:rPr>
          <w:noProof/>
          <w:lang w:eastAsia="en-GB"/>
        </w:rPr>
        <w:t>;    </w:t>
      </w:r>
      <w:r w:rsidR="006160FC" w:rsidRPr="00DF5C23">
        <w:rPr>
          <w:noProof/>
          <w:lang w:val="en-IE" w:eastAsia="en-GB"/>
        </w:rPr>
        <w:t> </w:t>
      </w:r>
    </w:p>
    <w:p w14:paraId="2C3A56DA" w14:textId="77777777" w:rsidR="006160FC" w:rsidRPr="00DF5C23" w:rsidRDefault="00E172E8" w:rsidP="00E172E8">
      <w:pPr>
        <w:pStyle w:val="Point0"/>
        <w:rPr>
          <w:noProof/>
          <w:lang w:val="en-IE" w:eastAsia="en-GB"/>
        </w:rPr>
      </w:pPr>
      <w:r w:rsidRPr="00DF5C23">
        <w:rPr>
          <w:noProof/>
          <w:lang w:eastAsia="en-GB"/>
        </w:rPr>
        <w:t>(c)</w:t>
      </w:r>
      <w:r w:rsidRPr="00DF5C23">
        <w:rPr>
          <w:noProof/>
          <w:lang w:eastAsia="en-GB"/>
        </w:rPr>
        <w:tab/>
      </w:r>
      <w:r w:rsidR="006160FC" w:rsidRPr="00DF5C23">
        <w:rPr>
          <w:noProof/>
          <w:lang w:eastAsia="en-GB"/>
        </w:rPr>
        <w:t xml:space="preserve">the data included in the product passport shall be stored the economic operator responsible for its </w:t>
      </w:r>
      <w:r w:rsidR="00805CB7" w:rsidRPr="00DF5C23">
        <w:rPr>
          <w:noProof/>
          <w:lang w:eastAsia="en-GB"/>
        </w:rPr>
        <w:t xml:space="preserve">creation </w:t>
      </w:r>
      <w:r w:rsidR="006160FC" w:rsidRPr="00DF5C23">
        <w:rPr>
          <w:noProof/>
          <w:lang w:eastAsia="en-GB"/>
        </w:rPr>
        <w:t xml:space="preserve">or by operators </w:t>
      </w:r>
      <w:r w:rsidR="004F613E" w:rsidRPr="00DF5C23">
        <w:rPr>
          <w:noProof/>
          <w:lang w:eastAsia="en-GB"/>
        </w:rPr>
        <w:t xml:space="preserve">authorised to act </w:t>
      </w:r>
      <w:r w:rsidR="006160FC" w:rsidRPr="00DF5C23">
        <w:rPr>
          <w:noProof/>
          <w:lang w:eastAsia="en-GB"/>
        </w:rPr>
        <w:t>on their behalf;</w:t>
      </w:r>
      <w:r w:rsidR="006160FC" w:rsidRPr="00DF5C23">
        <w:rPr>
          <w:noProof/>
          <w:lang w:val="en-IE" w:eastAsia="en-GB"/>
        </w:rPr>
        <w:t> </w:t>
      </w:r>
    </w:p>
    <w:p w14:paraId="2C3A56DB" w14:textId="77777777" w:rsidR="006160FC" w:rsidRPr="00DF5C23" w:rsidRDefault="00E172E8" w:rsidP="00E172E8">
      <w:pPr>
        <w:pStyle w:val="Point0"/>
        <w:rPr>
          <w:noProof/>
          <w:lang w:val="en-IE" w:eastAsia="en-GB"/>
        </w:rPr>
      </w:pPr>
      <w:r w:rsidRPr="00DF5C23">
        <w:rPr>
          <w:noProof/>
          <w:lang w:eastAsia="en-GB"/>
        </w:rPr>
        <w:t>(d)</w:t>
      </w:r>
      <w:r w:rsidRPr="00DF5C23">
        <w:rPr>
          <w:noProof/>
          <w:lang w:eastAsia="en-GB"/>
        </w:rPr>
        <w:tab/>
      </w:r>
      <w:r w:rsidR="006160FC" w:rsidRPr="00DF5C23">
        <w:rPr>
          <w:noProof/>
          <w:lang w:eastAsia="en-GB"/>
        </w:rPr>
        <w:t xml:space="preserve">if the data included in the product passport is stored or </w:t>
      </w:r>
      <w:r w:rsidR="004111B5" w:rsidRPr="00DF5C23">
        <w:rPr>
          <w:noProof/>
          <w:lang w:eastAsia="en-GB"/>
        </w:rPr>
        <w:t xml:space="preserve">otherwise </w:t>
      </w:r>
      <w:r w:rsidR="006160FC" w:rsidRPr="00DF5C23">
        <w:rPr>
          <w:noProof/>
          <w:lang w:eastAsia="en-GB"/>
        </w:rPr>
        <w:t>processed by operators</w:t>
      </w:r>
      <w:r w:rsidR="00805CB7" w:rsidRPr="00DF5C23">
        <w:rPr>
          <w:noProof/>
          <w:lang w:eastAsia="en-GB"/>
        </w:rPr>
        <w:t xml:space="preserve"> authorised to act on their behalf</w:t>
      </w:r>
      <w:r w:rsidR="006160FC" w:rsidRPr="00DF5C23">
        <w:rPr>
          <w:noProof/>
          <w:lang w:eastAsia="en-GB"/>
        </w:rPr>
        <w:t>, th</w:t>
      </w:r>
      <w:r w:rsidR="00805CB7" w:rsidRPr="00DF5C23">
        <w:rPr>
          <w:noProof/>
          <w:lang w:eastAsia="en-GB"/>
        </w:rPr>
        <w:t>o</w:t>
      </w:r>
      <w:r w:rsidR="006160FC" w:rsidRPr="00DF5C23">
        <w:rPr>
          <w:noProof/>
          <w:lang w:eastAsia="en-GB"/>
        </w:rPr>
        <w:t>se operators shall not be allowed to sell, re-use</w:t>
      </w:r>
      <w:r w:rsidR="004111B5" w:rsidRPr="00DF5C23">
        <w:rPr>
          <w:noProof/>
          <w:lang w:eastAsia="en-GB"/>
        </w:rPr>
        <w:t xml:space="preserve"> or</w:t>
      </w:r>
      <w:r w:rsidR="006160FC" w:rsidRPr="00DF5C23">
        <w:rPr>
          <w:noProof/>
          <w:lang w:eastAsia="en-GB"/>
        </w:rPr>
        <w:t xml:space="preserve"> </w:t>
      </w:r>
      <w:r w:rsidR="004111B5" w:rsidRPr="00DF5C23">
        <w:rPr>
          <w:noProof/>
          <w:lang w:eastAsia="en-GB"/>
        </w:rPr>
        <w:t xml:space="preserve">process </w:t>
      </w:r>
      <w:r w:rsidR="0051153E" w:rsidRPr="00DF5C23">
        <w:rPr>
          <w:noProof/>
          <w:lang w:eastAsia="en-GB"/>
        </w:rPr>
        <w:t>such data</w:t>
      </w:r>
      <w:r w:rsidR="006160FC" w:rsidRPr="00DF5C23">
        <w:rPr>
          <w:noProof/>
          <w:lang w:eastAsia="en-GB"/>
        </w:rPr>
        <w:t>, in whole or in part, beyond what is necessary for the provision of the relevant storing or processing services;</w:t>
      </w:r>
      <w:r w:rsidR="006160FC" w:rsidRPr="00DF5C23">
        <w:rPr>
          <w:noProof/>
          <w:lang w:val="en-IE" w:eastAsia="en-GB"/>
        </w:rPr>
        <w:t> </w:t>
      </w:r>
    </w:p>
    <w:p w14:paraId="2C3A56DC" w14:textId="77777777" w:rsidR="006160FC" w:rsidRPr="00DF5C23" w:rsidRDefault="00E172E8" w:rsidP="00E172E8">
      <w:pPr>
        <w:pStyle w:val="Point0"/>
        <w:rPr>
          <w:noProof/>
          <w:lang w:val="en-IE" w:eastAsia="en-GB"/>
        </w:rPr>
      </w:pPr>
      <w:r w:rsidRPr="00DF5C23">
        <w:rPr>
          <w:noProof/>
          <w:lang w:eastAsia="en-GB"/>
        </w:rPr>
        <w:t>(e)</w:t>
      </w:r>
      <w:r w:rsidRPr="00DF5C23">
        <w:rPr>
          <w:noProof/>
          <w:lang w:eastAsia="en-GB"/>
        </w:rPr>
        <w:tab/>
      </w:r>
      <w:r w:rsidR="006160FC" w:rsidRPr="00DF5C23">
        <w:rPr>
          <w:noProof/>
          <w:lang w:eastAsia="en-GB"/>
        </w:rPr>
        <w:t>the product passport shall remain available for the period specified in  delegated act</w:t>
      </w:r>
      <w:r w:rsidR="0051153E" w:rsidRPr="00DF5C23">
        <w:rPr>
          <w:noProof/>
          <w:lang w:eastAsia="en-GB"/>
        </w:rPr>
        <w:t>s</w:t>
      </w:r>
      <w:r w:rsidR="006160FC" w:rsidRPr="00DF5C23">
        <w:rPr>
          <w:noProof/>
          <w:lang w:eastAsia="en-GB"/>
        </w:rPr>
        <w:t xml:space="preserve"> </w:t>
      </w:r>
      <w:r w:rsidR="0051153E" w:rsidRPr="00DF5C23">
        <w:rPr>
          <w:noProof/>
          <w:lang w:eastAsia="en-GB"/>
        </w:rPr>
        <w:t>adopted pursuant to Article 4</w:t>
      </w:r>
      <w:r w:rsidR="006160FC" w:rsidRPr="00DF5C23">
        <w:rPr>
          <w:noProof/>
          <w:lang w:eastAsia="en-GB"/>
        </w:rPr>
        <w:t xml:space="preserve">, including after </w:t>
      </w:r>
      <w:r w:rsidR="0051153E" w:rsidRPr="00DF5C23">
        <w:rPr>
          <w:noProof/>
          <w:lang w:eastAsia="en-GB"/>
        </w:rPr>
        <w:t>an insolvency</w:t>
      </w:r>
      <w:r w:rsidR="006160FC" w:rsidRPr="00DF5C23">
        <w:rPr>
          <w:noProof/>
          <w:lang w:eastAsia="en-GB"/>
        </w:rPr>
        <w:t xml:space="preserve">, </w:t>
      </w:r>
      <w:r w:rsidR="0051153E" w:rsidRPr="00DF5C23">
        <w:rPr>
          <w:noProof/>
          <w:lang w:eastAsia="en-GB"/>
        </w:rPr>
        <w:t>a</w:t>
      </w:r>
      <w:r w:rsidR="006160FC" w:rsidRPr="00DF5C23">
        <w:rPr>
          <w:noProof/>
          <w:lang w:eastAsia="en-GB"/>
        </w:rPr>
        <w:t xml:space="preserve"> liquidation or </w:t>
      </w:r>
      <w:r w:rsidR="0051153E" w:rsidRPr="00DF5C23">
        <w:rPr>
          <w:noProof/>
          <w:lang w:eastAsia="en-GB"/>
        </w:rPr>
        <w:t>a</w:t>
      </w:r>
      <w:r w:rsidR="006160FC" w:rsidRPr="00DF5C23">
        <w:rPr>
          <w:noProof/>
          <w:lang w:eastAsia="en-GB"/>
        </w:rPr>
        <w:t xml:space="preserve"> cessation of activity in the Union of the economic operator that created </w:t>
      </w:r>
      <w:r w:rsidR="0051153E" w:rsidRPr="00DF5C23">
        <w:rPr>
          <w:noProof/>
          <w:lang w:eastAsia="en-GB"/>
        </w:rPr>
        <w:t>the product passport</w:t>
      </w:r>
      <w:r w:rsidR="006160FC" w:rsidRPr="00DF5C23">
        <w:rPr>
          <w:noProof/>
          <w:lang w:eastAsia="en-GB"/>
        </w:rPr>
        <w:t>; </w:t>
      </w:r>
      <w:r w:rsidR="006160FC" w:rsidRPr="00DF5C23">
        <w:rPr>
          <w:noProof/>
          <w:lang w:val="en-IE" w:eastAsia="en-GB"/>
        </w:rPr>
        <w:t> </w:t>
      </w:r>
    </w:p>
    <w:p w14:paraId="2C3A56DD" w14:textId="77777777" w:rsidR="006160FC" w:rsidRPr="00DF5C23" w:rsidRDefault="00E172E8" w:rsidP="00E172E8">
      <w:pPr>
        <w:pStyle w:val="Point0"/>
        <w:rPr>
          <w:noProof/>
          <w:lang w:val="en-IE" w:eastAsia="en-GB"/>
        </w:rPr>
      </w:pPr>
      <w:r w:rsidRPr="00DF5C23">
        <w:rPr>
          <w:noProof/>
          <w:lang w:eastAsia="en-GB"/>
        </w:rPr>
        <w:t>(f)</w:t>
      </w:r>
      <w:r w:rsidRPr="00DF5C23">
        <w:rPr>
          <w:noProof/>
          <w:lang w:eastAsia="en-GB"/>
        </w:rPr>
        <w:tab/>
      </w:r>
      <w:r w:rsidR="006160FC" w:rsidRPr="00DF5C23">
        <w:rPr>
          <w:noProof/>
          <w:lang w:eastAsia="en-GB"/>
        </w:rPr>
        <w:t>the rights to access and to introduce</w:t>
      </w:r>
      <w:r w:rsidR="004730AE" w:rsidRPr="00DF5C23">
        <w:rPr>
          <w:noProof/>
          <w:lang w:eastAsia="en-GB"/>
        </w:rPr>
        <w:t>,</w:t>
      </w:r>
      <w:r w:rsidR="006160FC" w:rsidRPr="00DF5C23">
        <w:rPr>
          <w:noProof/>
          <w:lang w:eastAsia="en-GB"/>
        </w:rPr>
        <w:t xml:space="preserve"> modify </w:t>
      </w:r>
      <w:r w:rsidR="004730AE" w:rsidRPr="00DF5C23">
        <w:rPr>
          <w:noProof/>
          <w:lang w:eastAsia="en-GB"/>
        </w:rPr>
        <w:t>or update</w:t>
      </w:r>
      <w:r w:rsidR="006160FC" w:rsidRPr="00DF5C23">
        <w:rPr>
          <w:noProof/>
          <w:lang w:eastAsia="en-GB"/>
        </w:rPr>
        <w:t xml:space="preserve"> information in product passport shall be restricted based on the access rights specified in  delegated act</w:t>
      </w:r>
      <w:r w:rsidR="0051153E" w:rsidRPr="00DF5C23">
        <w:rPr>
          <w:noProof/>
          <w:lang w:eastAsia="en-GB"/>
        </w:rPr>
        <w:t>s</w:t>
      </w:r>
      <w:r w:rsidR="006160FC" w:rsidRPr="00DF5C23">
        <w:rPr>
          <w:noProof/>
          <w:lang w:eastAsia="en-GB"/>
        </w:rPr>
        <w:t xml:space="preserve"> </w:t>
      </w:r>
      <w:r w:rsidR="0051153E" w:rsidRPr="00DF5C23">
        <w:rPr>
          <w:noProof/>
          <w:lang w:eastAsia="en-GB"/>
        </w:rPr>
        <w:t>adopted pursuant to Article 4</w:t>
      </w:r>
      <w:r w:rsidR="006160FC" w:rsidRPr="00DF5C23">
        <w:rPr>
          <w:noProof/>
          <w:lang w:eastAsia="en-GB"/>
        </w:rPr>
        <w:t>;</w:t>
      </w:r>
    </w:p>
    <w:p w14:paraId="2C3A56DE" w14:textId="77777777" w:rsidR="006160FC" w:rsidRPr="00DF5C23" w:rsidRDefault="00E172E8" w:rsidP="00E172E8">
      <w:pPr>
        <w:pStyle w:val="Point0"/>
        <w:rPr>
          <w:noProof/>
          <w:lang w:val="en-IE" w:eastAsia="en-GB"/>
        </w:rPr>
      </w:pPr>
      <w:r w:rsidRPr="00DF5C23">
        <w:rPr>
          <w:noProof/>
          <w:lang w:val="en-IE" w:eastAsia="en-GB"/>
        </w:rPr>
        <w:t>(g)</w:t>
      </w:r>
      <w:r w:rsidRPr="00DF5C23">
        <w:rPr>
          <w:noProof/>
          <w:lang w:val="en-IE" w:eastAsia="en-GB"/>
        </w:rPr>
        <w:tab/>
      </w:r>
      <w:r w:rsidR="006160FC" w:rsidRPr="00DF5C23">
        <w:rPr>
          <w:noProof/>
          <w:lang w:val="en-IE" w:eastAsia="en-GB"/>
        </w:rPr>
        <w:t>data authentication, reliability</w:t>
      </w:r>
      <w:r w:rsidR="0051153E" w:rsidRPr="00DF5C23">
        <w:rPr>
          <w:noProof/>
          <w:lang w:val="en-IE" w:eastAsia="en-GB"/>
        </w:rPr>
        <w:t xml:space="preserve"> and</w:t>
      </w:r>
      <w:r w:rsidR="006160FC" w:rsidRPr="00DF5C23">
        <w:rPr>
          <w:noProof/>
          <w:lang w:val="en-IE" w:eastAsia="en-GB"/>
        </w:rPr>
        <w:t xml:space="preserve"> integrity</w:t>
      </w:r>
      <w:r w:rsidR="006160FC" w:rsidRPr="00DF5C23">
        <w:rPr>
          <w:noProof/>
          <w:lang w:eastAsia="en-GB"/>
        </w:rPr>
        <w:t xml:space="preserve"> shall be </w:t>
      </w:r>
      <w:r w:rsidR="0051153E" w:rsidRPr="00DF5C23">
        <w:rPr>
          <w:noProof/>
          <w:lang w:eastAsia="en-GB"/>
        </w:rPr>
        <w:t>en</w:t>
      </w:r>
      <w:r w:rsidR="006160FC" w:rsidRPr="00DF5C23">
        <w:rPr>
          <w:noProof/>
          <w:lang w:eastAsia="en-GB"/>
        </w:rPr>
        <w:t>sured;</w:t>
      </w:r>
      <w:r w:rsidR="006160FC" w:rsidRPr="00DF5C23">
        <w:rPr>
          <w:noProof/>
          <w:lang w:val="en-IE" w:eastAsia="en-GB"/>
        </w:rPr>
        <w:t> </w:t>
      </w:r>
    </w:p>
    <w:p w14:paraId="2C3A56DF" w14:textId="77777777" w:rsidR="006160FC" w:rsidRPr="00DF5C23" w:rsidRDefault="00E172E8" w:rsidP="00E172E8">
      <w:pPr>
        <w:pStyle w:val="Point0"/>
        <w:rPr>
          <w:noProof/>
          <w:lang w:val="en-IE" w:eastAsia="en-GB"/>
        </w:rPr>
      </w:pPr>
      <w:r w:rsidRPr="00DF5C23">
        <w:rPr>
          <w:noProof/>
          <w:lang w:eastAsia="en-GB"/>
        </w:rPr>
        <w:t>(h)</w:t>
      </w:r>
      <w:r w:rsidRPr="00DF5C23">
        <w:rPr>
          <w:noProof/>
          <w:lang w:eastAsia="en-GB"/>
        </w:rPr>
        <w:tab/>
      </w:r>
      <w:r w:rsidR="006160FC" w:rsidRPr="00DF5C23">
        <w:rPr>
          <w:noProof/>
          <w:lang w:eastAsia="en-GB"/>
        </w:rPr>
        <w:t xml:space="preserve">product passports shall be designed and operated </w:t>
      </w:r>
      <w:r w:rsidR="0051153E" w:rsidRPr="00DF5C23">
        <w:rPr>
          <w:noProof/>
          <w:lang w:eastAsia="en-GB"/>
        </w:rPr>
        <w:t>so that</w:t>
      </w:r>
      <w:r w:rsidR="006160FC" w:rsidRPr="00DF5C23">
        <w:rPr>
          <w:noProof/>
          <w:lang w:eastAsia="en-GB"/>
        </w:rPr>
        <w:t xml:space="preserve"> a high level of security and privacy</w:t>
      </w:r>
      <w:r w:rsidR="0051153E" w:rsidRPr="00DF5C23">
        <w:rPr>
          <w:noProof/>
          <w:lang w:eastAsia="en-GB"/>
        </w:rPr>
        <w:t xml:space="preserve"> is ensured</w:t>
      </w:r>
      <w:r w:rsidR="006160FC" w:rsidRPr="00DF5C23">
        <w:rPr>
          <w:noProof/>
          <w:lang w:eastAsia="en-GB"/>
        </w:rPr>
        <w:t xml:space="preserve"> and fraud</w:t>
      </w:r>
      <w:r w:rsidR="0051153E" w:rsidRPr="00DF5C23">
        <w:rPr>
          <w:noProof/>
          <w:lang w:eastAsia="en-GB"/>
        </w:rPr>
        <w:t xml:space="preserve"> is avoided</w:t>
      </w:r>
      <w:r w:rsidR="006160FC" w:rsidRPr="00DF5C23">
        <w:rPr>
          <w:noProof/>
          <w:lang w:eastAsia="en-GB"/>
        </w:rPr>
        <w:t>.</w:t>
      </w:r>
    </w:p>
    <w:p w14:paraId="2C3A56E0" w14:textId="77777777" w:rsidR="006160FC" w:rsidRPr="00DF5C23" w:rsidRDefault="006160FC" w:rsidP="006160FC">
      <w:pPr>
        <w:pStyle w:val="Titrearticle"/>
        <w:rPr>
          <w:noProof/>
        </w:rPr>
      </w:pPr>
      <w:r w:rsidRPr="00DF5C23">
        <w:rPr>
          <w:noProof/>
          <w:lang w:val="en-IE"/>
        </w:rPr>
        <w:t xml:space="preserve">Article </w:t>
      </w:r>
      <w:r w:rsidR="00052686" w:rsidRPr="00DF5C23">
        <w:rPr>
          <w:noProof/>
          <w:lang w:val="en-IE"/>
        </w:rPr>
        <w:t>11</w:t>
      </w:r>
      <w:r w:rsidRPr="00DF5C23">
        <w:rPr>
          <w:noProof/>
          <w:lang w:val="en-IE"/>
        </w:rPr>
        <w:br/>
      </w:r>
      <w:r w:rsidRPr="00DF5C23">
        <w:rPr>
          <w:noProof/>
        </w:rPr>
        <w:t>Unique operator</w:t>
      </w:r>
      <w:r w:rsidR="0051153E" w:rsidRPr="00DF5C23">
        <w:rPr>
          <w:noProof/>
        </w:rPr>
        <w:t xml:space="preserve"> identifier</w:t>
      </w:r>
      <w:r w:rsidRPr="00DF5C23">
        <w:rPr>
          <w:noProof/>
        </w:rPr>
        <w:t xml:space="preserve"> </w:t>
      </w:r>
      <w:r w:rsidR="0051153E" w:rsidRPr="00DF5C23">
        <w:rPr>
          <w:noProof/>
        </w:rPr>
        <w:t>and unique</w:t>
      </w:r>
      <w:r w:rsidRPr="00DF5C23">
        <w:rPr>
          <w:noProof/>
        </w:rPr>
        <w:t xml:space="preserve"> facility identifier</w:t>
      </w:r>
    </w:p>
    <w:p w14:paraId="2C3A56E1" w14:textId="62D59C48" w:rsidR="0095134E" w:rsidRPr="00DF5C23" w:rsidRDefault="004F5E59" w:rsidP="004F5E59">
      <w:pPr>
        <w:pStyle w:val="ManualNumPar1"/>
        <w:rPr>
          <w:noProof/>
          <w:lang w:val="en-IE"/>
        </w:rPr>
      </w:pPr>
      <w:r w:rsidRPr="004F5E59">
        <w:t>1.</w:t>
      </w:r>
      <w:r w:rsidRPr="004F5E59">
        <w:tab/>
      </w:r>
      <w:r w:rsidR="00925F07" w:rsidRPr="00DF5C23">
        <w:rPr>
          <w:noProof/>
        </w:rPr>
        <w:t>The u</w:t>
      </w:r>
      <w:r w:rsidR="0095134E" w:rsidRPr="00DF5C23">
        <w:rPr>
          <w:noProof/>
        </w:rPr>
        <w:t xml:space="preserve">nique operator identifiers </w:t>
      </w:r>
      <w:r w:rsidR="00925F07" w:rsidRPr="00DF5C23">
        <w:rPr>
          <w:noProof/>
        </w:rPr>
        <w:t xml:space="preserve">referred to in </w:t>
      </w:r>
      <w:r w:rsidR="00925F07" w:rsidRPr="00DF5C23">
        <w:rPr>
          <w:noProof/>
          <w:lang w:val="en-IE"/>
        </w:rPr>
        <w:t>Annex III, point</w:t>
      </w:r>
      <w:r w:rsidR="0056057B" w:rsidRPr="00DF5C23">
        <w:rPr>
          <w:noProof/>
          <w:lang w:val="en-IE"/>
        </w:rPr>
        <w:t>s</w:t>
      </w:r>
      <w:r w:rsidR="00925F07" w:rsidRPr="00DF5C23">
        <w:rPr>
          <w:noProof/>
          <w:lang w:val="en-IE"/>
        </w:rPr>
        <w:t xml:space="preserve"> (g) and (h),</w:t>
      </w:r>
      <w:r w:rsidR="00925F07" w:rsidRPr="00DF5C23">
        <w:rPr>
          <w:noProof/>
        </w:rPr>
        <w:t xml:space="preserve"> </w:t>
      </w:r>
      <w:r w:rsidR="0095134E" w:rsidRPr="00DF5C23">
        <w:rPr>
          <w:noProof/>
        </w:rPr>
        <w:t>and</w:t>
      </w:r>
      <w:r w:rsidR="00925F07" w:rsidRPr="00DF5C23">
        <w:rPr>
          <w:noProof/>
        </w:rPr>
        <w:t xml:space="preserve"> the</w:t>
      </w:r>
      <w:r w:rsidR="0095134E" w:rsidRPr="00DF5C23">
        <w:rPr>
          <w:noProof/>
        </w:rPr>
        <w:t xml:space="preserve"> unique facility identifiers</w:t>
      </w:r>
      <w:r w:rsidR="00D5465E" w:rsidRPr="00DF5C23">
        <w:rPr>
          <w:noProof/>
        </w:rPr>
        <w:t xml:space="preserve"> referred to in</w:t>
      </w:r>
      <w:r w:rsidR="00925F07" w:rsidRPr="00DF5C23">
        <w:rPr>
          <w:noProof/>
        </w:rPr>
        <w:t xml:space="preserve"> </w:t>
      </w:r>
      <w:r w:rsidR="00925F07" w:rsidRPr="00DF5C23">
        <w:rPr>
          <w:noProof/>
          <w:lang w:val="en-IE"/>
        </w:rPr>
        <w:t>Annex III, point (i),</w:t>
      </w:r>
      <w:r w:rsidR="00FE243C" w:rsidRPr="00DF5C23">
        <w:rPr>
          <w:noProof/>
        </w:rPr>
        <w:t xml:space="preserve"> </w:t>
      </w:r>
      <w:r w:rsidR="0095134E" w:rsidRPr="00DF5C23">
        <w:rPr>
          <w:noProof/>
          <w:lang w:val="en-IE"/>
        </w:rPr>
        <w:t xml:space="preserve">shall </w:t>
      </w:r>
      <w:r w:rsidR="00607307" w:rsidRPr="00DF5C23">
        <w:rPr>
          <w:noProof/>
          <w:lang w:val="en-IE"/>
        </w:rPr>
        <w:t>comply</w:t>
      </w:r>
      <w:r w:rsidR="0095134E" w:rsidRPr="00DF5C23">
        <w:rPr>
          <w:noProof/>
          <w:lang w:val="en-IE" w:eastAsia="en-GB"/>
        </w:rPr>
        <w:t xml:space="preserve"> with </w:t>
      </w:r>
      <w:r w:rsidR="0095134E" w:rsidRPr="00DF5C23">
        <w:rPr>
          <w:noProof/>
        </w:rPr>
        <w:t xml:space="preserve">the </w:t>
      </w:r>
      <w:r w:rsidR="0095134E" w:rsidRPr="00DF5C23">
        <w:rPr>
          <w:noProof/>
          <w:lang w:eastAsia="en-GB"/>
        </w:rPr>
        <w:t xml:space="preserve">ISO/IEC standard </w:t>
      </w:r>
      <w:r w:rsidR="0095134E" w:rsidRPr="00DF5C23">
        <w:rPr>
          <w:noProof/>
          <w:lang w:val="en-IE" w:eastAsia="en-GB"/>
        </w:rPr>
        <w:t>15459:2015</w:t>
      </w:r>
      <w:r w:rsidR="00FE243C" w:rsidRPr="00DF5C23">
        <w:rPr>
          <w:noProof/>
          <w:lang w:val="en-IE" w:eastAsia="en-GB"/>
        </w:rPr>
        <w:t>.</w:t>
      </w:r>
    </w:p>
    <w:p w14:paraId="2C3A56E2" w14:textId="705E0AEA" w:rsidR="00925F07" w:rsidRPr="00DF5C23" w:rsidRDefault="004F5E59" w:rsidP="004F5E59">
      <w:pPr>
        <w:pStyle w:val="ManualNumPar1"/>
        <w:rPr>
          <w:noProof/>
          <w:lang w:val="en-IE"/>
        </w:rPr>
      </w:pPr>
      <w:r w:rsidRPr="004F5E59">
        <w:t>2.</w:t>
      </w:r>
      <w:r w:rsidRPr="004F5E59">
        <w:tab/>
      </w:r>
      <w:r w:rsidR="00925F07" w:rsidRPr="00DF5C23">
        <w:rPr>
          <w:noProof/>
        </w:rPr>
        <w:t xml:space="preserve">Where a unique operator identifier referred to in </w:t>
      </w:r>
      <w:r w:rsidR="00925F07" w:rsidRPr="00DF5C23">
        <w:rPr>
          <w:noProof/>
          <w:lang w:val="en-IE"/>
        </w:rPr>
        <w:t xml:space="preserve">Annex III, point (h), is not yet available, </w:t>
      </w:r>
      <w:r w:rsidR="007A0D9E" w:rsidRPr="00DF5C23">
        <w:rPr>
          <w:noProof/>
          <w:lang w:val="en-IE"/>
        </w:rPr>
        <w:t xml:space="preserve">the </w:t>
      </w:r>
      <w:r w:rsidR="00561884" w:rsidRPr="00DF5C23">
        <w:rPr>
          <w:noProof/>
          <w:lang w:val="en-IE"/>
        </w:rPr>
        <w:t xml:space="preserve">economic operator creating the product passport </w:t>
      </w:r>
      <w:r w:rsidR="007A0D9E" w:rsidRPr="00DF5C23">
        <w:rPr>
          <w:noProof/>
          <w:lang w:val="en-IE"/>
        </w:rPr>
        <w:t>shall request</w:t>
      </w:r>
      <w:r w:rsidR="007A0D9E" w:rsidRPr="00DF5C23">
        <w:rPr>
          <w:noProof/>
        </w:rPr>
        <w:t xml:space="preserve"> a unique operator identifier</w:t>
      </w:r>
      <w:r w:rsidR="007A0D9E" w:rsidRPr="00DF5C23">
        <w:rPr>
          <w:noProof/>
          <w:lang w:val="en-IE"/>
        </w:rPr>
        <w:t xml:space="preserve"> </w:t>
      </w:r>
      <w:r w:rsidR="00925F07" w:rsidRPr="00DF5C23">
        <w:rPr>
          <w:noProof/>
          <w:lang w:val="en-IE"/>
        </w:rPr>
        <w:t>on behalf of the relevant actor.</w:t>
      </w:r>
    </w:p>
    <w:p w14:paraId="2C3A56E3" w14:textId="77777777" w:rsidR="006160FC" w:rsidRPr="00DF5C23" w:rsidRDefault="00607307" w:rsidP="006160FC">
      <w:pPr>
        <w:pStyle w:val="Text1"/>
        <w:rPr>
          <w:noProof/>
          <w:lang w:val="en-IE"/>
        </w:rPr>
      </w:pPr>
      <w:r w:rsidRPr="00DF5C23">
        <w:rPr>
          <w:noProof/>
          <w:lang w:val="en-IE"/>
        </w:rPr>
        <w:t>Before issuing a request as referred to in the first subparagraph, t</w:t>
      </w:r>
      <w:r w:rsidR="007A0D9E" w:rsidRPr="00DF5C23">
        <w:rPr>
          <w:noProof/>
          <w:lang w:val="en-IE"/>
        </w:rPr>
        <w:t xml:space="preserve">he </w:t>
      </w:r>
      <w:r w:rsidR="00561884" w:rsidRPr="00DF5C23">
        <w:rPr>
          <w:noProof/>
          <w:lang w:val="en-IE"/>
        </w:rPr>
        <w:t>economic operator creating the product passport</w:t>
      </w:r>
      <w:r w:rsidR="007A0D9E" w:rsidRPr="00DF5C23">
        <w:rPr>
          <w:noProof/>
          <w:lang w:val="en-IE"/>
        </w:rPr>
        <w:t xml:space="preserve"> shall seek </w:t>
      </w:r>
      <w:r w:rsidRPr="00DF5C23">
        <w:rPr>
          <w:noProof/>
          <w:lang w:val="en-IE"/>
        </w:rPr>
        <w:t>conf</w:t>
      </w:r>
      <w:r w:rsidR="00172A52" w:rsidRPr="00DF5C23">
        <w:rPr>
          <w:noProof/>
          <w:lang w:val="en-IE"/>
        </w:rPr>
        <w:t>i</w:t>
      </w:r>
      <w:r w:rsidRPr="00DF5C23">
        <w:rPr>
          <w:noProof/>
          <w:lang w:val="en-IE"/>
        </w:rPr>
        <w:t xml:space="preserve">rmation from </w:t>
      </w:r>
      <w:r w:rsidR="006160FC" w:rsidRPr="00DF5C23">
        <w:rPr>
          <w:noProof/>
          <w:lang w:val="en-IE"/>
        </w:rPr>
        <w:t xml:space="preserve">the </w:t>
      </w:r>
      <w:r w:rsidR="00AB7386" w:rsidRPr="00DF5C23">
        <w:rPr>
          <w:rFonts w:eastAsia="Times New Roman"/>
          <w:noProof/>
          <w:color w:val="000000" w:themeColor="text1"/>
          <w:lang w:val="en-IE" w:eastAsia="fr-BE"/>
        </w:rPr>
        <w:t>actor</w:t>
      </w:r>
      <w:r w:rsidR="006160FC" w:rsidRPr="00DF5C23">
        <w:rPr>
          <w:noProof/>
          <w:lang w:val="en-IE"/>
        </w:rPr>
        <w:t xml:space="preserve"> concerned </w:t>
      </w:r>
      <w:r w:rsidRPr="00DF5C23">
        <w:rPr>
          <w:noProof/>
          <w:lang w:val="en-IE"/>
        </w:rPr>
        <w:t>that no unique operator identifier exists</w:t>
      </w:r>
      <w:r w:rsidR="007A0D9E" w:rsidRPr="00DF5C23">
        <w:rPr>
          <w:noProof/>
          <w:lang w:val="en-IE"/>
        </w:rPr>
        <w:t xml:space="preserve"> and</w:t>
      </w:r>
      <w:r w:rsidR="006160FC" w:rsidRPr="00DF5C23">
        <w:rPr>
          <w:noProof/>
          <w:lang w:val="en-IE"/>
        </w:rPr>
        <w:t xml:space="preserve"> shall </w:t>
      </w:r>
      <w:r w:rsidRPr="00DF5C23">
        <w:rPr>
          <w:noProof/>
          <w:lang w:val="en-IE"/>
        </w:rPr>
        <w:t>provide the supply chain</w:t>
      </w:r>
      <w:r w:rsidR="007A0D9E" w:rsidRPr="00DF5C23">
        <w:rPr>
          <w:noProof/>
          <w:lang w:val="en-IE"/>
        </w:rPr>
        <w:t xml:space="preserve"> actor concerned</w:t>
      </w:r>
      <w:r w:rsidR="006160FC" w:rsidRPr="00DF5C23">
        <w:rPr>
          <w:noProof/>
          <w:lang w:val="en-IE"/>
        </w:rPr>
        <w:t xml:space="preserve"> </w:t>
      </w:r>
      <w:r w:rsidRPr="00DF5C23">
        <w:rPr>
          <w:noProof/>
          <w:lang w:val="en-IE"/>
        </w:rPr>
        <w:t>with full details of the released unique operator identifier</w:t>
      </w:r>
      <w:r w:rsidR="006160FC" w:rsidRPr="00DF5C23">
        <w:rPr>
          <w:noProof/>
          <w:lang w:val="en-IE"/>
        </w:rPr>
        <w:t xml:space="preserve">. </w:t>
      </w:r>
    </w:p>
    <w:p w14:paraId="2C3A56E4" w14:textId="4D5FD43D" w:rsidR="00D5465E" w:rsidRPr="00DF5C23" w:rsidRDefault="004F5E59" w:rsidP="004F5E59">
      <w:pPr>
        <w:pStyle w:val="ManualNumPar1"/>
        <w:rPr>
          <w:noProof/>
          <w:lang w:val="en-IE"/>
        </w:rPr>
      </w:pPr>
      <w:r w:rsidRPr="004F5E59">
        <w:t>3.</w:t>
      </w:r>
      <w:r w:rsidRPr="004F5E59">
        <w:tab/>
      </w:r>
      <w:r w:rsidR="00D5465E" w:rsidRPr="00DF5C23">
        <w:rPr>
          <w:noProof/>
          <w:lang w:val="en-IE"/>
        </w:rPr>
        <w:t xml:space="preserve">Where a </w:t>
      </w:r>
      <w:r w:rsidR="00D5465E" w:rsidRPr="00DF5C23">
        <w:rPr>
          <w:noProof/>
        </w:rPr>
        <w:t xml:space="preserve">unique facility identifier referred to in </w:t>
      </w:r>
      <w:r w:rsidR="00D5465E" w:rsidRPr="00DF5C23">
        <w:rPr>
          <w:noProof/>
          <w:lang w:val="en-IE"/>
        </w:rPr>
        <w:t>Annex III, point (i), is not yet available</w:t>
      </w:r>
      <w:r w:rsidR="007A0D9E" w:rsidRPr="00DF5C23">
        <w:rPr>
          <w:noProof/>
          <w:lang w:val="en-IE"/>
        </w:rPr>
        <w:t xml:space="preserve">, the </w:t>
      </w:r>
      <w:r w:rsidR="00561884" w:rsidRPr="00DF5C23">
        <w:rPr>
          <w:noProof/>
          <w:lang w:val="en-IE"/>
        </w:rPr>
        <w:t xml:space="preserve">economic operator creating the product passport </w:t>
      </w:r>
      <w:r w:rsidR="007A0D9E" w:rsidRPr="00DF5C23">
        <w:rPr>
          <w:noProof/>
          <w:lang w:val="en-IE"/>
        </w:rPr>
        <w:t xml:space="preserve">shall request a </w:t>
      </w:r>
      <w:r w:rsidR="007A0D9E" w:rsidRPr="00DF5C23">
        <w:rPr>
          <w:noProof/>
        </w:rPr>
        <w:t>unique facility identifier</w:t>
      </w:r>
      <w:r w:rsidR="007A0D9E" w:rsidRPr="00DF5C23">
        <w:rPr>
          <w:noProof/>
          <w:lang w:val="en-IE"/>
        </w:rPr>
        <w:t xml:space="preserve"> on behalf of the actor responsible for the relevant location or building.</w:t>
      </w:r>
    </w:p>
    <w:p w14:paraId="2C3A56E5" w14:textId="77777777" w:rsidR="006160FC" w:rsidRPr="00DF5C23" w:rsidRDefault="00607307" w:rsidP="006160FC">
      <w:pPr>
        <w:pStyle w:val="Text1"/>
        <w:rPr>
          <w:noProof/>
          <w:lang w:val="en-IE"/>
        </w:rPr>
      </w:pPr>
      <w:r w:rsidRPr="00DF5C23">
        <w:rPr>
          <w:noProof/>
          <w:lang w:val="en-IE"/>
        </w:rPr>
        <w:t>Before issuing a request as referred to in the first subparagraph, t</w:t>
      </w:r>
      <w:r w:rsidR="007A0D9E" w:rsidRPr="00DF5C23">
        <w:rPr>
          <w:noProof/>
          <w:lang w:val="en-IE"/>
        </w:rPr>
        <w:t xml:space="preserve">he </w:t>
      </w:r>
      <w:r w:rsidR="00561884" w:rsidRPr="00DF5C23">
        <w:rPr>
          <w:noProof/>
          <w:lang w:val="en-IE"/>
        </w:rPr>
        <w:t>economic operator creating the product passport</w:t>
      </w:r>
      <w:r w:rsidR="007A0D9E" w:rsidRPr="00DF5C23">
        <w:rPr>
          <w:noProof/>
          <w:lang w:val="en-IE"/>
        </w:rPr>
        <w:t xml:space="preserve"> shall seek </w:t>
      </w:r>
      <w:r w:rsidRPr="00DF5C23">
        <w:rPr>
          <w:noProof/>
          <w:lang w:val="en-IE"/>
        </w:rPr>
        <w:t xml:space="preserve">confirmation from </w:t>
      </w:r>
      <w:r w:rsidR="006160FC" w:rsidRPr="00DF5C23">
        <w:rPr>
          <w:noProof/>
          <w:lang w:val="en-IE"/>
        </w:rPr>
        <w:t xml:space="preserve">the </w:t>
      </w:r>
      <w:r w:rsidR="007A0D9E" w:rsidRPr="00DF5C23">
        <w:rPr>
          <w:noProof/>
          <w:lang w:val="en-IE"/>
        </w:rPr>
        <w:t xml:space="preserve">responsible </w:t>
      </w:r>
      <w:r w:rsidR="007A0D9E" w:rsidRPr="00DF5C23">
        <w:rPr>
          <w:rFonts w:eastAsia="Times New Roman"/>
          <w:noProof/>
          <w:color w:val="000000" w:themeColor="text1"/>
          <w:lang w:val="en-IE" w:eastAsia="fr-BE"/>
        </w:rPr>
        <w:t>actor</w:t>
      </w:r>
      <w:r w:rsidRPr="00DF5C23">
        <w:rPr>
          <w:rFonts w:eastAsia="Times New Roman"/>
          <w:noProof/>
          <w:color w:val="000000" w:themeColor="text1"/>
          <w:lang w:val="en-IE" w:eastAsia="fr-BE"/>
        </w:rPr>
        <w:t xml:space="preserve"> </w:t>
      </w:r>
      <w:r w:rsidRPr="00DF5C23">
        <w:rPr>
          <w:noProof/>
          <w:lang w:val="en-IE"/>
        </w:rPr>
        <w:t>that no unique facility identifier exists</w:t>
      </w:r>
      <w:r w:rsidR="007A0D9E" w:rsidRPr="00DF5C23">
        <w:rPr>
          <w:noProof/>
          <w:lang w:val="en-IE"/>
        </w:rPr>
        <w:t xml:space="preserve"> and</w:t>
      </w:r>
      <w:r w:rsidR="006160FC" w:rsidRPr="00DF5C23">
        <w:rPr>
          <w:noProof/>
          <w:lang w:val="en-IE"/>
        </w:rPr>
        <w:t xml:space="preserve"> </w:t>
      </w:r>
      <w:r w:rsidRPr="00DF5C23">
        <w:rPr>
          <w:noProof/>
          <w:lang w:val="en-IE"/>
        </w:rPr>
        <w:t>provide</w:t>
      </w:r>
      <w:r w:rsidR="007A0D9E" w:rsidRPr="00DF5C23">
        <w:rPr>
          <w:noProof/>
          <w:lang w:val="en-IE"/>
        </w:rPr>
        <w:t xml:space="preserve"> the </w:t>
      </w:r>
      <w:r w:rsidR="007A0D9E" w:rsidRPr="00DF5C23">
        <w:rPr>
          <w:rFonts w:eastAsia="Times New Roman"/>
          <w:noProof/>
          <w:color w:val="000000" w:themeColor="text1"/>
          <w:lang w:val="en-IE" w:eastAsia="fr-BE"/>
        </w:rPr>
        <w:t>responsible</w:t>
      </w:r>
      <w:r w:rsidR="007A0D9E" w:rsidRPr="00DF5C23">
        <w:rPr>
          <w:noProof/>
          <w:lang w:val="en-IE"/>
        </w:rPr>
        <w:t xml:space="preserve"> actor </w:t>
      </w:r>
      <w:r w:rsidRPr="00DF5C23">
        <w:rPr>
          <w:noProof/>
          <w:lang w:val="en-IE"/>
        </w:rPr>
        <w:t>with</w:t>
      </w:r>
      <w:r w:rsidR="006160FC" w:rsidRPr="00DF5C23">
        <w:rPr>
          <w:noProof/>
          <w:lang w:val="en-IE"/>
        </w:rPr>
        <w:t xml:space="preserve"> the full details of the </w:t>
      </w:r>
      <w:r w:rsidR="007A0D9E" w:rsidRPr="00DF5C23">
        <w:rPr>
          <w:noProof/>
          <w:lang w:val="en-IE"/>
        </w:rPr>
        <w:t xml:space="preserve">released </w:t>
      </w:r>
      <w:r w:rsidR="006160FC" w:rsidRPr="00DF5C23">
        <w:rPr>
          <w:noProof/>
          <w:lang w:val="en-IE"/>
        </w:rPr>
        <w:t xml:space="preserve">unique facility identifier. </w:t>
      </w:r>
    </w:p>
    <w:p w14:paraId="2C3A56E6" w14:textId="42944675" w:rsidR="00851C9F" w:rsidRPr="00DF5C23" w:rsidRDefault="004F5E59" w:rsidP="004F5E59">
      <w:pPr>
        <w:pStyle w:val="ManualNumPar1"/>
        <w:rPr>
          <w:noProof/>
        </w:rPr>
      </w:pPr>
      <w:r w:rsidRPr="004F5E59">
        <w:t>4.</w:t>
      </w:r>
      <w:r w:rsidRPr="004F5E59">
        <w:tab/>
      </w:r>
      <w:r w:rsidR="00851C9F" w:rsidRPr="00DF5C23">
        <w:rPr>
          <w:noProof/>
          <w:lang w:val="en-IE" w:eastAsia="fr-BE"/>
        </w:rPr>
        <w:t xml:space="preserve">The Commission is empowered to adopt delegated acts in accordance with Article 66 to amend paragraph 1 of this Article </w:t>
      </w:r>
      <w:r w:rsidR="00851C9F" w:rsidRPr="00DF5C23">
        <w:rPr>
          <w:noProof/>
        </w:rPr>
        <w:t>in light of technical and scientific progress</w:t>
      </w:r>
      <w:r w:rsidR="00851C9F" w:rsidRPr="00DF5C23">
        <w:rPr>
          <w:noProof/>
          <w:lang w:val="en-IE" w:eastAsia="fr-BE"/>
        </w:rPr>
        <w:t xml:space="preserve"> by </w:t>
      </w:r>
      <w:r w:rsidR="00970C61" w:rsidRPr="00DF5C23">
        <w:rPr>
          <w:noProof/>
          <w:lang w:val="en-IE" w:eastAsia="fr-BE"/>
        </w:rPr>
        <w:t>replacing the standard referred to</w:t>
      </w:r>
      <w:r w:rsidR="00970C61">
        <w:rPr>
          <w:noProof/>
          <w:lang w:val="en-IE" w:eastAsia="fr-BE"/>
        </w:rPr>
        <w:t xml:space="preserve"> in that paragraph</w:t>
      </w:r>
      <w:r w:rsidR="00970C61" w:rsidRPr="00DF5C23">
        <w:rPr>
          <w:noProof/>
          <w:lang w:val="en-IE" w:eastAsia="fr-BE"/>
        </w:rPr>
        <w:t xml:space="preserve"> or</w:t>
      </w:r>
      <w:r w:rsidR="00851C9F" w:rsidRPr="00DF5C23">
        <w:rPr>
          <w:noProof/>
          <w:lang w:val="en-IE" w:eastAsia="fr-BE"/>
        </w:rPr>
        <w:t xml:space="preserve"> adding European or international standards with which </w:t>
      </w:r>
      <w:r w:rsidR="00851C9F" w:rsidRPr="00DF5C23">
        <w:rPr>
          <w:noProof/>
        </w:rPr>
        <w:t xml:space="preserve">unique operator identifiers referred to in </w:t>
      </w:r>
      <w:r w:rsidR="00851C9F" w:rsidRPr="00DF5C23">
        <w:rPr>
          <w:noProof/>
          <w:lang w:val="en-IE"/>
        </w:rPr>
        <w:t>Annex III, points (g) and (h),</w:t>
      </w:r>
      <w:r w:rsidR="00851C9F" w:rsidRPr="00DF5C23">
        <w:rPr>
          <w:noProof/>
        </w:rPr>
        <w:t xml:space="preserve"> and unique facility identifiers referred to in </w:t>
      </w:r>
      <w:r w:rsidR="00851C9F" w:rsidRPr="00DF5C23">
        <w:rPr>
          <w:noProof/>
          <w:lang w:val="en-IE"/>
        </w:rPr>
        <w:t>Annex III, point (i),</w:t>
      </w:r>
      <w:r w:rsidR="00851C9F" w:rsidRPr="00DF5C23">
        <w:rPr>
          <w:noProof/>
        </w:rPr>
        <w:t xml:space="preserve"> </w:t>
      </w:r>
      <w:r w:rsidR="00851C9F" w:rsidRPr="00DF5C23">
        <w:rPr>
          <w:noProof/>
          <w:lang w:val="en-IE" w:eastAsia="en-GB"/>
        </w:rPr>
        <w:t>may comply for the purposes of meeting the conditions set out in this Article</w:t>
      </w:r>
      <w:r w:rsidR="00851C9F" w:rsidRPr="00DF5C23">
        <w:rPr>
          <w:noProof/>
        </w:rPr>
        <w:t>.</w:t>
      </w:r>
    </w:p>
    <w:p w14:paraId="2C3A56E7" w14:textId="77777777" w:rsidR="007A319D" w:rsidRPr="00DF5C23" w:rsidRDefault="007A319D" w:rsidP="007A319D">
      <w:pPr>
        <w:pStyle w:val="Titrearticle"/>
        <w:rPr>
          <w:noProof/>
          <w:lang w:val="en-IE"/>
        </w:rPr>
      </w:pPr>
      <w:r w:rsidRPr="00DF5C23">
        <w:rPr>
          <w:noProof/>
          <w:lang w:val="en-IE"/>
        </w:rPr>
        <w:t xml:space="preserve">Article </w:t>
      </w:r>
      <w:r w:rsidR="00D81E4D" w:rsidRPr="00DF5C23">
        <w:rPr>
          <w:noProof/>
          <w:lang w:val="en-IE"/>
        </w:rPr>
        <w:t>12</w:t>
      </w:r>
      <w:r w:rsidRPr="00DF5C23">
        <w:rPr>
          <w:noProof/>
          <w:lang w:val="en-IE"/>
        </w:rPr>
        <w:br/>
      </w:r>
      <w:r w:rsidR="00463675" w:rsidRPr="00DF5C23">
        <w:rPr>
          <w:noProof/>
          <w:lang w:val="en-IE"/>
        </w:rPr>
        <w:t xml:space="preserve">Product passport </w:t>
      </w:r>
      <w:r w:rsidRPr="00DF5C23">
        <w:rPr>
          <w:noProof/>
          <w:lang w:val="en-IE"/>
        </w:rPr>
        <w:t>registry</w:t>
      </w:r>
    </w:p>
    <w:p w14:paraId="2C3A56E8" w14:textId="0B9DDF82" w:rsidR="00D66868" w:rsidRPr="00DF5C23" w:rsidRDefault="004F5E59" w:rsidP="004F5E59">
      <w:pPr>
        <w:pStyle w:val="ManualNumPar1"/>
        <w:rPr>
          <w:noProof/>
          <w:lang w:val="en-IE" w:eastAsia="fr-BE"/>
        </w:rPr>
      </w:pPr>
      <w:r w:rsidRPr="004F5E59">
        <w:t>1.</w:t>
      </w:r>
      <w:r w:rsidRPr="004F5E59">
        <w:tab/>
      </w:r>
      <w:r w:rsidR="007A319D" w:rsidRPr="00DF5C23">
        <w:rPr>
          <w:noProof/>
          <w:lang w:val="en-IE" w:eastAsia="fr-BE"/>
        </w:rPr>
        <w:t xml:space="preserve">The Commission </w:t>
      </w:r>
      <w:r w:rsidR="00463675" w:rsidRPr="00DF5C23">
        <w:rPr>
          <w:noProof/>
          <w:lang w:val="en-IE" w:eastAsia="fr-BE"/>
        </w:rPr>
        <w:t xml:space="preserve">shall </w:t>
      </w:r>
      <w:r w:rsidR="007A319D" w:rsidRPr="00DF5C23">
        <w:rPr>
          <w:noProof/>
          <w:lang w:val="en-IE" w:eastAsia="fr-BE"/>
        </w:rPr>
        <w:t xml:space="preserve">set up and maintain a registry storing </w:t>
      </w:r>
      <w:r w:rsidR="00D66868" w:rsidRPr="00DF5C23">
        <w:rPr>
          <w:noProof/>
          <w:lang w:val="en-IE" w:eastAsia="fr-BE"/>
        </w:rPr>
        <w:t>information included in the product passports required by delegated acts adopted pursuant to Article 4.</w:t>
      </w:r>
    </w:p>
    <w:p w14:paraId="2C3A56E9" w14:textId="77777777" w:rsidR="007A319D" w:rsidRPr="00DF5C23" w:rsidRDefault="00D66868" w:rsidP="00E43373">
      <w:pPr>
        <w:pStyle w:val="Text1"/>
        <w:rPr>
          <w:noProof/>
          <w:lang w:val="en-IE" w:eastAsia="fr-BE"/>
        </w:rPr>
      </w:pPr>
      <w:r w:rsidRPr="00DF5C23">
        <w:rPr>
          <w:noProof/>
          <w:lang w:val="en-IE" w:eastAsia="fr-BE"/>
        </w:rPr>
        <w:t>The registry</w:t>
      </w:r>
      <w:r w:rsidR="00463675" w:rsidRPr="00DF5C23">
        <w:rPr>
          <w:noProof/>
          <w:lang w:val="en-IE" w:eastAsia="fr-BE"/>
        </w:rPr>
        <w:t xml:space="preserve"> referred to in the first subparagraph</w:t>
      </w:r>
      <w:r w:rsidRPr="00DF5C23">
        <w:rPr>
          <w:noProof/>
          <w:lang w:val="en-IE" w:eastAsia="fr-BE"/>
        </w:rPr>
        <w:t xml:space="preserve"> shall at least include a list </w:t>
      </w:r>
      <w:r w:rsidR="007A319D" w:rsidRPr="00DF5C23">
        <w:rPr>
          <w:noProof/>
          <w:lang w:val="en-IE" w:eastAsia="fr-BE"/>
        </w:rPr>
        <w:t xml:space="preserve">of </w:t>
      </w:r>
      <w:r w:rsidRPr="00DF5C23">
        <w:rPr>
          <w:noProof/>
          <w:lang w:val="en-IE" w:eastAsia="fr-BE"/>
        </w:rPr>
        <w:t xml:space="preserve">the </w:t>
      </w:r>
      <w:r w:rsidR="007A319D" w:rsidRPr="00DF5C23">
        <w:rPr>
          <w:noProof/>
          <w:lang w:val="en-IE" w:eastAsia="fr-BE"/>
        </w:rPr>
        <w:t xml:space="preserve">data carriers and unique </w:t>
      </w:r>
      <w:r w:rsidRPr="00DF5C23">
        <w:rPr>
          <w:noProof/>
          <w:lang w:val="en-IE" w:eastAsia="fr-BE"/>
        </w:rPr>
        <w:t xml:space="preserve">product </w:t>
      </w:r>
      <w:r w:rsidR="007A319D" w:rsidRPr="00DF5C23">
        <w:rPr>
          <w:noProof/>
          <w:lang w:val="en-IE" w:eastAsia="fr-BE"/>
        </w:rPr>
        <w:t xml:space="preserve">identifiers </w:t>
      </w:r>
      <w:r w:rsidRPr="00DF5C23">
        <w:rPr>
          <w:noProof/>
          <w:lang w:val="en-IE" w:eastAsia="fr-BE"/>
        </w:rPr>
        <w:t>referred to in Article 9(1)</w:t>
      </w:r>
      <w:r w:rsidR="007A319D" w:rsidRPr="00DF5C23">
        <w:rPr>
          <w:noProof/>
          <w:lang w:val="en-IE" w:eastAsia="fr-BE"/>
        </w:rPr>
        <w:t xml:space="preserve">. </w:t>
      </w:r>
    </w:p>
    <w:p w14:paraId="2C3A56EA" w14:textId="77777777" w:rsidR="007A319D" w:rsidRPr="00DF5C23" w:rsidRDefault="007A319D" w:rsidP="007A319D">
      <w:pPr>
        <w:pStyle w:val="Text1"/>
        <w:rPr>
          <w:noProof/>
          <w:lang w:val="en-IE" w:eastAsia="fr-BE"/>
        </w:rPr>
      </w:pPr>
      <w:r w:rsidRPr="00DF5C23">
        <w:rPr>
          <w:noProof/>
          <w:lang w:val="en-IE" w:eastAsia="fr-BE"/>
        </w:rPr>
        <w:t xml:space="preserve">The Commission shall ensure that the </w:t>
      </w:r>
      <w:r w:rsidR="000D00CD" w:rsidRPr="00DF5C23">
        <w:rPr>
          <w:noProof/>
          <w:lang w:val="en-IE" w:eastAsia="fr-BE"/>
        </w:rPr>
        <w:t>information</w:t>
      </w:r>
      <w:r w:rsidR="00D66868" w:rsidRPr="00DF5C23">
        <w:rPr>
          <w:noProof/>
          <w:lang w:val="en-IE" w:eastAsia="fr-BE"/>
        </w:rPr>
        <w:t xml:space="preserve"> stored in the registry</w:t>
      </w:r>
      <w:r w:rsidRPr="00DF5C23">
        <w:rPr>
          <w:noProof/>
          <w:lang w:val="en-IE" w:eastAsia="fr-BE"/>
        </w:rPr>
        <w:t xml:space="preserve"> </w:t>
      </w:r>
      <w:r w:rsidR="00463675" w:rsidRPr="00DF5C23">
        <w:rPr>
          <w:noProof/>
          <w:lang w:val="en-IE" w:eastAsia="fr-BE"/>
        </w:rPr>
        <w:t xml:space="preserve">referred to in the first subparagraph </w:t>
      </w:r>
      <w:r w:rsidRPr="00DF5C23">
        <w:rPr>
          <w:noProof/>
          <w:lang w:val="en-IE" w:eastAsia="fr-BE"/>
        </w:rPr>
        <w:t>is processed securely and in compliance with Union law</w:t>
      </w:r>
      <w:r w:rsidR="00425CAE" w:rsidRPr="00DF5C23">
        <w:rPr>
          <w:noProof/>
          <w:lang w:val="en-IE" w:eastAsia="fr-BE"/>
        </w:rPr>
        <w:t>, including applicable rules on the protection of personal data</w:t>
      </w:r>
      <w:r w:rsidRPr="00DF5C23">
        <w:rPr>
          <w:noProof/>
          <w:lang w:val="en-IE" w:eastAsia="fr-BE"/>
        </w:rPr>
        <w:t>.</w:t>
      </w:r>
    </w:p>
    <w:p w14:paraId="2C3A56EB" w14:textId="0A557609" w:rsidR="00791C74" w:rsidRPr="00DF5C23" w:rsidRDefault="004F5E59" w:rsidP="004F5E59">
      <w:pPr>
        <w:pStyle w:val="ManualNumPar1"/>
        <w:rPr>
          <w:noProof/>
          <w:lang w:val="en-IE"/>
        </w:rPr>
      </w:pPr>
      <w:r w:rsidRPr="004F5E59">
        <w:t>2.</w:t>
      </w:r>
      <w:r w:rsidRPr="004F5E59">
        <w:tab/>
      </w:r>
      <w:r w:rsidR="00851C9F" w:rsidRPr="00DF5C23">
        <w:rPr>
          <w:noProof/>
          <w:lang w:val="en-IE"/>
        </w:rPr>
        <w:t>The Commission shall,</w:t>
      </w:r>
      <w:r w:rsidR="00791C74" w:rsidRPr="00DF5C23">
        <w:rPr>
          <w:rFonts w:eastAsia="Times New Roman"/>
          <w:noProof/>
          <w:lang w:val="en-IE"/>
        </w:rPr>
        <w:t xml:space="preserve"> in the delegated acts adopted pursuant to Article 4</w:t>
      </w:r>
      <w:r w:rsidR="00851C9F" w:rsidRPr="00DF5C23">
        <w:rPr>
          <w:noProof/>
          <w:lang w:val="en-IE"/>
        </w:rPr>
        <w:t>,</w:t>
      </w:r>
      <w:r w:rsidR="00D66868" w:rsidRPr="00DF5C23">
        <w:rPr>
          <w:noProof/>
          <w:lang w:val="en-IE"/>
        </w:rPr>
        <w:t xml:space="preserve"> </w:t>
      </w:r>
      <w:r w:rsidR="00791C74" w:rsidRPr="00DF5C23">
        <w:rPr>
          <w:noProof/>
          <w:lang w:val="en-IE"/>
        </w:rPr>
        <w:t xml:space="preserve">specify </w:t>
      </w:r>
      <w:r w:rsidR="000D00CD" w:rsidRPr="00DF5C23">
        <w:rPr>
          <w:noProof/>
          <w:lang w:val="en-IE"/>
        </w:rPr>
        <w:t xml:space="preserve">the </w:t>
      </w:r>
      <w:r w:rsidR="00791C74" w:rsidRPr="00DF5C23">
        <w:rPr>
          <w:noProof/>
          <w:lang w:val="en-IE"/>
        </w:rPr>
        <w:t>information which</w:t>
      </w:r>
      <w:r w:rsidR="00D66868" w:rsidRPr="00DF5C23">
        <w:rPr>
          <w:noProof/>
          <w:lang w:val="en-IE"/>
        </w:rPr>
        <w:t xml:space="preserve">, in addition to being included in the product passport, shall be stored </w:t>
      </w:r>
      <w:r w:rsidR="00791C74" w:rsidRPr="00DF5C23">
        <w:rPr>
          <w:noProof/>
          <w:lang w:val="en-IE"/>
        </w:rPr>
        <w:t>in the registry referred to in paragraph 1</w:t>
      </w:r>
      <w:r w:rsidR="00851C9F" w:rsidRPr="00DF5C23">
        <w:rPr>
          <w:noProof/>
          <w:lang w:val="en-IE"/>
        </w:rPr>
        <w:t>, taking into account at least the following criteria:</w:t>
      </w:r>
    </w:p>
    <w:p w14:paraId="6D7B4FFD" w14:textId="37AD319F" w:rsidR="002C3751" w:rsidRPr="002C3751" w:rsidRDefault="004F5E59" w:rsidP="004F5E59">
      <w:pPr>
        <w:pStyle w:val="Point1"/>
        <w:rPr>
          <w:noProof/>
        </w:rPr>
      </w:pPr>
      <w:r w:rsidRPr="004F5E59">
        <w:t>(a)</w:t>
      </w:r>
      <w:r w:rsidRPr="004F5E59">
        <w:tab/>
      </w:r>
      <w:r w:rsidR="002C3751" w:rsidRPr="00C0635C">
        <w:rPr>
          <w:noProof/>
        </w:rPr>
        <w:t>the need to allow for the verification of the authenticity of the product passport;</w:t>
      </w:r>
    </w:p>
    <w:p w14:paraId="2C3A56EC" w14:textId="67E0D736" w:rsidR="00D66868" w:rsidRPr="00DF5C23" w:rsidRDefault="004F5E59" w:rsidP="004F5E59">
      <w:pPr>
        <w:pStyle w:val="Point1"/>
        <w:rPr>
          <w:noProof/>
        </w:rPr>
      </w:pPr>
      <w:r w:rsidRPr="004F5E59">
        <w:t>(b)</w:t>
      </w:r>
      <w:r w:rsidRPr="004F5E59">
        <w:tab/>
      </w:r>
      <w:r w:rsidR="00D66868" w:rsidRPr="00DF5C23">
        <w:rPr>
          <w:noProof/>
        </w:rPr>
        <w:t xml:space="preserve">the relevance of information for improving the efficiency and effectiveness of market surveillance </w:t>
      </w:r>
      <w:r w:rsidR="000D00CD" w:rsidRPr="00DF5C23">
        <w:rPr>
          <w:noProof/>
        </w:rPr>
        <w:t xml:space="preserve">checks </w:t>
      </w:r>
      <w:r w:rsidR="00D66868" w:rsidRPr="00DF5C23">
        <w:rPr>
          <w:noProof/>
        </w:rPr>
        <w:t>and customs controls</w:t>
      </w:r>
      <w:r w:rsidR="000A620A" w:rsidRPr="00DF5C23">
        <w:rPr>
          <w:noProof/>
        </w:rPr>
        <w:t xml:space="preserve"> in relation to products covered by delegated acts adopted pursuant to Article 4</w:t>
      </w:r>
      <w:r w:rsidR="00D66868" w:rsidRPr="00DF5C23">
        <w:rPr>
          <w:noProof/>
        </w:rPr>
        <w:t>;</w:t>
      </w:r>
    </w:p>
    <w:p w14:paraId="2C3A56ED" w14:textId="2039E3B2" w:rsidR="00791C74" w:rsidRPr="00DF5C23" w:rsidRDefault="004F5E59" w:rsidP="004F5E59">
      <w:pPr>
        <w:pStyle w:val="Point1"/>
        <w:rPr>
          <w:noProof/>
        </w:rPr>
      </w:pPr>
      <w:r w:rsidRPr="004F5E59">
        <w:t>(c)</w:t>
      </w:r>
      <w:r w:rsidRPr="004F5E59">
        <w:tab/>
      </w:r>
      <w:r w:rsidR="000A620A" w:rsidRPr="00DF5C23">
        <w:rPr>
          <w:noProof/>
        </w:rPr>
        <w:t>the need to avoid disproportionate administrative burden for economic operators.</w:t>
      </w:r>
    </w:p>
    <w:p w14:paraId="2C3A56EE" w14:textId="483B2652" w:rsidR="00C50CD9" w:rsidRPr="00DF5C23" w:rsidRDefault="004F5E59" w:rsidP="004F5E59">
      <w:pPr>
        <w:pStyle w:val="ManualNumPar1"/>
        <w:rPr>
          <w:noProof/>
          <w:lang w:val="en-IE" w:eastAsia="fr-BE"/>
        </w:rPr>
      </w:pPr>
      <w:r w:rsidRPr="004F5E59">
        <w:t>3.</w:t>
      </w:r>
      <w:r w:rsidRPr="004F5E59">
        <w:tab/>
      </w:r>
      <w:r w:rsidR="00C50CD9" w:rsidRPr="00DF5C23">
        <w:rPr>
          <w:noProof/>
          <w:lang w:val="en-IE"/>
        </w:rPr>
        <w:t>In relation to its responsibility to establish and manage the registry referred to in paragraph 1 and the processing of any personal data that might result from that activity, the Commission shall be regarded as controller as defined in Article 3, point (8), of Regulation (EU) 2018/1725.</w:t>
      </w:r>
    </w:p>
    <w:p w14:paraId="2C3A56EF" w14:textId="3AD2E8D6" w:rsidR="007A319D" w:rsidRPr="00DF5C23" w:rsidRDefault="004F5E59" w:rsidP="004F5E59">
      <w:pPr>
        <w:pStyle w:val="ManualNumPar1"/>
        <w:rPr>
          <w:noProof/>
          <w:lang w:val="en-IE" w:eastAsia="fr-BE"/>
        </w:rPr>
      </w:pPr>
      <w:r w:rsidRPr="004F5E59">
        <w:t>4.</w:t>
      </w:r>
      <w:r w:rsidRPr="004F5E59">
        <w:tab/>
      </w:r>
      <w:r w:rsidR="007A319D" w:rsidRPr="00DF5C23">
        <w:rPr>
          <w:noProof/>
          <w:lang w:val="en-IE" w:eastAsia="fr-BE"/>
        </w:rPr>
        <w:t xml:space="preserve">The economic operator placing the product on the market </w:t>
      </w:r>
      <w:r w:rsidR="00851C9F" w:rsidRPr="00DF5C23">
        <w:rPr>
          <w:noProof/>
          <w:lang w:val="en-IE" w:eastAsia="fr-BE"/>
        </w:rPr>
        <w:t>or putting it into service</w:t>
      </w:r>
      <w:r w:rsidR="007A319D" w:rsidRPr="00DF5C23">
        <w:rPr>
          <w:noProof/>
          <w:lang w:val="en-IE" w:eastAsia="fr-BE"/>
        </w:rPr>
        <w:t xml:space="preserve"> shall upload</w:t>
      </w:r>
      <w:r w:rsidR="00463675" w:rsidRPr="00DF5C23">
        <w:rPr>
          <w:noProof/>
          <w:lang w:val="en-IE" w:eastAsia="fr-BE"/>
        </w:rPr>
        <w:t>,</w:t>
      </w:r>
      <w:r w:rsidR="007A319D" w:rsidRPr="00DF5C23">
        <w:rPr>
          <w:noProof/>
          <w:lang w:val="en-IE" w:eastAsia="fr-BE"/>
        </w:rPr>
        <w:t xml:space="preserve"> in the </w:t>
      </w:r>
      <w:r w:rsidR="00463675" w:rsidRPr="00DF5C23">
        <w:rPr>
          <w:noProof/>
          <w:lang w:val="en-IE" w:eastAsia="fr-BE"/>
        </w:rPr>
        <w:t>registry referred to in paragraph 1,</w:t>
      </w:r>
      <w:r w:rsidR="007A319D" w:rsidRPr="00DF5C23">
        <w:rPr>
          <w:noProof/>
          <w:lang w:val="en-IE" w:eastAsia="fr-BE"/>
        </w:rPr>
        <w:t xml:space="preserve"> </w:t>
      </w:r>
      <w:r w:rsidR="000A620A" w:rsidRPr="00DF5C23">
        <w:rPr>
          <w:noProof/>
          <w:lang w:val="en-IE" w:eastAsia="fr-BE"/>
        </w:rPr>
        <w:t>the information</w:t>
      </w:r>
      <w:r w:rsidR="007A319D" w:rsidRPr="00DF5C23">
        <w:rPr>
          <w:noProof/>
          <w:lang w:val="en-IE" w:eastAsia="fr-BE"/>
        </w:rPr>
        <w:t xml:space="preserve"> </w:t>
      </w:r>
      <w:r w:rsidR="000D00CD" w:rsidRPr="00DF5C23">
        <w:rPr>
          <w:noProof/>
          <w:lang w:val="en-IE"/>
        </w:rPr>
        <w:t>referred to in paragraph 2</w:t>
      </w:r>
      <w:r w:rsidR="007A319D" w:rsidRPr="00DF5C23">
        <w:rPr>
          <w:noProof/>
          <w:lang w:val="en-IE" w:eastAsia="fr-BE"/>
        </w:rPr>
        <w:t xml:space="preserve">. </w:t>
      </w:r>
    </w:p>
    <w:p w14:paraId="2C3A56F0" w14:textId="67797D90" w:rsidR="00AF5E27" w:rsidRPr="00DF5C23" w:rsidRDefault="004F5E59" w:rsidP="004F5E59">
      <w:pPr>
        <w:pStyle w:val="ManualNumPar1"/>
        <w:rPr>
          <w:noProof/>
          <w:lang w:val="en-IE" w:eastAsia="fr-BE"/>
        </w:rPr>
      </w:pPr>
      <w:r w:rsidRPr="004F5E59">
        <w:t>5.</w:t>
      </w:r>
      <w:r w:rsidRPr="004F5E59">
        <w:tab/>
      </w:r>
      <w:r w:rsidR="00E67D8F" w:rsidRPr="00DF5C23">
        <w:rPr>
          <w:noProof/>
          <w:lang w:val="en-IE" w:eastAsia="fr-BE"/>
        </w:rPr>
        <w:t>The Commission, c</w:t>
      </w:r>
      <w:r w:rsidR="00AF5E27" w:rsidRPr="00DF5C23">
        <w:rPr>
          <w:noProof/>
          <w:lang w:val="en-IE" w:eastAsia="fr-BE"/>
        </w:rPr>
        <w:t>ompetent national authorities and customs authorities shall have access to the registry referred to in this Article</w:t>
      </w:r>
      <w:r w:rsidR="000135CF" w:rsidRPr="00DF5C23">
        <w:rPr>
          <w:noProof/>
          <w:lang w:val="en-IE" w:eastAsia="fr-BE"/>
        </w:rPr>
        <w:t xml:space="preserve"> for carrying out their duties pursuant to Union legislation</w:t>
      </w:r>
      <w:r w:rsidR="00AF5E27" w:rsidRPr="00DF5C23">
        <w:rPr>
          <w:noProof/>
          <w:lang w:val="en-IE" w:eastAsia="fr-BE"/>
        </w:rPr>
        <w:t xml:space="preserve">. </w:t>
      </w:r>
    </w:p>
    <w:p w14:paraId="2C3A56F1" w14:textId="77777777" w:rsidR="007A319D" w:rsidRPr="00DF5C23" w:rsidRDefault="007A319D" w:rsidP="007A319D">
      <w:pPr>
        <w:pStyle w:val="Titrearticle"/>
        <w:rPr>
          <w:noProof/>
          <w:lang w:val="en-IE"/>
        </w:rPr>
      </w:pPr>
      <w:r w:rsidRPr="00DF5C23">
        <w:rPr>
          <w:noProof/>
          <w:lang w:val="en-IE"/>
        </w:rPr>
        <w:t xml:space="preserve">Article </w:t>
      </w:r>
      <w:r w:rsidR="00D81E4D" w:rsidRPr="00DF5C23">
        <w:rPr>
          <w:noProof/>
          <w:lang w:val="en-IE"/>
        </w:rPr>
        <w:t>13</w:t>
      </w:r>
      <w:r w:rsidRPr="00DF5C23">
        <w:rPr>
          <w:noProof/>
          <w:lang w:val="en-IE"/>
        </w:rPr>
        <w:br/>
        <w:t xml:space="preserve">Customs controls </w:t>
      </w:r>
      <w:r w:rsidR="000D00CD" w:rsidRPr="00DF5C23">
        <w:rPr>
          <w:noProof/>
          <w:lang w:val="en-IE"/>
        </w:rPr>
        <w:t>relating</w:t>
      </w:r>
      <w:r w:rsidRPr="00DF5C23">
        <w:rPr>
          <w:noProof/>
          <w:lang w:val="en-IE"/>
        </w:rPr>
        <w:t xml:space="preserve"> to the product passport</w:t>
      </w:r>
    </w:p>
    <w:p w14:paraId="2C3A56F2" w14:textId="6B1A353E" w:rsidR="007A319D" w:rsidRPr="00DF5C23" w:rsidRDefault="004F5E59" w:rsidP="004F5E59">
      <w:pPr>
        <w:pStyle w:val="ManualNumPar1"/>
        <w:rPr>
          <w:noProof/>
          <w:lang w:val="en-IE" w:eastAsia="fr-BE"/>
        </w:rPr>
      </w:pPr>
      <w:r w:rsidRPr="004F5E59">
        <w:t>1.</w:t>
      </w:r>
      <w:r w:rsidRPr="004F5E59">
        <w:tab/>
      </w:r>
      <w:r w:rsidR="00F503DB" w:rsidRPr="00DF5C23">
        <w:rPr>
          <w:noProof/>
          <w:lang w:val="en-IE" w:eastAsia="fr-BE"/>
        </w:rPr>
        <w:t>T</w:t>
      </w:r>
      <w:r w:rsidR="00AF5E27" w:rsidRPr="00DF5C23">
        <w:rPr>
          <w:noProof/>
          <w:lang w:val="en-IE" w:eastAsia="fr-BE"/>
        </w:rPr>
        <w:t xml:space="preserve">he </w:t>
      </w:r>
      <w:r w:rsidR="004A163A" w:rsidRPr="00DF5C23">
        <w:rPr>
          <w:noProof/>
          <w:lang w:val="en-IE" w:eastAsia="fr-BE"/>
        </w:rPr>
        <w:t xml:space="preserve">Commission shall interconnect the </w:t>
      </w:r>
      <w:r w:rsidR="00AF5E27" w:rsidRPr="00DF5C23">
        <w:rPr>
          <w:noProof/>
          <w:lang w:val="en-IE" w:eastAsia="fr-BE"/>
        </w:rPr>
        <w:t>registry referred to in Article 12</w:t>
      </w:r>
      <w:r w:rsidR="002965F0" w:rsidRPr="00DF5C23">
        <w:rPr>
          <w:noProof/>
          <w:lang w:val="en-IE" w:eastAsia="fr-BE"/>
        </w:rPr>
        <w:t>(1)</w:t>
      </w:r>
      <w:r w:rsidR="00AF5E27" w:rsidRPr="00DF5C23">
        <w:rPr>
          <w:noProof/>
          <w:lang w:val="en-IE" w:eastAsia="fr-BE"/>
        </w:rPr>
        <w:t xml:space="preserve"> with the </w:t>
      </w:r>
      <w:r w:rsidR="00AF5E27" w:rsidRPr="00DF5C23">
        <w:rPr>
          <w:noProof/>
        </w:rPr>
        <w:t>EU Customs Single Window Certificates Exchange (EU CSW-CERTEX)</w:t>
      </w:r>
      <w:r w:rsidR="00AF5E27" w:rsidRPr="00DF5C23">
        <w:rPr>
          <w:noProof/>
          <w:lang w:val="en-IE" w:eastAsia="fr-BE"/>
        </w:rPr>
        <w:t xml:space="preserve">, thus enabling the </w:t>
      </w:r>
      <w:r w:rsidR="004A163A" w:rsidRPr="00DF5C23">
        <w:rPr>
          <w:noProof/>
          <w:lang w:val="en-IE" w:eastAsia="fr-BE"/>
        </w:rPr>
        <w:t xml:space="preserve">automated </w:t>
      </w:r>
      <w:r w:rsidR="00AF5E27" w:rsidRPr="00DF5C23">
        <w:rPr>
          <w:noProof/>
          <w:lang w:val="en-IE" w:eastAsia="fr-BE"/>
        </w:rPr>
        <w:t xml:space="preserve">exchange of information with the national customs systems </w:t>
      </w:r>
      <w:r w:rsidR="004A163A" w:rsidRPr="00DF5C23">
        <w:rPr>
          <w:noProof/>
          <w:lang w:val="en-IE" w:eastAsia="fr-BE"/>
        </w:rPr>
        <w:t>through</w:t>
      </w:r>
      <w:r w:rsidR="00AF5E27" w:rsidRPr="00DF5C23">
        <w:rPr>
          <w:noProof/>
          <w:lang w:val="en-IE" w:eastAsia="fr-BE"/>
        </w:rPr>
        <w:t xml:space="preserve"> </w:t>
      </w:r>
      <w:r w:rsidR="004A163A" w:rsidRPr="00DF5C23">
        <w:rPr>
          <w:noProof/>
          <w:lang w:val="en-IE" w:eastAsia="fr-BE"/>
        </w:rPr>
        <w:t xml:space="preserve">the EU </w:t>
      </w:r>
      <w:r w:rsidR="00607065" w:rsidRPr="00DF5C23">
        <w:rPr>
          <w:noProof/>
          <w:lang w:val="en-IE" w:eastAsia="fr-BE"/>
        </w:rPr>
        <w:t>Single Window Environment for Customs established by Regulation (EU)</w:t>
      </w:r>
      <w:r w:rsidR="00ED32EE" w:rsidRPr="00DF5C23">
        <w:rPr>
          <w:noProof/>
        </w:rPr>
        <w:t>…/…</w:t>
      </w:r>
      <w:r w:rsidR="00ED32EE" w:rsidRPr="00DF5C23">
        <w:rPr>
          <w:noProof/>
          <w:lang w:val="en-IE" w:eastAsia="fr-BE"/>
        </w:rPr>
        <w:t>.</w:t>
      </w:r>
      <w:r w:rsidR="004A163A" w:rsidRPr="00DF5C23">
        <w:rPr>
          <w:noProof/>
          <w:lang w:val="en-IE" w:eastAsia="fr-BE"/>
        </w:rPr>
        <w:t>.</w:t>
      </w:r>
    </w:p>
    <w:p w14:paraId="2C3A56F3" w14:textId="77777777" w:rsidR="00F503DB" w:rsidRPr="00DF5C23" w:rsidRDefault="00F503DB" w:rsidP="002965F0">
      <w:pPr>
        <w:pStyle w:val="Text1"/>
        <w:rPr>
          <w:noProof/>
        </w:rPr>
      </w:pPr>
      <w:r w:rsidRPr="00DF5C23">
        <w:rPr>
          <w:noProof/>
        </w:rPr>
        <w:t xml:space="preserve">The Commission shall adopt an implementing act </w:t>
      </w:r>
      <w:r w:rsidRPr="00DF5C23">
        <w:rPr>
          <w:noProof/>
          <w:lang w:val="en-IE" w:eastAsia="fr-BE"/>
        </w:rPr>
        <w:t>specifying the details of the implementation arrangements of the interconnection referred to in the first subparagraph</w:t>
      </w:r>
      <w:r w:rsidRPr="00DF5C23">
        <w:rPr>
          <w:noProof/>
        </w:rPr>
        <w:t>.</w:t>
      </w:r>
    </w:p>
    <w:p w14:paraId="2C3A56F4" w14:textId="77777777" w:rsidR="00F503DB" w:rsidRPr="00DF5C23" w:rsidRDefault="002965F0" w:rsidP="00F503DB">
      <w:pPr>
        <w:pStyle w:val="Text1"/>
        <w:rPr>
          <w:noProof/>
        </w:rPr>
      </w:pPr>
      <w:r w:rsidRPr="00DF5C23">
        <w:rPr>
          <w:noProof/>
        </w:rPr>
        <w:t>This</w:t>
      </w:r>
      <w:r w:rsidR="00F503DB" w:rsidRPr="00DF5C23">
        <w:rPr>
          <w:noProof/>
        </w:rPr>
        <w:t xml:space="preserve"> implementing act shall be adopted in accordance with the examination procedure referred to in Article 67(3).</w:t>
      </w:r>
    </w:p>
    <w:p w14:paraId="2C3A56F5" w14:textId="77777777" w:rsidR="00F503DB" w:rsidRPr="00DF5C23" w:rsidRDefault="002965F0" w:rsidP="00F503DB">
      <w:pPr>
        <w:pStyle w:val="Text1"/>
        <w:rPr>
          <w:noProof/>
          <w:lang w:val="en-IE" w:eastAsia="fr-BE"/>
        </w:rPr>
      </w:pPr>
      <w:r w:rsidRPr="00DF5C23">
        <w:rPr>
          <w:noProof/>
          <w:lang w:val="en-IE" w:eastAsia="fr-BE"/>
        </w:rPr>
        <w:t>The</w:t>
      </w:r>
      <w:r w:rsidR="004A163A" w:rsidRPr="00DF5C23">
        <w:rPr>
          <w:noProof/>
          <w:lang w:val="en-IE" w:eastAsia="fr-BE"/>
        </w:rPr>
        <w:t xml:space="preserve"> intercon</w:t>
      </w:r>
      <w:r w:rsidR="00F503DB" w:rsidRPr="00DF5C23">
        <w:rPr>
          <w:noProof/>
          <w:lang w:val="en-IE" w:eastAsia="fr-BE"/>
        </w:rPr>
        <w:t>n</w:t>
      </w:r>
      <w:r w:rsidR="004A163A" w:rsidRPr="00DF5C23">
        <w:rPr>
          <w:noProof/>
          <w:lang w:val="en-IE" w:eastAsia="fr-BE"/>
        </w:rPr>
        <w:t xml:space="preserve">ection </w:t>
      </w:r>
      <w:r w:rsidRPr="00DF5C23">
        <w:rPr>
          <w:noProof/>
          <w:lang w:val="en-IE" w:eastAsia="fr-BE"/>
        </w:rPr>
        <w:t xml:space="preserve">referred to in the first subparagraph </w:t>
      </w:r>
      <w:r w:rsidR="004A163A" w:rsidRPr="00DF5C23">
        <w:rPr>
          <w:noProof/>
          <w:lang w:val="en-IE" w:eastAsia="fr-BE"/>
        </w:rPr>
        <w:t xml:space="preserve">shall be in place within four years from the date of adoption of </w:t>
      </w:r>
      <w:r w:rsidR="00F503DB" w:rsidRPr="00DF5C23">
        <w:rPr>
          <w:noProof/>
          <w:lang w:val="en-IE" w:eastAsia="fr-BE"/>
        </w:rPr>
        <w:t>the implementing act referred to in the second subparagraph</w:t>
      </w:r>
      <w:r w:rsidR="004A163A" w:rsidRPr="00DF5C23">
        <w:rPr>
          <w:noProof/>
          <w:lang w:val="en-IE" w:eastAsia="fr-BE"/>
        </w:rPr>
        <w:t xml:space="preserve">. </w:t>
      </w:r>
    </w:p>
    <w:p w14:paraId="2C3A56F6" w14:textId="77777777" w:rsidR="004A163A" w:rsidRPr="00DF5C23" w:rsidRDefault="00AF3868" w:rsidP="00F503DB">
      <w:pPr>
        <w:pStyle w:val="Text1"/>
        <w:rPr>
          <w:noProof/>
          <w:lang w:val="en-IE" w:eastAsia="fr-BE"/>
        </w:rPr>
      </w:pPr>
      <w:r w:rsidRPr="00DF5C23">
        <w:rPr>
          <w:noProof/>
          <w:lang w:val="en-IE" w:eastAsia="fr-BE"/>
        </w:rPr>
        <w:t>P</w:t>
      </w:r>
      <w:r w:rsidR="004A163A" w:rsidRPr="00DF5C23">
        <w:rPr>
          <w:noProof/>
          <w:lang w:val="en-IE" w:eastAsia="fr-BE"/>
        </w:rPr>
        <w:t>aragraphs</w:t>
      </w:r>
      <w:r w:rsidRPr="00DF5C23">
        <w:rPr>
          <w:noProof/>
          <w:lang w:val="en-IE" w:eastAsia="fr-BE"/>
        </w:rPr>
        <w:t xml:space="preserve"> 3 to 6</w:t>
      </w:r>
      <w:r w:rsidR="004A163A" w:rsidRPr="00DF5C23">
        <w:rPr>
          <w:noProof/>
          <w:lang w:val="en-IE" w:eastAsia="fr-BE"/>
        </w:rPr>
        <w:t xml:space="preserve"> </w:t>
      </w:r>
      <w:r w:rsidRPr="00DF5C23">
        <w:rPr>
          <w:noProof/>
          <w:lang w:val="en-IE" w:eastAsia="fr-BE"/>
        </w:rPr>
        <w:t xml:space="preserve">of </w:t>
      </w:r>
      <w:r w:rsidR="004A163A" w:rsidRPr="00DF5C23">
        <w:rPr>
          <w:noProof/>
          <w:lang w:val="en-IE" w:eastAsia="fr-BE"/>
        </w:rPr>
        <w:t xml:space="preserve">this Article shall apply as from the moment the </w:t>
      </w:r>
      <w:r w:rsidR="00F503DB" w:rsidRPr="00DF5C23">
        <w:rPr>
          <w:noProof/>
          <w:lang w:val="en-IE" w:eastAsia="fr-BE"/>
        </w:rPr>
        <w:t xml:space="preserve">interconnection </w:t>
      </w:r>
      <w:r w:rsidR="004A163A" w:rsidRPr="00DF5C23">
        <w:rPr>
          <w:noProof/>
          <w:lang w:val="en-IE" w:eastAsia="fr-BE"/>
        </w:rPr>
        <w:t xml:space="preserve">is in place. </w:t>
      </w:r>
    </w:p>
    <w:p w14:paraId="2C3A56F7" w14:textId="4792F051" w:rsidR="000A620A" w:rsidRPr="00DF5C23" w:rsidRDefault="004F5E59" w:rsidP="004F5E59">
      <w:pPr>
        <w:pStyle w:val="ManualNumPar1"/>
        <w:rPr>
          <w:noProof/>
          <w:lang w:val="en-IE" w:eastAsia="fr-BE"/>
        </w:rPr>
      </w:pPr>
      <w:r w:rsidRPr="004F5E59">
        <w:t>2.</w:t>
      </w:r>
      <w:r w:rsidRPr="004F5E59">
        <w:tab/>
      </w:r>
      <w:r w:rsidR="000A620A" w:rsidRPr="00DF5C23">
        <w:rPr>
          <w:noProof/>
          <w:lang w:val="en-IE" w:eastAsia="fr-BE"/>
        </w:rPr>
        <w:t>Declarants as defined in Article 5</w:t>
      </w:r>
      <w:r w:rsidR="00ED32EE" w:rsidRPr="00DF5C23">
        <w:rPr>
          <w:noProof/>
          <w:lang w:val="en-IE" w:eastAsia="fr-BE"/>
        </w:rPr>
        <w:t xml:space="preserve">, point </w:t>
      </w:r>
      <w:r w:rsidR="00607065" w:rsidRPr="00DF5C23">
        <w:rPr>
          <w:noProof/>
          <w:lang w:val="en-IE" w:eastAsia="fr-BE"/>
        </w:rPr>
        <w:t>(</w:t>
      </w:r>
      <w:r w:rsidR="00ED32EE" w:rsidRPr="00DF5C23">
        <w:rPr>
          <w:noProof/>
          <w:lang w:val="en-IE" w:eastAsia="fr-BE"/>
        </w:rPr>
        <w:t>15</w:t>
      </w:r>
      <w:r w:rsidR="00607065" w:rsidRPr="00DF5C23">
        <w:rPr>
          <w:noProof/>
          <w:lang w:val="en-IE" w:eastAsia="fr-BE"/>
        </w:rPr>
        <w:t>)</w:t>
      </w:r>
      <w:r w:rsidR="00ED32EE" w:rsidRPr="00DF5C23">
        <w:rPr>
          <w:noProof/>
          <w:lang w:val="en-IE" w:eastAsia="fr-BE"/>
        </w:rPr>
        <w:t>,</w:t>
      </w:r>
      <w:r w:rsidR="000A620A" w:rsidRPr="00DF5C23">
        <w:rPr>
          <w:noProof/>
          <w:lang w:val="en-IE" w:eastAsia="fr-BE"/>
        </w:rPr>
        <w:t xml:space="preserve"> of Regulation (EU) 952/2013 </w:t>
      </w:r>
      <w:r w:rsidR="004E63FB" w:rsidRPr="00DF5C23">
        <w:rPr>
          <w:noProof/>
          <w:lang w:val="en-IE" w:eastAsia="fr-BE"/>
        </w:rPr>
        <w:t>shall include the unique product identifier referred to in Article 9(1), point (a)</w:t>
      </w:r>
      <w:r w:rsidR="00607065" w:rsidRPr="00DF5C23">
        <w:rPr>
          <w:noProof/>
          <w:lang w:val="en-IE" w:eastAsia="fr-BE"/>
        </w:rPr>
        <w:t>,</w:t>
      </w:r>
      <w:r w:rsidR="004E63FB" w:rsidRPr="00DF5C23">
        <w:rPr>
          <w:noProof/>
          <w:lang w:val="en-IE" w:eastAsia="fr-BE"/>
        </w:rPr>
        <w:t xml:space="preserve"> in </w:t>
      </w:r>
      <w:r w:rsidR="00ED32EE" w:rsidRPr="00DF5C23">
        <w:rPr>
          <w:noProof/>
          <w:lang w:val="en-IE" w:eastAsia="fr-BE"/>
        </w:rPr>
        <w:t>the</w:t>
      </w:r>
      <w:r w:rsidR="004E63FB" w:rsidRPr="00DF5C23">
        <w:rPr>
          <w:noProof/>
          <w:lang w:val="en-IE" w:eastAsia="fr-BE"/>
        </w:rPr>
        <w:t xml:space="preserve"> customs declaration for release for free circulation of a</w:t>
      </w:r>
      <w:r w:rsidR="00ED32EE" w:rsidRPr="00DF5C23">
        <w:rPr>
          <w:noProof/>
          <w:lang w:val="en-IE" w:eastAsia="fr-BE"/>
        </w:rPr>
        <w:t>ny</w:t>
      </w:r>
      <w:r w:rsidR="004E63FB" w:rsidRPr="00DF5C23">
        <w:rPr>
          <w:noProof/>
          <w:lang w:val="en-IE" w:eastAsia="fr-BE"/>
        </w:rPr>
        <w:t xml:space="preserve"> product covered by a delegated act adopted pursuant </w:t>
      </w:r>
      <w:r w:rsidR="00ED32EE" w:rsidRPr="00DF5C23">
        <w:rPr>
          <w:noProof/>
          <w:lang w:val="en-IE" w:eastAsia="fr-BE"/>
        </w:rPr>
        <w:t xml:space="preserve">to </w:t>
      </w:r>
      <w:r w:rsidR="004E63FB" w:rsidRPr="00DF5C23">
        <w:rPr>
          <w:noProof/>
          <w:lang w:val="en-IE" w:eastAsia="fr-BE"/>
        </w:rPr>
        <w:t>Article 4.</w:t>
      </w:r>
    </w:p>
    <w:p w14:paraId="2C3A56F8" w14:textId="77777777" w:rsidR="00607065" w:rsidRPr="00DF5C23" w:rsidRDefault="00607065" w:rsidP="005A5D00">
      <w:pPr>
        <w:pStyle w:val="Text1"/>
        <w:rPr>
          <w:noProof/>
          <w:lang w:val="en-IE" w:eastAsia="fr-BE"/>
        </w:rPr>
      </w:pPr>
      <w:r w:rsidRPr="00DF5C23">
        <w:rPr>
          <w:noProof/>
          <w:lang w:val="en-IE" w:eastAsia="fr-BE"/>
        </w:rPr>
        <w:t xml:space="preserve">This paragraph shall apply from the moment the registry referred to in Article 12(1) is in place. </w:t>
      </w:r>
    </w:p>
    <w:p w14:paraId="2C3A56F9" w14:textId="311D2EA3" w:rsidR="004E63FB" w:rsidRPr="00DF5C23" w:rsidRDefault="004F5E59" w:rsidP="004F5E59">
      <w:pPr>
        <w:pStyle w:val="ManualNumPar1"/>
        <w:rPr>
          <w:noProof/>
          <w:lang w:val="en-IE" w:eastAsia="fr-BE"/>
        </w:rPr>
      </w:pPr>
      <w:r w:rsidRPr="004F5E59">
        <w:t>3.</w:t>
      </w:r>
      <w:r w:rsidRPr="004F5E59">
        <w:tab/>
      </w:r>
      <w:r w:rsidR="00ED32EE" w:rsidRPr="00DF5C23">
        <w:rPr>
          <w:noProof/>
          <w:lang w:val="en-IE" w:eastAsia="fr-BE"/>
        </w:rPr>
        <w:t xml:space="preserve">Before allowing the release for free circulation, customs authorities shall verify </w:t>
      </w:r>
      <w:r w:rsidR="000C1779" w:rsidRPr="00DF5C23">
        <w:rPr>
          <w:noProof/>
          <w:lang w:val="en-IE" w:eastAsia="fr-BE"/>
        </w:rPr>
        <w:t>whether</w:t>
      </w:r>
      <w:r w:rsidR="00ED32EE" w:rsidRPr="00DF5C23">
        <w:rPr>
          <w:noProof/>
          <w:lang w:val="en-IE" w:eastAsia="fr-BE"/>
        </w:rPr>
        <w:t xml:space="preserve"> the unique product identifier indicated by the declarant in accordance with paragraph 2</w:t>
      </w:r>
      <w:r w:rsidR="004001AA" w:rsidRPr="00DF5C23">
        <w:rPr>
          <w:noProof/>
          <w:lang w:val="en-IE" w:eastAsia="fr-BE"/>
        </w:rPr>
        <w:t xml:space="preserve"> </w:t>
      </w:r>
      <w:r w:rsidR="004E63FB" w:rsidRPr="00DF5C23">
        <w:rPr>
          <w:noProof/>
          <w:lang w:val="en-IE" w:eastAsia="fr-BE"/>
        </w:rPr>
        <w:t xml:space="preserve">matches a unique product identifier </w:t>
      </w:r>
      <w:r w:rsidR="000C1779" w:rsidRPr="00DF5C23">
        <w:rPr>
          <w:noProof/>
          <w:lang w:val="en-IE" w:eastAsia="fr-BE"/>
        </w:rPr>
        <w:t>included in the registry referred to in Article 12(1).</w:t>
      </w:r>
      <w:r w:rsidR="004E63FB" w:rsidRPr="00DF5C23">
        <w:rPr>
          <w:noProof/>
          <w:lang w:val="en-IE" w:eastAsia="fr-BE"/>
        </w:rPr>
        <w:t xml:space="preserve">  </w:t>
      </w:r>
    </w:p>
    <w:p w14:paraId="2C3A56FA" w14:textId="0122DA4B" w:rsidR="004001AA" w:rsidRPr="00DF5C23" w:rsidDel="00DA704C" w:rsidRDefault="004F5E59" w:rsidP="004F5E59">
      <w:pPr>
        <w:pStyle w:val="ManualNumPar1"/>
        <w:rPr>
          <w:noProof/>
          <w:lang w:val="en-IE" w:eastAsia="fr-BE"/>
        </w:rPr>
      </w:pPr>
      <w:r w:rsidRPr="004F5E59">
        <w:t>4.</w:t>
      </w:r>
      <w:r w:rsidRPr="004F5E59">
        <w:tab/>
      </w:r>
      <w:r w:rsidR="004001AA" w:rsidRPr="00DF5C23">
        <w:rPr>
          <w:noProof/>
          <w:lang w:val="en-IE" w:eastAsia="fr-BE"/>
        </w:rPr>
        <w:t xml:space="preserve">Where information included in the product passport is also stored in the </w:t>
      </w:r>
      <w:r w:rsidR="00463675" w:rsidRPr="00DF5C23">
        <w:rPr>
          <w:noProof/>
          <w:lang w:val="en-IE" w:eastAsia="fr-BE"/>
        </w:rPr>
        <w:t>registry referred to in Article 12(1)</w:t>
      </w:r>
      <w:r w:rsidR="004001AA" w:rsidRPr="00DF5C23">
        <w:rPr>
          <w:noProof/>
          <w:lang w:val="en-IE" w:eastAsia="fr-BE"/>
        </w:rPr>
        <w:t xml:space="preserve">, the Commission may specify, in the delegated acts </w:t>
      </w:r>
      <w:r w:rsidR="00607065" w:rsidRPr="00DF5C23">
        <w:rPr>
          <w:noProof/>
          <w:lang w:val="en-IE" w:eastAsia="fr-BE"/>
        </w:rPr>
        <w:t>adopted pursuant to</w:t>
      </w:r>
      <w:r w:rsidR="004001AA" w:rsidRPr="00DF5C23">
        <w:rPr>
          <w:noProof/>
          <w:lang w:val="en-IE" w:eastAsia="fr-BE"/>
        </w:rPr>
        <w:t xml:space="preserve"> Article 4, that customs authorities shall, in addition to the verification referred to in paragraph 3</w:t>
      </w:r>
      <w:r w:rsidR="00607065" w:rsidRPr="00DF5C23">
        <w:rPr>
          <w:noProof/>
          <w:lang w:val="en-IE" w:eastAsia="fr-BE"/>
        </w:rPr>
        <w:t xml:space="preserve"> of this Article</w:t>
      </w:r>
      <w:r w:rsidR="004001AA" w:rsidRPr="00DF5C23">
        <w:rPr>
          <w:noProof/>
          <w:lang w:val="en-IE" w:eastAsia="fr-BE"/>
        </w:rPr>
        <w:t xml:space="preserve">, verify the </w:t>
      </w:r>
      <w:r w:rsidR="0051338E" w:rsidRPr="00DF5C23">
        <w:rPr>
          <w:noProof/>
          <w:lang w:val="en-IE" w:eastAsia="fr-BE"/>
        </w:rPr>
        <w:t xml:space="preserve">consistency </w:t>
      </w:r>
      <w:r w:rsidR="004001AA" w:rsidRPr="00DF5C23">
        <w:rPr>
          <w:noProof/>
          <w:lang w:val="en-IE" w:eastAsia="fr-BE"/>
        </w:rPr>
        <w:t xml:space="preserve">between </w:t>
      </w:r>
      <w:r w:rsidR="00607065" w:rsidRPr="00DF5C23">
        <w:rPr>
          <w:noProof/>
          <w:lang w:val="en-IE" w:eastAsia="fr-BE"/>
        </w:rPr>
        <w:t xml:space="preserve">the </w:t>
      </w:r>
      <w:r w:rsidR="00DA704C" w:rsidRPr="00DF5C23">
        <w:rPr>
          <w:noProof/>
          <w:lang w:val="en-IE" w:eastAsia="fr-BE"/>
        </w:rPr>
        <w:t xml:space="preserve">information stored in the </w:t>
      </w:r>
      <w:r w:rsidR="004001AA" w:rsidRPr="00DF5C23">
        <w:rPr>
          <w:noProof/>
          <w:lang w:val="en-IE" w:eastAsia="fr-BE"/>
        </w:rPr>
        <w:t>registry and</w:t>
      </w:r>
      <w:r w:rsidR="00DA704C" w:rsidRPr="00DF5C23">
        <w:rPr>
          <w:noProof/>
          <w:lang w:val="en-IE" w:eastAsia="fr-BE"/>
        </w:rPr>
        <w:t xml:space="preserve"> the</w:t>
      </w:r>
      <w:r w:rsidR="004001AA" w:rsidRPr="00DF5C23">
        <w:rPr>
          <w:noProof/>
          <w:lang w:val="en-IE" w:eastAsia="fr-BE"/>
        </w:rPr>
        <w:t xml:space="preserve"> customs declaration before allowing the release for free circulation</w:t>
      </w:r>
      <w:r w:rsidR="00DA704C" w:rsidRPr="00DF5C23">
        <w:rPr>
          <w:noProof/>
          <w:lang w:val="en-IE" w:eastAsia="fr-BE"/>
        </w:rPr>
        <w:t xml:space="preserve">. </w:t>
      </w:r>
      <w:r w:rsidR="00607065" w:rsidRPr="00DF5C23">
        <w:rPr>
          <w:noProof/>
          <w:lang w:val="en-IE" w:eastAsia="fr-BE"/>
        </w:rPr>
        <w:t xml:space="preserve">In such case, </w:t>
      </w:r>
      <w:r w:rsidR="00607065" w:rsidRPr="00DF5C23">
        <w:rPr>
          <w:noProof/>
          <w:lang w:val="en-IE"/>
        </w:rPr>
        <w:t xml:space="preserve">the Commission shall take </w:t>
      </w:r>
      <w:r w:rsidR="0046349F" w:rsidRPr="00DF5C23">
        <w:rPr>
          <w:noProof/>
          <w:lang w:val="en-IE"/>
        </w:rPr>
        <w:t xml:space="preserve">into </w:t>
      </w:r>
      <w:r w:rsidR="00607065" w:rsidRPr="00DF5C23">
        <w:rPr>
          <w:noProof/>
          <w:lang w:val="en-IE"/>
        </w:rPr>
        <w:t>account at least the following criteria:</w:t>
      </w:r>
    </w:p>
    <w:p w14:paraId="2C3A56FB" w14:textId="2F6CEF3E" w:rsidR="004E63FB" w:rsidRPr="00DF5C23" w:rsidRDefault="004F5E59" w:rsidP="004F5E59">
      <w:pPr>
        <w:pStyle w:val="Point1"/>
        <w:rPr>
          <w:noProof/>
        </w:rPr>
      </w:pPr>
      <w:r w:rsidRPr="004F5E59">
        <w:t>(a)</w:t>
      </w:r>
      <w:r w:rsidRPr="004F5E59">
        <w:tab/>
      </w:r>
      <w:r w:rsidR="004E63FB" w:rsidRPr="00DF5C23">
        <w:rPr>
          <w:noProof/>
        </w:rPr>
        <w:t xml:space="preserve">the </w:t>
      </w:r>
      <w:r w:rsidR="001307F8" w:rsidRPr="00DF5C23">
        <w:rPr>
          <w:noProof/>
        </w:rPr>
        <w:t>need to improve</w:t>
      </w:r>
      <w:r w:rsidR="004E63FB" w:rsidRPr="00DF5C23">
        <w:rPr>
          <w:noProof/>
        </w:rPr>
        <w:t xml:space="preserve"> </w:t>
      </w:r>
      <w:r w:rsidR="001307F8" w:rsidRPr="00DF5C23">
        <w:rPr>
          <w:noProof/>
        </w:rPr>
        <w:t>compliance of product</w:t>
      </w:r>
      <w:r w:rsidR="0046349F" w:rsidRPr="00DF5C23">
        <w:rPr>
          <w:noProof/>
        </w:rPr>
        <w:t>s</w:t>
      </w:r>
      <w:r w:rsidR="001307F8" w:rsidRPr="00DF5C23">
        <w:rPr>
          <w:noProof/>
        </w:rPr>
        <w:t xml:space="preserve"> placed on the Union market with ecodesign requirements</w:t>
      </w:r>
      <w:r w:rsidR="004E63FB" w:rsidRPr="00DF5C23">
        <w:rPr>
          <w:noProof/>
        </w:rPr>
        <w:t>;</w:t>
      </w:r>
    </w:p>
    <w:p w14:paraId="2C3A56FC" w14:textId="543FD220" w:rsidR="004E63FB" w:rsidRPr="00DF5C23" w:rsidRDefault="004F5E59" w:rsidP="004F5E59">
      <w:pPr>
        <w:pStyle w:val="Point1"/>
        <w:rPr>
          <w:noProof/>
        </w:rPr>
      </w:pPr>
      <w:r w:rsidRPr="004F5E59">
        <w:t>(b)</w:t>
      </w:r>
      <w:r w:rsidRPr="004F5E59">
        <w:tab/>
      </w:r>
      <w:r w:rsidR="004E63FB" w:rsidRPr="00DF5C23">
        <w:rPr>
          <w:noProof/>
        </w:rPr>
        <w:t xml:space="preserve">the need to avoid disproportionate burden for </w:t>
      </w:r>
      <w:r w:rsidR="001307F8" w:rsidRPr="00DF5C23">
        <w:rPr>
          <w:noProof/>
        </w:rPr>
        <w:t>customs authorities</w:t>
      </w:r>
      <w:r w:rsidR="004E63FB" w:rsidRPr="00DF5C23">
        <w:rPr>
          <w:noProof/>
        </w:rPr>
        <w:t>.</w:t>
      </w:r>
    </w:p>
    <w:p w14:paraId="2C3A56FD" w14:textId="77777777" w:rsidR="00E67D8F" w:rsidRPr="00DF5C23" w:rsidRDefault="00E67D8F" w:rsidP="00E67D8F">
      <w:pPr>
        <w:pStyle w:val="Text1"/>
        <w:rPr>
          <w:noProof/>
          <w:lang w:val="en-IE" w:eastAsia="fr-BE"/>
        </w:rPr>
      </w:pPr>
      <w:r w:rsidRPr="00DF5C23">
        <w:rPr>
          <w:noProof/>
          <w:lang w:val="en-IE" w:eastAsia="fr-BE"/>
        </w:rPr>
        <w:t>Where customs authorities establish further to the verification laid down in this paragraph that there are discrepancies between the information stored in the registry and the customs declaration, customs authorities shall refuse the release of that product for free circulation. Customs authorities may take any other actions they deem appropriate</w:t>
      </w:r>
      <w:r w:rsidR="000135CF" w:rsidRPr="00DF5C23">
        <w:rPr>
          <w:noProof/>
          <w:lang w:val="en-IE" w:eastAsia="fr-BE"/>
        </w:rPr>
        <w:t xml:space="preserve"> in accordance with customs legislation</w:t>
      </w:r>
      <w:r w:rsidRPr="00DF5C23">
        <w:rPr>
          <w:noProof/>
          <w:lang w:val="en-IE" w:eastAsia="fr-BE"/>
        </w:rPr>
        <w:t xml:space="preserve">, </w:t>
      </w:r>
      <w:r w:rsidR="000135CF" w:rsidRPr="00DF5C23">
        <w:rPr>
          <w:noProof/>
          <w:lang w:val="en-IE" w:eastAsia="fr-BE"/>
        </w:rPr>
        <w:t xml:space="preserve">and also </w:t>
      </w:r>
      <w:r w:rsidRPr="00DF5C23">
        <w:rPr>
          <w:noProof/>
          <w:lang w:val="en-IE" w:eastAsia="fr-BE"/>
        </w:rPr>
        <w:t xml:space="preserve">registering the refusal in the registry referred to in Article 12(1) and notifying competent </w:t>
      </w:r>
      <w:r w:rsidR="000135CF" w:rsidRPr="00DF5C23">
        <w:rPr>
          <w:noProof/>
          <w:lang w:val="en-IE" w:eastAsia="fr-BE"/>
        </w:rPr>
        <w:t xml:space="preserve">national </w:t>
      </w:r>
      <w:r w:rsidRPr="00DF5C23">
        <w:rPr>
          <w:noProof/>
          <w:lang w:val="en-IE" w:eastAsia="fr-BE"/>
        </w:rPr>
        <w:t>authorities of the refusal.</w:t>
      </w:r>
    </w:p>
    <w:p w14:paraId="2C3A56FE" w14:textId="77777777" w:rsidR="00D86178" w:rsidRPr="00DF5C23" w:rsidRDefault="00E67D8F" w:rsidP="00E67D8F">
      <w:pPr>
        <w:pStyle w:val="Text1"/>
        <w:rPr>
          <w:noProof/>
          <w:lang w:val="en-IE" w:eastAsia="fr-BE"/>
        </w:rPr>
      </w:pPr>
      <w:r w:rsidRPr="00DF5C23">
        <w:rPr>
          <w:noProof/>
          <w:lang w:val="en-IE" w:eastAsia="fr-BE"/>
        </w:rPr>
        <w:t>The release for free circulation shall not be deemed to be proof of conformity with Union law.</w:t>
      </w:r>
    </w:p>
    <w:p w14:paraId="2C3A56FF" w14:textId="30A565D1" w:rsidR="00DA704C" w:rsidRPr="00DF5C23" w:rsidRDefault="004F5E59" w:rsidP="004F5E59">
      <w:pPr>
        <w:pStyle w:val="ManualNumPar1"/>
        <w:rPr>
          <w:noProof/>
          <w:lang w:val="en-IE" w:eastAsia="fr-BE"/>
        </w:rPr>
      </w:pPr>
      <w:r w:rsidRPr="004F5E59">
        <w:t>5.</w:t>
      </w:r>
      <w:r w:rsidRPr="004F5E59">
        <w:tab/>
      </w:r>
      <w:r w:rsidR="00DA704C" w:rsidRPr="00DF5C23">
        <w:rPr>
          <w:noProof/>
          <w:lang w:val="en-IE" w:eastAsia="fr-BE"/>
        </w:rPr>
        <w:t>The verification referred to in paragraphs 3 and 4 shall take place electronically and automatically via the EU Single Window Environment for Customs.</w:t>
      </w:r>
    </w:p>
    <w:p w14:paraId="2C3A5700" w14:textId="6826B973" w:rsidR="00DA704C" w:rsidRPr="00DF5C23" w:rsidRDefault="004F5E59" w:rsidP="004F5E59">
      <w:pPr>
        <w:pStyle w:val="ManualNumPar1"/>
        <w:rPr>
          <w:noProof/>
          <w:lang w:val="en-IE" w:eastAsia="fr-BE"/>
        </w:rPr>
      </w:pPr>
      <w:r w:rsidRPr="004F5E59">
        <w:t>6.</w:t>
      </w:r>
      <w:r w:rsidRPr="004F5E59">
        <w:tab/>
      </w:r>
      <w:r w:rsidR="00DA704C" w:rsidRPr="00DF5C23">
        <w:rPr>
          <w:noProof/>
          <w:lang w:val="en-IE" w:eastAsia="fr-BE"/>
        </w:rPr>
        <w:t>Customs authorities may retrieve and use the information included in the product passport and the registry referred to in Article 12</w:t>
      </w:r>
      <w:r w:rsidR="00463675" w:rsidRPr="00DF5C23">
        <w:rPr>
          <w:noProof/>
          <w:lang w:val="en-IE" w:eastAsia="fr-BE"/>
        </w:rPr>
        <w:t>(1)</w:t>
      </w:r>
      <w:r w:rsidR="00DA704C" w:rsidRPr="00DF5C23">
        <w:rPr>
          <w:noProof/>
          <w:lang w:val="en-IE" w:eastAsia="fr-BE"/>
        </w:rPr>
        <w:t xml:space="preserve"> for carrying out their duties pursuant to Union legislation, including for risk management in accordance with Articles 46 and 47 </w:t>
      </w:r>
      <w:r w:rsidR="00262511" w:rsidRPr="00DF5C23">
        <w:rPr>
          <w:noProof/>
          <w:lang w:val="en-IE" w:eastAsia="fr-BE"/>
        </w:rPr>
        <w:t>of Regulation (EU) No 952/2013</w:t>
      </w:r>
      <w:r w:rsidR="00DA704C" w:rsidRPr="00DF5C23">
        <w:rPr>
          <w:noProof/>
          <w:lang w:val="en-IE" w:eastAsia="fr-BE"/>
        </w:rPr>
        <w:t xml:space="preserve">.   </w:t>
      </w:r>
    </w:p>
    <w:p w14:paraId="2C3A5701" w14:textId="77777777" w:rsidR="00A625AD" w:rsidRPr="00DF5C23" w:rsidRDefault="00A625AD" w:rsidP="00BA4E97">
      <w:pPr>
        <w:pStyle w:val="ManualHeading1"/>
        <w:jc w:val="center"/>
        <w:rPr>
          <w:noProof/>
          <w:lang w:val="fr-BE"/>
        </w:rPr>
      </w:pPr>
      <w:r w:rsidRPr="00DF5C23">
        <w:rPr>
          <w:noProof/>
          <w:lang w:val="fr-BE"/>
        </w:rPr>
        <w:t>Chapter IV</w:t>
      </w:r>
      <w:r w:rsidR="00BA4E97" w:rsidRPr="00DF5C23">
        <w:rPr>
          <w:noProof/>
          <w:lang w:val="fr-BE"/>
        </w:rPr>
        <w:t xml:space="preserve"> - </w:t>
      </w:r>
      <w:r w:rsidRPr="00DF5C23">
        <w:rPr>
          <w:noProof/>
          <w:lang w:val="fr-BE"/>
        </w:rPr>
        <w:t>Labels</w:t>
      </w:r>
    </w:p>
    <w:p w14:paraId="2C3A5702" w14:textId="77777777" w:rsidR="00A625AD" w:rsidRPr="00DF5C23" w:rsidRDefault="00A625AD" w:rsidP="00A625AD">
      <w:pPr>
        <w:pStyle w:val="Titrearticle"/>
        <w:rPr>
          <w:noProof/>
          <w:lang w:val="fr-BE"/>
        </w:rPr>
      </w:pPr>
      <w:r w:rsidRPr="00DF5C23">
        <w:rPr>
          <w:noProof/>
          <w:lang w:val="fr-BE"/>
        </w:rPr>
        <w:t xml:space="preserve">Article </w:t>
      </w:r>
      <w:r w:rsidR="00D81E4D" w:rsidRPr="00DF5C23">
        <w:rPr>
          <w:noProof/>
          <w:lang w:val="fr-BE"/>
        </w:rPr>
        <w:t>14</w:t>
      </w:r>
      <w:r w:rsidRPr="00DF5C23">
        <w:rPr>
          <w:noProof/>
          <w:lang w:val="fr-BE"/>
        </w:rPr>
        <w:br/>
        <w:t>Labels</w:t>
      </w:r>
    </w:p>
    <w:p w14:paraId="2C3A5703" w14:textId="113CE4EB" w:rsidR="009438D1" w:rsidRPr="00DF5C23" w:rsidRDefault="004F5E59" w:rsidP="004F5E59">
      <w:pPr>
        <w:pStyle w:val="ManualNumPar1"/>
        <w:rPr>
          <w:noProof/>
        </w:rPr>
      </w:pPr>
      <w:r w:rsidRPr="004F5E59">
        <w:t>1.</w:t>
      </w:r>
      <w:r w:rsidRPr="004F5E59">
        <w:tab/>
      </w:r>
      <w:r w:rsidR="009438D1" w:rsidRPr="00DF5C23">
        <w:rPr>
          <w:noProof/>
        </w:rPr>
        <w:t>Where the information requirements referred in Article 7(1) specify that information shall be included in a label pursuant to Article 7(6), point (d), the delegated acts adopted pursuant to Article 4 shall specify:</w:t>
      </w:r>
    </w:p>
    <w:p w14:paraId="2C3A5704" w14:textId="0F4CD2BA" w:rsidR="00A625AD" w:rsidRPr="00DF5C23" w:rsidRDefault="004F5E59" w:rsidP="004F5E59">
      <w:pPr>
        <w:pStyle w:val="Point1"/>
        <w:rPr>
          <w:noProof/>
        </w:rPr>
      </w:pPr>
      <w:r w:rsidRPr="004F5E59">
        <w:t>(a)</w:t>
      </w:r>
      <w:r w:rsidRPr="004F5E59">
        <w:tab/>
      </w:r>
      <w:r w:rsidR="00A625AD" w:rsidRPr="00DF5C23">
        <w:rPr>
          <w:noProof/>
        </w:rPr>
        <w:t>the content of the label;</w:t>
      </w:r>
    </w:p>
    <w:p w14:paraId="2C3A5705" w14:textId="64C5B20F" w:rsidR="00A625AD" w:rsidRPr="00DF5C23" w:rsidRDefault="004F5E59" w:rsidP="004F5E59">
      <w:pPr>
        <w:pStyle w:val="Point1"/>
        <w:rPr>
          <w:noProof/>
        </w:rPr>
      </w:pPr>
      <w:r w:rsidRPr="004F5E59">
        <w:t>(b)</w:t>
      </w:r>
      <w:r w:rsidRPr="004F5E59">
        <w:tab/>
      </w:r>
      <w:r w:rsidR="00A625AD" w:rsidRPr="00DF5C23">
        <w:rPr>
          <w:noProof/>
        </w:rPr>
        <w:t>the layout of the label taking account visibility and legibility;</w:t>
      </w:r>
    </w:p>
    <w:p w14:paraId="2C3A5706" w14:textId="1662BBA7" w:rsidR="00A625AD" w:rsidRPr="00DF5C23" w:rsidRDefault="004F5E59" w:rsidP="004F5E59">
      <w:pPr>
        <w:pStyle w:val="Point1"/>
        <w:rPr>
          <w:noProof/>
        </w:rPr>
      </w:pPr>
      <w:r w:rsidRPr="004F5E59">
        <w:t>(c)</w:t>
      </w:r>
      <w:r w:rsidRPr="004F5E59">
        <w:tab/>
      </w:r>
      <w:r w:rsidR="00A625AD" w:rsidRPr="00DF5C23">
        <w:rPr>
          <w:noProof/>
        </w:rPr>
        <w:t xml:space="preserve">the manner in which the label shall be displayed to customers including in case of distance selling, taking into account the requirements </w:t>
      </w:r>
      <w:r w:rsidR="00445446" w:rsidRPr="00DF5C23">
        <w:rPr>
          <w:noProof/>
        </w:rPr>
        <w:t xml:space="preserve">set out in </w:t>
      </w:r>
      <w:r w:rsidR="00A625AD" w:rsidRPr="00DF5C23">
        <w:rPr>
          <w:noProof/>
        </w:rPr>
        <w:t xml:space="preserve">Article </w:t>
      </w:r>
      <w:r w:rsidR="00DB47ED" w:rsidRPr="00DF5C23">
        <w:rPr>
          <w:noProof/>
        </w:rPr>
        <w:t>2</w:t>
      </w:r>
      <w:r w:rsidR="007C5713" w:rsidRPr="00DF5C23">
        <w:rPr>
          <w:noProof/>
        </w:rPr>
        <w:t>6</w:t>
      </w:r>
      <w:r w:rsidR="00A625AD" w:rsidRPr="00DF5C23">
        <w:rPr>
          <w:noProof/>
        </w:rPr>
        <w:t xml:space="preserve"> and the implications for the relevant economic operators</w:t>
      </w:r>
      <w:r w:rsidR="007C5713" w:rsidRPr="00DF5C23">
        <w:rPr>
          <w:noProof/>
        </w:rPr>
        <w:t>;</w:t>
      </w:r>
    </w:p>
    <w:p w14:paraId="2C3A5707" w14:textId="126A62F3" w:rsidR="00A625AD" w:rsidRPr="00DF5C23" w:rsidRDefault="004F5E59" w:rsidP="004F5E59">
      <w:pPr>
        <w:pStyle w:val="Point1"/>
        <w:rPr>
          <w:noProof/>
        </w:rPr>
      </w:pPr>
      <w:r w:rsidRPr="004F5E59">
        <w:t>(d)</w:t>
      </w:r>
      <w:r w:rsidRPr="004F5E59">
        <w:tab/>
      </w:r>
      <w:r w:rsidR="00A625AD" w:rsidRPr="00DF5C23">
        <w:rPr>
          <w:noProof/>
        </w:rPr>
        <w:t>where appropriate, electronic means for generating labels.</w:t>
      </w:r>
    </w:p>
    <w:p w14:paraId="2C3A5708" w14:textId="5AFC0C22" w:rsidR="0013607B" w:rsidRPr="00DF5C23" w:rsidRDefault="004F5E59" w:rsidP="004F5E59">
      <w:pPr>
        <w:pStyle w:val="ManualNumPar1"/>
        <w:rPr>
          <w:noProof/>
        </w:rPr>
      </w:pPr>
      <w:r w:rsidRPr="004F5E59">
        <w:t>2.</w:t>
      </w:r>
      <w:r w:rsidRPr="004F5E59">
        <w:tab/>
      </w:r>
      <w:r w:rsidR="00A625AD" w:rsidRPr="00DF5C23">
        <w:rPr>
          <w:noProof/>
        </w:rPr>
        <w:t>Where a</w:t>
      </w:r>
      <w:r w:rsidR="002A4B4F" w:rsidRPr="00DF5C23">
        <w:rPr>
          <w:noProof/>
        </w:rPr>
        <w:t xml:space="preserve">n information requirement </w:t>
      </w:r>
      <w:r w:rsidR="00C43032" w:rsidRPr="00DF5C23">
        <w:rPr>
          <w:noProof/>
        </w:rPr>
        <w:t xml:space="preserve">entails </w:t>
      </w:r>
      <w:r w:rsidR="00A625AD" w:rsidRPr="00DF5C23">
        <w:rPr>
          <w:noProof/>
        </w:rPr>
        <w:t xml:space="preserve">the inclusion in a label of the class of performance of a product </w:t>
      </w:r>
      <w:r w:rsidR="002A4B4F" w:rsidRPr="00DF5C23">
        <w:rPr>
          <w:noProof/>
        </w:rPr>
        <w:t>as referred</w:t>
      </w:r>
      <w:r w:rsidR="00A625AD" w:rsidRPr="00DF5C23">
        <w:rPr>
          <w:noProof/>
        </w:rPr>
        <w:t xml:space="preserve"> to </w:t>
      </w:r>
      <w:r w:rsidR="002A4B4F" w:rsidRPr="00DF5C23">
        <w:rPr>
          <w:noProof/>
        </w:rPr>
        <w:t xml:space="preserve">in </w:t>
      </w:r>
      <w:r w:rsidR="00A625AD" w:rsidRPr="00DF5C23">
        <w:rPr>
          <w:noProof/>
        </w:rPr>
        <w:t>Article 7(</w:t>
      </w:r>
      <w:r w:rsidR="00A67799" w:rsidRPr="00DF5C23">
        <w:rPr>
          <w:noProof/>
        </w:rPr>
        <w:t>4</w:t>
      </w:r>
      <w:r w:rsidR="00A625AD" w:rsidRPr="00DF5C23">
        <w:rPr>
          <w:noProof/>
        </w:rPr>
        <w:t>), the layout of the label referred to in paragraph 1</w:t>
      </w:r>
      <w:r w:rsidR="002A4B4F" w:rsidRPr="00DF5C23">
        <w:rPr>
          <w:noProof/>
        </w:rPr>
        <w:t>, point (b),</w:t>
      </w:r>
      <w:r w:rsidR="00A625AD" w:rsidRPr="00DF5C23">
        <w:rPr>
          <w:noProof/>
        </w:rPr>
        <w:t xml:space="preserve"> shall enable customers to easily compare product performance in relation to the relevant </w:t>
      </w:r>
      <w:r w:rsidR="00214C38" w:rsidRPr="00DF5C23">
        <w:rPr>
          <w:noProof/>
        </w:rPr>
        <w:t>product</w:t>
      </w:r>
      <w:r w:rsidR="00A625AD" w:rsidRPr="00DF5C23">
        <w:rPr>
          <w:noProof/>
        </w:rPr>
        <w:t xml:space="preserve"> parameter and to choose </w:t>
      </w:r>
      <w:r w:rsidR="002A4B4F" w:rsidRPr="00DF5C23">
        <w:rPr>
          <w:noProof/>
        </w:rPr>
        <w:t xml:space="preserve">better </w:t>
      </w:r>
      <w:r w:rsidR="00A625AD" w:rsidRPr="00DF5C23">
        <w:rPr>
          <w:noProof/>
        </w:rPr>
        <w:t xml:space="preserve">performing products. </w:t>
      </w:r>
    </w:p>
    <w:p w14:paraId="2C3A5709" w14:textId="387E291D" w:rsidR="0013607B" w:rsidRPr="00DF5C23" w:rsidRDefault="004F5E59" w:rsidP="004F5E59">
      <w:pPr>
        <w:pStyle w:val="ManualNumPar1"/>
        <w:rPr>
          <w:noProof/>
        </w:rPr>
      </w:pPr>
      <w:r w:rsidRPr="004F5E59">
        <w:t>3.</w:t>
      </w:r>
      <w:r w:rsidRPr="004F5E59">
        <w:tab/>
      </w:r>
      <w:r w:rsidR="00C82DE6" w:rsidRPr="00DF5C23">
        <w:rPr>
          <w:noProof/>
        </w:rPr>
        <w:t xml:space="preserve">For energy-related products, where </w:t>
      </w:r>
      <w:r w:rsidR="00636D48" w:rsidRPr="00DF5C23">
        <w:rPr>
          <w:noProof/>
        </w:rPr>
        <w:t xml:space="preserve">information on </w:t>
      </w:r>
      <w:r w:rsidR="00C82DE6" w:rsidRPr="00DF5C23">
        <w:rPr>
          <w:noProof/>
        </w:rPr>
        <w:t xml:space="preserve">a </w:t>
      </w:r>
      <w:r w:rsidR="00636D48" w:rsidRPr="00DF5C23">
        <w:rPr>
          <w:noProof/>
        </w:rPr>
        <w:t xml:space="preserve">relevant </w:t>
      </w:r>
      <w:r w:rsidR="00B418B0" w:rsidRPr="00DF5C23">
        <w:rPr>
          <w:noProof/>
        </w:rPr>
        <w:t xml:space="preserve">product </w:t>
      </w:r>
      <w:r w:rsidR="00636D48" w:rsidRPr="00DF5C23">
        <w:rPr>
          <w:noProof/>
        </w:rPr>
        <w:t>parameter</w:t>
      </w:r>
      <w:r w:rsidR="00B418B0" w:rsidRPr="00DF5C23">
        <w:rPr>
          <w:noProof/>
        </w:rPr>
        <w:t>,</w:t>
      </w:r>
      <w:r w:rsidR="00636D48" w:rsidRPr="00DF5C23">
        <w:rPr>
          <w:noProof/>
        </w:rPr>
        <w:t xml:space="preserve"> </w:t>
      </w:r>
      <w:r w:rsidR="00387FAF" w:rsidRPr="00DF5C23">
        <w:rPr>
          <w:noProof/>
        </w:rPr>
        <w:t>including on</w:t>
      </w:r>
      <w:r w:rsidR="00C82DE6" w:rsidRPr="00DF5C23">
        <w:rPr>
          <w:noProof/>
        </w:rPr>
        <w:t xml:space="preserve"> classes of performance </w:t>
      </w:r>
      <w:r w:rsidR="00387FAF" w:rsidRPr="00DF5C23">
        <w:rPr>
          <w:noProof/>
        </w:rPr>
        <w:t xml:space="preserve">referred </w:t>
      </w:r>
      <w:r w:rsidR="00636D48" w:rsidRPr="00DF5C23">
        <w:rPr>
          <w:noProof/>
        </w:rPr>
        <w:t xml:space="preserve">to </w:t>
      </w:r>
      <w:r w:rsidR="00387FAF" w:rsidRPr="00DF5C23">
        <w:rPr>
          <w:noProof/>
        </w:rPr>
        <w:t>in Article 7(4)</w:t>
      </w:r>
      <w:r w:rsidR="001A5E7B" w:rsidRPr="00DF5C23">
        <w:rPr>
          <w:noProof/>
        </w:rPr>
        <w:t>,</w:t>
      </w:r>
      <w:r w:rsidR="00387FAF" w:rsidRPr="00DF5C23">
        <w:rPr>
          <w:noProof/>
        </w:rPr>
        <w:t xml:space="preserve"> </w:t>
      </w:r>
      <w:r w:rsidR="00C0317C" w:rsidRPr="00DF5C23">
        <w:rPr>
          <w:noProof/>
        </w:rPr>
        <w:t>cannot</w:t>
      </w:r>
      <w:r w:rsidR="00177FE6" w:rsidRPr="00DF5C23">
        <w:rPr>
          <w:noProof/>
        </w:rPr>
        <w:t xml:space="preserve"> be </w:t>
      </w:r>
      <w:r w:rsidR="00636D48" w:rsidRPr="00DF5C23">
        <w:rPr>
          <w:noProof/>
        </w:rPr>
        <w:t>incorporate</w:t>
      </w:r>
      <w:r w:rsidR="00F159C1" w:rsidRPr="00DF5C23">
        <w:rPr>
          <w:noProof/>
        </w:rPr>
        <w:t>d</w:t>
      </w:r>
      <w:r w:rsidR="00636D48" w:rsidRPr="00DF5C23">
        <w:rPr>
          <w:noProof/>
        </w:rPr>
        <w:t xml:space="preserve"> in</w:t>
      </w:r>
      <w:r w:rsidR="00177FE6" w:rsidRPr="00DF5C23">
        <w:rPr>
          <w:noProof/>
        </w:rPr>
        <w:t xml:space="preserve"> the energy label established pursuant to Regulation </w:t>
      </w:r>
      <w:r w:rsidR="008918C0" w:rsidRPr="00DF5C23">
        <w:rPr>
          <w:noProof/>
        </w:rPr>
        <w:t xml:space="preserve">(EU) </w:t>
      </w:r>
      <w:r w:rsidR="00177FE6" w:rsidRPr="00DF5C23">
        <w:rPr>
          <w:noProof/>
        </w:rPr>
        <w:t>2017/1369</w:t>
      </w:r>
      <w:r w:rsidR="00C82DE6" w:rsidRPr="00DF5C23">
        <w:rPr>
          <w:noProof/>
        </w:rPr>
        <w:t>,</w:t>
      </w:r>
      <w:r w:rsidR="00177FE6" w:rsidRPr="00DF5C23">
        <w:rPr>
          <w:noProof/>
        </w:rPr>
        <w:t xml:space="preserve"> the Commission</w:t>
      </w:r>
      <w:r w:rsidR="00636D48" w:rsidRPr="00DF5C23">
        <w:rPr>
          <w:noProof/>
        </w:rPr>
        <w:t>,</w:t>
      </w:r>
      <w:r w:rsidR="00177FE6" w:rsidRPr="00DF5C23">
        <w:rPr>
          <w:noProof/>
        </w:rPr>
        <w:t xml:space="preserve"> after assessing the best way to communicate about th</w:t>
      </w:r>
      <w:r w:rsidR="00636D48" w:rsidRPr="00DF5C23">
        <w:rPr>
          <w:noProof/>
        </w:rPr>
        <w:t>is particular</w:t>
      </w:r>
      <w:r w:rsidR="00177FE6" w:rsidRPr="00DF5C23">
        <w:rPr>
          <w:noProof/>
        </w:rPr>
        <w:t xml:space="preserve"> </w:t>
      </w:r>
      <w:r w:rsidR="00387FAF" w:rsidRPr="00DF5C23">
        <w:rPr>
          <w:noProof/>
        </w:rPr>
        <w:t>information</w:t>
      </w:r>
      <w:r w:rsidR="00177FE6" w:rsidRPr="00DF5C23">
        <w:rPr>
          <w:noProof/>
        </w:rPr>
        <w:t xml:space="preserve">, </w:t>
      </w:r>
      <w:r w:rsidR="00C0317C" w:rsidRPr="00DF5C23">
        <w:rPr>
          <w:noProof/>
        </w:rPr>
        <w:t xml:space="preserve">may, </w:t>
      </w:r>
      <w:r w:rsidR="00177FE6" w:rsidRPr="00DF5C23">
        <w:rPr>
          <w:noProof/>
        </w:rPr>
        <w:t xml:space="preserve">if appropriate, require </w:t>
      </w:r>
      <w:r w:rsidR="00387FAF" w:rsidRPr="00DF5C23">
        <w:rPr>
          <w:noProof/>
        </w:rPr>
        <w:t xml:space="preserve">the establishment of </w:t>
      </w:r>
      <w:r w:rsidR="00177FE6" w:rsidRPr="00DF5C23">
        <w:rPr>
          <w:noProof/>
        </w:rPr>
        <w:t>a label</w:t>
      </w:r>
      <w:r w:rsidR="00387FAF" w:rsidRPr="00DF5C23">
        <w:rPr>
          <w:noProof/>
        </w:rPr>
        <w:t xml:space="preserve"> in accordance with </w:t>
      </w:r>
      <w:r w:rsidR="008918C0" w:rsidRPr="00DF5C23">
        <w:rPr>
          <w:noProof/>
        </w:rPr>
        <w:t>this</w:t>
      </w:r>
      <w:r w:rsidR="00387FAF" w:rsidRPr="00DF5C23">
        <w:rPr>
          <w:noProof/>
        </w:rPr>
        <w:t xml:space="preserve"> Regulation</w:t>
      </w:r>
      <w:r w:rsidR="008918C0" w:rsidRPr="00DF5C23">
        <w:rPr>
          <w:noProof/>
        </w:rPr>
        <w:t>.</w:t>
      </w:r>
    </w:p>
    <w:p w14:paraId="2C3A570A" w14:textId="1062C722" w:rsidR="00A625AD" w:rsidRPr="00DF5C23" w:rsidRDefault="004F5E59" w:rsidP="004F5E59">
      <w:pPr>
        <w:pStyle w:val="ManualNumPar1"/>
        <w:rPr>
          <w:noProof/>
        </w:rPr>
      </w:pPr>
      <w:r w:rsidRPr="004F5E59">
        <w:t>4.</w:t>
      </w:r>
      <w:r w:rsidRPr="004F5E59">
        <w:tab/>
      </w:r>
      <w:r w:rsidR="00996A4F" w:rsidRPr="00DF5C23">
        <w:rPr>
          <w:noProof/>
        </w:rPr>
        <w:t>When establishing the information requirements referred to in paragraph 1, t</w:t>
      </w:r>
      <w:r w:rsidR="002A4B4F" w:rsidRPr="00DF5C23">
        <w:rPr>
          <w:noProof/>
        </w:rPr>
        <w:t>he Commission</w:t>
      </w:r>
      <w:r w:rsidR="00A625AD" w:rsidRPr="00DF5C23">
        <w:rPr>
          <w:noProof/>
        </w:rPr>
        <w:t xml:space="preserve"> </w:t>
      </w:r>
      <w:r w:rsidR="00996A4F" w:rsidRPr="00DF5C23">
        <w:rPr>
          <w:noProof/>
        </w:rPr>
        <w:t xml:space="preserve">shall, where appropriate, </w:t>
      </w:r>
      <w:r w:rsidR="00A625AD" w:rsidRPr="00DF5C23">
        <w:rPr>
          <w:noProof/>
        </w:rPr>
        <w:t xml:space="preserve">require the label to include data carriers or other means to allow customers to access additional information on the product, including </w:t>
      </w:r>
      <w:r w:rsidR="00996A4F" w:rsidRPr="00DF5C23">
        <w:rPr>
          <w:noProof/>
        </w:rPr>
        <w:t xml:space="preserve">means </w:t>
      </w:r>
      <w:r w:rsidR="00A625AD" w:rsidRPr="00DF5C23">
        <w:rPr>
          <w:noProof/>
        </w:rPr>
        <w:t xml:space="preserve">allowing access to the product passport referred to in Article </w:t>
      </w:r>
      <w:r w:rsidR="00A67799" w:rsidRPr="00DF5C23">
        <w:rPr>
          <w:noProof/>
        </w:rPr>
        <w:t>8</w:t>
      </w:r>
      <w:r w:rsidR="00A625AD" w:rsidRPr="00DF5C23">
        <w:rPr>
          <w:noProof/>
        </w:rPr>
        <w:t xml:space="preserve">. </w:t>
      </w:r>
    </w:p>
    <w:p w14:paraId="2C3A570B" w14:textId="01F4335A" w:rsidR="00A625AD" w:rsidRPr="00DF5C23" w:rsidRDefault="004F5E59" w:rsidP="004F5E59">
      <w:pPr>
        <w:pStyle w:val="ManualNumPar1"/>
        <w:rPr>
          <w:noProof/>
        </w:rPr>
      </w:pPr>
      <w:r w:rsidRPr="004F5E59">
        <w:t>5.</w:t>
      </w:r>
      <w:r w:rsidRPr="004F5E59">
        <w:tab/>
      </w:r>
      <w:r w:rsidR="00A625AD" w:rsidRPr="00DF5C23">
        <w:rPr>
          <w:noProof/>
        </w:rPr>
        <w:t xml:space="preserve">The Commission may adopt implementing acts establishing </w:t>
      </w:r>
      <w:r w:rsidR="00996A4F" w:rsidRPr="00DF5C23">
        <w:rPr>
          <w:noProof/>
        </w:rPr>
        <w:t xml:space="preserve">common requirements </w:t>
      </w:r>
      <w:r w:rsidR="00A625AD" w:rsidRPr="00DF5C23">
        <w:rPr>
          <w:noProof/>
        </w:rPr>
        <w:t xml:space="preserve">for the layout of the labels </w:t>
      </w:r>
      <w:r w:rsidR="00561884" w:rsidRPr="00DF5C23">
        <w:rPr>
          <w:noProof/>
        </w:rPr>
        <w:t>required pursuant to Article 7(6), point (d).</w:t>
      </w:r>
    </w:p>
    <w:p w14:paraId="2C3A570C" w14:textId="77777777" w:rsidR="00A625AD" w:rsidRPr="00DF5C23" w:rsidRDefault="00A625AD" w:rsidP="00A625AD">
      <w:pPr>
        <w:pStyle w:val="Text1"/>
        <w:rPr>
          <w:noProof/>
        </w:rPr>
      </w:pPr>
      <w:r w:rsidRPr="00DF5C23">
        <w:rPr>
          <w:noProof/>
        </w:rPr>
        <w:t xml:space="preserve">Those implementing acts shall be adopted in accordance with the examination procedure referred to in Article </w:t>
      </w:r>
      <w:r w:rsidR="0043262D" w:rsidRPr="00DF5C23">
        <w:rPr>
          <w:noProof/>
        </w:rPr>
        <w:t>67</w:t>
      </w:r>
      <w:r w:rsidRPr="00DF5C23">
        <w:rPr>
          <w:noProof/>
        </w:rPr>
        <w:t>(3).</w:t>
      </w:r>
    </w:p>
    <w:p w14:paraId="2C3A570D" w14:textId="77777777" w:rsidR="00A625AD" w:rsidRPr="00DF5C23" w:rsidRDefault="00A625AD" w:rsidP="00A625AD">
      <w:pPr>
        <w:pStyle w:val="Titrearticle"/>
        <w:rPr>
          <w:noProof/>
        </w:rPr>
      </w:pPr>
      <w:r w:rsidRPr="00DF5C23">
        <w:rPr>
          <w:noProof/>
        </w:rPr>
        <w:t xml:space="preserve">Article </w:t>
      </w:r>
      <w:r w:rsidR="00D81E4D" w:rsidRPr="00DF5C23">
        <w:rPr>
          <w:noProof/>
        </w:rPr>
        <w:t>15</w:t>
      </w:r>
      <w:r w:rsidRPr="00DF5C23">
        <w:rPr>
          <w:noProof/>
        </w:rPr>
        <w:br/>
        <w:t>Mimicking labels</w:t>
      </w:r>
    </w:p>
    <w:p w14:paraId="2C3A570E" w14:textId="77777777" w:rsidR="00A625AD" w:rsidRPr="00DF5C23" w:rsidRDefault="008E1E48" w:rsidP="00E172E8">
      <w:pPr>
        <w:rPr>
          <w:noProof/>
        </w:rPr>
      </w:pPr>
      <w:r w:rsidRPr="00DF5C23">
        <w:rPr>
          <w:noProof/>
          <w:lang w:val="en-IE"/>
        </w:rPr>
        <w:t xml:space="preserve">Where delegated acts adopted pursuant to Article 4 do not require products to have a label, </w:t>
      </w:r>
      <w:r w:rsidRPr="00DF5C23">
        <w:rPr>
          <w:noProof/>
        </w:rPr>
        <w:t xml:space="preserve">those products may not </w:t>
      </w:r>
      <w:r w:rsidR="00F725D0" w:rsidRPr="00DF5C23">
        <w:rPr>
          <w:noProof/>
        </w:rPr>
        <w:t xml:space="preserve">be placed on the market or put into service if </w:t>
      </w:r>
      <w:r w:rsidR="007D3458" w:rsidRPr="00DF5C23">
        <w:rPr>
          <w:noProof/>
        </w:rPr>
        <w:t>they supply</w:t>
      </w:r>
      <w:r w:rsidR="00F725D0" w:rsidRPr="00DF5C23">
        <w:rPr>
          <w:noProof/>
        </w:rPr>
        <w:t xml:space="preserve"> or display labels which are likely to mislead or confuse customers with respect to </w:t>
      </w:r>
      <w:r w:rsidR="00A625AD" w:rsidRPr="00DF5C23">
        <w:rPr>
          <w:noProof/>
        </w:rPr>
        <w:t xml:space="preserve">the labels provided for </w:t>
      </w:r>
      <w:r w:rsidRPr="00DF5C23">
        <w:rPr>
          <w:noProof/>
        </w:rPr>
        <w:t>in Article 1</w:t>
      </w:r>
      <w:r w:rsidR="0043262D" w:rsidRPr="00DF5C23">
        <w:rPr>
          <w:noProof/>
        </w:rPr>
        <w:t>4</w:t>
      </w:r>
      <w:r w:rsidR="00A625AD" w:rsidRPr="00DF5C23">
        <w:rPr>
          <w:noProof/>
        </w:rPr>
        <w:t>.</w:t>
      </w:r>
    </w:p>
    <w:p w14:paraId="2C3A570F" w14:textId="77777777" w:rsidR="004A1643" w:rsidRPr="00DF5C23" w:rsidRDefault="0681B866" w:rsidP="00BA4E97">
      <w:pPr>
        <w:pStyle w:val="ManualHeading1"/>
        <w:jc w:val="center"/>
        <w:rPr>
          <w:noProof/>
        </w:rPr>
      </w:pPr>
      <w:r w:rsidRPr="00DF5C23">
        <w:rPr>
          <w:noProof/>
        </w:rPr>
        <w:t>Chapt</w:t>
      </w:r>
      <w:r w:rsidR="00A625AD" w:rsidRPr="00DF5C23">
        <w:rPr>
          <w:noProof/>
        </w:rPr>
        <w:t>er V</w:t>
      </w:r>
      <w:r w:rsidRPr="00DF5C23">
        <w:rPr>
          <w:noProof/>
        </w:rPr>
        <w:t xml:space="preserve"> </w:t>
      </w:r>
      <w:r w:rsidR="00BA4E97" w:rsidRPr="00DF5C23">
        <w:rPr>
          <w:noProof/>
        </w:rPr>
        <w:t xml:space="preserve">- </w:t>
      </w:r>
      <w:r w:rsidRPr="00DF5C23">
        <w:rPr>
          <w:noProof/>
        </w:rPr>
        <w:t>Prioritisation, planning and consultation</w:t>
      </w:r>
    </w:p>
    <w:p w14:paraId="2C3A5710" w14:textId="77777777" w:rsidR="004A1643" w:rsidRPr="00DF5C23" w:rsidRDefault="0681B866" w:rsidP="0681B866">
      <w:pPr>
        <w:pStyle w:val="Titrearticle"/>
        <w:rPr>
          <w:noProof/>
          <w:lang w:val="en-IE" w:eastAsia="fr-BE"/>
        </w:rPr>
      </w:pPr>
      <w:r w:rsidRPr="00DF5C23">
        <w:rPr>
          <w:noProof/>
          <w:lang w:val="en-IE" w:eastAsia="fr-BE"/>
        </w:rPr>
        <w:t xml:space="preserve">Article </w:t>
      </w:r>
      <w:r w:rsidR="00D81E4D" w:rsidRPr="00DF5C23">
        <w:rPr>
          <w:noProof/>
          <w:lang w:val="en-IE" w:eastAsia="fr-BE"/>
        </w:rPr>
        <w:t>16</w:t>
      </w:r>
      <w:r w:rsidR="000C3D25" w:rsidRPr="00DF5C23">
        <w:rPr>
          <w:noProof/>
        </w:rPr>
        <w:br/>
      </w:r>
      <w:r w:rsidRPr="00DF5C23">
        <w:rPr>
          <w:noProof/>
          <w:lang w:val="en-IE" w:eastAsia="fr-BE"/>
        </w:rPr>
        <w:t>Prioritisation and planning</w:t>
      </w:r>
    </w:p>
    <w:p w14:paraId="2C3A5711" w14:textId="3FB0F001" w:rsidR="00CE71CB" w:rsidRPr="00DF5C23" w:rsidRDefault="004F5E59" w:rsidP="004F5E59">
      <w:pPr>
        <w:pStyle w:val="ManualNumPar1"/>
        <w:rPr>
          <w:noProof/>
          <w:lang w:val="en-IE"/>
        </w:rPr>
      </w:pPr>
      <w:r w:rsidRPr="004F5E59">
        <w:t>1.</w:t>
      </w:r>
      <w:r w:rsidRPr="004F5E59">
        <w:tab/>
      </w:r>
      <w:r w:rsidR="0681B866" w:rsidRPr="00DF5C23">
        <w:rPr>
          <w:noProof/>
          <w:lang w:val="en-IE"/>
        </w:rPr>
        <w:t xml:space="preserve">When prioritising </w:t>
      </w:r>
      <w:r w:rsidR="00F41E57" w:rsidRPr="00DF5C23">
        <w:rPr>
          <w:noProof/>
          <w:lang w:val="en-IE"/>
        </w:rPr>
        <w:t xml:space="preserve">products to be </w:t>
      </w:r>
      <w:r w:rsidR="00E92BBE" w:rsidRPr="00DF5C23">
        <w:rPr>
          <w:noProof/>
          <w:lang w:val="en-IE"/>
        </w:rPr>
        <w:t>covered by ecodesign requirements in accordance with this Regulation</w:t>
      </w:r>
      <w:r w:rsidR="0681B866" w:rsidRPr="00DF5C23">
        <w:rPr>
          <w:noProof/>
          <w:lang w:val="en-IE"/>
        </w:rPr>
        <w:t xml:space="preserve">, the Commission shall take into account </w:t>
      </w:r>
      <w:r w:rsidR="000F3690" w:rsidRPr="00DF5C23">
        <w:rPr>
          <w:noProof/>
          <w:lang w:val="en-IE"/>
        </w:rPr>
        <w:t xml:space="preserve">their potential contribution to achieving Union climate, environmental and energy efficiency objectives, as well as </w:t>
      </w:r>
      <w:r w:rsidR="0681B866" w:rsidRPr="00DF5C23">
        <w:rPr>
          <w:noProof/>
          <w:lang w:val="en-IE"/>
        </w:rPr>
        <w:t>the following criteria:</w:t>
      </w:r>
    </w:p>
    <w:p w14:paraId="2C3A5712" w14:textId="6BA8A438" w:rsidR="00DD35BA" w:rsidRPr="00DF5C23" w:rsidRDefault="004F5E59" w:rsidP="004F5E59">
      <w:pPr>
        <w:pStyle w:val="Point1"/>
        <w:rPr>
          <w:noProof/>
          <w:lang w:val="en-IE"/>
        </w:rPr>
      </w:pPr>
      <w:r w:rsidRPr="004F5E59">
        <w:t>(a)</w:t>
      </w:r>
      <w:r w:rsidRPr="004F5E59">
        <w:tab/>
      </w:r>
      <w:r w:rsidR="00DD35BA" w:rsidRPr="00DF5C23">
        <w:rPr>
          <w:noProof/>
          <w:lang w:val="en-IE"/>
        </w:rPr>
        <w:t xml:space="preserve">the potential for improving </w:t>
      </w:r>
      <w:r w:rsidR="004A1643" w:rsidRPr="00DF5C23">
        <w:rPr>
          <w:noProof/>
          <w:lang w:val="en-IE"/>
        </w:rPr>
        <w:t xml:space="preserve">the product aspects listed in </w:t>
      </w:r>
      <w:r w:rsidR="00D202E7" w:rsidRPr="00DF5C23">
        <w:rPr>
          <w:noProof/>
          <w:lang w:val="en-IE"/>
        </w:rPr>
        <w:t>Article 5(</w:t>
      </w:r>
      <w:r w:rsidR="000D0EF5" w:rsidRPr="00DF5C23">
        <w:rPr>
          <w:noProof/>
          <w:lang w:val="en-IE"/>
        </w:rPr>
        <w:t>1</w:t>
      </w:r>
      <w:r w:rsidR="00D202E7" w:rsidRPr="00DF5C23">
        <w:rPr>
          <w:noProof/>
          <w:lang w:val="en-IE"/>
        </w:rPr>
        <w:t>)</w:t>
      </w:r>
      <w:r w:rsidR="00DD35BA" w:rsidRPr="00DF5C23">
        <w:rPr>
          <w:noProof/>
          <w:lang w:val="en-IE"/>
        </w:rPr>
        <w:t xml:space="preserve"> without entailing disproportionate costs, taking into account in particular:</w:t>
      </w:r>
    </w:p>
    <w:p w14:paraId="2C3A5713" w14:textId="191F9520" w:rsidR="00DD35BA" w:rsidRPr="00DF5C23" w:rsidRDefault="004F5E59" w:rsidP="004F5E59">
      <w:pPr>
        <w:pStyle w:val="Point2"/>
        <w:rPr>
          <w:noProof/>
          <w:lang w:val="en-IE"/>
        </w:rPr>
      </w:pPr>
      <w:r w:rsidRPr="004F5E59">
        <w:t>(i)</w:t>
      </w:r>
      <w:r w:rsidRPr="004F5E59">
        <w:tab/>
      </w:r>
      <w:r w:rsidR="00DD35BA" w:rsidRPr="00DF5C23">
        <w:rPr>
          <w:noProof/>
          <w:lang w:val="en-IE"/>
        </w:rPr>
        <w:t xml:space="preserve">the absence or insufficiency of Union </w:t>
      </w:r>
      <w:r w:rsidR="00E92BBE" w:rsidRPr="00DF5C23">
        <w:rPr>
          <w:noProof/>
          <w:lang w:val="en-IE"/>
        </w:rPr>
        <w:t xml:space="preserve">law </w:t>
      </w:r>
      <w:r w:rsidR="00DD35BA" w:rsidRPr="00DF5C23">
        <w:rPr>
          <w:noProof/>
          <w:lang w:val="en-IE"/>
        </w:rPr>
        <w:t xml:space="preserve">or failure of market forces or self-regulation measures adopted in accordance with Article </w:t>
      </w:r>
      <w:r w:rsidR="00DB47ED" w:rsidRPr="00DF5C23">
        <w:rPr>
          <w:noProof/>
          <w:lang w:val="en-IE"/>
        </w:rPr>
        <w:t>1</w:t>
      </w:r>
      <w:r w:rsidR="0043262D" w:rsidRPr="00DF5C23">
        <w:rPr>
          <w:noProof/>
          <w:lang w:val="en-IE"/>
        </w:rPr>
        <w:t>8</w:t>
      </w:r>
      <w:r w:rsidR="00DD35BA" w:rsidRPr="00DF5C23">
        <w:rPr>
          <w:noProof/>
          <w:lang w:val="en-IE"/>
        </w:rPr>
        <w:t xml:space="preserve"> to address the </w:t>
      </w:r>
      <w:r w:rsidR="00E92BBE" w:rsidRPr="00DF5C23">
        <w:rPr>
          <w:noProof/>
          <w:lang w:val="en-IE"/>
        </w:rPr>
        <w:t xml:space="preserve">objective </w:t>
      </w:r>
      <w:r w:rsidR="00DD35BA" w:rsidRPr="00DF5C23">
        <w:rPr>
          <w:noProof/>
          <w:lang w:val="en-IE"/>
        </w:rPr>
        <w:t>properly; and</w:t>
      </w:r>
    </w:p>
    <w:p w14:paraId="2C3A5714" w14:textId="4CC0BD00" w:rsidR="00DD35BA" w:rsidRPr="00DF5C23" w:rsidRDefault="004F5E59" w:rsidP="004F5E59">
      <w:pPr>
        <w:pStyle w:val="Point2"/>
        <w:rPr>
          <w:noProof/>
          <w:lang w:val="en-IE"/>
        </w:rPr>
      </w:pPr>
      <w:r w:rsidRPr="004F5E59">
        <w:t>(ii)</w:t>
      </w:r>
      <w:r w:rsidRPr="004F5E59">
        <w:tab/>
      </w:r>
      <w:r w:rsidR="00DD35BA" w:rsidRPr="00DF5C23">
        <w:rPr>
          <w:noProof/>
          <w:lang w:val="en-IE"/>
        </w:rPr>
        <w:t>the disparity in the performance of products available on the market with equivalent functionality in relation to</w:t>
      </w:r>
      <w:r w:rsidR="00D202E7" w:rsidRPr="00DF5C23">
        <w:rPr>
          <w:noProof/>
          <w:lang w:val="en-IE"/>
        </w:rPr>
        <w:t xml:space="preserve"> the</w:t>
      </w:r>
      <w:r w:rsidR="00DD35BA" w:rsidRPr="00DF5C23">
        <w:rPr>
          <w:noProof/>
          <w:lang w:val="en-IE"/>
        </w:rPr>
        <w:t xml:space="preserve"> </w:t>
      </w:r>
      <w:r w:rsidR="004415E9" w:rsidRPr="00DF5C23">
        <w:rPr>
          <w:noProof/>
          <w:lang w:val="en-IE"/>
        </w:rPr>
        <w:t>product</w:t>
      </w:r>
      <w:r w:rsidR="00DD35BA" w:rsidRPr="00DF5C23">
        <w:rPr>
          <w:noProof/>
          <w:lang w:val="en-IE"/>
        </w:rPr>
        <w:t xml:space="preserve"> </w:t>
      </w:r>
      <w:r w:rsidR="000D0EF5" w:rsidRPr="00DF5C23">
        <w:rPr>
          <w:noProof/>
          <w:lang w:val="en-IE"/>
        </w:rPr>
        <w:t>aspects listed in Article 5(1);</w:t>
      </w:r>
      <w:r w:rsidR="00DD35BA" w:rsidRPr="00DF5C23">
        <w:rPr>
          <w:noProof/>
          <w:lang w:val="en-IE"/>
        </w:rPr>
        <w:t xml:space="preserve"> </w:t>
      </w:r>
    </w:p>
    <w:p w14:paraId="2C3A5715" w14:textId="4B2104C4" w:rsidR="004A1643" w:rsidRPr="00DF5C23" w:rsidRDefault="004F5E59" w:rsidP="004F5E59">
      <w:pPr>
        <w:pStyle w:val="Point1"/>
        <w:rPr>
          <w:noProof/>
          <w:lang w:val="en-IE"/>
        </w:rPr>
      </w:pPr>
      <w:r w:rsidRPr="004F5E59">
        <w:t>(b)</w:t>
      </w:r>
      <w:r w:rsidRPr="004F5E59">
        <w:tab/>
      </w:r>
      <w:r w:rsidR="0681B866" w:rsidRPr="00DF5C23">
        <w:rPr>
          <w:noProof/>
          <w:lang w:val="en-IE"/>
        </w:rPr>
        <w:t xml:space="preserve">the volume of sales and trade of the product within the Union; </w:t>
      </w:r>
    </w:p>
    <w:p w14:paraId="2C3A5716" w14:textId="3869BA68" w:rsidR="004A1643" w:rsidRPr="00DF5C23" w:rsidRDefault="004F5E59" w:rsidP="004F5E59">
      <w:pPr>
        <w:pStyle w:val="Point1"/>
        <w:rPr>
          <w:noProof/>
          <w:lang w:val="en-IE"/>
        </w:rPr>
      </w:pPr>
      <w:r w:rsidRPr="004F5E59">
        <w:t>(c)</w:t>
      </w:r>
      <w:r w:rsidRPr="004F5E59">
        <w:tab/>
      </w:r>
      <w:r w:rsidR="0681B866" w:rsidRPr="00DF5C23">
        <w:rPr>
          <w:noProof/>
          <w:lang w:val="en-IE"/>
        </w:rPr>
        <w:t>the distribution of the environmental impacts, energy use and waste generation across the value chain</w:t>
      </w:r>
      <w:r w:rsidR="002A248A" w:rsidRPr="00DF5C23">
        <w:rPr>
          <w:noProof/>
          <w:lang w:val="en-IE"/>
        </w:rPr>
        <w:t>, in particular whether they take place within the Union</w:t>
      </w:r>
      <w:r w:rsidR="0681B866" w:rsidRPr="00DF5C23">
        <w:rPr>
          <w:noProof/>
          <w:lang w:val="en-IE"/>
        </w:rPr>
        <w:t>;</w:t>
      </w:r>
    </w:p>
    <w:p w14:paraId="2C3A5717" w14:textId="67EE34BA" w:rsidR="004A1643" w:rsidRPr="00DF5C23" w:rsidRDefault="004F5E59" w:rsidP="004F5E59">
      <w:pPr>
        <w:pStyle w:val="Point1"/>
        <w:rPr>
          <w:noProof/>
          <w:lang w:val="en-IE"/>
        </w:rPr>
      </w:pPr>
      <w:r w:rsidRPr="004F5E59">
        <w:t>(d)</w:t>
      </w:r>
      <w:r w:rsidRPr="004F5E59">
        <w:tab/>
      </w:r>
      <w:r w:rsidR="0681B866" w:rsidRPr="00DF5C23">
        <w:rPr>
          <w:noProof/>
          <w:lang w:val="en-IE"/>
        </w:rPr>
        <w:t xml:space="preserve">the need to regularly review and adapt delegated acts </w:t>
      </w:r>
      <w:r w:rsidR="00214C38" w:rsidRPr="00DF5C23">
        <w:rPr>
          <w:noProof/>
          <w:lang w:val="en-IE"/>
        </w:rPr>
        <w:t>adopted pursuant to Article 4</w:t>
      </w:r>
      <w:r w:rsidR="0681B866" w:rsidRPr="00DF5C23">
        <w:rPr>
          <w:noProof/>
          <w:lang w:val="en-IE"/>
        </w:rPr>
        <w:t xml:space="preserve"> in light of technological and market developments.</w:t>
      </w:r>
    </w:p>
    <w:p w14:paraId="2C3A5718" w14:textId="3AE7C145" w:rsidR="00E92BBE" w:rsidRPr="00DF5C23" w:rsidRDefault="004F5E59" w:rsidP="004F5E59">
      <w:pPr>
        <w:pStyle w:val="ManualNumPar1"/>
        <w:rPr>
          <w:noProof/>
          <w:lang w:val="en-IE"/>
        </w:rPr>
      </w:pPr>
      <w:r w:rsidRPr="004F5E59">
        <w:t>2.</w:t>
      </w:r>
      <w:r w:rsidRPr="004F5E59">
        <w:tab/>
      </w:r>
      <w:r w:rsidR="00E92BBE" w:rsidRPr="00DF5C23">
        <w:rPr>
          <w:noProof/>
          <w:lang w:val="en-IE"/>
        </w:rPr>
        <w:t xml:space="preserve">The Commission shall adopt and regularly update a working plan, covering a period of at least 3 years, setting out a list of product groups for which it intends to establish ecodesign requirements in accordance with this Regulation. That list shall include </w:t>
      </w:r>
      <w:r w:rsidR="00E92BBE" w:rsidRPr="00DF5C23" w:rsidDel="00E92BBE">
        <w:rPr>
          <w:noProof/>
          <w:lang w:val="en-IE"/>
        </w:rPr>
        <w:t xml:space="preserve">products </w:t>
      </w:r>
      <w:r w:rsidR="00E92BBE" w:rsidRPr="00DF5C23">
        <w:rPr>
          <w:noProof/>
          <w:lang w:val="en-IE"/>
        </w:rPr>
        <w:t>aspects referred to in Article 5(</w:t>
      </w:r>
      <w:r w:rsidR="000D0EF5" w:rsidRPr="00DF5C23">
        <w:rPr>
          <w:noProof/>
          <w:lang w:val="en-IE"/>
        </w:rPr>
        <w:t>1</w:t>
      </w:r>
      <w:r w:rsidR="00E92BBE" w:rsidRPr="00DF5C23">
        <w:rPr>
          <w:noProof/>
          <w:lang w:val="en-IE"/>
        </w:rPr>
        <w:t xml:space="preserve">) for which the Commission intends to adopt </w:t>
      </w:r>
      <w:r w:rsidR="002F21DB" w:rsidRPr="00DF5C23">
        <w:rPr>
          <w:noProof/>
          <w:lang w:val="en-IE"/>
        </w:rPr>
        <w:t xml:space="preserve">horizontal ecodesign requirements </w:t>
      </w:r>
      <w:r w:rsidR="00256E78" w:rsidRPr="00DF5C23">
        <w:rPr>
          <w:noProof/>
          <w:lang w:val="en-IE"/>
        </w:rPr>
        <w:t xml:space="preserve">established </w:t>
      </w:r>
      <w:r w:rsidR="002F21DB" w:rsidRPr="00DF5C23">
        <w:rPr>
          <w:noProof/>
          <w:lang w:val="en-IE"/>
        </w:rPr>
        <w:t>pursuant to Article 5(2), second subparagraph.</w:t>
      </w:r>
    </w:p>
    <w:p w14:paraId="2C3A5719" w14:textId="77777777" w:rsidR="00E92BBE" w:rsidRPr="00DF5C23" w:rsidRDefault="0681B866" w:rsidP="00E92BBE">
      <w:pPr>
        <w:pStyle w:val="Text1"/>
        <w:rPr>
          <w:noProof/>
          <w:lang w:val="en-IE"/>
        </w:rPr>
      </w:pPr>
      <w:r w:rsidRPr="00DF5C23">
        <w:rPr>
          <w:noProof/>
          <w:lang w:val="en-IE"/>
        </w:rPr>
        <w:t xml:space="preserve">When </w:t>
      </w:r>
      <w:r w:rsidR="000D0EF5" w:rsidRPr="00DF5C23">
        <w:rPr>
          <w:noProof/>
          <w:lang w:val="en-IE"/>
        </w:rPr>
        <w:t xml:space="preserve">adopting </w:t>
      </w:r>
      <w:r w:rsidRPr="00DF5C23">
        <w:rPr>
          <w:noProof/>
          <w:lang w:val="en-IE"/>
        </w:rPr>
        <w:t xml:space="preserve">or updating </w:t>
      </w:r>
      <w:r w:rsidR="00D87AB9" w:rsidRPr="00DF5C23">
        <w:rPr>
          <w:noProof/>
          <w:lang w:val="en-IE"/>
        </w:rPr>
        <w:t>the</w:t>
      </w:r>
      <w:r w:rsidRPr="00DF5C23">
        <w:rPr>
          <w:noProof/>
          <w:lang w:val="en-IE"/>
        </w:rPr>
        <w:t xml:space="preserve"> working plan</w:t>
      </w:r>
      <w:r w:rsidR="00E92BBE" w:rsidRPr="00DF5C23">
        <w:rPr>
          <w:noProof/>
          <w:lang w:val="en-IE"/>
        </w:rPr>
        <w:t xml:space="preserve"> referred to in the first subparagraph</w:t>
      </w:r>
      <w:r w:rsidRPr="00DF5C23">
        <w:rPr>
          <w:noProof/>
          <w:lang w:val="en-IE"/>
        </w:rPr>
        <w:t xml:space="preserve">, the Commission shall take into account the criteria set out in paragraph 1 </w:t>
      </w:r>
      <w:r w:rsidR="00E92BBE" w:rsidRPr="00DF5C23">
        <w:rPr>
          <w:noProof/>
          <w:lang w:val="en-IE"/>
        </w:rPr>
        <w:t>of this Article</w:t>
      </w:r>
      <w:r w:rsidR="00E22AFE" w:rsidRPr="00DF5C23">
        <w:rPr>
          <w:noProof/>
          <w:lang w:val="en-IE"/>
        </w:rPr>
        <w:t xml:space="preserve"> </w:t>
      </w:r>
      <w:r w:rsidRPr="00DF5C23">
        <w:rPr>
          <w:noProof/>
          <w:lang w:val="en-IE"/>
        </w:rPr>
        <w:t xml:space="preserve">and shall consult the </w:t>
      </w:r>
      <w:r w:rsidR="003B23C5" w:rsidRPr="00DF5C23">
        <w:rPr>
          <w:noProof/>
          <w:lang w:val="en-IE"/>
        </w:rPr>
        <w:t xml:space="preserve">Ecodesign </w:t>
      </w:r>
      <w:r w:rsidRPr="00DF5C23">
        <w:rPr>
          <w:noProof/>
          <w:lang w:val="en-IE"/>
        </w:rPr>
        <w:t>Forum referred to in Article 1</w:t>
      </w:r>
      <w:r w:rsidR="00D81E4D" w:rsidRPr="00DF5C23">
        <w:rPr>
          <w:noProof/>
          <w:lang w:val="en-IE"/>
        </w:rPr>
        <w:t>7</w:t>
      </w:r>
      <w:r w:rsidRPr="00DF5C23">
        <w:rPr>
          <w:noProof/>
          <w:lang w:val="en-IE"/>
        </w:rPr>
        <w:t>.</w:t>
      </w:r>
    </w:p>
    <w:p w14:paraId="2C3A571A" w14:textId="77777777" w:rsidR="004A1643" w:rsidRPr="00DF5C23" w:rsidRDefault="0681B866" w:rsidP="0681B866">
      <w:pPr>
        <w:pStyle w:val="Titrearticle"/>
        <w:rPr>
          <w:noProof/>
          <w:lang w:val="en-IE" w:eastAsia="fr-BE"/>
        </w:rPr>
      </w:pPr>
      <w:r w:rsidRPr="00DF5C23">
        <w:rPr>
          <w:noProof/>
          <w:lang w:val="en-IE" w:eastAsia="fr-BE"/>
        </w:rPr>
        <w:t xml:space="preserve">Article </w:t>
      </w:r>
      <w:r w:rsidR="00D81E4D" w:rsidRPr="00DF5C23">
        <w:rPr>
          <w:noProof/>
          <w:lang w:val="en-IE" w:eastAsia="fr-BE"/>
        </w:rPr>
        <w:t xml:space="preserve">17 </w:t>
      </w:r>
      <w:r w:rsidR="004A1643" w:rsidRPr="00DF5C23">
        <w:rPr>
          <w:noProof/>
        </w:rPr>
        <w:br/>
      </w:r>
      <w:r w:rsidR="001F0AB8" w:rsidRPr="00DF5C23">
        <w:rPr>
          <w:noProof/>
          <w:lang w:val="en-IE" w:eastAsia="fr-BE"/>
        </w:rPr>
        <w:t xml:space="preserve">Ecodesign </w:t>
      </w:r>
      <w:r w:rsidRPr="00DF5C23">
        <w:rPr>
          <w:noProof/>
          <w:lang w:val="en-IE" w:eastAsia="fr-BE"/>
        </w:rPr>
        <w:t>Forum</w:t>
      </w:r>
    </w:p>
    <w:p w14:paraId="2C3A571B" w14:textId="77777777" w:rsidR="004A1643" w:rsidRPr="00DF5C23" w:rsidRDefault="00D87AB9" w:rsidP="0681B866">
      <w:pPr>
        <w:shd w:val="clear" w:color="auto" w:fill="FFFFFF" w:themeFill="background1"/>
        <w:spacing w:after="0"/>
        <w:rPr>
          <w:rFonts w:eastAsia="Times New Roman"/>
          <w:noProof/>
          <w:color w:val="000000" w:themeColor="text1"/>
          <w:lang w:val="en-IE" w:eastAsia="fr-BE"/>
        </w:rPr>
      </w:pPr>
      <w:r w:rsidRPr="00DF5C23">
        <w:rPr>
          <w:rFonts w:eastAsia="Times New Roman"/>
          <w:noProof/>
          <w:color w:val="000000" w:themeColor="text1"/>
          <w:lang w:eastAsia="fr-BE"/>
        </w:rPr>
        <w:t xml:space="preserve">The Commission shall ensure that when it conducts its activities, it observes a balanced participation of Member States’ representatives and all interested parties involved with the product or product group in question, such as industry, including </w:t>
      </w:r>
      <w:r w:rsidR="0046349F" w:rsidRPr="00DF5C23">
        <w:rPr>
          <w:noProof/>
          <w:lang w:eastAsia="fr-BE"/>
        </w:rPr>
        <w:t>SMEs</w:t>
      </w:r>
      <w:r w:rsidRPr="00DF5C23">
        <w:rPr>
          <w:noProof/>
          <w:lang w:eastAsia="fr-BE"/>
        </w:rPr>
        <w:t xml:space="preserve"> </w:t>
      </w:r>
      <w:r w:rsidRPr="00DF5C23">
        <w:rPr>
          <w:rFonts w:eastAsia="Times New Roman"/>
          <w:noProof/>
          <w:color w:val="000000" w:themeColor="text1"/>
          <w:lang w:eastAsia="fr-BE"/>
        </w:rPr>
        <w:t xml:space="preserve">and craft industry, trade unions, traders, retailers, importers, environmental protection groups and consumer organisations. These parties shall contribute in particular to </w:t>
      </w:r>
      <w:r w:rsidR="0046349F" w:rsidRPr="00DF5C23">
        <w:rPr>
          <w:rFonts w:eastAsia="Times New Roman"/>
          <w:noProof/>
          <w:color w:val="000000" w:themeColor="text1"/>
          <w:lang w:eastAsia="fr-BE"/>
        </w:rPr>
        <w:t>preparing ecodesign requirements</w:t>
      </w:r>
      <w:r w:rsidRPr="00DF5C23">
        <w:rPr>
          <w:rFonts w:eastAsia="Times New Roman"/>
          <w:noProof/>
          <w:color w:val="000000" w:themeColor="text1"/>
          <w:lang w:eastAsia="fr-BE"/>
        </w:rPr>
        <w:t>, examining the effectiveness of the established market surveillance mechanisms and assessing self-regulation measures.</w:t>
      </w:r>
    </w:p>
    <w:p w14:paraId="2C3A571C" w14:textId="77777777" w:rsidR="004A1643" w:rsidRPr="00DF5C23" w:rsidRDefault="008077E6" w:rsidP="0681B866">
      <w:pPr>
        <w:shd w:val="clear" w:color="auto" w:fill="FFFFFF" w:themeFill="background1"/>
        <w:spacing w:after="0"/>
        <w:rPr>
          <w:rFonts w:eastAsia="Times New Roman"/>
          <w:noProof/>
          <w:color w:val="000000" w:themeColor="text1"/>
          <w:lang w:val="en-IE" w:eastAsia="fr-BE"/>
        </w:rPr>
      </w:pPr>
      <w:r w:rsidRPr="00DF5C23">
        <w:rPr>
          <w:rFonts w:eastAsia="Times New Roman"/>
          <w:noProof/>
          <w:color w:val="000000" w:themeColor="text1"/>
          <w:lang w:val="en-IE" w:eastAsia="fr-BE"/>
        </w:rPr>
        <w:t xml:space="preserve">To that end, the Commission shall establish </w:t>
      </w:r>
      <w:r w:rsidR="004A1643" w:rsidRPr="00DF5C23">
        <w:rPr>
          <w:rFonts w:eastAsia="Times New Roman"/>
          <w:noProof/>
          <w:color w:val="000000" w:themeColor="text1"/>
          <w:lang w:val="en-IE" w:eastAsia="fr-BE"/>
        </w:rPr>
        <w:t xml:space="preserve">an expert group, </w:t>
      </w:r>
      <w:r w:rsidRPr="00DF5C23">
        <w:rPr>
          <w:rFonts w:eastAsia="Times New Roman"/>
          <w:noProof/>
          <w:color w:val="000000" w:themeColor="text1"/>
          <w:lang w:val="en-IE" w:eastAsia="fr-BE"/>
        </w:rPr>
        <w:t xml:space="preserve">in which those parties shall meet, </w:t>
      </w:r>
      <w:r w:rsidR="004A1643" w:rsidRPr="00DF5C23">
        <w:rPr>
          <w:rFonts w:eastAsia="Times New Roman"/>
          <w:noProof/>
          <w:color w:val="000000" w:themeColor="text1"/>
          <w:lang w:val="en-IE" w:eastAsia="fr-BE"/>
        </w:rPr>
        <w:t>referred to as the ‘</w:t>
      </w:r>
      <w:r w:rsidR="001F0AB8" w:rsidRPr="00DF5C23">
        <w:rPr>
          <w:rFonts w:eastAsia="Times New Roman"/>
          <w:noProof/>
          <w:color w:val="000000" w:themeColor="text1"/>
          <w:lang w:val="en-IE" w:eastAsia="fr-BE"/>
        </w:rPr>
        <w:t xml:space="preserve">Ecodesign </w:t>
      </w:r>
      <w:r w:rsidR="004A1643" w:rsidRPr="00DF5C23">
        <w:rPr>
          <w:rFonts w:eastAsia="Times New Roman"/>
          <w:noProof/>
          <w:color w:val="000000" w:themeColor="text1"/>
          <w:lang w:val="en-IE" w:eastAsia="fr-BE"/>
        </w:rPr>
        <w:t xml:space="preserve">Forum’. </w:t>
      </w:r>
    </w:p>
    <w:p w14:paraId="2C3A571D" w14:textId="77777777" w:rsidR="00B14F62" w:rsidRPr="00DF5C23" w:rsidRDefault="00B14F62" w:rsidP="00B14F62">
      <w:pPr>
        <w:pStyle w:val="Titrearticle"/>
        <w:rPr>
          <w:noProof/>
          <w:lang w:val="en-IE" w:eastAsia="fr-BE"/>
        </w:rPr>
      </w:pPr>
      <w:r w:rsidRPr="00DF5C23">
        <w:rPr>
          <w:noProof/>
          <w:lang w:val="en-IE" w:eastAsia="fr-BE"/>
        </w:rPr>
        <w:t xml:space="preserve">Article </w:t>
      </w:r>
      <w:r w:rsidR="00A67799" w:rsidRPr="00DF5C23">
        <w:rPr>
          <w:noProof/>
          <w:lang w:val="en-IE" w:eastAsia="fr-BE"/>
        </w:rPr>
        <w:t>1</w:t>
      </w:r>
      <w:r w:rsidR="001A4BE8" w:rsidRPr="00DF5C23">
        <w:rPr>
          <w:noProof/>
          <w:lang w:val="en-IE" w:eastAsia="fr-BE"/>
        </w:rPr>
        <w:t>8</w:t>
      </w:r>
      <w:r w:rsidRPr="00DF5C23">
        <w:rPr>
          <w:noProof/>
        </w:rPr>
        <w:br/>
      </w:r>
      <w:r w:rsidRPr="00DF5C23">
        <w:rPr>
          <w:noProof/>
          <w:lang w:val="en-IE" w:eastAsia="fr-BE"/>
        </w:rPr>
        <w:t>Self-regulation measures</w:t>
      </w:r>
    </w:p>
    <w:p w14:paraId="2C3A571E" w14:textId="59C6CE5E" w:rsidR="003A6AFB" w:rsidRPr="00DF5C23" w:rsidRDefault="004F5E59" w:rsidP="004F5E59">
      <w:pPr>
        <w:pStyle w:val="ManualNumPar1"/>
        <w:rPr>
          <w:noProof/>
          <w:lang w:val="en-IE" w:eastAsia="fr-BE"/>
        </w:rPr>
      </w:pPr>
      <w:r w:rsidRPr="004F5E59">
        <w:t>1.</w:t>
      </w:r>
      <w:r w:rsidRPr="004F5E59">
        <w:tab/>
      </w:r>
      <w:r w:rsidR="00B14F62" w:rsidRPr="00DF5C23">
        <w:rPr>
          <w:noProof/>
          <w:lang w:val="en-IE" w:eastAsia="fr-BE"/>
        </w:rPr>
        <w:t xml:space="preserve">Two or more </w:t>
      </w:r>
      <w:r w:rsidR="004B2C8A" w:rsidRPr="00DF5C23">
        <w:rPr>
          <w:noProof/>
          <w:lang w:val="en-IE" w:eastAsia="fr-BE"/>
        </w:rPr>
        <w:t>economic operators</w:t>
      </w:r>
      <w:r w:rsidR="004B2C8A" w:rsidRPr="00DF5C23" w:rsidDel="004B2C8A">
        <w:rPr>
          <w:noProof/>
          <w:lang w:val="en-IE" w:eastAsia="fr-BE"/>
        </w:rPr>
        <w:t xml:space="preserve"> </w:t>
      </w:r>
      <w:r w:rsidR="00B14F62" w:rsidRPr="00DF5C23">
        <w:rPr>
          <w:noProof/>
          <w:lang w:val="en-IE" w:eastAsia="fr-BE"/>
        </w:rPr>
        <w:t xml:space="preserve">may </w:t>
      </w:r>
      <w:r w:rsidR="004F74D2" w:rsidRPr="00DF5C23">
        <w:rPr>
          <w:noProof/>
          <w:lang w:val="en-IE" w:eastAsia="fr-BE"/>
        </w:rPr>
        <w:t xml:space="preserve">submit a </w:t>
      </w:r>
      <w:r w:rsidR="00B14F62" w:rsidRPr="00DF5C23">
        <w:rPr>
          <w:noProof/>
          <w:lang w:val="en-IE" w:eastAsia="fr-BE"/>
        </w:rPr>
        <w:t xml:space="preserve">self-regulation measure establishing </w:t>
      </w:r>
      <w:r w:rsidR="00092811" w:rsidRPr="00DF5C23">
        <w:rPr>
          <w:noProof/>
          <w:lang w:val="en-IE" w:eastAsia="fr-BE"/>
        </w:rPr>
        <w:t>ecodesign</w:t>
      </w:r>
      <w:r w:rsidR="00B14F62" w:rsidRPr="00DF5C23">
        <w:rPr>
          <w:noProof/>
          <w:lang w:val="en-IE" w:eastAsia="fr-BE"/>
        </w:rPr>
        <w:t xml:space="preserve"> requirements for products </w:t>
      </w:r>
      <w:r w:rsidR="004F74D2" w:rsidRPr="00DF5C23">
        <w:rPr>
          <w:noProof/>
          <w:lang w:val="en-IE" w:eastAsia="fr-BE"/>
        </w:rPr>
        <w:t>to the Commission</w:t>
      </w:r>
      <w:r w:rsidR="00B14F62" w:rsidRPr="00DF5C23">
        <w:rPr>
          <w:noProof/>
          <w:lang w:val="en-IE" w:eastAsia="fr-BE"/>
        </w:rPr>
        <w:t xml:space="preserve"> as an alternative to </w:t>
      </w:r>
      <w:r w:rsidR="004F74D2" w:rsidRPr="00DF5C23">
        <w:rPr>
          <w:noProof/>
          <w:lang w:val="en-IE" w:eastAsia="fr-BE"/>
        </w:rPr>
        <w:t xml:space="preserve">a </w:t>
      </w:r>
      <w:r w:rsidR="00B14F62" w:rsidRPr="00DF5C23">
        <w:rPr>
          <w:noProof/>
          <w:lang w:val="en-IE" w:eastAsia="fr-BE"/>
        </w:rPr>
        <w:t xml:space="preserve">delegated act </w:t>
      </w:r>
      <w:r w:rsidR="00B6655C" w:rsidRPr="00DF5C23">
        <w:rPr>
          <w:noProof/>
          <w:lang w:val="en-IE" w:eastAsia="fr-BE"/>
        </w:rPr>
        <w:t>adopted pursuant to</w:t>
      </w:r>
      <w:r w:rsidR="00B14F62" w:rsidRPr="00DF5C23">
        <w:rPr>
          <w:noProof/>
          <w:lang w:val="en-IE" w:eastAsia="fr-BE"/>
        </w:rPr>
        <w:t xml:space="preserve"> Article </w:t>
      </w:r>
      <w:r w:rsidR="00726668" w:rsidRPr="00DF5C23">
        <w:rPr>
          <w:noProof/>
          <w:lang w:val="en-IE" w:eastAsia="fr-BE"/>
        </w:rPr>
        <w:t>4</w:t>
      </w:r>
      <w:r w:rsidR="00B14F62" w:rsidRPr="00DF5C23">
        <w:rPr>
          <w:noProof/>
          <w:lang w:val="en-IE" w:eastAsia="fr-BE"/>
        </w:rPr>
        <w:t xml:space="preserve">. </w:t>
      </w:r>
      <w:r w:rsidR="004F74D2" w:rsidRPr="00DF5C23">
        <w:rPr>
          <w:noProof/>
          <w:lang w:val="en-IE" w:eastAsia="fr-BE"/>
        </w:rPr>
        <w:t xml:space="preserve">Those operators shall provide evidence that the criteria referred to in paragraph 3, points (a) to (e), are fulfilled. With respect to </w:t>
      </w:r>
      <w:r w:rsidR="00C56382" w:rsidRPr="00DF5C23">
        <w:rPr>
          <w:noProof/>
          <w:lang w:val="en-IE" w:eastAsia="fr-BE"/>
        </w:rPr>
        <w:t xml:space="preserve">paragraph 3, </w:t>
      </w:r>
      <w:r w:rsidR="004F74D2" w:rsidRPr="00DF5C23">
        <w:rPr>
          <w:noProof/>
          <w:lang w:val="en-IE" w:eastAsia="fr-BE"/>
        </w:rPr>
        <w:t xml:space="preserve">point (a), that evidence shall consist of a </w:t>
      </w:r>
      <w:r w:rsidR="004C77EA" w:rsidRPr="00DF5C23">
        <w:rPr>
          <w:noProof/>
          <w:lang w:val="en-IE" w:eastAsia="fr-BE"/>
        </w:rPr>
        <w:t xml:space="preserve">structured </w:t>
      </w:r>
      <w:r w:rsidR="004F74D2" w:rsidRPr="00DF5C23">
        <w:rPr>
          <w:noProof/>
          <w:lang w:val="en-IE" w:eastAsia="fr-BE"/>
        </w:rPr>
        <w:t>technical, environmental and economic analysis</w:t>
      </w:r>
      <w:r w:rsidR="004C77EA" w:rsidRPr="00DF5C23">
        <w:rPr>
          <w:noProof/>
          <w:lang w:val="en-IE" w:eastAsia="fr-BE"/>
        </w:rPr>
        <w:t xml:space="preserve">, justifying the ecodesign requirements and objectives of the self-regulation measure, and </w:t>
      </w:r>
      <w:r w:rsidR="005C482B" w:rsidRPr="00DF5C23">
        <w:rPr>
          <w:noProof/>
          <w:lang w:val="en-IE" w:eastAsia="fr-BE"/>
        </w:rPr>
        <w:t>assessing the impacts of the ecodesign requirements set in that self-regulation measure</w:t>
      </w:r>
      <w:r w:rsidR="004C77EA" w:rsidRPr="00DF5C23">
        <w:rPr>
          <w:noProof/>
          <w:lang w:val="en-IE" w:eastAsia="fr-BE"/>
        </w:rPr>
        <w:t>.</w:t>
      </w:r>
      <w:r w:rsidR="004F74D2" w:rsidRPr="00DF5C23">
        <w:rPr>
          <w:noProof/>
          <w:lang w:val="en-IE" w:eastAsia="fr-BE"/>
        </w:rPr>
        <w:t xml:space="preserve"> </w:t>
      </w:r>
    </w:p>
    <w:p w14:paraId="2C3A571F" w14:textId="113FDB25" w:rsidR="00B14F62" w:rsidRPr="00DF5C23" w:rsidRDefault="004F5E59" w:rsidP="004F5E59">
      <w:pPr>
        <w:pStyle w:val="ManualNumPar1"/>
        <w:rPr>
          <w:noProof/>
          <w:lang w:val="en-IE" w:eastAsia="fr-BE"/>
        </w:rPr>
      </w:pPr>
      <w:r w:rsidRPr="004F5E59">
        <w:t>2.</w:t>
      </w:r>
      <w:r w:rsidRPr="004F5E59">
        <w:tab/>
      </w:r>
      <w:r w:rsidR="00B14F62" w:rsidRPr="00DF5C23">
        <w:rPr>
          <w:noProof/>
          <w:lang w:val="en-IE" w:eastAsia="fr-BE"/>
        </w:rPr>
        <w:t xml:space="preserve">The self-regulation </w:t>
      </w:r>
      <w:r w:rsidR="004B2C8A" w:rsidRPr="00DF5C23">
        <w:rPr>
          <w:noProof/>
          <w:lang w:val="en-IE" w:eastAsia="fr-BE"/>
        </w:rPr>
        <w:t>measure shall contain the following information</w:t>
      </w:r>
      <w:r w:rsidR="00B14F62" w:rsidRPr="00DF5C23">
        <w:rPr>
          <w:noProof/>
          <w:lang w:val="en-IE" w:eastAsia="fr-BE"/>
        </w:rPr>
        <w:t>:</w:t>
      </w:r>
    </w:p>
    <w:p w14:paraId="2C3A5720" w14:textId="0E73F30C" w:rsidR="00B14F62" w:rsidRPr="00DF5C23" w:rsidRDefault="004F5E59" w:rsidP="004F5E59">
      <w:pPr>
        <w:pStyle w:val="Point1"/>
        <w:rPr>
          <w:noProof/>
          <w:lang w:val="en-IE" w:eastAsia="fr-BE"/>
        </w:rPr>
      </w:pPr>
      <w:r w:rsidRPr="004F5E59">
        <w:t>(a)</w:t>
      </w:r>
      <w:r w:rsidRPr="004F5E59">
        <w:tab/>
      </w:r>
      <w:r w:rsidR="00B14F62" w:rsidRPr="00DF5C23">
        <w:rPr>
          <w:noProof/>
          <w:lang w:val="en-IE" w:eastAsia="fr-BE"/>
        </w:rPr>
        <w:t xml:space="preserve">a list of the </w:t>
      </w:r>
      <w:r w:rsidR="004B2C8A" w:rsidRPr="00DF5C23">
        <w:rPr>
          <w:noProof/>
          <w:lang w:val="en-IE" w:eastAsia="fr-BE"/>
        </w:rPr>
        <w:t>economic operators</w:t>
      </w:r>
      <w:r w:rsidR="004B2C8A" w:rsidRPr="00DF5C23" w:rsidDel="004B2C8A">
        <w:rPr>
          <w:noProof/>
          <w:lang w:val="en-IE" w:eastAsia="fr-BE"/>
        </w:rPr>
        <w:t xml:space="preserve"> </w:t>
      </w:r>
      <w:r w:rsidR="00AD3559" w:rsidRPr="00DF5C23">
        <w:rPr>
          <w:noProof/>
          <w:lang w:val="en-IE" w:eastAsia="fr-BE"/>
        </w:rPr>
        <w:t>that</w:t>
      </w:r>
      <w:r w:rsidR="00B14F62" w:rsidRPr="00DF5C23">
        <w:rPr>
          <w:noProof/>
          <w:lang w:val="en-IE" w:eastAsia="fr-BE"/>
        </w:rPr>
        <w:t xml:space="preserve"> are signatories to </w:t>
      </w:r>
      <w:r w:rsidR="004F74D2" w:rsidRPr="00DF5C23">
        <w:rPr>
          <w:noProof/>
          <w:lang w:val="en-IE" w:eastAsia="fr-BE"/>
        </w:rPr>
        <w:t>the self-regulation</w:t>
      </w:r>
      <w:r w:rsidR="004B2C8A" w:rsidRPr="00DF5C23">
        <w:rPr>
          <w:noProof/>
          <w:lang w:val="en-IE" w:eastAsia="fr-BE"/>
        </w:rPr>
        <w:t xml:space="preserve"> </w:t>
      </w:r>
      <w:r w:rsidR="00B14F62" w:rsidRPr="00DF5C23">
        <w:rPr>
          <w:noProof/>
          <w:lang w:val="en-IE" w:eastAsia="fr-BE"/>
        </w:rPr>
        <w:t xml:space="preserve">measure; </w:t>
      </w:r>
    </w:p>
    <w:p w14:paraId="2C3A5721" w14:textId="2762A580" w:rsidR="00B14F62" w:rsidRPr="00DF5C23" w:rsidRDefault="004F5E59" w:rsidP="004F5E59">
      <w:pPr>
        <w:pStyle w:val="Point1"/>
        <w:rPr>
          <w:noProof/>
          <w:lang w:val="en-IE" w:eastAsia="fr-BE"/>
        </w:rPr>
      </w:pPr>
      <w:r w:rsidRPr="004F5E59">
        <w:t>(b)</w:t>
      </w:r>
      <w:r w:rsidRPr="004F5E59">
        <w:tab/>
      </w:r>
      <w:r w:rsidR="000A6A88" w:rsidRPr="00DF5C23">
        <w:rPr>
          <w:noProof/>
          <w:lang w:val="en-IE" w:eastAsia="fr-BE"/>
        </w:rPr>
        <w:t>t</w:t>
      </w:r>
      <w:r w:rsidR="004F74D2" w:rsidRPr="00DF5C23">
        <w:rPr>
          <w:noProof/>
          <w:lang w:val="en-IE" w:eastAsia="fr-BE"/>
        </w:rPr>
        <w:t xml:space="preserve">he </w:t>
      </w:r>
      <w:r w:rsidR="00092811" w:rsidRPr="00DF5C23">
        <w:rPr>
          <w:noProof/>
          <w:lang w:val="en-IE" w:eastAsia="fr-BE"/>
        </w:rPr>
        <w:t>ecodesign</w:t>
      </w:r>
      <w:r w:rsidR="00B14F62" w:rsidRPr="00DF5C23">
        <w:rPr>
          <w:noProof/>
        </w:rPr>
        <w:t xml:space="preserve"> requirements applicable to products covered by </w:t>
      </w:r>
      <w:r w:rsidR="00A8195B" w:rsidRPr="00DF5C23">
        <w:rPr>
          <w:noProof/>
        </w:rPr>
        <w:t>the self-regulation measure</w:t>
      </w:r>
      <w:r w:rsidR="00B14F62" w:rsidRPr="00DF5C23">
        <w:rPr>
          <w:noProof/>
          <w:lang w:val="en-IE" w:eastAsia="fr-BE"/>
        </w:rPr>
        <w:t xml:space="preserve">; </w:t>
      </w:r>
    </w:p>
    <w:p w14:paraId="2C3A5722" w14:textId="75646424" w:rsidR="00B14F62" w:rsidRPr="00DF5C23" w:rsidRDefault="004F5E59" w:rsidP="004F5E59">
      <w:pPr>
        <w:pStyle w:val="Point1"/>
        <w:rPr>
          <w:noProof/>
          <w:lang w:val="en-IE" w:eastAsia="fr-BE"/>
        </w:rPr>
      </w:pPr>
      <w:r w:rsidRPr="004F5E59">
        <w:t>(c)</w:t>
      </w:r>
      <w:r w:rsidRPr="004F5E59">
        <w:tab/>
      </w:r>
      <w:r w:rsidR="00B14F62" w:rsidRPr="00DF5C23">
        <w:rPr>
          <w:noProof/>
          <w:lang w:val="en-IE" w:eastAsia="fr-BE"/>
        </w:rPr>
        <w:t>a detailed, transparent and objective monitoring plan, with clearly identified responsibilities for industry and independent inspectors</w:t>
      </w:r>
      <w:r w:rsidR="00914AC2" w:rsidRPr="00DF5C23">
        <w:rPr>
          <w:noProof/>
          <w:lang w:val="en-IE" w:eastAsia="fr-BE"/>
        </w:rPr>
        <w:t xml:space="preserve">, including the </w:t>
      </w:r>
      <w:r w:rsidR="00AF52FB" w:rsidRPr="00DF5C23">
        <w:rPr>
          <w:noProof/>
          <w:lang w:val="en-IE" w:eastAsia="fr-BE"/>
        </w:rPr>
        <w:t>criteria</w:t>
      </w:r>
      <w:r w:rsidR="00A8195B" w:rsidRPr="00DF5C23">
        <w:rPr>
          <w:noProof/>
          <w:lang w:val="en-IE" w:eastAsia="fr-BE"/>
        </w:rPr>
        <w:t xml:space="preserve"> </w:t>
      </w:r>
      <w:r w:rsidR="00914AC2" w:rsidRPr="00DF5C23">
        <w:rPr>
          <w:noProof/>
          <w:lang w:val="en-IE" w:eastAsia="fr-BE"/>
        </w:rPr>
        <w:t xml:space="preserve">set out in </w:t>
      </w:r>
      <w:r w:rsidR="004F74D2" w:rsidRPr="00DF5C23">
        <w:rPr>
          <w:noProof/>
          <w:lang w:val="en-IE" w:eastAsia="fr-BE"/>
        </w:rPr>
        <w:t xml:space="preserve">point 6 of </w:t>
      </w:r>
      <w:r w:rsidR="00914AC2" w:rsidRPr="00DF5C23">
        <w:rPr>
          <w:noProof/>
          <w:lang w:val="en-IE" w:eastAsia="fr-BE"/>
        </w:rPr>
        <w:t>Annex VII</w:t>
      </w:r>
      <w:r w:rsidR="00B14F62" w:rsidRPr="00DF5C23">
        <w:rPr>
          <w:noProof/>
          <w:lang w:val="en-IE" w:eastAsia="fr-BE"/>
        </w:rPr>
        <w:t xml:space="preserve">; </w:t>
      </w:r>
    </w:p>
    <w:p w14:paraId="2C3A5723" w14:textId="732BE105" w:rsidR="00B14F62" w:rsidRPr="00DF5C23" w:rsidRDefault="004F5E59" w:rsidP="004F5E59">
      <w:pPr>
        <w:pStyle w:val="Point1"/>
        <w:rPr>
          <w:noProof/>
          <w:lang w:val="en-IE" w:eastAsia="fr-BE"/>
        </w:rPr>
      </w:pPr>
      <w:r w:rsidRPr="004F5E59">
        <w:t>(d)</w:t>
      </w:r>
      <w:r w:rsidRPr="004F5E59">
        <w:tab/>
      </w:r>
      <w:r w:rsidR="00B14F62" w:rsidRPr="00DF5C23">
        <w:rPr>
          <w:noProof/>
          <w:lang w:val="en-IE" w:eastAsia="fr-BE"/>
        </w:rPr>
        <w:t>rules on information to be reported by signatories and on testing and inspections.</w:t>
      </w:r>
    </w:p>
    <w:p w14:paraId="2C3A5724" w14:textId="77777777" w:rsidR="00B14F62" w:rsidRPr="00DF5C23" w:rsidRDefault="00B14F62" w:rsidP="00B14F62">
      <w:pPr>
        <w:pStyle w:val="Text1"/>
        <w:rPr>
          <w:noProof/>
          <w:lang w:val="en-IE" w:eastAsia="fr-BE"/>
        </w:rPr>
      </w:pPr>
      <w:r w:rsidRPr="00DF5C23">
        <w:rPr>
          <w:noProof/>
          <w:lang w:val="en-IE" w:eastAsia="fr-BE"/>
        </w:rPr>
        <w:t>The information</w:t>
      </w:r>
      <w:r w:rsidR="00A8195B" w:rsidRPr="00DF5C23">
        <w:rPr>
          <w:noProof/>
          <w:lang w:val="en-IE" w:eastAsia="fr-BE"/>
        </w:rPr>
        <w:t xml:space="preserve"> </w:t>
      </w:r>
      <w:r w:rsidRPr="00DF5C23">
        <w:rPr>
          <w:noProof/>
          <w:lang w:val="en-IE" w:eastAsia="fr-BE"/>
        </w:rPr>
        <w:t>referred to in this paragraph shall be kept up-to-date</w:t>
      </w:r>
      <w:r w:rsidR="008500AD" w:rsidRPr="00DF5C23">
        <w:rPr>
          <w:noProof/>
          <w:lang w:val="en-IE" w:eastAsia="fr-BE"/>
        </w:rPr>
        <w:t xml:space="preserve"> and be available on </w:t>
      </w:r>
      <w:r w:rsidR="004F74D2" w:rsidRPr="00DF5C23">
        <w:rPr>
          <w:noProof/>
          <w:lang w:val="en-IE" w:eastAsia="fr-BE"/>
        </w:rPr>
        <w:t xml:space="preserve">a </w:t>
      </w:r>
      <w:r w:rsidR="008500AD" w:rsidRPr="00DF5C23">
        <w:rPr>
          <w:noProof/>
          <w:lang w:val="en-IE" w:eastAsia="fr-BE"/>
        </w:rPr>
        <w:t>publicly accessible website</w:t>
      </w:r>
      <w:r w:rsidRPr="00DF5C23">
        <w:rPr>
          <w:noProof/>
          <w:lang w:val="en-IE" w:eastAsia="fr-BE"/>
        </w:rPr>
        <w:t>.</w:t>
      </w:r>
    </w:p>
    <w:p w14:paraId="2C3A5725" w14:textId="0AAB92D0" w:rsidR="00413BFF" w:rsidRPr="00DF5C23" w:rsidRDefault="004F5E59" w:rsidP="004F5E59">
      <w:pPr>
        <w:pStyle w:val="ManualNumPar1"/>
        <w:rPr>
          <w:noProof/>
          <w:lang w:val="en-IE" w:eastAsia="fr-BE"/>
        </w:rPr>
      </w:pPr>
      <w:r w:rsidRPr="004F5E59">
        <w:t>3.</w:t>
      </w:r>
      <w:r w:rsidRPr="004F5E59">
        <w:tab/>
      </w:r>
      <w:r w:rsidR="00413BFF" w:rsidRPr="00DF5C23">
        <w:rPr>
          <w:noProof/>
          <w:lang w:val="en-IE" w:eastAsia="fr-BE"/>
        </w:rPr>
        <w:t>The Commission shall assess the p</w:t>
      </w:r>
      <w:r w:rsidR="000218B6" w:rsidRPr="00DF5C23">
        <w:rPr>
          <w:noProof/>
          <w:lang w:val="en-IE" w:eastAsia="fr-BE"/>
        </w:rPr>
        <w:t>roposed self-regulation measure</w:t>
      </w:r>
      <w:r w:rsidR="00ED2110" w:rsidRPr="00DF5C23">
        <w:rPr>
          <w:noProof/>
          <w:lang w:val="en-IE" w:eastAsia="fr-BE"/>
        </w:rPr>
        <w:t xml:space="preserve">, and, where necessary, shall seek scientific advice from Union decentralised agencies. On the basis of </w:t>
      </w:r>
      <w:r w:rsidR="00C56382" w:rsidRPr="00DF5C23">
        <w:rPr>
          <w:noProof/>
          <w:lang w:val="en-IE" w:eastAsia="fr-BE"/>
        </w:rPr>
        <w:t xml:space="preserve">that </w:t>
      </w:r>
      <w:r w:rsidR="00ED2110" w:rsidRPr="00DF5C23">
        <w:rPr>
          <w:noProof/>
          <w:lang w:val="en-IE" w:eastAsia="fr-BE"/>
        </w:rPr>
        <w:t>assessment, it</w:t>
      </w:r>
      <w:r w:rsidR="00413BFF" w:rsidRPr="00DF5C23">
        <w:rPr>
          <w:noProof/>
          <w:lang w:val="en-IE" w:eastAsia="fr-BE"/>
        </w:rPr>
        <w:t xml:space="preserve"> shall </w:t>
      </w:r>
      <w:r w:rsidR="000A6A88" w:rsidRPr="00DF5C23">
        <w:rPr>
          <w:noProof/>
          <w:lang w:val="en-IE" w:eastAsia="fr-BE"/>
        </w:rPr>
        <w:t xml:space="preserve">establish </w:t>
      </w:r>
      <w:r w:rsidR="00ED2110" w:rsidRPr="00DF5C23">
        <w:rPr>
          <w:noProof/>
          <w:lang w:val="en-IE" w:eastAsia="fr-BE"/>
        </w:rPr>
        <w:t>whether</w:t>
      </w:r>
      <w:r w:rsidR="000A6A88" w:rsidRPr="00DF5C23">
        <w:rPr>
          <w:noProof/>
          <w:lang w:val="en-IE" w:eastAsia="fr-BE"/>
        </w:rPr>
        <w:t xml:space="preserve"> it is </w:t>
      </w:r>
      <w:r w:rsidR="00413BFF" w:rsidRPr="00DF5C23">
        <w:rPr>
          <w:noProof/>
          <w:lang w:val="en-IE" w:eastAsia="fr-BE"/>
        </w:rPr>
        <w:t>a valid alternative to a delegated act adopted pursuant to Article 4 where the following criteria are fulfilled:</w:t>
      </w:r>
    </w:p>
    <w:p w14:paraId="2C3A5726" w14:textId="18E0FF37" w:rsidR="003A6AFB" w:rsidRPr="00DF5C23" w:rsidRDefault="004F5E59" w:rsidP="004F5E59">
      <w:pPr>
        <w:pStyle w:val="Point1"/>
        <w:rPr>
          <w:noProof/>
          <w:lang w:val="en-IE" w:eastAsia="fr-BE"/>
        </w:rPr>
      </w:pPr>
      <w:r w:rsidRPr="004F5E59">
        <w:t>(a)</w:t>
      </w:r>
      <w:r w:rsidRPr="004F5E59">
        <w:tab/>
      </w:r>
      <w:r w:rsidR="003A6AFB" w:rsidRPr="00DF5C23">
        <w:rPr>
          <w:noProof/>
          <w:lang w:val="en-IE" w:eastAsia="fr-BE"/>
        </w:rPr>
        <w:t xml:space="preserve">the self-regulation measure </w:t>
      </w:r>
      <w:r w:rsidR="000A6A88" w:rsidRPr="00DF5C23">
        <w:rPr>
          <w:noProof/>
          <w:lang w:val="en-IE" w:eastAsia="fr-BE"/>
        </w:rPr>
        <w:t>contributes to</w:t>
      </w:r>
      <w:r w:rsidR="003A6AFB" w:rsidRPr="00DF5C23">
        <w:rPr>
          <w:noProof/>
          <w:lang w:val="en-IE" w:eastAsia="fr-BE"/>
        </w:rPr>
        <w:t xml:space="preserve"> </w:t>
      </w:r>
      <w:r w:rsidR="000A6A88" w:rsidRPr="00DF5C23">
        <w:rPr>
          <w:noProof/>
        </w:rPr>
        <w:t xml:space="preserve">improving </w:t>
      </w:r>
      <w:r w:rsidR="00ED2665" w:rsidRPr="00DF5C23">
        <w:rPr>
          <w:noProof/>
        </w:rPr>
        <w:t xml:space="preserve">the </w:t>
      </w:r>
      <w:r w:rsidR="00A67E0F" w:rsidRPr="00DF5C23">
        <w:rPr>
          <w:noProof/>
        </w:rPr>
        <w:t>environmental</w:t>
      </w:r>
      <w:r w:rsidR="000A6A88" w:rsidRPr="00DF5C23">
        <w:rPr>
          <w:noProof/>
        </w:rPr>
        <w:t xml:space="preserve"> sustainability </w:t>
      </w:r>
      <w:r w:rsidR="00A67E0F" w:rsidRPr="00DF5C23">
        <w:rPr>
          <w:noProof/>
        </w:rPr>
        <w:t xml:space="preserve">of products </w:t>
      </w:r>
      <w:r w:rsidR="000A6A88" w:rsidRPr="00DF5C23">
        <w:rPr>
          <w:noProof/>
        </w:rPr>
        <w:t xml:space="preserve">and ensuring the free movement in the internal market </w:t>
      </w:r>
      <w:r w:rsidR="003A6AFB" w:rsidRPr="00DF5C23">
        <w:rPr>
          <w:noProof/>
          <w:lang w:val="en-IE" w:eastAsia="fr-BE"/>
        </w:rPr>
        <w:t xml:space="preserve">quickly or at a lesser expense than a delegated act adopted pursuant to Article </w:t>
      </w:r>
      <w:r w:rsidR="00726668" w:rsidRPr="00DF5C23">
        <w:rPr>
          <w:noProof/>
          <w:lang w:val="en-IE" w:eastAsia="fr-BE"/>
        </w:rPr>
        <w:t>4</w:t>
      </w:r>
      <w:r w:rsidR="003A6AFB" w:rsidRPr="00DF5C23">
        <w:rPr>
          <w:noProof/>
          <w:lang w:val="en-IE" w:eastAsia="fr-BE"/>
        </w:rPr>
        <w:t xml:space="preserve">; </w:t>
      </w:r>
    </w:p>
    <w:p w14:paraId="2C3A5727" w14:textId="290AA823" w:rsidR="003A6AFB" w:rsidRPr="00DF5C23" w:rsidRDefault="004F5E59" w:rsidP="004F5E59">
      <w:pPr>
        <w:pStyle w:val="Point1"/>
        <w:rPr>
          <w:noProof/>
          <w:lang w:val="en-IE" w:eastAsia="fr-BE"/>
        </w:rPr>
      </w:pPr>
      <w:r w:rsidRPr="004F5E59">
        <w:t>(b)</w:t>
      </w:r>
      <w:r w:rsidRPr="004F5E59">
        <w:tab/>
      </w:r>
      <w:r w:rsidR="003A6AFB" w:rsidRPr="00DF5C23">
        <w:rPr>
          <w:noProof/>
          <w:lang w:val="en-IE" w:eastAsia="fr-BE"/>
        </w:rPr>
        <w:t xml:space="preserve">the market </w:t>
      </w:r>
      <w:r w:rsidR="00C56382" w:rsidRPr="00DF5C23">
        <w:rPr>
          <w:noProof/>
          <w:lang w:val="en-IE" w:eastAsia="fr-BE"/>
        </w:rPr>
        <w:t xml:space="preserve">share in terms of volume </w:t>
      </w:r>
      <w:r w:rsidR="003A6AFB" w:rsidRPr="00DF5C23">
        <w:rPr>
          <w:noProof/>
          <w:lang w:val="en-IE" w:eastAsia="fr-BE"/>
        </w:rPr>
        <w:t xml:space="preserve">of </w:t>
      </w:r>
      <w:r w:rsidR="000A6A88" w:rsidRPr="00DF5C23">
        <w:rPr>
          <w:noProof/>
          <w:lang w:val="en-IE" w:eastAsia="fr-BE"/>
        </w:rPr>
        <w:t>the</w:t>
      </w:r>
      <w:r w:rsidR="003A6AFB" w:rsidRPr="00DF5C23">
        <w:rPr>
          <w:noProof/>
          <w:lang w:val="en-IE" w:eastAsia="fr-BE"/>
        </w:rPr>
        <w:t xml:space="preserve"> signatories </w:t>
      </w:r>
      <w:r w:rsidR="000A6A88" w:rsidRPr="00DF5C23">
        <w:rPr>
          <w:noProof/>
          <w:lang w:val="en-IE" w:eastAsia="fr-BE"/>
        </w:rPr>
        <w:t>to the self-regulation measure</w:t>
      </w:r>
      <w:r w:rsidR="003A6AFB" w:rsidRPr="00DF5C23">
        <w:rPr>
          <w:noProof/>
          <w:lang w:val="en-IE" w:eastAsia="fr-BE"/>
        </w:rPr>
        <w:t xml:space="preserve"> </w:t>
      </w:r>
      <w:r w:rsidR="00C56382" w:rsidRPr="00DF5C23">
        <w:rPr>
          <w:noProof/>
          <w:lang w:val="en-IE" w:eastAsia="fr-BE"/>
        </w:rPr>
        <w:t xml:space="preserve">in relation to the products covered by that measure </w:t>
      </w:r>
      <w:r w:rsidR="003A6AFB" w:rsidRPr="00DF5C23">
        <w:rPr>
          <w:noProof/>
          <w:lang w:val="en-IE" w:eastAsia="fr-BE"/>
        </w:rPr>
        <w:t>is at least 80 % of units placed on the market or put into service;</w:t>
      </w:r>
    </w:p>
    <w:p w14:paraId="2C3A5728" w14:textId="4CBDD113" w:rsidR="003A6AFB" w:rsidRPr="00DF5C23" w:rsidRDefault="004F5E59" w:rsidP="004F5E59">
      <w:pPr>
        <w:pStyle w:val="Point1"/>
        <w:rPr>
          <w:noProof/>
          <w:lang w:val="en-IE" w:eastAsia="fr-BE"/>
        </w:rPr>
      </w:pPr>
      <w:r w:rsidRPr="004F5E59">
        <w:t>(c)</w:t>
      </w:r>
      <w:r w:rsidRPr="004F5E59">
        <w:tab/>
      </w:r>
      <w:r w:rsidR="003A6AFB" w:rsidRPr="00DF5C23">
        <w:rPr>
          <w:noProof/>
          <w:lang w:val="en-IE" w:eastAsia="fr-BE"/>
        </w:rPr>
        <w:t xml:space="preserve">the self-regulation measure complies with the criteria set out in Annex VII; </w:t>
      </w:r>
    </w:p>
    <w:p w14:paraId="2C3A5729" w14:textId="43707824" w:rsidR="00A90AF7" w:rsidRPr="00DF5C23" w:rsidRDefault="004F5E59" w:rsidP="004F5E59">
      <w:pPr>
        <w:pStyle w:val="Point1"/>
        <w:rPr>
          <w:noProof/>
          <w:lang w:val="en-IE" w:eastAsia="fr-BE"/>
        </w:rPr>
      </w:pPr>
      <w:r w:rsidRPr="004F5E59">
        <w:t>(d)</w:t>
      </w:r>
      <w:r w:rsidRPr="004F5E59">
        <w:tab/>
      </w:r>
      <w:r w:rsidR="003A6AFB" w:rsidRPr="00DF5C23">
        <w:rPr>
          <w:noProof/>
          <w:lang w:val="en-IE" w:eastAsia="fr-BE"/>
        </w:rPr>
        <w:t xml:space="preserve">the product covered by the self-regulation measure does not fall within the scope of a delegated act adopted pursuant to Article </w:t>
      </w:r>
      <w:r w:rsidR="00726668" w:rsidRPr="00DF5C23">
        <w:rPr>
          <w:noProof/>
          <w:lang w:val="en-IE" w:eastAsia="fr-BE"/>
        </w:rPr>
        <w:t>4</w:t>
      </w:r>
      <w:r w:rsidR="00A90AF7" w:rsidRPr="00DF5C23">
        <w:rPr>
          <w:noProof/>
          <w:lang w:val="en-IE" w:eastAsia="fr-BE"/>
        </w:rPr>
        <w:t xml:space="preserve">; </w:t>
      </w:r>
    </w:p>
    <w:p w14:paraId="2C3A572A" w14:textId="01C025A2" w:rsidR="003A6AFB" w:rsidRPr="00DF5C23" w:rsidRDefault="004F5E59" w:rsidP="004F5E59">
      <w:pPr>
        <w:pStyle w:val="Point1"/>
        <w:rPr>
          <w:noProof/>
          <w:lang w:val="en-IE" w:eastAsia="fr-BE"/>
        </w:rPr>
      </w:pPr>
      <w:r w:rsidRPr="004F5E59">
        <w:t>(e)</w:t>
      </w:r>
      <w:r w:rsidRPr="004F5E59">
        <w:tab/>
      </w:r>
      <w:r w:rsidR="00A90AF7" w:rsidRPr="00DF5C23">
        <w:rPr>
          <w:noProof/>
        </w:rPr>
        <w:t>the self</w:t>
      </w:r>
      <w:r w:rsidR="002D6AA1" w:rsidRPr="00DF5C23">
        <w:rPr>
          <w:noProof/>
        </w:rPr>
        <w:t>-</w:t>
      </w:r>
      <w:r w:rsidR="00A90AF7" w:rsidRPr="00DF5C23">
        <w:rPr>
          <w:noProof/>
        </w:rPr>
        <w:t>regulation measure is in line with Union legislation and international trade commitments of the Union</w:t>
      </w:r>
      <w:r w:rsidR="003A6AFB" w:rsidRPr="00DF5C23">
        <w:rPr>
          <w:noProof/>
          <w:lang w:val="en-IE" w:eastAsia="fr-BE"/>
        </w:rPr>
        <w:t>.</w:t>
      </w:r>
    </w:p>
    <w:p w14:paraId="2C3A572B" w14:textId="77777777" w:rsidR="001C3ACC" w:rsidRPr="00DF5C23" w:rsidRDefault="000A6A88" w:rsidP="001C3ACC">
      <w:pPr>
        <w:pStyle w:val="Text1"/>
        <w:rPr>
          <w:noProof/>
        </w:rPr>
      </w:pPr>
      <w:r w:rsidRPr="00DF5C23">
        <w:rPr>
          <w:noProof/>
          <w:lang w:val="en-IE"/>
        </w:rPr>
        <w:t xml:space="preserve">The Commission shall adopt an implementing act containing a list of self-regulation measures established as valid alternatives to a delegated act adopted pursuant to Article 4. </w:t>
      </w:r>
      <w:r w:rsidR="001C3ACC" w:rsidRPr="00DF5C23">
        <w:rPr>
          <w:noProof/>
          <w:lang w:val="en-IE"/>
        </w:rPr>
        <w:t>T</w:t>
      </w:r>
      <w:r w:rsidR="00FC4C54" w:rsidRPr="00DF5C23">
        <w:rPr>
          <w:noProof/>
          <w:lang w:val="en-IE"/>
        </w:rPr>
        <w:t>hat</w:t>
      </w:r>
      <w:r w:rsidR="001C3ACC" w:rsidRPr="00DF5C23">
        <w:rPr>
          <w:noProof/>
          <w:lang w:val="en-IE"/>
        </w:rPr>
        <w:t xml:space="preserve"> implementing act shall be adopted in accordance with the advisory procedure referred to in Article 6</w:t>
      </w:r>
      <w:r w:rsidR="00ED2665" w:rsidRPr="00DF5C23">
        <w:rPr>
          <w:noProof/>
          <w:lang w:val="en-IE"/>
        </w:rPr>
        <w:t>7</w:t>
      </w:r>
      <w:r w:rsidR="001C3ACC" w:rsidRPr="00DF5C23">
        <w:rPr>
          <w:noProof/>
          <w:lang w:val="en-IE" w:eastAsia="fr-BE"/>
        </w:rPr>
        <w:t>(2)</w:t>
      </w:r>
      <w:r w:rsidR="001C3ACC" w:rsidRPr="00DF5C23">
        <w:rPr>
          <w:noProof/>
          <w:lang w:val="en-IE"/>
        </w:rPr>
        <w:t>.</w:t>
      </w:r>
    </w:p>
    <w:p w14:paraId="2C3A572C" w14:textId="226E6FB5" w:rsidR="00B14F62" w:rsidRPr="00DF5C23" w:rsidRDefault="004F5E59" w:rsidP="004F5E59">
      <w:pPr>
        <w:pStyle w:val="ManualNumPar1"/>
        <w:rPr>
          <w:noProof/>
        </w:rPr>
      </w:pPr>
      <w:r w:rsidRPr="004F5E59">
        <w:t>4.</w:t>
      </w:r>
      <w:r w:rsidRPr="004F5E59">
        <w:tab/>
      </w:r>
      <w:r w:rsidR="00B14F62" w:rsidRPr="00DF5C23">
        <w:rPr>
          <w:noProof/>
          <w:lang w:val="en-IE" w:eastAsia="fr-BE"/>
        </w:rPr>
        <w:t xml:space="preserve">The Commission may </w:t>
      </w:r>
      <w:r w:rsidR="000A6A88" w:rsidRPr="00DF5C23">
        <w:rPr>
          <w:noProof/>
          <w:lang w:val="en-IE" w:eastAsia="fr-BE"/>
        </w:rPr>
        <w:t xml:space="preserve">at any point in time </w:t>
      </w:r>
      <w:r w:rsidR="00B14F62" w:rsidRPr="00DF5C23">
        <w:rPr>
          <w:noProof/>
          <w:lang w:val="en-IE" w:eastAsia="fr-BE"/>
        </w:rPr>
        <w:t xml:space="preserve">request the signatories of a self-regulation measure to submit </w:t>
      </w:r>
      <w:r w:rsidR="00B14F62" w:rsidRPr="00DF5C23">
        <w:rPr>
          <w:noProof/>
        </w:rPr>
        <w:t xml:space="preserve">a revised </w:t>
      </w:r>
      <w:r w:rsidR="000A6A88" w:rsidRPr="00DF5C23">
        <w:rPr>
          <w:noProof/>
        </w:rPr>
        <w:t xml:space="preserve">and updated </w:t>
      </w:r>
      <w:r w:rsidR="00B14F62" w:rsidRPr="00DF5C23">
        <w:rPr>
          <w:noProof/>
        </w:rPr>
        <w:t xml:space="preserve">version of </w:t>
      </w:r>
      <w:r w:rsidR="000A6A88" w:rsidRPr="00DF5C23">
        <w:rPr>
          <w:noProof/>
        </w:rPr>
        <w:t xml:space="preserve">that </w:t>
      </w:r>
      <w:r w:rsidR="00B14F62" w:rsidRPr="00DF5C23">
        <w:rPr>
          <w:noProof/>
        </w:rPr>
        <w:t>measure</w:t>
      </w:r>
      <w:r w:rsidR="00871E48" w:rsidRPr="00DF5C23">
        <w:rPr>
          <w:noProof/>
        </w:rPr>
        <w:t xml:space="preserve"> in view of relevant market or technological developments within the product group concerned or where it has reason to believe that the criteria set out in paragraph 3 are no longer fulfilled</w:t>
      </w:r>
      <w:r w:rsidR="00B14F62" w:rsidRPr="00DF5C23">
        <w:rPr>
          <w:noProof/>
        </w:rPr>
        <w:t xml:space="preserve">. </w:t>
      </w:r>
    </w:p>
    <w:p w14:paraId="2C3A572D" w14:textId="0C8D43CB" w:rsidR="00B14F62" w:rsidRPr="00DF5C23" w:rsidRDefault="004F5E59" w:rsidP="004F5E59">
      <w:pPr>
        <w:pStyle w:val="ManualNumPar1"/>
        <w:rPr>
          <w:noProof/>
          <w:lang w:val="en-IE" w:eastAsia="fr-BE"/>
        </w:rPr>
      </w:pPr>
      <w:r w:rsidRPr="004F5E59">
        <w:t>5.</w:t>
      </w:r>
      <w:r w:rsidRPr="004F5E59">
        <w:tab/>
      </w:r>
      <w:r w:rsidR="002B67B0" w:rsidRPr="00DF5C23">
        <w:rPr>
          <w:noProof/>
          <w:lang w:val="en-IE" w:eastAsia="fr-BE"/>
        </w:rPr>
        <w:t xml:space="preserve">Once a self-regulation </w:t>
      </w:r>
      <w:r w:rsidR="000A6A88" w:rsidRPr="00DF5C23">
        <w:rPr>
          <w:noProof/>
          <w:lang w:val="en-IE" w:eastAsia="fr-BE"/>
        </w:rPr>
        <w:t xml:space="preserve">measure </w:t>
      </w:r>
      <w:r w:rsidR="002B67B0" w:rsidRPr="00DF5C23">
        <w:rPr>
          <w:noProof/>
          <w:lang w:val="en-IE" w:eastAsia="fr-BE"/>
        </w:rPr>
        <w:t xml:space="preserve">has been listed in an implementing act </w:t>
      </w:r>
      <w:r w:rsidR="000A6A88" w:rsidRPr="00DF5C23">
        <w:rPr>
          <w:noProof/>
          <w:lang w:val="en-IE" w:eastAsia="fr-BE"/>
        </w:rPr>
        <w:t xml:space="preserve">adopted </w:t>
      </w:r>
      <w:r w:rsidR="002B67B0" w:rsidRPr="00DF5C23">
        <w:rPr>
          <w:noProof/>
          <w:lang w:val="en-IE" w:eastAsia="fr-BE"/>
        </w:rPr>
        <w:t>pursuant to paragraph 3</w:t>
      </w:r>
      <w:r w:rsidR="000A6A88" w:rsidRPr="00DF5C23">
        <w:rPr>
          <w:noProof/>
          <w:lang w:val="en-IE" w:eastAsia="fr-BE"/>
        </w:rPr>
        <w:t>, second subparagraph</w:t>
      </w:r>
      <w:r w:rsidR="00B14F62" w:rsidRPr="00DF5C23">
        <w:rPr>
          <w:noProof/>
          <w:lang w:val="en-IE" w:eastAsia="fr-BE"/>
        </w:rPr>
        <w:t xml:space="preserve">, the signatories </w:t>
      </w:r>
      <w:r w:rsidR="000A6A88" w:rsidRPr="00DF5C23">
        <w:rPr>
          <w:noProof/>
          <w:lang w:val="en-IE" w:eastAsia="fr-BE"/>
        </w:rPr>
        <w:t xml:space="preserve">of that measure </w:t>
      </w:r>
      <w:r w:rsidR="00B14F62" w:rsidRPr="00DF5C23">
        <w:rPr>
          <w:noProof/>
          <w:lang w:val="en-IE" w:eastAsia="fr-BE"/>
        </w:rPr>
        <w:t xml:space="preserve">shall report to the Commission, at </w:t>
      </w:r>
      <w:r w:rsidR="000A6A88" w:rsidRPr="00DF5C23">
        <w:rPr>
          <w:noProof/>
          <w:lang w:val="en-IE" w:eastAsia="fr-BE"/>
        </w:rPr>
        <w:t xml:space="preserve">regular </w:t>
      </w:r>
      <w:r w:rsidR="00B14F62" w:rsidRPr="00DF5C23">
        <w:rPr>
          <w:noProof/>
          <w:lang w:val="en-IE" w:eastAsia="fr-BE"/>
        </w:rPr>
        <w:t>interval</w:t>
      </w:r>
      <w:r w:rsidR="000A6A88" w:rsidRPr="00DF5C23">
        <w:rPr>
          <w:noProof/>
          <w:lang w:val="en-IE" w:eastAsia="fr-BE"/>
        </w:rPr>
        <w:t>s</w:t>
      </w:r>
      <w:r w:rsidR="00B14F62" w:rsidRPr="00DF5C23">
        <w:rPr>
          <w:noProof/>
          <w:lang w:val="en-IE" w:eastAsia="fr-BE"/>
        </w:rPr>
        <w:t xml:space="preserve"> set </w:t>
      </w:r>
      <w:r w:rsidR="000A6A88" w:rsidRPr="00DF5C23">
        <w:rPr>
          <w:noProof/>
          <w:lang w:val="en-IE" w:eastAsia="fr-BE"/>
        </w:rPr>
        <w:t>out</w:t>
      </w:r>
      <w:r w:rsidR="00B14F62" w:rsidRPr="00DF5C23">
        <w:rPr>
          <w:noProof/>
          <w:lang w:val="en-IE" w:eastAsia="fr-BE"/>
        </w:rPr>
        <w:t xml:space="preserve"> in </w:t>
      </w:r>
      <w:r w:rsidR="002B67B0" w:rsidRPr="00DF5C23">
        <w:rPr>
          <w:noProof/>
          <w:lang w:val="en-IE" w:eastAsia="fr-BE"/>
        </w:rPr>
        <w:t xml:space="preserve">that </w:t>
      </w:r>
      <w:r w:rsidR="001C3ACC" w:rsidRPr="00DF5C23">
        <w:rPr>
          <w:noProof/>
          <w:lang w:val="en-IE" w:eastAsia="fr-BE"/>
        </w:rPr>
        <w:t>implementing act</w:t>
      </w:r>
      <w:r w:rsidR="00B14F62" w:rsidRPr="00DF5C23">
        <w:rPr>
          <w:noProof/>
          <w:lang w:val="en-IE" w:eastAsia="fr-BE"/>
        </w:rPr>
        <w:t xml:space="preserve">, on the progress towards </w:t>
      </w:r>
      <w:r w:rsidR="00AD3559" w:rsidRPr="00DF5C23">
        <w:rPr>
          <w:noProof/>
          <w:lang w:eastAsia="fr-BE"/>
        </w:rPr>
        <w:t xml:space="preserve">achieving </w:t>
      </w:r>
      <w:r w:rsidR="00B14F62" w:rsidRPr="00DF5C23">
        <w:rPr>
          <w:noProof/>
          <w:lang w:val="en-IE" w:eastAsia="fr-BE"/>
        </w:rPr>
        <w:t>the objectives of the self-regulation measures</w:t>
      </w:r>
      <w:r w:rsidR="007C13D7" w:rsidRPr="00DF5C23">
        <w:rPr>
          <w:noProof/>
          <w:lang w:val="en-IE" w:eastAsia="fr-BE"/>
        </w:rPr>
        <w:t xml:space="preserve"> and </w:t>
      </w:r>
      <w:r w:rsidR="00C41B87" w:rsidRPr="00DF5C23">
        <w:rPr>
          <w:noProof/>
          <w:lang w:val="en-IE" w:eastAsia="fr-BE"/>
        </w:rPr>
        <w:t>to demonstrate that the criteria set in paragraph 3, points (a) to (e)</w:t>
      </w:r>
      <w:r w:rsidR="00E172E8" w:rsidRPr="00DF5C23">
        <w:rPr>
          <w:noProof/>
          <w:lang w:val="en-IE" w:eastAsia="fr-BE"/>
        </w:rPr>
        <w:t>,</w:t>
      </w:r>
      <w:r w:rsidR="00C41B87" w:rsidRPr="00DF5C23">
        <w:rPr>
          <w:noProof/>
          <w:lang w:val="en-IE" w:eastAsia="fr-BE"/>
        </w:rPr>
        <w:t xml:space="preserve"> remain fulfilled. Those reports shall also be made available on a publicly accessible </w:t>
      </w:r>
      <w:r w:rsidR="007C13D7" w:rsidRPr="00DF5C23">
        <w:rPr>
          <w:noProof/>
          <w:lang w:val="en-IE" w:eastAsia="fr-BE"/>
        </w:rPr>
        <w:t>website</w:t>
      </w:r>
      <w:r w:rsidR="00B14F62" w:rsidRPr="00DF5C23">
        <w:rPr>
          <w:noProof/>
          <w:lang w:val="en-IE" w:eastAsia="fr-BE"/>
        </w:rPr>
        <w:t xml:space="preserve">. </w:t>
      </w:r>
    </w:p>
    <w:p w14:paraId="2C3A572E" w14:textId="6889E118" w:rsidR="001C3ACC" w:rsidRPr="00DF5C23" w:rsidRDefault="004F5E59" w:rsidP="004F5E59">
      <w:pPr>
        <w:pStyle w:val="ManualNumPar1"/>
        <w:rPr>
          <w:noProof/>
          <w:lang w:val="en-IE" w:eastAsia="fr-BE"/>
        </w:rPr>
      </w:pPr>
      <w:r w:rsidRPr="004F5E59">
        <w:t>6.</w:t>
      </w:r>
      <w:r w:rsidRPr="004F5E59">
        <w:tab/>
      </w:r>
      <w:r w:rsidR="001C3ACC" w:rsidRPr="00DF5C23">
        <w:rPr>
          <w:noProof/>
          <w:lang w:val="en-IE" w:eastAsia="fr-BE"/>
        </w:rPr>
        <w:t>Where the Commission considers</w:t>
      </w:r>
      <w:r w:rsidR="00871E48" w:rsidRPr="00DF5C23">
        <w:rPr>
          <w:noProof/>
          <w:lang w:val="en-IE" w:eastAsia="fr-BE"/>
        </w:rPr>
        <w:t>, based on information received pursuant to paragraphs 4 or 5,</w:t>
      </w:r>
      <w:r w:rsidR="001C3ACC" w:rsidRPr="00DF5C23">
        <w:rPr>
          <w:noProof/>
          <w:lang w:val="en-IE" w:eastAsia="fr-BE"/>
        </w:rPr>
        <w:t xml:space="preserve"> that a self-regulation measure no longer fulfils the criteria set out in </w:t>
      </w:r>
      <w:r w:rsidR="000A6A88" w:rsidRPr="00DF5C23">
        <w:rPr>
          <w:noProof/>
          <w:lang w:val="en-IE" w:eastAsia="fr-BE"/>
        </w:rPr>
        <w:t>paragraph 3</w:t>
      </w:r>
      <w:r w:rsidR="001C3ACC" w:rsidRPr="00DF5C23">
        <w:rPr>
          <w:noProof/>
          <w:lang w:val="en-IE" w:eastAsia="fr-BE"/>
        </w:rPr>
        <w:t xml:space="preserve">, it </w:t>
      </w:r>
      <w:r w:rsidR="0062422A" w:rsidRPr="00DF5C23">
        <w:rPr>
          <w:noProof/>
          <w:lang w:val="en-IE" w:eastAsia="fr-BE"/>
        </w:rPr>
        <w:t>shall</w:t>
      </w:r>
      <w:r w:rsidR="001C3ACC" w:rsidRPr="00DF5C23">
        <w:rPr>
          <w:noProof/>
          <w:lang w:val="en-IE" w:eastAsia="fr-BE"/>
        </w:rPr>
        <w:t xml:space="preserve"> </w:t>
      </w:r>
      <w:r w:rsidR="000A6A88" w:rsidRPr="00DF5C23">
        <w:rPr>
          <w:noProof/>
          <w:lang w:val="en-IE" w:eastAsia="fr-BE"/>
        </w:rPr>
        <w:t>delete it from</w:t>
      </w:r>
      <w:r w:rsidR="0062422A" w:rsidRPr="00DF5C23">
        <w:rPr>
          <w:noProof/>
          <w:lang w:val="en-IE" w:eastAsia="fr-BE"/>
        </w:rPr>
        <w:t xml:space="preserve"> the </w:t>
      </w:r>
      <w:r w:rsidR="000A6A88" w:rsidRPr="00DF5C23">
        <w:rPr>
          <w:noProof/>
          <w:lang w:val="en-IE" w:eastAsia="fr-BE"/>
        </w:rPr>
        <w:t>list</w:t>
      </w:r>
      <w:r w:rsidR="0062422A" w:rsidRPr="00DF5C23">
        <w:rPr>
          <w:noProof/>
          <w:lang w:val="en-IE" w:eastAsia="fr-BE"/>
        </w:rPr>
        <w:t xml:space="preserve"> referred to in </w:t>
      </w:r>
      <w:r w:rsidR="000A6A88" w:rsidRPr="00DF5C23">
        <w:rPr>
          <w:noProof/>
          <w:lang w:val="en-IE" w:eastAsia="fr-BE"/>
        </w:rPr>
        <w:t>that paragraph</w:t>
      </w:r>
      <w:r w:rsidR="0062422A" w:rsidRPr="00DF5C23">
        <w:rPr>
          <w:noProof/>
          <w:lang w:val="en-IE" w:eastAsia="fr-BE"/>
        </w:rPr>
        <w:t>.</w:t>
      </w:r>
      <w:r w:rsidR="00C41B87" w:rsidRPr="00DF5C23">
        <w:rPr>
          <w:noProof/>
          <w:lang w:val="en-IE" w:eastAsia="fr-BE"/>
        </w:rPr>
        <w:t xml:space="preserve"> In such cases, the Commission may decide to adopt ecodesign requirements applicable to the product covered by that self-regulation measure.</w:t>
      </w:r>
    </w:p>
    <w:p w14:paraId="2C3A572F" w14:textId="77777777" w:rsidR="00B14F62" w:rsidRPr="00DF5C23" w:rsidRDefault="00B14F62" w:rsidP="00B14F62">
      <w:pPr>
        <w:pStyle w:val="Titrearticle"/>
        <w:rPr>
          <w:noProof/>
          <w:lang w:val="en-IE" w:eastAsia="fr-BE"/>
        </w:rPr>
      </w:pPr>
      <w:r w:rsidRPr="00DF5C23">
        <w:rPr>
          <w:noProof/>
          <w:lang w:val="en-IE" w:eastAsia="fr-BE"/>
        </w:rPr>
        <w:t xml:space="preserve">Article </w:t>
      </w:r>
      <w:r w:rsidR="00A67799" w:rsidRPr="00DF5C23">
        <w:rPr>
          <w:noProof/>
          <w:lang w:val="en-IE" w:eastAsia="fr-BE"/>
        </w:rPr>
        <w:t>1</w:t>
      </w:r>
      <w:r w:rsidR="001A4BE8" w:rsidRPr="00DF5C23">
        <w:rPr>
          <w:noProof/>
          <w:lang w:val="en-IE" w:eastAsia="fr-BE"/>
        </w:rPr>
        <w:t>9</w:t>
      </w:r>
      <w:r w:rsidRPr="00DF5C23">
        <w:rPr>
          <w:noProof/>
          <w:lang w:val="en-IE" w:eastAsia="fr-BE"/>
        </w:rPr>
        <w:t xml:space="preserve"> </w:t>
      </w:r>
      <w:r w:rsidRPr="00DF5C23">
        <w:rPr>
          <w:noProof/>
        </w:rPr>
        <w:br/>
      </w:r>
      <w:r w:rsidR="00A33CDE" w:rsidRPr="00DF5C23">
        <w:rPr>
          <w:noProof/>
          <w:lang w:val="en-IE" w:eastAsia="fr-BE"/>
        </w:rPr>
        <w:t>Micro, s</w:t>
      </w:r>
      <w:r w:rsidRPr="00DF5C23">
        <w:rPr>
          <w:noProof/>
          <w:lang w:val="en-IE" w:eastAsia="fr-BE"/>
        </w:rPr>
        <w:t>mall and medium-sized enterprises</w:t>
      </w:r>
    </w:p>
    <w:p w14:paraId="2C3A5730" w14:textId="1A23C003" w:rsidR="00AF52FB" w:rsidRPr="00DF5C23" w:rsidRDefault="004F5E59" w:rsidP="004F5E59">
      <w:pPr>
        <w:pStyle w:val="ManualNumPar1"/>
        <w:rPr>
          <w:noProof/>
          <w:lang w:val="en-IE" w:eastAsia="fr-BE"/>
        </w:rPr>
      </w:pPr>
      <w:r w:rsidRPr="004F5E59">
        <w:t>1.</w:t>
      </w:r>
      <w:r w:rsidRPr="004F5E59">
        <w:tab/>
      </w:r>
      <w:r w:rsidR="00AF52FB" w:rsidRPr="00DF5C23">
        <w:rPr>
          <w:noProof/>
        </w:rPr>
        <w:t xml:space="preserve">In the context of programmes </w:t>
      </w:r>
      <w:r w:rsidR="00847992" w:rsidRPr="00DF5C23">
        <w:rPr>
          <w:noProof/>
        </w:rPr>
        <w:t>from which SMEs can benefit, the Commission shall take into account initiatives which help SMEs to integrate environmental sustainability aspects including energy efficiency in their value chain.</w:t>
      </w:r>
    </w:p>
    <w:p w14:paraId="2C3A5731" w14:textId="144E47C3" w:rsidR="00AF52FB" w:rsidRPr="00DF5C23" w:rsidRDefault="004F5E59" w:rsidP="004F5E59">
      <w:pPr>
        <w:pStyle w:val="ManualNumPar1"/>
        <w:rPr>
          <w:noProof/>
          <w:lang w:val="en-IE" w:eastAsia="fr-BE"/>
        </w:rPr>
      </w:pPr>
      <w:r w:rsidRPr="004F5E59">
        <w:t>2.</w:t>
      </w:r>
      <w:r w:rsidRPr="004F5E59">
        <w:tab/>
      </w:r>
      <w:r w:rsidR="00AF52FB" w:rsidRPr="00DF5C23">
        <w:rPr>
          <w:noProof/>
          <w:lang w:val="en-IE" w:eastAsia="fr-BE"/>
        </w:rPr>
        <w:t xml:space="preserve">When adopting delegated acts pursuant to Article </w:t>
      </w:r>
      <w:r w:rsidR="00847992" w:rsidRPr="00DF5C23">
        <w:rPr>
          <w:noProof/>
          <w:lang w:val="en-IE" w:eastAsia="fr-BE"/>
        </w:rPr>
        <w:t>4</w:t>
      </w:r>
      <w:r w:rsidR="00AF52FB" w:rsidRPr="00DF5C23">
        <w:rPr>
          <w:noProof/>
          <w:lang w:val="en-IE" w:eastAsia="fr-BE"/>
        </w:rPr>
        <w:t xml:space="preserve"> the Commission shall, where appropriate, accompany those acts with guidelines covering specificities of SMEs active in the product or product group sector affected</w:t>
      </w:r>
      <w:r w:rsidR="00847992" w:rsidRPr="00DF5C23">
        <w:rPr>
          <w:noProof/>
          <w:lang w:val="en-IE" w:eastAsia="fr-BE"/>
        </w:rPr>
        <w:t xml:space="preserve"> for facilitating the application of this Regulation by SMEs</w:t>
      </w:r>
      <w:r w:rsidR="00AF52FB" w:rsidRPr="00DF5C23">
        <w:rPr>
          <w:noProof/>
          <w:lang w:val="en-IE" w:eastAsia="fr-BE"/>
        </w:rPr>
        <w:t xml:space="preserve">. </w:t>
      </w:r>
    </w:p>
    <w:p w14:paraId="2C3A5732" w14:textId="7595F112" w:rsidR="00AF52FB" w:rsidRPr="00DF5C23" w:rsidRDefault="004F5E59" w:rsidP="004F5E59">
      <w:pPr>
        <w:pStyle w:val="ManualNumPar1"/>
        <w:rPr>
          <w:noProof/>
          <w:lang w:val="en-IE" w:eastAsia="fr-BE"/>
        </w:rPr>
      </w:pPr>
      <w:r w:rsidRPr="004F5E59">
        <w:t>3.</w:t>
      </w:r>
      <w:r w:rsidRPr="004F5E59">
        <w:tab/>
      </w:r>
      <w:r w:rsidR="00AF52FB" w:rsidRPr="00DF5C23">
        <w:rPr>
          <w:noProof/>
          <w:lang w:val="en-IE" w:eastAsia="fr-BE"/>
        </w:rPr>
        <w:t xml:space="preserve">Member States shall take appropriate measures to help SMEs apply ecodesign requirements set out in delegated acts </w:t>
      </w:r>
      <w:r w:rsidR="001964EE" w:rsidRPr="00DF5C23">
        <w:rPr>
          <w:noProof/>
          <w:lang w:val="en-IE" w:eastAsia="fr-BE"/>
        </w:rPr>
        <w:t>adopted pursuant to Article 4</w:t>
      </w:r>
      <w:r w:rsidR="00804904" w:rsidRPr="00DF5C23">
        <w:rPr>
          <w:noProof/>
          <w:lang w:val="en-IE" w:eastAsia="fr-BE"/>
        </w:rPr>
        <w:t>.</w:t>
      </w:r>
      <w:r w:rsidR="00AF52FB" w:rsidRPr="00DF5C23">
        <w:rPr>
          <w:noProof/>
          <w:lang w:val="en-IE" w:eastAsia="fr-BE"/>
        </w:rPr>
        <w:t xml:space="preserve">. </w:t>
      </w:r>
    </w:p>
    <w:p w14:paraId="2C3A5733" w14:textId="77777777" w:rsidR="00AF52FB" w:rsidRPr="00DF5C23" w:rsidRDefault="00AF52FB" w:rsidP="00AF52FB">
      <w:pPr>
        <w:pStyle w:val="Text1"/>
        <w:rPr>
          <w:noProof/>
          <w:lang w:val="en-IE" w:eastAsia="fr-BE"/>
        </w:rPr>
      </w:pPr>
      <w:r w:rsidRPr="00DF5C23">
        <w:rPr>
          <w:noProof/>
          <w:lang w:val="en-IE" w:eastAsia="fr-BE"/>
        </w:rPr>
        <w:t xml:space="preserve">Those measures shall at least include ensuring the availability of one-stop shops or similar mechanisms to raise awareness and create networking opportunities for SMEs to adapt to requirements. </w:t>
      </w:r>
    </w:p>
    <w:p w14:paraId="2C3A5734" w14:textId="77777777" w:rsidR="00AF52FB" w:rsidRPr="00DF5C23" w:rsidRDefault="00AF52FB" w:rsidP="00AF52FB">
      <w:pPr>
        <w:pStyle w:val="Text1"/>
        <w:rPr>
          <w:noProof/>
          <w:lang w:val="en-IE" w:eastAsia="fr-BE"/>
        </w:rPr>
      </w:pPr>
      <w:r w:rsidRPr="00DF5C23">
        <w:rPr>
          <w:noProof/>
          <w:lang w:val="en-IE" w:eastAsia="fr-BE"/>
        </w:rPr>
        <w:t xml:space="preserve">In addition, </w:t>
      </w:r>
      <w:r w:rsidR="00804904" w:rsidRPr="00DF5C23">
        <w:rPr>
          <w:noProof/>
          <w:lang w:val="en-IE" w:eastAsia="fr-BE"/>
        </w:rPr>
        <w:t xml:space="preserve">without prejudice to applicable State aid rules, </w:t>
      </w:r>
      <w:r w:rsidRPr="00DF5C23">
        <w:rPr>
          <w:noProof/>
          <w:lang w:val="en-IE" w:eastAsia="fr-BE"/>
        </w:rPr>
        <w:t>such measures may include:</w:t>
      </w:r>
    </w:p>
    <w:p w14:paraId="2C3A5735" w14:textId="09615210" w:rsidR="00AF52FB" w:rsidRPr="00DF5C23" w:rsidRDefault="004F5E59" w:rsidP="004F5E59">
      <w:pPr>
        <w:pStyle w:val="Point1"/>
        <w:rPr>
          <w:noProof/>
          <w:lang w:eastAsia="fr-BE"/>
        </w:rPr>
      </w:pPr>
      <w:r w:rsidRPr="004F5E59">
        <w:t>(a)</w:t>
      </w:r>
      <w:r w:rsidRPr="004F5E59">
        <w:tab/>
      </w:r>
      <w:r w:rsidR="00AF52FB" w:rsidRPr="00DF5C23">
        <w:rPr>
          <w:noProof/>
          <w:lang w:eastAsia="fr-BE"/>
        </w:rPr>
        <w:t>financial support, including by giving fiscal advantages and providing physical and digital infrastructure investments;</w:t>
      </w:r>
    </w:p>
    <w:p w14:paraId="2C3A5736" w14:textId="6FAE362D" w:rsidR="00AF52FB" w:rsidRPr="00DF5C23" w:rsidRDefault="004F5E59" w:rsidP="004F5E59">
      <w:pPr>
        <w:pStyle w:val="Point1"/>
        <w:rPr>
          <w:noProof/>
        </w:rPr>
      </w:pPr>
      <w:r w:rsidRPr="004F5E59">
        <w:t>(b)</w:t>
      </w:r>
      <w:r w:rsidRPr="004F5E59">
        <w:tab/>
      </w:r>
      <w:r w:rsidR="00AF52FB" w:rsidRPr="00DF5C23">
        <w:rPr>
          <w:noProof/>
        </w:rPr>
        <w:t>access to finance;</w:t>
      </w:r>
    </w:p>
    <w:p w14:paraId="2C3A5737" w14:textId="66874D52" w:rsidR="00AF52FB" w:rsidRPr="00DF5C23" w:rsidRDefault="004F5E59" w:rsidP="004F5E59">
      <w:pPr>
        <w:pStyle w:val="Point1"/>
        <w:rPr>
          <w:noProof/>
          <w:lang w:eastAsia="fr-BE"/>
        </w:rPr>
      </w:pPr>
      <w:r w:rsidRPr="004F5E59">
        <w:t>(c)</w:t>
      </w:r>
      <w:r w:rsidRPr="004F5E59">
        <w:tab/>
      </w:r>
      <w:r w:rsidR="00AF52FB" w:rsidRPr="00DF5C23">
        <w:rPr>
          <w:noProof/>
        </w:rPr>
        <w:t>specialised management and staff training;</w:t>
      </w:r>
    </w:p>
    <w:p w14:paraId="2C3A5738" w14:textId="21B637CC" w:rsidR="00B14F62" w:rsidRPr="00DF5C23" w:rsidRDefault="004F5E59" w:rsidP="004F5E59">
      <w:pPr>
        <w:pStyle w:val="Point1"/>
        <w:rPr>
          <w:noProof/>
          <w:lang w:val="en-IE" w:eastAsia="fr-BE"/>
        </w:rPr>
      </w:pPr>
      <w:r w:rsidRPr="004F5E59">
        <w:t>(d)</w:t>
      </w:r>
      <w:r w:rsidRPr="004F5E59">
        <w:tab/>
      </w:r>
      <w:r w:rsidR="00AF52FB" w:rsidRPr="00DF5C23">
        <w:rPr>
          <w:noProof/>
          <w:lang w:eastAsia="fr-BE"/>
        </w:rPr>
        <w:t>organisational and technical assistance</w:t>
      </w:r>
      <w:r w:rsidR="00AF52FB" w:rsidRPr="00DF5C23">
        <w:rPr>
          <w:noProof/>
          <w:lang w:val="en-IE" w:eastAsia="fr-BE"/>
        </w:rPr>
        <w:t>.</w:t>
      </w:r>
    </w:p>
    <w:p w14:paraId="2C3A5739" w14:textId="77777777" w:rsidR="00D531F0" w:rsidRPr="00DF5C23" w:rsidRDefault="00D531F0" w:rsidP="00BA4E97">
      <w:pPr>
        <w:pStyle w:val="ManualHeading1"/>
        <w:jc w:val="center"/>
        <w:rPr>
          <w:noProof/>
        </w:rPr>
      </w:pPr>
      <w:r w:rsidRPr="00DF5C23">
        <w:rPr>
          <w:noProof/>
        </w:rPr>
        <w:t>Chapter VI</w:t>
      </w:r>
      <w:r w:rsidR="00BA4E97" w:rsidRPr="00DF5C23">
        <w:rPr>
          <w:noProof/>
        </w:rPr>
        <w:t xml:space="preserve"> - </w:t>
      </w:r>
      <w:r w:rsidRPr="00DF5C23">
        <w:rPr>
          <w:noProof/>
        </w:rPr>
        <w:t>Destruction of unsold consumer products</w:t>
      </w:r>
    </w:p>
    <w:p w14:paraId="2C3A573A" w14:textId="77777777" w:rsidR="00D531F0" w:rsidRPr="00DF5C23" w:rsidRDefault="00D531F0" w:rsidP="00D531F0">
      <w:pPr>
        <w:jc w:val="center"/>
        <w:rPr>
          <w:i/>
          <w:iCs/>
          <w:noProof/>
        </w:rPr>
      </w:pPr>
      <w:r w:rsidRPr="00DF5C23">
        <w:rPr>
          <w:i/>
          <w:iCs/>
          <w:noProof/>
        </w:rPr>
        <w:t xml:space="preserve">Article </w:t>
      </w:r>
      <w:r w:rsidR="001A4BE8" w:rsidRPr="00DF5C23">
        <w:rPr>
          <w:i/>
          <w:iCs/>
          <w:noProof/>
        </w:rPr>
        <w:t>20</w:t>
      </w:r>
      <w:r w:rsidRPr="00DF5C23">
        <w:rPr>
          <w:noProof/>
        </w:rPr>
        <w:br/>
      </w:r>
      <w:r w:rsidRPr="00DF5C23">
        <w:rPr>
          <w:i/>
          <w:iCs/>
          <w:noProof/>
        </w:rPr>
        <w:t xml:space="preserve">Destruction of unsold </w:t>
      </w:r>
      <w:r w:rsidRPr="00DF5C23">
        <w:rPr>
          <w:i/>
          <w:noProof/>
        </w:rPr>
        <w:t xml:space="preserve">consumer </w:t>
      </w:r>
      <w:r w:rsidRPr="00DF5C23">
        <w:rPr>
          <w:i/>
          <w:iCs/>
          <w:noProof/>
        </w:rPr>
        <w:t>products</w:t>
      </w:r>
    </w:p>
    <w:p w14:paraId="2C3A573B" w14:textId="185C22F8" w:rsidR="00D531F0" w:rsidRPr="00DF5C23" w:rsidRDefault="004F5E59" w:rsidP="004F5E59">
      <w:pPr>
        <w:pStyle w:val="ManualNumPar1"/>
        <w:rPr>
          <w:noProof/>
        </w:rPr>
      </w:pPr>
      <w:r w:rsidRPr="004F5E59">
        <w:t>1.</w:t>
      </w:r>
      <w:r w:rsidRPr="004F5E59">
        <w:tab/>
      </w:r>
      <w:r w:rsidR="00D531F0" w:rsidRPr="00DF5C23">
        <w:rPr>
          <w:noProof/>
        </w:rPr>
        <w:t>An economic operator that</w:t>
      </w:r>
      <w:r w:rsidR="00952123" w:rsidRPr="00DF5C23">
        <w:rPr>
          <w:noProof/>
        </w:rPr>
        <w:t xml:space="preserve"> </w:t>
      </w:r>
      <w:r w:rsidR="00AB244C" w:rsidRPr="00DF5C23">
        <w:rPr>
          <w:noProof/>
        </w:rPr>
        <w:t xml:space="preserve">discards </w:t>
      </w:r>
      <w:r w:rsidR="00D531F0" w:rsidRPr="00DF5C23">
        <w:rPr>
          <w:noProof/>
        </w:rPr>
        <w:t>unsold consumer products</w:t>
      </w:r>
      <w:r w:rsidR="00040FE1" w:rsidRPr="00DF5C23">
        <w:rPr>
          <w:noProof/>
        </w:rPr>
        <w:t xml:space="preserve"> directly, or </w:t>
      </w:r>
      <w:r w:rsidR="00D531F0" w:rsidRPr="00DF5C23">
        <w:rPr>
          <w:noProof/>
        </w:rPr>
        <w:t>on behalf of another economic operator, shall disclose:</w:t>
      </w:r>
    </w:p>
    <w:p w14:paraId="2C3A573C" w14:textId="667B042D" w:rsidR="00D531F0" w:rsidRPr="00DF5C23" w:rsidRDefault="004F5E59" w:rsidP="004F5E59">
      <w:pPr>
        <w:pStyle w:val="Point1"/>
        <w:rPr>
          <w:noProof/>
          <w:lang w:val="en-IE" w:eastAsia="fr-BE"/>
        </w:rPr>
      </w:pPr>
      <w:r w:rsidRPr="004F5E59">
        <w:t>(a)</w:t>
      </w:r>
      <w:r w:rsidRPr="004F5E59">
        <w:tab/>
      </w:r>
      <w:r w:rsidR="00D531F0" w:rsidRPr="00DF5C23">
        <w:rPr>
          <w:noProof/>
          <w:lang w:val="en-IE" w:eastAsia="fr-BE"/>
        </w:rPr>
        <w:t xml:space="preserve">the number of unsold consumer products </w:t>
      </w:r>
      <w:r w:rsidR="00AB244C" w:rsidRPr="00DF5C23">
        <w:rPr>
          <w:noProof/>
          <w:lang w:val="en-IE" w:eastAsia="fr-BE"/>
        </w:rPr>
        <w:t>discard</w:t>
      </w:r>
      <w:r w:rsidR="001E51A3" w:rsidRPr="00DF5C23">
        <w:rPr>
          <w:noProof/>
          <w:lang w:val="en-IE" w:eastAsia="fr-BE"/>
        </w:rPr>
        <w:t>ed</w:t>
      </w:r>
      <w:r w:rsidR="00AB244C" w:rsidRPr="00DF5C23">
        <w:rPr>
          <w:noProof/>
          <w:lang w:val="en-IE" w:eastAsia="fr-BE"/>
        </w:rPr>
        <w:t xml:space="preserve"> </w:t>
      </w:r>
      <w:r w:rsidR="00D531F0" w:rsidRPr="00DF5C23">
        <w:rPr>
          <w:noProof/>
          <w:lang w:val="en-IE" w:eastAsia="fr-BE"/>
        </w:rPr>
        <w:t>per year</w:t>
      </w:r>
      <w:r w:rsidR="002D6AA1" w:rsidRPr="00DF5C23">
        <w:rPr>
          <w:noProof/>
          <w:lang w:val="en-IE" w:eastAsia="fr-BE"/>
        </w:rPr>
        <w:t>,</w:t>
      </w:r>
      <w:r w:rsidR="00D531F0" w:rsidRPr="00DF5C23">
        <w:rPr>
          <w:noProof/>
          <w:lang w:val="en-IE" w:eastAsia="fr-BE"/>
        </w:rPr>
        <w:t xml:space="preserve"> differentiated per type or category of products;</w:t>
      </w:r>
    </w:p>
    <w:p w14:paraId="2C3A573D" w14:textId="7A1082E8" w:rsidR="00D531F0" w:rsidRPr="00DF5C23" w:rsidRDefault="004F5E59" w:rsidP="004F5E59">
      <w:pPr>
        <w:pStyle w:val="Point1"/>
        <w:rPr>
          <w:noProof/>
          <w:lang w:val="en-IE" w:eastAsia="fr-BE"/>
        </w:rPr>
      </w:pPr>
      <w:r w:rsidRPr="004F5E59">
        <w:t>(b)</w:t>
      </w:r>
      <w:r w:rsidRPr="004F5E59">
        <w:tab/>
      </w:r>
      <w:r w:rsidR="00D531F0" w:rsidRPr="00DF5C23">
        <w:rPr>
          <w:noProof/>
          <w:lang w:val="en-IE" w:eastAsia="fr-BE"/>
        </w:rPr>
        <w:t xml:space="preserve">the reasons for the </w:t>
      </w:r>
      <w:r w:rsidR="00AB244C" w:rsidRPr="00DF5C23">
        <w:rPr>
          <w:noProof/>
          <w:lang w:val="en-IE" w:eastAsia="fr-BE"/>
        </w:rPr>
        <w:t xml:space="preserve">discarding </w:t>
      </w:r>
      <w:r w:rsidR="00D531F0" w:rsidRPr="00DF5C23">
        <w:rPr>
          <w:noProof/>
          <w:lang w:val="en-IE" w:eastAsia="fr-BE"/>
        </w:rPr>
        <w:t xml:space="preserve">of products; </w:t>
      </w:r>
    </w:p>
    <w:p w14:paraId="2C3A573E" w14:textId="6F9674EC" w:rsidR="00D531F0" w:rsidRPr="00DF5C23" w:rsidRDefault="004F5E59" w:rsidP="004F5E59">
      <w:pPr>
        <w:pStyle w:val="Point1"/>
        <w:rPr>
          <w:noProof/>
          <w:lang w:val="en-IE" w:eastAsia="fr-BE"/>
        </w:rPr>
      </w:pPr>
      <w:r w:rsidRPr="004F5E59">
        <w:t>(c)</w:t>
      </w:r>
      <w:r w:rsidRPr="004F5E59">
        <w:tab/>
      </w:r>
      <w:r w:rsidR="00D531F0" w:rsidRPr="00DF5C23">
        <w:rPr>
          <w:noProof/>
          <w:lang w:val="en-IE" w:eastAsia="fr-BE"/>
        </w:rPr>
        <w:t xml:space="preserve">the delivery of </w:t>
      </w:r>
      <w:r w:rsidR="00AB244C" w:rsidRPr="00DF5C23">
        <w:rPr>
          <w:noProof/>
          <w:lang w:val="en-IE" w:eastAsia="fr-BE"/>
        </w:rPr>
        <w:t xml:space="preserve">discarded </w:t>
      </w:r>
      <w:r w:rsidR="00952123" w:rsidRPr="00DF5C23">
        <w:rPr>
          <w:noProof/>
          <w:lang w:val="en-IE" w:eastAsia="fr-BE"/>
        </w:rPr>
        <w:t>products to</w:t>
      </w:r>
      <w:r w:rsidR="00AB244C" w:rsidRPr="00DF5C23">
        <w:rPr>
          <w:noProof/>
          <w:lang w:val="en-IE" w:eastAsia="fr-BE"/>
        </w:rPr>
        <w:t xml:space="preserve"> preparing for re-use, remanufacturing, </w:t>
      </w:r>
      <w:r w:rsidR="00D531F0" w:rsidRPr="00DF5C23">
        <w:rPr>
          <w:noProof/>
          <w:shd w:val="clear" w:color="auto" w:fill="FFFFFF"/>
          <w:lang w:val="en-US"/>
        </w:rPr>
        <w:t>recycling, energy recovery and disposal operations</w:t>
      </w:r>
      <w:r w:rsidR="00D531F0" w:rsidRPr="00DF5C23">
        <w:rPr>
          <w:noProof/>
          <w:lang w:val="en-IE" w:eastAsia="fr-BE"/>
        </w:rPr>
        <w:t xml:space="preserve"> in accordance with the waste hierarchy as defined by Article 4 of </w:t>
      </w:r>
      <w:r w:rsidR="00D531F0" w:rsidRPr="00DF5C23">
        <w:rPr>
          <w:noProof/>
          <w:shd w:val="clear" w:color="auto" w:fill="FFFFFF"/>
          <w:lang w:val="en-US"/>
        </w:rPr>
        <w:t>Directive 2008/98/EC</w:t>
      </w:r>
      <w:r w:rsidR="00D531F0" w:rsidRPr="00DF5C23">
        <w:rPr>
          <w:noProof/>
          <w:lang w:val="en-IE" w:eastAsia="fr-BE"/>
        </w:rPr>
        <w:t xml:space="preserve">. </w:t>
      </w:r>
    </w:p>
    <w:p w14:paraId="2C3A573F" w14:textId="77777777" w:rsidR="00D531F0" w:rsidRPr="00DF5C23" w:rsidRDefault="00D531F0" w:rsidP="00D531F0">
      <w:pPr>
        <w:pStyle w:val="Text1"/>
        <w:rPr>
          <w:noProof/>
        </w:rPr>
      </w:pPr>
      <w:r w:rsidRPr="00DF5C23">
        <w:rPr>
          <w:noProof/>
        </w:rPr>
        <w:t xml:space="preserve">The economic operator shall disclose </w:t>
      </w:r>
      <w:r w:rsidR="00040FE1" w:rsidRPr="00DF5C23">
        <w:rPr>
          <w:noProof/>
        </w:rPr>
        <w:t xml:space="preserve">that </w:t>
      </w:r>
      <w:r w:rsidRPr="00DF5C23">
        <w:rPr>
          <w:noProof/>
        </w:rPr>
        <w:t>information on a freely accessible website or otherwise make it publicly available</w:t>
      </w:r>
      <w:r w:rsidR="002D6AA1" w:rsidRPr="00DF5C23">
        <w:rPr>
          <w:noProof/>
        </w:rPr>
        <w:t>,</w:t>
      </w:r>
      <w:r w:rsidRPr="00DF5C23">
        <w:rPr>
          <w:noProof/>
        </w:rPr>
        <w:t xml:space="preserve"> until a delegated act </w:t>
      </w:r>
      <w:r w:rsidR="002D6AA1" w:rsidRPr="00DF5C23">
        <w:rPr>
          <w:noProof/>
        </w:rPr>
        <w:t>adopted pursuant to paragraph 3</w:t>
      </w:r>
      <w:r w:rsidRPr="00DF5C23">
        <w:rPr>
          <w:noProof/>
        </w:rPr>
        <w:t xml:space="preserve"> starts applying to the category of unsold consumer products </w:t>
      </w:r>
      <w:r w:rsidR="00C728A2" w:rsidRPr="00DF5C23">
        <w:rPr>
          <w:noProof/>
        </w:rPr>
        <w:t xml:space="preserve">discarded </w:t>
      </w:r>
      <w:r w:rsidRPr="00DF5C23">
        <w:rPr>
          <w:noProof/>
        </w:rPr>
        <w:t xml:space="preserve">by the operator in question. </w:t>
      </w:r>
    </w:p>
    <w:p w14:paraId="2C3A5740" w14:textId="64E63BF1" w:rsidR="00D531F0" w:rsidRPr="00DF5C23" w:rsidRDefault="004F5E59" w:rsidP="004F5E59">
      <w:pPr>
        <w:pStyle w:val="ManualNumPar1"/>
        <w:rPr>
          <w:noProof/>
        </w:rPr>
      </w:pPr>
      <w:r w:rsidRPr="004F5E59">
        <w:t>2.</w:t>
      </w:r>
      <w:r w:rsidRPr="004F5E59">
        <w:tab/>
      </w:r>
      <w:r w:rsidR="00D531F0" w:rsidRPr="00DF5C23">
        <w:rPr>
          <w:noProof/>
        </w:rPr>
        <w:t xml:space="preserve">The Commission may adopt implementing acts </w:t>
      </w:r>
      <w:r w:rsidR="00AE0112" w:rsidRPr="00DF5C23">
        <w:rPr>
          <w:noProof/>
        </w:rPr>
        <w:t xml:space="preserve">setting out </w:t>
      </w:r>
      <w:r w:rsidR="00D531F0" w:rsidRPr="00DF5C23">
        <w:rPr>
          <w:noProof/>
        </w:rPr>
        <w:t xml:space="preserve">the format for the disclosure of the information referred to in </w:t>
      </w:r>
      <w:r w:rsidR="00AE0112" w:rsidRPr="00DF5C23">
        <w:rPr>
          <w:noProof/>
        </w:rPr>
        <w:t>paragraph 1</w:t>
      </w:r>
      <w:r w:rsidR="00D531F0" w:rsidRPr="00DF5C23">
        <w:rPr>
          <w:noProof/>
        </w:rPr>
        <w:t xml:space="preserve">, including the type or category and how </w:t>
      </w:r>
      <w:r w:rsidR="00AE0112" w:rsidRPr="00DF5C23">
        <w:rPr>
          <w:noProof/>
        </w:rPr>
        <w:t xml:space="preserve">the </w:t>
      </w:r>
      <w:r w:rsidR="00D531F0" w:rsidRPr="00DF5C23">
        <w:rPr>
          <w:noProof/>
        </w:rPr>
        <w:t>information is to be verified.</w:t>
      </w:r>
    </w:p>
    <w:p w14:paraId="2C3A5741" w14:textId="77777777" w:rsidR="00D531F0" w:rsidRPr="00DF5C23" w:rsidRDefault="00D531F0" w:rsidP="00D531F0">
      <w:pPr>
        <w:pStyle w:val="Text1"/>
        <w:rPr>
          <w:noProof/>
        </w:rPr>
      </w:pPr>
      <w:r w:rsidRPr="00DF5C23">
        <w:rPr>
          <w:noProof/>
        </w:rPr>
        <w:t xml:space="preserve">Those implementing acts shall be adopted in accordance with the examination procedure referred to in Article </w:t>
      </w:r>
      <w:r w:rsidR="00ED2665" w:rsidRPr="00DF5C23">
        <w:rPr>
          <w:noProof/>
        </w:rPr>
        <w:t>67</w:t>
      </w:r>
      <w:r w:rsidRPr="00DF5C23">
        <w:rPr>
          <w:noProof/>
        </w:rPr>
        <w:t>(3).</w:t>
      </w:r>
    </w:p>
    <w:p w14:paraId="2C3A5742" w14:textId="790F8ECD" w:rsidR="00086F46" w:rsidRPr="00DF5C23" w:rsidRDefault="004F5E59" w:rsidP="004F5E59">
      <w:pPr>
        <w:pStyle w:val="ManualNumPar1"/>
        <w:rPr>
          <w:rFonts w:eastAsia="Times New Roman"/>
          <w:noProof/>
          <w:lang w:val="en-IE" w:eastAsia="fr-BE"/>
        </w:rPr>
      </w:pPr>
      <w:r w:rsidRPr="004F5E59">
        <w:t>3.</w:t>
      </w:r>
      <w:r w:rsidRPr="004F5E59">
        <w:tab/>
      </w:r>
      <w:r w:rsidR="00871E48" w:rsidRPr="00DF5C23">
        <w:rPr>
          <w:noProof/>
        </w:rPr>
        <w:t>T</w:t>
      </w:r>
      <w:r w:rsidR="00AE0112" w:rsidRPr="00DF5C23">
        <w:rPr>
          <w:noProof/>
        </w:rPr>
        <w:t xml:space="preserve">he Commission shall be empowered to adopt delegated acts in accordance with Article </w:t>
      </w:r>
      <w:r w:rsidR="00ED2665" w:rsidRPr="00DF5C23">
        <w:rPr>
          <w:noProof/>
        </w:rPr>
        <w:t xml:space="preserve">66 </w:t>
      </w:r>
      <w:r w:rsidR="00AE0112" w:rsidRPr="00DF5C23">
        <w:rPr>
          <w:noProof/>
        </w:rPr>
        <w:t>to supplement this Regulation by</w:t>
      </w:r>
      <w:r w:rsidR="00AE0112" w:rsidRPr="00DF5C23" w:rsidDel="00BB40FE">
        <w:rPr>
          <w:noProof/>
        </w:rPr>
        <w:t xml:space="preserve"> </w:t>
      </w:r>
      <w:r w:rsidR="00AE0112" w:rsidRPr="00DF5C23">
        <w:rPr>
          <w:noProof/>
        </w:rPr>
        <w:t>prohibiting economic operators to destroy unsold consumer products in the Union</w:t>
      </w:r>
      <w:r w:rsidR="00871E48" w:rsidRPr="00DF5C23">
        <w:rPr>
          <w:noProof/>
        </w:rPr>
        <w:t>, where</w:t>
      </w:r>
      <w:r w:rsidR="00C728A2" w:rsidRPr="00DF5C23">
        <w:rPr>
          <w:noProof/>
        </w:rPr>
        <w:t xml:space="preserve"> </w:t>
      </w:r>
      <w:r w:rsidR="00871E48" w:rsidRPr="00DF5C23">
        <w:rPr>
          <w:noProof/>
        </w:rPr>
        <w:t xml:space="preserve">the destruction of unsold consumer products </w:t>
      </w:r>
      <w:r w:rsidR="004A0177" w:rsidRPr="00DF5C23">
        <w:rPr>
          <w:noProof/>
        </w:rPr>
        <w:t>falling within a certain</w:t>
      </w:r>
      <w:r w:rsidR="00871E48" w:rsidRPr="00DF5C23">
        <w:rPr>
          <w:noProof/>
        </w:rPr>
        <w:t xml:space="preserve"> product group</w:t>
      </w:r>
      <w:r w:rsidR="00C728A2" w:rsidRPr="00DF5C23">
        <w:rPr>
          <w:noProof/>
        </w:rPr>
        <w:t xml:space="preserve"> has significant</w:t>
      </w:r>
      <w:r w:rsidR="004A0177" w:rsidRPr="00DF5C23">
        <w:rPr>
          <w:noProof/>
        </w:rPr>
        <w:t xml:space="preserve"> environmental impact. </w:t>
      </w:r>
    </w:p>
    <w:p w14:paraId="2C3A5743" w14:textId="77777777" w:rsidR="00243E33" w:rsidRPr="00DF5C23" w:rsidRDefault="005E6B97" w:rsidP="006859F8">
      <w:pPr>
        <w:pStyle w:val="Text1"/>
        <w:rPr>
          <w:noProof/>
          <w:lang w:val="en-IE"/>
        </w:rPr>
      </w:pPr>
      <w:r w:rsidRPr="00DF5C23">
        <w:rPr>
          <w:noProof/>
          <w:lang w:val="en-IE"/>
        </w:rPr>
        <w:t>In the delegated acts adopted pursuant to the first subparagraph, t</w:t>
      </w:r>
      <w:r w:rsidR="00243E33" w:rsidRPr="00DF5C23">
        <w:rPr>
          <w:noProof/>
          <w:lang w:val="en-IE"/>
        </w:rPr>
        <w:t>he Commission shall set out certain exemptions to those prohibitions where it is appropriate in view of:</w:t>
      </w:r>
    </w:p>
    <w:p w14:paraId="2C3A5744" w14:textId="12CDB7C4" w:rsidR="00E529C9" w:rsidRPr="00DF5C23" w:rsidRDefault="004F5E59" w:rsidP="004F5E59">
      <w:pPr>
        <w:pStyle w:val="Point1"/>
        <w:rPr>
          <w:noProof/>
          <w:lang w:eastAsia="fr-BE"/>
        </w:rPr>
      </w:pPr>
      <w:r w:rsidRPr="004F5E59">
        <w:t>(a)</w:t>
      </w:r>
      <w:r w:rsidRPr="004F5E59">
        <w:tab/>
      </w:r>
      <w:r w:rsidR="00E529C9" w:rsidRPr="00DF5C23">
        <w:rPr>
          <w:noProof/>
          <w:lang w:val="en-IE" w:eastAsia="fr-BE"/>
        </w:rPr>
        <w:t>health and safety concerns;</w:t>
      </w:r>
    </w:p>
    <w:p w14:paraId="2C3A5745" w14:textId="33E5D29E" w:rsidR="00AA433D" w:rsidRPr="00DF5C23" w:rsidRDefault="004F5E59" w:rsidP="004F5E59">
      <w:pPr>
        <w:pStyle w:val="Point1"/>
        <w:rPr>
          <w:noProof/>
          <w:lang w:eastAsia="fr-BE"/>
        </w:rPr>
      </w:pPr>
      <w:r w:rsidRPr="004F5E59">
        <w:t>(b)</w:t>
      </w:r>
      <w:r w:rsidRPr="004F5E59">
        <w:tab/>
      </w:r>
      <w:r w:rsidR="00AA433D" w:rsidRPr="00DF5C23">
        <w:rPr>
          <w:rFonts w:eastAsia="Times New Roman"/>
          <w:noProof/>
          <w:lang w:val="en-IE" w:eastAsia="fr-BE"/>
        </w:rPr>
        <w:t>d</w:t>
      </w:r>
      <w:r w:rsidR="00AA433D" w:rsidRPr="00DF5C23">
        <w:rPr>
          <w:noProof/>
        </w:rPr>
        <w:t>amage to product</w:t>
      </w:r>
      <w:r w:rsidR="00A83FC4" w:rsidRPr="00DF5C23">
        <w:rPr>
          <w:noProof/>
        </w:rPr>
        <w:t>s</w:t>
      </w:r>
      <w:r w:rsidR="00AA433D" w:rsidRPr="00DF5C23">
        <w:rPr>
          <w:noProof/>
        </w:rPr>
        <w:t xml:space="preserve"> as a result of </w:t>
      </w:r>
      <w:r w:rsidR="00A83FC4" w:rsidRPr="00DF5C23">
        <w:rPr>
          <w:noProof/>
        </w:rPr>
        <w:t>their</w:t>
      </w:r>
      <w:r w:rsidR="00AA433D" w:rsidRPr="00DF5C23">
        <w:rPr>
          <w:noProof/>
        </w:rPr>
        <w:t xml:space="preserve"> handling or detected after </w:t>
      </w:r>
      <w:r w:rsidR="00A83FC4" w:rsidRPr="00DF5C23">
        <w:rPr>
          <w:noProof/>
        </w:rPr>
        <w:t>a</w:t>
      </w:r>
      <w:r w:rsidR="00AA433D" w:rsidRPr="00DF5C23">
        <w:rPr>
          <w:noProof/>
        </w:rPr>
        <w:t xml:space="preserve"> product has been returned by a consumer;</w:t>
      </w:r>
    </w:p>
    <w:p w14:paraId="2C3A5746" w14:textId="077879D0" w:rsidR="00AA433D" w:rsidRPr="00DF5C23" w:rsidRDefault="004F5E59" w:rsidP="004F5E59">
      <w:pPr>
        <w:pStyle w:val="Point1"/>
        <w:rPr>
          <w:rFonts w:eastAsia="Times New Roman"/>
          <w:noProof/>
          <w:lang w:val="en-IE" w:eastAsia="fr-BE"/>
        </w:rPr>
      </w:pPr>
      <w:r w:rsidRPr="004F5E59">
        <w:t>(c)</w:t>
      </w:r>
      <w:r w:rsidRPr="004F5E59">
        <w:tab/>
      </w:r>
      <w:r w:rsidR="00AA433D" w:rsidRPr="00DF5C23">
        <w:rPr>
          <w:noProof/>
          <w:lang w:val="en-IE"/>
        </w:rPr>
        <w:t>f</w:t>
      </w:r>
      <w:r w:rsidR="00AA433D" w:rsidRPr="00DF5C23">
        <w:rPr>
          <w:noProof/>
        </w:rPr>
        <w:t>itness of the product for the purpose for which it is intended, taking into account, where applicable, Union and national law and technical standards;</w:t>
      </w:r>
    </w:p>
    <w:p w14:paraId="2C3A5747" w14:textId="09CFE45D" w:rsidR="00196CE6" w:rsidRPr="00DF5C23" w:rsidRDefault="004F5E59" w:rsidP="004F5E59">
      <w:pPr>
        <w:pStyle w:val="Point1"/>
        <w:rPr>
          <w:noProof/>
          <w:lang w:val="en-IE" w:eastAsia="fr-BE"/>
        </w:rPr>
      </w:pPr>
      <w:r w:rsidRPr="004F5E59">
        <w:t>(d)</w:t>
      </w:r>
      <w:r w:rsidRPr="004F5E59">
        <w:tab/>
      </w:r>
      <w:r w:rsidR="00E529C9" w:rsidRPr="00DF5C23">
        <w:rPr>
          <w:noProof/>
          <w:lang w:val="en-IE" w:eastAsia="fr-BE"/>
        </w:rPr>
        <w:t>refusal of products for donation</w:t>
      </w:r>
      <w:r w:rsidR="00E529C9" w:rsidRPr="00DF5C23" w:rsidDel="00ED4D67">
        <w:rPr>
          <w:noProof/>
          <w:lang w:val="en-IE" w:eastAsia="fr-BE"/>
        </w:rPr>
        <w:t>, preparing for re</w:t>
      </w:r>
      <w:r w:rsidR="00E529C9" w:rsidRPr="00DF5C23">
        <w:rPr>
          <w:noProof/>
          <w:lang w:val="en-IE" w:eastAsia="fr-BE"/>
        </w:rPr>
        <w:t>-</w:t>
      </w:r>
      <w:r w:rsidR="00E529C9" w:rsidRPr="00DF5C23" w:rsidDel="00ED4D67">
        <w:rPr>
          <w:noProof/>
          <w:lang w:val="en-IE" w:eastAsia="fr-BE"/>
        </w:rPr>
        <w:t>use or remanufacturing</w:t>
      </w:r>
      <w:r w:rsidR="00E529C9" w:rsidRPr="00DF5C23">
        <w:rPr>
          <w:noProof/>
          <w:lang w:val="en-IE" w:eastAsia="fr-BE"/>
        </w:rPr>
        <w:t>.</w:t>
      </w:r>
    </w:p>
    <w:p w14:paraId="2C3A5748" w14:textId="631077C6" w:rsidR="00F82C45" w:rsidRPr="00DF5C23" w:rsidRDefault="004F5E59" w:rsidP="004F5E59">
      <w:pPr>
        <w:pStyle w:val="ManualNumPar1"/>
        <w:rPr>
          <w:noProof/>
          <w:lang w:val="en-US"/>
        </w:rPr>
      </w:pPr>
      <w:r w:rsidRPr="004F5E59">
        <w:t>4.</w:t>
      </w:r>
      <w:r w:rsidRPr="004F5E59">
        <w:tab/>
      </w:r>
      <w:r w:rsidR="001A5637" w:rsidRPr="00DF5C23">
        <w:rPr>
          <w:noProof/>
          <w:lang w:val="en-IE"/>
        </w:rPr>
        <w:t>When</w:t>
      </w:r>
      <w:r w:rsidR="00F82C45" w:rsidRPr="00DF5C23">
        <w:rPr>
          <w:noProof/>
          <w:lang w:val="en-IE"/>
        </w:rPr>
        <w:t xml:space="preserve"> preparing a delegated act </w:t>
      </w:r>
      <w:r w:rsidR="001A5637" w:rsidRPr="00DF5C23">
        <w:rPr>
          <w:noProof/>
          <w:lang w:val="en-IE"/>
        </w:rPr>
        <w:t xml:space="preserve">adopted pursuant to </w:t>
      </w:r>
      <w:r w:rsidR="00F82C45" w:rsidRPr="00DF5C23">
        <w:rPr>
          <w:noProof/>
          <w:lang w:val="en-IE"/>
        </w:rPr>
        <w:t>paragraph 3, the Commission shall:</w:t>
      </w:r>
    </w:p>
    <w:p w14:paraId="2C3A5749" w14:textId="0E8A19E7" w:rsidR="004A0177" w:rsidRPr="00DF5C23" w:rsidRDefault="004F5E59" w:rsidP="004F5E59">
      <w:pPr>
        <w:pStyle w:val="Point1"/>
        <w:rPr>
          <w:noProof/>
          <w:lang w:val="en-IE" w:eastAsia="fr-BE"/>
        </w:rPr>
      </w:pPr>
      <w:r w:rsidRPr="004F5E59">
        <w:t>(a)</w:t>
      </w:r>
      <w:r w:rsidRPr="004F5E59">
        <w:tab/>
      </w:r>
      <w:r w:rsidR="004A0177" w:rsidRPr="00DF5C23">
        <w:rPr>
          <w:noProof/>
          <w:lang w:val="en-IE" w:eastAsia="fr-BE"/>
        </w:rPr>
        <w:t>assess the prevalence and environmental impact of the destruction of specific consumer products; </w:t>
      </w:r>
    </w:p>
    <w:p w14:paraId="2C3A574A" w14:textId="28382FAF" w:rsidR="00F82C45" w:rsidRPr="00DF5C23" w:rsidRDefault="004F5E59" w:rsidP="004F5E59">
      <w:pPr>
        <w:pStyle w:val="Point1"/>
        <w:rPr>
          <w:noProof/>
          <w:lang w:val="en-IE" w:eastAsia="fr-BE"/>
        </w:rPr>
      </w:pPr>
      <w:r w:rsidRPr="004F5E59">
        <w:t>(b)</w:t>
      </w:r>
      <w:r w:rsidRPr="004F5E59">
        <w:tab/>
      </w:r>
      <w:r w:rsidR="00F82C45" w:rsidRPr="00DF5C23">
        <w:rPr>
          <w:noProof/>
          <w:lang w:val="en-IE" w:eastAsia="fr-BE"/>
        </w:rPr>
        <w:t>take into account the information disclosed by economic operators pursuant to paragraph 1;</w:t>
      </w:r>
    </w:p>
    <w:p w14:paraId="2C3A574B" w14:textId="06EC0994" w:rsidR="00321240" w:rsidRPr="00DF5C23" w:rsidRDefault="004F5E59" w:rsidP="004F5E59">
      <w:pPr>
        <w:pStyle w:val="Point1"/>
        <w:rPr>
          <w:noProof/>
          <w:lang w:val="en-IE" w:eastAsia="fr-BE"/>
        </w:rPr>
      </w:pPr>
      <w:r w:rsidRPr="004F5E59">
        <w:t>(c)</w:t>
      </w:r>
      <w:r w:rsidRPr="004F5E59">
        <w:tab/>
      </w:r>
      <w:r w:rsidR="00F82C45" w:rsidRPr="00DF5C23">
        <w:rPr>
          <w:noProof/>
          <w:lang w:val="en-IE" w:eastAsia="fr-BE"/>
        </w:rPr>
        <w:t>carry out an impact assessment based on best available evidence and analyses, and on additional studies as necessary</w:t>
      </w:r>
      <w:r w:rsidR="00F63C7E" w:rsidRPr="00DF5C23">
        <w:rPr>
          <w:noProof/>
          <w:lang w:val="en-IE" w:eastAsia="fr-BE"/>
        </w:rPr>
        <w:t>.</w:t>
      </w:r>
    </w:p>
    <w:p w14:paraId="2C3A574C" w14:textId="77777777" w:rsidR="00F82C45" w:rsidRPr="00DF5C23" w:rsidRDefault="008F02FA" w:rsidP="00F63C7E">
      <w:pPr>
        <w:pStyle w:val="Text1"/>
        <w:rPr>
          <w:noProof/>
          <w:lang w:val="en-IE" w:eastAsia="fr-BE"/>
        </w:rPr>
      </w:pPr>
      <w:r w:rsidRPr="00DF5C23">
        <w:rPr>
          <w:noProof/>
          <w:lang w:val="en-IE"/>
        </w:rPr>
        <w:t xml:space="preserve">The Commission shall consult the Ecodesign Forum referred to in Article 17, and take account of its views on </w:t>
      </w:r>
      <w:r w:rsidRPr="00DF5C23">
        <w:rPr>
          <w:bCs/>
          <w:noProof/>
          <w:lang w:val="en-IE"/>
        </w:rPr>
        <w:t>possible prohibitions of destruction of unsold consumer products referred to in paragraph 3, prior to the preparation of the delegated acts setting out those prohibitions</w:t>
      </w:r>
      <w:r w:rsidR="00F82C45" w:rsidRPr="00DF5C23">
        <w:rPr>
          <w:noProof/>
          <w:lang w:val="en-IE" w:eastAsia="fr-BE"/>
        </w:rPr>
        <w:t>.</w:t>
      </w:r>
    </w:p>
    <w:p w14:paraId="2C3A574D" w14:textId="7560355C" w:rsidR="00595C9D" w:rsidRPr="00DF5C23" w:rsidRDefault="004F5E59" w:rsidP="004F5E59">
      <w:pPr>
        <w:pStyle w:val="ManualNumPar1"/>
        <w:rPr>
          <w:noProof/>
        </w:rPr>
      </w:pPr>
      <w:r w:rsidRPr="004F5E59">
        <w:t>5.</w:t>
      </w:r>
      <w:r w:rsidRPr="004F5E59">
        <w:tab/>
      </w:r>
      <w:r w:rsidR="00595C9D" w:rsidRPr="00DF5C23">
        <w:rPr>
          <w:noProof/>
        </w:rPr>
        <w:t xml:space="preserve">Where unsold consumer products are destroyed under an exemption referred to in paragraph </w:t>
      </w:r>
      <w:r w:rsidR="006859F8" w:rsidRPr="00DF5C23">
        <w:rPr>
          <w:noProof/>
        </w:rPr>
        <w:t>3</w:t>
      </w:r>
      <w:r w:rsidR="00C728A2" w:rsidRPr="00DF5C23">
        <w:rPr>
          <w:noProof/>
        </w:rPr>
        <w:t>, second subparagraph</w:t>
      </w:r>
      <w:r w:rsidR="00595C9D" w:rsidRPr="00DF5C23">
        <w:rPr>
          <w:noProof/>
        </w:rPr>
        <w:t>, the responsible economic operator shall disclose on a freely accessible website or otherwise make publicly available:</w:t>
      </w:r>
    </w:p>
    <w:p w14:paraId="2C3A574E" w14:textId="571FADED" w:rsidR="00D531F0" w:rsidRPr="00DF5C23" w:rsidRDefault="004F5E59" w:rsidP="004F5E59">
      <w:pPr>
        <w:pStyle w:val="Point1"/>
        <w:rPr>
          <w:noProof/>
          <w:lang w:val="en-IE" w:eastAsia="fr-BE"/>
        </w:rPr>
      </w:pPr>
      <w:r w:rsidRPr="004F5E59">
        <w:t>(a)</w:t>
      </w:r>
      <w:r w:rsidRPr="004F5E59">
        <w:tab/>
      </w:r>
      <w:r w:rsidR="00D531F0" w:rsidRPr="00DF5C23">
        <w:rPr>
          <w:noProof/>
          <w:lang w:val="en-IE" w:eastAsia="fr-BE"/>
        </w:rPr>
        <w:t>the number of unsold consumer products destroyed;</w:t>
      </w:r>
    </w:p>
    <w:p w14:paraId="2C3A574F" w14:textId="5EDCC934" w:rsidR="00D531F0" w:rsidRPr="00DF5C23" w:rsidRDefault="004F5E59" w:rsidP="004F5E59">
      <w:pPr>
        <w:pStyle w:val="Point1"/>
        <w:rPr>
          <w:noProof/>
          <w:lang w:val="en-IE" w:eastAsia="fr-BE"/>
        </w:rPr>
      </w:pPr>
      <w:r w:rsidRPr="004F5E59">
        <w:t>(b)</w:t>
      </w:r>
      <w:r w:rsidRPr="004F5E59">
        <w:tab/>
      </w:r>
      <w:r w:rsidR="00D531F0" w:rsidRPr="00DF5C23">
        <w:rPr>
          <w:noProof/>
          <w:lang w:val="en-IE" w:eastAsia="fr-BE"/>
        </w:rPr>
        <w:t>the reasons for their destruction, referring to the applicable exemption</w:t>
      </w:r>
      <w:r w:rsidR="002D6AA1" w:rsidRPr="00DF5C23">
        <w:rPr>
          <w:noProof/>
          <w:lang w:val="en-IE" w:eastAsia="fr-BE"/>
        </w:rPr>
        <w:t>;</w:t>
      </w:r>
    </w:p>
    <w:p w14:paraId="2C3A5750" w14:textId="1968A709" w:rsidR="00D531F0" w:rsidRPr="00DF5C23" w:rsidRDefault="004F5E59" w:rsidP="004F5E59">
      <w:pPr>
        <w:pStyle w:val="Point1"/>
        <w:rPr>
          <w:noProof/>
        </w:rPr>
      </w:pPr>
      <w:r w:rsidRPr="004F5E59">
        <w:t>(c)</w:t>
      </w:r>
      <w:r w:rsidRPr="004F5E59">
        <w:tab/>
      </w:r>
      <w:r w:rsidR="00D531F0" w:rsidRPr="00DF5C23">
        <w:rPr>
          <w:noProof/>
          <w:lang w:val="en-IE" w:eastAsia="fr-BE"/>
        </w:rPr>
        <w:t xml:space="preserve">the delivery of </w:t>
      </w:r>
      <w:r w:rsidR="006E318D" w:rsidRPr="00DF5C23">
        <w:rPr>
          <w:noProof/>
          <w:lang w:val="en-IE" w:eastAsia="fr-BE"/>
        </w:rPr>
        <w:t xml:space="preserve">the </w:t>
      </w:r>
      <w:r w:rsidR="00D531F0" w:rsidRPr="00DF5C23">
        <w:rPr>
          <w:noProof/>
          <w:lang w:val="en-IE" w:eastAsia="fr-BE"/>
        </w:rPr>
        <w:t xml:space="preserve">products </w:t>
      </w:r>
      <w:r w:rsidR="00DB47ED" w:rsidRPr="00DF5C23">
        <w:rPr>
          <w:noProof/>
          <w:lang w:val="en-IE" w:eastAsia="fr-BE"/>
        </w:rPr>
        <w:t xml:space="preserve">destroyed </w:t>
      </w:r>
      <w:r w:rsidR="00D531F0" w:rsidRPr="00DF5C23">
        <w:rPr>
          <w:noProof/>
          <w:shd w:val="clear" w:color="auto" w:fill="FFFFFF"/>
          <w:lang w:val="en-US"/>
        </w:rPr>
        <w:t>to recycling, energy recovery and disposal operations</w:t>
      </w:r>
      <w:r w:rsidR="00D531F0" w:rsidRPr="00DF5C23" w:rsidDel="0099422A">
        <w:rPr>
          <w:noProof/>
          <w:lang w:val="en-IE" w:eastAsia="fr-BE"/>
        </w:rPr>
        <w:t xml:space="preserve"> </w:t>
      </w:r>
      <w:r w:rsidR="00D531F0" w:rsidRPr="00DF5C23">
        <w:rPr>
          <w:noProof/>
          <w:lang w:val="en-IE" w:eastAsia="fr-BE"/>
        </w:rPr>
        <w:t xml:space="preserve">in accordance with the waste hierarchy as defined by Article 4 of </w:t>
      </w:r>
      <w:r w:rsidR="00D531F0" w:rsidRPr="00DF5C23">
        <w:rPr>
          <w:noProof/>
          <w:shd w:val="clear" w:color="auto" w:fill="FFFFFF"/>
          <w:lang w:val="en-US"/>
        </w:rPr>
        <w:t>Directive 2008/98/EC</w:t>
      </w:r>
      <w:r w:rsidR="00D531F0" w:rsidRPr="00DF5C23">
        <w:rPr>
          <w:noProof/>
          <w:lang w:val="en-IE" w:eastAsia="fr-BE"/>
        </w:rPr>
        <w:t xml:space="preserve">. </w:t>
      </w:r>
    </w:p>
    <w:p w14:paraId="2C3A5751" w14:textId="77777777" w:rsidR="00AC5828" w:rsidRPr="00DF5C23" w:rsidRDefault="00AC5828" w:rsidP="00AC5828">
      <w:pPr>
        <w:pStyle w:val="Text1"/>
        <w:rPr>
          <w:noProof/>
          <w:lang w:val="en-IE"/>
        </w:rPr>
      </w:pPr>
      <w:r w:rsidRPr="00DF5C23">
        <w:rPr>
          <w:noProof/>
          <w:lang w:val="en-IE"/>
        </w:rPr>
        <w:t xml:space="preserve">The </w:t>
      </w:r>
      <w:r w:rsidRPr="00DF5C23">
        <w:rPr>
          <w:noProof/>
        </w:rPr>
        <w:t xml:space="preserve">details and format for the disclosure </w:t>
      </w:r>
      <w:r w:rsidRPr="00DF5C23">
        <w:rPr>
          <w:noProof/>
          <w:lang w:val="en-IE"/>
        </w:rPr>
        <w:t xml:space="preserve">of information provided in the implementing act </w:t>
      </w:r>
      <w:r w:rsidR="002D6AA1" w:rsidRPr="00DF5C23">
        <w:rPr>
          <w:noProof/>
          <w:lang w:val="en-IE"/>
        </w:rPr>
        <w:t>adopted pursuant to</w:t>
      </w:r>
      <w:r w:rsidRPr="00DF5C23">
        <w:rPr>
          <w:noProof/>
          <w:lang w:val="en-IE"/>
        </w:rPr>
        <w:t xml:space="preserve"> paragraph </w:t>
      </w:r>
      <w:r w:rsidR="002D6AA1" w:rsidRPr="00DF5C23">
        <w:rPr>
          <w:noProof/>
          <w:lang w:val="en-IE"/>
        </w:rPr>
        <w:t>2</w:t>
      </w:r>
      <w:r w:rsidRPr="00DF5C23">
        <w:rPr>
          <w:noProof/>
          <w:lang w:val="en-IE"/>
        </w:rPr>
        <w:t xml:space="preserve"> shall apply to the information to be disclosed pursuant to this paragraph, unless the delegated act </w:t>
      </w:r>
      <w:r w:rsidR="001A5637" w:rsidRPr="00DF5C23">
        <w:rPr>
          <w:noProof/>
          <w:lang w:val="en-IE"/>
        </w:rPr>
        <w:t>adopted pursuant to</w:t>
      </w:r>
      <w:r w:rsidRPr="00DF5C23">
        <w:rPr>
          <w:noProof/>
          <w:lang w:val="en-IE"/>
        </w:rPr>
        <w:t xml:space="preserve"> paragraph </w:t>
      </w:r>
      <w:r w:rsidR="002D6AA1" w:rsidRPr="00DF5C23">
        <w:rPr>
          <w:noProof/>
          <w:lang w:val="en-IE"/>
        </w:rPr>
        <w:t>3</w:t>
      </w:r>
      <w:r w:rsidRPr="00DF5C23" w:rsidDel="00DD08F8">
        <w:rPr>
          <w:noProof/>
          <w:lang w:val="en-IE"/>
        </w:rPr>
        <w:t xml:space="preserve"> </w:t>
      </w:r>
      <w:r w:rsidRPr="00DF5C23">
        <w:rPr>
          <w:noProof/>
          <w:lang w:val="en-IE"/>
        </w:rPr>
        <w:t>provides otherwise.</w:t>
      </w:r>
    </w:p>
    <w:p w14:paraId="2C3A5752" w14:textId="63178C27" w:rsidR="00F97FEE" w:rsidRPr="00DF5C23" w:rsidRDefault="004F5E59" w:rsidP="004F5E59">
      <w:pPr>
        <w:pStyle w:val="ManualNumPar1"/>
        <w:rPr>
          <w:noProof/>
          <w:lang w:val="en-US"/>
        </w:rPr>
      </w:pPr>
      <w:r w:rsidRPr="004F5E59">
        <w:t>6.</w:t>
      </w:r>
      <w:r w:rsidRPr="004F5E59">
        <w:tab/>
      </w:r>
      <w:r w:rsidR="00F97FEE" w:rsidRPr="00DF5C23">
        <w:rPr>
          <w:noProof/>
          <w:lang w:val="en-IE"/>
        </w:rPr>
        <w:t xml:space="preserve">This Article shall not apply to SMEs. </w:t>
      </w:r>
    </w:p>
    <w:p w14:paraId="2C3A5753" w14:textId="77777777" w:rsidR="00254999" w:rsidRPr="00DF5C23" w:rsidRDefault="00F97FEE" w:rsidP="00F97FEE">
      <w:pPr>
        <w:pStyle w:val="Text1"/>
        <w:rPr>
          <w:noProof/>
          <w:lang w:val="en-IE" w:eastAsia="fr-BE"/>
        </w:rPr>
      </w:pPr>
      <w:r w:rsidRPr="00DF5C23">
        <w:rPr>
          <w:noProof/>
          <w:lang w:val="en-IE"/>
        </w:rPr>
        <w:t xml:space="preserve">However, </w:t>
      </w:r>
      <w:r w:rsidRPr="00DF5C23">
        <w:rPr>
          <w:noProof/>
          <w:lang w:val="en-IE" w:eastAsia="fr-BE"/>
        </w:rPr>
        <w:t xml:space="preserve">the Commission may, in the delegated acts adopted pursuant to paragraph 3, </w:t>
      </w:r>
      <w:r w:rsidR="001A5637" w:rsidRPr="00DF5C23">
        <w:rPr>
          <w:noProof/>
          <w:lang w:val="en-IE" w:eastAsia="fr-BE"/>
        </w:rPr>
        <w:t xml:space="preserve">provide </w:t>
      </w:r>
      <w:r w:rsidRPr="00DF5C23">
        <w:rPr>
          <w:noProof/>
          <w:lang w:val="en-IE" w:eastAsia="fr-BE"/>
        </w:rPr>
        <w:t xml:space="preserve">that </w:t>
      </w:r>
      <w:r w:rsidR="006A156D" w:rsidRPr="00DF5C23">
        <w:rPr>
          <w:noProof/>
          <w:lang w:val="en-IE" w:eastAsia="fr-BE"/>
        </w:rPr>
        <w:t xml:space="preserve">the prohibition to destroy unsold consumer products referred to in paragraph 3 or the disclosure obligation referred to in paragraph 4 </w:t>
      </w:r>
      <w:r w:rsidR="001A5637" w:rsidRPr="00DF5C23">
        <w:rPr>
          <w:noProof/>
          <w:lang w:val="en-IE" w:eastAsia="fr-BE"/>
        </w:rPr>
        <w:t xml:space="preserve">shall </w:t>
      </w:r>
      <w:r w:rsidRPr="00DF5C23">
        <w:rPr>
          <w:noProof/>
          <w:lang w:val="en-IE" w:eastAsia="fr-BE"/>
        </w:rPr>
        <w:t>apply</w:t>
      </w:r>
      <w:r w:rsidR="001A5637" w:rsidRPr="00DF5C23">
        <w:rPr>
          <w:noProof/>
          <w:lang w:val="en-IE" w:eastAsia="fr-BE"/>
        </w:rPr>
        <w:t xml:space="preserve"> to:</w:t>
      </w:r>
      <w:r w:rsidRPr="00DF5C23">
        <w:rPr>
          <w:noProof/>
          <w:lang w:val="en-IE" w:eastAsia="fr-BE"/>
        </w:rPr>
        <w:t xml:space="preserve"> </w:t>
      </w:r>
    </w:p>
    <w:p w14:paraId="2C3A5754" w14:textId="300FA41C" w:rsidR="00254999" w:rsidRPr="00DF5C23" w:rsidRDefault="004F5E59" w:rsidP="004F5E59">
      <w:pPr>
        <w:pStyle w:val="Point1"/>
        <w:rPr>
          <w:noProof/>
          <w:lang w:val="en-IE" w:eastAsia="fr-BE"/>
        </w:rPr>
      </w:pPr>
      <w:r w:rsidRPr="004F5E59">
        <w:t>(a)</w:t>
      </w:r>
      <w:r w:rsidRPr="004F5E59">
        <w:tab/>
      </w:r>
      <w:r w:rsidR="001A5637" w:rsidRPr="00DF5C23">
        <w:rPr>
          <w:noProof/>
          <w:lang w:val="en-IE" w:eastAsia="fr-BE"/>
        </w:rPr>
        <w:t>medium-sized enterprises,</w:t>
      </w:r>
      <w:r w:rsidR="001A5637" w:rsidRPr="00DF5C23">
        <w:rPr>
          <w:noProof/>
          <w:lang w:val="en-IE"/>
        </w:rPr>
        <w:t xml:space="preserve"> where </w:t>
      </w:r>
      <w:r w:rsidR="001A5637" w:rsidRPr="00DF5C23">
        <w:rPr>
          <w:noProof/>
          <w:lang w:val="en-IE" w:eastAsia="fr-BE"/>
        </w:rPr>
        <w:t xml:space="preserve">there is </w:t>
      </w:r>
      <w:r w:rsidR="00F63C7E" w:rsidRPr="00DF5C23">
        <w:rPr>
          <w:noProof/>
          <w:lang w:val="en-IE" w:eastAsia="fr-BE"/>
        </w:rPr>
        <w:t xml:space="preserve">sufficient </w:t>
      </w:r>
      <w:r w:rsidR="001A5637" w:rsidRPr="00DF5C23">
        <w:rPr>
          <w:noProof/>
          <w:lang w:val="en-IE" w:eastAsia="fr-BE"/>
        </w:rPr>
        <w:t xml:space="preserve">evidence that they </w:t>
      </w:r>
      <w:r w:rsidR="00254999" w:rsidRPr="00DF5C23">
        <w:rPr>
          <w:noProof/>
          <w:lang w:val="en-IE" w:eastAsia="fr-BE"/>
        </w:rPr>
        <w:t>account for a substantial proportion of unsold consumer products being destroyed;</w:t>
      </w:r>
    </w:p>
    <w:p w14:paraId="2C3A5755" w14:textId="3C5F5368" w:rsidR="00254999" w:rsidRPr="00DF5C23" w:rsidRDefault="004F5E59" w:rsidP="004F5E59">
      <w:pPr>
        <w:pStyle w:val="Point1"/>
        <w:rPr>
          <w:noProof/>
          <w:lang w:val="en-IE" w:eastAsia="fr-BE"/>
        </w:rPr>
      </w:pPr>
      <w:r w:rsidRPr="004F5E59">
        <w:t>(b)</w:t>
      </w:r>
      <w:r w:rsidRPr="004F5E59">
        <w:tab/>
      </w:r>
      <w:r w:rsidR="001A5637" w:rsidRPr="00DF5C23">
        <w:rPr>
          <w:noProof/>
          <w:lang w:val="en-IE" w:eastAsia="fr-BE"/>
        </w:rPr>
        <w:t xml:space="preserve">microenterprises, small enterprises or medium-sized enterprises, </w:t>
      </w:r>
      <w:r w:rsidR="001A5637" w:rsidRPr="00DF5C23">
        <w:rPr>
          <w:noProof/>
          <w:lang w:val="en-IE"/>
        </w:rPr>
        <w:t xml:space="preserve">where </w:t>
      </w:r>
      <w:r w:rsidR="001A5637" w:rsidRPr="00DF5C23">
        <w:rPr>
          <w:noProof/>
          <w:lang w:val="en-IE" w:eastAsia="fr-BE"/>
        </w:rPr>
        <w:t xml:space="preserve">there is </w:t>
      </w:r>
      <w:r w:rsidR="00F63C7E" w:rsidRPr="00DF5C23">
        <w:rPr>
          <w:noProof/>
          <w:lang w:val="en-IE" w:eastAsia="fr-BE"/>
        </w:rPr>
        <w:t xml:space="preserve">sufficient </w:t>
      </w:r>
      <w:r w:rsidR="001A5637" w:rsidRPr="00DF5C23">
        <w:rPr>
          <w:noProof/>
          <w:lang w:val="en-IE" w:eastAsia="fr-BE"/>
        </w:rPr>
        <w:t xml:space="preserve">evidence that they </w:t>
      </w:r>
      <w:r w:rsidR="00254999" w:rsidRPr="00DF5C23">
        <w:rPr>
          <w:noProof/>
          <w:lang w:val="en-IE" w:eastAsia="fr-BE"/>
        </w:rPr>
        <w:t>may be used to circumvent the prohibition to destroy unsold consumer products referred to in paragraph 3 or the disclosure obligation referred to in paragraph 4</w:t>
      </w:r>
      <w:r w:rsidR="006A156D" w:rsidRPr="00DF5C23">
        <w:rPr>
          <w:noProof/>
          <w:lang w:val="en-IE" w:eastAsia="fr-BE"/>
        </w:rPr>
        <w:t>.</w:t>
      </w:r>
    </w:p>
    <w:p w14:paraId="2C3A5756" w14:textId="77777777" w:rsidR="00646885" w:rsidRPr="00DF5C23" w:rsidRDefault="0681B866" w:rsidP="00BA4E97">
      <w:pPr>
        <w:pStyle w:val="ManualHeading1"/>
        <w:jc w:val="center"/>
        <w:rPr>
          <w:noProof/>
        </w:rPr>
      </w:pPr>
      <w:r w:rsidRPr="00DF5C23">
        <w:rPr>
          <w:noProof/>
        </w:rPr>
        <w:t xml:space="preserve">Chapter </w:t>
      </w:r>
      <w:r w:rsidR="00A625AD" w:rsidRPr="00DF5C23">
        <w:rPr>
          <w:noProof/>
        </w:rPr>
        <w:t>V</w:t>
      </w:r>
      <w:r w:rsidR="00D531F0" w:rsidRPr="00DF5C23">
        <w:rPr>
          <w:noProof/>
        </w:rPr>
        <w:t>I</w:t>
      </w:r>
      <w:r w:rsidR="00A625AD" w:rsidRPr="00DF5C23">
        <w:rPr>
          <w:noProof/>
        </w:rPr>
        <w:t>I</w:t>
      </w:r>
      <w:r w:rsidRPr="00DF5C23">
        <w:rPr>
          <w:noProof/>
        </w:rPr>
        <w:t xml:space="preserve"> </w:t>
      </w:r>
      <w:r w:rsidR="00BA4E97" w:rsidRPr="00DF5C23">
        <w:rPr>
          <w:noProof/>
        </w:rPr>
        <w:t xml:space="preserve">- </w:t>
      </w:r>
      <w:r w:rsidRPr="00DF5C23">
        <w:rPr>
          <w:noProof/>
        </w:rPr>
        <w:t>Obligations of economic operators</w:t>
      </w:r>
    </w:p>
    <w:p w14:paraId="2C3A5757" w14:textId="77777777" w:rsidR="00646885" w:rsidRPr="00DF5C23" w:rsidRDefault="0681B866" w:rsidP="0681B866">
      <w:pPr>
        <w:pStyle w:val="Titrearticle"/>
        <w:rPr>
          <w:noProof/>
          <w:lang w:val="en-IE" w:eastAsia="fr-BE"/>
        </w:rPr>
      </w:pPr>
      <w:r w:rsidRPr="00DF5C23">
        <w:rPr>
          <w:noProof/>
          <w:lang w:val="en-IE" w:eastAsia="fr-BE"/>
        </w:rPr>
        <w:t xml:space="preserve">Article </w:t>
      </w:r>
      <w:r w:rsidR="001A4BE8" w:rsidRPr="00DF5C23">
        <w:rPr>
          <w:noProof/>
          <w:lang w:val="en-IE" w:eastAsia="fr-BE"/>
        </w:rPr>
        <w:t>21</w:t>
      </w:r>
      <w:r w:rsidR="00646885" w:rsidRPr="00DF5C23">
        <w:rPr>
          <w:noProof/>
        </w:rPr>
        <w:br/>
      </w:r>
      <w:r w:rsidRPr="00DF5C23">
        <w:rPr>
          <w:noProof/>
          <w:lang w:val="en-IE" w:eastAsia="fr-BE"/>
        </w:rPr>
        <w:t>Obligations of manufacturers</w:t>
      </w:r>
    </w:p>
    <w:p w14:paraId="2C3A5758" w14:textId="24AA828E" w:rsidR="00EC03A0" w:rsidRPr="00DF5C23" w:rsidRDefault="004F5E59" w:rsidP="004F5E59">
      <w:pPr>
        <w:pStyle w:val="ManualNumPar1"/>
        <w:rPr>
          <w:noProof/>
          <w:lang w:val="en-IE"/>
        </w:rPr>
      </w:pPr>
      <w:r w:rsidRPr="004F5E59">
        <w:t>1.</w:t>
      </w:r>
      <w:r w:rsidRPr="004F5E59">
        <w:tab/>
      </w:r>
      <w:r w:rsidR="00646885" w:rsidRPr="00DF5C23">
        <w:rPr>
          <w:noProof/>
          <w:lang w:val="en-IE"/>
        </w:rPr>
        <w:t>When placing product</w:t>
      </w:r>
      <w:r w:rsidR="00A40034" w:rsidRPr="00DF5C23">
        <w:rPr>
          <w:noProof/>
          <w:lang w:val="en-IE"/>
        </w:rPr>
        <w:t>s</w:t>
      </w:r>
      <w:r w:rsidR="00646885" w:rsidRPr="00DF5C23">
        <w:rPr>
          <w:noProof/>
          <w:lang w:val="en-IE"/>
        </w:rPr>
        <w:t xml:space="preserve"> covered by a </w:t>
      </w:r>
      <w:r w:rsidR="00715D90" w:rsidRPr="00DF5C23">
        <w:rPr>
          <w:noProof/>
          <w:lang w:val="en-IE" w:eastAsia="fr-BE"/>
        </w:rPr>
        <w:t xml:space="preserve">delegated act </w:t>
      </w:r>
      <w:r w:rsidR="00FD7DBE" w:rsidRPr="00DF5C23">
        <w:rPr>
          <w:noProof/>
          <w:lang w:val="en-IE" w:eastAsia="fr-BE"/>
        </w:rPr>
        <w:t>adopted pursuant to Article 4</w:t>
      </w:r>
      <w:r w:rsidR="00505A61" w:rsidRPr="00DF5C23">
        <w:rPr>
          <w:noProof/>
          <w:lang w:val="en-IE" w:eastAsia="fr-BE"/>
        </w:rPr>
        <w:t xml:space="preserve"> </w:t>
      </w:r>
      <w:r w:rsidR="00646885" w:rsidRPr="00DF5C23">
        <w:rPr>
          <w:noProof/>
          <w:lang w:val="en-IE"/>
        </w:rPr>
        <w:t>on the market</w:t>
      </w:r>
      <w:r w:rsidR="005C4CCB" w:rsidRPr="00DF5C23">
        <w:rPr>
          <w:noProof/>
          <w:lang w:val="en-IE"/>
        </w:rPr>
        <w:t xml:space="preserve"> or putting them into service</w:t>
      </w:r>
      <w:r w:rsidR="00DA1886" w:rsidRPr="00DF5C23">
        <w:rPr>
          <w:noProof/>
          <w:lang w:val="en-IE"/>
        </w:rPr>
        <w:t xml:space="preserve">, </w:t>
      </w:r>
      <w:r w:rsidR="00646885" w:rsidRPr="00DF5C23">
        <w:rPr>
          <w:noProof/>
          <w:lang w:val="en-IE"/>
        </w:rPr>
        <w:t>manufacturers shall</w:t>
      </w:r>
      <w:r w:rsidR="00680CC3" w:rsidRPr="00DF5C23">
        <w:rPr>
          <w:noProof/>
          <w:lang w:val="en-IE"/>
        </w:rPr>
        <w:t xml:space="preserve"> ensure that</w:t>
      </w:r>
      <w:r w:rsidR="00EC03A0" w:rsidRPr="00DF5C23">
        <w:rPr>
          <w:noProof/>
          <w:lang w:val="en-IE"/>
        </w:rPr>
        <w:t>:</w:t>
      </w:r>
    </w:p>
    <w:p w14:paraId="2C3A5759" w14:textId="32B35401" w:rsidR="00646885" w:rsidRPr="00DF5C23" w:rsidRDefault="004F5E59" w:rsidP="004F5E59">
      <w:pPr>
        <w:pStyle w:val="Point1"/>
        <w:rPr>
          <w:noProof/>
          <w:lang w:val="en-IE"/>
        </w:rPr>
      </w:pPr>
      <w:r w:rsidRPr="004F5E59">
        <w:t>(a)</w:t>
      </w:r>
      <w:r w:rsidRPr="004F5E59">
        <w:tab/>
      </w:r>
      <w:r w:rsidR="007521E3" w:rsidRPr="00DF5C23">
        <w:rPr>
          <w:noProof/>
          <w:lang w:val="en-IE"/>
        </w:rPr>
        <w:t>those products</w:t>
      </w:r>
      <w:r w:rsidR="0681B866" w:rsidRPr="00DF5C23">
        <w:rPr>
          <w:noProof/>
          <w:lang w:val="en-IE"/>
        </w:rPr>
        <w:t xml:space="preserve"> have been designed and manufactured in accordance with the requirements set out in </w:t>
      </w:r>
      <w:r w:rsidR="007521E3" w:rsidRPr="00DF5C23">
        <w:rPr>
          <w:noProof/>
          <w:lang w:val="en-IE"/>
        </w:rPr>
        <w:t xml:space="preserve">Article 6 and </w:t>
      </w:r>
      <w:r w:rsidR="0681B866" w:rsidRPr="00DF5C23">
        <w:rPr>
          <w:noProof/>
          <w:lang w:val="en-IE"/>
        </w:rPr>
        <w:t xml:space="preserve">the </w:t>
      </w:r>
      <w:r w:rsidR="0681B866" w:rsidRPr="00DF5C23">
        <w:rPr>
          <w:noProof/>
          <w:color w:val="000000" w:themeColor="text1"/>
          <w:lang w:val="en-IE"/>
        </w:rPr>
        <w:t>delegated acts</w:t>
      </w:r>
      <w:r w:rsidR="007521E3" w:rsidRPr="00DF5C23">
        <w:rPr>
          <w:noProof/>
          <w:color w:val="000000" w:themeColor="text1"/>
          <w:lang w:val="en-IE"/>
        </w:rPr>
        <w:t xml:space="preserve"> </w:t>
      </w:r>
      <w:r w:rsidR="00FD7DBE" w:rsidRPr="00DF5C23">
        <w:rPr>
          <w:noProof/>
          <w:lang w:val="en-IE" w:eastAsia="fr-BE"/>
        </w:rPr>
        <w:t>adopted pursuant to Article 4</w:t>
      </w:r>
      <w:r w:rsidR="0681B866" w:rsidRPr="00DF5C23">
        <w:rPr>
          <w:noProof/>
          <w:lang w:val="en-IE"/>
        </w:rPr>
        <w:t>;</w:t>
      </w:r>
    </w:p>
    <w:p w14:paraId="2C3A575A" w14:textId="49F40D69" w:rsidR="00646885" w:rsidRPr="00DF5C23" w:rsidRDefault="004F5E59" w:rsidP="004F5E59">
      <w:pPr>
        <w:pStyle w:val="Point1"/>
        <w:rPr>
          <w:noProof/>
          <w:lang w:val="en-IE"/>
        </w:rPr>
      </w:pPr>
      <w:r w:rsidRPr="004F5E59">
        <w:t>(b)</w:t>
      </w:r>
      <w:r w:rsidRPr="004F5E59">
        <w:tab/>
      </w:r>
      <w:r w:rsidR="007521E3" w:rsidRPr="00DF5C23">
        <w:rPr>
          <w:noProof/>
          <w:lang w:val="en-IE"/>
        </w:rPr>
        <w:t xml:space="preserve">those products </w:t>
      </w:r>
      <w:r w:rsidR="009F647D" w:rsidRPr="00DF5C23">
        <w:rPr>
          <w:noProof/>
          <w:lang w:val="en-IE"/>
        </w:rPr>
        <w:t xml:space="preserve">are accompanied by </w:t>
      </w:r>
      <w:r w:rsidR="007521E3" w:rsidRPr="00DF5C23">
        <w:rPr>
          <w:noProof/>
          <w:lang w:val="en-IE"/>
        </w:rPr>
        <w:t xml:space="preserve">the </w:t>
      </w:r>
      <w:r w:rsidR="00646885" w:rsidRPr="00DF5C23">
        <w:rPr>
          <w:noProof/>
          <w:lang w:val="en-IE"/>
        </w:rPr>
        <w:t xml:space="preserve">information required by the </w:t>
      </w:r>
      <w:r w:rsidR="007521E3" w:rsidRPr="00DF5C23">
        <w:rPr>
          <w:noProof/>
          <w:lang w:val="en-IE"/>
        </w:rPr>
        <w:t xml:space="preserve">Article 7 and the </w:t>
      </w:r>
      <w:r w:rsidR="00505A61" w:rsidRPr="00DF5C23">
        <w:rPr>
          <w:noProof/>
          <w:color w:val="000000" w:themeColor="text1"/>
          <w:lang w:val="en-IE"/>
        </w:rPr>
        <w:t>delegated acts</w:t>
      </w:r>
      <w:r w:rsidR="00505A61" w:rsidRPr="00DF5C23">
        <w:rPr>
          <w:noProof/>
          <w:lang w:val="en-IE"/>
        </w:rPr>
        <w:t xml:space="preserve"> </w:t>
      </w:r>
      <w:r w:rsidR="00FD7DBE" w:rsidRPr="00DF5C23">
        <w:rPr>
          <w:noProof/>
          <w:lang w:val="en-IE" w:eastAsia="fr-BE"/>
        </w:rPr>
        <w:t>adopted pursuant to Article 4</w:t>
      </w:r>
      <w:r w:rsidR="00F04F32" w:rsidRPr="00DF5C23">
        <w:rPr>
          <w:noProof/>
          <w:lang w:val="en-IE"/>
        </w:rPr>
        <w:t>;</w:t>
      </w:r>
    </w:p>
    <w:p w14:paraId="2C3A575B" w14:textId="50F10906" w:rsidR="001D0AD1" w:rsidRPr="00DF5C23" w:rsidRDefault="004F5E59" w:rsidP="004F5E59">
      <w:pPr>
        <w:pStyle w:val="Point1"/>
        <w:rPr>
          <w:noProof/>
          <w:lang w:val="en-IE"/>
        </w:rPr>
      </w:pPr>
      <w:r w:rsidRPr="004F5E59">
        <w:t>(c)</w:t>
      </w:r>
      <w:r w:rsidRPr="004F5E59">
        <w:tab/>
      </w:r>
      <w:r w:rsidR="009F647D" w:rsidRPr="00DF5C23">
        <w:rPr>
          <w:noProof/>
          <w:lang w:val="en-IE"/>
        </w:rPr>
        <w:t xml:space="preserve">a product passport </w:t>
      </w:r>
      <w:r w:rsidR="00C33BBE" w:rsidRPr="00DF5C23">
        <w:rPr>
          <w:noProof/>
          <w:lang w:val="en-IE"/>
        </w:rPr>
        <w:t>is available</w:t>
      </w:r>
      <w:r w:rsidR="009F647D" w:rsidRPr="00DF5C23">
        <w:rPr>
          <w:noProof/>
          <w:lang w:val="en-IE"/>
        </w:rPr>
        <w:t xml:space="preserve"> in </w:t>
      </w:r>
      <w:r w:rsidR="007521E3" w:rsidRPr="00DF5C23">
        <w:rPr>
          <w:noProof/>
          <w:lang w:val="en-IE"/>
        </w:rPr>
        <w:t xml:space="preserve">accordance </w:t>
      </w:r>
      <w:r w:rsidR="00121761" w:rsidRPr="00DF5C23">
        <w:rPr>
          <w:noProof/>
          <w:lang w:val="en-IE"/>
        </w:rPr>
        <w:t>with</w:t>
      </w:r>
      <w:r w:rsidR="00321240" w:rsidRPr="00DF5C23">
        <w:rPr>
          <w:noProof/>
          <w:lang w:val="en-IE"/>
        </w:rPr>
        <w:t xml:space="preserve"> </w:t>
      </w:r>
      <w:r w:rsidR="007521E3" w:rsidRPr="00DF5C23">
        <w:rPr>
          <w:noProof/>
          <w:lang w:val="en-IE"/>
        </w:rPr>
        <w:t xml:space="preserve">Article </w:t>
      </w:r>
      <w:r w:rsidR="00465EDA" w:rsidRPr="00DF5C23">
        <w:rPr>
          <w:noProof/>
          <w:lang w:val="en-IE"/>
        </w:rPr>
        <w:t>8</w:t>
      </w:r>
      <w:r w:rsidR="00121761" w:rsidRPr="00DF5C23">
        <w:rPr>
          <w:noProof/>
          <w:lang w:val="en-IE"/>
        </w:rPr>
        <w:t xml:space="preserve"> and the </w:t>
      </w:r>
      <w:r w:rsidR="00121761" w:rsidRPr="00DF5C23">
        <w:rPr>
          <w:noProof/>
          <w:color w:val="000000" w:themeColor="text1"/>
          <w:lang w:val="en-IE"/>
        </w:rPr>
        <w:t>delegated acts</w:t>
      </w:r>
      <w:r w:rsidR="00121761" w:rsidRPr="00DF5C23">
        <w:rPr>
          <w:noProof/>
          <w:lang w:val="en-IE"/>
        </w:rPr>
        <w:t xml:space="preserve"> </w:t>
      </w:r>
      <w:r w:rsidR="00121761" w:rsidRPr="00DF5C23">
        <w:rPr>
          <w:noProof/>
          <w:lang w:val="en-IE" w:eastAsia="fr-BE"/>
        </w:rPr>
        <w:t>adopted pursuant to Article 4</w:t>
      </w:r>
      <w:r w:rsidR="00283506" w:rsidRPr="00DF5C23">
        <w:rPr>
          <w:noProof/>
          <w:lang w:val="en-IE" w:eastAsia="fr-BE"/>
        </w:rPr>
        <w:t>.</w:t>
      </w:r>
      <w:r w:rsidR="001D0AD1" w:rsidRPr="00DF5C23">
        <w:rPr>
          <w:noProof/>
          <w:lang w:val="en-IE"/>
        </w:rPr>
        <w:t xml:space="preserve"> </w:t>
      </w:r>
    </w:p>
    <w:p w14:paraId="2C3A575C" w14:textId="20A0B94A" w:rsidR="00646885" w:rsidRPr="00DF5C23" w:rsidRDefault="004F5E59" w:rsidP="004F5E59">
      <w:pPr>
        <w:pStyle w:val="ManualNumPar1"/>
        <w:rPr>
          <w:noProof/>
          <w:lang w:val="en-IE"/>
        </w:rPr>
      </w:pPr>
      <w:r w:rsidRPr="004F5E59">
        <w:t>2.</w:t>
      </w:r>
      <w:r w:rsidRPr="004F5E59">
        <w:tab/>
      </w:r>
      <w:r w:rsidR="00646885" w:rsidRPr="00DF5C23">
        <w:rPr>
          <w:noProof/>
          <w:lang w:val="en-IE"/>
        </w:rPr>
        <w:t xml:space="preserve">Before placing a product </w:t>
      </w:r>
      <w:r w:rsidR="00032027" w:rsidRPr="00DF5C23">
        <w:rPr>
          <w:noProof/>
          <w:lang w:val="en-IE"/>
        </w:rPr>
        <w:t xml:space="preserve">covered by a </w:t>
      </w:r>
      <w:r w:rsidR="00032027" w:rsidRPr="00DF5C23">
        <w:rPr>
          <w:noProof/>
          <w:lang w:val="en-IE" w:eastAsia="fr-BE"/>
        </w:rPr>
        <w:t xml:space="preserve">delegated act </w:t>
      </w:r>
      <w:r w:rsidR="00FD7DBE" w:rsidRPr="00DF5C23">
        <w:rPr>
          <w:noProof/>
          <w:lang w:val="en-IE" w:eastAsia="fr-BE"/>
        </w:rPr>
        <w:t>adopted pursuant to Article 4</w:t>
      </w:r>
      <w:r w:rsidR="00DC7B18" w:rsidRPr="00DF5C23">
        <w:rPr>
          <w:noProof/>
          <w:lang w:val="en-IE" w:eastAsia="fr-BE"/>
        </w:rPr>
        <w:t xml:space="preserve"> </w:t>
      </w:r>
      <w:r w:rsidR="00646885" w:rsidRPr="00DF5C23">
        <w:rPr>
          <w:noProof/>
          <w:lang w:val="en-IE"/>
        </w:rPr>
        <w:t>on the market or putting it into service</w:t>
      </w:r>
      <w:r w:rsidR="00354170" w:rsidRPr="00DF5C23">
        <w:rPr>
          <w:noProof/>
          <w:lang w:val="en-IE"/>
        </w:rPr>
        <w:t xml:space="preserve">, </w:t>
      </w:r>
      <w:r w:rsidR="00646885" w:rsidRPr="00DF5C23">
        <w:rPr>
          <w:noProof/>
          <w:lang w:val="en-IE"/>
        </w:rPr>
        <w:t xml:space="preserve">manufacturers shall carry out the conformity assessment procedure specified in the </w:t>
      </w:r>
      <w:r w:rsidR="00505A61" w:rsidRPr="00DF5C23">
        <w:rPr>
          <w:noProof/>
          <w:color w:val="000000" w:themeColor="text1"/>
          <w:lang w:val="en-IE"/>
        </w:rPr>
        <w:t>delegated acts</w:t>
      </w:r>
      <w:r w:rsidR="00505A61" w:rsidRPr="00DF5C23">
        <w:rPr>
          <w:noProof/>
          <w:lang w:val="en-IE"/>
        </w:rPr>
        <w:t xml:space="preserve"> </w:t>
      </w:r>
      <w:r w:rsidR="00FD7DBE" w:rsidRPr="00DF5C23">
        <w:rPr>
          <w:noProof/>
          <w:lang w:val="en-IE" w:eastAsia="fr-BE"/>
        </w:rPr>
        <w:t>adopted pursuant to Article 4</w:t>
      </w:r>
      <w:r w:rsidR="00957065" w:rsidRPr="00DF5C23">
        <w:rPr>
          <w:noProof/>
          <w:lang w:val="en-IE"/>
        </w:rPr>
        <w:t xml:space="preserve"> and draw up the required technical documentation</w:t>
      </w:r>
      <w:r w:rsidR="00505A61" w:rsidRPr="00DF5C23">
        <w:rPr>
          <w:noProof/>
          <w:lang w:val="en-IE"/>
        </w:rPr>
        <w:t>,</w:t>
      </w:r>
      <w:r w:rsidR="00646885" w:rsidRPr="00DF5C23">
        <w:rPr>
          <w:noProof/>
          <w:lang w:val="en-IE"/>
        </w:rPr>
        <w:t xml:space="preserve"> or have it carried out</w:t>
      </w:r>
      <w:r w:rsidR="00D87AB9" w:rsidRPr="00DF5C23">
        <w:rPr>
          <w:noProof/>
          <w:lang w:val="en-IE"/>
        </w:rPr>
        <w:t xml:space="preserve"> </w:t>
      </w:r>
      <w:r w:rsidR="00D87AB9" w:rsidRPr="00DF5C23">
        <w:rPr>
          <w:noProof/>
        </w:rPr>
        <w:t>on their behalf</w:t>
      </w:r>
      <w:r w:rsidR="00646885" w:rsidRPr="00DF5C23">
        <w:rPr>
          <w:noProof/>
          <w:lang w:val="en-IE"/>
        </w:rPr>
        <w:t>.</w:t>
      </w:r>
    </w:p>
    <w:p w14:paraId="2C3A575D" w14:textId="77777777" w:rsidR="00FB4BE8" w:rsidRPr="00DF5C23" w:rsidRDefault="00646885" w:rsidP="0681B866">
      <w:pPr>
        <w:pStyle w:val="Text1"/>
        <w:rPr>
          <w:noProof/>
          <w:lang w:val="en-IE"/>
        </w:rPr>
      </w:pPr>
      <w:r w:rsidRPr="00DF5C23">
        <w:rPr>
          <w:noProof/>
          <w:lang w:val="en-IE"/>
        </w:rPr>
        <w:t xml:space="preserve">Where compliance of a product </w:t>
      </w:r>
      <w:r w:rsidR="00425AA5" w:rsidRPr="00DF5C23">
        <w:rPr>
          <w:noProof/>
          <w:lang w:val="en-IE"/>
        </w:rPr>
        <w:t xml:space="preserve">covered by a </w:t>
      </w:r>
      <w:r w:rsidR="00425AA5" w:rsidRPr="00DF5C23">
        <w:rPr>
          <w:noProof/>
          <w:lang w:val="en-IE" w:eastAsia="fr-BE"/>
        </w:rPr>
        <w:t xml:space="preserve">delegated act </w:t>
      </w:r>
      <w:r w:rsidR="00FD7DBE" w:rsidRPr="00DF5C23">
        <w:rPr>
          <w:noProof/>
          <w:lang w:val="en-IE" w:eastAsia="fr-BE"/>
        </w:rPr>
        <w:t>adopted pursuant to Article 4</w:t>
      </w:r>
      <w:r w:rsidRPr="00DF5C23">
        <w:rPr>
          <w:noProof/>
          <w:lang w:val="en-IE"/>
        </w:rPr>
        <w:t xml:space="preserve">with the applicable requirements has been demonstrated by that procedure, manufacturers shall draw up an EU declaration of conformity in accordance with Article </w:t>
      </w:r>
      <w:r w:rsidR="00DB47ED" w:rsidRPr="00DF5C23">
        <w:rPr>
          <w:noProof/>
          <w:lang w:val="en-IE"/>
        </w:rPr>
        <w:t>3</w:t>
      </w:r>
      <w:r w:rsidR="00321240" w:rsidRPr="00DF5C23">
        <w:rPr>
          <w:noProof/>
          <w:lang w:val="en-IE"/>
        </w:rPr>
        <w:t>7</w:t>
      </w:r>
      <w:r w:rsidR="00DB47ED" w:rsidRPr="00DF5C23">
        <w:rPr>
          <w:noProof/>
          <w:lang w:val="en-IE"/>
        </w:rPr>
        <w:t xml:space="preserve"> </w:t>
      </w:r>
      <w:r w:rsidRPr="00DF5C23">
        <w:rPr>
          <w:noProof/>
          <w:lang w:val="en-IE"/>
        </w:rPr>
        <w:t xml:space="preserve">and affix the CE marking in accordance with Article </w:t>
      </w:r>
      <w:r w:rsidR="004A207D" w:rsidRPr="00DF5C23">
        <w:rPr>
          <w:noProof/>
          <w:lang w:val="en-IE"/>
        </w:rPr>
        <w:t>3</w:t>
      </w:r>
      <w:r w:rsidR="00321240" w:rsidRPr="00DF5C23">
        <w:rPr>
          <w:noProof/>
          <w:lang w:val="en-IE"/>
        </w:rPr>
        <w:t>9</w:t>
      </w:r>
      <w:r w:rsidRPr="00DF5C23">
        <w:rPr>
          <w:noProof/>
          <w:lang w:val="en-IE"/>
        </w:rPr>
        <w:t xml:space="preserve">. </w:t>
      </w:r>
      <w:r w:rsidR="00121761" w:rsidRPr="00DF5C23">
        <w:rPr>
          <w:noProof/>
          <w:lang w:val="en-IE"/>
        </w:rPr>
        <w:t xml:space="preserve">However, where the Commission has specified alternative rules pursuant to Article 4, </w:t>
      </w:r>
      <w:r w:rsidR="002438E5" w:rsidRPr="00DF5C23">
        <w:rPr>
          <w:noProof/>
          <w:lang w:val="en-IE"/>
        </w:rPr>
        <w:t xml:space="preserve">third subparagraph, </w:t>
      </w:r>
      <w:r w:rsidR="00121761" w:rsidRPr="00DF5C23">
        <w:rPr>
          <w:noProof/>
          <w:lang w:val="en-IE"/>
        </w:rPr>
        <w:t>point (</w:t>
      </w:r>
      <w:r w:rsidR="00AD4B9A" w:rsidRPr="00DF5C23">
        <w:rPr>
          <w:noProof/>
          <w:lang w:val="en-IE"/>
        </w:rPr>
        <w:t>f</w:t>
      </w:r>
      <w:r w:rsidR="00121761" w:rsidRPr="00DF5C23">
        <w:rPr>
          <w:noProof/>
          <w:lang w:val="en-IE"/>
        </w:rPr>
        <w:t>), the manufacturer shall draw up a conformity declaration and affix conformity marking in accordance with those rules.</w:t>
      </w:r>
    </w:p>
    <w:p w14:paraId="2C3A575E" w14:textId="089A4048" w:rsidR="00646885" w:rsidRPr="00DF5C23" w:rsidRDefault="004F5E59" w:rsidP="004F5E59">
      <w:pPr>
        <w:pStyle w:val="ManualNumPar1"/>
        <w:rPr>
          <w:noProof/>
          <w:lang w:val="en-IE"/>
        </w:rPr>
      </w:pPr>
      <w:r w:rsidRPr="004F5E59">
        <w:t>3.</w:t>
      </w:r>
      <w:r w:rsidRPr="004F5E59">
        <w:tab/>
      </w:r>
      <w:r w:rsidR="0681B866" w:rsidRPr="00DF5C23">
        <w:rPr>
          <w:noProof/>
          <w:lang w:val="en-IE"/>
        </w:rPr>
        <w:t xml:space="preserve">Manufacturers shall keep the technical documentation and the EU declaration of conformity for 10 years after the product has been placed on the market or put into service. Delegated acts </w:t>
      </w:r>
      <w:r w:rsidR="0053300B" w:rsidRPr="00DF5C23">
        <w:rPr>
          <w:noProof/>
          <w:lang w:val="en-IE"/>
        </w:rPr>
        <w:t>adopted pursuant to Article 4</w:t>
      </w:r>
      <w:r w:rsidR="0681B866" w:rsidRPr="00DF5C23">
        <w:rPr>
          <w:noProof/>
          <w:lang w:val="en-IE"/>
        </w:rPr>
        <w:t xml:space="preserve"> may specify a period longer or shorter than 10 years in order to take account of </w:t>
      </w:r>
      <w:r w:rsidR="00D87AB9" w:rsidRPr="00DF5C23">
        <w:rPr>
          <w:noProof/>
          <w:lang w:val="en-IE"/>
        </w:rPr>
        <w:t xml:space="preserve">the </w:t>
      </w:r>
      <w:r w:rsidR="0681B866" w:rsidRPr="00DF5C23">
        <w:rPr>
          <w:noProof/>
          <w:lang w:val="en-IE"/>
        </w:rPr>
        <w:t xml:space="preserve">nature of the products or requirements concerned. </w:t>
      </w:r>
    </w:p>
    <w:p w14:paraId="2C3A575F" w14:textId="438CB8CC" w:rsidR="00646885" w:rsidRPr="00DF5C23" w:rsidRDefault="004F5E59" w:rsidP="004F5E59">
      <w:pPr>
        <w:pStyle w:val="ManualNumPar1"/>
        <w:rPr>
          <w:noProof/>
          <w:lang w:val="en-IE"/>
        </w:rPr>
      </w:pPr>
      <w:r w:rsidRPr="004F5E59">
        <w:t>4.</w:t>
      </w:r>
      <w:r w:rsidRPr="004F5E59">
        <w:tab/>
      </w:r>
      <w:r w:rsidR="00D87AB9" w:rsidRPr="00DF5C23">
        <w:rPr>
          <w:noProof/>
        </w:rPr>
        <w:t>Manufacturers shall ensure that procedures are in place for series production to remain in conformity</w:t>
      </w:r>
      <w:r w:rsidR="00354E9E" w:rsidRPr="00DF5C23">
        <w:rPr>
          <w:noProof/>
        </w:rPr>
        <w:t xml:space="preserve"> with the applicable requirements</w:t>
      </w:r>
      <w:r w:rsidR="00D87AB9" w:rsidRPr="00DF5C23">
        <w:rPr>
          <w:noProof/>
        </w:rPr>
        <w:t>. Changes in the production process, product design or in characteristics, as well as changes in harmonised standards, common specifications or other technical specifications by reference to which product conformity</w:t>
      </w:r>
      <w:r w:rsidR="0681B866" w:rsidRPr="00DF5C23">
        <w:rPr>
          <w:noProof/>
          <w:lang w:val="en-IE"/>
        </w:rPr>
        <w:t xml:space="preserve"> is declared or by application of which its conformity is verified, shall be adequately taken into account </w:t>
      </w:r>
      <w:r w:rsidR="00354E9E" w:rsidRPr="00DF5C23">
        <w:rPr>
          <w:noProof/>
          <w:lang w:val="en-IE"/>
        </w:rPr>
        <w:t xml:space="preserve">by manufacturers </w:t>
      </w:r>
      <w:r w:rsidR="0681B866" w:rsidRPr="00DF5C23">
        <w:rPr>
          <w:noProof/>
          <w:lang w:val="en-IE"/>
        </w:rPr>
        <w:t xml:space="preserve">and, in case </w:t>
      </w:r>
      <w:r w:rsidR="00354E9E" w:rsidRPr="00DF5C23">
        <w:rPr>
          <w:noProof/>
          <w:lang w:val="en-IE"/>
        </w:rPr>
        <w:t xml:space="preserve">they found that </w:t>
      </w:r>
      <w:r w:rsidR="0681B866" w:rsidRPr="00DF5C23">
        <w:rPr>
          <w:noProof/>
          <w:lang w:val="en-IE"/>
        </w:rPr>
        <w:t xml:space="preserve">the product’s conformity is affected, </w:t>
      </w:r>
      <w:r w:rsidR="00354E9E" w:rsidRPr="00DF5C23">
        <w:rPr>
          <w:noProof/>
          <w:lang w:val="en-IE"/>
        </w:rPr>
        <w:t xml:space="preserve">manufacturers shall carry out </w:t>
      </w:r>
      <w:r w:rsidR="0681B866" w:rsidRPr="00DF5C23">
        <w:rPr>
          <w:noProof/>
          <w:lang w:val="en-IE"/>
        </w:rPr>
        <w:t>a re-assessment in accordance with the conformity assessment procedure</w:t>
      </w:r>
      <w:r w:rsidR="00354E9E" w:rsidRPr="00DF5C23">
        <w:rPr>
          <w:noProof/>
          <w:lang w:val="en-IE"/>
        </w:rPr>
        <w:t xml:space="preserve"> specified in the </w:t>
      </w:r>
      <w:r w:rsidR="00354E9E" w:rsidRPr="00DF5C23">
        <w:rPr>
          <w:noProof/>
          <w:color w:val="000000" w:themeColor="text1"/>
          <w:lang w:val="en-IE"/>
        </w:rPr>
        <w:t>delegated acts</w:t>
      </w:r>
      <w:r w:rsidR="00354E9E" w:rsidRPr="00DF5C23">
        <w:rPr>
          <w:noProof/>
          <w:lang w:val="en-IE"/>
        </w:rPr>
        <w:t xml:space="preserve"> </w:t>
      </w:r>
      <w:r w:rsidR="0053300B" w:rsidRPr="00DF5C23">
        <w:rPr>
          <w:noProof/>
          <w:lang w:val="en-IE"/>
        </w:rPr>
        <w:t>adopted pursuant to Article 4</w:t>
      </w:r>
      <w:r w:rsidR="00354E9E" w:rsidRPr="00DF5C23">
        <w:rPr>
          <w:noProof/>
          <w:lang w:val="en-IE"/>
        </w:rPr>
        <w:t xml:space="preserve">, or have it carried out </w:t>
      </w:r>
      <w:r w:rsidR="00354E9E" w:rsidRPr="00DF5C23">
        <w:rPr>
          <w:noProof/>
        </w:rPr>
        <w:t>on their behalf</w:t>
      </w:r>
      <w:r w:rsidR="00354E9E" w:rsidRPr="00DF5C23">
        <w:rPr>
          <w:noProof/>
          <w:lang w:val="en-IE"/>
        </w:rPr>
        <w:t>.</w:t>
      </w:r>
      <w:r w:rsidR="0681B866" w:rsidRPr="00DF5C23">
        <w:rPr>
          <w:noProof/>
          <w:lang w:val="en-IE"/>
        </w:rPr>
        <w:t>.</w:t>
      </w:r>
    </w:p>
    <w:p w14:paraId="2C3A5760" w14:textId="4803597C" w:rsidR="00F96C90" w:rsidRPr="00DF5C23" w:rsidRDefault="004F5E59" w:rsidP="004F5E59">
      <w:pPr>
        <w:pStyle w:val="ManualNumPar1"/>
        <w:rPr>
          <w:noProof/>
          <w:lang w:val="en-IE"/>
        </w:rPr>
      </w:pPr>
      <w:r w:rsidRPr="004F5E59">
        <w:t>5.</w:t>
      </w:r>
      <w:r w:rsidRPr="004F5E59">
        <w:tab/>
      </w:r>
      <w:r w:rsidR="0681B866" w:rsidRPr="00DF5C23">
        <w:rPr>
          <w:noProof/>
          <w:lang w:val="en-IE"/>
        </w:rPr>
        <w:t xml:space="preserve">Manufacturers shall ensure that their products bear a type, batch or serial number or other element allowing their identification, or, where the size or nature of the product does not allow </w:t>
      </w:r>
      <w:r w:rsidR="00D80F3B" w:rsidRPr="00DF5C23">
        <w:rPr>
          <w:noProof/>
          <w:lang w:val="en-IE"/>
        </w:rPr>
        <w:t>so</w:t>
      </w:r>
      <w:r w:rsidR="0681B866" w:rsidRPr="00DF5C23">
        <w:rPr>
          <w:noProof/>
          <w:lang w:val="en-IE"/>
        </w:rPr>
        <w:t xml:space="preserve">, that the required information is provided on the packaging or in a document accompanying the product. </w:t>
      </w:r>
    </w:p>
    <w:p w14:paraId="2C3A5761" w14:textId="27BAE581" w:rsidR="00483316" w:rsidRPr="00DF5C23" w:rsidRDefault="004F5E59" w:rsidP="004F5E59">
      <w:pPr>
        <w:pStyle w:val="ManualNumPar1"/>
        <w:rPr>
          <w:noProof/>
          <w:lang w:val="en-IE"/>
        </w:rPr>
      </w:pPr>
      <w:r w:rsidRPr="004F5E59">
        <w:t>6.</w:t>
      </w:r>
      <w:r w:rsidRPr="004F5E59">
        <w:tab/>
      </w:r>
      <w:r w:rsidR="00D87AB9" w:rsidRPr="00DF5C23">
        <w:rPr>
          <w:noProof/>
        </w:rPr>
        <w:t>Manufacturers shall indicate on the product their name, registered trade name or registered trade mark</w:t>
      </w:r>
      <w:r w:rsidR="00465D84">
        <w:rPr>
          <w:noProof/>
        </w:rPr>
        <w:t xml:space="preserve"> and</w:t>
      </w:r>
      <w:r w:rsidR="00D87AB9" w:rsidRPr="00DF5C23">
        <w:rPr>
          <w:noProof/>
        </w:rPr>
        <w:t xml:space="preserve"> the postal address and</w:t>
      </w:r>
      <w:r w:rsidR="00465D84" w:rsidRPr="00465D84">
        <w:rPr>
          <w:noProof/>
          <w:lang w:eastAsia="fr-BE"/>
        </w:rPr>
        <w:t>, where available, electronic means of communication</w:t>
      </w:r>
      <w:r w:rsidR="003A1DDF">
        <w:rPr>
          <w:noProof/>
        </w:rPr>
        <w:t xml:space="preserve">, </w:t>
      </w:r>
      <w:r w:rsidR="00D87AB9" w:rsidRPr="00DF5C23">
        <w:rPr>
          <w:noProof/>
        </w:rPr>
        <w:t>where they can be contacted or, where this is not possible, on its packaging, in a document accompanying the product or, where available, in a product passport. The address shall indicate a single point where the manufacturer can be contacted. The contact details shall be clear, understandable and legible</w:t>
      </w:r>
      <w:r w:rsidR="00DC7B18" w:rsidRPr="00DF5C23">
        <w:rPr>
          <w:noProof/>
        </w:rPr>
        <w:t>.</w:t>
      </w:r>
    </w:p>
    <w:p w14:paraId="2C3A5762" w14:textId="534F63F7" w:rsidR="00646885" w:rsidRPr="00DF5C23" w:rsidRDefault="004F5E59" w:rsidP="004F5E59">
      <w:pPr>
        <w:pStyle w:val="ManualNumPar1"/>
        <w:rPr>
          <w:noProof/>
          <w:lang w:val="en-IE"/>
        </w:rPr>
      </w:pPr>
      <w:r w:rsidRPr="004F5E59">
        <w:t>7.</w:t>
      </w:r>
      <w:r w:rsidRPr="004F5E59">
        <w:tab/>
      </w:r>
      <w:r w:rsidR="00646885" w:rsidRPr="00DF5C23">
        <w:rPr>
          <w:noProof/>
          <w:lang w:val="en-IE"/>
        </w:rPr>
        <w:t xml:space="preserve">Manufacturers shall ensure that </w:t>
      </w:r>
      <w:r w:rsidR="00F44899" w:rsidRPr="00DF5C23">
        <w:rPr>
          <w:noProof/>
          <w:lang w:val="en-IE"/>
        </w:rPr>
        <w:t xml:space="preserve">that </w:t>
      </w:r>
      <w:r w:rsidR="00354170" w:rsidRPr="00DF5C23">
        <w:rPr>
          <w:noProof/>
          <w:lang w:val="en-IE"/>
        </w:rPr>
        <w:t>a</w:t>
      </w:r>
      <w:r w:rsidR="00646885" w:rsidRPr="00DF5C23">
        <w:rPr>
          <w:noProof/>
          <w:lang w:val="en-IE"/>
        </w:rPr>
        <w:t xml:space="preserve"> product </w:t>
      </w:r>
      <w:r w:rsidR="00354170" w:rsidRPr="00DF5C23">
        <w:rPr>
          <w:noProof/>
          <w:lang w:val="en-IE"/>
        </w:rPr>
        <w:t xml:space="preserve">covered by a delegated act </w:t>
      </w:r>
      <w:r w:rsidR="00354170" w:rsidRPr="00DF5C23">
        <w:rPr>
          <w:noProof/>
          <w:lang w:val="en-IE" w:eastAsia="fr-BE"/>
        </w:rPr>
        <w:t>adopted pursuant to Article 4</w:t>
      </w:r>
      <w:r w:rsidR="00646885" w:rsidRPr="00DF5C23">
        <w:rPr>
          <w:noProof/>
          <w:lang w:val="en-IE"/>
        </w:rPr>
        <w:t xml:space="preserve"> is accompanied by</w:t>
      </w:r>
      <w:r w:rsidR="00A53CB2" w:rsidRPr="00DF5C23">
        <w:rPr>
          <w:noProof/>
          <w:lang w:val="en-IE"/>
        </w:rPr>
        <w:t xml:space="preserve"> </w:t>
      </w:r>
      <w:r w:rsidR="00646885" w:rsidRPr="00DF5C23">
        <w:rPr>
          <w:noProof/>
          <w:lang w:val="en-IE"/>
        </w:rPr>
        <w:t>instructions</w:t>
      </w:r>
      <w:r w:rsidR="00FD7DBE" w:rsidRPr="00DF5C23">
        <w:rPr>
          <w:noProof/>
          <w:lang w:val="en-IE"/>
        </w:rPr>
        <w:t xml:space="preserve"> </w:t>
      </w:r>
      <w:r w:rsidR="00ED7380" w:rsidRPr="00DF5C23">
        <w:rPr>
          <w:noProof/>
          <w:lang w:val="en-IE"/>
        </w:rPr>
        <w:t>that</w:t>
      </w:r>
      <w:r w:rsidR="00A53CB2" w:rsidRPr="00DF5C23">
        <w:rPr>
          <w:noProof/>
          <w:lang w:val="en-IE"/>
        </w:rPr>
        <w:t xml:space="preserve"> </w:t>
      </w:r>
      <w:r w:rsidR="00D87AB9" w:rsidRPr="00DF5C23">
        <w:rPr>
          <w:noProof/>
        </w:rPr>
        <w:t xml:space="preserve">enable consumers </w:t>
      </w:r>
      <w:r w:rsidR="00C065B3" w:rsidRPr="00DF5C23">
        <w:rPr>
          <w:noProof/>
        </w:rPr>
        <w:t>and other end-users</w:t>
      </w:r>
      <w:r w:rsidR="00D87AB9" w:rsidRPr="00DF5C23">
        <w:rPr>
          <w:noProof/>
        </w:rPr>
        <w:t xml:space="preserve"> to </w:t>
      </w:r>
      <w:r w:rsidR="00924D94" w:rsidRPr="00DF5C23">
        <w:rPr>
          <w:noProof/>
        </w:rPr>
        <w:t xml:space="preserve">safely </w:t>
      </w:r>
      <w:r w:rsidR="00D87AB9" w:rsidRPr="00DF5C23">
        <w:rPr>
          <w:noProof/>
        </w:rPr>
        <w:t xml:space="preserve">assemble, install, operate, store, maintain, repair and dispose of the product in a language that </w:t>
      </w:r>
      <w:r w:rsidR="00646885" w:rsidRPr="00DF5C23">
        <w:rPr>
          <w:noProof/>
          <w:lang w:val="en-IE"/>
        </w:rPr>
        <w:t>can be easily understood by consumers and other end-users, as determined by the Member State concerned. Such instructions shall be clear, understandable and legible</w:t>
      </w:r>
      <w:r w:rsidR="008F54C8" w:rsidRPr="00DF5C23">
        <w:rPr>
          <w:noProof/>
          <w:lang w:val="en-IE"/>
        </w:rPr>
        <w:t xml:space="preserve"> and include at least the information specified in the delegated acts </w:t>
      </w:r>
      <w:r w:rsidR="00214C38" w:rsidRPr="00DF5C23">
        <w:rPr>
          <w:noProof/>
          <w:lang w:val="en-IE"/>
        </w:rPr>
        <w:t>adopted pursuant to Article 4</w:t>
      </w:r>
      <w:r w:rsidR="008F54C8" w:rsidRPr="00DF5C23">
        <w:rPr>
          <w:noProof/>
          <w:lang w:val="en-IE"/>
        </w:rPr>
        <w:t xml:space="preserve"> </w:t>
      </w:r>
      <w:r w:rsidR="00321240" w:rsidRPr="00DF5C23">
        <w:rPr>
          <w:noProof/>
          <w:lang w:val="en-IE"/>
        </w:rPr>
        <w:t xml:space="preserve">and </w:t>
      </w:r>
      <w:r w:rsidR="008F54C8" w:rsidRPr="00DF5C23">
        <w:rPr>
          <w:noProof/>
          <w:lang w:val="en-IE"/>
        </w:rPr>
        <w:t>pursuant to Article 7(</w:t>
      </w:r>
      <w:r w:rsidR="00DB47ED" w:rsidRPr="00DF5C23">
        <w:rPr>
          <w:noProof/>
          <w:lang w:val="en-IE"/>
        </w:rPr>
        <w:t>2</w:t>
      </w:r>
      <w:r w:rsidR="008F54C8" w:rsidRPr="00DF5C23">
        <w:rPr>
          <w:noProof/>
          <w:lang w:val="en-IE"/>
        </w:rPr>
        <w:t>)(b)</w:t>
      </w:r>
      <w:r w:rsidR="00ED7380" w:rsidRPr="00DF5C23">
        <w:rPr>
          <w:noProof/>
          <w:lang w:val="en-IE"/>
        </w:rPr>
        <w:t>, point (ii</w:t>
      </w:r>
      <w:r w:rsidR="008F54C8" w:rsidRPr="00DF5C23">
        <w:rPr>
          <w:noProof/>
          <w:lang w:val="en-IE"/>
        </w:rPr>
        <w:t>)</w:t>
      </w:r>
      <w:r w:rsidR="00646885" w:rsidRPr="00DF5C23">
        <w:rPr>
          <w:noProof/>
          <w:lang w:val="en-IE"/>
        </w:rPr>
        <w:t>.</w:t>
      </w:r>
    </w:p>
    <w:p w14:paraId="2C3A5763" w14:textId="12EE195B" w:rsidR="00120A25" w:rsidRPr="00DF5C23" w:rsidRDefault="004F5E59" w:rsidP="004F5E59">
      <w:pPr>
        <w:pStyle w:val="ManualNumPar1"/>
        <w:rPr>
          <w:noProof/>
          <w:lang w:val="en-IE"/>
        </w:rPr>
      </w:pPr>
      <w:r w:rsidRPr="004F5E59">
        <w:t>8.</w:t>
      </w:r>
      <w:r w:rsidRPr="004F5E59">
        <w:tab/>
      </w:r>
      <w:r w:rsidR="00646885" w:rsidRPr="00DF5C23">
        <w:rPr>
          <w:noProof/>
          <w:lang w:val="en-IE"/>
        </w:rPr>
        <w:t xml:space="preserve">Manufacturers who consider or have reason to believe that a product covered by a </w:t>
      </w:r>
      <w:r w:rsidR="00505A61" w:rsidRPr="00DF5C23">
        <w:rPr>
          <w:noProof/>
          <w:lang w:val="en-IE"/>
        </w:rPr>
        <w:t xml:space="preserve">delegated act </w:t>
      </w:r>
      <w:r w:rsidR="00FD7DBE" w:rsidRPr="00DF5C23">
        <w:rPr>
          <w:noProof/>
          <w:lang w:val="en-IE" w:eastAsia="fr-BE"/>
        </w:rPr>
        <w:t xml:space="preserve">adopted pursuant to Article 4 </w:t>
      </w:r>
      <w:r w:rsidR="00D87AB9" w:rsidRPr="00DF5C23">
        <w:rPr>
          <w:noProof/>
          <w:lang w:val="en-IE"/>
        </w:rPr>
        <w:t>that</w:t>
      </w:r>
      <w:r w:rsidR="00646885" w:rsidRPr="00DF5C23">
        <w:rPr>
          <w:noProof/>
          <w:lang w:val="en-IE"/>
        </w:rPr>
        <w:t xml:space="preserve"> they have </w:t>
      </w:r>
      <w:r w:rsidR="00ED7380" w:rsidRPr="00DF5C23">
        <w:rPr>
          <w:noProof/>
          <w:lang w:val="en-IE"/>
        </w:rPr>
        <w:t xml:space="preserve">been </w:t>
      </w:r>
      <w:r w:rsidR="00646885" w:rsidRPr="00DF5C23">
        <w:rPr>
          <w:noProof/>
          <w:lang w:val="en-IE"/>
        </w:rPr>
        <w:t xml:space="preserve">placed on the market </w:t>
      </w:r>
      <w:r w:rsidR="005C4CCB" w:rsidRPr="00DF5C23">
        <w:rPr>
          <w:noProof/>
          <w:lang w:val="en-IE"/>
        </w:rPr>
        <w:t>or put into service</w:t>
      </w:r>
      <w:r w:rsidR="00646885" w:rsidRPr="00DF5C23">
        <w:rPr>
          <w:noProof/>
          <w:lang w:val="en-IE"/>
        </w:rPr>
        <w:t xml:space="preserve"> is not in conformity with the requirements set out in </w:t>
      </w:r>
      <w:r w:rsidR="00ED7380" w:rsidRPr="00DF5C23">
        <w:rPr>
          <w:noProof/>
          <w:lang w:val="en-IE"/>
        </w:rPr>
        <w:t xml:space="preserve">those </w:t>
      </w:r>
      <w:r w:rsidR="00505A61" w:rsidRPr="00DF5C23">
        <w:rPr>
          <w:noProof/>
          <w:lang w:val="en-IE"/>
        </w:rPr>
        <w:t>delegated act</w:t>
      </w:r>
      <w:r w:rsidR="00ED7380" w:rsidRPr="00DF5C23">
        <w:rPr>
          <w:noProof/>
          <w:lang w:val="en-IE"/>
        </w:rPr>
        <w:t>s</w:t>
      </w:r>
      <w:r w:rsidR="00646885" w:rsidRPr="00DF5C23" w:rsidDel="00EC1418">
        <w:rPr>
          <w:noProof/>
          <w:lang w:val="en-IE"/>
        </w:rPr>
        <w:t xml:space="preserve"> </w:t>
      </w:r>
      <w:r w:rsidR="00646885" w:rsidRPr="00DF5C23">
        <w:rPr>
          <w:noProof/>
          <w:lang w:val="en-IE"/>
        </w:rPr>
        <w:t xml:space="preserve">shall immediately take the necessary corrective measures to bring that product into conformity, to withdraw it or recall it, if appropriate. </w:t>
      </w:r>
    </w:p>
    <w:p w14:paraId="2C3A5764" w14:textId="77777777" w:rsidR="00014A6A" w:rsidRPr="00DF5C23" w:rsidRDefault="00ED7380" w:rsidP="0681B866">
      <w:pPr>
        <w:pStyle w:val="Text1"/>
        <w:rPr>
          <w:noProof/>
          <w:lang w:val="en-IE"/>
        </w:rPr>
      </w:pPr>
      <w:r w:rsidRPr="00DF5C23">
        <w:rPr>
          <w:noProof/>
          <w:lang w:val="en-IE"/>
        </w:rPr>
        <w:t>Manufacturer</w:t>
      </w:r>
      <w:r w:rsidR="00120A25" w:rsidRPr="00DF5C23">
        <w:rPr>
          <w:noProof/>
          <w:lang w:val="en-IE"/>
        </w:rPr>
        <w:t xml:space="preserve"> shall immediately inform the market surveillance authorities of the Member States in which they made </w:t>
      </w:r>
      <w:r w:rsidR="00975334" w:rsidRPr="00DF5C23">
        <w:rPr>
          <w:noProof/>
          <w:lang w:val="en-IE"/>
        </w:rPr>
        <w:t xml:space="preserve">the </w:t>
      </w:r>
      <w:r w:rsidR="00120A25" w:rsidRPr="00DF5C23">
        <w:rPr>
          <w:noProof/>
          <w:lang w:val="en-IE"/>
        </w:rPr>
        <w:t>product available of the suspected non-compliance and of any corrective measures taken.</w:t>
      </w:r>
    </w:p>
    <w:p w14:paraId="2C3A5765" w14:textId="12D866D8" w:rsidR="0007337F" w:rsidRPr="00DF5C23" w:rsidRDefault="004F5E59" w:rsidP="004F5E59">
      <w:pPr>
        <w:pStyle w:val="ManualNumPar1"/>
        <w:rPr>
          <w:noProof/>
          <w:lang w:val="en-IE"/>
        </w:rPr>
      </w:pPr>
      <w:r w:rsidRPr="004F5E59">
        <w:t>9.</w:t>
      </w:r>
      <w:r w:rsidRPr="004F5E59">
        <w:tab/>
      </w:r>
      <w:r w:rsidR="00646885" w:rsidRPr="00DF5C23">
        <w:rPr>
          <w:noProof/>
          <w:lang w:val="en-IE"/>
        </w:rPr>
        <w:t xml:space="preserve">Manufacturers shall, further to a reasoned request from a competent national authority, provide all the information and documentation </w:t>
      </w:r>
      <w:r w:rsidR="00D55B2C" w:rsidRPr="00DF5C23">
        <w:rPr>
          <w:noProof/>
          <w:lang w:val="en-IE"/>
        </w:rPr>
        <w:t>necessary to</w:t>
      </w:r>
      <w:r w:rsidR="00646885" w:rsidRPr="00DF5C23">
        <w:rPr>
          <w:noProof/>
          <w:lang w:val="en-IE"/>
        </w:rPr>
        <w:t xml:space="preserve"> demonstrate the conformity of the product,</w:t>
      </w:r>
      <w:r w:rsidR="00D55B2C" w:rsidRPr="00DF5C23">
        <w:rPr>
          <w:noProof/>
          <w:lang w:val="en-IE"/>
        </w:rPr>
        <w:t xml:space="preserve"> including the technical documentation</w:t>
      </w:r>
      <w:r w:rsidR="00646885" w:rsidRPr="00DF5C23">
        <w:rPr>
          <w:noProof/>
          <w:lang w:val="en-IE"/>
        </w:rPr>
        <w:t xml:space="preserve"> in a language </w:t>
      </w:r>
      <w:r w:rsidR="00D87AB9" w:rsidRPr="00DF5C23">
        <w:rPr>
          <w:noProof/>
          <w:lang w:val="en-IE"/>
        </w:rPr>
        <w:t>that</w:t>
      </w:r>
      <w:r w:rsidR="00646885" w:rsidRPr="00DF5C23">
        <w:rPr>
          <w:noProof/>
          <w:lang w:val="en-IE"/>
        </w:rPr>
        <w:t xml:space="preserve"> can be easily understood by that authority. That information and documentation shall be provided in either paper or electronic form. </w:t>
      </w:r>
      <w:r w:rsidR="00D55B2C" w:rsidRPr="00DF5C23">
        <w:rPr>
          <w:noProof/>
          <w:lang w:val="en-IE"/>
        </w:rPr>
        <w:t>The relevant documents shall be made available within 10 days of receipt of a request by a competent national authority.</w:t>
      </w:r>
    </w:p>
    <w:p w14:paraId="2C3A5766" w14:textId="77777777" w:rsidR="00646885" w:rsidRPr="00DF5C23" w:rsidRDefault="001332E2" w:rsidP="0681B866">
      <w:pPr>
        <w:pStyle w:val="Text1"/>
        <w:rPr>
          <w:noProof/>
          <w:lang w:val="en-IE"/>
        </w:rPr>
      </w:pPr>
      <w:r w:rsidRPr="00DF5C23">
        <w:rPr>
          <w:noProof/>
          <w:lang w:val="en-IE"/>
        </w:rPr>
        <w:t xml:space="preserve">Manufacturers </w:t>
      </w:r>
      <w:r w:rsidR="0681B866" w:rsidRPr="00DF5C23">
        <w:rPr>
          <w:noProof/>
          <w:lang w:val="en-IE"/>
        </w:rPr>
        <w:t xml:space="preserve">shall cooperate with </w:t>
      </w:r>
      <w:r w:rsidRPr="00DF5C23">
        <w:rPr>
          <w:noProof/>
          <w:lang w:val="en-IE"/>
        </w:rPr>
        <w:t xml:space="preserve">the competent national </w:t>
      </w:r>
      <w:r w:rsidR="0681B866" w:rsidRPr="00DF5C23">
        <w:rPr>
          <w:noProof/>
          <w:lang w:val="en-IE"/>
        </w:rPr>
        <w:t xml:space="preserve">authority, </w:t>
      </w:r>
      <w:r w:rsidR="000946C5" w:rsidRPr="00DF5C23">
        <w:rPr>
          <w:noProof/>
          <w:lang w:val="en-IE"/>
        </w:rPr>
        <w:t>on any</w:t>
      </w:r>
      <w:r w:rsidR="0681B866" w:rsidRPr="00DF5C23">
        <w:rPr>
          <w:noProof/>
          <w:lang w:val="en-IE"/>
        </w:rPr>
        <w:t xml:space="preserve"> action taken to remedy any case of non-compliance</w:t>
      </w:r>
      <w:r w:rsidR="0681B866" w:rsidRPr="00DF5C23">
        <w:rPr>
          <w:b/>
          <w:noProof/>
          <w:lang w:val="en-IE"/>
        </w:rPr>
        <w:t xml:space="preserve"> </w:t>
      </w:r>
      <w:r w:rsidR="0681B866" w:rsidRPr="00DF5C23">
        <w:rPr>
          <w:noProof/>
          <w:lang w:val="en-IE"/>
        </w:rPr>
        <w:t xml:space="preserve">with the </w:t>
      </w:r>
      <w:r w:rsidR="000946C5" w:rsidRPr="00DF5C23">
        <w:rPr>
          <w:noProof/>
          <w:lang w:val="en-IE"/>
        </w:rPr>
        <w:t xml:space="preserve">requirements set out in a </w:t>
      </w:r>
      <w:r w:rsidR="0681B866" w:rsidRPr="00DF5C23">
        <w:rPr>
          <w:noProof/>
          <w:lang w:val="en-IE"/>
        </w:rPr>
        <w:t xml:space="preserve">delegated act </w:t>
      </w:r>
      <w:r w:rsidRPr="00DF5C23">
        <w:rPr>
          <w:noProof/>
          <w:lang w:val="en-IE"/>
        </w:rPr>
        <w:t xml:space="preserve">adopted pursuant to Article </w:t>
      </w:r>
      <w:r w:rsidR="003E7E96" w:rsidRPr="00DF5C23">
        <w:rPr>
          <w:noProof/>
          <w:lang w:val="en-IE"/>
        </w:rPr>
        <w:t>4</w:t>
      </w:r>
      <w:r w:rsidR="000946C5" w:rsidRPr="00DF5C23">
        <w:rPr>
          <w:noProof/>
          <w:lang w:val="en-IE"/>
        </w:rPr>
        <w:t xml:space="preserve"> by which the product in question is covered</w:t>
      </w:r>
      <w:r w:rsidR="0681B866" w:rsidRPr="00DF5C23">
        <w:rPr>
          <w:noProof/>
          <w:lang w:val="en-IE"/>
        </w:rPr>
        <w:t xml:space="preserve">. </w:t>
      </w:r>
    </w:p>
    <w:p w14:paraId="2C3A5767" w14:textId="77777777" w:rsidR="000946C5" w:rsidRPr="00DF5C23" w:rsidRDefault="000946C5" w:rsidP="000946C5">
      <w:pPr>
        <w:pStyle w:val="Titrearticle"/>
        <w:rPr>
          <w:noProof/>
          <w:lang w:val="en-IE" w:eastAsia="fr-BE"/>
        </w:rPr>
      </w:pPr>
      <w:r w:rsidRPr="00DF5C23">
        <w:rPr>
          <w:noProof/>
          <w:lang w:val="en-IE" w:eastAsia="fr-BE"/>
        </w:rPr>
        <w:t>Article 2</w:t>
      </w:r>
      <w:r w:rsidR="001A4BE8" w:rsidRPr="00DF5C23">
        <w:rPr>
          <w:noProof/>
          <w:lang w:val="en-IE" w:eastAsia="fr-BE"/>
        </w:rPr>
        <w:t>2</w:t>
      </w:r>
      <w:r w:rsidRPr="00DF5C23">
        <w:rPr>
          <w:noProof/>
        </w:rPr>
        <w:br/>
      </w:r>
      <w:r w:rsidRPr="00DF5C23">
        <w:rPr>
          <w:noProof/>
          <w:lang w:val="en-IE" w:eastAsia="fr-BE"/>
        </w:rPr>
        <w:t>Authorised representatives</w:t>
      </w:r>
    </w:p>
    <w:p w14:paraId="2C3A5768" w14:textId="2DF7B49B"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A manufacturer may, by a written mandate, appoint an authorised representative.</w:t>
      </w:r>
    </w:p>
    <w:p w14:paraId="2C3A5769" w14:textId="77777777" w:rsidR="00646885" w:rsidRPr="00DF5C23" w:rsidRDefault="0681B866" w:rsidP="0681B866">
      <w:pPr>
        <w:pStyle w:val="Text1"/>
        <w:rPr>
          <w:noProof/>
          <w:lang w:val="en-IE" w:eastAsia="fr-BE"/>
        </w:rPr>
      </w:pPr>
      <w:r w:rsidRPr="00DF5C23">
        <w:rPr>
          <w:noProof/>
          <w:lang w:val="en-IE" w:eastAsia="fr-BE"/>
        </w:rPr>
        <w:t xml:space="preserve">The obligations laid down in Article </w:t>
      </w:r>
      <w:r w:rsidR="00E41BDB" w:rsidRPr="00DF5C23">
        <w:rPr>
          <w:noProof/>
          <w:lang w:val="en-IE" w:eastAsia="fr-BE"/>
        </w:rPr>
        <w:t>21</w:t>
      </w:r>
      <w:r w:rsidRPr="00DF5C23">
        <w:rPr>
          <w:noProof/>
          <w:lang w:val="en-IE" w:eastAsia="fr-BE"/>
        </w:rPr>
        <w:t>(1) and the drawing up of technical documentation shall not form part of the authorised representative</w:t>
      </w:r>
      <w:r w:rsidR="00D87AB9" w:rsidRPr="00DF5C23">
        <w:rPr>
          <w:noProof/>
          <w:lang w:val="en-IE" w:eastAsia="fr-BE"/>
        </w:rPr>
        <w:t>’</w:t>
      </w:r>
      <w:r w:rsidRPr="00DF5C23">
        <w:rPr>
          <w:noProof/>
          <w:lang w:val="en-IE" w:eastAsia="fr-BE"/>
        </w:rPr>
        <w:t>s mandate.</w:t>
      </w:r>
    </w:p>
    <w:p w14:paraId="2C3A576A" w14:textId="69E5BFB0" w:rsidR="00646885" w:rsidRPr="00DF5C23" w:rsidRDefault="004F5E59" w:rsidP="004F5E59">
      <w:pPr>
        <w:pStyle w:val="ManualNumPar1"/>
        <w:rPr>
          <w:noProof/>
          <w:lang w:val="en-IE"/>
        </w:rPr>
      </w:pPr>
      <w:r w:rsidRPr="004F5E59">
        <w:t>2.</w:t>
      </w:r>
      <w:r w:rsidRPr="004F5E59">
        <w:tab/>
      </w:r>
      <w:r w:rsidR="0681B866" w:rsidRPr="00DF5C23">
        <w:rPr>
          <w:noProof/>
          <w:lang w:val="en-IE"/>
        </w:rPr>
        <w:t>An authorised representative shall perform the tasks specified in the mandate received from the manufacturer. The mandate shall allow the authorised representative to do at least the following:</w:t>
      </w:r>
    </w:p>
    <w:p w14:paraId="2C3A576B" w14:textId="39AE2C49" w:rsidR="00123D3E" w:rsidRPr="00DF5C23" w:rsidRDefault="004F5E59" w:rsidP="004F5E59">
      <w:pPr>
        <w:pStyle w:val="Point1"/>
        <w:rPr>
          <w:noProof/>
          <w:lang w:val="en-IE" w:eastAsia="fr-BE"/>
        </w:rPr>
      </w:pPr>
      <w:r w:rsidRPr="004F5E59">
        <w:t>(a)</w:t>
      </w:r>
      <w:r w:rsidRPr="004F5E59">
        <w:tab/>
      </w:r>
      <w:r w:rsidR="00123D3E" w:rsidRPr="00DF5C23">
        <w:rPr>
          <w:noProof/>
          <w:lang w:val="en-IE" w:eastAsia="fr-BE"/>
        </w:rPr>
        <w:t xml:space="preserve">keep the EU declaration of conformity and technical documentation at the disposal of the national market surveillance authorities for </w:t>
      </w:r>
      <w:r w:rsidR="00D87AB9" w:rsidRPr="00DF5C23">
        <w:rPr>
          <w:noProof/>
          <w:lang w:val="en-IE" w:eastAsia="fr-BE"/>
        </w:rPr>
        <w:t>10</w:t>
      </w:r>
      <w:r w:rsidR="00123D3E" w:rsidRPr="00DF5C23">
        <w:rPr>
          <w:noProof/>
          <w:lang w:val="en-IE" w:eastAsia="fr-BE"/>
        </w:rPr>
        <w:t xml:space="preserve"> years after </w:t>
      </w:r>
      <w:r w:rsidR="00032027" w:rsidRPr="00DF5C23">
        <w:rPr>
          <w:noProof/>
          <w:lang w:val="en-IE" w:eastAsia="fr-BE"/>
        </w:rPr>
        <w:t>a</w:t>
      </w:r>
      <w:r w:rsidR="00123D3E" w:rsidRPr="00DF5C23">
        <w:rPr>
          <w:noProof/>
          <w:lang w:val="en-IE" w:eastAsia="fr-BE"/>
        </w:rPr>
        <w:t xml:space="preserve"> product </w:t>
      </w:r>
      <w:r w:rsidR="00032027" w:rsidRPr="00DF5C23">
        <w:rPr>
          <w:noProof/>
          <w:lang w:val="en-IE"/>
        </w:rPr>
        <w:t xml:space="preserve">covered by a </w:t>
      </w:r>
      <w:r w:rsidR="00032027" w:rsidRPr="00DF5C23">
        <w:rPr>
          <w:noProof/>
          <w:lang w:val="en-IE" w:eastAsia="fr-BE"/>
        </w:rPr>
        <w:t xml:space="preserve">delegated act </w:t>
      </w:r>
      <w:r w:rsidR="00FD7DBE" w:rsidRPr="00DF5C23">
        <w:rPr>
          <w:noProof/>
          <w:lang w:val="en-IE" w:eastAsia="fr-BE"/>
        </w:rPr>
        <w:t xml:space="preserve">adopted pursuant to Article 4 </w:t>
      </w:r>
      <w:r w:rsidR="00123D3E" w:rsidRPr="00DF5C23">
        <w:rPr>
          <w:noProof/>
          <w:lang w:val="en-IE" w:eastAsia="fr-BE"/>
        </w:rPr>
        <w:t>has been placed on the market</w:t>
      </w:r>
      <w:r w:rsidR="005C4CCB" w:rsidRPr="00DF5C23">
        <w:rPr>
          <w:noProof/>
          <w:lang w:val="en-IE" w:eastAsia="fr-BE"/>
        </w:rPr>
        <w:t xml:space="preserve"> or put into service</w:t>
      </w:r>
      <w:r w:rsidR="00123D3E" w:rsidRPr="00DF5C23">
        <w:rPr>
          <w:noProof/>
          <w:lang w:val="en-IE" w:eastAsia="fr-BE"/>
        </w:rPr>
        <w:t>;</w:t>
      </w:r>
    </w:p>
    <w:p w14:paraId="2C3A576C" w14:textId="400923C6" w:rsidR="00123D3E" w:rsidRPr="00DF5C23" w:rsidRDefault="004F5E59" w:rsidP="004F5E59">
      <w:pPr>
        <w:pStyle w:val="Point1"/>
        <w:rPr>
          <w:noProof/>
          <w:lang w:val="en-IE" w:eastAsia="fr-BE"/>
        </w:rPr>
      </w:pPr>
      <w:r w:rsidRPr="004F5E59">
        <w:t>(b)</w:t>
      </w:r>
      <w:r w:rsidRPr="004F5E59">
        <w:tab/>
      </w:r>
      <w:r w:rsidR="00123D3E" w:rsidRPr="00DF5C23">
        <w:rPr>
          <w:noProof/>
          <w:lang w:val="en-IE" w:eastAsia="fr-BE"/>
        </w:rPr>
        <w:t xml:space="preserve">cooperate with the competent national authorities, at their request, on any measures taken </w:t>
      </w:r>
      <w:r w:rsidR="00802CAE" w:rsidRPr="00DF5C23">
        <w:rPr>
          <w:noProof/>
          <w:lang w:val="en-IE" w:eastAsia="fr-BE"/>
        </w:rPr>
        <w:t xml:space="preserve">with regard to </w:t>
      </w:r>
      <w:r w:rsidR="00032027" w:rsidRPr="00DF5C23">
        <w:rPr>
          <w:noProof/>
          <w:lang w:val="en-IE" w:eastAsia="fr-BE"/>
        </w:rPr>
        <w:t>non-compliances of the</w:t>
      </w:r>
      <w:r w:rsidR="00123D3E" w:rsidRPr="00DF5C23">
        <w:rPr>
          <w:noProof/>
          <w:lang w:val="en-IE" w:eastAsia="fr-BE"/>
        </w:rPr>
        <w:t xml:space="preserve"> product covered by the authorised representative</w:t>
      </w:r>
      <w:r w:rsidR="00D87AB9" w:rsidRPr="00DF5C23">
        <w:rPr>
          <w:noProof/>
          <w:lang w:val="en-IE" w:eastAsia="fr-BE"/>
        </w:rPr>
        <w:t>’</w:t>
      </w:r>
      <w:r w:rsidR="00123D3E" w:rsidRPr="00DF5C23">
        <w:rPr>
          <w:noProof/>
          <w:lang w:val="en-IE" w:eastAsia="fr-BE"/>
        </w:rPr>
        <w:t>s mandate</w:t>
      </w:r>
      <w:r w:rsidR="00032027" w:rsidRPr="00DF5C23">
        <w:rPr>
          <w:noProof/>
          <w:lang w:val="en-IE" w:eastAsia="fr-BE"/>
        </w:rPr>
        <w:t>;</w:t>
      </w:r>
    </w:p>
    <w:p w14:paraId="2C3A576D" w14:textId="6A259D1C" w:rsidR="00802CAE" w:rsidRPr="00DF5C23" w:rsidRDefault="004F5E59" w:rsidP="004F5E59">
      <w:pPr>
        <w:pStyle w:val="Point1"/>
        <w:rPr>
          <w:noProof/>
          <w:lang w:val="en-IE" w:eastAsia="fr-BE"/>
        </w:rPr>
      </w:pPr>
      <w:r w:rsidRPr="004F5E59">
        <w:t>(c)</w:t>
      </w:r>
      <w:r w:rsidRPr="004F5E59">
        <w:tab/>
      </w:r>
      <w:r w:rsidR="0681B866" w:rsidRPr="00DF5C23">
        <w:rPr>
          <w:noProof/>
          <w:lang w:val="en-IE" w:eastAsia="fr-BE"/>
        </w:rPr>
        <w:t xml:space="preserve">further to a reasoned request from a competent national authority, provide that authority with all the information and documentation necessary to demonstrate the conformity of a product in a language </w:t>
      </w:r>
      <w:r w:rsidR="00D87AB9" w:rsidRPr="00DF5C23">
        <w:rPr>
          <w:noProof/>
          <w:lang w:val="en-IE" w:eastAsia="fr-BE"/>
        </w:rPr>
        <w:t>that</w:t>
      </w:r>
      <w:r w:rsidR="0681B866" w:rsidRPr="00DF5C23">
        <w:rPr>
          <w:noProof/>
          <w:lang w:val="en-IE" w:eastAsia="fr-BE"/>
        </w:rPr>
        <w:t xml:space="preserve"> can be easily understood by that authority</w:t>
      </w:r>
      <w:r w:rsidR="00F63A85" w:rsidRPr="00DF5C23">
        <w:rPr>
          <w:noProof/>
          <w:lang w:val="en-IE" w:eastAsia="fr-BE"/>
        </w:rPr>
        <w:t>;</w:t>
      </w:r>
      <w:r w:rsidR="0681B866" w:rsidRPr="00DF5C23">
        <w:rPr>
          <w:noProof/>
          <w:lang w:val="en-IE" w:eastAsia="fr-BE"/>
        </w:rPr>
        <w:t xml:space="preserve"> </w:t>
      </w:r>
    </w:p>
    <w:p w14:paraId="2C3A576E" w14:textId="1A0C6FB1" w:rsidR="00014A6A" w:rsidRPr="00DF5C23" w:rsidRDefault="004F5E59" w:rsidP="004F5E59">
      <w:pPr>
        <w:pStyle w:val="Point1"/>
        <w:rPr>
          <w:noProof/>
          <w:lang w:val="en-IE" w:eastAsia="fr-BE"/>
        </w:rPr>
      </w:pPr>
      <w:r w:rsidRPr="004F5E59">
        <w:t>(d)</w:t>
      </w:r>
      <w:r w:rsidRPr="004F5E59">
        <w:tab/>
      </w:r>
      <w:r w:rsidR="00F63A85" w:rsidRPr="00DF5C23">
        <w:rPr>
          <w:noProof/>
          <w:lang w:val="en-IE" w:eastAsia="fr-BE"/>
        </w:rPr>
        <w:t xml:space="preserve">further to a request from a </w:t>
      </w:r>
      <w:r w:rsidR="00354170" w:rsidRPr="00DF5C23">
        <w:rPr>
          <w:noProof/>
          <w:lang w:val="en-IE" w:eastAsia="fr-BE"/>
        </w:rPr>
        <w:t>competent national authority</w:t>
      </w:r>
      <w:r w:rsidR="00F63A85" w:rsidRPr="00DF5C23">
        <w:rPr>
          <w:noProof/>
          <w:lang w:val="en-IE" w:eastAsia="fr-BE"/>
        </w:rPr>
        <w:t>,</w:t>
      </w:r>
      <w:r w:rsidR="0681B866" w:rsidRPr="00DF5C23">
        <w:rPr>
          <w:noProof/>
          <w:lang w:val="en-IE" w:eastAsia="fr-BE"/>
        </w:rPr>
        <w:t xml:space="preserve"> make available relevant documents within 10 days of </w:t>
      </w:r>
      <w:r w:rsidR="00F63A85" w:rsidRPr="00DF5C23">
        <w:rPr>
          <w:noProof/>
          <w:lang w:val="en-IE" w:eastAsia="fr-BE"/>
        </w:rPr>
        <w:t xml:space="preserve">the </w:t>
      </w:r>
      <w:r w:rsidR="0681B866" w:rsidRPr="00DF5C23">
        <w:rPr>
          <w:noProof/>
          <w:lang w:val="en-IE" w:eastAsia="fr-BE"/>
        </w:rPr>
        <w:t xml:space="preserve">receipt of </w:t>
      </w:r>
      <w:r w:rsidR="00F63A85" w:rsidRPr="00DF5C23">
        <w:rPr>
          <w:noProof/>
          <w:lang w:val="en-IE" w:eastAsia="fr-BE"/>
        </w:rPr>
        <w:t xml:space="preserve">such </w:t>
      </w:r>
      <w:r w:rsidR="0681B866" w:rsidRPr="00DF5C23">
        <w:rPr>
          <w:noProof/>
          <w:lang w:val="en-IE" w:eastAsia="fr-BE"/>
        </w:rPr>
        <w:t>a request ;</w:t>
      </w:r>
    </w:p>
    <w:p w14:paraId="2C3A576F" w14:textId="28427EEF" w:rsidR="00014A6A" w:rsidRPr="00DF5C23" w:rsidRDefault="004F5E59" w:rsidP="004F5E59">
      <w:pPr>
        <w:pStyle w:val="Point1"/>
        <w:rPr>
          <w:noProof/>
          <w:lang w:val="en-IE" w:eastAsia="fr-BE"/>
        </w:rPr>
      </w:pPr>
      <w:r w:rsidRPr="004F5E59">
        <w:t>(e)</w:t>
      </w:r>
      <w:r w:rsidRPr="004F5E59">
        <w:tab/>
      </w:r>
      <w:r w:rsidR="00014A6A" w:rsidRPr="00DF5C23">
        <w:rPr>
          <w:noProof/>
          <w:lang w:val="en-IE" w:eastAsia="fr-BE"/>
        </w:rPr>
        <w:t>terminate the mandate if the manufacturer acts contrary to its obligations under this Regulation and the</w:t>
      </w:r>
      <w:r w:rsidR="00BB75FA" w:rsidRPr="00DF5C23">
        <w:rPr>
          <w:noProof/>
          <w:lang w:val="en-IE" w:eastAsia="fr-BE"/>
        </w:rPr>
        <w:t xml:space="preserve"> delegated act </w:t>
      </w:r>
      <w:r w:rsidR="00FD7DBE" w:rsidRPr="00DF5C23">
        <w:rPr>
          <w:noProof/>
          <w:lang w:val="en-IE" w:eastAsia="fr-BE"/>
        </w:rPr>
        <w:t>adopted pursuant to Article 4</w:t>
      </w:r>
      <w:r w:rsidR="00975334" w:rsidRPr="00DF5C23">
        <w:rPr>
          <w:noProof/>
          <w:lang w:val="en-IE" w:eastAsia="fr-BE"/>
        </w:rPr>
        <w:t>.</w:t>
      </w:r>
    </w:p>
    <w:p w14:paraId="2C3A5770" w14:textId="77777777" w:rsidR="00646885" w:rsidRPr="00DF5C23" w:rsidRDefault="0681B866"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2</w:t>
      </w:r>
      <w:r w:rsidR="001A4BE8" w:rsidRPr="00DF5C23">
        <w:rPr>
          <w:noProof/>
          <w:lang w:val="en-IE" w:eastAsia="fr-BE"/>
        </w:rPr>
        <w:t>3</w:t>
      </w:r>
      <w:r w:rsidR="00646885" w:rsidRPr="00DF5C23">
        <w:rPr>
          <w:noProof/>
        </w:rPr>
        <w:br/>
      </w:r>
      <w:r w:rsidRPr="00DF5C23">
        <w:rPr>
          <w:noProof/>
          <w:lang w:val="en-IE" w:eastAsia="fr-BE"/>
        </w:rPr>
        <w:t>Obligations of importers</w:t>
      </w:r>
    </w:p>
    <w:p w14:paraId="2C3A5771" w14:textId="05AF1197"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Importers shall only place on the market products covered by </w:t>
      </w:r>
      <w:r w:rsidR="00BB75FA" w:rsidRPr="00DF5C23">
        <w:rPr>
          <w:noProof/>
          <w:lang w:val="en-IE" w:eastAsia="fr-BE"/>
        </w:rPr>
        <w:t xml:space="preserve">a </w:t>
      </w:r>
      <w:r w:rsidR="00715D90" w:rsidRPr="00DF5C23">
        <w:rPr>
          <w:noProof/>
          <w:lang w:val="en-IE" w:eastAsia="fr-BE"/>
        </w:rPr>
        <w:t xml:space="preserve">delegated act </w:t>
      </w:r>
      <w:r w:rsidR="00FD7DBE" w:rsidRPr="00DF5C23">
        <w:rPr>
          <w:noProof/>
          <w:lang w:val="en-IE" w:eastAsia="fr-BE"/>
        </w:rPr>
        <w:t xml:space="preserve">adopted pursuant to Article 4 </w:t>
      </w:r>
      <w:r w:rsidR="00646885" w:rsidRPr="00DF5C23">
        <w:rPr>
          <w:noProof/>
          <w:lang w:val="en-IE" w:eastAsia="fr-BE"/>
        </w:rPr>
        <w:t xml:space="preserve">that comply with the requirements set out in the applicable </w:t>
      </w:r>
      <w:r w:rsidR="00BB75FA" w:rsidRPr="00DF5C23">
        <w:rPr>
          <w:noProof/>
          <w:lang w:val="en-IE" w:eastAsia="fr-BE"/>
        </w:rPr>
        <w:t>delegated acts</w:t>
      </w:r>
      <w:r w:rsidR="00646885" w:rsidRPr="00DF5C23">
        <w:rPr>
          <w:noProof/>
          <w:lang w:val="en-IE" w:eastAsia="fr-BE"/>
        </w:rPr>
        <w:t>.</w:t>
      </w:r>
    </w:p>
    <w:p w14:paraId="2C3A5772" w14:textId="16DBB4AD" w:rsidR="00C33BBE" w:rsidRPr="00DF5C23" w:rsidRDefault="004F5E59" w:rsidP="004F5E59">
      <w:pPr>
        <w:pStyle w:val="ManualNumPar1"/>
        <w:rPr>
          <w:noProof/>
          <w:lang w:val="en-IE" w:eastAsia="fr-BE"/>
        </w:rPr>
      </w:pPr>
      <w:r w:rsidRPr="004F5E59">
        <w:t>2.</w:t>
      </w:r>
      <w:r w:rsidRPr="004F5E59">
        <w:tab/>
      </w:r>
      <w:r w:rsidR="00C33BBE" w:rsidRPr="00DF5C23">
        <w:rPr>
          <w:noProof/>
          <w:lang w:val="en-IE" w:eastAsia="fr-BE"/>
        </w:rPr>
        <w:t xml:space="preserve">Before placing a product covered by a delegated act </w:t>
      </w:r>
      <w:r w:rsidR="00FD7DBE" w:rsidRPr="00DF5C23">
        <w:rPr>
          <w:noProof/>
          <w:lang w:val="en-IE" w:eastAsia="fr-BE"/>
        </w:rPr>
        <w:t xml:space="preserve">adopted pursuant to Article 4 </w:t>
      </w:r>
      <w:r w:rsidR="00C33BBE" w:rsidRPr="00DF5C23">
        <w:rPr>
          <w:noProof/>
          <w:lang w:val="en-IE" w:eastAsia="fr-BE"/>
        </w:rPr>
        <w:t>on the market</w:t>
      </w:r>
      <w:r w:rsidR="008D7E55" w:rsidRPr="00DF5C23">
        <w:rPr>
          <w:noProof/>
          <w:lang w:val="en-IE" w:eastAsia="fr-BE"/>
        </w:rPr>
        <w:t>,</w:t>
      </w:r>
      <w:r w:rsidR="00C33BBE" w:rsidRPr="00DF5C23">
        <w:rPr>
          <w:noProof/>
          <w:lang w:val="en-IE" w:eastAsia="fr-BE"/>
        </w:rPr>
        <w:t xml:space="preserve"> importers shall ensure</w:t>
      </w:r>
      <w:r w:rsidR="00975334" w:rsidRPr="00DF5C23">
        <w:rPr>
          <w:noProof/>
          <w:lang w:val="en-IE" w:eastAsia="fr-BE"/>
        </w:rPr>
        <w:t xml:space="preserve"> that</w:t>
      </w:r>
      <w:r w:rsidR="00C33BBE" w:rsidRPr="00DF5C23">
        <w:rPr>
          <w:noProof/>
          <w:lang w:val="en-IE" w:eastAsia="fr-BE"/>
        </w:rPr>
        <w:t>:</w:t>
      </w:r>
    </w:p>
    <w:p w14:paraId="2C3A5773" w14:textId="3CF179D5" w:rsidR="00C33BBE" w:rsidRPr="00DF5C23" w:rsidRDefault="004F5E59" w:rsidP="004F5E59">
      <w:pPr>
        <w:pStyle w:val="Point1"/>
        <w:rPr>
          <w:noProof/>
          <w:lang w:val="en-IE" w:eastAsia="fr-BE"/>
        </w:rPr>
      </w:pPr>
      <w:r w:rsidRPr="004F5E59">
        <w:t>(a)</w:t>
      </w:r>
      <w:r w:rsidRPr="004F5E59">
        <w:tab/>
      </w:r>
      <w:r w:rsidR="00C33BBE" w:rsidRPr="00DF5C23">
        <w:rPr>
          <w:noProof/>
          <w:lang w:val="en-IE" w:eastAsia="fr-BE"/>
        </w:rPr>
        <w:t>the appropriate conformity assessment procedure has been carried out by the manufacturer and that the manufacturer has drawn up the technical documentation;</w:t>
      </w:r>
    </w:p>
    <w:p w14:paraId="2C3A5774" w14:textId="14E554C3" w:rsidR="00C33BBE" w:rsidRPr="00DF5C23" w:rsidRDefault="004F5E59" w:rsidP="004F5E59">
      <w:pPr>
        <w:pStyle w:val="Point1"/>
        <w:rPr>
          <w:noProof/>
          <w:lang w:val="en-IE" w:eastAsia="fr-BE"/>
        </w:rPr>
      </w:pPr>
      <w:r w:rsidRPr="004F5E59">
        <w:t>(b)</w:t>
      </w:r>
      <w:r w:rsidRPr="004F5E59">
        <w:tab/>
      </w:r>
      <w:r w:rsidR="003E7E96" w:rsidRPr="00DF5C23">
        <w:rPr>
          <w:noProof/>
          <w:lang w:val="en-IE"/>
        </w:rPr>
        <w:t xml:space="preserve">products are </w:t>
      </w:r>
      <w:r w:rsidR="003E7E96" w:rsidRPr="00DF5C23">
        <w:rPr>
          <w:noProof/>
          <w:lang w:val="en-IE" w:eastAsia="fr-BE"/>
        </w:rPr>
        <w:t xml:space="preserve">accompanied by </w:t>
      </w:r>
      <w:r w:rsidR="003E7E96" w:rsidRPr="00DF5C23">
        <w:rPr>
          <w:noProof/>
          <w:lang w:val="en-IE"/>
        </w:rPr>
        <w:t xml:space="preserve">the </w:t>
      </w:r>
      <w:r w:rsidR="003E7E96" w:rsidRPr="00DF5C23">
        <w:rPr>
          <w:noProof/>
          <w:lang w:val="en-IE" w:eastAsia="fr-BE"/>
        </w:rPr>
        <w:t xml:space="preserve">information required by </w:t>
      </w:r>
      <w:r w:rsidR="003E7E96" w:rsidRPr="00DF5C23">
        <w:rPr>
          <w:noProof/>
          <w:lang w:val="en-IE"/>
        </w:rPr>
        <w:t>the Article 7 and</w:t>
      </w:r>
      <w:r w:rsidR="003E7E96" w:rsidRPr="00DF5C23">
        <w:rPr>
          <w:noProof/>
          <w:lang w:val="en-IE" w:eastAsia="fr-BE"/>
        </w:rPr>
        <w:t xml:space="preserve"> the </w:t>
      </w:r>
      <w:r w:rsidR="003E7E96" w:rsidRPr="00DF5C23">
        <w:rPr>
          <w:noProof/>
          <w:color w:val="000000" w:themeColor="text1"/>
          <w:lang w:val="en-IE"/>
        </w:rPr>
        <w:t>delegated acts</w:t>
      </w:r>
      <w:r w:rsidR="003E7E96" w:rsidRPr="00DF5C23">
        <w:rPr>
          <w:noProof/>
          <w:lang w:val="en-IE" w:eastAsia="fr-BE"/>
        </w:rPr>
        <w:t xml:space="preserve"> adopted pursuant to Article 4</w:t>
      </w:r>
      <w:r w:rsidR="00C33BBE" w:rsidRPr="00DF5C23">
        <w:rPr>
          <w:noProof/>
          <w:lang w:val="en-IE"/>
        </w:rPr>
        <w:t>;</w:t>
      </w:r>
    </w:p>
    <w:p w14:paraId="2C3A5775" w14:textId="227F9E36" w:rsidR="00C33BBE" w:rsidRPr="00DF5C23" w:rsidRDefault="004F5E59" w:rsidP="004F5E59">
      <w:pPr>
        <w:pStyle w:val="Point1"/>
        <w:rPr>
          <w:noProof/>
          <w:lang w:val="en-IE" w:eastAsia="fr-BE"/>
        </w:rPr>
      </w:pPr>
      <w:r w:rsidRPr="004F5E59">
        <w:t>(c)</w:t>
      </w:r>
      <w:r w:rsidRPr="004F5E59">
        <w:tab/>
      </w:r>
      <w:r w:rsidR="003E7E96" w:rsidRPr="00DF5C23">
        <w:rPr>
          <w:noProof/>
          <w:lang w:val="en-IE"/>
        </w:rPr>
        <w:t>a product passport is available in accordance with</w:t>
      </w:r>
      <w:r w:rsidR="00E41BDB" w:rsidRPr="00DF5C23">
        <w:rPr>
          <w:noProof/>
          <w:lang w:val="en-IE"/>
        </w:rPr>
        <w:t xml:space="preserve"> </w:t>
      </w:r>
      <w:r w:rsidR="003E7E96" w:rsidRPr="00DF5C23">
        <w:rPr>
          <w:noProof/>
          <w:lang w:val="en-IE"/>
        </w:rPr>
        <w:t xml:space="preserve">Article 8 and the </w:t>
      </w:r>
      <w:r w:rsidR="003E7E96" w:rsidRPr="00DF5C23">
        <w:rPr>
          <w:noProof/>
          <w:color w:val="000000" w:themeColor="text1"/>
          <w:lang w:val="en-IE"/>
        </w:rPr>
        <w:t>delegated acts</w:t>
      </w:r>
      <w:r w:rsidR="003E7E96" w:rsidRPr="00DF5C23">
        <w:rPr>
          <w:noProof/>
          <w:lang w:val="en-IE"/>
        </w:rPr>
        <w:t xml:space="preserve"> </w:t>
      </w:r>
      <w:r w:rsidR="003E7E96" w:rsidRPr="00DF5C23">
        <w:rPr>
          <w:noProof/>
          <w:lang w:val="en-IE" w:eastAsia="fr-BE"/>
        </w:rPr>
        <w:t>adopted pursuant to Article 4</w:t>
      </w:r>
      <w:r w:rsidR="00C306EB" w:rsidRPr="00DF5C23">
        <w:rPr>
          <w:noProof/>
          <w:lang w:val="en-IE"/>
        </w:rPr>
        <w:t>.</w:t>
      </w:r>
      <w:r w:rsidR="00C33BBE" w:rsidRPr="00DF5C23">
        <w:rPr>
          <w:noProof/>
          <w:lang w:val="en-IE"/>
        </w:rPr>
        <w:t xml:space="preserve"> </w:t>
      </w:r>
    </w:p>
    <w:p w14:paraId="2C3A5776" w14:textId="77777777" w:rsidR="00646885" w:rsidRPr="00DF5C23" w:rsidRDefault="00D25DA8" w:rsidP="0681B866">
      <w:pPr>
        <w:pStyle w:val="Text1"/>
        <w:rPr>
          <w:noProof/>
          <w:lang w:val="en-IE" w:eastAsia="fr-BE"/>
        </w:rPr>
      </w:pPr>
      <w:r w:rsidRPr="00DF5C23">
        <w:rPr>
          <w:noProof/>
          <w:lang w:val="en-IE" w:eastAsia="fr-BE"/>
        </w:rPr>
        <w:t>The importer shall further ensure</w:t>
      </w:r>
      <w:r w:rsidR="00646885" w:rsidRPr="00DF5C23">
        <w:rPr>
          <w:noProof/>
          <w:lang w:val="en-IE" w:eastAsia="fr-BE"/>
        </w:rPr>
        <w:t xml:space="preserve"> that the product bears the required CE marking referred to in Article </w:t>
      </w:r>
      <w:r w:rsidR="00E41BDB" w:rsidRPr="00DF5C23">
        <w:rPr>
          <w:noProof/>
          <w:lang w:val="en-IE" w:eastAsia="fr-BE"/>
        </w:rPr>
        <w:t>38</w:t>
      </w:r>
      <w:r w:rsidR="003E7E96" w:rsidRPr="00DF5C23">
        <w:rPr>
          <w:noProof/>
          <w:lang w:val="en-IE" w:eastAsia="fr-BE"/>
        </w:rPr>
        <w:t>,</w:t>
      </w:r>
      <w:r w:rsidR="00DB47ED" w:rsidRPr="00DF5C23">
        <w:rPr>
          <w:noProof/>
          <w:lang w:val="en-IE" w:eastAsia="fr-BE"/>
        </w:rPr>
        <w:t xml:space="preserve"> </w:t>
      </w:r>
      <w:r w:rsidR="003E7E96" w:rsidRPr="00DF5C23">
        <w:rPr>
          <w:noProof/>
          <w:lang w:val="en-IE" w:eastAsia="fr-BE"/>
        </w:rPr>
        <w:t xml:space="preserve">or </w:t>
      </w:r>
      <w:r w:rsidR="00283506" w:rsidRPr="00DF5C23">
        <w:rPr>
          <w:noProof/>
          <w:lang w:val="en-IE" w:eastAsia="fr-BE"/>
        </w:rPr>
        <w:t>the</w:t>
      </w:r>
      <w:r w:rsidR="003E7E96" w:rsidRPr="00DF5C23">
        <w:rPr>
          <w:noProof/>
          <w:lang w:val="en-IE" w:eastAsia="fr-BE"/>
        </w:rPr>
        <w:t xml:space="preserve"> alternative conformity marking </w:t>
      </w:r>
      <w:r w:rsidR="00283506" w:rsidRPr="00DF5C23">
        <w:rPr>
          <w:noProof/>
          <w:lang w:val="en-IE" w:eastAsia="fr-BE"/>
        </w:rPr>
        <w:t>as laid down in a delegated act adopted</w:t>
      </w:r>
      <w:r w:rsidR="003E7E96" w:rsidRPr="00DF5C23">
        <w:rPr>
          <w:noProof/>
          <w:lang w:val="en-IE" w:eastAsia="fr-BE"/>
        </w:rPr>
        <w:t xml:space="preserve"> pursuant to Article 4, </w:t>
      </w:r>
      <w:r w:rsidR="002438E5" w:rsidRPr="00DF5C23">
        <w:rPr>
          <w:noProof/>
          <w:lang w:val="en-IE" w:eastAsia="fr-BE"/>
        </w:rPr>
        <w:t xml:space="preserve">third subparagraph, </w:t>
      </w:r>
      <w:r w:rsidR="003E7E96" w:rsidRPr="00DF5C23">
        <w:rPr>
          <w:noProof/>
          <w:lang w:val="en-IE" w:eastAsia="fr-BE"/>
        </w:rPr>
        <w:t>point (</w:t>
      </w:r>
      <w:r w:rsidR="00AD4B9A" w:rsidRPr="00DF5C23">
        <w:rPr>
          <w:noProof/>
          <w:lang w:val="en-IE" w:eastAsia="fr-BE"/>
        </w:rPr>
        <w:t>f</w:t>
      </w:r>
      <w:r w:rsidR="003E7E96" w:rsidRPr="00DF5C23">
        <w:rPr>
          <w:noProof/>
          <w:lang w:val="en-IE" w:eastAsia="fr-BE"/>
        </w:rPr>
        <w:t xml:space="preserve">), </w:t>
      </w:r>
      <w:r w:rsidR="00646885" w:rsidRPr="00DF5C23">
        <w:rPr>
          <w:noProof/>
          <w:lang w:val="en-IE" w:eastAsia="fr-BE"/>
        </w:rPr>
        <w:t xml:space="preserve">and is accompanied by the required documents, and that the manufacturer has complied with the requirements set out in Article </w:t>
      </w:r>
      <w:r w:rsidR="00E41BDB" w:rsidRPr="00DF5C23">
        <w:rPr>
          <w:noProof/>
          <w:lang w:val="en-IE" w:eastAsia="fr-BE"/>
        </w:rPr>
        <w:t>21</w:t>
      </w:r>
      <w:r w:rsidR="00646885" w:rsidRPr="00DF5C23">
        <w:rPr>
          <w:noProof/>
          <w:lang w:val="en-IE" w:eastAsia="fr-BE"/>
        </w:rPr>
        <w:t>(5) and (6).</w:t>
      </w:r>
      <w:r w:rsidR="00E0245B" w:rsidRPr="00DF5C23">
        <w:rPr>
          <w:noProof/>
          <w:lang w:val="en-IE" w:eastAsia="fr-BE"/>
        </w:rPr>
        <w:t xml:space="preserve">  </w:t>
      </w:r>
    </w:p>
    <w:p w14:paraId="2C3A5777" w14:textId="77777777" w:rsidR="00646885" w:rsidRPr="00DF5C23" w:rsidRDefault="00646885" w:rsidP="0681B866">
      <w:pPr>
        <w:pStyle w:val="Text1"/>
        <w:rPr>
          <w:noProof/>
          <w:lang w:val="en-IE" w:eastAsia="fr-BE"/>
        </w:rPr>
      </w:pPr>
      <w:r w:rsidRPr="00DF5C23">
        <w:rPr>
          <w:noProof/>
          <w:lang w:val="en-IE" w:eastAsia="fr-BE"/>
        </w:rPr>
        <w:t>Where importer</w:t>
      </w:r>
      <w:r w:rsidR="008D7E55" w:rsidRPr="00DF5C23">
        <w:rPr>
          <w:noProof/>
          <w:lang w:val="en-IE" w:eastAsia="fr-BE"/>
        </w:rPr>
        <w:t>s</w:t>
      </w:r>
      <w:r w:rsidRPr="00DF5C23">
        <w:rPr>
          <w:noProof/>
          <w:lang w:val="en-IE" w:eastAsia="fr-BE"/>
        </w:rPr>
        <w:t xml:space="preserve"> consider or </w:t>
      </w:r>
      <w:r w:rsidR="008D7E55" w:rsidRPr="00DF5C23">
        <w:rPr>
          <w:noProof/>
          <w:lang w:val="en-IE" w:eastAsia="fr-BE"/>
        </w:rPr>
        <w:t xml:space="preserve">have </w:t>
      </w:r>
      <w:r w:rsidRPr="00DF5C23">
        <w:rPr>
          <w:noProof/>
          <w:lang w:val="en-IE" w:eastAsia="fr-BE"/>
        </w:rPr>
        <w:t xml:space="preserve">reason to believe that a product is not in conformity with the requirements set out in the applicable </w:t>
      </w:r>
      <w:r w:rsidR="00BB75FA" w:rsidRPr="00DF5C23">
        <w:rPr>
          <w:noProof/>
          <w:lang w:val="en-IE" w:eastAsia="fr-BE"/>
        </w:rPr>
        <w:t xml:space="preserve">delegated acts </w:t>
      </w:r>
      <w:r w:rsidR="00FD7DBE" w:rsidRPr="00DF5C23">
        <w:rPr>
          <w:noProof/>
          <w:lang w:val="en-IE" w:eastAsia="fr-BE"/>
        </w:rPr>
        <w:t>adopted pursuant to Article 4</w:t>
      </w:r>
      <w:r w:rsidRPr="00DF5C23">
        <w:rPr>
          <w:noProof/>
          <w:lang w:val="en-IE" w:eastAsia="fr-BE"/>
        </w:rPr>
        <w:t xml:space="preserve">, </w:t>
      </w:r>
      <w:r w:rsidR="008D7E55" w:rsidRPr="00DF5C23">
        <w:rPr>
          <w:noProof/>
          <w:lang w:val="en-IE" w:eastAsia="fr-BE"/>
        </w:rPr>
        <w:t xml:space="preserve">they </w:t>
      </w:r>
      <w:r w:rsidRPr="00DF5C23">
        <w:rPr>
          <w:noProof/>
          <w:lang w:val="en-IE" w:eastAsia="fr-BE"/>
        </w:rPr>
        <w:t xml:space="preserve">shall not place the product on the market </w:t>
      </w:r>
      <w:r w:rsidR="00861E2E" w:rsidRPr="00DF5C23">
        <w:rPr>
          <w:noProof/>
          <w:lang w:val="en-IE" w:eastAsia="fr-BE"/>
        </w:rPr>
        <w:t>or put it into service</w:t>
      </w:r>
      <w:r w:rsidRPr="00DF5C23">
        <w:rPr>
          <w:noProof/>
          <w:lang w:val="en-IE" w:eastAsia="fr-BE"/>
        </w:rPr>
        <w:t xml:space="preserve"> until it has been brought into conformity. </w:t>
      </w:r>
    </w:p>
    <w:p w14:paraId="2C3A5778" w14:textId="1FD0A611" w:rsidR="00D25DA8" w:rsidRPr="00465D84" w:rsidRDefault="004F5E59" w:rsidP="004F5E59">
      <w:pPr>
        <w:pStyle w:val="ManualNumPar1"/>
        <w:rPr>
          <w:noProof/>
          <w:lang w:val="en-IE" w:eastAsia="fr-BE"/>
        </w:rPr>
      </w:pPr>
      <w:r w:rsidRPr="004F5E59">
        <w:t>3.</w:t>
      </w:r>
      <w:r w:rsidRPr="004F5E59">
        <w:tab/>
      </w:r>
      <w:r w:rsidR="00D87AB9" w:rsidRPr="00DF5C23">
        <w:rPr>
          <w:noProof/>
          <w:lang w:eastAsia="fr-BE"/>
        </w:rPr>
        <w:t>Importers shall indicate on the product their name, registered trade name or registered trade mark</w:t>
      </w:r>
      <w:r w:rsidR="00465D84">
        <w:rPr>
          <w:noProof/>
          <w:lang w:eastAsia="fr-BE"/>
        </w:rPr>
        <w:t xml:space="preserve"> and</w:t>
      </w:r>
      <w:r w:rsidR="00D87AB9" w:rsidRPr="00DF5C23">
        <w:rPr>
          <w:noProof/>
          <w:lang w:eastAsia="fr-BE"/>
        </w:rPr>
        <w:t xml:space="preserve"> the postal address and</w:t>
      </w:r>
      <w:r w:rsidR="00465D84" w:rsidRPr="00465D84">
        <w:rPr>
          <w:noProof/>
          <w:lang w:eastAsia="fr-BE"/>
        </w:rPr>
        <w:t>, where available, electronic means of communication</w:t>
      </w:r>
      <w:r w:rsidR="00465D84">
        <w:rPr>
          <w:noProof/>
          <w:lang w:eastAsia="fr-BE"/>
        </w:rPr>
        <w:t xml:space="preserve">, </w:t>
      </w:r>
      <w:r w:rsidR="00D87AB9" w:rsidRPr="00DF5C23">
        <w:rPr>
          <w:noProof/>
          <w:lang w:eastAsia="fr-BE"/>
        </w:rPr>
        <w:t>where they can be contacted or, where this is not possible, on the packaging, in a document accompanying the product or, where available, in a product passport. The contact details shall be clear, understandable and legible.</w:t>
      </w:r>
    </w:p>
    <w:p w14:paraId="2C3A5779" w14:textId="63D93B9B" w:rsidR="00D25DA8" w:rsidRPr="00DF5C23" w:rsidRDefault="004F5E59" w:rsidP="004F5E59">
      <w:pPr>
        <w:pStyle w:val="ManualNumPar1"/>
        <w:rPr>
          <w:noProof/>
          <w:lang w:val="en-IE" w:eastAsia="fr-BE"/>
        </w:rPr>
      </w:pPr>
      <w:r w:rsidRPr="004F5E59">
        <w:t>4.</w:t>
      </w:r>
      <w:r w:rsidRPr="004F5E59">
        <w:tab/>
      </w:r>
      <w:r w:rsidR="00D25DA8" w:rsidRPr="00DF5C23">
        <w:rPr>
          <w:noProof/>
          <w:lang w:val="en-IE" w:eastAsia="fr-BE"/>
        </w:rPr>
        <w:t>Importers shall ensure that the product is accompanied by instructions</w:t>
      </w:r>
      <w:r w:rsidR="00E41BDB" w:rsidRPr="00DF5C23">
        <w:rPr>
          <w:noProof/>
          <w:lang w:val="en-IE" w:eastAsia="fr-BE"/>
        </w:rPr>
        <w:t xml:space="preserve"> </w:t>
      </w:r>
      <w:r w:rsidR="00AA491B" w:rsidRPr="00DF5C23">
        <w:rPr>
          <w:noProof/>
          <w:lang w:val="en-IE" w:eastAsia="fr-BE"/>
        </w:rPr>
        <w:t>that</w:t>
      </w:r>
      <w:r w:rsidR="00D25DA8" w:rsidRPr="00DF5C23">
        <w:rPr>
          <w:noProof/>
          <w:lang w:val="en-IE" w:eastAsia="fr-BE"/>
        </w:rPr>
        <w:t xml:space="preserve"> enable the consumer to assemble, install, operate, store, maintain, </w:t>
      </w:r>
      <w:r w:rsidR="00675CC8" w:rsidRPr="00DF5C23">
        <w:rPr>
          <w:noProof/>
          <w:lang w:val="en-IE" w:eastAsia="fr-BE"/>
        </w:rPr>
        <w:t>repair</w:t>
      </w:r>
      <w:r w:rsidR="00D25DA8" w:rsidRPr="00DF5C23">
        <w:rPr>
          <w:noProof/>
          <w:lang w:val="en-IE" w:eastAsia="fr-BE"/>
        </w:rPr>
        <w:t xml:space="preserve"> and dispose of the product, in a language </w:t>
      </w:r>
      <w:r w:rsidR="00D87AB9" w:rsidRPr="00DF5C23">
        <w:rPr>
          <w:noProof/>
          <w:lang w:eastAsia="fr-BE"/>
        </w:rPr>
        <w:t xml:space="preserve">that can be easily understood by consumers and other end users, as determined by the Member State concerned. Such instructions shall be clear, understandable and legible </w:t>
      </w:r>
      <w:r w:rsidR="00D87AB9" w:rsidRPr="00DF5C23">
        <w:rPr>
          <w:noProof/>
        </w:rPr>
        <w:t xml:space="preserve">and shall </w:t>
      </w:r>
      <w:r w:rsidR="008F54C8" w:rsidRPr="00DF5C23">
        <w:rPr>
          <w:noProof/>
          <w:lang w:val="en-IE"/>
        </w:rPr>
        <w:t xml:space="preserve">include at least the information specified in the delegated acts </w:t>
      </w:r>
      <w:r w:rsidR="00FD7DBE" w:rsidRPr="00DF5C23">
        <w:rPr>
          <w:noProof/>
          <w:lang w:val="en-IE" w:eastAsia="fr-BE"/>
        </w:rPr>
        <w:t>adopted pursuant to Article 4</w:t>
      </w:r>
      <w:r w:rsidR="00D25DA8" w:rsidRPr="00DF5C23">
        <w:rPr>
          <w:noProof/>
          <w:lang w:val="en-IE" w:eastAsia="fr-BE"/>
        </w:rPr>
        <w:t>.</w:t>
      </w:r>
    </w:p>
    <w:p w14:paraId="2C3A577A" w14:textId="1077ED59" w:rsidR="00014A6A"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 xml:space="preserve">Importers shall ensure that, while a product is under their responsibility, storage or transport conditions do not jeopardise its compliance with the requirements set out in </w:t>
      </w:r>
      <w:r w:rsidR="00AA491B" w:rsidRPr="00DF5C23">
        <w:rPr>
          <w:noProof/>
          <w:lang w:val="en-IE" w:eastAsia="fr-BE"/>
        </w:rPr>
        <w:t xml:space="preserve">a </w:t>
      </w:r>
      <w:r w:rsidR="0681B866" w:rsidRPr="00DF5C23">
        <w:rPr>
          <w:noProof/>
          <w:lang w:val="en-IE" w:eastAsia="fr-BE"/>
        </w:rPr>
        <w:t>delegated act</w:t>
      </w:r>
      <w:r w:rsidR="00AA491B" w:rsidRPr="00DF5C23">
        <w:rPr>
          <w:noProof/>
          <w:lang w:val="en-IE" w:eastAsia="fr-BE"/>
        </w:rPr>
        <w:t xml:space="preserve"> adopted pursuant to Article </w:t>
      </w:r>
      <w:r w:rsidR="00FD7DBE" w:rsidRPr="00DF5C23">
        <w:rPr>
          <w:noProof/>
          <w:lang w:val="en-IE" w:eastAsia="fr-BE"/>
        </w:rPr>
        <w:t>4</w:t>
      </w:r>
      <w:r w:rsidR="00AA491B" w:rsidRPr="00DF5C23">
        <w:rPr>
          <w:noProof/>
          <w:lang w:val="en-IE" w:eastAsia="fr-BE"/>
        </w:rPr>
        <w:t xml:space="preserve"> by which it is covered</w:t>
      </w:r>
      <w:r w:rsidR="0681B866" w:rsidRPr="00DF5C23">
        <w:rPr>
          <w:noProof/>
          <w:lang w:val="en-IE" w:eastAsia="fr-BE"/>
        </w:rPr>
        <w:t>.</w:t>
      </w:r>
    </w:p>
    <w:p w14:paraId="2C3A577B" w14:textId="36C72234" w:rsidR="00C04DC9" w:rsidRPr="00DF5C23" w:rsidRDefault="004F5E59" w:rsidP="004F5E59">
      <w:pPr>
        <w:pStyle w:val="ManualNumPar1"/>
        <w:rPr>
          <w:noProof/>
          <w:lang w:val="en-IE" w:eastAsia="fr-BE"/>
        </w:rPr>
      </w:pPr>
      <w:r w:rsidRPr="004F5E59">
        <w:t>6.</w:t>
      </w:r>
      <w:r w:rsidRPr="004F5E59">
        <w:tab/>
      </w:r>
      <w:r w:rsidR="00646885" w:rsidRPr="00DF5C23">
        <w:rPr>
          <w:noProof/>
          <w:lang w:val="en-IE" w:eastAsia="fr-BE"/>
        </w:rPr>
        <w:t xml:space="preserve">Importers who consider or have reason to believe that a product covered by a </w:t>
      </w:r>
      <w:r w:rsidR="00715D90" w:rsidRPr="00DF5C23">
        <w:rPr>
          <w:noProof/>
          <w:lang w:val="en-IE" w:eastAsia="fr-BE"/>
        </w:rPr>
        <w:t xml:space="preserve">delegated act </w:t>
      </w:r>
      <w:r w:rsidR="00FD7DBE" w:rsidRPr="00DF5C23">
        <w:rPr>
          <w:noProof/>
          <w:lang w:val="en-IE" w:eastAsia="fr-BE"/>
        </w:rPr>
        <w:t>adopted pursuant to Article 4</w:t>
      </w:r>
      <w:r w:rsidR="009634AF" w:rsidRPr="00DF5C23">
        <w:rPr>
          <w:noProof/>
          <w:lang w:val="en-IE" w:eastAsia="fr-BE"/>
        </w:rPr>
        <w:t xml:space="preserve">, </w:t>
      </w:r>
      <w:r w:rsidR="00646885" w:rsidRPr="00DF5C23">
        <w:rPr>
          <w:noProof/>
          <w:lang w:val="en-IE" w:eastAsia="fr-BE"/>
        </w:rPr>
        <w:t>which they have placed on the market</w:t>
      </w:r>
      <w:r w:rsidR="00861E2E" w:rsidRPr="00DF5C23">
        <w:rPr>
          <w:noProof/>
          <w:lang w:val="en-IE" w:eastAsia="fr-BE"/>
        </w:rPr>
        <w:t xml:space="preserve"> or put into service</w:t>
      </w:r>
      <w:r w:rsidR="00975334" w:rsidRPr="00DF5C23">
        <w:rPr>
          <w:noProof/>
          <w:lang w:val="en-IE" w:eastAsia="fr-BE"/>
        </w:rPr>
        <w:t>,</w:t>
      </w:r>
      <w:r w:rsidR="00646885" w:rsidRPr="00DF5C23">
        <w:rPr>
          <w:noProof/>
          <w:lang w:val="en-IE" w:eastAsia="fr-BE"/>
        </w:rPr>
        <w:t xml:space="preserve"> is not in conformity with the requirements set out in </w:t>
      </w:r>
      <w:r w:rsidR="00AA491B" w:rsidRPr="00DF5C23">
        <w:rPr>
          <w:noProof/>
          <w:lang w:val="en-IE" w:eastAsia="fr-BE"/>
        </w:rPr>
        <w:t xml:space="preserve">that </w:t>
      </w:r>
      <w:r w:rsidR="009634AF" w:rsidRPr="00DF5C23">
        <w:rPr>
          <w:noProof/>
          <w:lang w:val="en-IE" w:eastAsia="fr-BE"/>
        </w:rPr>
        <w:t>act</w:t>
      </w:r>
      <w:r w:rsidR="00646885" w:rsidRPr="00DF5C23">
        <w:rPr>
          <w:noProof/>
          <w:lang w:val="en-IE" w:eastAsia="fr-BE"/>
        </w:rPr>
        <w:t xml:space="preserve"> shall immediately take the corrective measures necessary to bring that product into conformity, to withdraw it or recall it, </w:t>
      </w:r>
      <w:r w:rsidR="00D25DA8" w:rsidRPr="00DF5C23">
        <w:rPr>
          <w:noProof/>
          <w:lang w:val="en-IE" w:eastAsia="fr-BE"/>
        </w:rPr>
        <w:t>if</w:t>
      </w:r>
      <w:r w:rsidR="00646885" w:rsidRPr="00DF5C23">
        <w:rPr>
          <w:noProof/>
          <w:lang w:val="en-IE" w:eastAsia="fr-BE"/>
        </w:rPr>
        <w:t xml:space="preserve"> appropriate. </w:t>
      </w:r>
    </w:p>
    <w:p w14:paraId="2C3A577C" w14:textId="77777777" w:rsidR="002C39B8" w:rsidRPr="00DF5C23" w:rsidRDefault="00AA491B" w:rsidP="0681B866">
      <w:pPr>
        <w:pStyle w:val="Text1"/>
        <w:rPr>
          <w:noProof/>
          <w:lang w:val="en-IE"/>
        </w:rPr>
      </w:pPr>
      <w:r w:rsidRPr="00DF5C23">
        <w:rPr>
          <w:noProof/>
          <w:lang w:val="en-IE"/>
        </w:rPr>
        <w:t>Importers</w:t>
      </w:r>
      <w:r w:rsidR="002C39B8" w:rsidRPr="00DF5C23">
        <w:rPr>
          <w:noProof/>
          <w:lang w:val="en-IE"/>
        </w:rPr>
        <w:t xml:space="preserve"> shall immediately inform the market surveillance authorities of the Member States in which they made</w:t>
      </w:r>
      <w:r w:rsidR="00975334" w:rsidRPr="00DF5C23">
        <w:rPr>
          <w:noProof/>
          <w:lang w:val="en-IE"/>
        </w:rPr>
        <w:t xml:space="preserve"> the</w:t>
      </w:r>
      <w:r w:rsidR="002C39B8" w:rsidRPr="00DF5C23">
        <w:rPr>
          <w:noProof/>
          <w:lang w:val="en-IE"/>
        </w:rPr>
        <w:t xml:space="preserve"> product available of the suspected non-compliance and of any corrective measures taken.</w:t>
      </w:r>
    </w:p>
    <w:p w14:paraId="2C3A577D" w14:textId="6F01E550" w:rsidR="00646885"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 xml:space="preserve">Importers shall, for 10 years or the period specified by </w:t>
      </w:r>
      <w:r w:rsidR="00AA491B" w:rsidRPr="00DF5C23">
        <w:rPr>
          <w:noProof/>
          <w:lang w:val="en-IE" w:eastAsia="fr-BE"/>
        </w:rPr>
        <w:t xml:space="preserve">a </w:t>
      </w:r>
      <w:r w:rsidR="0681B866" w:rsidRPr="00DF5C23">
        <w:rPr>
          <w:noProof/>
          <w:lang w:val="en-IE" w:eastAsia="fr-BE"/>
        </w:rPr>
        <w:t xml:space="preserve">delegated act </w:t>
      </w:r>
      <w:r w:rsidR="00AA491B" w:rsidRPr="00DF5C23">
        <w:rPr>
          <w:noProof/>
          <w:lang w:val="en-IE" w:eastAsia="fr-BE"/>
        </w:rPr>
        <w:t xml:space="preserve">adopted </w:t>
      </w:r>
      <w:r w:rsidR="0681B866" w:rsidRPr="00DF5C23">
        <w:rPr>
          <w:noProof/>
          <w:lang w:val="en-IE" w:eastAsia="fr-BE"/>
        </w:rPr>
        <w:t xml:space="preserve">pursuant to Article </w:t>
      </w:r>
      <w:r w:rsidR="00FD7DBE" w:rsidRPr="00DF5C23">
        <w:rPr>
          <w:noProof/>
          <w:lang w:val="en-IE" w:eastAsia="fr-BE"/>
        </w:rPr>
        <w:t>4</w:t>
      </w:r>
      <w:r w:rsidR="0681B866" w:rsidRPr="00DF5C23">
        <w:rPr>
          <w:noProof/>
          <w:lang w:val="en-IE" w:eastAsia="fr-BE"/>
        </w:rPr>
        <w:t xml:space="preserve">, keep a copy of the EU declaration of conformity at the disposal of the market surveillance authorities and ensure that the technical documentation can be made available to those authorities, upon request. </w:t>
      </w:r>
    </w:p>
    <w:p w14:paraId="2C3A577E" w14:textId="64215D37" w:rsidR="00C04DC9" w:rsidRPr="00DF5C23" w:rsidRDefault="004F5E59" w:rsidP="004F5E59">
      <w:pPr>
        <w:pStyle w:val="ManualNumPar1"/>
        <w:rPr>
          <w:noProof/>
          <w:lang w:val="en-IE" w:eastAsia="fr-BE"/>
        </w:rPr>
      </w:pPr>
      <w:r w:rsidRPr="004F5E59">
        <w:t>8.</w:t>
      </w:r>
      <w:r w:rsidRPr="004F5E59">
        <w:tab/>
      </w:r>
      <w:r w:rsidR="0681B866" w:rsidRPr="00DF5C23">
        <w:rPr>
          <w:noProof/>
          <w:lang w:val="en-IE" w:eastAsia="fr-BE"/>
        </w:rPr>
        <w:t xml:space="preserve">Importers shall, further to a reasoned request from a competent national authority, provide it with all the information and documentation necessary to demonstrate the conformity of a product, including technical documentation, in a language </w:t>
      </w:r>
      <w:r w:rsidR="00D87AB9" w:rsidRPr="00DF5C23">
        <w:rPr>
          <w:noProof/>
          <w:lang w:eastAsia="fr-BE"/>
        </w:rPr>
        <w:t xml:space="preserve">that </w:t>
      </w:r>
      <w:r w:rsidR="0681B866" w:rsidRPr="00DF5C23">
        <w:rPr>
          <w:noProof/>
          <w:lang w:val="en-IE" w:eastAsia="fr-BE"/>
        </w:rPr>
        <w:t>can be easily understood by that authority. That information and documentation shall be provided in either paper or electronic form. The relevant documents shall be made available within 10 days of receipt of a request by the competent authority of a Member State.</w:t>
      </w:r>
    </w:p>
    <w:p w14:paraId="2C3A577F" w14:textId="77777777" w:rsidR="00646885" w:rsidRPr="00DF5C23" w:rsidRDefault="00AA491B" w:rsidP="0681B866">
      <w:pPr>
        <w:pStyle w:val="Text1"/>
        <w:rPr>
          <w:noProof/>
          <w:lang w:val="en-IE"/>
        </w:rPr>
      </w:pPr>
      <w:r w:rsidRPr="00DF5C23">
        <w:rPr>
          <w:noProof/>
          <w:lang w:val="en-IE"/>
        </w:rPr>
        <w:t xml:space="preserve">Importers </w:t>
      </w:r>
      <w:r w:rsidR="0681B866" w:rsidRPr="00DF5C23">
        <w:rPr>
          <w:noProof/>
          <w:lang w:val="en-IE"/>
        </w:rPr>
        <w:t xml:space="preserve">shall cooperate with </w:t>
      </w:r>
      <w:r w:rsidRPr="00DF5C23">
        <w:rPr>
          <w:noProof/>
          <w:lang w:val="en-IE"/>
        </w:rPr>
        <w:t xml:space="preserve">the competent national </w:t>
      </w:r>
      <w:r w:rsidR="0681B866" w:rsidRPr="00DF5C23">
        <w:rPr>
          <w:noProof/>
          <w:lang w:val="en-IE"/>
        </w:rPr>
        <w:t>authority</w:t>
      </w:r>
      <w:r w:rsidRPr="00DF5C23">
        <w:rPr>
          <w:noProof/>
          <w:lang w:val="en-IE"/>
        </w:rPr>
        <w:t xml:space="preserve"> on any </w:t>
      </w:r>
      <w:r w:rsidR="0681B866" w:rsidRPr="00DF5C23">
        <w:rPr>
          <w:noProof/>
          <w:lang w:val="en-IE"/>
        </w:rPr>
        <w:t xml:space="preserve">action taken to remedy any case of non-compliance with the </w:t>
      </w:r>
      <w:r w:rsidRPr="00DF5C23">
        <w:rPr>
          <w:noProof/>
          <w:lang w:val="en-IE"/>
        </w:rPr>
        <w:t xml:space="preserve">requirements set out in a </w:t>
      </w:r>
      <w:r w:rsidR="0681B866" w:rsidRPr="00DF5C23">
        <w:rPr>
          <w:noProof/>
          <w:lang w:val="en-IE"/>
        </w:rPr>
        <w:t xml:space="preserve">delegated act </w:t>
      </w:r>
      <w:r w:rsidRPr="00DF5C23">
        <w:rPr>
          <w:noProof/>
          <w:lang w:val="en-IE"/>
        </w:rPr>
        <w:t xml:space="preserve">adopted </w:t>
      </w:r>
      <w:r w:rsidR="00FD7DBE" w:rsidRPr="00DF5C23">
        <w:rPr>
          <w:noProof/>
          <w:lang w:val="en-IE" w:eastAsia="fr-BE"/>
        </w:rPr>
        <w:t xml:space="preserve">pursuant to Article 4 </w:t>
      </w:r>
      <w:r w:rsidRPr="00DF5C23">
        <w:rPr>
          <w:noProof/>
          <w:lang w:val="en-IE"/>
        </w:rPr>
        <w:t xml:space="preserve">by which </w:t>
      </w:r>
      <w:r w:rsidR="0681B866" w:rsidRPr="00DF5C23">
        <w:rPr>
          <w:noProof/>
          <w:lang w:val="en-IE"/>
        </w:rPr>
        <w:t>the product in question</w:t>
      </w:r>
      <w:r w:rsidRPr="00DF5C23">
        <w:rPr>
          <w:noProof/>
          <w:lang w:val="en-IE"/>
        </w:rPr>
        <w:t xml:space="preserve"> is covered</w:t>
      </w:r>
      <w:r w:rsidR="0681B866" w:rsidRPr="00DF5C23">
        <w:rPr>
          <w:noProof/>
          <w:lang w:val="en-IE"/>
        </w:rPr>
        <w:t xml:space="preserve">. </w:t>
      </w:r>
    </w:p>
    <w:p w14:paraId="2C3A5780" w14:textId="77777777" w:rsidR="00646885" w:rsidRPr="00DF5C23" w:rsidRDefault="0681B866"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2</w:t>
      </w:r>
      <w:r w:rsidR="001A4BE8" w:rsidRPr="00DF5C23">
        <w:rPr>
          <w:noProof/>
          <w:lang w:val="en-IE" w:eastAsia="fr-BE"/>
        </w:rPr>
        <w:t>4</w:t>
      </w:r>
      <w:r w:rsidR="00646885" w:rsidRPr="00DF5C23">
        <w:rPr>
          <w:noProof/>
        </w:rPr>
        <w:br/>
      </w:r>
      <w:r w:rsidRPr="00DF5C23">
        <w:rPr>
          <w:noProof/>
          <w:lang w:val="en-IE" w:eastAsia="fr-BE"/>
        </w:rPr>
        <w:t>Obligations of distributors</w:t>
      </w:r>
    </w:p>
    <w:p w14:paraId="2C3A5781" w14:textId="741BA8A3"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 xml:space="preserve">When making a product covered by a delegated act </w:t>
      </w:r>
      <w:r w:rsidR="00850318" w:rsidRPr="00DF5C23">
        <w:rPr>
          <w:noProof/>
          <w:lang w:val="en-IE" w:eastAsia="fr-BE"/>
        </w:rPr>
        <w:t>adopted pursuant to Article 4</w:t>
      </w:r>
      <w:r w:rsidR="0681B866" w:rsidRPr="00DF5C23">
        <w:rPr>
          <w:noProof/>
          <w:lang w:val="en-IE" w:eastAsia="fr-BE"/>
        </w:rPr>
        <w:t xml:space="preserve"> available on the market</w:t>
      </w:r>
      <w:r w:rsidR="00C728A2" w:rsidRPr="00DF5C23">
        <w:rPr>
          <w:noProof/>
          <w:lang w:val="en-IE" w:eastAsia="fr-BE"/>
        </w:rPr>
        <w:t>,</w:t>
      </w:r>
      <w:r w:rsidR="0681B866" w:rsidRPr="00DF5C23">
        <w:rPr>
          <w:noProof/>
          <w:lang w:val="en-IE" w:eastAsia="fr-BE"/>
        </w:rPr>
        <w:t xml:space="preserve"> distributors shall act with due care in relation to the requirements set out in th</w:t>
      </w:r>
      <w:r w:rsidR="000946C5" w:rsidRPr="00DF5C23">
        <w:rPr>
          <w:noProof/>
          <w:lang w:val="en-IE" w:eastAsia="fr-BE"/>
        </w:rPr>
        <w:t>at</w:t>
      </w:r>
      <w:r w:rsidR="0681B866" w:rsidRPr="00DF5C23">
        <w:rPr>
          <w:noProof/>
          <w:lang w:val="en-IE" w:eastAsia="fr-BE"/>
        </w:rPr>
        <w:t xml:space="preserve"> act.</w:t>
      </w:r>
    </w:p>
    <w:p w14:paraId="2C3A5782" w14:textId="57D07B6B"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Before making a product covered by a delegated act </w:t>
      </w:r>
      <w:r w:rsidR="00850318" w:rsidRPr="00DF5C23">
        <w:rPr>
          <w:noProof/>
          <w:lang w:val="en-IE" w:eastAsia="fr-BE"/>
        </w:rPr>
        <w:t>adopted pursuant to Article 4</w:t>
      </w:r>
      <w:r w:rsidR="0681B866" w:rsidRPr="00DF5C23">
        <w:rPr>
          <w:noProof/>
          <w:lang w:val="en-IE" w:eastAsia="fr-BE"/>
        </w:rPr>
        <w:t xml:space="preserve"> available on the market, distributors shall verify </w:t>
      </w:r>
      <w:r w:rsidR="000946C5" w:rsidRPr="00DF5C23">
        <w:rPr>
          <w:noProof/>
          <w:lang w:val="en-IE" w:eastAsia="fr-BE"/>
        </w:rPr>
        <w:t>that the following</w:t>
      </w:r>
      <w:r w:rsidR="0681B866" w:rsidRPr="00DF5C23">
        <w:rPr>
          <w:noProof/>
          <w:lang w:val="en-IE" w:eastAsia="fr-BE"/>
        </w:rPr>
        <w:t>:</w:t>
      </w:r>
    </w:p>
    <w:p w14:paraId="2C3A5783" w14:textId="09C7FA0D" w:rsidR="00646885" w:rsidRPr="00DF5C23" w:rsidRDefault="004F5E59" w:rsidP="004F5E59">
      <w:pPr>
        <w:pStyle w:val="Point1"/>
        <w:rPr>
          <w:noProof/>
          <w:lang w:val="en-IE" w:eastAsia="fr-BE"/>
        </w:rPr>
      </w:pPr>
      <w:r w:rsidRPr="004F5E59">
        <w:t>(a)</w:t>
      </w:r>
      <w:r w:rsidRPr="004F5E59">
        <w:tab/>
      </w:r>
      <w:r w:rsidR="00646885" w:rsidRPr="00DF5C23">
        <w:rPr>
          <w:noProof/>
          <w:lang w:val="en-IE" w:eastAsia="fr-BE"/>
        </w:rPr>
        <w:t>the product bears the CE marking in accordance with Article</w:t>
      </w:r>
      <w:r w:rsidR="003E7E96" w:rsidRPr="00DF5C23">
        <w:rPr>
          <w:noProof/>
          <w:lang w:val="en-IE" w:eastAsia="fr-BE"/>
        </w:rPr>
        <w:t>s 3</w:t>
      </w:r>
      <w:r w:rsidR="00E41BDB" w:rsidRPr="00DF5C23">
        <w:rPr>
          <w:noProof/>
          <w:lang w:val="en-IE" w:eastAsia="fr-BE"/>
        </w:rPr>
        <w:t>8</w:t>
      </w:r>
      <w:r w:rsidR="003E7E96" w:rsidRPr="00DF5C23">
        <w:rPr>
          <w:noProof/>
          <w:lang w:val="en-IE" w:eastAsia="fr-BE"/>
        </w:rPr>
        <w:t xml:space="preserve"> and</w:t>
      </w:r>
      <w:r w:rsidR="00646885" w:rsidRPr="00DF5C23">
        <w:rPr>
          <w:noProof/>
          <w:lang w:val="en-IE" w:eastAsia="fr-BE"/>
        </w:rPr>
        <w:t xml:space="preserve"> </w:t>
      </w:r>
      <w:r w:rsidR="00BE479B" w:rsidRPr="00DF5C23">
        <w:rPr>
          <w:noProof/>
          <w:lang w:val="en-IE" w:eastAsia="fr-BE"/>
        </w:rPr>
        <w:t>3</w:t>
      </w:r>
      <w:r w:rsidR="00E41BDB" w:rsidRPr="00DF5C23">
        <w:rPr>
          <w:noProof/>
          <w:lang w:val="en-IE" w:eastAsia="fr-BE"/>
        </w:rPr>
        <w:t>9</w:t>
      </w:r>
      <w:r w:rsidR="00BE479B" w:rsidRPr="00DF5C23">
        <w:rPr>
          <w:noProof/>
          <w:lang w:val="en-IE" w:eastAsia="fr-BE"/>
        </w:rPr>
        <w:t xml:space="preserve"> </w:t>
      </w:r>
      <w:r w:rsidR="003E7E96" w:rsidRPr="00DF5C23">
        <w:rPr>
          <w:noProof/>
          <w:lang w:val="en-IE" w:eastAsia="fr-BE"/>
        </w:rPr>
        <w:t xml:space="preserve">or alternative conformity marking </w:t>
      </w:r>
      <w:r w:rsidR="002438E5" w:rsidRPr="00DF5C23">
        <w:rPr>
          <w:noProof/>
          <w:lang w:val="en-IE" w:eastAsia="fr-BE"/>
        </w:rPr>
        <w:t>adopted</w:t>
      </w:r>
      <w:r w:rsidR="003E7E96" w:rsidRPr="00DF5C23">
        <w:rPr>
          <w:noProof/>
          <w:lang w:val="en-IE" w:eastAsia="fr-BE"/>
        </w:rPr>
        <w:t xml:space="preserve"> pursuant to Article 4, </w:t>
      </w:r>
      <w:r w:rsidR="002438E5" w:rsidRPr="00DF5C23">
        <w:rPr>
          <w:noProof/>
          <w:lang w:val="en-IE" w:eastAsia="fr-BE"/>
        </w:rPr>
        <w:t xml:space="preserve">third subparagraph, </w:t>
      </w:r>
      <w:r w:rsidR="003E7E96" w:rsidRPr="00DF5C23">
        <w:rPr>
          <w:noProof/>
          <w:lang w:val="en-IE" w:eastAsia="fr-BE"/>
        </w:rPr>
        <w:t>point (</w:t>
      </w:r>
      <w:r w:rsidR="00AD4B9A" w:rsidRPr="00DF5C23">
        <w:rPr>
          <w:noProof/>
          <w:lang w:val="en-IE" w:eastAsia="fr-BE"/>
        </w:rPr>
        <w:t>f</w:t>
      </w:r>
      <w:r w:rsidR="003E7E96" w:rsidRPr="00DF5C23">
        <w:rPr>
          <w:noProof/>
          <w:lang w:val="en-IE" w:eastAsia="fr-BE"/>
        </w:rPr>
        <w:t xml:space="preserve">), </w:t>
      </w:r>
      <w:r w:rsidR="00A459E6" w:rsidRPr="00DF5C23">
        <w:rPr>
          <w:noProof/>
          <w:lang w:val="en-IE" w:eastAsia="fr-BE"/>
        </w:rPr>
        <w:t xml:space="preserve">and, where relevant, is labelled </w:t>
      </w:r>
      <w:r w:rsidR="008F54C8" w:rsidRPr="00DF5C23">
        <w:rPr>
          <w:noProof/>
          <w:lang w:val="en-IE"/>
        </w:rPr>
        <w:t xml:space="preserve">or is linked to a product passport </w:t>
      </w:r>
      <w:r w:rsidR="008F54C8" w:rsidRPr="00DF5C23">
        <w:rPr>
          <w:noProof/>
          <w:lang w:val="en-IE" w:eastAsia="fr-BE"/>
        </w:rPr>
        <w:t>in accordance with th</w:t>
      </w:r>
      <w:r w:rsidR="000946C5" w:rsidRPr="00DF5C23">
        <w:rPr>
          <w:noProof/>
          <w:lang w:val="en-IE" w:eastAsia="fr-BE"/>
        </w:rPr>
        <w:t>at</w:t>
      </w:r>
      <w:r w:rsidR="008F54C8" w:rsidRPr="00DF5C23">
        <w:rPr>
          <w:noProof/>
          <w:lang w:val="en-IE" w:eastAsia="fr-BE"/>
        </w:rPr>
        <w:t xml:space="preserve"> delegated acts</w:t>
      </w:r>
      <w:r w:rsidR="00646885" w:rsidRPr="00DF5C23">
        <w:rPr>
          <w:noProof/>
          <w:lang w:val="en-IE" w:eastAsia="fr-BE"/>
        </w:rPr>
        <w:t>;</w:t>
      </w:r>
    </w:p>
    <w:p w14:paraId="2C3A5784" w14:textId="625FA19D" w:rsidR="00646885" w:rsidRPr="00DF5C23" w:rsidRDefault="004F5E59" w:rsidP="004F5E59">
      <w:pPr>
        <w:pStyle w:val="Point1"/>
        <w:rPr>
          <w:noProof/>
          <w:lang w:val="en-IE" w:eastAsia="fr-BE"/>
        </w:rPr>
      </w:pPr>
      <w:r w:rsidRPr="004F5E59">
        <w:t>(b)</w:t>
      </w:r>
      <w:r w:rsidRPr="004F5E59">
        <w:tab/>
      </w:r>
      <w:r w:rsidR="00646885" w:rsidRPr="00DF5C23">
        <w:rPr>
          <w:noProof/>
          <w:lang w:val="en-IE" w:eastAsia="fr-BE"/>
        </w:rPr>
        <w:t>the product is accompanied by the required documents and by</w:t>
      </w:r>
      <w:r w:rsidR="003059AE" w:rsidRPr="00DF5C23">
        <w:rPr>
          <w:noProof/>
          <w:lang w:val="en-IE" w:eastAsia="fr-BE"/>
        </w:rPr>
        <w:t xml:space="preserve"> instructions, to enable the consumer to assemble, install, operate, store, maintain, and dispose of the product, </w:t>
      </w:r>
      <w:r w:rsidR="00646885" w:rsidRPr="00DF5C23">
        <w:rPr>
          <w:noProof/>
          <w:lang w:val="en-IE" w:eastAsia="fr-BE"/>
        </w:rPr>
        <w:t xml:space="preserve">in a language </w:t>
      </w:r>
      <w:r w:rsidR="00D87AB9" w:rsidRPr="00DF5C23">
        <w:rPr>
          <w:noProof/>
          <w:lang w:eastAsia="fr-BE"/>
        </w:rPr>
        <w:t xml:space="preserve">that </w:t>
      </w:r>
      <w:r w:rsidR="00646885" w:rsidRPr="00DF5C23">
        <w:rPr>
          <w:noProof/>
          <w:lang w:val="en-IE" w:eastAsia="fr-BE"/>
        </w:rPr>
        <w:t>can be easily understood by consumers and other end-users</w:t>
      </w:r>
      <w:r w:rsidR="009A11EB" w:rsidRPr="00DF5C23">
        <w:rPr>
          <w:noProof/>
          <w:lang w:val="en-IE" w:eastAsia="fr-BE"/>
        </w:rPr>
        <w:t>, as determined by</w:t>
      </w:r>
      <w:r w:rsidR="00646885" w:rsidRPr="00DF5C23">
        <w:rPr>
          <w:noProof/>
          <w:lang w:val="en-IE" w:eastAsia="fr-BE"/>
        </w:rPr>
        <w:t xml:space="preserve"> the Member State in which the product is to be made available on the market</w:t>
      </w:r>
      <w:r w:rsidR="009A11EB" w:rsidRPr="00DF5C23">
        <w:rPr>
          <w:noProof/>
          <w:lang w:val="en-IE" w:eastAsia="fr-BE"/>
        </w:rPr>
        <w:t>,</w:t>
      </w:r>
      <w:r w:rsidR="003059AE" w:rsidRPr="00DF5C23">
        <w:rPr>
          <w:noProof/>
          <w:lang w:val="en-IE" w:eastAsia="fr-BE"/>
        </w:rPr>
        <w:t xml:space="preserve"> and that such instructions are clear, understandable and legible</w:t>
      </w:r>
      <w:r w:rsidR="008F54C8" w:rsidRPr="00DF5C23">
        <w:rPr>
          <w:noProof/>
          <w:lang w:val="en-IE" w:eastAsia="fr-BE"/>
        </w:rPr>
        <w:t xml:space="preserve"> </w:t>
      </w:r>
      <w:r w:rsidR="008F54C8" w:rsidRPr="00DF5C23">
        <w:rPr>
          <w:noProof/>
          <w:lang w:val="en-IE"/>
        </w:rPr>
        <w:t xml:space="preserve">and include at least the information </w:t>
      </w:r>
      <w:r w:rsidR="000946C5" w:rsidRPr="00DF5C23">
        <w:rPr>
          <w:noProof/>
          <w:lang w:val="en-IE"/>
        </w:rPr>
        <w:t>set out</w:t>
      </w:r>
      <w:r w:rsidR="008F54C8" w:rsidRPr="00DF5C23">
        <w:rPr>
          <w:noProof/>
          <w:lang w:val="en-IE"/>
        </w:rPr>
        <w:t xml:space="preserve"> in Article 7(</w:t>
      </w:r>
      <w:r w:rsidR="00DB47ED" w:rsidRPr="00DF5C23">
        <w:rPr>
          <w:noProof/>
          <w:lang w:val="en-IE"/>
        </w:rPr>
        <w:t>2</w:t>
      </w:r>
      <w:r w:rsidR="008F54C8" w:rsidRPr="00DF5C23">
        <w:rPr>
          <w:noProof/>
          <w:lang w:val="en-IE"/>
        </w:rPr>
        <w:t>)</w:t>
      </w:r>
      <w:r w:rsidR="00C728A2" w:rsidRPr="00DF5C23">
        <w:rPr>
          <w:noProof/>
          <w:lang w:val="en-IE"/>
        </w:rPr>
        <w:t xml:space="preserve">, point </w:t>
      </w:r>
      <w:r w:rsidR="008F54C8" w:rsidRPr="00DF5C23">
        <w:rPr>
          <w:noProof/>
          <w:lang w:val="en-IE"/>
        </w:rPr>
        <w:t>(b)</w:t>
      </w:r>
      <w:r w:rsidR="005513EB" w:rsidRPr="00DF5C23">
        <w:rPr>
          <w:noProof/>
          <w:lang w:val="en-IE"/>
        </w:rPr>
        <w:t xml:space="preserve">, point (ii), as </w:t>
      </w:r>
      <w:r w:rsidR="003E7E96" w:rsidRPr="00DF5C23">
        <w:rPr>
          <w:noProof/>
          <w:lang w:val="en-IE"/>
        </w:rPr>
        <w:t>laid</w:t>
      </w:r>
      <w:r w:rsidR="005513EB" w:rsidRPr="00DF5C23">
        <w:rPr>
          <w:noProof/>
          <w:lang w:val="en-IE"/>
        </w:rPr>
        <w:t xml:space="preserve"> down in the delegated act </w:t>
      </w:r>
      <w:r w:rsidR="00850318" w:rsidRPr="00DF5C23">
        <w:rPr>
          <w:noProof/>
          <w:lang w:val="en-IE"/>
        </w:rPr>
        <w:t>adopted pursuant to Article 4</w:t>
      </w:r>
      <w:r w:rsidR="003059AE" w:rsidRPr="00DF5C23">
        <w:rPr>
          <w:noProof/>
          <w:lang w:val="en-IE" w:eastAsia="fr-BE"/>
        </w:rPr>
        <w:t>;</w:t>
      </w:r>
    </w:p>
    <w:p w14:paraId="2C3A5785" w14:textId="72DEA4A7" w:rsidR="00646885" w:rsidRPr="00DF5C23" w:rsidRDefault="004F5E59" w:rsidP="004F5E59">
      <w:pPr>
        <w:pStyle w:val="Point1"/>
        <w:rPr>
          <w:noProof/>
          <w:lang w:val="en-IE" w:eastAsia="fr-BE"/>
        </w:rPr>
      </w:pPr>
      <w:r w:rsidRPr="004F5E59">
        <w:t>(c)</w:t>
      </w:r>
      <w:r w:rsidRPr="004F5E59">
        <w:tab/>
      </w:r>
      <w:r w:rsidR="0681B866" w:rsidRPr="00DF5C23">
        <w:rPr>
          <w:noProof/>
          <w:lang w:val="en-IE" w:eastAsia="fr-BE"/>
        </w:rPr>
        <w:t xml:space="preserve">the manufacturer and the importer have complied with the requirements set out in Article </w:t>
      </w:r>
      <w:r w:rsidR="00E41BDB" w:rsidRPr="00DF5C23">
        <w:rPr>
          <w:noProof/>
          <w:lang w:val="en-IE" w:eastAsia="fr-BE"/>
        </w:rPr>
        <w:t>21</w:t>
      </w:r>
      <w:r w:rsidR="0681B866" w:rsidRPr="00DF5C23">
        <w:rPr>
          <w:noProof/>
          <w:lang w:val="en-IE" w:eastAsia="fr-BE"/>
        </w:rPr>
        <w:t xml:space="preserve">(5) and (6) and Article </w:t>
      </w:r>
      <w:r w:rsidR="00DB47ED" w:rsidRPr="00DF5C23">
        <w:rPr>
          <w:noProof/>
          <w:lang w:val="en-IE" w:eastAsia="fr-BE"/>
        </w:rPr>
        <w:t>2</w:t>
      </w:r>
      <w:r w:rsidR="00E41BDB" w:rsidRPr="00DF5C23">
        <w:rPr>
          <w:noProof/>
          <w:lang w:val="en-IE" w:eastAsia="fr-BE"/>
        </w:rPr>
        <w:t>3</w:t>
      </w:r>
      <w:r w:rsidR="0681B866" w:rsidRPr="00DF5C23">
        <w:rPr>
          <w:noProof/>
          <w:lang w:val="en-IE" w:eastAsia="fr-BE"/>
        </w:rPr>
        <w:t>(3).</w:t>
      </w:r>
    </w:p>
    <w:p w14:paraId="2C3A5786" w14:textId="0228D0CB" w:rsidR="005513EB" w:rsidRPr="00DF5C23" w:rsidRDefault="004F5E59" w:rsidP="004F5E59">
      <w:pPr>
        <w:pStyle w:val="ManualNumPar1"/>
        <w:rPr>
          <w:noProof/>
          <w:lang w:val="en-IE" w:eastAsia="fr-BE"/>
        </w:rPr>
      </w:pPr>
      <w:r w:rsidRPr="004F5E59">
        <w:t>3.</w:t>
      </w:r>
      <w:r w:rsidRPr="004F5E59">
        <w:tab/>
      </w:r>
      <w:r w:rsidR="00646885" w:rsidRPr="00DF5C23">
        <w:rPr>
          <w:noProof/>
          <w:lang w:val="en-IE" w:eastAsia="fr-BE"/>
        </w:rPr>
        <w:t>Where a distributor considers or has reason to believe that a product</w:t>
      </w:r>
      <w:r w:rsidR="005513EB" w:rsidRPr="00DF5C23">
        <w:rPr>
          <w:noProof/>
          <w:lang w:val="en-IE" w:eastAsia="fr-BE"/>
        </w:rPr>
        <w:t>, before making it available on the market,</w:t>
      </w:r>
      <w:r w:rsidR="006B62FF" w:rsidRPr="00DF5C23">
        <w:rPr>
          <w:noProof/>
          <w:lang w:val="en-IE" w:eastAsia="fr-BE"/>
        </w:rPr>
        <w:t xml:space="preserve"> or its manufacturer</w:t>
      </w:r>
      <w:r w:rsidR="00646885" w:rsidRPr="00DF5C23">
        <w:rPr>
          <w:noProof/>
          <w:lang w:val="en-IE" w:eastAsia="fr-BE"/>
        </w:rPr>
        <w:t xml:space="preserve"> is not </w:t>
      </w:r>
      <w:r w:rsidR="006B62FF" w:rsidRPr="00DF5C23">
        <w:rPr>
          <w:noProof/>
          <w:lang w:val="en-IE" w:eastAsia="fr-BE"/>
        </w:rPr>
        <w:t>complying</w:t>
      </w:r>
      <w:r w:rsidR="00646885" w:rsidRPr="00DF5C23">
        <w:rPr>
          <w:noProof/>
          <w:lang w:val="en-IE" w:eastAsia="fr-BE"/>
        </w:rPr>
        <w:t xml:space="preserve"> with the requirements set out in </w:t>
      </w:r>
      <w:r w:rsidR="005513EB" w:rsidRPr="00DF5C23">
        <w:rPr>
          <w:noProof/>
          <w:lang w:val="en-IE" w:eastAsia="fr-BE"/>
        </w:rPr>
        <w:t>a</w:t>
      </w:r>
      <w:r w:rsidR="00646885" w:rsidRPr="00DF5C23">
        <w:rPr>
          <w:noProof/>
          <w:lang w:val="en-IE" w:eastAsia="fr-BE"/>
        </w:rPr>
        <w:t xml:space="preserve"> </w:t>
      </w:r>
      <w:r w:rsidR="009634AF" w:rsidRPr="00DF5C23">
        <w:rPr>
          <w:noProof/>
          <w:lang w:val="en-IE" w:eastAsia="fr-BE"/>
        </w:rPr>
        <w:t>delegated act</w:t>
      </w:r>
      <w:r w:rsidR="005513EB" w:rsidRPr="00DF5C23">
        <w:rPr>
          <w:noProof/>
          <w:lang w:val="en-IE" w:eastAsia="fr-BE"/>
        </w:rPr>
        <w:t xml:space="preserve"> adopted pursuant to Article </w:t>
      </w:r>
      <w:r w:rsidR="003E7E96" w:rsidRPr="00DF5C23">
        <w:rPr>
          <w:noProof/>
          <w:lang w:val="en-IE" w:eastAsia="fr-BE"/>
        </w:rPr>
        <w:t>4</w:t>
      </w:r>
      <w:r w:rsidR="006B62FF" w:rsidRPr="00DF5C23">
        <w:rPr>
          <w:noProof/>
          <w:lang w:val="en-IE" w:eastAsia="fr-BE"/>
        </w:rPr>
        <w:t>,</w:t>
      </w:r>
      <w:r w:rsidR="00646885" w:rsidRPr="00DF5C23">
        <w:rPr>
          <w:noProof/>
          <w:lang w:val="en-IE" w:eastAsia="fr-BE"/>
        </w:rPr>
        <w:t xml:space="preserve"> </w:t>
      </w:r>
      <w:r w:rsidR="00A459E6" w:rsidRPr="00DF5C23">
        <w:rPr>
          <w:noProof/>
          <w:lang w:val="en-IE" w:eastAsia="fr-BE"/>
        </w:rPr>
        <w:t xml:space="preserve">they </w:t>
      </w:r>
      <w:r w:rsidR="00646885" w:rsidRPr="00DF5C23">
        <w:rPr>
          <w:noProof/>
          <w:lang w:val="en-IE" w:eastAsia="fr-BE"/>
        </w:rPr>
        <w:t xml:space="preserve">shall not make the product </w:t>
      </w:r>
      <w:r w:rsidR="001D67C2" w:rsidRPr="00DF5C23">
        <w:rPr>
          <w:noProof/>
          <w:lang w:val="en-IE" w:eastAsia="fr-BE"/>
        </w:rPr>
        <w:t>available on the market until the product</w:t>
      </w:r>
      <w:r w:rsidR="00646885" w:rsidRPr="00DF5C23">
        <w:rPr>
          <w:noProof/>
          <w:lang w:val="en-IE" w:eastAsia="fr-BE"/>
        </w:rPr>
        <w:t xml:space="preserve"> has been brought into conformity</w:t>
      </w:r>
      <w:r w:rsidR="001D67C2" w:rsidRPr="00DF5C23">
        <w:rPr>
          <w:noProof/>
          <w:lang w:val="en-IE" w:eastAsia="fr-BE"/>
        </w:rPr>
        <w:t xml:space="preserve"> or the manufacturer complies</w:t>
      </w:r>
      <w:r w:rsidR="00646885" w:rsidRPr="00DF5C23">
        <w:rPr>
          <w:noProof/>
          <w:lang w:val="en-IE" w:eastAsia="fr-BE"/>
        </w:rPr>
        <w:t xml:space="preserve">. </w:t>
      </w:r>
    </w:p>
    <w:p w14:paraId="2C3A5787" w14:textId="77777777" w:rsidR="00646885" w:rsidRPr="00DF5C23" w:rsidRDefault="00646885" w:rsidP="00EC0E40">
      <w:pPr>
        <w:pStyle w:val="Text1"/>
        <w:rPr>
          <w:noProof/>
          <w:lang w:val="en-IE" w:eastAsia="fr-BE"/>
        </w:rPr>
      </w:pPr>
      <w:r w:rsidRPr="00DF5C23">
        <w:rPr>
          <w:noProof/>
          <w:lang w:val="en-IE" w:eastAsia="fr-BE"/>
        </w:rPr>
        <w:t xml:space="preserve">Distributors shall ensure that, while a product is under their responsibility, storage or transport conditions do not jeopardise its compliance with the requirements set out in in the </w:t>
      </w:r>
      <w:r w:rsidR="009634AF" w:rsidRPr="00DF5C23">
        <w:rPr>
          <w:noProof/>
          <w:lang w:val="en-IE" w:eastAsia="fr-BE"/>
        </w:rPr>
        <w:t>delegated act</w:t>
      </w:r>
      <w:r w:rsidR="005513EB" w:rsidRPr="00DF5C23">
        <w:rPr>
          <w:noProof/>
          <w:lang w:val="en-IE" w:eastAsia="fr-BE"/>
        </w:rPr>
        <w:t xml:space="preserve"> adopted pursuant to Article </w:t>
      </w:r>
      <w:r w:rsidR="003E7E96" w:rsidRPr="00DF5C23">
        <w:rPr>
          <w:noProof/>
          <w:lang w:val="en-IE" w:eastAsia="fr-BE"/>
        </w:rPr>
        <w:t>4</w:t>
      </w:r>
      <w:r w:rsidRPr="00DF5C23">
        <w:rPr>
          <w:noProof/>
          <w:lang w:val="en-IE" w:eastAsia="fr-BE"/>
        </w:rPr>
        <w:t>.</w:t>
      </w:r>
    </w:p>
    <w:p w14:paraId="2C3A5788" w14:textId="4147FFB0"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 xml:space="preserve">Distributors who consider or have reason to believe that a product which they have made available on the market is not in conformity with the requirements set out in </w:t>
      </w:r>
      <w:r w:rsidR="005513EB" w:rsidRPr="00DF5C23">
        <w:rPr>
          <w:noProof/>
          <w:lang w:val="en-IE" w:eastAsia="fr-BE"/>
        </w:rPr>
        <w:t xml:space="preserve">a </w:t>
      </w:r>
      <w:r w:rsidR="0681B866" w:rsidRPr="00DF5C23">
        <w:rPr>
          <w:noProof/>
          <w:lang w:val="en-IE" w:eastAsia="fr-BE"/>
        </w:rPr>
        <w:t>delegated act</w:t>
      </w:r>
      <w:r w:rsidR="005513EB" w:rsidRPr="00DF5C23">
        <w:rPr>
          <w:noProof/>
          <w:lang w:val="en-IE" w:eastAsia="fr-BE"/>
        </w:rPr>
        <w:t xml:space="preserve"> adopted pursuant to Article </w:t>
      </w:r>
      <w:r w:rsidR="003E7E96" w:rsidRPr="00DF5C23">
        <w:rPr>
          <w:noProof/>
          <w:lang w:val="en-IE" w:eastAsia="fr-BE"/>
        </w:rPr>
        <w:t>4</w:t>
      </w:r>
      <w:r w:rsidR="0681B866" w:rsidRPr="00DF5C23">
        <w:rPr>
          <w:noProof/>
          <w:lang w:val="en-IE" w:eastAsia="fr-BE"/>
        </w:rPr>
        <w:t xml:space="preserve"> shall make sure that the corrective measures necessary to bring that product into conformity, to withdraw it or recall it, if appropriate, are taken. </w:t>
      </w:r>
    </w:p>
    <w:p w14:paraId="2C3A5789" w14:textId="77777777" w:rsidR="00E0492F" w:rsidRPr="00DF5C23" w:rsidRDefault="005513EB" w:rsidP="0681B866">
      <w:pPr>
        <w:pStyle w:val="Text1"/>
        <w:rPr>
          <w:noProof/>
          <w:lang w:val="en-IE" w:eastAsia="fr-BE"/>
        </w:rPr>
      </w:pPr>
      <w:r w:rsidRPr="00DF5C23">
        <w:rPr>
          <w:noProof/>
          <w:lang w:val="en-IE"/>
        </w:rPr>
        <w:t>Distributors</w:t>
      </w:r>
      <w:r w:rsidR="003972FC" w:rsidRPr="00DF5C23">
        <w:rPr>
          <w:noProof/>
          <w:lang w:val="en-IE"/>
        </w:rPr>
        <w:t xml:space="preserve"> shall immediately inform the market surveillance authorities of the Member States in which they made </w:t>
      </w:r>
      <w:r w:rsidR="006B51FF" w:rsidRPr="00DF5C23">
        <w:rPr>
          <w:noProof/>
          <w:lang w:val="en-IE"/>
        </w:rPr>
        <w:t xml:space="preserve">the </w:t>
      </w:r>
      <w:r w:rsidR="003972FC" w:rsidRPr="00DF5C23">
        <w:rPr>
          <w:noProof/>
          <w:lang w:val="en-IE"/>
        </w:rPr>
        <w:t xml:space="preserve">product available of the suspected non-compliance and of any corrective measures taken. </w:t>
      </w:r>
    </w:p>
    <w:p w14:paraId="2C3A578A" w14:textId="7D51AC32" w:rsidR="006612E5"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 xml:space="preserve">Distributors shall, further to a reasoned request from a competent national authority, provide </w:t>
      </w:r>
      <w:r w:rsidR="00D87AB9" w:rsidRPr="00DF5C23">
        <w:rPr>
          <w:noProof/>
          <w:lang w:eastAsia="fr-BE"/>
        </w:rPr>
        <w:t>the authority with all the information and documentation to which they have access and that is relevant</w:t>
      </w:r>
      <w:r w:rsidR="00D87AB9" w:rsidRPr="00DF5C23">
        <w:rPr>
          <w:noProof/>
          <w:lang w:val="en-IE" w:eastAsia="fr-BE"/>
        </w:rPr>
        <w:t xml:space="preserve"> </w:t>
      </w:r>
      <w:r w:rsidR="0681B866" w:rsidRPr="00DF5C23">
        <w:rPr>
          <w:noProof/>
          <w:lang w:val="en-IE" w:eastAsia="fr-BE"/>
        </w:rPr>
        <w:t xml:space="preserve">for demonstrating the conformity of a product. That information and documentation shall be provided in either paper or electronic form. </w:t>
      </w:r>
    </w:p>
    <w:p w14:paraId="2C3A578B" w14:textId="77777777" w:rsidR="00646885" w:rsidRPr="00DF5C23" w:rsidRDefault="005513EB" w:rsidP="0681B866">
      <w:pPr>
        <w:pStyle w:val="Text1"/>
        <w:rPr>
          <w:noProof/>
          <w:lang w:val="en-IE" w:eastAsia="fr-BE"/>
        </w:rPr>
      </w:pPr>
      <w:r w:rsidRPr="00DF5C23">
        <w:rPr>
          <w:noProof/>
          <w:lang w:val="en-IE"/>
        </w:rPr>
        <w:t>Distributors</w:t>
      </w:r>
      <w:r w:rsidR="0681B866" w:rsidRPr="00DF5C23">
        <w:rPr>
          <w:noProof/>
          <w:lang w:val="en-IE"/>
        </w:rPr>
        <w:t xml:space="preserve"> shall cooperate with that authority</w:t>
      </w:r>
      <w:r w:rsidRPr="00DF5C23">
        <w:rPr>
          <w:noProof/>
          <w:lang w:val="en-IE"/>
        </w:rPr>
        <w:t xml:space="preserve"> on any </w:t>
      </w:r>
      <w:r w:rsidR="0681B866" w:rsidRPr="00DF5C23">
        <w:rPr>
          <w:noProof/>
          <w:lang w:val="en-IE"/>
        </w:rPr>
        <w:t xml:space="preserve">corrective action taken to remedy any case of non-compliance with </w:t>
      </w:r>
      <w:r w:rsidRPr="00DF5C23">
        <w:rPr>
          <w:noProof/>
          <w:lang w:val="en-IE"/>
        </w:rPr>
        <w:t xml:space="preserve">a </w:t>
      </w:r>
      <w:r w:rsidR="0681B866" w:rsidRPr="00DF5C23">
        <w:rPr>
          <w:noProof/>
          <w:lang w:val="en-IE"/>
        </w:rPr>
        <w:t>delegated act</w:t>
      </w:r>
      <w:r w:rsidRPr="00DF5C23">
        <w:rPr>
          <w:noProof/>
          <w:lang w:val="en-IE"/>
        </w:rPr>
        <w:t xml:space="preserve"> </w:t>
      </w:r>
      <w:r w:rsidR="003E7E96" w:rsidRPr="00DF5C23">
        <w:rPr>
          <w:noProof/>
          <w:lang w:val="en-IE"/>
        </w:rPr>
        <w:t>adopted</w:t>
      </w:r>
      <w:r w:rsidRPr="00DF5C23">
        <w:rPr>
          <w:noProof/>
          <w:lang w:val="en-IE"/>
        </w:rPr>
        <w:t xml:space="preserve"> pursuant to Article </w:t>
      </w:r>
      <w:r w:rsidR="003E7E96" w:rsidRPr="00DF5C23">
        <w:rPr>
          <w:noProof/>
          <w:lang w:val="en-IE"/>
        </w:rPr>
        <w:t>4</w:t>
      </w:r>
      <w:r w:rsidRPr="00DF5C23">
        <w:rPr>
          <w:noProof/>
          <w:lang w:val="en-IE"/>
        </w:rPr>
        <w:t xml:space="preserve"> by which </w:t>
      </w:r>
      <w:r w:rsidR="0681B866" w:rsidRPr="00DF5C23">
        <w:rPr>
          <w:noProof/>
          <w:lang w:val="en-IE"/>
        </w:rPr>
        <w:t>the product in question</w:t>
      </w:r>
      <w:r w:rsidRPr="00DF5C23">
        <w:rPr>
          <w:noProof/>
          <w:lang w:val="en-IE"/>
        </w:rPr>
        <w:t xml:space="preserve"> is covered</w:t>
      </w:r>
      <w:r w:rsidR="0681B866" w:rsidRPr="00DF5C23">
        <w:rPr>
          <w:noProof/>
          <w:lang w:val="en-IE"/>
        </w:rPr>
        <w:t xml:space="preserve">. </w:t>
      </w:r>
    </w:p>
    <w:p w14:paraId="2C3A578C" w14:textId="77777777" w:rsidR="00B15B6E" w:rsidRPr="00DF5C23" w:rsidRDefault="0023632F"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2</w:t>
      </w:r>
      <w:r w:rsidR="001A4BE8" w:rsidRPr="00DF5C23">
        <w:rPr>
          <w:noProof/>
          <w:lang w:val="en-IE" w:eastAsia="fr-BE"/>
        </w:rPr>
        <w:t>5</w:t>
      </w:r>
      <w:r w:rsidRPr="00DF5C23">
        <w:rPr>
          <w:noProof/>
        </w:rPr>
        <w:br/>
      </w:r>
      <w:r w:rsidRPr="00DF5C23">
        <w:rPr>
          <w:noProof/>
          <w:lang w:val="en-IE" w:eastAsia="fr-BE"/>
        </w:rPr>
        <w:t xml:space="preserve">Obligations </w:t>
      </w:r>
      <w:r w:rsidR="00B15B6E" w:rsidRPr="00DF5C23">
        <w:rPr>
          <w:noProof/>
          <w:lang w:val="en-IE" w:eastAsia="fr-BE"/>
        </w:rPr>
        <w:t>of dealers</w:t>
      </w:r>
    </w:p>
    <w:p w14:paraId="2C3A578D" w14:textId="65D02614" w:rsidR="00B15B6E" w:rsidRPr="00DF5C23" w:rsidRDefault="004F5E59" w:rsidP="004F5E59">
      <w:pPr>
        <w:pStyle w:val="ManualNumPar1"/>
        <w:rPr>
          <w:noProof/>
          <w:lang w:val="en-IE"/>
        </w:rPr>
      </w:pPr>
      <w:r w:rsidRPr="004F5E59">
        <w:t>1.</w:t>
      </w:r>
      <w:r w:rsidRPr="004F5E59">
        <w:tab/>
      </w:r>
      <w:r w:rsidR="00B15B6E" w:rsidRPr="00DF5C23">
        <w:rPr>
          <w:noProof/>
          <w:lang w:val="en-IE" w:eastAsia="fr-BE"/>
        </w:rPr>
        <w:t xml:space="preserve">Dealers shall ensure that their customers </w:t>
      </w:r>
      <w:r w:rsidR="00B15B6E" w:rsidRPr="00DF5C23">
        <w:rPr>
          <w:noProof/>
        </w:rPr>
        <w:t xml:space="preserve">have access to any relevant information </w:t>
      </w:r>
      <w:r w:rsidR="00B15B6E" w:rsidRPr="00DF5C23">
        <w:rPr>
          <w:noProof/>
          <w:lang w:val="en-IE" w:eastAsia="fr-BE"/>
        </w:rPr>
        <w:t xml:space="preserve">required by the delegated acts </w:t>
      </w:r>
      <w:r w:rsidR="00850318" w:rsidRPr="00DF5C23">
        <w:rPr>
          <w:noProof/>
          <w:lang w:val="en-IE"/>
        </w:rPr>
        <w:t>adopted pursuant to Article 4</w:t>
      </w:r>
      <w:r w:rsidR="00B15B6E" w:rsidRPr="00DF5C23">
        <w:rPr>
          <w:noProof/>
          <w:lang w:val="en-IE"/>
        </w:rPr>
        <w:t xml:space="preserve">, </w:t>
      </w:r>
      <w:r w:rsidR="00B15B6E" w:rsidRPr="00DF5C23">
        <w:rPr>
          <w:noProof/>
        </w:rPr>
        <w:t>including in case of distance selling</w:t>
      </w:r>
      <w:r w:rsidR="00B15B6E" w:rsidRPr="00DF5C23">
        <w:rPr>
          <w:noProof/>
          <w:lang w:val="en-IE"/>
        </w:rPr>
        <w:t xml:space="preserve">. </w:t>
      </w:r>
    </w:p>
    <w:p w14:paraId="2C3A578E" w14:textId="3E55349C" w:rsidR="00B15B6E" w:rsidRPr="00DF5C23" w:rsidRDefault="004F5E59" w:rsidP="004F5E59">
      <w:pPr>
        <w:pStyle w:val="ManualNumPar1"/>
        <w:rPr>
          <w:noProof/>
        </w:rPr>
      </w:pPr>
      <w:r w:rsidRPr="004F5E59">
        <w:t>2.</w:t>
      </w:r>
      <w:r w:rsidRPr="004F5E59">
        <w:tab/>
      </w:r>
      <w:r w:rsidR="003E7E96" w:rsidRPr="00DF5C23">
        <w:rPr>
          <w:noProof/>
        </w:rPr>
        <w:t>D</w:t>
      </w:r>
      <w:r w:rsidR="00B15B6E" w:rsidRPr="00DF5C23">
        <w:rPr>
          <w:noProof/>
        </w:rPr>
        <w:t>ealers shall ensure that the product passport is easily accessible to customers, including in case of distance selling, as specified in</w:t>
      </w:r>
      <w:r w:rsidR="003E7E96" w:rsidRPr="00DF5C23">
        <w:rPr>
          <w:noProof/>
        </w:rPr>
        <w:t xml:space="preserve"> Article 8 and</w:t>
      </w:r>
      <w:r w:rsidR="00B15B6E" w:rsidRPr="00DF5C23">
        <w:rPr>
          <w:noProof/>
        </w:rPr>
        <w:t xml:space="preserve"> delegated act</w:t>
      </w:r>
      <w:r w:rsidR="003E7E96" w:rsidRPr="00DF5C23">
        <w:rPr>
          <w:noProof/>
        </w:rPr>
        <w:t>s</w:t>
      </w:r>
      <w:r w:rsidR="00B15B6E" w:rsidRPr="00DF5C23">
        <w:rPr>
          <w:noProof/>
        </w:rPr>
        <w:t xml:space="preserve"> </w:t>
      </w:r>
      <w:r w:rsidR="005513EB" w:rsidRPr="00DF5C23">
        <w:rPr>
          <w:noProof/>
        </w:rPr>
        <w:t xml:space="preserve">adopted </w:t>
      </w:r>
      <w:r w:rsidR="00B15B6E" w:rsidRPr="00DF5C23">
        <w:rPr>
          <w:noProof/>
        </w:rPr>
        <w:t xml:space="preserve">pursuant to </w:t>
      </w:r>
      <w:r w:rsidR="005513EB" w:rsidRPr="00DF5C23">
        <w:rPr>
          <w:noProof/>
        </w:rPr>
        <w:t xml:space="preserve">Article </w:t>
      </w:r>
      <w:r w:rsidR="003E7E96" w:rsidRPr="00DF5C23">
        <w:rPr>
          <w:noProof/>
        </w:rPr>
        <w:t>4</w:t>
      </w:r>
      <w:r w:rsidR="005513EB" w:rsidRPr="00DF5C23">
        <w:rPr>
          <w:noProof/>
        </w:rPr>
        <w:t>by which the product is covered</w:t>
      </w:r>
      <w:r w:rsidR="00B15B6E" w:rsidRPr="00DF5C23">
        <w:rPr>
          <w:noProof/>
        </w:rPr>
        <w:t xml:space="preserve">. </w:t>
      </w:r>
    </w:p>
    <w:p w14:paraId="2C3A578F" w14:textId="39279393" w:rsidR="00B15B6E" w:rsidRPr="00DF5C23" w:rsidRDefault="004F5E59" w:rsidP="004F5E59">
      <w:pPr>
        <w:pStyle w:val="ManualNumPar1"/>
        <w:rPr>
          <w:noProof/>
          <w:lang w:val="en-IE"/>
        </w:rPr>
      </w:pPr>
      <w:r w:rsidRPr="004F5E59">
        <w:t>3.</w:t>
      </w:r>
      <w:r w:rsidRPr="004F5E59">
        <w:tab/>
      </w:r>
      <w:r w:rsidR="003A4DBF" w:rsidRPr="00DF5C23">
        <w:rPr>
          <w:noProof/>
          <w:lang w:val="en-IE"/>
        </w:rPr>
        <w:t>D</w:t>
      </w:r>
      <w:r w:rsidR="00B15B6E" w:rsidRPr="00DF5C23">
        <w:rPr>
          <w:noProof/>
          <w:lang w:val="en-IE"/>
        </w:rPr>
        <w:t>ealers shall:</w:t>
      </w:r>
      <w:r w:rsidR="00B15B6E" w:rsidRPr="00DF5C23">
        <w:rPr>
          <w:noProof/>
        </w:rPr>
        <w:t xml:space="preserve"> </w:t>
      </w:r>
    </w:p>
    <w:p w14:paraId="2C3A5790" w14:textId="10160E19" w:rsidR="00B15B6E" w:rsidRPr="00DF5C23" w:rsidRDefault="004F5E59" w:rsidP="004F5E59">
      <w:pPr>
        <w:pStyle w:val="Point1"/>
        <w:rPr>
          <w:noProof/>
          <w:lang w:val="en-IE"/>
        </w:rPr>
      </w:pPr>
      <w:r w:rsidRPr="004F5E59">
        <w:t>(a)</w:t>
      </w:r>
      <w:r w:rsidRPr="004F5E59">
        <w:tab/>
      </w:r>
      <w:r w:rsidR="00B15B6E" w:rsidRPr="00DF5C23">
        <w:rPr>
          <w:noProof/>
          <w:lang w:val="en-IE"/>
        </w:rPr>
        <w:t>display to customers, in a visible manner, including for online distance selling, label</w:t>
      </w:r>
      <w:r w:rsidR="003A4DBF" w:rsidRPr="00DF5C23">
        <w:rPr>
          <w:noProof/>
          <w:lang w:val="en-IE"/>
        </w:rPr>
        <w:t>s</w:t>
      </w:r>
      <w:r w:rsidR="00B15B6E" w:rsidRPr="00DF5C23">
        <w:rPr>
          <w:noProof/>
          <w:lang w:val="en-IE"/>
        </w:rPr>
        <w:t xml:space="preserve"> provided in accordance with Article </w:t>
      </w:r>
      <w:r w:rsidR="003D10AC" w:rsidRPr="00DF5C23">
        <w:rPr>
          <w:noProof/>
          <w:lang w:val="en-IE"/>
        </w:rPr>
        <w:t>2</w:t>
      </w:r>
      <w:r w:rsidR="00E41BDB" w:rsidRPr="00DF5C23">
        <w:rPr>
          <w:noProof/>
          <w:lang w:val="en-IE"/>
        </w:rPr>
        <w:t>6</w:t>
      </w:r>
      <w:r w:rsidR="00B15B6E" w:rsidRPr="00DF5C23">
        <w:rPr>
          <w:noProof/>
          <w:lang w:val="en-IE"/>
        </w:rPr>
        <w:t>(2) or (3);</w:t>
      </w:r>
    </w:p>
    <w:p w14:paraId="2C3A5791" w14:textId="1DFD0E30" w:rsidR="00B15B6E" w:rsidRPr="00DF5C23" w:rsidRDefault="004F5E59" w:rsidP="004F5E59">
      <w:pPr>
        <w:pStyle w:val="Point1"/>
        <w:rPr>
          <w:noProof/>
          <w:lang w:val="en-IE"/>
        </w:rPr>
      </w:pPr>
      <w:r w:rsidRPr="004F5E59">
        <w:t>(b)</w:t>
      </w:r>
      <w:r w:rsidRPr="004F5E59">
        <w:tab/>
      </w:r>
      <w:r w:rsidR="00B15B6E" w:rsidRPr="00DF5C23">
        <w:rPr>
          <w:noProof/>
          <w:lang w:val="en-IE"/>
        </w:rPr>
        <w:t>make reference to the information included in label</w:t>
      </w:r>
      <w:r w:rsidR="003A4DBF" w:rsidRPr="00DF5C23">
        <w:rPr>
          <w:noProof/>
          <w:lang w:val="en-IE"/>
        </w:rPr>
        <w:t>s provided in accordance with Article 2</w:t>
      </w:r>
      <w:r w:rsidR="00E41BDB" w:rsidRPr="00DF5C23">
        <w:rPr>
          <w:noProof/>
          <w:lang w:val="en-IE"/>
        </w:rPr>
        <w:t>6</w:t>
      </w:r>
      <w:r w:rsidR="003A4DBF" w:rsidRPr="00DF5C23">
        <w:rPr>
          <w:noProof/>
          <w:lang w:val="en-IE"/>
        </w:rPr>
        <w:t>(2) or (3)</w:t>
      </w:r>
      <w:r w:rsidR="00B15B6E" w:rsidRPr="00DF5C23">
        <w:rPr>
          <w:noProof/>
          <w:lang w:val="en-IE"/>
        </w:rPr>
        <w:t xml:space="preserve"> in visual advertisements or </w:t>
      </w:r>
      <w:r w:rsidR="00654D12" w:rsidRPr="00DF5C23">
        <w:rPr>
          <w:noProof/>
        </w:rPr>
        <w:t xml:space="preserve">in </w:t>
      </w:r>
      <w:r w:rsidR="00B15B6E" w:rsidRPr="00DF5C23">
        <w:rPr>
          <w:noProof/>
          <w:lang w:val="en-IE"/>
        </w:rPr>
        <w:t>technical promotional material for a specific model</w:t>
      </w:r>
      <w:r w:rsidR="003A4DBF" w:rsidRPr="00DF5C23">
        <w:rPr>
          <w:noProof/>
          <w:lang w:val="en-IE"/>
        </w:rPr>
        <w:t>,</w:t>
      </w:r>
      <w:r w:rsidR="00B15B6E" w:rsidRPr="00DF5C23">
        <w:rPr>
          <w:noProof/>
          <w:lang w:val="en-IE"/>
        </w:rPr>
        <w:t xml:space="preserve"> in accordance with delegated act</w:t>
      </w:r>
      <w:r w:rsidR="003A4DBF" w:rsidRPr="00DF5C23">
        <w:rPr>
          <w:noProof/>
          <w:lang w:val="en-IE"/>
        </w:rPr>
        <w:t>s</w:t>
      </w:r>
      <w:r w:rsidR="00B15B6E" w:rsidRPr="00DF5C23">
        <w:rPr>
          <w:noProof/>
          <w:lang w:val="en-IE"/>
        </w:rPr>
        <w:t xml:space="preserve"> </w:t>
      </w:r>
      <w:r w:rsidR="004277E6" w:rsidRPr="00DF5C23">
        <w:rPr>
          <w:noProof/>
          <w:lang w:val="en-IE"/>
        </w:rPr>
        <w:t xml:space="preserve">adopted pursuant </w:t>
      </w:r>
      <w:r w:rsidR="00B15B6E" w:rsidRPr="00DF5C23">
        <w:rPr>
          <w:noProof/>
          <w:lang w:val="en-IE"/>
        </w:rPr>
        <w:t xml:space="preserve">to Article </w:t>
      </w:r>
      <w:r w:rsidR="003A4DBF" w:rsidRPr="00DF5C23">
        <w:rPr>
          <w:noProof/>
          <w:lang w:val="en-IE"/>
        </w:rPr>
        <w:t>4</w:t>
      </w:r>
      <w:r w:rsidR="004277E6" w:rsidRPr="00DF5C23">
        <w:rPr>
          <w:noProof/>
          <w:lang w:val="en-IE"/>
        </w:rPr>
        <w:t xml:space="preserve"> by which the product is covered</w:t>
      </w:r>
      <w:r w:rsidR="00B15B6E" w:rsidRPr="00DF5C23">
        <w:rPr>
          <w:noProof/>
          <w:lang w:val="en-IE"/>
        </w:rPr>
        <w:t>;</w:t>
      </w:r>
    </w:p>
    <w:p w14:paraId="2C3A5792" w14:textId="593694F3" w:rsidR="00B15B6E" w:rsidRPr="00DF5C23" w:rsidRDefault="004F5E59" w:rsidP="004F5E59">
      <w:pPr>
        <w:pStyle w:val="Point1"/>
        <w:rPr>
          <w:noProof/>
          <w:lang w:val="en-IE"/>
        </w:rPr>
      </w:pPr>
      <w:r w:rsidRPr="004F5E59">
        <w:t>(c)</w:t>
      </w:r>
      <w:r w:rsidRPr="004F5E59">
        <w:tab/>
      </w:r>
      <w:r w:rsidR="00B15B6E" w:rsidRPr="00DF5C23">
        <w:rPr>
          <w:noProof/>
          <w:lang w:val="en-IE"/>
        </w:rPr>
        <w:t xml:space="preserve">not provide or display other labels, marks, symbols or inscriptions </w:t>
      </w:r>
      <w:r w:rsidR="00654D12" w:rsidRPr="00DF5C23">
        <w:rPr>
          <w:noProof/>
        </w:rPr>
        <w:t xml:space="preserve">that </w:t>
      </w:r>
      <w:r w:rsidR="004277E6" w:rsidRPr="00DF5C23">
        <w:rPr>
          <w:noProof/>
        </w:rPr>
        <w:t xml:space="preserve">are likely to </w:t>
      </w:r>
      <w:r w:rsidR="00654D12" w:rsidRPr="00DF5C23">
        <w:rPr>
          <w:noProof/>
        </w:rPr>
        <w:t>mislead or confuse customers with respect to the information included on the label</w:t>
      </w:r>
      <w:r w:rsidR="00B15B6E" w:rsidRPr="00DF5C23">
        <w:rPr>
          <w:noProof/>
          <w:lang w:val="en-IE"/>
        </w:rPr>
        <w:t>.</w:t>
      </w:r>
    </w:p>
    <w:p w14:paraId="2C3A5793" w14:textId="77777777" w:rsidR="0023632F" w:rsidRPr="00DF5C23" w:rsidRDefault="0023632F" w:rsidP="0681B866">
      <w:pPr>
        <w:pStyle w:val="Titrearticle"/>
        <w:rPr>
          <w:noProof/>
          <w:lang w:val="en-IE"/>
        </w:rPr>
      </w:pPr>
      <w:r w:rsidRPr="00DF5C23">
        <w:rPr>
          <w:noProof/>
          <w:lang w:val="en-IE"/>
        </w:rPr>
        <w:t xml:space="preserve">Article </w:t>
      </w:r>
      <w:r w:rsidR="00A67799" w:rsidRPr="00DF5C23">
        <w:rPr>
          <w:noProof/>
          <w:lang w:val="en-IE"/>
        </w:rPr>
        <w:t>2</w:t>
      </w:r>
      <w:r w:rsidR="001A4BE8" w:rsidRPr="00DF5C23">
        <w:rPr>
          <w:noProof/>
          <w:lang w:val="en-IE"/>
        </w:rPr>
        <w:t>6</w:t>
      </w:r>
      <w:r w:rsidRPr="00DF5C23">
        <w:rPr>
          <w:noProof/>
        </w:rPr>
        <w:br/>
      </w:r>
      <w:r w:rsidRPr="00DF5C23">
        <w:rPr>
          <w:noProof/>
          <w:lang w:val="en-IE"/>
        </w:rPr>
        <w:t>Obligations related to labels</w:t>
      </w:r>
    </w:p>
    <w:p w14:paraId="2C3A5794" w14:textId="25340F2A" w:rsidR="0023632F" w:rsidRPr="00DF5C23" w:rsidRDefault="004F5E59" w:rsidP="004F5E59">
      <w:pPr>
        <w:pStyle w:val="ManualNumPar1"/>
        <w:rPr>
          <w:noProof/>
          <w:lang w:val="en-IE"/>
        </w:rPr>
      </w:pPr>
      <w:r w:rsidRPr="004F5E59">
        <w:t>1.</w:t>
      </w:r>
      <w:r w:rsidRPr="004F5E59">
        <w:tab/>
      </w:r>
      <w:r w:rsidR="00A704E3" w:rsidRPr="00DF5C23">
        <w:rPr>
          <w:noProof/>
          <w:lang w:val="en-IE"/>
        </w:rPr>
        <w:t xml:space="preserve">Where a delegated act adopted pursuant to Article </w:t>
      </w:r>
      <w:r w:rsidR="00A31862" w:rsidRPr="00DF5C23">
        <w:rPr>
          <w:noProof/>
          <w:lang w:val="en-IE"/>
        </w:rPr>
        <w:t>4</w:t>
      </w:r>
      <w:r w:rsidR="00A704E3" w:rsidRPr="00DF5C23">
        <w:rPr>
          <w:noProof/>
          <w:lang w:val="en-IE"/>
        </w:rPr>
        <w:t xml:space="preserve"> requires products to have a label as referred to in Article </w:t>
      </w:r>
      <w:r w:rsidR="008E1E48" w:rsidRPr="00DF5C23">
        <w:rPr>
          <w:noProof/>
          <w:lang w:val="en-IE"/>
        </w:rPr>
        <w:t>1</w:t>
      </w:r>
      <w:r w:rsidR="00A404BE" w:rsidRPr="00DF5C23">
        <w:rPr>
          <w:noProof/>
          <w:lang w:val="en-IE"/>
        </w:rPr>
        <w:t>4</w:t>
      </w:r>
      <w:r w:rsidR="00A704E3" w:rsidRPr="00DF5C23">
        <w:rPr>
          <w:noProof/>
          <w:lang w:val="en-IE"/>
        </w:rPr>
        <w:t>, t</w:t>
      </w:r>
      <w:r w:rsidR="0023632F" w:rsidRPr="00DF5C23">
        <w:rPr>
          <w:noProof/>
          <w:lang w:val="en-IE"/>
        </w:rPr>
        <w:t xml:space="preserve">he economic operator placing the product on the market </w:t>
      </w:r>
      <w:r w:rsidR="00E92991" w:rsidRPr="00DF5C23">
        <w:rPr>
          <w:noProof/>
          <w:lang w:val="en-IE"/>
        </w:rPr>
        <w:t xml:space="preserve">or putting </w:t>
      </w:r>
      <w:r w:rsidR="00983E72" w:rsidRPr="00DF5C23">
        <w:rPr>
          <w:noProof/>
          <w:lang w:val="en-IE"/>
        </w:rPr>
        <w:t xml:space="preserve">it </w:t>
      </w:r>
      <w:r w:rsidR="00E92991" w:rsidRPr="00DF5C23">
        <w:rPr>
          <w:noProof/>
          <w:lang w:val="en-IE"/>
        </w:rPr>
        <w:t>into service</w:t>
      </w:r>
      <w:r w:rsidR="0023632F" w:rsidRPr="00DF5C23">
        <w:rPr>
          <w:noProof/>
          <w:lang w:val="en-IE"/>
        </w:rPr>
        <w:t xml:space="preserve"> shall ensure that products are accompanied, for each individual </w:t>
      </w:r>
      <w:r w:rsidR="00654D12" w:rsidRPr="00DF5C23">
        <w:rPr>
          <w:noProof/>
        </w:rPr>
        <w:t xml:space="preserve">unit and free of charge, by printed labels in accordance with </w:t>
      </w:r>
      <w:r w:rsidR="00A704E3" w:rsidRPr="00DF5C23">
        <w:rPr>
          <w:noProof/>
        </w:rPr>
        <w:t>that</w:t>
      </w:r>
      <w:r w:rsidR="00654D12" w:rsidRPr="00DF5C23">
        <w:rPr>
          <w:noProof/>
        </w:rPr>
        <w:t xml:space="preserve"> delegated act</w:t>
      </w:r>
      <w:r w:rsidR="0023632F" w:rsidRPr="00DF5C23">
        <w:rPr>
          <w:noProof/>
          <w:lang w:val="en-IE"/>
        </w:rPr>
        <w:t>.</w:t>
      </w:r>
    </w:p>
    <w:p w14:paraId="2C3A5795" w14:textId="0B7BBDFB" w:rsidR="0023632F" w:rsidRPr="00DF5C23" w:rsidRDefault="004F5E59" w:rsidP="004F5E59">
      <w:pPr>
        <w:pStyle w:val="ManualNumPar1"/>
        <w:rPr>
          <w:noProof/>
          <w:lang w:val="en-IE"/>
        </w:rPr>
      </w:pPr>
      <w:r w:rsidRPr="004F5E59">
        <w:t>2.</w:t>
      </w:r>
      <w:r w:rsidRPr="004F5E59">
        <w:tab/>
      </w:r>
      <w:r w:rsidR="00A704E3" w:rsidRPr="00DF5C23">
        <w:rPr>
          <w:noProof/>
          <w:lang w:val="en-IE"/>
        </w:rPr>
        <w:t xml:space="preserve">Where a delegated act adopted pursuant to Article </w:t>
      </w:r>
      <w:r w:rsidR="00A31862" w:rsidRPr="00DF5C23">
        <w:rPr>
          <w:noProof/>
          <w:lang w:val="en-IE"/>
        </w:rPr>
        <w:t>4</w:t>
      </w:r>
      <w:r w:rsidR="00A704E3" w:rsidRPr="00DF5C23">
        <w:rPr>
          <w:noProof/>
          <w:lang w:val="en-IE"/>
        </w:rPr>
        <w:t xml:space="preserve"> requires products to have a label as referred to in Article </w:t>
      </w:r>
      <w:r w:rsidR="008E1E48" w:rsidRPr="00DF5C23">
        <w:rPr>
          <w:noProof/>
          <w:lang w:val="en-IE"/>
        </w:rPr>
        <w:t>1</w:t>
      </w:r>
      <w:r w:rsidR="00A404BE" w:rsidRPr="00DF5C23">
        <w:rPr>
          <w:noProof/>
          <w:lang w:val="en-IE"/>
        </w:rPr>
        <w:t>4</w:t>
      </w:r>
      <w:r w:rsidR="00A704E3" w:rsidRPr="00DF5C23">
        <w:rPr>
          <w:noProof/>
          <w:lang w:val="en-IE"/>
        </w:rPr>
        <w:t>, t</w:t>
      </w:r>
      <w:r w:rsidR="0023632F" w:rsidRPr="00DF5C23">
        <w:rPr>
          <w:noProof/>
          <w:lang w:val="en-IE"/>
        </w:rPr>
        <w:t xml:space="preserve">he economic operator placing the product on the market </w:t>
      </w:r>
      <w:r w:rsidR="00983E72" w:rsidRPr="00DF5C23">
        <w:rPr>
          <w:noProof/>
          <w:lang w:val="en-IE"/>
        </w:rPr>
        <w:t>or putting it into service</w:t>
      </w:r>
      <w:r w:rsidR="0023632F" w:rsidRPr="00DF5C23">
        <w:rPr>
          <w:noProof/>
          <w:lang w:val="en-IE"/>
        </w:rPr>
        <w:t xml:space="preserve"> shall deliver printed labels </w:t>
      </w:r>
      <w:r w:rsidR="00C605F7" w:rsidRPr="00DF5C23">
        <w:rPr>
          <w:noProof/>
          <w:lang w:val="en-IE"/>
        </w:rPr>
        <w:t xml:space="preserve">or </w:t>
      </w:r>
      <w:r w:rsidR="00C605F7" w:rsidRPr="00DF5C23">
        <w:rPr>
          <w:noProof/>
          <w:lang w:val="en-IE" w:eastAsia="fr-BE"/>
        </w:rPr>
        <w:t>digital copies of the label</w:t>
      </w:r>
      <w:r w:rsidR="0023632F" w:rsidRPr="00DF5C23">
        <w:rPr>
          <w:noProof/>
          <w:lang w:val="en-IE"/>
        </w:rPr>
        <w:t xml:space="preserve"> to the dealer free of charge, promptly and in any event within </w:t>
      </w:r>
      <w:r w:rsidR="00654D12" w:rsidRPr="00DF5C23">
        <w:rPr>
          <w:noProof/>
          <w:lang w:val="en-IE"/>
        </w:rPr>
        <w:t>5</w:t>
      </w:r>
      <w:r w:rsidR="0023632F" w:rsidRPr="00DF5C23">
        <w:rPr>
          <w:noProof/>
          <w:lang w:val="en-IE"/>
        </w:rPr>
        <w:t xml:space="preserve"> working days </w:t>
      </w:r>
      <w:r w:rsidR="00654D12" w:rsidRPr="00DF5C23">
        <w:rPr>
          <w:noProof/>
        </w:rPr>
        <w:t xml:space="preserve">of </w:t>
      </w:r>
      <w:r w:rsidR="0023632F" w:rsidRPr="00DF5C23">
        <w:rPr>
          <w:noProof/>
          <w:lang w:val="en-IE"/>
        </w:rPr>
        <w:t xml:space="preserve">the </w:t>
      </w:r>
      <w:r w:rsidR="00BC7914" w:rsidRPr="00DF5C23">
        <w:rPr>
          <w:noProof/>
          <w:lang w:val="en-IE"/>
        </w:rPr>
        <w:t>dealer</w:t>
      </w:r>
      <w:r w:rsidR="0023632F" w:rsidRPr="00DF5C23">
        <w:rPr>
          <w:noProof/>
          <w:lang w:val="en-IE"/>
        </w:rPr>
        <w:t>’s request.</w:t>
      </w:r>
    </w:p>
    <w:p w14:paraId="2C3A5796" w14:textId="15B63E2B" w:rsidR="0023632F" w:rsidRPr="00DF5C23" w:rsidRDefault="004F5E59" w:rsidP="004F5E59">
      <w:pPr>
        <w:pStyle w:val="ManualNumPar1"/>
        <w:rPr>
          <w:noProof/>
          <w:lang w:val="en-IE"/>
        </w:rPr>
      </w:pPr>
      <w:r w:rsidRPr="004F5E59">
        <w:t>3.</w:t>
      </w:r>
      <w:r w:rsidRPr="004F5E59">
        <w:tab/>
      </w:r>
      <w:r w:rsidR="00A704E3" w:rsidRPr="00DF5C23">
        <w:rPr>
          <w:noProof/>
          <w:lang w:val="en-IE"/>
        </w:rPr>
        <w:t xml:space="preserve">Where a delegated act adopted pursuant to Article </w:t>
      </w:r>
      <w:r w:rsidR="00A31862" w:rsidRPr="00DF5C23">
        <w:rPr>
          <w:noProof/>
          <w:lang w:val="en-IE"/>
        </w:rPr>
        <w:t>4</w:t>
      </w:r>
      <w:r w:rsidR="00A704E3" w:rsidRPr="00DF5C23">
        <w:rPr>
          <w:noProof/>
          <w:lang w:val="en-IE"/>
        </w:rPr>
        <w:t xml:space="preserve"> requires products to have a label as referred to in Article </w:t>
      </w:r>
      <w:r w:rsidR="008E1E48" w:rsidRPr="00DF5C23">
        <w:rPr>
          <w:noProof/>
          <w:lang w:val="en-IE"/>
        </w:rPr>
        <w:t>1</w:t>
      </w:r>
      <w:r w:rsidR="00A404BE" w:rsidRPr="00DF5C23">
        <w:rPr>
          <w:noProof/>
          <w:lang w:val="en-IE"/>
        </w:rPr>
        <w:t>4</w:t>
      </w:r>
      <w:r w:rsidR="00A704E3" w:rsidRPr="00DF5C23">
        <w:rPr>
          <w:noProof/>
          <w:lang w:val="en-IE"/>
        </w:rPr>
        <w:t>, t</w:t>
      </w:r>
      <w:r w:rsidR="0023632F" w:rsidRPr="00DF5C23">
        <w:rPr>
          <w:noProof/>
          <w:lang w:val="en-IE"/>
        </w:rPr>
        <w:t xml:space="preserve">he economic operator placing the product on the market </w:t>
      </w:r>
      <w:r w:rsidR="00983E72" w:rsidRPr="00DF5C23">
        <w:rPr>
          <w:noProof/>
          <w:lang w:val="en-IE"/>
        </w:rPr>
        <w:t>or putting it into service</w:t>
      </w:r>
      <w:r w:rsidR="0023632F" w:rsidRPr="00DF5C23">
        <w:rPr>
          <w:noProof/>
          <w:lang w:val="en-IE"/>
        </w:rPr>
        <w:t xml:space="preserve"> shall </w:t>
      </w:r>
      <w:r w:rsidR="00654D12" w:rsidRPr="00DF5C23">
        <w:rPr>
          <w:noProof/>
        </w:rPr>
        <w:t xml:space="preserve">ensure that its labels are accurate </w:t>
      </w:r>
      <w:r w:rsidR="0023632F" w:rsidRPr="00DF5C23">
        <w:rPr>
          <w:noProof/>
          <w:lang w:val="en-IE"/>
        </w:rPr>
        <w:t>and shall, as part of the applicable conformity assessment procedure, produce technical documentation sufficient to enable the accuracy to be assessed.</w:t>
      </w:r>
    </w:p>
    <w:p w14:paraId="2C3A5797" w14:textId="4BD06B6E" w:rsidR="0023632F" w:rsidRPr="00DF5C23" w:rsidRDefault="004F5E59" w:rsidP="004F5E59">
      <w:pPr>
        <w:pStyle w:val="ManualNumPar1"/>
        <w:rPr>
          <w:noProof/>
          <w:lang w:val="en-IE"/>
        </w:rPr>
      </w:pPr>
      <w:r w:rsidRPr="004F5E59">
        <w:t>4.</w:t>
      </w:r>
      <w:r w:rsidRPr="004F5E59">
        <w:tab/>
      </w:r>
      <w:r w:rsidR="00C2178B" w:rsidRPr="00DF5C23">
        <w:rPr>
          <w:noProof/>
          <w:lang w:val="en-IE"/>
        </w:rPr>
        <w:t xml:space="preserve">Where a delegated act adopted pursuant to Article </w:t>
      </w:r>
      <w:r w:rsidR="00A31862" w:rsidRPr="00DF5C23">
        <w:rPr>
          <w:noProof/>
          <w:lang w:val="en-IE"/>
        </w:rPr>
        <w:t>4</w:t>
      </w:r>
      <w:r w:rsidR="00C2178B" w:rsidRPr="00DF5C23">
        <w:rPr>
          <w:noProof/>
          <w:lang w:val="en-IE"/>
        </w:rPr>
        <w:t xml:space="preserve"> requires products to have a label as referred to in Article </w:t>
      </w:r>
      <w:r w:rsidR="008E1E48" w:rsidRPr="00DF5C23">
        <w:rPr>
          <w:noProof/>
          <w:lang w:val="en-IE"/>
        </w:rPr>
        <w:t>1</w:t>
      </w:r>
      <w:r w:rsidR="00A404BE" w:rsidRPr="00DF5C23">
        <w:rPr>
          <w:noProof/>
          <w:lang w:val="en-IE"/>
        </w:rPr>
        <w:t>4</w:t>
      </w:r>
      <w:r w:rsidR="00C2178B" w:rsidRPr="00DF5C23">
        <w:rPr>
          <w:noProof/>
          <w:lang w:val="en-IE"/>
        </w:rPr>
        <w:t>, t</w:t>
      </w:r>
      <w:r w:rsidR="0023632F" w:rsidRPr="00DF5C23">
        <w:rPr>
          <w:noProof/>
          <w:lang w:val="en-IE"/>
        </w:rPr>
        <w:t xml:space="preserve">he economic operator placing the product on the market </w:t>
      </w:r>
      <w:r w:rsidR="00983E72" w:rsidRPr="00DF5C23">
        <w:rPr>
          <w:noProof/>
          <w:lang w:val="en-IE"/>
        </w:rPr>
        <w:t xml:space="preserve">or putting it into service </w:t>
      </w:r>
      <w:r w:rsidR="0023632F" w:rsidRPr="00DF5C23">
        <w:rPr>
          <w:noProof/>
          <w:lang w:val="en-IE"/>
        </w:rPr>
        <w:t>shall:</w:t>
      </w:r>
    </w:p>
    <w:p w14:paraId="2C3A5798" w14:textId="0EE6EAF5" w:rsidR="0023632F" w:rsidRPr="00DF5C23" w:rsidRDefault="004F5E59" w:rsidP="004F5E59">
      <w:pPr>
        <w:pStyle w:val="Point1"/>
        <w:rPr>
          <w:noProof/>
          <w:lang w:val="en-IE"/>
        </w:rPr>
      </w:pPr>
      <w:r w:rsidRPr="004F5E59">
        <w:t>(a)</w:t>
      </w:r>
      <w:r w:rsidRPr="004F5E59">
        <w:tab/>
      </w:r>
      <w:r w:rsidR="0681B866" w:rsidRPr="00DF5C23">
        <w:rPr>
          <w:noProof/>
          <w:lang w:val="en-IE"/>
        </w:rPr>
        <w:t>make reference to the information included in the label, in visual advertisements or</w:t>
      </w:r>
      <w:r w:rsidR="00654D12" w:rsidRPr="00DF5C23">
        <w:rPr>
          <w:noProof/>
          <w:lang w:val="en-IE"/>
        </w:rPr>
        <w:t xml:space="preserve"> </w:t>
      </w:r>
      <w:r w:rsidR="00654D12" w:rsidRPr="00DF5C23">
        <w:rPr>
          <w:noProof/>
        </w:rPr>
        <w:t>in</w:t>
      </w:r>
      <w:r w:rsidR="0681B866" w:rsidRPr="00DF5C23">
        <w:rPr>
          <w:noProof/>
          <w:lang w:val="en-IE"/>
        </w:rPr>
        <w:t xml:space="preserve"> technical promotional material for a specific model in accordance with the relevant delegated act </w:t>
      </w:r>
      <w:r w:rsidR="00850318" w:rsidRPr="00DF5C23">
        <w:rPr>
          <w:noProof/>
          <w:lang w:val="en-IE"/>
        </w:rPr>
        <w:t>adopted pursuant to Article 4</w:t>
      </w:r>
      <w:r w:rsidR="0681B866" w:rsidRPr="00DF5C23">
        <w:rPr>
          <w:noProof/>
          <w:lang w:val="en-IE"/>
        </w:rPr>
        <w:t>;</w:t>
      </w:r>
    </w:p>
    <w:p w14:paraId="2C3A5799" w14:textId="7B5BE180" w:rsidR="0023632F" w:rsidRPr="00DF5C23" w:rsidRDefault="004F5E59" w:rsidP="004F5E59">
      <w:pPr>
        <w:pStyle w:val="Point1"/>
        <w:rPr>
          <w:noProof/>
          <w:lang w:val="en-IE"/>
        </w:rPr>
      </w:pPr>
      <w:r w:rsidRPr="004F5E59">
        <w:t>(b)</w:t>
      </w:r>
      <w:r w:rsidRPr="004F5E59">
        <w:tab/>
      </w:r>
      <w:r w:rsidR="0681B866" w:rsidRPr="00DF5C23">
        <w:rPr>
          <w:noProof/>
          <w:lang w:val="en-IE"/>
        </w:rPr>
        <w:t xml:space="preserve">not provide or display other labels, marks, symbols or inscriptions </w:t>
      </w:r>
      <w:r w:rsidR="00654D12" w:rsidRPr="00DF5C23">
        <w:rPr>
          <w:noProof/>
        </w:rPr>
        <w:t xml:space="preserve">that </w:t>
      </w:r>
      <w:r w:rsidR="00C2178B" w:rsidRPr="00DF5C23">
        <w:rPr>
          <w:noProof/>
        </w:rPr>
        <w:t xml:space="preserve">are likely to </w:t>
      </w:r>
      <w:r w:rsidR="00654D12" w:rsidRPr="00DF5C23">
        <w:rPr>
          <w:noProof/>
        </w:rPr>
        <w:t>mislead or confuse customers with respect to the information included on the label</w:t>
      </w:r>
      <w:r w:rsidR="0681B866" w:rsidRPr="00DF5C23">
        <w:rPr>
          <w:noProof/>
          <w:lang w:val="en-IE"/>
        </w:rPr>
        <w:t>.</w:t>
      </w:r>
    </w:p>
    <w:p w14:paraId="2C3A579A"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2</w:t>
      </w:r>
      <w:r w:rsidR="001A4BE8" w:rsidRPr="00DF5C23">
        <w:rPr>
          <w:noProof/>
          <w:lang w:val="en-IE" w:eastAsia="fr-BE"/>
        </w:rPr>
        <w:t>7</w:t>
      </w:r>
      <w:r w:rsidR="00014A6A" w:rsidRPr="00DF5C23">
        <w:rPr>
          <w:noProof/>
        </w:rPr>
        <w:br/>
      </w:r>
      <w:r w:rsidRPr="00DF5C23">
        <w:rPr>
          <w:noProof/>
          <w:lang w:val="en-IE" w:eastAsia="fr-BE"/>
        </w:rPr>
        <w:t>Obligations of fulfilment service providers</w:t>
      </w:r>
    </w:p>
    <w:p w14:paraId="2C3A579B" w14:textId="77777777" w:rsidR="00996542" w:rsidRPr="00DF5C23" w:rsidRDefault="23DF1179" w:rsidP="23DF1179">
      <w:pPr>
        <w:shd w:val="clear" w:color="auto" w:fill="FFFFFF" w:themeFill="background1"/>
        <w:spacing w:after="0" w:line="312" w:lineRule="atLeast"/>
        <w:rPr>
          <w:rFonts w:eastAsia="Times New Roman"/>
          <w:noProof/>
          <w:lang w:val="en-IE" w:eastAsia="fr-BE"/>
        </w:rPr>
      </w:pPr>
      <w:r w:rsidRPr="23DF1179">
        <w:rPr>
          <w:rFonts w:eastAsia="Times New Roman"/>
          <w:noProof/>
          <w:lang w:val="en-IE" w:eastAsia="fr-BE"/>
        </w:rPr>
        <w:t>Fulfilment service providers shall ensure that, for products that they handle that are covered by a delegated act adopted pursuant to Article 4, the conditions during warehousing, packaging, addressing or dispatching, do not jeopardise the products’ compliance with the requirements set out in that delegated act .</w:t>
      </w:r>
    </w:p>
    <w:p w14:paraId="2C3A579C"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2</w:t>
      </w:r>
      <w:r w:rsidR="001A4BE8" w:rsidRPr="00DF5C23">
        <w:rPr>
          <w:noProof/>
          <w:lang w:val="en-IE" w:eastAsia="fr-BE"/>
        </w:rPr>
        <w:t>8</w:t>
      </w:r>
      <w:r w:rsidR="00014A6A" w:rsidRPr="00DF5C23">
        <w:rPr>
          <w:noProof/>
        </w:rPr>
        <w:br/>
      </w:r>
      <w:r w:rsidRPr="00DF5C23">
        <w:rPr>
          <w:noProof/>
          <w:lang w:val="en-IE" w:eastAsia="fr-BE"/>
        </w:rPr>
        <w:t>Cases in which obligations of manufacturers apply to importers and distributors</w:t>
      </w:r>
    </w:p>
    <w:p w14:paraId="2C3A579D" w14:textId="77777777" w:rsidR="00646885" w:rsidRPr="00DF5C23" w:rsidRDefault="23DF1179" w:rsidP="23DF1179">
      <w:pPr>
        <w:shd w:val="clear" w:color="auto" w:fill="FFFFFF" w:themeFill="background1"/>
        <w:spacing w:after="0" w:line="312" w:lineRule="atLeast"/>
        <w:rPr>
          <w:rFonts w:eastAsia="Times New Roman"/>
          <w:noProof/>
          <w:lang w:val="en-IE" w:eastAsia="fr-BE"/>
        </w:rPr>
      </w:pPr>
      <w:r w:rsidRPr="23DF1179">
        <w:rPr>
          <w:rFonts w:eastAsia="Times New Roman"/>
          <w:noProof/>
          <w:lang w:val="en-IE" w:eastAsia="fr-BE"/>
        </w:rPr>
        <w:t>An importer or distributor shall be considered a manufacturer for the purposes of this Regulation and shall be subject to the obligations of a manufacturer under Article 21, where they:</w:t>
      </w:r>
    </w:p>
    <w:p w14:paraId="2C3A579E" w14:textId="58E2441D" w:rsidR="00646885" w:rsidRPr="00DF5C23" w:rsidRDefault="004F5E59" w:rsidP="004F5E59">
      <w:pPr>
        <w:pStyle w:val="Point0"/>
        <w:rPr>
          <w:noProof/>
          <w:lang w:val="en-IE" w:eastAsia="fr-BE"/>
        </w:rPr>
      </w:pPr>
      <w:r w:rsidRPr="004F5E59">
        <w:t>(1)</w:t>
      </w:r>
      <w:r w:rsidRPr="004F5E59">
        <w:tab/>
      </w:r>
      <w:r w:rsidR="0681B866" w:rsidRPr="00DF5C23">
        <w:rPr>
          <w:noProof/>
          <w:lang w:val="en-IE" w:eastAsia="fr-BE"/>
        </w:rPr>
        <w:t xml:space="preserve">place a product covered by a delegated act </w:t>
      </w:r>
      <w:r w:rsidR="00850318" w:rsidRPr="00DF5C23">
        <w:rPr>
          <w:noProof/>
          <w:lang w:val="en-IE" w:eastAsia="fr-BE"/>
        </w:rPr>
        <w:t>adopted pursuant to Article 4</w:t>
      </w:r>
      <w:r w:rsidR="00C728A2" w:rsidRPr="00DF5C23">
        <w:rPr>
          <w:noProof/>
          <w:lang w:val="en-IE" w:eastAsia="fr-BE"/>
        </w:rPr>
        <w:t xml:space="preserve"> </w:t>
      </w:r>
      <w:r w:rsidR="0681B866" w:rsidRPr="00DF5C23">
        <w:rPr>
          <w:noProof/>
          <w:lang w:val="en-IE" w:eastAsia="fr-BE"/>
        </w:rPr>
        <w:t xml:space="preserve">on the market under their name or trademark; </w:t>
      </w:r>
    </w:p>
    <w:p w14:paraId="2C3A579F" w14:textId="0EB88C12" w:rsidR="003A12BC" w:rsidRPr="00DF5C23" w:rsidRDefault="004F5E59" w:rsidP="004F5E59">
      <w:pPr>
        <w:pStyle w:val="Point0"/>
        <w:rPr>
          <w:noProof/>
          <w:lang w:val="en-IE" w:eastAsia="fr-BE"/>
        </w:rPr>
      </w:pPr>
      <w:r w:rsidRPr="004F5E59">
        <w:t>(2)</w:t>
      </w:r>
      <w:r w:rsidRPr="004F5E59">
        <w:tab/>
      </w:r>
      <w:r w:rsidR="0681B866" w:rsidRPr="00DF5C23">
        <w:rPr>
          <w:noProof/>
          <w:lang w:val="en-IE" w:eastAsia="fr-BE"/>
        </w:rPr>
        <w:t xml:space="preserve">modify such a product already placed on the market in a way that </w:t>
      </w:r>
      <w:r w:rsidR="006B6792" w:rsidRPr="00DF5C23">
        <w:rPr>
          <w:noProof/>
          <w:lang w:val="en-IE" w:eastAsia="fr-BE"/>
        </w:rPr>
        <w:t xml:space="preserve">affects </w:t>
      </w:r>
      <w:r w:rsidR="0681B866" w:rsidRPr="00DF5C23">
        <w:rPr>
          <w:noProof/>
          <w:lang w:val="en-IE" w:eastAsia="fr-BE"/>
        </w:rPr>
        <w:t xml:space="preserve">compliance with the requirements </w:t>
      </w:r>
      <w:r w:rsidR="006B6792" w:rsidRPr="00DF5C23">
        <w:rPr>
          <w:noProof/>
          <w:lang w:val="en-IE" w:eastAsia="fr-BE"/>
        </w:rPr>
        <w:t>set out in delegated act</w:t>
      </w:r>
      <w:r w:rsidR="003A4DBF" w:rsidRPr="00DF5C23">
        <w:rPr>
          <w:noProof/>
          <w:lang w:val="en-IE" w:eastAsia="fr-BE"/>
        </w:rPr>
        <w:t>s</w:t>
      </w:r>
      <w:r w:rsidR="006B6792" w:rsidRPr="00DF5C23">
        <w:rPr>
          <w:noProof/>
          <w:lang w:val="en-IE" w:eastAsia="fr-BE"/>
        </w:rPr>
        <w:t xml:space="preserve"> adopted pursuant to Article </w:t>
      </w:r>
      <w:r w:rsidR="00A404BE" w:rsidRPr="00DF5C23">
        <w:rPr>
          <w:noProof/>
          <w:lang w:val="en-IE" w:eastAsia="fr-BE"/>
        </w:rPr>
        <w:t>4</w:t>
      </w:r>
      <w:r w:rsidR="006B6792" w:rsidRPr="00DF5C23">
        <w:rPr>
          <w:noProof/>
          <w:lang w:val="en-IE" w:eastAsia="fr-BE"/>
        </w:rPr>
        <w:t xml:space="preserve"> by which the product is covered</w:t>
      </w:r>
      <w:r w:rsidR="0681B866" w:rsidRPr="00DF5C23">
        <w:rPr>
          <w:noProof/>
          <w:lang w:val="en-IE" w:eastAsia="fr-BE"/>
        </w:rPr>
        <w:t xml:space="preserve">. </w:t>
      </w:r>
    </w:p>
    <w:p w14:paraId="2C3A57A0" w14:textId="77777777" w:rsidR="008077E6" w:rsidRPr="00DF5C23" w:rsidRDefault="008077E6" w:rsidP="0681B866">
      <w:pPr>
        <w:pStyle w:val="Titrearticle"/>
        <w:rPr>
          <w:noProof/>
          <w:lang w:val="en-IE" w:eastAsia="fr-BE"/>
        </w:rPr>
      </w:pPr>
      <w:r w:rsidRPr="00DF5C23">
        <w:rPr>
          <w:noProof/>
          <w:lang w:val="en-IE" w:eastAsia="fr-BE"/>
        </w:rPr>
        <w:t xml:space="preserve">Article </w:t>
      </w:r>
      <w:r w:rsidR="001F4F14" w:rsidRPr="00DF5C23">
        <w:rPr>
          <w:noProof/>
          <w:lang w:val="en-IE" w:eastAsia="fr-BE"/>
        </w:rPr>
        <w:t>2</w:t>
      </w:r>
      <w:r w:rsidR="001A4BE8" w:rsidRPr="00DF5C23">
        <w:rPr>
          <w:noProof/>
          <w:lang w:val="en-IE" w:eastAsia="fr-BE"/>
        </w:rPr>
        <w:t>9</w:t>
      </w:r>
      <w:r w:rsidRPr="00DF5C23">
        <w:rPr>
          <w:noProof/>
        </w:rPr>
        <w:br/>
      </w:r>
      <w:r w:rsidRPr="00DF5C23">
        <w:rPr>
          <w:noProof/>
          <w:lang w:val="en-IE" w:eastAsia="fr-BE"/>
        </w:rPr>
        <w:t>Obligations of online marketplaces</w:t>
      </w:r>
      <w:r w:rsidR="003A12BC" w:rsidRPr="00DF5C23">
        <w:rPr>
          <w:noProof/>
          <w:lang w:val="en-IE" w:eastAsia="fr-BE"/>
        </w:rPr>
        <w:t xml:space="preserve"> and online </w:t>
      </w:r>
      <w:r w:rsidR="00B708F3" w:rsidRPr="00DF5C23">
        <w:rPr>
          <w:noProof/>
          <w:lang w:val="en-IE" w:eastAsia="fr-BE"/>
        </w:rPr>
        <w:t xml:space="preserve">search </w:t>
      </w:r>
      <w:r w:rsidR="003A12BC" w:rsidRPr="00DF5C23">
        <w:rPr>
          <w:noProof/>
          <w:lang w:val="en-IE" w:eastAsia="fr-BE"/>
        </w:rPr>
        <w:t>engines</w:t>
      </w:r>
    </w:p>
    <w:p w14:paraId="2C3A57A1" w14:textId="30999366" w:rsidR="008077E6" w:rsidRPr="00DF5C23" w:rsidRDefault="004F5E59" w:rsidP="004F5E59">
      <w:pPr>
        <w:pStyle w:val="ManualNumPar1"/>
        <w:rPr>
          <w:noProof/>
          <w:lang w:val="en-IE"/>
        </w:rPr>
      </w:pPr>
      <w:r w:rsidRPr="004F5E59">
        <w:t>1.</w:t>
      </w:r>
      <w:r w:rsidRPr="004F5E59">
        <w:tab/>
      </w:r>
      <w:r w:rsidR="00FE6CEC" w:rsidRPr="00DF5C23">
        <w:rPr>
          <w:noProof/>
          <w:lang w:val="en-IE"/>
        </w:rPr>
        <w:t>The cooperation referred to in Article 7(2) of Regulation (EU) 2019/1020 shall,</w:t>
      </w:r>
      <w:r w:rsidR="00140C2C" w:rsidRPr="00DF5C23">
        <w:rPr>
          <w:noProof/>
          <w:lang w:val="en-IE"/>
        </w:rPr>
        <w:t xml:space="preserve"> with regard to online marketplaces and</w:t>
      </w:r>
      <w:r w:rsidR="00FE6CEC" w:rsidRPr="00DF5C23">
        <w:rPr>
          <w:noProof/>
          <w:lang w:val="en-IE"/>
        </w:rPr>
        <w:t xml:space="preserve"> for the purposes of this Regulation, include </w:t>
      </w:r>
      <w:r w:rsidR="008077E6" w:rsidRPr="00DF5C23">
        <w:rPr>
          <w:noProof/>
          <w:lang w:val="en-IE"/>
        </w:rPr>
        <w:t xml:space="preserve">in particular: </w:t>
      </w:r>
    </w:p>
    <w:p w14:paraId="2C3A57A2" w14:textId="0428E9AF" w:rsidR="008077E6" w:rsidRPr="00DF5C23" w:rsidRDefault="004F5E59" w:rsidP="004F5E59">
      <w:pPr>
        <w:pStyle w:val="Point1"/>
        <w:rPr>
          <w:noProof/>
          <w:lang w:val="en-IE" w:eastAsia="fr-BE"/>
        </w:rPr>
      </w:pPr>
      <w:r w:rsidRPr="004F5E59">
        <w:t>(a)</w:t>
      </w:r>
      <w:r w:rsidRPr="004F5E59">
        <w:tab/>
      </w:r>
      <w:r w:rsidR="008077E6" w:rsidRPr="00DF5C23">
        <w:rPr>
          <w:noProof/>
        </w:rPr>
        <w:t xml:space="preserve">cooperating to ensure effective market surveillance measures, including by abstaining from putting </w:t>
      </w:r>
      <w:r w:rsidR="00654D12" w:rsidRPr="00DF5C23">
        <w:rPr>
          <w:noProof/>
        </w:rPr>
        <w:t xml:space="preserve">in place </w:t>
      </w:r>
      <w:r w:rsidR="008077E6" w:rsidRPr="00DF5C23">
        <w:rPr>
          <w:noProof/>
        </w:rPr>
        <w:t xml:space="preserve">obstacles to such measures; </w:t>
      </w:r>
    </w:p>
    <w:p w14:paraId="2C3A57A3" w14:textId="644D4A51" w:rsidR="008077E6" w:rsidRPr="00DF5C23" w:rsidRDefault="004F5E59" w:rsidP="004F5E59">
      <w:pPr>
        <w:pStyle w:val="Point1"/>
        <w:rPr>
          <w:noProof/>
        </w:rPr>
      </w:pPr>
      <w:r w:rsidRPr="004F5E59">
        <w:t>(b)</w:t>
      </w:r>
      <w:r w:rsidRPr="004F5E59">
        <w:tab/>
      </w:r>
      <w:r w:rsidR="008077E6" w:rsidRPr="00DF5C23">
        <w:rPr>
          <w:noProof/>
        </w:rPr>
        <w:t xml:space="preserve">informing the market surveillance authorities of any action taken; </w:t>
      </w:r>
    </w:p>
    <w:p w14:paraId="2C3A57A4" w14:textId="35A05E45" w:rsidR="008077E6" w:rsidRPr="00DF5C23" w:rsidRDefault="004F5E59" w:rsidP="004F5E59">
      <w:pPr>
        <w:pStyle w:val="Point1"/>
        <w:rPr>
          <w:noProof/>
        </w:rPr>
      </w:pPr>
      <w:r w:rsidRPr="004F5E59">
        <w:t>(c)</w:t>
      </w:r>
      <w:r w:rsidRPr="004F5E59">
        <w:tab/>
      </w:r>
      <w:r w:rsidR="00140C2C" w:rsidRPr="00DF5C23">
        <w:rPr>
          <w:noProof/>
        </w:rPr>
        <w:t>establishing a</w:t>
      </w:r>
      <w:r w:rsidR="00654D12" w:rsidRPr="00DF5C23">
        <w:rPr>
          <w:noProof/>
        </w:rPr>
        <w:t xml:space="preserve"> </w:t>
      </w:r>
      <w:r w:rsidR="008077E6" w:rsidRPr="00DF5C23">
        <w:rPr>
          <w:noProof/>
        </w:rPr>
        <w:t xml:space="preserve">regular and structured exchange of information on offers that have been removed on the basis of this Article by online marketplaces; </w:t>
      </w:r>
    </w:p>
    <w:p w14:paraId="2C3A57A5" w14:textId="3C842C32" w:rsidR="008077E6" w:rsidRPr="00DF5C23" w:rsidRDefault="004F5E59" w:rsidP="004F5E59">
      <w:pPr>
        <w:pStyle w:val="Point1"/>
        <w:rPr>
          <w:noProof/>
        </w:rPr>
      </w:pPr>
      <w:r w:rsidRPr="004F5E59">
        <w:t>(d)</w:t>
      </w:r>
      <w:r w:rsidRPr="004F5E59">
        <w:tab/>
      </w:r>
      <w:r w:rsidR="00654D12" w:rsidRPr="00DF5C23">
        <w:rPr>
          <w:noProof/>
        </w:rPr>
        <w:t>allowing online tools operated by market surveillance authorities to access their interfaces in order</w:t>
      </w:r>
      <w:r w:rsidR="008077E6" w:rsidRPr="00DF5C23">
        <w:rPr>
          <w:noProof/>
        </w:rPr>
        <w:t xml:space="preserve"> to identify non-compliant products; </w:t>
      </w:r>
    </w:p>
    <w:p w14:paraId="2C3A57A6" w14:textId="3692E5BC" w:rsidR="008077E6" w:rsidRPr="00DF5C23" w:rsidRDefault="004F5E59" w:rsidP="004F5E59">
      <w:pPr>
        <w:pStyle w:val="Point1"/>
        <w:rPr>
          <w:noProof/>
        </w:rPr>
      </w:pPr>
      <w:r w:rsidRPr="004F5E59">
        <w:t>(e)</w:t>
      </w:r>
      <w:r w:rsidRPr="004F5E59">
        <w:tab/>
      </w:r>
      <w:r w:rsidR="008077E6" w:rsidRPr="00DF5C23">
        <w:rPr>
          <w:noProof/>
        </w:rPr>
        <w:t xml:space="preserve">upon request of the market surveillance authorities, when online marketplaces or online sellers have put in place technical obstacles to the extraction of data from their online interfaces, allowing </w:t>
      </w:r>
      <w:r w:rsidR="00140C2C" w:rsidRPr="00DF5C23">
        <w:rPr>
          <w:noProof/>
        </w:rPr>
        <w:t xml:space="preserve">those authorities </w:t>
      </w:r>
      <w:r w:rsidR="008077E6" w:rsidRPr="00DF5C23">
        <w:rPr>
          <w:noProof/>
        </w:rPr>
        <w:t>to scrape such data for product compliance purposes based on the identification parameters provided by the requesting market surveillance authorities.</w:t>
      </w:r>
    </w:p>
    <w:p w14:paraId="2C3A57A7" w14:textId="2DC3409F" w:rsidR="00BD3FA6" w:rsidRPr="00DF5C23" w:rsidRDefault="004F5E59" w:rsidP="004F5E59">
      <w:pPr>
        <w:pStyle w:val="ManualNumPar1"/>
        <w:rPr>
          <w:rFonts w:eastAsia="Times New Roman"/>
          <w:noProof/>
          <w:lang w:val="en-IE" w:eastAsia="fr-BE"/>
        </w:rPr>
      </w:pPr>
      <w:r w:rsidRPr="004F5E59">
        <w:t>2.</w:t>
      </w:r>
      <w:r w:rsidRPr="004F5E59">
        <w:tab/>
      </w:r>
      <w:r w:rsidR="00BD3FA6" w:rsidRPr="00DF5C23">
        <w:rPr>
          <w:noProof/>
        </w:rPr>
        <w:t xml:space="preserve">For the purpose of the requirements of </w:t>
      </w:r>
      <w:r w:rsidR="00550CDA" w:rsidRPr="00DF5C23">
        <w:rPr>
          <w:noProof/>
        </w:rPr>
        <w:t>[</w:t>
      </w:r>
      <w:r w:rsidR="00BD3FA6" w:rsidRPr="00DF5C23">
        <w:rPr>
          <w:noProof/>
        </w:rPr>
        <w:t>Article 22(7)</w:t>
      </w:r>
      <w:r w:rsidR="00550CDA" w:rsidRPr="00DF5C23">
        <w:rPr>
          <w:noProof/>
        </w:rPr>
        <w:t>]</w:t>
      </w:r>
      <w:r w:rsidR="00BD3FA6" w:rsidRPr="00DF5C23">
        <w:rPr>
          <w:noProof/>
        </w:rPr>
        <w:t xml:space="preserve"> of Regulation (EU) …/…</w:t>
      </w:r>
      <w:r w:rsidR="00140C2C" w:rsidRPr="00DF5C23">
        <w:rPr>
          <w:noProof/>
        </w:rPr>
        <w:t xml:space="preserve"> [the Digital Services Act]</w:t>
      </w:r>
      <w:r w:rsidR="00BD3FA6" w:rsidRPr="00DF5C23">
        <w:rPr>
          <w:noProof/>
        </w:rPr>
        <w:t xml:space="preserve">, online marketplaces shall design and organise their online interface in a way that enables </w:t>
      </w:r>
      <w:r w:rsidR="00061F2C" w:rsidRPr="00DF5C23">
        <w:rPr>
          <w:noProof/>
        </w:rPr>
        <w:t>dealers</w:t>
      </w:r>
      <w:r w:rsidR="00BD3FA6" w:rsidRPr="00DF5C23">
        <w:rPr>
          <w:noProof/>
        </w:rPr>
        <w:t xml:space="preserve"> to</w:t>
      </w:r>
      <w:r w:rsidR="00061F2C" w:rsidRPr="00DF5C23">
        <w:rPr>
          <w:noProof/>
        </w:rPr>
        <w:t xml:space="preserve"> fulfil their obligations </w:t>
      </w:r>
      <w:r w:rsidR="00DE7857" w:rsidRPr="00DF5C23">
        <w:rPr>
          <w:noProof/>
        </w:rPr>
        <w:t xml:space="preserve">set out in Article </w:t>
      </w:r>
      <w:r w:rsidR="000216B5" w:rsidRPr="00DF5C23">
        <w:rPr>
          <w:noProof/>
        </w:rPr>
        <w:t>2</w:t>
      </w:r>
      <w:r w:rsidR="00A404BE" w:rsidRPr="00DF5C23">
        <w:rPr>
          <w:noProof/>
        </w:rPr>
        <w:t>5</w:t>
      </w:r>
      <w:r w:rsidR="000216B5" w:rsidRPr="00DF5C23">
        <w:rPr>
          <w:noProof/>
        </w:rPr>
        <w:t xml:space="preserve"> </w:t>
      </w:r>
      <w:r w:rsidR="00003FAC" w:rsidRPr="00DF5C23">
        <w:rPr>
          <w:noProof/>
        </w:rPr>
        <w:t xml:space="preserve">and </w:t>
      </w:r>
      <w:r w:rsidR="00654D12" w:rsidRPr="00DF5C23">
        <w:rPr>
          <w:noProof/>
        </w:rPr>
        <w:t xml:space="preserve">allows economic operators to fulfil their obligations </w:t>
      </w:r>
      <w:r w:rsidR="006F4675" w:rsidRPr="00DF5C23">
        <w:rPr>
          <w:noProof/>
        </w:rPr>
        <w:t xml:space="preserve">under Article </w:t>
      </w:r>
      <w:r w:rsidR="00A404BE" w:rsidRPr="00DF5C23">
        <w:rPr>
          <w:noProof/>
        </w:rPr>
        <w:t>30</w:t>
      </w:r>
      <w:r w:rsidR="006F4675" w:rsidRPr="00DF5C23">
        <w:rPr>
          <w:noProof/>
        </w:rPr>
        <w:t>(</w:t>
      </w:r>
      <w:r w:rsidR="00803F97" w:rsidRPr="00DF5C23">
        <w:rPr>
          <w:noProof/>
        </w:rPr>
        <w:t>1</w:t>
      </w:r>
      <w:r w:rsidR="006F4675" w:rsidRPr="00DF5C23">
        <w:rPr>
          <w:noProof/>
        </w:rPr>
        <w:t>) of this Regulation.</w:t>
      </w:r>
    </w:p>
    <w:p w14:paraId="2C3A57A8" w14:textId="77777777" w:rsidR="00792BB6" w:rsidRPr="00DF5C23" w:rsidRDefault="00003FAC" w:rsidP="00255F48">
      <w:pPr>
        <w:pStyle w:val="Text1"/>
        <w:rPr>
          <w:noProof/>
        </w:rPr>
      </w:pPr>
      <w:r w:rsidRPr="00DF5C23">
        <w:rPr>
          <w:noProof/>
          <w:lang w:val="en-IE" w:eastAsia="fr-BE"/>
        </w:rPr>
        <w:t xml:space="preserve">The information shall be able to be provided for each product offered and displayed or otherwise made easily accessible by </w:t>
      </w:r>
      <w:r w:rsidR="00C065B3" w:rsidRPr="00DF5C23">
        <w:rPr>
          <w:noProof/>
          <w:lang w:val="en-IE" w:eastAsia="fr-BE"/>
        </w:rPr>
        <w:t xml:space="preserve">customers </w:t>
      </w:r>
      <w:r w:rsidRPr="00DF5C23">
        <w:rPr>
          <w:noProof/>
          <w:lang w:val="en-IE" w:eastAsia="fr-BE"/>
        </w:rPr>
        <w:t>on the product listing.</w:t>
      </w:r>
      <w:r w:rsidR="00792BB6" w:rsidRPr="00DF5C23">
        <w:rPr>
          <w:noProof/>
        </w:rPr>
        <w:t xml:space="preserve"> </w:t>
      </w:r>
    </w:p>
    <w:p w14:paraId="2C3A57A9" w14:textId="77777777" w:rsidR="00003FAC" w:rsidRPr="00DF5C23" w:rsidRDefault="00792BB6" w:rsidP="00863F05">
      <w:pPr>
        <w:pStyle w:val="Text1"/>
        <w:rPr>
          <w:noProof/>
        </w:rPr>
      </w:pPr>
      <w:r w:rsidRPr="00DF5C23">
        <w:rPr>
          <w:noProof/>
        </w:rPr>
        <w:t xml:space="preserve">In particular, where </w:t>
      </w:r>
      <w:r w:rsidRPr="00DF5C23">
        <w:rPr>
          <w:noProof/>
          <w:lang w:val="en-IE" w:eastAsia="fr-BE"/>
        </w:rPr>
        <w:t xml:space="preserve">delegated acts </w:t>
      </w:r>
      <w:r w:rsidR="00850318" w:rsidRPr="00DF5C23">
        <w:rPr>
          <w:noProof/>
          <w:lang w:val="en-IE" w:eastAsia="fr-BE"/>
        </w:rPr>
        <w:t>adopted pursuant to Article 4</w:t>
      </w:r>
      <w:r w:rsidRPr="00DF5C23">
        <w:rPr>
          <w:noProof/>
          <w:lang w:val="en-IE" w:eastAsia="fr-BE"/>
        </w:rPr>
        <w:t xml:space="preserve"> </w:t>
      </w:r>
      <w:r w:rsidRPr="00DF5C23">
        <w:rPr>
          <w:noProof/>
        </w:rPr>
        <w:t xml:space="preserve">require online visual </w:t>
      </w:r>
      <w:r w:rsidR="00654D12" w:rsidRPr="00DF5C23">
        <w:rPr>
          <w:noProof/>
        </w:rPr>
        <w:t xml:space="preserve">advertising </w:t>
      </w:r>
      <w:r w:rsidRPr="00DF5C23">
        <w:rPr>
          <w:noProof/>
        </w:rPr>
        <w:t xml:space="preserve">for certain products to be accompanied by online electronic information to be displayed on the display mechanism, online marketplaces shall enable </w:t>
      </w:r>
      <w:r w:rsidR="00654D12" w:rsidRPr="00DF5C23">
        <w:rPr>
          <w:noProof/>
        </w:rPr>
        <w:t xml:space="preserve">dealers to show </w:t>
      </w:r>
      <w:r w:rsidR="00863F05" w:rsidRPr="00DF5C23">
        <w:rPr>
          <w:noProof/>
        </w:rPr>
        <w:t>it</w:t>
      </w:r>
      <w:r w:rsidR="00654D12" w:rsidRPr="00DF5C23">
        <w:rPr>
          <w:noProof/>
        </w:rPr>
        <w:t>. This obligation shall also apply to online search engines and other online platforms that provide online visual advertising for the products concerned</w:t>
      </w:r>
      <w:r w:rsidRPr="00DF5C23">
        <w:rPr>
          <w:noProof/>
        </w:rPr>
        <w:t>.</w:t>
      </w:r>
    </w:p>
    <w:p w14:paraId="2C3A57AA" w14:textId="19BAC925" w:rsidR="008077E6" w:rsidRPr="00DF5C23" w:rsidRDefault="004F5E59" w:rsidP="004F5E59">
      <w:pPr>
        <w:pStyle w:val="ManualNumPar1"/>
        <w:rPr>
          <w:noProof/>
          <w:lang w:val="en-IE" w:eastAsia="fr-BE"/>
        </w:rPr>
      </w:pPr>
      <w:r w:rsidRPr="004F5E59">
        <w:t>3.</w:t>
      </w:r>
      <w:r w:rsidRPr="004F5E59">
        <w:tab/>
      </w:r>
      <w:r w:rsidR="008077E6" w:rsidRPr="00DF5C23">
        <w:rPr>
          <w:noProof/>
        </w:rPr>
        <w:t xml:space="preserve">As far as powers conferred by Member States in accordance </w:t>
      </w:r>
      <w:r w:rsidR="005C4CCB" w:rsidRPr="00DF5C23">
        <w:rPr>
          <w:noProof/>
        </w:rPr>
        <w:t>with</w:t>
      </w:r>
      <w:r w:rsidR="008077E6" w:rsidRPr="00DF5C23">
        <w:rPr>
          <w:noProof/>
        </w:rPr>
        <w:t xml:space="preserve"> Article 14 of Regulation (EU) 2019/1020 are concerned, Member States shall confer on their market surveillance authorities the power, for all products covered by a relevant delegated act </w:t>
      </w:r>
      <w:r w:rsidR="00850318" w:rsidRPr="00DF5C23">
        <w:rPr>
          <w:noProof/>
        </w:rPr>
        <w:t>adopted pursuant to Article 4</w:t>
      </w:r>
      <w:r w:rsidR="008077E6" w:rsidRPr="00DF5C23">
        <w:rPr>
          <w:noProof/>
        </w:rPr>
        <w:t>, to order an online marketplace to remove specific illegal content referring to a non-compliant product from its online interface, disable access to it or display an explicit warning to end</w:t>
      </w:r>
      <w:r w:rsidR="00654D12" w:rsidRPr="00DF5C23">
        <w:rPr>
          <w:noProof/>
        </w:rPr>
        <w:t>-</w:t>
      </w:r>
      <w:r w:rsidR="008077E6" w:rsidRPr="00DF5C23">
        <w:rPr>
          <w:noProof/>
        </w:rPr>
        <w:t xml:space="preserve">users when they access it. Such orders shall </w:t>
      </w:r>
      <w:r w:rsidR="00FE5CF8" w:rsidRPr="00DF5C23">
        <w:rPr>
          <w:noProof/>
        </w:rPr>
        <w:t>comply with [Article 8(1)] of Regulation (EU) …/… [the Digital Services Act]</w:t>
      </w:r>
      <w:r w:rsidR="008077E6" w:rsidRPr="00DF5C23">
        <w:rPr>
          <w:noProof/>
        </w:rPr>
        <w:t xml:space="preserve">. </w:t>
      </w:r>
    </w:p>
    <w:p w14:paraId="2C3A57AB" w14:textId="1B5EAA5F" w:rsidR="006A7F46" w:rsidRPr="00DF5C23" w:rsidRDefault="004F5E59" w:rsidP="004F5E59">
      <w:pPr>
        <w:pStyle w:val="ManualNumPar1"/>
        <w:rPr>
          <w:noProof/>
        </w:rPr>
      </w:pPr>
      <w:r w:rsidRPr="004F5E59">
        <w:t>4.</w:t>
      </w:r>
      <w:r w:rsidRPr="004F5E59">
        <w:tab/>
      </w:r>
      <w:r w:rsidR="008077E6" w:rsidRPr="00DF5C23">
        <w:rPr>
          <w:noProof/>
        </w:rPr>
        <w:t xml:space="preserve">Online marketplaces shall take the necessary measures to receive and process </w:t>
      </w:r>
      <w:r w:rsidR="006A7F46" w:rsidRPr="00DF5C23">
        <w:rPr>
          <w:noProof/>
        </w:rPr>
        <w:t>the</w:t>
      </w:r>
      <w:r w:rsidR="008077E6" w:rsidRPr="00DF5C23">
        <w:rPr>
          <w:noProof/>
        </w:rPr>
        <w:t xml:space="preserve"> orders </w:t>
      </w:r>
      <w:r w:rsidR="006A7F46" w:rsidRPr="00DF5C23">
        <w:rPr>
          <w:noProof/>
        </w:rPr>
        <w:t>referred to in paragraph 2</w:t>
      </w:r>
      <w:r w:rsidR="008077E6" w:rsidRPr="00DF5C23">
        <w:rPr>
          <w:noProof/>
        </w:rPr>
        <w:t xml:space="preserve"> in accordance with [Article 8] of Regulation (EU) …/…</w:t>
      </w:r>
      <w:r w:rsidR="00550CDA" w:rsidRPr="00DF5C23">
        <w:rPr>
          <w:noProof/>
        </w:rPr>
        <w:t xml:space="preserve"> </w:t>
      </w:r>
      <w:r w:rsidR="008077E6" w:rsidRPr="00DF5C23">
        <w:rPr>
          <w:noProof/>
        </w:rPr>
        <w:t>[the Digital Services Act].</w:t>
      </w:r>
      <w:r w:rsidR="006A7F46" w:rsidRPr="00DF5C23">
        <w:rPr>
          <w:noProof/>
        </w:rPr>
        <w:t xml:space="preserve"> </w:t>
      </w:r>
    </w:p>
    <w:p w14:paraId="2C3A57AC" w14:textId="65738268" w:rsidR="00A633B7" w:rsidRPr="00DF5C23" w:rsidRDefault="004F5E59" w:rsidP="004F5E59">
      <w:pPr>
        <w:pStyle w:val="ManualNumPar1"/>
        <w:rPr>
          <w:noProof/>
        </w:rPr>
      </w:pPr>
      <w:r w:rsidRPr="004F5E59">
        <w:t>5.</w:t>
      </w:r>
      <w:r w:rsidRPr="004F5E59">
        <w:tab/>
      </w:r>
      <w:r w:rsidR="008077E6" w:rsidRPr="00DF5C23">
        <w:rPr>
          <w:noProof/>
        </w:rPr>
        <w:t>Online marketplaces shall establish a single contact point allowing for direct communication with Member States’ market surveillance authorities in relation to compliance with this Regulation</w:t>
      </w:r>
      <w:r w:rsidR="00792BB6" w:rsidRPr="00DF5C23">
        <w:rPr>
          <w:noProof/>
        </w:rPr>
        <w:t xml:space="preserve"> and the delegated acts </w:t>
      </w:r>
      <w:r w:rsidR="00850318" w:rsidRPr="00DF5C23">
        <w:rPr>
          <w:noProof/>
        </w:rPr>
        <w:t>adopted pursuant to Article 4</w:t>
      </w:r>
      <w:r w:rsidR="008077E6" w:rsidRPr="00DF5C23">
        <w:rPr>
          <w:noProof/>
        </w:rPr>
        <w:t>.</w:t>
      </w:r>
      <w:r w:rsidR="00A633B7" w:rsidRPr="00DF5C23">
        <w:rPr>
          <w:noProof/>
        </w:rPr>
        <w:t xml:space="preserve"> </w:t>
      </w:r>
    </w:p>
    <w:p w14:paraId="2C3A57AD" w14:textId="77777777" w:rsidR="008077E6" w:rsidRPr="00DF5C23" w:rsidRDefault="00A633B7" w:rsidP="00A633B7">
      <w:pPr>
        <w:pStyle w:val="Text1"/>
        <w:rPr>
          <w:noProof/>
        </w:rPr>
      </w:pPr>
      <w:r w:rsidRPr="00DF5C23">
        <w:rPr>
          <w:noProof/>
        </w:rPr>
        <w:t>This contact point may be the same contact point as the one referred to in [Article 20(1)] of Regulation (EU) …/… [the General Product Safety Regulation]</w:t>
      </w:r>
      <w:r w:rsidR="00E112F3" w:rsidRPr="00DF5C23">
        <w:rPr>
          <w:noProof/>
        </w:rPr>
        <w:t xml:space="preserve"> or [Article 10</w:t>
      </w:r>
      <w:r w:rsidR="00FE5CF8" w:rsidRPr="00DF5C23">
        <w:rPr>
          <w:noProof/>
        </w:rPr>
        <w:t>(1)</w:t>
      </w:r>
      <w:r w:rsidR="00E112F3" w:rsidRPr="00DF5C23">
        <w:rPr>
          <w:noProof/>
        </w:rPr>
        <w:t>] of Regulation (EU) …/… [the Digital Services Act</w:t>
      </w:r>
      <w:r w:rsidRPr="00DF5C23">
        <w:rPr>
          <w:noProof/>
        </w:rPr>
        <w:t>].</w:t>
      </w:r>
    </w:p>
    <w:p w14:paraId="2C3A57AE"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1A4BE8" w:rsidRPr="00DF5C23">
        <w:rPr>
          <w:noProof/>
          <w:lang w:val="en-IE" w:eastAsia="fr-BE"/>
        </w:rPr>
        <w:t xml:space="preserve">30 </w:t>
      </w:r>
      <w:r w:rsidR="00014A6A" w:rsidRPr="00DF5C23">
        <w:rPr>
          <w:noProof/>
        </w:rPr>
        <w:br/>
      </w:r>
      <w:r w:rsidRPr="00DF5C23">
        <w:rPr>
          <w:noProof/>
          <w:lang w:val="en-IE" w:eastAsia="fr-BE"/>
        </w:rPr>
        <w:t>Information obligations of economic operators</w:t>
      </w:r>
    </w:p>
    <w:p w14:paraId="2C3A57AF" w14:textId="56B47EDB" w:rsidR="00003FAC" w:rsidRPr="00DF5C23" w:rsidRDefault="004F5E59" w:rsidP="004F5E59">
      <w:pPr>
        <w:pStyle w:val="ManualNumPar1"/>
        <w:rPr>
          <w:noProof/>
          <w:lang w:val="en-IE" w:eastAsia="fr-BE"/>
        </w:rPr>
      </w:pPr>
      <w:r w:rsidRPr="004F5E59">
        <w:t>1.</w:t>
      </w:r>
      <w:r w:rsidRPr="004F5E59">
        <w:tab/>
      </w:r>
      <w:r w:rsidR="00003FAC" w:rsidRPr="00DF5C23">
        <w:rPr>
          <w:noProof/>
        </w:rPr>
        <w:t xml:space="preserve">Where products are made available on the market online or through other means of distance sales by the relevant economic operators, the relevant </w:t>
      </w:r>
      <w:r w:rsidR="00654D12" w:rsidRPr="00DF5C23">
        <w:rPr>
          <w:noProof/>
        </w:rPr>
        <w:t>product offer shall clearly and visibly provide at least the following information</w:t>
      </w:r>
      <w:r w:rsidR="00003FAC" w:rsidRPr="00DF5C23">
        <w:rPr>
          <w:noProof/>
        </w:rPr>
        <w:t xml:space="preserve">: </w:t>
      </w:r>
    </w:p>
    <w:p w14:paraId="2C3A57B0" w14:textId="4C759A7D" w:rsidR="00003FAC" w:rsidRPr="00DF5C23" w:rsidRDefault="004F5E59" w:rsidP="004F5E59">
      <w:pPr>
        <w:pStyle w:val="Point1"/>
        <w:rPr>
          <w:noProof/>
          <w:lang w:val="en-IE" w:eastAsia="fr-BE"/>
        </w:rPr>
      </w:pPr>
      <w:r w:rsidRPr="004F5E59">
        <w:t>(a)</w:t>
      </w:r>
      <w:r w:rsidRPr="004F5E59">
        <w:tab/>
      </w:r>
      <w:r w:rsidR="00B706B7" w:rsidRPr="00DF5C23">
        <w:rPr>
          <w:noProof/>
          <w:lang w:val="en-IE" w:eastAsia="fr-BE"/>
        </w:rPr>
        <w:t xml:space="preserve">the </w:t>
      </w:r>
      <w:r w:rsidR="00003FAC" w:rsidRPr="00DF5C23">
        <w:rPr>
          <w:noProof/>
          <w:lang w:val="en-IE" w:eastAsia="fr-BE"/>
        </w:rPr>
        <w:t xml:space="preserve">name, registered trade name or registered trade mark of the manufacturer, as well as the postal or electronic address </w:t>
      </w:r>
      <w:r w:rsidR="00654D12" w:rsidRPr="00DF5C23">
        <w:rPr>
          <w:noProof/>
          <w:lang w:eastAsia="fr-BE"/>
        </w:rPr>
        <w:t xml:space="preserve">where </w:t>
      </w:r>
      <w:r w:rsidR="00003FAC" w:rsidRPr="00DF5C23">
        <w:rPr>
          <w:noProof/>
          <w:lang w:val="en-IE" w:eastAsia="fr-BE"/>
        </w:rPr>
        <w:t xml:space="preserve">they can be contacted; </w:t>
      </w:r>
    </w:p>
    <w:p w14:paraId="2C3A57B1" w14:textId="71F7DA10" w:rsidR="00003FAC" w:rsidRPr="00DF5C23" w:rsidRDefault="004F5E59" w:rsidP="004F5E59">
      <w:pPr>
        <w:pStyle w:val="Point1"/>
        <w:rPr>
          <w:noProof/>
          <w:lang w:val="en-IE" w:eastAsia="fr-BE"/>
        </w:rPr>
      </w:pPr>
      <w:r w:rsidRPr="004F5E59">
        <w:t>(b)</w:t>
      </w:r>
      <w:r w:rsidRPr="004F5E59">
        <w:tab/>
      </w:r>
      <w:r w:rsidR="00003FAC" w:rsidRPr="00DF5C23">
        <w:rPr>
          <w:noProof/>
          <w:lang w:val="en-IE" w:eastAsia="fr-BE"/>
        </w:rPr>
        <w:t xml:space="preserve">in case the manufacturer is not established in the Union, the name, address, telephone number and email address of </w:t>
      </w:r>
      <w:r w:rsidR="006F4675" w:rsidRPr="00DF5C23">
        <w:rPr>
          <w:noProof/>
          <w:lang w:val="en-IE" w:eastAsia="fr-BE"/>
        </w:rPr>
        <w:t>the economic operator established in the Union within the meaning of Article 4 of Regulation (EU) 2019/1020</w:t>
      </w:r>
      <w:r w:rsidR="00003FAC" w:rsidRPr="00DF5C23">
        <w:rPr>
          <w:noProof/>
          <w:lang w:val="en-IE" w:eastAsia="fr-BE"/>
        </w:rPr>
        <w:t xml:space="preserve">; </w:t>
      </w:r>
    </w:p>
    <w:p w14:paraId="2C3A57B2" w14:textId="1056EE12" w:rsidR="00003FAC" w:rsidRPr="00DF5C23" w:rsidRDefault="004F5E59" w:rsidP="004F5E59">
      <w:pPr>
        <w:pStyle w:val="Point1"/>
        <w:rPr>
          <w:noProof/>
          <w:lang w:val="en-IE" w:eastAsia="fr-BE"/>
        </w:rPr>
      </w:pPr>
      <w:r w:rsidRPr="004F5E59">
        <w:t>(c)</w:t>
      </w:r>
      <w:r w:rsidRPr="004F5E59">
        <w:tab/>
      </w:r>
      <w:r w:rsidR="00003FAC" w:rsidRPr="00DF5C23">
        <w:rPr>
          <w:noProof/>
          <w:lang w:val="en-IE" w:eastAsia="fr-BE"/>
        </w:rPr>
        <w:t xml:space="preserve">information to identify the product, including its type and, </w:t>
      </w:r>
      <w:r w:rsidR="00654D12" w:rsidRPr="00DF5C23">
        <w:rPr>
          <w:noProof/>
          <w:lang w:eastAsia="fr-BE"/>
        </w:rPr>
        <w:t xml:space="preserve">where </w:t>
      </w:r>
      <w:r w:rsidR="00003FAC" w:rsidRPr="00DF5C23">
        <w:rPr>
          <w:noProof/>
          <w:lang w:val="en-IE" w:eastAsia="fr-BE"/>
        </w:rPr>
        <w:t>available, batch or serial number a</w:t>
      </w:r>
      <w:r w:rsidR="006F4675" w:rsidRPr="00DF5C23">
        <w:rPr>
          <w:noProof/>
          <w:lang w:val="en-IE" w:eastAsia="fr-BE"/>
        </w:rPr>
        <w:t>nd any other product identifier.</w:t>
      </w:r>
    </w:p>
    <w:p w14:paraId="2C3A57B3" w14:textId="2EEE8AFE" w:rsidR="00957065" w:rsidRPr="00DF5C23" w:rsidRDefault="004F5E59" w:rsidP="004F5E59">
      <w:pPr>
        <w:pStyle w:val="ManualNumPar1"/>
        <w:rPr>
          <w:noProof/>
          <w:lang w:val="en-IE" w:eastAsia="fr-BE"/>
        </w:rPr>
      </w:pPr>
      <w:r w:rsidRPr="004F5E59">
        <w:t>2.</w:t>
      </w:r>
      <w:r w:rsidRPr="004F5E59">
        <w:tab/>
      </w:r>
      <w:r w:rsidR="00957065" w:rsidRPr="00DF5C23">
        <w:rPr>
          <w:noProof/>
          <w:lang w:val="en-IE" w:eastAsia="fr-BE"/>
        </w:rPr>
        <w:t xml:space="preserve">Economic operators shall, </w:t>
      </w:r>
      <w:r w:rsidR="00957065" w:rsidRPr="00DF5C23">
        <w:rPr>
          <w:noProof/>
          <w:lang w:eastAsia="fr-BE"/>
        </w:rPr>
        <w:t>upon request, provide the market surveillance authorities with</w:t>
      </w:r>
      <w:r w:rsidR="00957065" w:rsidRPr="00DF5C23">
        <w:rPr>
          <w:noProof/>
          <w:lang w:val="en-IE" w:eastAsia="fr-BE"/>
        </w:rPr>
        <w:t>:</w:t>
      </w:r>
    </w:p>
    <w:p w14:paraId="2C3A57B4" w14:textId="195D64BE" w:rsidR="00957065" w:rsidRPr="00DF5C23" w:rsidRDefault="004F5E59" w:rsidP="004F5E59">
      <w:pPr>
        <w:pStyle w:val="Point1"/>
        <w:rPr>
          <w:noProof/>
          <w:lang w:val="en-IE" w:eastAsia="fr-BE"/>
        </w:rPr>
      </w:pPr>
      <w:r w:rsidRPr="004F5E59">
        <w:t>(a)</w:t>
      </w:r>
      <w:r w:rsidRPr="004F5E59">
        <w:tab/>
      </w:r>
      <w:r w:rsidR="00957065" w:rsidRPr="00DF5C23">
        <w:rPr>
          <w:noProof/>
          <w:lang w:val="en-IE" w:eastAsia="fr-BE"/>
        </w:rPr>
        <w:t>the name of any economic operator who has supplied them with a product falling within the scope</w:t>
      </w:r>
      <w:r w:rsidR="00214C38" w:rsidRPr="00DF5C23">
        <w:rPr>
          <w:noProof/>
          <w:lang w:val="en-IE" w:eastAsia="fr-BE"/>
        </w:rPr>
        <w:t xml:space="preserve"> </w:t>
      </w:r>
      <w:r w:rsidR="00957065" w:rsidRPr="00DF5C23">
        <w:rPr>
          <w:noProof/>
          <w:lang w:val="en-IE" w:eastAsia="fr-BE"/>
        </w:rPr>
        <w:t>of a delegated act adopted pursuant to Article 4;</w:t>
      </w:r>
    </w:p>
    <w:p w14:paraId="2C3A57B5" w14:textId="7E9AF2B1" w:rsidR="00957065" w:rsidRPr="00DF5C23" w:rsidRDefault="004F5E59" w:rsidP="004F5E59">
      <w:pPr>
        <w:pStyle w:val="Point1"/>
        <w:rPr>
          <w:noProof/>
          <w:lang w:val="en-IE" w:eastAsia="fr-BE"/>
        </w:rPr>
      </w:pPr>
      <w:r w:rsidRPr="004F5E59">
        <w:t>(b)</w:t>
      </w:r>
      <w:r w:rsidRPr="004F5E59">
        <w:tab/>
      </w:r>
      <w:r w:rsidR="00957065" w:rsidRPr="00DF5C23">
        <w:rPr>
          <w:noProof/>
          <w:lang w:val="en-IE" w:eastAsia="fr-BE"/>
        </w:rPr>
        <w:t>any economic operator to whom they have supplied such products, as well as the quantities and exact models.</w:t>
      </w:r>
    </w:p>
    <w:p w14:paraId="2C3A57B6" w14:textId="77777777" w:rsidR="00957065" w:rsidRPr="00DF5C23" w:rsidRDefault="00957065" w:rsidP="00957065">
      <w:pPr>
        <w:pStyle w:val="Text1"/>
        <w:rPr>
          <w:noProof/>
          <w:lang w:val="en-IE" w:eastAsia="fr-BE"/>
        </w:rPr>
      </w:pPr>
      <w:r w:rsidRPr="00DF5C23">
        <w:rPr>
          <w:noProof/>
          <w:lang w:val="en-IE" w:eastAsia="fr-BE"/>
        </w:rPr>
        <w:t xml:space="preserve">Economic operators shall be able to </w:t>
      </w:r>
      <w:r w:rsidRPr="00DF5C23">
        <w:rPr>
          <w:noProof/>
          <w:lang w:eastAsia="fr-BE"/>
        </w:rPr>
        <w:t xml:space="preserve">provide </w:t>
      </w:r>
      <w:r w:rsidRPr="00DF5C23">
        <w:rPr>
          <w:noProof/>
          <w:lang w:val="en-IE" w:eastAsia="fr-BE"/>
        </w:rPr>
        <w:t>this information for 10 years after they have been supplied with the relevant products and for 10 years after they have supplied such products. When adopting d</w:t>
      </w:r>
      <w:r w:rsidR="0052414F" w:rsidRPr="00DF5C23">
        <w:rPr>
          <w:noProof/>
          <w:lang w:val="en-IE" w:eastAsia="fr-BE"/>
        </w:rPr>
        <w:t>elegated acts</w:t>
      </w:r>
      <w:r w:rsidRPr="00DF5C23">
        <w:rPr>
          <w:noProof/>
          <w:lang w:val="en-IE" w:eastAsia="fr-BE"/>
        </w:rPr>
        <w:t xml:space="preserve"> pursuant to Article 4, the Commission may specify a period of more or less than 10 years </w:t>
      </w:r>
      <w:r w:rsidRPr="00DF5C23">
        <w:rPr>
          <w:noProof/>
          <w:lang w:eastAsia="fr-BE"/>
        </w:rPr>
        <w:t>to take account of the nature of the relevant products or requirements</w:t>
      </w:r>
      <w:r w:rsidRPr="00DF5C23">
        <w:rPr>
          <w:noProof/>
          <w:lang w:val="en-IE" w:eastAsia="fr-BE"/>
        </w:rPr>
        <w:t>.</w:t>
      </w:r>
    </w:p>
    <w:p w14:paraId="2C3A57B7" w14:textId="3410ABC8" w:rsidR="00DB3F29" w:rsidRPr="00DF5C23" w:rsidRDefault="004F5E59" w:rsidP="004F5E59">
      <w:pPr>
        <w:pStyle w:val="ManualNumPar1"/>
        <w:rPr>
          <w:noProof/>
          <w:lang w:val="en-IE" w:eastAsia="fr-BE"/>
        </w:rPr>
      </w:pPr>
      <w:r w:rsidRPr="004F5E59">
        <w:t>3.</w:t>
      </w:r>
      <w:r w:rsidRPr="004F5E59">
        <w:tab/>
      </w:r>
      <w:r w:rsidR="00DB3F29" w:rsidRPr="00DF5C23">
        <w:rPr>
          <w:noProof/>
          <w:lang w:val="en-IE" w:eastAsia="fr-BE"/>
        </w:rPr>
        <w:t xml:space="preserve">When requiring manufacturers, their authorised representatives or importers to make parts of the technical documentation related to the </w:t>
      </w:r>
      <w:r w:rsidR="00DB3F29" w:rsidRPr="00DF5C23">
        <w:rPr>
          <w:noProof/>
          <w:lang w:eastAsia="fr-BE"/>
        </w:rPr>
        <w:t xml:space="preserve">relevant product </w:t>
      </w:r>
      <w:r w:rsidR="00DB3F29" w:rsidRPr="00DF5C23">
        <w:rPr>
          <w:noProof/>
          <w:lang w:val="en-IE" w:eastAsia="fr-BE"/>
        </w:rPr>
        <w:t xml:space="preserve">digitally available pursuant to Article 4, </w:t>
      </w:r>
      <w:r w:rsidR="002438E5" w:rsidRPr="00DF5C23">
        <w:rPr>
          <w:noProof/>
          <w:lang w:val="en-IE" w:eastAsia="fr-BE"/>
        </w:rPr>
        <w:t>third subparagraph, point (a</w:t>
      </w:r>
      <w:r w:rsidR="00DB3F29" w:rsidRPr="00DF5C23">
        <w:rPr>
          <w:noProof/>
          <w:lang w:val="en-IE" w:eastAsia="fr-BE"/>
        </w:rPr>
        <w:t>), the Commission shall take into account the following criteria:</w:t>
      </w:r>
    </w:p>
    <w:p w14:paraId="2C3A57B8" w14:textId="6D06AC66" w:rsidR="00116B33" w:rsidRPr="00DF5C23" w:rsidRDefault="004F5E59" w:rsidP="004F5E59">
      <w:pPr>
        <w:pStyle w:val="Point1"/>
        <w:rPr>
          <w:noProof/>
          <w:lang w:val="en-IE" w:eastAsia="fr-BE"/>
        </w:rPr>
      </w:pPr>
      <w:r w:rsidRPr="004F5E59">
        <w:t>(a)</w:t>
      </w:r>
      <w:r w:rsidRPr="004F5E59">
        <w:tab/>
      </w:r>
      <w:r w:rsidR="00DB3F29" w:rsidRPr="00DF5C23">
        <w:rPr>
          <w:noProof/>
          <w:lang w:val="en-IE" w:eastAsia="fr-BE"/>
        </w:rPr>
        <w:t>the need to facilitate the verification of compliance with the applicable requirements</w:t>
      </w:r>
      <w:r w:rsidR="00116B33" w:rsidRPr="00DF5C23">
        <w:rPr>
          <w:noProof/>
          <w:lang w:val="en-IE" w:eastAsia="fr-BE"/>
        </w:rPr>
        <w:t xml:space="preserve"> by market surveillance authorities;</w:t>
      </w:r>
    </w:p>
    <w:p w14:paraId="2C3A57B9" w14:textId="24946C2C" w:rsidR="00DB3F29" w:rsidRPr="00DF5C23" w:rsidRDefault="004F5E59" w:rsidP="004F5E59">
      <w:pPr>
        <w:pStyle w:val="Point1"/>
        <w:rPr>
          <w:noProof/>
          <w:lang w:val="en-IE"/>
        </w:rPr>
      </w:pPr>
      <w:r w:rsidRPr="004F5E59">
        <w:t>(b)</w:t>
      </w:r>
      <w:r w:rsidRPr="004F5E59">
        <w:tab/>
      </w:r>
      <w:r w:rsidR="00116B33" w:rsidRPr="00DF5C23">
        <w:rPr>
          <w:noProof/>
          <w:lang w:val="en-IE" w:eastAsia="fr-BE"/>
        </w:rPr>
        <w:t xml:space="preserve">the need to </w:t>
      </w:r>
      <w:r w:rsidR="00DD7EC1" w:rsidRPr="00DF5C23">
        <w:rPr>
          <w:noProof/>
          <w:lang w:val="en-IE" w:eastAsia="fr-BE"/>
        </w:rPr>
        <w:t xml:space="preserve">avoid disproportionate </w:t>
      </w:r>
      <w:r w:rsidR="00116B33" w:rsidRPr="00DF5C23">
        <w:rPr>
          <w:noProof/>
          <w:lang w:val="en-IE" w:eastAsia="fr-BE"/>
        </w:rPr>
        <w:t>administrative burden for economic operators</w:t>
      </w:r>
      <w:r w:rsidR="00DD7EC1" w:rsidRPr="00DF5C23">
        <w:rPr>
          <w:noProof/>
          <w:lang w:val="en-IE" w:eastAsia="fr-BE"/>
        </w:rPr>
        <w:t>.</w:t>
      </w:r>
      <w:r w:rsidR="00116B33" w:rsidRPr="00DF5C23">
        <w:rPr>
          <w:noProof/>
          <w:lang w:val="en-IE" w:eastAsia="fr-BE"/>
        </w:rPr>
        <w:t xml:space="preserve">  </w:t>
      </w:r>
    </w:p>
    <w:p w14:paraId="2C3A57BA" w14:textId="77777777" w:rsidR="00DB3F29" w:rsidRPr="00DF5C23" w:rsidRDefault="00DB3F29" w:rsidP="00C728A2">
      <w:pPr>
        <w:pStyle w:val="Text1"/>
        <w:rPr>
          <w:noProof/>
          <w:lang w:val="en-IE" w:eastAsia="fr-BE"/>
        </w:rPr>
      </w:pPr>
      <w:r w:rsidRPr="00DF5C23">
        <w:rPr>
          <w:noProof/>
          <w:lang w:val="en-IE" w:eastAsia="fr-BE"/>
        </w:rPr>
        <w:t xml:space="preserve">The Commission shall specify the </w:t>
      </w:r>
      <w:r w:rsidR="00116B33" w:rsidRPr="00DF5C23">
        <w:rPr>
          <w:noProof/>
          <w:lang w:val="en-IE" w:eastAsia="fr-BE"/>
        </w:rPr>
        <w:t>manner in which</w:t>
      </w:r>
      <w:r w:rsidRPr="00DF5C23">
        <w:rPr>
          <w:noProof/>
          <w:lang w:val="en-IE" w:eastAsia="fr-BE"/>
        </w:rPr>
        <w:t xml:space="preserve"> the relevant parts of the technical documentation shall be made available.</w:t>
      </w:r>
      <w:r w:rsidR="00116B33" w:rsidRPr="00DF5C23">
        <w:rPr>
          <w:noProof/>
          <w:lang w:val="en-IE" w:eastAsia="fr-BE"/>
        </w:rPr>
        <w:t xml:space="preserve"> Where available, technical documentation shall be made available through the product passport.</w:t>
      </w:r>
    </w:p>
    <w:p w14:paraId="2C3A57BB" w14:textId="77777777" w:rsidR="00646885" w:rsidRPr="00DF5C23" w:rsidRDefault="00FD618B" w:rsidP="0681B866">
      <w:pPr>
        <w:pStyle w:val="Titrearticle"/>
        <w:rPr>
          <w:noProof/>
          <w:lang w:val="en-IE" w:eastAsia="fr-BE"/>
        </w:rPr>
      </w:pPr>
      <w:r w:rsidRPr="00DF5C23">
        <w:rPr>
          <w:noProof/>
          <w:lang w:val="en-IE" w:eastAsia="fr-BE"/>
        </w:rPr>
        <w:t xml:space="preserve">Article </w:t>
      </w:r>
      <w:r w:rsidR="001A4BE8" w:rsidRPr="00DF5C23">
        <w:rPr>
          <w:noProof/>
          <w:lang w:val="en-IE" w:eastAsia="fr-BE"/>
        </w:rPr>
        <w:t>31</w:t>
      </w:r>
      <w:r w:rsidR="001E4E57" w:rsidRPr="00DF5C23">
        <w:rPr>
          <w:noProof/>
        </w:rPr>
        <w:br/>
      </w:r>
      <w:r w:rsidRPr="00DF5C23">
        <w:rPr>
          <w:noProof/>
          <w:lang w:val="en-IE" w:eastAsia="fr-BE"/>
        </w:rPr>
        <w:t>Monitoring and reporting obligations</w:t>
      </w:r>
      <w:r w:rsidR="00646885" w:rsidRPr="00DF5C23">
        <w:rPr>
          <w:noProof/>
          <w:lang w:val="en-IE" w:eastAsia="fr-BE"/>
        </w:rPr>
        <w:t xml:space="preserve"> </w:t>
      </w:r>
      <w:r w:rsidR="001D1629" w:rsidRPr="00DF5C23">
        <w:rPr>
          <w:noProof/>
          <w:lang w:val="en-IE" w:eastAsia="fr-BE"/>
        </w:rPr>
        <w:t xml:space="preserve">of </w:t>
      </w:r>
      <w:r w:rsidRPr="00DF5C23">
        <w:rPr>
          <w:noProof/>
          <w:lang w:val="en-IE" w:eastAsia="fr-BE"/>
        </w:rPr>
        <w:t>economic operators</w:t>
      </w:r>
    </w:p>
    <w:p w14:paraId="2C3A57BC" w14:textId="3086205D" w:rsidR="00944EFB" w:rsidRPr="00DF5C23" w:rsidRDefault="004F5E59" w:rsidP="004F5E59">
      <w:pPr>
        <w:pStyle w:val="ManualNumPar1"/>
        <w:rPr>
          <w:noProof/>
          <w:lang w:val="en-IE" w:eastAsia="fr-BE"/>
        </w:rPr>
      </w:pPr>
      <w:r w:rsidRPr="004F5E59">
        <w:t>1.</w:t>
      </w:r>
      <w:r w:rsidRPr="004F5E59">
        <w:tab/>
      </w:r>
      <w:r w:rsidR="00944EFB" w:rsidRPr="00DF5C23">
        <w:rPr>
          <w:noProof/>
          <w:lang w:val="en-IE" w:eastAsia="fr-BE"/>
        </w:rPr>
        <w:t>When requiring manufacturers, their authorised representatives or importers to make available to the Commission</w:t>
      </w:r>
      <w:r w:rsidR="00CA6313" w:rsidRPr="00DF5C23">
        <w:rPr>
          <w:noProof/>
          <w:lang w:val="en-IE" w:eastAsia="fr-BE"/>
        </w:rPr>
        <w:t>,</w:t>
      </w:r>
      <w:r w:rsidR="00944EFB" w:rsidRPr="00DF5C23">
        <w:rPr>
          <w:noProof/>
          <w:lang w:val="en-IE" w:eastAsia="fr-BE"/>
        </w:rPr>
        <w:t xml:space="preserve"> information on the quantities of a product covered by delegated acts adopted pursuant to Article 4, </w:t>
      </w:r>
      <w:r w:rsidR="002438E5" w:rsidRPr="00DF5C23">
        <w:rPr>
          <w:noProof/>
          <w:lang w:val="en-IE" w:eastAsia="fr-BE"/>
        </w:rPr>
        <w:t xml:space="preserve">third subparagraph, </w:t>
      </w:r>
      <w:r w:rsidR="00944EFB" w:rsidRPr="00DF5C23">
        <w:rPr>
          <w:noProof/>
          <w:lang w:val="en-IE" w:eastAsia="fr-BE"/>
        </w:rPr>
        <w:t>point (</w:t>
      </w:r>
      <w:r w:rsidR="002438E5" w:rsidRPr="00DF5C23">
        <w:rPr>
          <w:noProof/>
          <w:lang w:val="en-IE" w:eastAsia="fr-BE"/>
        </w:rPr>
        <w:t>b</w:t>
      </w:r>
      <w:r w:rsidR="00944EFB" w:rsidRPr="00DF5C23">
        <w:rPr>
          <w:noProof/>
          <w:lang w:val="en-IE" w:eastAsia="fr-BE"/>
        </w:rPr>
        <w:t>),</w:t>
      </w:r>
      <w:r w:rsidR="00CA6313" w:rsidRPr="00DF5C23">
        <w:rPr>
          <w:noProof/>
          <w:lang w:val="en-IE" w:eastAsia="fr-BE"/>
        </w:rPr>
        <w:t xml:space="preserve"> </w:t>
      </w:r>
      <w:r w:rsidR="00944EFB" w:rsidRPr="00DF5C23">
        <w:rPr>
          <w:noProof/>
          <w:lang w:val="en-IE" w:eastAsia="fr-BE"/>
        </w:rPr>
        <w:t>the Commission shall take into account the following criteria:</w:t>
      </w:r>
    </w:p>
    <w:p w14:paraId="2C3A57BD" w14:textId="5125C1BC" w:rsidR="00A149F6" w:rsidRPr="00DF5C23" w:rsidRDefault="004F5E59" w:rsidP="004F5E59">
      <w:pPr>
        <w:pStyle w:val="Point1"/>
        <w:rPr>
          <w:noProof/>
          <w:lang w:val="en-IE" w:eastAsia="fr-BE"/>
        </w:rPr>
      </w:pPr>
      <w:r w:rsidRPr="004F5E59">
        <w:t>(a)</w:t>
      </w:r>
      <w:r w:rsidRPr="004F5E59">
        <w:tab/>
      </w:r>
      <w:r w:rsidR="00A149F6" w:rsidRPr="00DF5C23">
        <w:rPr>
          <w:noProof/>
          <w:lang w:val="en-IE" w:eastAsia="fr-BE"/>
        </w:rPr>
        <w:t xml:space="preserve">the </w:t>
      </w:r>
      <w:r w:rsidR="00DD7EC1" w:rsidRPr="00DF5C23">
        <w:rPr>
          <w:noProof/>
          <w:lang w:val="en-IE" w:eastAsia="fr-BE"/>
        </w:rPr>
        <w:t>availability of evidence</w:t>
      </w:r>
      <w:r w:rsidR="00A149F6" w:rsidRPr="00DF5C23">
        <w:rPr>
          <w:noProof/>
          <w:lang w:val="en-IE" w:eastAsia="fr-BE"/>
        </w:rPr>
        <w:t xml:space="preserve"> </w:t>
      </w:r>
      <w:r w:rsidR="00DD7EC1" w:rsidRPr="00DF5C23">
        <w:rPr>
          <w:noProof/>
          <w:lang w:val="en-IE" w:eastAsia="fr-BE"/>
        </w:rPr>
        <w:t>on</w:t>
      </w:r>
      <w:r w:rsidR="00CA6313" w:rsidRPr="00DF5C23">
        <w:rPr>
          <w:noProof/>
          <w:lang w:val="en-IE" w:eastAsia="fr-BE"/>
        </w:rPr>
        <w:t xml:space="preserve"> the </w:t>
      </w:r>
      <w:r w:rsidR="00DD7EC1" w:rsidRPr="00DF5C23">
        <w:rPr>
          <w:noProof/>
          <w:lang w:val="en-IE" w:eastAsia="fr-BE"/>
        </w:rPr>
        <w:t>market penetrations of</w:t>
      </w:r>
      <w:r w:rsidR="00A149F6" w:rsidRPr="00DF5C23">
        <w:rPr>
          <w:noProof/>
          <w:lang w:val="en-IE" w:eastAsia="fr-BE"/>
        </w:rPr>
        <w:t xml:space="preserve"> the relevant product in order to facilitate the review</w:t>
      </w:r>
      <w:r w:rsidR="00DD7EC1" w:rsidRPr="00DF5C23">
        <w:rPr>
          <w:noProof/>
          <w:lang w:val="en-IE" w:eastAsia="fr-BE"/>
        </w:rPr>
        <w:t xml:space="preserve"> of</w:t>
      </w:r>
      <w:r w:rsidR="00A149F6" w:rsidRPr="00DF5C23">
        <w:rPr>
          <w:noProof/>
          <w:lang w:val="en-IE" w:eastAsia="fr-BE"/>
        </w:rPr>
        <w:t xml:space="preserve"> delegated acts adopted pursuant to Article 4</w:t>
      </w:r>
      <w:r w:rsidR="00DD7EC1" w:rsidRPr="00DF5C23">
        <w:rPr>
          <w:noProof/>
          <w:lang w:val="en-IE" w:eastAsia="fr-BE"/>
        </w:rPr>
        <w:t xml:space="preserve"> applicable to that product</w:t>
      </w:r>
      <w:r w:rsidR="00A149F6" w:rsidRPr="00DF5C23">
        <w:rPr>
          <w:noProof/>
          <w:lang w:val="en-IE" w:eastAsia="fr-BE"/>
        </w:rPr>
        <w:t>;</w:t>
      </w:r>
    </w:p>
    <w:p w14:paraId="2C3A57BE" w14:textId="39176260" w:rsidR="00A149F6" w:rsidRPr="00DF5C23" w:rsidRDefault="004F5E59" w:rsidP="004F5E59">
      <w:pPr>
        <w:pStyle w:val="Point1"/>
        <w:rPr>
          <w:noProof/>
          <w:lang w:val="en-IE" w:eastAsia="fr-BE"/>
        </w:rPr>
      </w:pPr>
      <w:r w:rsidRPr="004F5E59">
        <w:t>(b)</w:t>
      </w:r>
      <w:r w:rsidRPr="004F5E59">
        <w:tab/>
      </w:r>
      <w:r w:rsidR="00A149F6" w:rsidRPr="00DF5C23">
        <w:rPr>
          <w:noProof/>
          <w:lang w:val="en-IE" w:eastAsia="fr-BE"/>
        </w:rPr>
        <w:t xml:space="preserve">the need to </w:t>
      </w:r>
      <w:r w:rsidR="00DD7EC1" w:rsidRPr="00DF5C23">
        <w:rPr>
          <w:noProof/>
          <w:lang w:val="en-IE" w:eastAsia="fr-BE"/>
        </w:rPr>
        <w:t>avoid disproportionate administrative</w:t>
      </w:r>
      <w:r w:rsidR="00A149F6" w:rsidRPr="00DF5C23">
        <w:rPr>
          <w:noProof/>
          <w:lang w:val="en-IE" w:eastAsia="fr-BE"/>
        </w:rPr>
        <w:t xml:space="preserve"> burden for economic operators</w:t>
      </w:r>
      <w:r w:rsidR="00F140AB" w:rsidRPr="00DF5C23">
        <w:rPr>
          <w:noProof/>
          <w:lang w:val="en-IE" w:eastAsia="fr-BE"/>
        </w:rPr>
        <w:t>.</w:t>
      </w:r>
      <w:r w:rsidR="00A149F6" w:rsidRPr="00DF5C23">
        <w:rPr>
          <w:noProof/>
          <w:lang w:val="en-IE" w:eastAsia="fr-BE"/>
        </w:rPr>
        <w:t xml:space="preserve">  </w:t>
      </w:r>
    </w:p>
    <w:p w14:paraId="2C3A57BF" w14:textId="77777777" w:rsidR="00CE6ECE" w:rsidRPr="00DF5C23" w:rsidRDefault="00A149F6" w:rsidP="00896066">
      <w:pPr>
        <w:pStyle w:val="Text1"/>
        <w:rPr>
          <w:noProof/>
          <w:lang w:val="en-IE" w:eastAsia="fr-BE"/>
        </w:rPr>
      </w:pPr>
      <w:r w:rsidRPr="00DF5C23">
        <w:rPr>
          <w:noProof/>
          <w:lang w:val="en-IE" w:eastAsia="fr-BE"/>
        </w:rPr>
        <w:t xml:space="preserve">The Commission shall specify the </w:t>
      </w:r>
      <w:r w:rsidR="00CE6ECE" w:rsidRPr="00DF5C23">
        <w:rPr>
          <w:noProof/>
          <w:lang w:val="en-IE" w:eastAsia="fr-BE"/>
        </w:rPr>
        <w:t>period of time</w:t>
      </w:r>
      <w:r w:rsidRPr="00DF5C23">
        <w:rPr>
          <w:noProof/>
          <w:lang w:val="en-IE" w:eastAsia="fr-BE"/>
        </w:rPr>
        <w:t xml:space="preserve"> to which the information</w:t>
      </w:r>
      <w:r w:rsidR="00DD7EC1" w:rsidRPr="00DF5C23">
        <w:rPr>
          <w:noProof/>
          <w:lang w:val="en-IE" w:eastAsia="fr-BE"/>
        </w:rPr>
        <w:t xml:space="preserve"> referred to in the first subparagraph</w:t>
      </w:r>
      <w:r w:rsidRPr="00DF5C23">
        <w:rPr>
          <w:noProof/>
          <w:lang w:val="en-IE" w:eastAsia="fr-BE"/>
        </w:rPr>
        <w:t xml:space="preserve"> shall relate. Th</w:t>
      </w:r>
      <w:r w:rsidR="00DD7EC1" w:rsidRPr="00DF5C23">
        <w:rPr>
          <w:noProof/>
          <w:lang w:val="en-IE" w:eastAsia="fr-BE"/>
        </w:rPr>
        <w:t xml:space="preserve">at information </w:t>
      </w:r>
      <w:r w:rsidRPr="00DF5C23">
        <w:rPr>
          <w:noProof/>
          <w:lang w:val="en-IE" w:eastAsia="fr-BE"/>
        </w:rPr>
        <w:t>shall be</w:t>
      </w:r>
      <w:r w:rsidR="00CE6ECE" w:rsidRPr="00DF5C23" w:rsidDel="00A149F6">
        <w:rPr>
          <w:noProof/>
          <w:lang w:val="en-IE" w:eastAsia="fr-BE"/>
        </w:rPr>
        <w:t xml:space="preserve"> </w:t>
      </w:r>
      <w:r w:rsidR="00CE6ECE" w:rsidRPr="00DF5C23">
        <w:rPr>
          <w:noProof/>
          <w:lang w:val="en-IE" w:eastAsia="fr-BE"/>
        </w:rPr>
        <w:t>differentiated per product model.</w:t>
      </w:r>
    </w:p>
    <w:p w14:paraId="2C3A57C0" w14:textId="77777777" w:rsidR="00A738C6" w:rsidRPr="00DF5C23" w:rsidRDefault="00A738C6" w:rsidP="000216B5">
      <w:pPr>
        <w:pStyle w:val="Text1"/>
        <w:rPr>
          <w:noProof/>
          <w:lang w:val="en-IE" w:eastAsia="fr-BE"/>
        </w:rPr>
      </w:pPr>
      <w:r w:rsidRPr="00DF5C23">
        <w:rPr>
          <w:noProof/>
          <w:lang w:val="en-IE" w:eastAsia="fr-BE"/>
        </w:rPr>
        <w:t>The Commission shall ensure that the resulting data is processed securely and in compliance with Union law.</w:t>
      </w:r>
    </w:p>
    <w:p w14:paraId="2C3A57C1" w14:textId="77777777" w:rsidR="009C6D4D" w:rsidRPr="00DF5C23" w:rsidRDefault="00B706B7" w:rsidP="0681B866">
      <w:pPr>
        <w:pStyle w:val="Text1"/>
        <w:rPr>
          <w:noProof/>
          <w:lang w:val="en-IE" w:eastAsia="fr-BE"/>
        </w:rPr>
      </w:pPr>
      <w:r w:rsidRPr="00DF5C23">
        <w:rPr>
          <w:noProof/>
          <w:lang w:val="en-IE" w:eastAsia="fr-BE"/>
        </w:rPr>
        <w:t>T</w:t>
      </w:r>
      <w:r w:rsidR="0681B866" w:rsidRPr="00DF5C23">
        <w:rPr>
          <w:noProof/>
          <w:lang w:val="en-IE" w:eastAsia="fr-BE"/>
        </w:rPr>
        <w:t xml:space="preserve">he </w:t>
      </w:r>
      <w:r w:rsidRPr="00DF5C23">
        <w:rPr>
          <w:noProof/>
          <w:lang w:val="en-IE" w:eastAsia="fr-BE"/>
        </w:rPr>
        <w:t>Commission shall specify in those</w:t>
      </w:r>
      <w:r w:rsidR="0681B866" w:rsidRPr="00DF5C23">
        <w:rPr>
          <w:noProof/>
          <w:lang w:val="en-IE" w:eastAsia="fr-BE"/>
        </w:rPr>
        <w:t xml:space="preserve"> delegated acts the means through which the relevant information shall be made available</w:t>
      </w:r>
      <w:r w:rsidR="00C1031B" w:rsidRPr="00DF5C23">
        <w:rPr>
          <w:noProof/>
          <w:lang w:val="en-IE" w:eastAsia="fr-BE"/>
        </w:rPr>
        <w:t xml:space="preserve"> and its periodicity</w:t>
      </w:r>
      <w:r w:rsidR="0681B866" w:rsidRPr="00DF5C23">
        <w:rPr>
          <w:noProof/>
          <w:lang w:val="en-IE" w:eastAsia="fr-BE"/>
        </w:rPr>
        <w:t>.</w:t>
      </w:r>
    </w:p>
    <w:p w14:paraId="2C3A57C2" w14:textId="4658007C" w:rsidR="00A149F6" w:rsidRPr="00DF5C23" w:rsidRDefault="004F5E59" w:rsidP="004F5E59">
      <w:pPr>
        <w:pStyle w:val="ManualNumPar1"/>
        <w:rPr>
          <w:noProof/>
          <w:lang w:val="en-IE" w:eastAsia="fr-BE"/>
        </w:rPr>
      </w:pPr>
      <w:r w:rsidRPr="004F5E59">
        <w:t>2.</w:t>
      </w:r>
      <w:r w:rsidRPr="004F5E59">
        <w:tab/>
      </w:r>
      <w:r w:rsidR="00A149F6" w:rsidRPr="00DF5C23">
        <w:rPr>
          <w:noProof/>
          <w:lang w:val="en-IE" w:eastAsia="fr-BE"/>
        </w:rPr>
        <w:t>When</w:t>
      </w:r>
      <w:r w:rsidR="00C81962" w:rsidRPr="00DF5C23">
        <w:rPr>
          <w:noProof/>
          <w:lang w:val="en-IE" w:eastAsia="fr-BE"/>
        </w:rPr>
        <w:t xml:space="preserve"> requir</w:t>
      </w:r>
      <w:r w:rsidR="00A149F6" w:rsidRPr="00DF5C23">
        <w:rPr>
          <w:noProof/>
          <w:lang w:val="en-IE" w:eastAsia="fr-BE"/>
        </w:rPr>
        <w:t>ing</w:t>
      </w:r>
      <w:r w:rsidR="00C81962" w:rsidRPr="00DF5C23">
        <w:rPr>
          <w:noProof/>
          <w:lang w:val="en-IE" w:eastAsia="fr-BE"/>
        </w:rPr>
        <w:t xml:space="preserve"> </w:t>
      </w:r>
      <w:r w:rsidR="00A149F6" w:rsidRPr="00DF5C23">
        <w:rPr>
          <w:noProof/>
          <w:lang w:val="en-IE" w:eastAsia="fr-BE"/>
        </w:rPr>
        <w:t>a</w:t>
      </w:r>
      <w:r w:rsidR="00F142E5" w:rsidRPr="00DF5C23">
        <w:rPr>
          <w:noProof/>
          <w:lang w:val="en-IE" w:eastAsia="fr-BE"/>
        </w:rPr>
        <w:t xml:space="preserve"> </w:t>
      </w:r>
      <w:r w:rsidR="00C81962" w:rsidRPr="00DF5C23">
        <w:rPr>
          <w:noProof/>
          <w:lang w:val="en-IE" w:eastAsia="fr-BE"/>
        </w:rPr>
        <w:t>product</w:t>
      </w:r>
      <w:r w:rsidR="00F142E5" w:rsidRPr="00DF5C23">
        <w:rPr>
          <w:noProof/>
          <w:lang w:val="en-IE" w:eastAsia="fr-BE"/>
        </w:rPr>
        <w:t xml:space="preserve"> </w:t>
      </w:r>
      <w:r w:rsidR="00C81962" w:rsidRPr="00DF5C23">
        <w:rPr>
          <w:noProof/>
          <w:lang w:val="en-IE" w:eastAsia="fr-BE"/>
        </w:rPr>
        <w:t>to</w:t>
      </w:r>
      <w:r w:rsidR="00C60909" w:rsidRPr="00DF5C23">
        <w:rPr>
          <w:noProof/>
          <w:lang w:val="en-IE" w:eastAsia="fr-BE"/>
        </w:rPr>
        <w:t xml:space="preserve"> </w:t>
      </w:r>
      <w:r w:rsidR="00C81962" w:rsidRPr="00DF5C23">
        <w:rPr>
          <w:noProof/>
          <w:lang w:val="en-IE" w:eastAsia="fr-BE"/>
        </w:rPr>
        <w:t xml:space="preserve">be able to </w:t>
      </w:r>
      <w:r w:rsidR="00F551EB" w:rsidRPr="00DF5C23">
        <w:rPr>
          <w:noProof/>
          <w:lang w:val="en-IE" w:eastAsia="fr-BE"/>
        </w:rPr>
        <w:t>measure</w:t>
      </w:r>
      <w:r w:rsidR="00797F64" w:rsidRPr="00DF5C23">
        <w:rPr>
          <w:noProof/>
          <w:lang w:val="en-IE" w:eastAsia="fr-BE"/>
        </w:rPr>
        <w:t xml:space="preserve"> the </w:t>
      </w:r>
      <w:r w:rsidR="00F551EB" w:rsidRPr="00DF5C23">
        <w:rPr>
          <w:noProof/>
          <w:lang w:val="en-IE" w:eastAsia="fr-BE"/>
        </w:rPr>
        <w:t>energy it consume</w:t>
      </w:r>
      <w:r w:rsidR="00A149F6" w:rsidRPr="00DF5C23">
        <w:rPr>
          <w:noProof/>
          <w:lang w:val="en-IE" w:eastAsia="fr-BE"/>
        </w:rPr>
        <w:t>s</w:t>
      </w:r>
      <w:r w:rsidR="00797F64" w:rsidRPr="00DF5C23">
        <w:rPr>
          <w:noProof/>
          <w:lang w:val="en-IE" w:eastAsia="fr-BE"/>
        </w:rPr>
        <w:t xml:space="preserve"> or </w:t>
      </w:r>
      <w:r w:rsidR="00F551EB" w:rsidRPr="00DF5C23">
        <w:rPr>
          <w:noProof/>
          <w:lang w:val="en-IE" w:eastAsia="fr-BE"/>
        </w:rPr>
        <w:t xml:space="preserve">its performance in relation to </w:t>
      </w:r>
      <w:r w:rsidR="00797F64" w:rsidRPr="00DF5C23">
        <w:rPr>
          <w:noProof/>
          <w:lang w:val="en-IE" w:eastAsia="fr-BE"/>
        </w:rPr>
        <w:t>other</w:t>
      </w:r>
      <w:r w:rsidR="00C81962" w:rsidRPr="00DF5C23">
        <w:rPr>
          <w:noProof/>
          <w:lang w:val="en-IE" w:eastAsia="fr-BE"/>
        </w:rPr>
        <w:t xml:space="preserve"> </w:t>
      </w:r>
      <w:r w:rsidR="00797F64" w:rsidRPr="00DF5C23">
        <w:rPr>
          <w:noProof/>
          <w:lang w:val="en-IE" w:eastAsia="fr-BE"/>
        </w:rPr>
        <w:t xml:space="preserve">relevant </w:t>
      </w:r>
      <w:r w:rsidR="00214C38" w:rsidRPr="00DF5C23">
        <w:rPr>
          <w:noProof/>
        </w:rPr>
        <w:t xml:space="preserve">product </w:t>
      </w:r>
      <w:r w:rsidR="00C81962" w:rsidRPr="00DF5C23">
        <w:rPr>
          <w:noProof/>
          <w:lang w:val="en-IE" w:eastAsia="fr-BE"/>
        </w:rPr>
        <w:t>parameters</w:t>
      </w:r>
      <w:r w:rsidR="00171675" w:rsidRPr="00DF5C23">
        <w:rPr>
          <w:noProof/>
          <w:lang w:val="en-IE" w:eastAsia="fr-BE"/>
        </w:rPr>
        <w:t xml:space="preserve"> </w:t>
      </w:r>
      <w:r w:rsidR="00244960" w:rsidRPr="00DF5C23">
        <w:rPr>
          <w:noProof/>
          <w:lang w:val="en-IE" w:eastAsia="fr-BE"/>
        </w:rPr>
        <w:t xml:space="preserve">referred to </w:t>
      </w:r>
      <w:r w:rsidR="00FE176D" w:rsidRPr="00DF5C23">
        <w:rPr>
          <w:noProof/>
          <w:lang w:val="en-IE" w:eastAsia="fr-BE"/>
        </w:rPr>
        <w:t xml:space="preserve">in Annex </w:t>
      </w:r>
      <w:r w:rsidR="00444F89" w:rsidRPr="00DF5C23">
        <w:rPr>
          <w:noProof/>
          <w:lang w:val="en-IE" w:eastAsia="fr-BE"/>
        </w:rPr>
        <w:t>I</w:t>
      </w:r>
      <w:r w:rsidR="00797F64" w:rsidRPr="00DF5C23">
        <w:rPr>
          <w:noProof/>
          <w:lang w:val="en-IE" w:eastAsia="fr-BE"/>
        </w:rPr>
        <w:t xml:space="preserve"> while in </w:t>
      </w:r>
      <w:r w:rsidR="00F551EB" w:rsidRPr="00DF5C23">
        <w:rPr>
          <w:noProof/>
          <w:lang w:val="en-IE" w:eastAsia="fr-BE"/>
        </w:rPr>
        <w:t>use</w:t>
      </w:r>
      <w:r w:rsidR="00C728A2" w:rsidRPr="00DF5C23">
        <w:rPr>
          <w:noProof/>
          <w:lang w:val="en-IE" w:eastAsia="fr-BE"/>
        </w:rPr>
        <w:t>,</w:t>
      </w:r>
      <w:r w:rsidR="00A149F6" w:rsidRPr="00DF5C23">
        <w:rPr>
          <w:noProof/>
          <w:lang w:val="en-IE" w:eastAsia="fr-BE"/>
        </w:rPr>
        <w:t xml:space="preserve"> pursuant to Article 4, </w:t>
      </w:r>
      <w:r w:rsidR="002438E5" w:rsidRPr="00DF5C23">
        <w:rPr>
          <w:noProof/>
          <w:lang w:val="en-IE" w:eastAsia="fr-BE"/>
        </w:rPr>
        <w:t>third subparagraph, point (c</w:t>
      </w:r>
      <w:r w:rsidR="00A149F6" w:rsidRPr="00DF5C23">
        <w:rPr>
          <w:noProof/>
          <w:lang w:val="en-IE" w:eastAsia="fr-BE"/>
        </w:rPr>
        <w:t>), the Commission shall take into account the following criteria:</w:t>
      </w:r>
    </w:p>
    <w:p w14:paraId="2C3A57C3" w14:textId="4DCCD6C4" w:rsidR="00D024D6" w:rsidRPr="00DF5C23" w:rsidRDefault="004F5E59" w:rsidP="004F5E59">
      <w:pPr>
        <w:pStyle w:val="Point1"/>
        <w:rPr>
          <w:noProof/>
          <w:lang w:val="en-IE" w:eastAsia="fr-BE"/>
        </w:rPr>
      </w:pPr>
      <w:r w:rsidRPr="004F5E59">
        <w:t>(a)</w:t>
      </w:r>
      <w:r w:rsidRPr="004F5E59">
        <w:tab/>
      </w:r>
      <w:r w:rsidR="00C306EB" w:rsidRPr="00DF5C23">
        <w:rPr>
          <w:noProof/>
          <w:lang w:val="en-IE" w:eastAsia="fr-BE"/>
        </w:rPr>
        <w:t>the usefulness</w:t>
      </w:r>
      <w:r w:rsidR="00CD6667" w:rsidRPr="00DF5C23">
        <w:rPr>
          <w:noProof/>
          <w:lang w:val="en-IE" w:eastAsia="fr-BE"/>
        </w:rPr>
        <w:t xml:space="preserve"> of</w:t>
      </w:r>
      <w:r w:rsidR="00D024D6" w:rsidRPr="00DF5C23">
        <w:rPr>
          <w:noProof/>
          <w:lang w:val="en-IE" w:eastAsia="fr-BE"/>
        </w:rPr>
        <w:t xml:space="preserve"> in-use data </w:t>
      </w:r>
      <w:r w:rsidR="00CD6667" w:rsidRPr="00DF5C23">
        <w:rPr>
          <w:noProof/>
          <w:lang w:val="en-IE" w:eastAsia="fr-BE"/>
        </w:rPr>
        <w:t>for</w:t>
      </w:r>
      <w:r w:rsidR="00D024D6" w:rsidRPr="00DF5C23">
        <w:rPr>
          <w:noProof/>
          <w:lang w:val="en-IE" w:eastAsia="fr-BE"/>
        </w:rPr>
        <w:t xml:space="preserve"> end-users </w:t>
      </w:r>
      <w:r w:rsidR="00CD6667" w:rsidRPr="00DF5C23">
        <w:rPr>
          <w:noProof/>
          <w:lang w:val="en-IE" w:eastAsia="fr-BE"/>
        </w:rPr>
        <w:t>to</w:t>
      </w:r>
      <w:r w:rsidR="00D024D6" w:rsidRPr="00DF5C23">
        <w:rPr>
          <w:noProof/>
          <w:lang w:val="en-IE" w:eastAsia="fr-BE"/>
        </w:rPr>
        <w:t xml:space="preserve"> understand and manage the energy use or performance of the </w:t>
      </w:r>
      <w:r w:rsidR="00CD6667" w:rsidRPr="00DF5C23">
        <w:rPr>
          <w:noProof/>
          <w:lang w:val="en-IE" w:eastAsia="fr-BE"/>
        </w:rPr>
        <w:t>product</w:t>
      </w:r>
      <w:r w:rsidR="00DD7EC1" w:rsidRPr="00DF5C23">
        <w:rPr>
          <w:noProof/>
          <w:lang w:val="en-IE" w:eastAsia="fr-BE"/>
        </w:rPr>
        <w:t>;</w:t>
      </w:r>
    </w:p>
    <w:p w14:paraId="2C3A57C4" w14:textId="39E2D331" w:rsidR="00A149F6" w:rsidRPr="00DF5C23" w:rsidRDefault="004F5E59" w:rsidP="004F5E59">
      <w:pPr>
        <w:pStyle w:val="Point1"/>
        <w:rPr>
          <w:noProof/>
          <w:lang w:val="en-IE" w:eastAsia="fr-BE"/>
        </w:rPr>
      </w:pPr>
      <w:r w:rsidRPr="004F5E59">
        <w:t>(b)</w:t>
      </w:r>
      <w:r w:rsidRPr="004F5E59">
        <w:tab/>
      </w:r>
      <w:r w:rsidR="00D024D6" w:rsidRPr="00DF5C23">
        <w:rPr>
          <w:noProof/>
          <w:lang w:val="en-IE" w:eastAsia="fr-BE"/>
        </w:rPr>
        <w:t xml:space="preserve">the technical feasibility of </w:t>
      </w:r>
      <w:r w:rsidR="00CD6667" w:rsidRPr="00DF5C23">
        <w:rPr>
          <w:noProof/>
          <w:lang w:val="en-IE" w:eastAsia="fr-BE"/>
        </w:rPr>
        <w:t>recording in-use data;</w:t>
      </w:r>
    </w:p>
    <w:p w14:paraId="2C3A57C5" w14:textId="1AE7638D" w:rsidR="00CD6667" w:rsidRPr="00DF5C23" w:rsidRDefault="004F5E59" w:rsidP="004F5E59">
      <w:pPr>
        <w:pStyle w:val="Point1"/>
        <w:rPr>
          <w:noProof/>
          <w:lang w:val="en-IE" w:eastAsia="fr-BE"/>
        </w:rPr>
      </w:pPr>
      <w:r w:rsidRPr="004F5E59">
        <w:t>(c)</w:t>
      </w:r>
      <w:r w:rsidRPr="004F5E59">
        <w:tab/>
      </w:r>
      <w:r w:rsidR="00CD6667" w:rsidRPr="00DF5C23">
        <w:rPr>
          <w:noProof/>
          <w:lang w:val="en-IE" w:eastAsia="fr-BE"/>
        </w:rPr>
        <w:t>the need to avoid disproportionate administrative burden for economic operators.</w:t>
      </w:r>
    </w:p>
    <w:p w14:paraId="2C3A57C6" w14:textId="77777777" w:rsidR="005F4866" w:rsidRPr="00DF5C23" w:rsidRDefault="00A149F6">
      <w:pPr>
        <w:pStyle w:val="Text1"/>
        <w:rPr>
          <w:noProof/>
          <w:lang w:val="en-IE" w:eastAsia="fr-BE"/>
        </w:rPr>
      </w:pPr>
      <w:r w:rsidRPr="00DF5C23">
        <w:rPr>
          <w:noProof/>
          <w:lang w:val="en-IE" w:eastAsia="fr-BE"/>
        </w:rPr>
        <w:t>P</w:t>
      </w:r>
      <w:r w:rsidR="00F551EB" w:rsidRPr="00DF5C23">
        <w:rPr>
          <w:noProof/>
          <w:lang w:val="en-IE" w:eastAsia="fr-BE"/>
        </w:rPr>
        <w:t>roduct</w:t>
      </w:r>
      <w:r w:rsidRPr="00DF5C23">
        <w:rPr>
          <w:noProof/>
          <w:lang w:val="en-IE" w:eastAsia="fr-BE"/>
        </w:rPr>
        <w:t xml:space="preserve">s covered by a requirement set pursuant to Article 4, </w:t>
      </w:r>
      <w:r w:rsidR="002438E5" w:rsidRPr="00DF5C23">
        <w:rPr>
          <w:noProof/>
          <w:lang w:val="en-IE" w:eastAsia="fr-BE"/>
        </w:rPr>
        <w:t xml:space="preserve">third subparagraph, </w:t>
      </w:r>
      <w:r w:rsidRPr="00DF5C23">
        <w:rPr>
          <w:noProof/>
          <w:lang w:val="en-IE" w:eastAsia="fr-BE"/>
        </w:rPr>
        <w:t>point (</w:t>
      </w:r>
      <w:r w:rsidR="002438E5" w:rsidRPr="00DF5C23">
        <w:rPr>
          <w:noProof/>
          <w:lang w:val="en-IE" w:eastAsia="fr-BE"/>
        </w:rPr>
        <w:t>c</w:t>
      </w:r>
      <w:r w:rsidRPr="00DF5C23">
        <w:rPr>
          <w:noProof/>
          <w:lang w:val="en-IE" w:eastAsia="fr-BE"/>
        </w:rPr>
        <w:t>),</w:t>
      </w:r>
      <w:r w:rsidR="00F551EB" w:rsidRPr="00DF5C23">
        <w:rPr>
          <w:noProof/>
          <w:lang w:val="en-IE" w:eastAsia="fr-BE"/>
        </w:rPr>
        <w:t xml:space="preserve"> shall </w:t>
      </w:r>
      <w:r w:rsidR="005F4866" w:rsidRPr="00DF5C23">
        <w:rPr>
          <w:noProof/>
          <w:lang w:val="en-IE" w:eastAsia="fr-BE"/>
        </w:rPr>
        <w:t xml:space="preserve">record the resulting </w:t>
      </w:r>
      <w:r w:rsidR="00D90F16" w:rsidRPr="00DF5C23">
        <w:rPr>
          <w:noProof/>
          <w:lang w:val="en-IE" w:eastAsia="fr-BE"/>
        </w:rPr>
        <w:t>in-</w:t>
      </w:r>
      <w:r w:rsidR="00654D12" w:rsidRPr="00DF5C23">
        <w:rPr>
          <w:noProof/>
          <w:lang w:eastAsia="fr-BE"/>
        </w:rPr>
        <w:t xml:space="preserve">use data </w:t>
      </w:r>
      <w:r w:rsidR="005F4866" w:rsidRPr="00DF5C23">
        <w:rPr>
          <w:noProof/>
          <w:lang w:val="en-IE" w:eastAsia="fr-BE"/>
        </w:rPr>
        <w:t>and make it visible to the end</w:t>
      </w:r>
      <w:r w:rsidR="00654D12" w:rsidRPr="00DF5C23">
        <w:rPr>
          <w:noProof/>
          <w:lang w:val="en-IE" w:eastAsia="fr-BE"/>
        </w:rPr>
        <w:t>-</w:t>
      </w:r>
      <w:r w:rsidR="005F4866" w:rsidRPr="00DF5C23">
        <w:rPr>
          <w:noProof/>
          <w:lang w:val="en-IE" w:eastAsia="fr-BE"/>
        </w:rPr>
        <w:t>user.</w:t>
      </w:r>
    </w:p>
    <w:p w14:paraId="2C3A57C7" w14:textId="7159BE53" w:rsidR="00C81962" w:rsidRPr="00DF5C23" w:rsidRDefault="004F5E59" w:rsidP="004F5E59">
      <w:pPr>
        <w:pStyle w:val="ManualNumPar1"/>
        <w:rPr>
          <w:noProof/>
          <w:lang w:val="en-IE" w:eastAsia="fr-BE"/>
        </w:rPr>
      </w:pPr>
      <w:r w:rsidRPr="004F5E59">
        <w:t>3.</w:t>
      </w:r>
      <w:r w:rsidRPr="004F5E59">
        <w:tab/>
      </w:r>
      <w:r w:rsidR="00CD6667" w:rsidRPr="00DF5C23">
        <w:rPr>
          <w:noProof/>
          <w:lang w:val="en-IE" w:eastAsia="fr-BE"/>
        </w:rPr>
        <w:t xml:space="preserve">When requiring manufacturers, their authorised representatives or importers </w:t>
      </w:r>
      <w:r w:rsidR="004F3DEB" w:rsidRPr="00DF5C23">
        <w:rPr>
          <w:noProof/>
          <w:lang w:val="en-IE" w:eastAsia="fr-BE"/>
        </w:rPr>
        <w:t>to collect, anonymise or report to the Commission</w:t>
      </w:r>
      <w:r w:rsidR="00CD6667" w:rsidRPr="00DF5C23">
        <w:rPr>
          <w:noProof/>
          <w:lang w:val="en-IE" w:eastAsia="fr-BE"/>
        </w:rPr>
        <w:t xml:space="preserve"> in-use data </w:t>
      </w:r>
      <w:r w:rsidR="004F3DEB" w:rsidRPr="00DF5C23">
        <w:rPr>
          <w:noProof/>
          <w:lang w:val="en-IE" w:eastAsia="fr-BE"/>
        </w:rPr>
        <w:t>referred to in</w:t>
      </w:r>
      <w:r w:rsidR="00CD6667" w:rsidRPr="00DF5C23">
        <w:rPr>
          <w:noProof/>
          <w:lang w:val="en-IE" w:eastAsia="fr-BE"/>
        </w:rPr>
        <w:t xml:space="preserve"> paragraph 2</w:t>
      </w:r>
      <w:r w:rsidR="00185F84" w:rsidRPr="00DF5C23">
        <w:rPr>
          <w:noProof/>
          <w:lang w:val="en-IE" w:eastAsia="fr-BE"/>
        </w:rPr>
        <w:t>,</w:t>
      </w:r>
      <w:r w:rsidR="00CD6667" w:rsidRPr="00DF5C23">
        <w:rPr>
          <w:noProof/>
          <w:lang w:val="en-IE" w:eastAsia="fr-BE"/>
        </w:rPr>
        <w:t xml:space="preserve"> pursuant to Article 4, third subparagraph, point (d), the Commission shall take into account the following criteria:</w:t>
      </w:r>
    </w:p>
    <w:p w14:paraId="2C3A57C8" w14:textId="506FF012" w:rsidR="00CD6667" w:rsidRPr="00DF5C23" w:rsidRDefault="004F5E59" w:rsidP="004F5E59">
      <w:pPr>
        <w:pStyle w:val="Point1"/>
        <w:rPr>
          <w:noProof/>
          <w:lang w:val="en-IE" w:eastAsia="fr-BE"/>
        </w:rPr>
      </w:pPr>
      <w:r w:rsidRPr="004F5E59">
        <w:t>(a)</w:t>
      </w:r>
      <w:r w:rsidRPr="004F5E59">
        <w:tab/>
      </w:r>
      <w:r w:rsidR="00CD6667" w:rsidRPr="00DF5C23">
        <w:rPr>
          <w:noProof/>
          <w:lang w:val="en-IE" w:eastAsia="fr-BE"/>
        </w:rPr>
        <w:t xml:space="preserve">the usefulness </w:t>
      </w:r>
      <w:r w:rsidR="004F3DEB" w:rsidRPr="00DF5C23">
        <w:rPr>
          <w:noProof/>
          <w:lang w:val="en-IE" w:eastAsia="fr-BE"/>
        </w:rPr>
        <w:t>of in-use</w:t>
      </w:r>
      <w:r w:rsidR="00CD6667" w:rsidRPr="00DF5C23">
        <w:rPr>
          <w:noProof/>
          <w:lang w:val="en-IE" w:eastAsia="fr-BE"/>
        </w:rPr>
        <w:t xml:space="preserve"> data </w:t>
      </w:r>
      <w:r w:rsidR="004F3DEB" w:rsidRPr="00DF5C23">
        <w:rPr>
          <w:noProof/>
          <w:lang w:val="en-IE" w:eastAsia="fr-BE"/>
        </w:rPr>
        <w:t>for the</w:t>
      </w:r>
      <w:r w:rsidR="00CD6667" w:rsidRPr="00DF5C23">
        <w:rPr>
          <w:noProof/>
          <w:lang w:val="en-IE" w:eastAsia="fr-BE"/>
        </w:rPr>
        <w:t xml:space="preserve"> Commission </w:t>
      </w:r>
      <w:r w:rsidR="004F3DEB" w:rsidRPr="00DF5C23">
        <w:rPr>
          <w:noProof/>
          <w:lang w:val="en-IE" w:eastAsia="fr-BE"/>
        </w:rPr>
        <w:t>when reviewing</w:t>
      </w:r>
      <w:r w:rsidR="00CD6667" w:rsidRPr="00DF5C23">
        <w:rPr>
          <w:noProof/>
          <w:lang w:val="en-IE" w:eastAsia="fr-BE"/>
        </w:rPr>
        <w:t xml:space="preserve"> ecodesign requirements </w:t>
      </w:r>
      <w:r w:rsidR="004F3DEB" w:rsidRPr="00DF5C23">
        <w:rPr>
          <w:noProof/>
          <w:lang w:val="en-IE" w:eastAsia="fr-BE"/>
        </w:rPr>
        <w:t>or</w:t>
      </w:r>
      <w:r w:rsidR="00CD6667" w:rsidRPr="00DF5C23">
        <w:rPr>
          <w:noProof/>
          <w:lang w:val="en-IE" w:eastAsia="fr-BE"/>
        </w:rPr>
        <w:t xml:space="preserve"> assisting market surveillance authorities with  statistical informatio</w:t>
      </w:r>
      <w:r w:rsidR="004F3DEB" w:rsidRPr="00DF5C23">
        <w:rPr>
          <w:noProof/>
          <w:lang w:val="en-IE" w:eastAsia="fr-BE"/>
        </w:rPr>
        <w:t>n for their risk-based analysis;</w:t>
      </w:r>
      <w:r w:rsidR="00CD6667" w:rsidRPr="00DF5C23">
        <w:rPr>
          <w:noProof/>
          <w:lang w:val="en-IE" w:eastAsia="fr-BE"/>
        </w:rPr>
        <w:t xml:space="preserve"> </w:t>
      </w:r>
    </w:p>
    <w:p w14:paraId="2C3A57C9" w14:textId="57FE437D" w:rsidR="00CD6667" w:rsidRPr="00DF5C23" w:rsidRDefault="004F5E59" w:rsidP="004F5E59">
      <w:pPr>
        <w:pStyle w:val="Point1"/>
        <w:rPr>
          <w:noProof/>
          <w:lang w:val="en-IE" w:eastAsia="fr-BE"/>
        </w:rPr>
      </w:pPr>
      <w:r w:rsidRPr="004F5E59">
        <w:t>(b)</w:t>
      </w:r>
      <w:r w:rsidRPr="004F5E59">
        <w:tab/>
      </w:r>
      <w:r w:rsidR="004F3DEB" w:rsidRPr="00DF5C23">
        <w:rPr>
          <w:noProof/>
          <w:lang w:val="en-IE" w:eastAsia="fr-BE"/>
        </w:rPr>
        <w:t>the need to avoid disproportionate administrative burden for economic operators</w:t>
      </w:r>
      <w:r w:rsidR="005A5D00" w:rsidRPr="00DF5C23">
        <w:rPr>
          <w:noProof/>
          <w:lang w:val="en-IE" w:eastAsia="fr-BE"/>
        </w:rPr>
        <w:t>.</w:t>
      </w:r>
    </w:p>
    <w:p w14:paraId="2C3A57CA" w14:textId="77777777" w:rsidR="00CD6667" w:rsidRPr="00DF5C23" w:rsidRDefault="00CD6667" w:rsidP="00EC0E40">
      <w:pPr>
        <w:pStyle w:val="Text1"/>
        <w:rPr>
          <w:noProof/>
          <w:lang w:val="en-IE" w:eastAsia="fr-BE"/>
        </w:rPr>
      </w:pPr>
      <w:r w:rsidRPr="00DF5C23">
        <w:rPr>
          <w:noProof/>
          <w:lang w:val="en-IE" w:eastAsia="fr-BE"/>
        </w:rPr>
        <w:t xml:space="preserve">Such requirements </w:t>
      </w:r>
      <w:r w:rsidR="004F3DEB" w:rsidRPr="00DF5C23">
        <w:rPr>
          <w:noProof/>
          <w:lang w:val="en-IE" w:eastAsia="fr-BE"/>
        </w:rPr>
        <w:t xml:space="preserve">referred to in the first subparagraph </w:t>
      </w:r>
      <w:r w:rsidRPr="00DF5C23">
        <w:rPr>
          <w:noProof/>
          <w:lang w:val="en-IE" w:eastAsia="fr-BE"/>
        </w:rPr>
        <w:t xml:space="preserve">may </w:t>
      </w:r>
      <w:r w:rsidR="004F3DEB" w:rsidRPr="00DF5C23">
        <w:rPr>
          <w:noProof/>
          <w:lang w:val="en-IE" w:eastAsia="fr-BE"/>
        </w:rPr>
        <w:t xml:space="preserve">in particular </w:t>
      </w:r>
      <w:r w:rsidRPr="00DF5C23">
        <w:rPr>
          <w:noProof/>
          <w:lang w:val="en-IE" w:eastAsia="fr-BE"/>
        </w:rPr>
        <w:t xml:space="preserve">consist of: </w:t>
      </w:r>
    </w:p>
    <w:p w14:paraId="2C3A57CB" w14:textId="625AFF3A" w:rsidR="00C81962" w:rsidRPr="00DF5C23" w:rsidRDefault="004F5E59" w:rsidP="004F5E59">
      <w:pPr>
        <w:pStyle w:val="Point1"/>
        <w:rPr>
          <w:noProof/>
          <w:lang w:val="en-IE" w:eastAsia="fr-BE"/>
        </w:rPr>
      </w:pPr>
      <w:r w:rsidRPr="004F5E59">
        <w:t>(a)</w:t>
      </w:r>
      <w:r w:rsidRPr="004F5E59">
        <w:tab/>
      </w:r>
      <w:r w:rsidR="00C81962" w:rsidRPr="00DF5C23">
        <w:rPr>
          <w:noProof/>
          <w:lang w:val="en-IE" w:eastAsia="fr-BE"/>
        </w:rPr>
        <w:t>collect</w:t>
      </w:r>
      <w:r w:rsidR="004F3DEB" w:rsidRPr="00DF5C23">
        <w:rPr>
          <w:noProof/>
          <w:lang w:val="en-IE" w:eastAsia="fr-BE"/>
        </w:rPr>
        <w:t>ing</w:t>
      </w:r>
      <w:r w:rsidR="00C81962" w:rsidRPr="00DF5C23">
        <w:rPr>
          <w:noProof/>
          <w:lang w:val="en-IE" w:eastAsia="fr-BE"/>
        </w:rPr>
        <w:t xml:space="preserve"> the </w:t>
      </w:r>
      <w:r w:rsidR="00D90F16" w:rsidRPr="00DF5C23">
        <w:rPr>
          <w:noProof/>
          <w:lang w:val="en-IE" w:eastAsia="fr-BE"/>
        </w:rPr>
        <w:t>in-</w:t>
      </w:r>
      <w:r w:rsidR="005F4866" w:rsidRPr="00DF5C23">
        <w:rPr>
          <w:noProof/>
          <w:lang w:val="en-IE" w:eastAsia="fr-BE"/>
        </w:rPr>
        <w:t>use</w:t>
      </w:r>
      <w:r w:rsidR="00C81962" w:rsidRPr="00DF5C23">
        <w:rPr>
          <w:noProof/>
          <w:lang w:val="en-IE" w:eastAsia="fr-BE"/>
        </w:rPr>
        <w:t xml:space="preserve"> </w:t>
      </w:r>
      <w:r w:rsidR="00C60909" w:rsidRPr="00DF5C23">
        <w:rPr>
          <w:noProof/>
          <w:lang w:val="en-IE" w:eastAsia="fr-BE"/>
        </w:rPr>
        <w:t xml:space="preserve">data </w:t>
      </w:r>
      <w:r w:rsidR="00AA3D26" w:rsidRPr="00DF5C23">
        <w:rPr>
          <w:noProof/>
          <w:lang w:val="en-IE" w:eastAsia="fr-BE"/>
        </w:rPr>
        <w:t>if it</w:t>
      </w:r>
      <w:r w:rsidR="00C60909" w:rsidRPr="00DF5C23">
        <w:rPr>
          <w:noProof/>
          <w:lang w:val="en-IE" w:eastAsia="fr-BE"/>
        </w:rPr>
        <w:t xml:space="preserve"> </w:t>
      </w:r>
      <w:r w:rsidR="00C81962" w:rsidRPr="00DF5C23">
        <w:rPr>
          <w:noProof/>
          <w:lang w:val="en-IE" w:eastAsia="fr-BE"/>
        </w:rPr>
        <w:t>can be accessed remotely via the internet, unless the end-user expressly refuses to make that data available</w:t>
      </w:r>
      <w:r w:rsidR="00C60909" w:rsidRPr="00DF5C23">
        <w:rPr>
          <w:noProof/>
          <w:lang w:val="en-IE" w:eastAsia="fr-BE"/>
        </w:rPr>
        <w:t>;</w:t>
      </w:r>
      <w:r w:rsidR="00C81962" w:rsidRPr="00DF5C23">
        <w:rPr>
          <w:noProof/>
          <w:lang w:val="en-IE" w:eastAsia="fr-BE"/>
        </w:rPr>
        <w:t xml:space="preserve"> </w:t>
      </w:r>
    </w:p>
    <w:p w14:paraId="2C3A57CC" w14:textId="311DE15A" w:rsidR="00797F64" w:rsidRPr="00DF5C23" w:rsidRDefault="004F5E59" w:rsidP="004F5E59">
      <w:pPr>
        <w:pStyle w:val="Point1"/>
        <w:rPr>
          <w:noProof/>
          <w:lang w:val="en-IE" w:eastAsia="fr-BE"/>
        </w:rPr>
      </w:pPr>
      <w:r w:rsidRPr="004F5E59">
        <w:t>(b)</w:t>
      </w:r>
      <w:r w:rsidRPr="004F5E59">
        <w:tab/>
      </w:r>
      <w:r w:rsidR="00C81962" w:rsidRPr="00DF5C23">
        <w:rPr>
          <w:noProof/>
          <w:lang w:val="en-IE" w:eastAsia="fr-BE"/>
        </w:rPr>
        <w:t>anonymis</w:t>
      </w:r>
      <w:r w:rsidR="004F3DEB" w:rsidRPr="00DF5C23">
        <w:rPr>
          <w:noProof/>
          <w:lang w:val="en-IE" w:eastAsia="fr-BE"/>
        </w:rPr>
        <w:t>ing</w:t>
      </w:r>
      <w:r w:rsidR="00C81962" w:rsidRPr="00DF5C23">
        <w:rPr>
          <w:noProof/>
          <w:lang w:val="en-IE" w:eastAsia="fr-BE"/>
        </w:rPr>
        <w:t xml:space="preserve"> the data collected </w:t>
      </w:r>
      <w:r w:rsidR="00C60909" w:rsidRPr="00DF5C23">
        <w:rPr>
          <w:noProof/>
          <w:lang w:val="en-IE" w:eastAsia="fr-BE"/>
        </w:rPr>
        <w:t>under point (a)</w:t>
      </w:r>
      <w:r w:rsidR="00C81962" w:rsidRPr="00DF5C23">
        <w:rPr>
          <w:noProof/>
          <w:lang w:val="en-IE" w:eastAsia="fr-BE"/>
        </w:rPr>
        <w:t xml:space="preserve"> and report it to the Commission</w:t>
      </w:r>
      <w:r w:rsidR="00D024D6" w:rsidRPr="00DF5C23">
        <w:rPr>
          <w:noProof/>
          <w:lang w:val="en-IE" w:eastAsia="fr-BE"/>
        </w:rPr>
        <w:t xml:space="preserve"> at least once a year</w:t>
      </w:r>
      <w:r w:rsidR="00C81962" w:rsidRPr="00DF5C23">
        <w:rPr>
          <w:noProof/>
          <w:lang w:val="en-IE" w:eastAsia="fr-BE"/>
        </w:rPr>
        <w:t xml:space="preserve">. </w:t>
      </w:r>
      <w:r w:rsidR="005F4866" w:rsidRPr="00DF5C23">
        <w:rPr>
          <w:noProof/>
          <w:lang w:val="en-IE" w:eastAsia="fr-BE"/>
        </w:rPr>
        <w:t xml:space="preserve">The </w:t>
      </w:r>
      <w:r w:rsidR="003F0F2A" w:rsidRPr="00DF5C23">
        <w:rPr>
          <w:noProof/>
          <w:lang w:val="en-IE" w:eastAsia="fr-BE"/>
        </w:rPr>
        <w:t xml:space="preserve">economic operator </w:t>
      </w:r>
      <w:r w:rsidR="00C81962" w:rsidRPr="00DF5C23">
        <w:rPr>
          <w:noProof/>
          <w:lang w:val="en-IE" w:eastAsia="fr-BE"/>
        </w:rPr>
        <w:t xml:space="preserve">shall include the product database identification number of the model </w:t>
      </w:r>
      <w:r w:rsidR="005F4866" w:rsidRPr="00DF5C23">
        <w:rPr>
          <w:noProof/>
          <w:lang w:val="en-IE" w:eastAsia="fr-BE"/>
        </w:rPr>
        <w:t>as referred to in Article 12(5) of Regulation (EU) No 2017/1369</w:t>
      </w:r>
      <w:r w:rsidR="00C81962" w:rsidRPr="00DF5C23">
        <w:rPr>
          <w:noProof/>
          <w:lang w:val="en-IE" w:eastAsia="fr-BE"/>
        </w:rPr>
        <w:t xml:space="preserve"> and</w:t>
      </w:r>
      <w:r w:rsidR="005F4866" w:rsidRPr="00DF5C23">
        <w:rPr>
          <w:noProof/>
          <w:lang w:val="en-IE" w:eastAsia="fr-BE"/>
        </w:rPr>
        <w:t xml:space="preserve">, if relevant to </w:t>
      </w:r>
      <w:r w:rsidR="00063E2F" w:rsidRPr="00DF5C23">
        <w:rPr>
          <w:noProof/>
          <w:lang w:val="en-IE" w:eastAsia="fr-BE"/>
        </w:rPr>
        <w:t xml:space="preserve">their </w:t>
      </w:r>
      <w:r w:rsidR="005F4866" w:rsidRPr="00DF5C23">
        <w:rPr>
          <w:noProof/>
          <w:lang w:val="en-IE" w:eastAsia="fr-BE"/>
        </w:rPr>
        <w:t>performance,</w:t>
      </w:r>
      <w:r w:rsidR="00C60909" w:rsidRPr="00DF5C23">
        <w:rPr>
          <w:noProof/>
          <w:lang w:val="en-IE" w:eastAsia="fr-BE"/>
        </w:rPr>
        <w:t xml:space="preserve"> </w:t>
      </w:r>
      <w:r w:rsidR="491984A0" w:rsidRPr="00DF5C23">
        <w:rPr>
          <w:noProof/>
          <w:lang w:val="en-IE" w:eastAsia="fr-BE"/>
        </w:rPr>
        <w:t xml:space="preserve">geographical </w:t>
      </w:r>
      <w:r w:rsidR="00C60909" w:rsidRPr="00DF5C23">
        <w:rPr>
          <w:noProof/>
          <w:lang w:val="en-IE" w:eastAsia="fr-BE"/>
        </w:rPr>
        <w:t xml:space="preserve">information </w:t>
      </w:r>
      <w:r w:rsidR="00063E2F" w:rsidRPr="00DF5C23">
        <w:rPr>
          <w:noProof/>
          <w:lang w:val="en-IE" w:eastAsia="fr-BE"/>
        </w:rPr>
        <w:t>on the products</w:t>
      </w:r>
      <w:r w:rsidR="00C60909" w:rsidRPr="00DF5C23">
        <w:rPr>
          <w:noProof/>
          <w:lang w:val="en-IE" w:eastAsia="fr-BE"/>
        </w:rPr>
        <w:t>.</w:t>
      </w:r>
      <w:r w:rsidR="00C81962" w:rsidRPr="00DF5C23">
        <w:rPr>
          <w:noProof/>
          <w:lang w:val="en-IE" w:eastAsia="fr-BE"/>
        </w:rPr>
        <w:t xml:space="preserve"> </w:t>
      </w:r>
    </w:p>
    <w:p w14:paraId="2C3A57CD" w14:textId="77777777" w:rsidR="00185F84" w:rsidRPr="00DF5C23" w:rsidRDefault="00A149F6" w:rsidP="00185F84">
      <w:pPr>
        <w:pStyle w:val="Text1"/>
        <w:rPr>
          <w:noProof/>
          <w:lang w:val="en-IE" w:eastAsia="fr-BE"/>
        </w:rPr>
      </w:pPr>
      <w:r w:rsidRPr="00DF5C23">
        <w:rPr>
          <w:noProof/>
          <w:lang w:val="en-IE" w:eastAsia="fr-BE"/>
        </w:rPr>
        <w:t>T</w:t>
      </w:r>
      <w:r w:rsidR="00AA3D26" w:rsidRPr="00DF5C23">
        <w:rPr>
          <w:noProof/>
          <w:lang w:val="en-IE" w:eastAsia="fr-BE"/>
        </w:rPr>
        <w:t>he Commission</w:t>
      </w:r>
      <w:r w:rsidR="00C42EA5" w:rsidRPr="00DF5C23">
        <w:rPr>
          <w:noProof/>
          <w:lang w:val="en-IE" w:eastAsia="fr-BE"/>
        </w:rPr>
        <w:t xml:space="preserve"> </w:t>
      </w:r>
      <w:r w:rsidR="004705FB" w:rsidRPr="00DF5C23">
        <w:rPr>
          <w:noProof/>
          <w:lang w:val="en-IE" w:eastAsia="fr-BE"/>
        </w:rPr>
        <w:t>shall</w:t>
      </w:r>
      <w:r w:rsidRPr="00DF5C23">
        <w:rPr>
          <w:noProof/>
          <w:lang w:val="en-IE" w:eastAsia="fr-BE"/>
        </w:rPr>
        <w:t xml:space="preserve"> </w:t>
      </w:r>
      <w:r w:rsidR="004705FB" w:rsidRPr="00DF5C23">
        <w:rPr>
          <w:noProof/>
          <w:lang w:val="en-IE" w:eastAsia="fr-BE"/>
        </w:rPr>
        <w:t xml:space="preserve">specify the </w:t>
      </w:r>
      <w:r w:rsidR="00063E2F" w:rsidRPr="00DF5C23">
        <w:rPr>
          <w:noProof/>
          <w:lang w:val="en-IE" w:eastAsia="fr-BE"/>
        </w:rPr>
        <w:t xml:space="preserve">details and format for reporting the </w:t>
      </w:r>
      <w:r w:rsidR="00D90F16" w:rsidRPr="00DF5C23">
        <w:rPr>
          <w:noProof/>
          <w:lang w:val="en-IE" w:eastAsia="fr-BE"/>
        </w:rPr>
        <w:t>in-</w:t>
      </w:r>
      <w:r w:rsidR="00063E2F" w:rsidRPr="00DF5C23">
        <w:rPr>
          <w:noProof/>
          <w:lang w:val="en-IE" w:eastAsia="fr-BE"/>
        </w:rPr>
        <w:t xml:space="preserve">use data as referred to in </w:t>
      </w:r>
      <w:r w:rsidR="00185F84" w:rsidRPr="00DF5C23">
        <w:rPr>
          <w:noProof/>
          <w:lang w:val="en-IE" w:eastAsia="fr-BE"/>
        </w:rPr>
        <w:t xml:space="preserve">the second subparagraph, </w:t>
      </w:r>
      <w:r w:rsidR="00063E2F" w:rsidRPr="00DF5C23">
        <w:rPr>
          <w:noProof/>
          <w:lang w:val="en-IE" w:eastAsia="fr-BE"/>
        </w:rPr>
        <w:t>point (b).</w:t>
      </w:r>
      <w:r w:rsidR="004705FB" w:rsidRPr="00DF5C23">
        <w:rPr>
          <w:noProof/>
          <w:lang w:val="en-IE" w:eastAsia="fr-BE"/>
        </w:rPr>
        <w:t xml:space="preserve"> </w:t>
      </w:r>
    </w:p>
    <w:p w14:paraId="2C3A57CE" w14:textId="2460D025" w:rsidR="00646885" w:rsidRPr="00DF5C23" w:rsidRDefault="004F5E59" w:rsidP="004F5E59">
      <w:pPr>
        <w:pStyle w:val="ManualNumPar1"/>
        <w:rPr>
          <w:noProof/>
          <w:lang w:val="en-IE" w:eastAsia="fr-BE"/>
        </w:rPr>
      </w:pPr>
      <w:r w:rsidRPr="004F5E59">
        <w:t>4.</w:t>
      </w:r>
      <w:r w:rsidRPr="004F5E59">
        <w:tab/>
      </w:r>
      <w:r w:rsidR="00797F64" w:rsidRPr="00DF5C23">
        <w:rPr>
          <w:noProof/>
          <w:lang w:val="en-IE" w:eastAsia="fr-BE"/>
        </w:rPr>
        <w:t xml:space="preserve">The Commission shall </w:t>
      </w:r>
      <w:r w:rsidR="00ED1E00" w:rsidRPr="00DF5C23">
        <w:rPr>
          <w:noProof/>
          <w:lang w:val="en-IE" w:eastAsia="fr-BE"/>
        </w:rPr>
        <w:t xml:space="preserve">periodically </w:t>
      </w:r>
      <w:r w:rsidR="00797F64" w:rsidRPr="00DF5C23">
        <w:rPr>
          <w:noProof/>
          <w:lang w:val="en-IE" w:eastAsia="fr-BE"/>
        </w:rPr>
        <w:t xml:space="preserve">assess the </w:t>
      </w:r>
      <w:r w:rsidR="00D90F16" w:rsidRPr="00DF5C23">
        <w:rPr>
          <w:noProof/>
          <w:lang w:val="en-IE" w:eastAsia="fr-BE"/>
        </w:rPr>
        <w:t>in-</w:t>
      </w:r>
      <w:r w:rsidR="00070BD5" w:rsidRPr="00DF5C23">
        <w:rPr>
          <w:noProof/>
          <w:lang w:val="en-IE" w:eastAsia="fr-BE"/>
        </w:rPr>
        <w:t xml:space="preserve">use </w:t>
      </w:r>
      <w:r w:rsidR="00797F64" w:rsidRPr="00DF5C23">
        <w:rPr>
          <w:noProof/>
          <w:lang w:val="en-IE" w:eastAsia="fr-BE"/>
        </w:rPr>
        <w:t xml:space="preserve">data received pursuant to paragraph </w:t>
      </w:r>
      <w:r w:rsidR="00070BD5" w:rsidRPr="00DF5C23">
        <w:rPr>
          <w:noProof/>
          <w:lang w:val="en-IE" w:eastAsia="fr-BE"/>
        </w:rPr>
        <w:t>3</w:t>
      </w:r>
      <w:r w:rsidR="00797F64" w:rsidRPr="00DF5C23">
        <w:rPr>
          <w:noProof/>
          <w:lang w:val="en-IE" w:eastAsia="fr-BE"/>
        </w:rPr>
        <w:t xml:space="preserve"> and shall</w:t>
      </w:r>
      <w:r w:rsidR="00070BD5" w:rsidRPr="00DF5C23">
        <w:rPr>
          <w:noProof/>
          <w:lang w:val="en-IE" w:eastAsia="fr-BE"/>
        </w:rPr>
        <w:t>, where approp</w:t>
      </w:r>
      <w:r w:rsidR="000108BB" w:rsidRPr="00DF5C23">
        <w:rPr>
          <w:noProof/>
          <w:lang w:val="en-IE" w:eastAsia="fr-BE"/>
        </w:rPr>
        <w:t>r</w:t>
      </w:r>
      <w:r w:rsidR="00070BD5" w:rsidRPr="00DF5C23">
        <w:rPr>
          <w:noProof/>
          <w:lang w:val="en-IE" w:eastAsia="fr-BE"/>
        </w:rPr>
        <w:t>iate,</w:t>
      </w:r>
      <w:r w:rsidR="00797F64" w:rsidRPr="00DF5C23">
        <w:rPr>
          <w:noProof/>
          <w:lang w:val="en-IE" w:eastAsia="fr-BE"/>
        </w:rPr>
        <w:t xml:space="preserve"> </w:t>
      </w:r>
      <w:r w:rsidR="00070BD5" w:rsidRPr="00DF5C23">
        <w:rPr>
          <w:noProof/>
          <w:lang w:val="en-IE" w:eastAsia="fr-BE"/>
        </w:rPr>
        <w:t>publish</w:t>
      </w:r>
      <w:r w:rsidR="00797F64" w:rsidRPr="00DF5C23">
        <w:rPr>
          <w:noProof/>
          <w:lang w:val="en-IE" w:eastAsia="fr-BE"/>
        </w:rPr>
        <w:t xml:space="preserve"> aggregated datasets</w:t>
      </w:r>
      <w:r w:rsidR="00185F84" w:rsidRPr="00DF5C23">
        <w:rPr>
          <w:noProof/>
          <w:lang w:val="en-IE" w:eastAsia="fr-BE"/>
        </w:rPr>
        <w:t>.</w:t>
      </w:r>
      <w:r w:rsidR="00797F64" w:rsidRPr="00DF5C23">
        <w:rPr>
          <w:noProof/>
          <w:lang w:val="en-IE" w:eastAsia="fr-BE"/>
        </w:rPr>
        <w:t xml:space="preserve"> </w:t>
      </w:r>
    </w:p>
    <w:p w14:paraId="2C3A57CF" w14:textId="77777777" w:rsidR="00775814" w:rsidRPr="00DF5C23" w:rsidRDefault="0681B866" w:rsidP="00BA4E97">
      <w:pPr>
        <w:pStyle w:val="ManualHeading1"/>
        <w:jc w:val="center"/>
        <w:rPr>
          <w:noProof/>
        </w:rPr>
      </w:pPr>
      <w:r w:rsidRPr="00DF5C23">
        <w:rPr>
          <w:noProof/>
        </w:rPr>
        <w:t>Chapter V</w:t>
      </w:r>
      <w:r w:rsidR="00A625AD" w:rsidRPr="00DF5C23">
        <w:rPr>
          <w:noProof/>
        </w:rPr>
        <w:t>I</w:t>
      </w:r>
      <w:r w:rsidR="00D531F0" w:rsidRPr="00DF5C23">
        <w:rPr>
          <w:noProof/>
        </w:rPr>
        <w:t>I</w:t>
      </w:r>
      <w:r w:rsidR="00A625AD" w:rsidRPr="00DF5C23">
        <w:rPr>
          <w:noProof/>
        </w:rPr>
        <w:t>I</w:t>
      </w:r>
      <w:r w:rsidR="00BA4E97" w:rsidRPr="00DF5C23">
        <w:rPr>
          <w:noProof/>
        </w:rPr>
        <w:t xml:space="preserve"> - </w:t>
      </w:r>
      <w:r w:rsidRPr="00DF5C23">
        <w:rPr>
          <w:noProof/>
        </w:rPr>
        <w:t>Conformity of products</w:t>
      </w:r>
    </w:p>
    <w:p w14:paraId="2C3A57D0" w14:textId="77777777" w:rsidR="00775814" w:rsidRPr="00DF5C23" w:rsidRDefault="00775814" w:rsidP="0681B866">
      <w:pPr>
        <w:pStyle w:val="Titrearticle"/>
        <w:rPr>
          <w:noProof/>
          <w:lang w:val="en-IE" w:eastAsia="fr-BE"/>
        </w:rPr>
      </w:pPr>
      <w:r w:rsidRPr="00DF5C23">
        <w:rPr>
          <w:noProof/>
          <w:lang w:val="en-IE" w:eastAsia="fr-BE"/>
        </w:rPr>
        <w:t xml:space="preserve">Article </w:t>
      </w:r>
      <w:r w:rsidR="00A67799" w:rsidRPr="00DF5C23">
        <w:rPr>
          <w:noProof/>
          <w:lang w:val="en-IE" w:eastAsia="fr-BE"/>
        </w:rPr>
        <w:t>3</w:t>
      </w:r>
      <w:r w:rsidR="001A4BE8" w:rsidRPr="00DF5C23">
        <w:rPr>
          <w:noProof/>
          <w:lang w:val="en-IE" w:eastAsia="fr-BE"/>
        </w:rPr>
        <w:t>2</w:t>
      </w:r>
      <w:r w:rsidRPr="00DF5C23">
        <w:rPr>
          <w:noProof/>
        </w:rPr>
        <w:br/>
      </w:r>
      <w:r w:rsidRPr="00DF5C23">
        <w:rPr>
          <w:rFonts w:eastAsia="Times New Roman"/>
          <w:noProof/>
          <w:lang w:val="en-IE" w:eastAsia="fr-BE"/>
        </w:rPr>
        <w:t>Test, measurement and calculation methods</w:t>
      </w:r>
    </w:p>
    <w:p w14:paraId="2C3A57D1" w14:textId="1CD14C17" w:rsidR="00775814" w:rsidRPr="00DF5C23" w:rsidRDefault="004F5E59" w:rsidP="004F5E59">
      <w:pPr>
        <w:pStyle w:val="ManualNumPar1"/>
        <w:rPr>
          <w:noProof/>
          <w:lang w:eastAsia="fr-BE"/>
        </w:rPr>
      </w:pPr>
      <w:r w:rsidRPr="004F5E59">
        <w:t>1.</w:t>
      </w:r>
      <w:r w:rsidRPr="004F5E59">
        <w:tab/>
      </w:r>
      <w:r w:rsidR="0681B866" w:rsidRPr="00DF5C23">
        <w:rPr>
          <w:noProof/>
          <w:lang w:eastAsia="fr-BE"/>
        </w:rPr>
        <w:t xml:space="preserve">For the purposes of compliance and verification of compliance with </w:t>
      </w:r>
      <w:r w:rsidR="00092811" w:rsidRPr="00DF5C23">
        <w:rPr>
          <w:noProof/>
          <w:lang w:eastAsia="fr-BE"/>
        </w:rPr>
        <w:t>ecodesign</w:t>
      </w:r>
      <w:r w:rsidR="0681B866" w:rsidRPr="00DF5C23">
        <w:rPr>
          <w:noProof/>
          <w:lang w:eastAsia="fr-BE"/>
        </w:rPr>
        <w:t xml:space="preserve"> requirements, tests, measurements and calculations shall be made using reliable, accurate and reproducible methods that take into account the generally recognised state-of-the art methods. Such methods shall </w:t>
      </w:r>
      <w:r w:rsidR="00E3422A" w:rsidRPr="00DF5C23">
        <w:rPr>
          <w:noProof/>
          <w:lang w:eastAsia="fr-BE"/>
        </w:rPr>
        <w:t xml:space="preserve">fulfil the </w:t>
      </w:r>
      <w:r w:rsidR="0681B866" w:rsidRPr="00DF5C23">
        <w:rPr>
          <w:noProof/>
          <w:lang w:eastAsia="fr-BE"/>
        </w:rPr>
        <w:t xml:space="preserve">test, measurement and calculation requirements set out in the relevant delegated acts </w:t>
      </w:r>
      <w:r w:rsidR="00E3422A" w:rsidRPr="00DF5C23">
        <w:rPr>
          <w:noProof/>
          <w:lang w:eastAsia="fr-BE"/>
        </w:rPr>
        <w:t>adopted pursuant to Article 4.</w:t>
      </w:r>
    </w:p>
    <w:p w14:paraId="2C3A57D2" w14:textId="53271158" w:rsidR="00791238" w:rsidRPr="00DF5C23" w:rsidRDefault="004F5E59" w:rsidP="004F5E59">
      <w:pPr>
        <w:pStyle w:val="ManualNumPar1"/>
        <w:rPr>
          <w:noProof/>
          <w:lang w:eastAsia="fr-BE"/>
        </w:rPr>
      </w:pPr>
      <w:r w:rsidRPr="004F5E59">
        <w:t>2.</w:t>
      </w:r>
      <w:r w:rsidRPr="004F5E59">
        <w:tab/>
      </w:r>
      <w:r w:rsidR="00791238" w:rsidRPr="00DF5C23">
        <w:rPr>
          <w:noProof/>
          <w:lang w:eastAsia="fr-BE"/>
        </w:rPr>
        <w:t xml:space="preserve">Where necessary to ensure </w:t>
      </w:r>
      <w:r w:rsidR="003C342A" w:rsidRPr="00DF5C23">
        <w:rPr>
          <w:noProof/>
          <w:lang w:eastAsia="fr-BE"/>
        </w:rPr>
        <w:t>compliance with ecodesign requirements</w:t>
      </w:r>
      <w:r w:rsidR="00791238" w:rsidRPr="00DF5C23">
        <w:rPr>
          <w:noProof/>
          <w:lang w:eastAsia="fr-BE"/>
        </w:rPr>
        <w:t xml:space="preserve"> set out in delegated acts adopted pursuant to Article 4, </w:t>
      </w:r>
      <w:r w:rsidR="002438E5" w:rsidRPr="00DF5C23">
        <w:rPr>
          <w:noProof/>
          <w:lang w:val="en-IE" w:eastAsia="fr-BE"/>
        </w:rPr>
        <w:t>third subparagraph, point (</w:t>
      </w:r>
      <w:r w:rsidR="003201E9" w:rsidRPr="00DF5C23">
        <w:rPr>
          <w:noProof/>
          <w:lang w:val="en-IE" w:eastAsia="fr-BE"/>
        </w:rPr>
        <w:t>e</w:t>
      </w:r>
      <w:r w:rsidR="002438E5" w:rsidRPr="00DF5C23">
        <w:rPr>
          <w:noProof/>
          <w:lang w:val="en-IE" w:eastAsia="fr-BE"/>
        </w:rPr>
        <w:t xml:space="preserve">), </w:t>
      </w:r>
      <w:r w:rsidR="00791238" w:rsidRPr="00DF5C23">
        <w:rPr>
          <w:noProof/>
          <w:lang w:eastAsia="fr-BE"/>
        </w:rPr>
        <w:t>the Commission</w:t>
      </w:r>
      <w:r w:rsidR="005B3066" w:rsidRPr="00DF5C23">
        <w:rPr>
          <w:noProof/>
          <w:lang w:eastAsia="fr-BE"/>
        </w:rPr>
        <w:t xml:space="preserve"> may require the use of online tools</w:t>
      </w:r>
      <w:r w:rsidR="00791238" w:rsidRPr="00DF5C23">
        <w:rPr>
          <w:noProof/>
          <w:lang w:eastAsia="fr-BE"/>
        </w:rPr>
        <w:t xml:space="preserve"> </w:t>
      </w:r>
      <w:r w:rsidR="00383953" w:rsidRPr="00DF5C23">
        <w:rPr>
          <w:noProof/>
          <w:lang w:eastAsia="fr-BE"/>
        </w:rPr>
        <w:t xml:space="preserve">for </w:t>
      </w:r>
      <w:r w:rsidR="003C342A" w:rsidRPr="00DF5C23">
        <w:rPr>
          <w:noProof/>
          <w:lang w:eastAsia="fr-BE"/>
        </w:rPr>
        <w:t xml:space="preserve">the calculation of the performance of products in relation to the relevant </w:t>
      </w:r>
      <w:r w:rsidR="00214C38" w:rsidRPr="00DF5C23">
        <w:rPr>
          <w:noProof/>
        </w:rPr>
        <w:t xml:space="preserve">product </w:t>
      </w:r>
      <w:r w:rsidR="003C342A" w:rsidRPr="00DF5C23">
        <w:rPr>
          <w:noProof/>
          <w:lang w:eastAsia="fr-BE"/>
        </w:rPr>
        <w:t>parameter referred to in Annex I reflecting the applicable calculation requirements</w:t>
      </w:r>
      <w:r w:rsidR="00791238" w:rsidRPr="00DF5C23">
        <w:rPr>
          <w:noProof/>
          <w:lang w:eastAsia="fr-BE"/>
        </w:rPr>
        <w:t>.</w:t>
      </w:r>
    </w:p>
    <w:p w14:paraId="2C3A57D3" w14:textId="77777777" w:rsidR="003C342A" w:rsidRPr="00DF5C23" w:rsidRDefault="00283506" w:rsidP="00EC0E40">
      <w:pPr>
        <w:pStyle w:val="Text1"/>
        <w:rPr>
          <w:noProof/>
          <w:lang w:eastAsia="fr-BE"/>
        </w:rPr>
      </w:pPr>
      <w:r w:rsidRPr="00DF5C23">
        <w:rPr>
          <w:noProof/>
          <w:lang w:eastAsia="fr-BE"/>
        </w:rPr>
        <w:t>Where setting such requirements for the use of online tools</w:t>
      </w:r>
      <w:r w:rsidR="003C342A" w:rsidRPr="00DF5C23">
        <w:rPr>
          <w:noProof/>
          <w:lang w:eastAsia="fr-BE"/>
        </w:rPr>
        <w:t>, the Commission shall take into account the following criteria:</w:t>
      </w:r>
    </w:p>
    <w:p w14:paraId="2C3A57D4" w14:textId="69C55A53" w:rsidR="003C342A" w:rsidRPr="00DF5C23" w:rsidRDefault="004F5E59" w:rsidP="004F5E59">
      <w:pPr>
        <w:pStyle w:val="Point1"/>
        <w:rPr>
          <w:rFonts w:eastAsia="Times New Roman"/>
          <w:noProof/>
          <w:lang w:val="en-IE" w:eastAsia="fr-BE"/>
        </w:rPr>
      </w:pPr>
      <w:r w:rsidRPr="004F5E59">
        <w:t>(a)</w:t>
      </w:r>
      <w:r w:rsidRPr="004F5E59">
        <w:tab/>
      </w:r>
      <w:r w:rsidR="003C342A" w:rsidRPr="00DF5C23">
        <w:rPr>
          <w:rFonts w:eastAsia="Times New Roman"/>
          <w:noProof/>
          <w:lang w:eastAsia="fr-BE"/>
        </w:rPr>
        <w:t>t</w:t>
      </w:r>
      <w:r w:rsidR="003C342A" w:rsidRPr="00DF5C23">
        <w:rPr>
          <w:rFonts w:eastAsia="Times New Roman"/>
          <w:noProof/>
          <w:lang w:val="en-IE" w:eastAsia="fr-BE"/>
        </w:rPr>
        <w:t xml:space="preserve">he need to ensure </w:t>
      </w:r>
      <w:r w:rsidR="003C342A" w:rsidRPr="00DF5C23">
        <w:rPr>
          <w:noProof/>
          <w:lang w:eastAsia="fr-BE"/>
        </w:rPr>
        <w:t>the harmonised application of calculation requirements;</w:t>
      </w:r>
    </w:p>
    <w:p w14:paraId="2C3A57D5" w14:textId="5D06D279" w:rsidR="003C342A" w:rsidRPr="00DF5C23" w:rsidRDefault="004F5E59" w:rsidP="004F5E59">
      <w:pPr>
        <w:pStyle w:val="Point1"/>
        <w:rPr>
          <w:noProof/>
          <w:lang w:val="en-IE" w:eastAsia="fr-BE"/>
        </w:rPr>
      </w:pPr>
      <w:r w:rsidRPr="004F5E59">
        <w:t>(b)</w:t>
      </w:r>
      <w:r w:rsidRPr="004F5E59">
        <w:tab/>
      </w:r>
      <w:r w:rsidR="003C342A" w:rsidRPr="00DF5C23">
        <w:rPr>
          <w:noProof/>
          <w:lang w:eastAsia="fr-BE"/>
        </w:rPr>
        <w:t>t</w:t>
      </w:r>
      <w:r w:rsidR="003C342A" w:rsidRPr="00DF5C23">
        <w:rPr>
          <w:noProof/>
          <w:lang w:val="en-IE" w:eastAsia="fr-BE"/>
        </w:rPr>
        <w:t xml:space="preserve">he need to minimise administrative burden imposed on </w:t>
      </w:r>
      <w:r w:rsidR="003E688B" w:rsidRPr="00DF5C23">
        <w:rPr>
          <w:noProof/>
          <w:lang w:val="en-IE" w:eastAsia="fr-BE"/>
        </w:rPr>
        <w:t>economic operators complying with the relevant requirements</w:t>
      </w:r>
      <w:r w:rsidR="0065275B" w:rsidRPr="00DF5C23">
        <w:rPr>
          <w:noProof/>
          <w:lang w:val="en-IE" w:eastAsia="fr-BE"/>
        </w:rPr>
        <w:t>.</w:t>
      </w:r>
    </w:p>
    <w:p w14:paraId="2C3A57D6" w14:textId="77777777" w:rsidR="005B3066" w:rsidRPr="00DF5C23" w:rsidRDefault="003E688B" w:rsidP="0065275B">
      <w:pPr>
        <w:pStyle w:val="Text1"/>
        <w:rPr>
          <w:noProof/>
          <w:lang w:eastAsia="fr-BE"/>
        </w:rPr>
      </w:pPr>
      <w:r w:rsidRPr="00DF5C23">
        <w:rPr>
          <w:noProof/>
          <w:lang w:eastAsia="fr-BE"/>
        </w:rPr>
        <w:t xml:space="preserve">Online tools shall be </w:t>
      </w:r>
      <w:r w:rsidR="003C342A" w:rsidRPr="00DF5C23">
        <w:rPr>
          <w:noProof/>
          <w:lang w:eastAsia="fr-BE"/>
        </w:rPr>
        <w:t>freely accessible</w:t>
      </w:r>
      <w:r w:rsidR="00791238" w:rsidRPr="00DF5C23">
        <w:rPr>
          <w:noProof/>
          <w:lang w:eastAsia="fr-BE"/>
        </w:rPr>
        <w:t xml:space="preserve"> for economic operators complying with the relevant requirements</w:t>
      </w:r>
      <w:r w:rsidR="0065275B" w:rsidRPr="00DF5C23">
        <w:rPr>
          <w:noProof/>
          <w:lang w:eastAsia="fr-BE"/>
        </w:rPr>
        <w:t>.</w:t>
      </w:r>
    </w:p>
    <w:p w14:paraId="2C3A57D7" w14:textId="77777777" w:rsidR="00DF54B0" w:rsidRPr="00DF5C23" w:rsidRDefault="00DF54B0"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33</w:t>
      </w:r>
      <w:r w:rsidRPr="00DF5C23">
        <w:rPr>
          <w:noProof/>
        </w:rPr>
        <w:br/>
      </w:r>
      <w:r w:rsidRPr="00DF5C23">
        <w:rPr>
          <w:noProof/>
          <w:lang w:val="en-IE" w:eastAsia="fr-BE"/>
        </w:rPr>
        <w:t>Circumvention</w:t>
      </w:r>
    </w:p>
    <w:p w14:paraId="2C3A57D8" w14:textId="74D651A3" w:rsidR="00C53DA3" w:rsidRPr="00DF5C23" w:rsidRDefault="004F5E59" w:rsidP="004F5E59">
      <w:pPr>
        <w:pStyle w:val="ManualNumPar1"/>
        <w:rPr>
          <w:noProof/>
        </w:rPr>
      </w:pPr>
      <w:r w:rsidRPr="004F5E59">
        <w:t>1.</w:t>
      </w:r>
      <w:r w:rsidRPr="004F5E59">
        <w:tab/>
      </w:r>
      <w:r w:rsidR="003E688B" w:rsidRPr="00DF5C23">
        <w:rPr>
          <w:noProof/>
          <w:lang w:val="en-US"/>
        </w:rPr>
        <w:t xml:space="preserve">Products falling within the scope of a delegated act adopted pursuant to Article 4 shall not be placed on the market or put into service if they are </w:t>
      </w:r>
      <w:r w:rsidR="009072B2" w:rsidRPr="00DF5C23">
        <w:rPr>
          <w:noProof/>
          <w:lang w:eastAsia="fr-BE"/>
        </w:rPr>
        <w:t>designed</w:t>
      </w:r>
      <w:r w:rsidR="00697E72" w:rsidRPr="00DF5C23">
        <w:rPr>
          <w:noProof/>
          <w:lang w:eastAsia="fr-BE"/>
        </w:rPr>
        <w:t xml:space="preserve"> </w:t>
      </w:r>
      <w:r w:rsidR="00DE6272" w:rsidRPr="00DF5C23">
        <w:rPr>
          <w:noProof/>
          <w:lang w:eastAsia="fr-BE"/>
        </w:rPr>
        <w:t>to alter the</w:t>
      </w:r>
      <w:r w:rsidR="00DF3C8E" w:rsidRPr="00DF5C23">
        <w:rPr>
          <w:noProof/>
          <w:lang w:eastAsia="fr-BE"/>
        </w:rPr>
        <w:t>ir</w:t>
      </w:r>
      <w:r w:rsidR="00DF3C8E" w:rsidRPr="00DF5C23">
        <w:rPr>
          <w:noProof/>
        </w:rPr>
        <w:t xml:space="preserve"> behaviour or</w:t>
      </w:r>
      <w:r w:rsidR="00DE6272" w:rsidRPr="00DF5C23">
        <w:rPr>
          <w:noProof/>
        </w:rPr>
        <w:t xml:space="preserve"> properties when</w:t>
      </w:r>
      <w:r w:rsidR="00DF3C8E" w:rsidRPr="00DF5C23">
        <w:rPr>
          <w:noProof/>
        </w:rPr>
        <w:t xml:space="preserve"> they are</w:t>
      </w:r>
      <w:r w:rsidR="00DE6272" w:rsidRPr="00DF5C23">
        <w:rPr>
          <w:noProof/>
        </w:rPr>
        <w:t xml:space="preserve"> tested in order to reach a more favourable result for any of the </w:t>
      </w:r>
      <w:r w:rsidR="00214C38" w:rsidRPr="00DF5C23">
        <w:rPr>
          <w:noProof/>
        </w:rPr>
        <w:t>product</w:t>
      </w:r>
      <w:r w:rsidR="00DE6272" w:rsidRPr="00DF5C23">
        <w:rPr>
          <w:noProof/>
        </w:rPr>
        <w:t xml:space="preserve"> parameters regulated in delegated act</w:t>
      </w:r>
      <w:r w:rsidR="00122F7D" w:rsidRPr="00DF5C23">
        <w:rPr>
          <w:noProof/>
        </w:rPr>
        <w:t>s</w:t>
      </w:r>
      <w:r w:rsidR="00DE6272" w:rsidRPr="00DF5C23">
        <w:rPr>
          <w:noProof/>
        </w:rPr>
        <w:t xml:space="preserve"> </w:t>
      </w:r>
      <w:r w:rsidR="003E688B" w:rsidRPr="00DF5C23">
        <w:rPr>
          <w:noProof/>
          <w:lang w:val="en-US"/>
        </w:rPr>
        <w:t>adopted pursuant to Article 4</w:t>
      </w:r>
      <w:r w:rsidR="00122F7D" w:rsidRPr="00DF5C23">
        <w:rPr>
          <w:noProof/>
          <w:lang w:val="en-US"/>
        </w:rPr>
        <w:t xml:space="preserve"> </w:t>
      </w:r>
      <w:r w:rsidR="00122F7D" w:rsidRPr="00DF5C23">
        <w:rPr>
          <w:noProof/>
        </w:rPr>
        <w:t>by which the products are covered</w:t>
      </w:r>
      <w:r w:rsidR="003E688B" w:rsidRPr="00DF5C23">
        <w:rPr>
          <w:noProof/>
          <w:lang w:val="en-US"/>
        </w:rPr>
        <w:t>.</w:t>
      </w:r>
      <w:r w:rsidR="00C53DA3" w:rsidRPr="00DF5C23">
        <w:rPr>
          <w:noProof/>
        </w:rPr>
        <w:t xml:space="preserve"> </w:t>
      </w:r>
    </w:p>
    <w:p w14:paraId="2C3A57D9" w14:textId="77777777" w:rsidR="00DE6272" w:rsidRPr="00DF5C23" w:rsidRDefault="00122F7D" w:rsidP="00EC0E40">
      <w:pPr>
        <w:pStyle w:val="Text1"/>
        <w:rPr>
          <w:noProof/>
        </w:rPr>
      </w:pPr>
      <w:r w:rsidRPr="00DF5C23">
        <w:rPr>
          <w:noProof/>
        </w:rPr>
        <w:t xml:space="preserve">For the purposes of this paragraph, </w:t>
      </w:r>
      <w:r w:rsidR="00BE7784" w:rsidRPr="00DF5C23">
        <w:rPr>
          <w:noProof/>
        </w:rPr>
        <w:t xml:space="preserve">products designed to be able to detect they are being tested and automatically alter their performance in response and products </w:t>
      </w:r>
      <w:r w:rsidR="00F842BA" w:rsidRPr="00DF5C23">
        <w:rPr>
          <w:noProof/>
        </w:rPr>
        <w:t>pre-set to alter their performance at the time of testing</w:t>
      </w:r>
      <w:r w:rsidRPr="00DF5C23">
        <w:rPr>
          <w:noProof/>
        </w:rPr>
        <w:t xml:space="preserve"> shall constitute products designed to alter their behaviour or properties when they are tested.</w:t>
      </w:r>
      <w:r w:rsidR="00F842BA" w:rsidRPr="00DF5C23">
        <w:rPr>
          <w:noProof/>
        </w:rPr>
        <w:t xml:space="preserve"> </w:t>
      </w:r>
      <w:r w:rsidR="00BE7784" w:rsidRPr="00DF5C23">
        <w:rPr>
          <w:noProof/>
        </w:rPr>
        <w:t xml:space="preserve"> </w:t>
      </w:r>
    </w:p>
    <w:p w14:paraId="2C3A57DA" w14:textId="05E672FF" w:rsidR="00C53DA3" w:rsidRPr="00DF5C23" w:rsidRDefault="004F5E59" w:rsidP="004F5E59">
      <w:pPr>
        <w:pStyle w:val="ManualNumPar1"/>
        <w:rPr>
          <w:noProof/>
        </w:rPr>
      </w:pPr>
      <w:r w:rsidRPr="004F5E59">
        <w:t>2.</w:t>
      </w:r>
      <w:r w:rsidRPr="004F5E59">
        <w:tab/>
      </w:r>
      <w:r w:rsidR="00AC1A8A" w:rsidRPr="00DF5C23">
        <w:rPr>
          <w:noProof/>
          <w:lang w:eastAsia="fr-BE"/>
        </w:rPr>
        <w:t>Economic operators</w:t>
      </w:r>
      <w:r w:rsidR="0008494F" w:rsidRPr="00DF5C23">
        <w:rPr>
          <w:noProof/>
          <w:lang w:eastAsia="fr-BE"/>
        </w:rPr>
        <w:t xml:space="preserve"> placing a product covered by a </w:t>
      </w:r>
      <w:r w:rsidR="0008494F" w:rsidRPr="00DF5C23">
        <w:rPr>
          <w:noProof/>
        </w:rPr>
        <w:t xml:space="preserve">delegated act </w:t>
      </w:r>
      <w:r w:rsidR="0008494F" w:rsidRPr="00DF5C23">
        <w:rPr>
          <w:noProof/>
          <w:lang w:val="en-US"/>
        </w:rPr>
        <w:t>adopted pursuant to Article 4</w:t>
      </w:r>
      <w:r w:rsidR="00AC1A8A" w:rsidRPr="00DF5C23">
        <w:rPr>
          <w:noProof/>
          <w:lang w:eastAsia="fr-BE"/>
        </w:rPr>
        <w:t xml:space="preserve"> </w:t>
      </w:r>
      <w:r w:rsidR="00697E72" w:rsidRPr="00DF5C23">
        <w:rPr>
          <w:noProof/>
          <w:lang w:eastAsia="fr-BE"/>
        </w:rPr>
        <w:t xml:space="preserve">shall not prescribe instructions </w:t>
      </w:r>
      <w:r w:rsidR="006D071F" w:rsidRPr="00DF5C23">
        <w:rPr>
          <w:noProof/>
          <w:lang w:eastAsia="fr-BE"/>
        </w:rPr>
        <w:t xml:space="preserve">specific to testing </w:t>
      </w:r>
      <w:r w:rsidR="00697E72" w:rsidRPr="00DF5C23">
        <w:rPr>
          <w:noProof/>
          <w:lang w:eastAsia="fr-BE"/>
        </w:rPr>
        <w:t>that alter the</w:t>
      </w:r>
      <w:r w:rsidR="00697E72" w:rsidRPr="00DF5C23">
        <w:rPr>
          <w:noProof/>
        </w:rPr>
        <w:t xml:space="preserve"> behaviour or the properties of product</w:t>
      </w:r>
      <w:r w:rsidR="00DF3C8E" w:rsidRPr="00DF5C23">
        <w:rPr>
          <w:noProof/>
        </w:rPr>
        <w:t>s</w:t>
      </w:r>
      <w:r w:rsidR="00697E72" w:rsidRPr="00DF5C23">
        <w:rPr>
          <w:noProof/>
        </w:rPr>
        <w:t xml:space="preserve"> in order to reach a more favourable result for any of the </w:t>
      </w:r>
      <w:r w:rsidR="00214C38" w:rsidRPr="00DF5C23">
        <w:rPr>
          <w:noProof/>
        </w:rPr>
        <w:t xml:space="preserve">product </w:t>
      </w:r>
      <w:r w:rsidR="00697E72" w:rsidRPr="00DF5C23">
        <w:rPr>
          <w:noProof/>
        </w:rPr>
        <w:t>parameters regulated in delegated act</w:t>
      </w:r>
      <w:r w:rsidR="00122F7D" w:rsidRPr="00DF5C23">
        <w:rPr>
          <w:noProof/>
        </w:rPr>
        <w:t>s</w:t>
      </w:r>
      <w:r w:rsidR="00697E72" w:rsidRPr="00DF5C23">
        <w:rPr>
          <w:noProof/>
        </w:rPr>
        <w:t xml:space="preserve"> </w:t>
      </w:r>
      <w:r w:rsidR="0008494F" w:rsidRPr="00DF5C23">
        <w:rPr>
          <w:noProof/>
          <w:lang w:val="en-US"/>
        </w:rPr>
        <w:t>adopted pursuant to Article 4</w:t>
      </w:r>
      <w:r w:rsidR="00122F7D" w:rsidRPr="00DF5C23">
        <w:rPr>
          <w:noProof/>
          <w:lang w:val="en-US"/>
        </w:rPr>
        <w:t xml:space="preserve"> </w:t>
      </w:r>
      <w:r w:rsidR="00122F7D" w:rsidRPr="00DF5C23">
        <w:rPr>
          <w:noProof/>
        </w:rPr>
        <w:t>by which the products are covered</w:t>
      </w:r>
      <w:r w:rsidR="00BE7784" w:rsidRPr="00DF5C23">
        <w:rPr>
          <w:noProof/>
        </w:rPr>
        <w:t xml:space="preserve">. </w:t>
      </w:r>
    </w:p>
    <w:p w14:paraId="2C3A57DB" w14:textId="77777777" w:rsidR="00F842BA" w:rsidRPr="00DF5C23" w:rsidRDefault="002E7904" w:rsidP="00EC0E40">
      <w:pPr>
        <w:pStyle w:val="Text1"/>
        <w:rPr>
          <w:noProof/>
        </w:rPr>
      </w:pPr>
      <w:r w:rsidRPr="00DF5C23">
        <w:rPr>
          <w:noProof/>
        </w:rPr>
        <w:t>For the purposes of this paragraph, i</w:t>
      </w:r>
      <w:r w:rsidR="00C53DA3" w:rsidRPr="00DF5C23">
        <w:rPr>
          <w:noProof/>
        </w:rPr>
        <w:t xml:space="preserve">nstructions leading to </w:t>
      </w:r>
      <w:r w:rsidR="00F842BA" w:rsidRPr="00DF5C23">
        <w:rPr>
          <w:noProof/>
        </w:rPr>
        <w:t>a manual alteration of the product before</w:t>
      </w:r>
      <w:r w:rsidR="001910D3" w:rsidRPr="00DF5C23">
        <w:rPr>
          <w:noProof/>
        </w:rPr>
        <w:t xml:space="preserve"> a test that alters the performance of the product</w:t>
      </w:r>
      <w:r w:rsidR="00C53DA3" w:rsidRPr="00DF5C23">
        <w:rPr>
          <w:noProof/>
        </w:rPr>
        <w:t xml:space="preserve"> shall constitute </w:t>
      </w:r>
      <w:r w:rsidR="00C53DA3" w:rsidRPr="00DF5C23">
        <w:rPr>
          <w:noProof/>
          <w:lang w:eastAsia="fr-BE"/>
        </w:rPr>
        <w:t>instructions specific to testing that alter the</w:t>
      </w:r>
      <w:r w:rsidR="00C53DA3" w:rsidRPr="00DF5C23">
        <w:rPr>
          <w:noProof/>
        </w:rPr>
        <w:t xml:space="preserve"> behaviour or the properties of products</w:t>
      </w:r>
      <w:r w:rsidR="001910D3" w:rsidRPr="00DF5C23">
        <w:rPr>
          <w:noProof/>
        </w:rPr>
        <w:t xml:space="preserve">.  </w:t>
      </w:r>
      <w:r w:rsidR="00F842BA" w:rsidRPr="00DF5C23">
        <w:rPr>
          <w:noProof/>
        </w:rPr>
        <w:t xml:space="preserve">  </w:t>
      </w:r>
    </w:p>
    <w:p w14:paraId="2C3A57DC" w14:textId="4C30C445" w:rsidR="009072B2" w:rsidRPr="00DF5C23" w:rsidRDefault="004F5E59" w:rsidP="004F5E59">
      <w:pPr>
        <w:pStyle w:val="ManualNumPar1"/>
        <w:rPr>
          <w:noProof/>
          <w:lang w:eastAsia="fr-BE"/>
        </w:rPr>
      </w:pPr>
      <w:r w:rsidRPr="004F5E59">
        <w:t>3.</w:t>
      </w:r>
      <w:r w:rsidRPr="004F5E59">
        <w:tab/>
      </w:r>
      <w:r w:rsidR="0008494F" w:rsidRPr="00DF5C23">
        <w:rPr>
          <w:noProof/>
          <w:lang w:val="en-US"/>
        </w:rPr>
        <w:t xml:space="preserve">Products falling within the scope of a delegated act adopted pursuant to Article 4 shall not be placed on the market or put into service if they are </w:t>
      </w:r>
      <w:r w:rsidR="00442771" w:rsidRPr="00DF5C23">
        <w:rPr>
          <w:noProof/>
          <w:lang w:eastAsia="fr-BE"/>
        </w:rPr>
        <w:t xml:space="preserve">designed to alter their behaviour or properties </w:t>
      </w:r>
      <w:r w:rsidR="001910D3" w:rsidRPr="00DF5C23">
        <w:rPr>
          <w:noProof/>
          <w:lang w:eastAsia="fr-BE"/>
        </w:rPr>
        <w:t>within a short period after putting the product into service</w:t>
      </w:r>
      <w:r w:rsidR="00442771" w:rsidRPr="00DF5C23">
        <w:rPr>
          <w:noProof/>
          <w:lang w:eastAsia="fr-BE"/>
        </w:rPr>
        <w:t xml:space="preserve"> leading to a worsening of their performance in relation to any of the </w:t>
      </w:r>
      <w:r w:rsidR="00214C38" w:rsidRPr="00DF5C23">
        <w:rPr>
          <w:noProof/>
        </w:rPr>
        <w:t>product</w:t>
      </w:r>
      <w:r w:rsidR="00442771" w:rsidRPr="00DF5C23">
        <w:rPr>
          <w:noProof/>
          <w:lang w:eastAsia="fr-BE"/>
        </w:rPr>
        <w:t xml:space="preserve"> parameters regulated in delegated act</w:t>
      </w:r>
      <w:r w:rsidR="00122F7D" w:rsidRPr="00DF5C23">
        <w:rPr>
          <w:noProof/>
          <w:lang w:eastAsia="fr-BE"/>
        </w:rPr>
        <w:t>s</w:t>
      </w:r>
      <w:r w:rsidR="00442771" w:rsidRPr="00DF5C23">
        <w:rPr>
          <w:noProof/>
          <w:lang w:eastAsia="fr-BE"/>
        </w:rPr>
        <w:t xml:space="preserve"> </w:t>
      </w:r>
      <w:r w:rsidR="0008494F" w:rsidRPr="00DF5C23">
        <w:rPr>
          <w:noProof/>
          <w:lang w:val="en-US"/>
        </w:rPr>
        <w:t xml:space="preserve">adopted pursuant to Article 4 </w:t>
      </w:r>
      <w:r w:rsidR="00122F7D" w:rsidRPr="00DF5C23">
        <w:rPr>
          <w:noProof/>
        </w:rPr>
        <w:t>by which the products are covered</w:t>
      </w:r>
      <w:r w:rsidR="00122F7D" w:rsidRPr="00DF5C23" w:rsidDel="0008494F">
        <w:rPr>
          <w:noProof/>
          <w:lang w:eastAsia="fr-BE"/>
        </w:rPr>
        <w:t xml:space="preserve"> </w:t>
      </w:r>
      <w:r w:rsidR="00442771" w:rsidRPr="00DF5C23">
        <w:rPr>
          <w:noProof/>
          <w:lang w:eastAsia="fr-BE"/>
        </w:rPr>
        <w:t>or their functional performance from the perspective of the user</w:t>
      </w:r>
      <w:r w:rsidR="001910D3" w:rsidRPr="00DF5C23">
        <w:rPr>
          <w:noProof/>
          <w:lang w:eastAsia="fr-BE"/>
        </w:rPr>
        <w:t>.</w:t>
      </w:r>
    </w:p>
    <w:p w14:paraId="2C3A57DD" w14:textId="0916D688" w:rsidR="00DF54B0" w:rsidRPr="00DF5C23" w:rsidRDefault="004F5E59" w:rsidP="004F5E59">
      <w:pPr>
        <w:pStyle w:val="ManualNumPar1"/>
        <w:rPr>
          <w:noProof/>
          <w:lang w:eastAsia="fr-BE"/>
        </w:rPr>
      </w:pPr>
      <w:r w:rsidRPr="004F5E59">
        <w:t>4.</w:t>
      </w:r>
      <w:r w:rsidRPr="004F5E59">
        <w:tab/>
      </w:r>
      <w:r w:rsidR="0681B866" w:rsidRPr="00DF5C23">
        <w:rPr>
          <w:noProof/>
          <w:lang w:eastAsia="fr-BE"/>
        </w:rPr>
        <w:t xml:space="preserve">Software or firmware updates shall not worsen product performance in relation to any of the </w:t>
      </w:r>
      <w:r w:rsidR="00214C38" w:rsidRPr="00DF5C23">
        <w:rPr>
          <w:noProof/>
        </w:rPr>
        <w:t>product</w:t>
      </w:r>
      <w:r w:rsidR="0681B866" w:rsidRPr="00DF5C23">
        <w:rPr>
          <w:noProof/>
          <w:lang w:eastAsia="fr-BE"/>
        </w:rPr>
        <w:t xml:space="preserve"> parameters regulated in </w:t>
      </w:r>
      <w:r w:rsidR="00122F7D" w:rsidRPr="00DF5C23">
        <w:rPr>
          <w:noProof/>
          <w:lang w:eastAsia="fr-BE"/>
        </w:rPr>
        <w:t xml:space="preserve">delegated acts </w:t>
      </w:r>
      <w:r w:rsidR="00122F7D" w:rsidRPr="00DF5C23">
        <w:rPr>
          <w:noProof/>
          <w:lang w:val="en-US"/>
        </w:rPr>
        <w:t xml:space="preserve">adopted pursuant to Article 4 </w:t>
      </w:r>
      <w:r w:rsidR="00122F7D" w:rsidRPr="00DF5C23">
        <w:rPr>
          <w:noProof/>
        </w:rPr>
        <w:t>by which the products are covered</w:t>
      </w:r>
      <w:r w:rsidR="0681B866" w:rsidRPr="00DF5C23">
        <w:rPr>
          <w:noProof/>
          <w:lang w:eastAsia="fr-BE"/>
        </w:rPr>
        <w:t xml:space="preserve"> or the functional performance from the perspective of the user when </w:t>
      </w:r>
      <w:r w:rsidR="00122F7D" w:rsidRPr="00DF5C23">
        <w:rPr>
          <w:noProof/>
          <w:lang w:eastAsia="fr-BE"/>
        </w:rPr>
        <w:t>measured with the test method used for the conformity assessment</w:t>
      </w:r>
      <w:r w:rsidR="0681B866" w:rsidRPr="00DF5C23">
        <w:rPr>
          <w:noProof/>
          <w:lang w:eastAsia="fr-BE"/>
        </w:rPr>
        <w:t>, except with explicit consent of the end-user prior to the update. No performance change shall occur as a result of rejecting the update.</w:t>
      </w:r>
    </w:p>
    <w:p w14:paraId="2C3A57DE" w14:textId="77777777" w:rsidR="00DF54B0" w:rsidRPr="00DF5C23" w:rsidRDefault="00B715A2" w:rsidP="0681B866">
      <w:pPr>
        <w:pStyle w:val="Text1"/>
        <w:rPr>
          <w:noProof/>
          <w:lang w:eastAsia="fr-BE"/>
        </w:rPr>
      </w:pPr>
      <w:r w:rsidRPr="00DF5C23">
        <w:rPr>
          <w:noProof/>
          <w:lang w:eastAsia="fr-BE"/>
        </w:rPr>
        <w:t>S</w:t>
      </w:r>
      <w:r w:rsidR="00DF54B0" w:rsidRPr="00DF5C23">
        <w:rPr>
          <w:noProof/>
          <w:lang w:eastAsia="fr-BE"/>
        </w:rPr>
        <w:t>oftware</w:t>
      </w:r>
      <w:r w:rsidR="00442771" w:rsidRPr="00DF5C23">
        <w:rPr>
          <w:noProof/>
          <w:lang w:eastAsia="fr-BE"/>
        </w:rPr>
        <w:t xml:space="preserve"> or firmware</w:t>
      </w:r>
      <w:r w:rsidR="00DF54B0" w:rsidRPr="00DF5C23">
        <w:rPr>
          <w:noProof/>
          <w:lang w:eastAsia="fr-BE"/>
        </w:rPr>
        <w:t xml:space="preserve"> update</w:t>
      </w:r>
      <w:r w:rsidRPr="00DF5C23">
        <w:rPr>
          <w:noProof/>
          <w:lang w:eastAsia="fr-BE"/>
        </w:rPr>
        <w:t>s</w:t>
      </w:r>
      <w:r w:rsidR="00DF54B0" w:rsidRPr="00DF5C23">
        <w:rPr>
          <w:noProof/>
          <w:lang w:eastAsia="fr-BE"/>
        </w:rPr>
        <w:t xml:space="preserve"> </w:t>
      </w:r>
      <w:r w:rsidRPr="00DF5C23">
        <w:rPr>
          <w:noProof/>
          <w:lang w:eastAsia="fr-BE"/>
        </w:rPr>
        <w:t xml:space="preserve">shall </w:t>
      </w:r>
      <w:r w:rsidR="003849AD" w:rsidRPr="00DF5C23">
        <w:rPr>
          <w:noProof/>
          <w:lang w:eastAsia="fr-BE"/>
        </w:rPr>
        <w:t>not worsen</w:t>
      </w:r>
      <w:r w:rsidR="00442771" w:rsidRPr="00DF5C23">
        <w:rPr>
          <w:noProof/>
          <w:lang w:eastAsia="fr-BE"/>
        </w:rPr>
        <w:t xml:space="preserve"> performance referred to in the first subparagraph </w:t>
      </w:r>
      <w:r w:rsidRPr="00DF5C23">
        <w:rPr>
          <w:noProof/>
          <w:lang w:eastAsia="fr-BE"/>
        </w:rPr>
        <w:t>to the extent</w:t>
      </w:r>
      <w:r w:rsidR="00DF54B0" w:rsidRPr="00DF5C23">
        <w:rPr>
          <w:noProof/>
          <w:lang w:eastAsia="fr-BE"/>
        </w:rPr>
        <w:t xml:space="preserve"> that</w:t>
      </w:r>
      <w:r w:rsidR="003849AD" w:rsidRPr="00DF5C23">
        <w:rPr>
          <w:noProof/>
          <w:lang w:eastAsia="fr-BE"/>
        </w:rPr>
        <w:t xml:space="preserve"> the</w:t>
      </w:r>
      <w:r w:rsidRPr="00DF5C23">
        <w:rPr>
          <w:noProof/>
          <w:lang w:eastAsia="fr-BE"/>
        </w:rPr>
        <w:t xml:space="preserve"> product</w:t>
      </w:r>
      <w:r w:rsidR="003849AD" w:rsidRPr="00DF5C23">
        <w:rPr>
          <w:noProof/>
          <w:lang w:eastAsia="fr-BE"/>
        </w:rPr>
        <w:t xml:space="preserve"> becomes</w:t>
      </w:r>
      <w:r w:rsidR="00DF54B0" w:rsidRPr="00DF5C23">
        <w:rPr>
          <w:noProof/>
          <w:lang w:eastAsia="fr-BE"/>
        </w:rPr>
        <w:t xml:space="preserve"> </w:t>
      </w:r>
      <w:r w:rsidRPr="00DF5C23">
        <w:rPr>
          <w:noProof/>
          <w:lang w:eastAsia="fr-BE"/>
        </w:rPr>
        <w:t xml:space="preserve">non-compliant with the </w:t>
      </w:r>
      <w:r w:rsidR="00DF54B0" w:rsidRPr="00DF5C23">
        <w:rPr>
          <w:noProof/>
          <w:lang w:eastAsia="fr-BE"/>
        </w:rPr>
        <w:t xml:space="preserve">requirements </w:t>
      </w:r>
      <w:r w:rsidRPr="00DF5C23">
        <w:rPr>
          <w:noProof/>
          <w:lang w:eastAsia="fr-BE"/>
        </w:rPr>
        <w:t xml:space="preserve">set out in delegated acts </w:t>
      </w:r>
      <w:r w:rsidR="00122F7D" w:rsidRPr="00DF5C23">
        <w:rPr>
          <w:noProof/>
          <w:lang w:eastAsia="fr-BE"/>
        </w:rPr>
        <w:t>adopted pursuant to Article 4</w:t>
      </w:r>
      <w:r w:rsidRPr="00DF5C23">
        <w:rPr>
          <w:noProof/>
          <w:lang w:eastAsia="fr-BE"/>
        </w:rPr>
        <w:t xml:space="preserve"> </w:t>
      </w:r>
      <w:r w:rsidR="00DF54B0" w:rsidRPr="00DF5C23">
        <w:rPr>
          <w:noProof/>
          <w:lang w:eastAsia="fr-BE"/>
        </w:rPr>
        <w:t xml:space="preserve">applicable </w:t>
      </w:r>
      <w:r w:rsidRPr="00DF5C23">
        <w:rPr>
          <w:noProof/>
          <w:lang w:eastAsia="fr-BE"/>
        </w:rPr>
        <w:t xml:space="preserve">at </w:t>
      </w:r>
      <w:r w:rsidR="001910D3" w:rsidRPr="00DF5C23">
        <w:rPr>
          <w:noProof/>
          <w:lang w:eastAsia="fr-BE"/>
        </w:rPr>
        <w:t>the time of</w:t>
      </w:r>
      <w:r w:rsidRPr="00DF5C23">
        <w:rPr>
          <w:noProof/>
          <w:lang w:eastAsia="fr-BE"/>
        </w:rPr>
        <w:t xml:space="preserve"> the</w:t>
      </w:r>
      <w:r w:rsidR="001910D3" w:rsidRPr="00DF5C23">
        <w:rPr>
          <w:noProof/>
          <w:lang w:eastAsia="fr-BE"/>
        </w:rPr>
        <w:t xml:space="preserve"> placing on the market</w:t>
      </w:r>
      <w:r w:rsidRPr="00DF5C23">
        <w:rPr>
          <w:noProof/>
          <w:lang w:eastAsia="fr-BE"/>
        </w:rPr>
        <w:t xml:space="preserve"> </w:t>
      </w:r>
      <w:r w:rsidR="001C1948" w:rsidRPr="00DF5C23">
        <w:rPr>
          <w:noProof/>
          <w:lang w:eastAsia="fr-BE"/>
        </w:rPr>
        <w:t xml:space="preserve">or putting into service </w:t>
      </w:r>
      <w:r w:rsidRPr="00DF5C23">
        <w:rPr>
          <w:noProof/>
          <w:lang w:eastAsia="fr-BE"/>
        </w:rPr>
        <w:t>of the product</w:t>
      </w:r>
      <w:r w:rsidR="00DF54B0" w:rsidRPr="00DF5C23">
        <w:rPr>
          <w:noProof/>
          <w:lang w:eastAsia="fr-BE"/>
        </w:rPr>
        <w:t>.</w:t>
      </w:r>
    </w:p>
    <w:p w14:paraId="2C3A57DF" w14:textId="77777777" w:rsidR="00646885" w:rsidRPr="00DF5C23" w:rsidRDefault="00646885" w:rsidP="0681B866">
      <w:pPr>
        <w:pStyle w:val="Titrearticle"/>
        <w:rPr>
          <w:noProof/>
          <w:color w:val="000000" w:themeColor="text1"/>
          <w:lang w:val="en-IE" w:eastAsia="fr-BE"/>
        </w:rPr>
      </w:pPr>
      <w:r w:rsidRPr="00DF5C23">
        <w:rPr>
          <w:noProof/>
          <w:lang w:val="en-IE" w:eastAsia="fr-BE"/>
        </w:rPr>
        <w:t xml:space="preserve">Article </w:t>
      </w:r>
      <w:r w:rsidR="00807659" w:rsidRPr="00DF5C23">
        <w:rPr>
          <w:noProof/>
          <w:lang w:val="en-IE" w:eastAsia="fr-BE"/>
        </w:rPr>
        <w:t>34</w:t>
      </w:r>
      <w:r w:rsidR="00014A6A" w:rsidRPr="00DF5C23">
        <w:rPr>
          <w:noProof/>
        </w:rPr>
        <w:br/>
      </w:r>
      <w:r w:rsidR="00775814" w:rsidRPr="00DF5C23">
        <w:rPr>
          <w:noProof/>
          <w:lang w:val="en-IE" w:eastAsia="fr-BE"/>
        </w:rPr>
        <w:t>Presumption of conformity</w:t>
      </w:r>
    </w:p>
    <w:p w14:paraId="2C3A57E0" w14:textId="454BD428" w:rsidR="00494A8D" w:rsidRPr="00DF5C23" w:rsidRDefault="004F5E59" w:rsidP="004F5E59">
      <w:pPr>
        <w:pStyle w:val="ManualNumPar1"/>
        <w:rPr>
          <w:noProof/>
          <w:lang w:val="en-IE" w:eastAsia="fr-BE"/>
        </w:rPr>
      </w:pPr>
      <w:r w:rsidRPr="004F5E59">
        <w:t>1.</w:t>
      </w:r>
      <w:r w:rsidRPr="004F5E59">
        <w:tab/>
      </w:r>
      <w:r w:rsidR="002E7904" w:rsidRPr="00DF5C23">
        <w:rPr>
          <w:noProof/>
          <w:lang w:val="en-IE" w:eastAsia="fr-BE"/>
        </w:rPr>
        <w:t>T</w:t>
      </w:r>
      <w:r w:rsidR="0681B866" w:rsidRPr="00DF5C23">
        <w:rPr>
          <w:noProof/>
          <w:lang w:val="en-IE" w:eastAsia="fr-BE"/>
        </w:rPr>
        <w:t>ests, measurement or calculation</w:t>
      </w:r>
      <w:r w:rsidR="002E7904" w:rsidRPr="00DF5C23">
        <w:rPr>
          <w:noProof/>
          <w:lang w:val="en-IE" w:eastAsia="fr-BE"/>
        </w:rPr>
        <w:t xml:space="preserve"> methods referred to in Article 3</w:t>
      </w:r>
      <w:r w:rsidR="00A404BE" w:rsidRPr="00DF5C23">
        <w:rPr>
          <w:noProof/>
          <w:lang w:val="en-IE" w:eastAsia="fr-BE"/>
        </w:rPr>
        <w:t>2</w:t>
      </w:r>
      <w:r w:rsidR="002E7904" w:rsidRPr="00DF5C23">
        <w:rPr>
          <w:noProof/>
          <w:lang w:val="en-IE" w:eastAsia="fr-BE"/>
        </w:rPr>
        <w:t xml:space="preserve"> </w:t>
      </w:r>
      <w:r w:rsidR="0681B866" w:rsidRPr="00DF5C23">
        <w:rPr>
          <w:noProof/>
          <w:lang w:val="en-IE" w:eastAsia="fr-BE"/>
        </w:rPr>
        <w:t xml:space="preserve"> which are in conformity with harmonised standards or parts thereof, the references of which have been published in </w:t>
      </w:r>
      <w:r w:rsidR="0681B866" w:rsidRPr="00DF5C23">
        <w:rPr>
          <w:i/>
          <w:iCs/>
          <w:noProof/>
          <w:lang w:val="en-IE" w:eastAsia="fr-BE"/>
        </w:rPr>
        <w:t>the Official Journal of the European Union</w:t>
      </w:r>
      <w:r w:rsidR="0681B866" w:rsidRPr="00DF5C23">
        <w:rPr>
          <w:noProof/>
          <w:lang w:val="en-IE" w:eastAsia="fr-BE"/>
        </w:rPr>
        <w:t xml:space="preserve">, shall be presumed to </w:t>
      </w:r>
      <w:r w:rsidR="002E7904" w:rsidRPr="00DF5C23">
        <w:rPr>
          <w:noProof/>
          <w:lang w:val="en-IE" w:eastAsia="fr-BE"/>
        </w:rPr>
        <w:t>be in conformity with the requirements set out in that Article and</w:t>
      </w:r>
      <w:r w:rsidR="0681B866" w:rsidRPr="00DF5C23">
        <w:rPr>
          <w:noProof/>
          <w:lang w:val="en-IE" w:eastAsia="fr-BE"/>
        </w:rPr>
        <w:t xml:space="preserve"> with test, measurement and calculation requirements set out in delegated acts </w:t>
      </w:r>
      <w:r w:rsidR="002E7904" w:rsidRPr="00DF5C23">
        <w:rPr>
          <w:noProof/>
          <w:lang w:val="en-IE" w:eastAsia="fr-BE"/>
        </w:rPr>
        <w:t xml:space="preserve"> adopted pursuant to Article 4</w:t>
      </w:r>
      <w:r w:rsidR="0681B866" w:rsidRPr="00DF5C23">
        <w:rPr>
          <w:noProof/>
          <w:lang w:val="en-IE" w:eastAsia="fr-BE"/>
        </w:rPr>
        <w:t xml:space="preserve"> to the extent that those requirements are covered by such harmonised standards or parts thereof. </w:t>
      </w:r>
    </w:p>
    <w:p w14:paraId="2C3A57E1" w14:textId="52A2A975" w:rsidR="00646885" w:rsidRPr="00DF5C23" w:rsidRDefault="004F5E59" w:rsidP="004F5E59">
      <w:pPr>
        <w:pStyle w:val="ManualNumPar1"/>
        <w:rPr>
          <w:noProof/>
          <w:lang w:val="en-IE" w:eastAsia="fr-BE"/>
        </w:rPr>
      </w:pPr>
      <w:r w:rsidRPr="004F5E59">
        <w:t>2.</w:t>
      </w:r>
      <w:r w:rsidRPr="004F5E59">
        <w:tab/>
      </w:r>
      <w:r w:rsidR="00646885" w:rsidRPr="00DF5C23">
        <w:rPr>
          <w:noProof/>
          <w:lang w:val="en-IE" w:eastAsia="fr-BE"/>
        </w:rPr>
        <w:t>Products which are in conformity with harmonised standards or parts thereof</w:t>
      </w:r>
      <w:r w:rsidR="0046368C" w:rsidRPr="00DF5C23">
        <w:rPr>
          <w:noProof/>
          <w:lang w:val="en-IE" w:eastAsia="fr-BE"/>
        </w:rPr>
        <w:t>,</w:t>
      </w:r>
      <w:r w:rsidR="00646885" w:rsidRPr="00DF5C23">
        <w:rPr>
          <w:noProof/>
          <w:lang w:val="en-IE" w:eastAsia="fr-BE"/>
        </w:rPr>
        <w:t xml:space="preserve"> the references of which have been published in the </w:t>
      </w:r>
      <w:r w:rsidR="00646885" w:rsidRPr="00DF5C23">
        <w:rPr>
          <w:i/>
          <w:noProof/>
          <w:lang w:val="en-IE" w:eastAsia="fr-BE"/>
        </w:rPr>
        <w:t>Official Journal of the European</w:t>
      </w:r>
      <w:r w:rsidR="00646885" w:rsidRPr="00DF5C23">
        <w:rPr>
          <w:noProof/>
          <w:lang w:val="en-IE" w:eastAsia="fr-BE"/>
        </w:rPr>
        <w:t xml:space="preserve"> </w:t>
      </w:r>
      <w:r w:rsidR="00646885" w:rsidRPr="00DF5C23">
        <w:rPr>
          <w:i/>
          <w:noProof/>
          <w:lang w:val="en-IE" w:eastAsia="fr-BE"/>
        </w:rPr>
        <w:t>Union</w:t>
      </w:r>
      <w:r w:rsidR="00646885" w:rsidRPr="00DF5C23">
        <w:rPr>
          <w:noProof/>
          <w:lang w:val="en-IE" w:eastAsia="fr-BE"/>
        </w:rPr>
        <w:t xml:space="preserve"> shall be presumed to be in conformity with </w:t>
      </w:r>
      <w:r w:rsidR="002E7904" w:rsidRPr="00DF5C23">
        <w:rPr>
          <w:noProof/>
          <w:lang w:val="en-IE" w:eastAsia="fr-BE"/>
        </w:rPr>
        <w:t xml:space="preserve">ecodesign </w:t>
      </w:r>
      <w:r w:rsidR="00646885" w:rsidRPr="00DF5C23">
        <w:rPr>
          <w:noProof/>
          <w:lang w:val="en-IE" w:eastAsia="fr-BE"/>
        </w:rPr>
        <w:t xml:space="preserve">requirements set out in </w:t>
      </w:r>
      <w:r w:rsidR="00095F2D" w:rsidRPr="00DF5C23">
        <w:rPr>
          <w:noProof/>
          <w:lang w:val="en-IE" w:eastAsia="fr-BE"/>
        </w:rPr>
        <w:t xml:space="preserve">delegated acts </w:t>
      </w:r>
      <w:r w:rsidR="002E7904" w:rsidRPr="00DF5C23">
        <w:rPr>
          <w:noProof/>
          <w:lang w:val="en-IE" w:eastAsia="fr-BE"/>
        </w:rPr>
        <w:t>adopted pursuant to Article 4</w:t>
      </w:r>
      <w:r w:rsidR="00095F2D" w:rsidRPr="00DF5C23">
        <w:rPr>
          <w:noProof/>
          <w:lang w:val="en-IE" w:eastAsia="fr-BE"/>
        </w:rPr>
        <w:t xml:space="preserve"> </w:t>
      </w:r>
      <w:r w:rsidR="00646885" w:rsidRPr="00DF5C23">
        <w:rPr>
          <w:noProof/>
          <w:lang w:val="en-IE" w:eastAsia="fr-BE"/>
        </w:rPr>
        <w:t>to the extent that those requirements are covered by such harmonised standards or parts thereof.</w:t>
      </w:r>
    </w:p>
    <w:p w14:paraId="2C3A57E2" w14:textId="30589D98" w:rsidR="00646885" w:rsidRPr="00DF5C23" w:rsidRDefault="004F5E59" w:rsidP="004F5E59">
      <w:pPr>
        <w:pStyle w:val="ManualNumPar1"/>
        <w:rPr>
          <w:noProof/>
          <w:lang w:val="en-IE" w:eastAsia="fr-BE"/>
        </w:rPr>
      </w:pPr>
      <w:r w:rsidRPr="004F5E59">
        <w:t>3.</w:t>
      </w:r>
      <w:r w:rsidRPr="004F5E59">
        <w:tab/>
      </w:r>
      <w:r w:rsidR="00646885" w:rsidRPr="00DF5C23">
        <w:rPr>
          <w:noProof/>
          <w:lang w:val="en-IE" w:eastAsia="fr-BE"/>
        </w:rPr>
        <w:t xml:space="preserve">Products covered by a </w:t>
      </w:r>
      <w:r w:rsidR="00715D90" w:rsidRPr="00DF5C23">
        <w:rPr>
          <w:noProof/>
          <w:lang w:val="en-IE" w:eastAsia="fr-BE"/>
        </w:rPr>
        <w:t xml:space="preserve">delegated act </w:t>
      </w:r>
      <w:r w:rsidR="002E7904" w:rsidRPr="00DF5C23">
        <w:rPr>
          <w:noProof/>
          <w:lang w:val="en-IE" w:eastAsia="fr-BE"/>
        </w:rPr>
        <w:t>adopted pursuant to Article 4</w:t>
      </w:r>
      <w:r w:rsidR="0065275B" w:rsidRPr="00DF5C23">
        <w:rPr>
          <w:noProof/>
          <w:lang w:val="en-IE" w:eastAsia="fr-BE"/>
        </w:rPr>
        <w:t>,</w:t>
      </w:r>
      <w:r w:rsidR="002E7904" w:rsidRPr="00DF5C23">
        <w:rPr>
          <w:noProof/>
          <w:lang w:val="en-IE" w:eastAsia="fr-BE"/>
        </w:rPr>
        <w:t xml:space="preserve"> </w:t>
      </w:r>
      <w:r w:rsidR="00646885" w:rsidRPr="00DF5C23">
        <w:rPr>
          <w:noProof/>
          <w:lang w:val="en-IE" w:eastAsia="fr-BE"/>
        </w:rPr>
        <w:t xml:space="preserve">which have been awarded the </w:t>
      </w:r>
      <w:r w:rsidR="006559DF" w:rsidRPr="00DF5C23">
        <w:rPr>
          <w:noProof/>
          <w:lang w:val="en-IE" w:eastAsia="fr-BE"/>
        </w:rPr>
        <w:t>EU</w:t>
      </w:r>
      <w:r w:rsidR="00646885" w:rsidRPr="00DF5C23">
        <w:rPr>
          <w:noProof/>
          <w:lang w:val="en-IE" w:eastAsia="fr-BE"/>
        </w:rPr>
        <w:t xml:space="preserve"> Ecolabel pursuant to Regulation (EC) No 66/2010</w:t>
      </w:r>
      <w:r w:rsidR="00646885" w:rsidRPr="00DF5C23" w:rsidDel="00E00316">
        <w:rPr>
          <w:noProof/>
          <w:lang w:val="en-IE" w:eastAsia="fr-BE"/>
        </w:rPr>
        <w:t xml:space="preserve"> </w:t>
      </w:r>
      <w:r w:rsidR="00646885" w:rsidRPr="00DF5C23">
        <w:rPr>
          <w:noProof/>
          <w:lang w:val="en-IE" w:eastAsia="fr-BE"/>
        </w:rPr>
        <w:t xml:space="preserve">shall be presumed to comply with the </w:t>
      </w:r>
      <w:r w:rsidR="00092811" w:rsidRPr="00DF5C23">
        <w:rPr>
          <w:noProof/>
          <w:lang w:val="en-IE" w:eastAsia="fr-BE"/>
        </w:rPr>
        <w:t>ecodesign</w:t>
      </w:r>
      <w:r w:rsidR="00646885" w:rsidRPr="00DF5C23">
        <w:rPr>
          <w:noProof/>
          <w:lang w:val="en-IE" w:eastAsia="fr-BE"/>
        </w:rPr>
        <w:t xml:space="preserve"> requirements </w:t>
      </w:r>
      <w:r w:rsidR="002E7904" w:rsidRPr="00DF5C23">
        <w:rPr>
          <w:noProof/>
          <w:lang w:val="en-IE" w:eastAsia="fr-BE"/>
        </w:rPr>
        <w:t>set out in that delegated act</w:t>
      </w:r>
      <w:r w:rsidR="00095F2D" w:rsidRPr="00DF5C23">
        <w:rPr>
          <w:noProof/>
          <w:lang w:val="en-IE" w:eastAsia="fr-BE"/>
        </w:rPr>
        <w:t xml:space="preserve"> </w:t>
      </w:r>
      <w:r w:rsidR="00646885" w:rsidRPr="00DF5C23">
        <w:rPr>
          <w:noProof/>
          <w:lang w:val="en-IE" w:eastAsia="fr-BE"/>
        </w:rPr>
        <w:t xml:space="preserve">in so far as those requirements are </w:t>
      </w:r>
      <w:r w:rsidR="00775814" w:rsidRPr="00DF5C23">
        <w:rPr>
          <w:noProof/>
          <w:lang w:val="en-IE" w:eastAsia="fr-BE"/>
        </w:rPr>
        <w:t>covered</w:t>
      </w:r>
      <w:r w:rsidR="00646885" w:rsidRPr="00DF5C23">
        <w:rPr>
          <w:noProof/>
          <w:lang w:val="en-IE" w:eastAsia="fr-BE"/>
        </w:rPr>
        <w:t xml:space="preserve"> by the </w:t>
      </w:r>
      <w:r w:rsidR="00043DBB" w:rsidRPr="00DF5C23">
        <w:rPr>
          <w:noProof/>
          <w:lang w:val="en-IE" w:eastAsia="fr-BE"/>
        </w:rPr>
        <w:t>EU E</w:t>
      </w:r>
      <w:r w:rsidR="00646885" w:rsidRPr="00DF5C23">
        <w:rPr>
          <w:noProof/>
          <w:lang w:val="en-IE" w:eastAsia="fr-BE"/>
        </w:rPr>
        <w:t>colabel</w:t>
      </w:r>
      <w:r w:rsidR="00775814" w:rsidRPr="00DF5C23">
        <w:rPr>
          <w:noProof/>
          <w:lang w:val="en-IE" w:eastAsia="fr-BE"/>
        </w:rPr>
        <w:t xml:space="preserve"> criteria</w:t>
      </w:r>
      <w:r w:rsidR="00DD392C" w:rsidRPr="00DF5C23">
        <w:rPr>
          <w:noProof/>
          <w:lang w:val="en-IE" w:eastAsia="en-GB"/>
        </w:rPr>
        <w:t xml:space="preserve"> esta</w:t>
      </w:r>
      <w:r w:rsidR="0065275B" w:rsidRPr="00DF5C23">
        <w:rPr>
          <w:noProof/>
          <w:lang w:val="en-IE" w:eastAsia="en-GB"/>
        </w:rPr>
        <w:t>blished according to Article 16</w:t>
      </w:r>
      <w:r w:rsidR="00DD392C" w:rsidRPr="00DF5C23">
        <w:rPr>
          <w:noProof/>
          <w:lang w:val="en-IE" w:eastAsia="en-GB"/>
        </w:rPr>
        <w:t xml:space="preserve">(2) of </w:t>
      </w:r>
      <w:r w:rsidR="00DD392C" w:rsidRPr="00DF5C23">
        <w:rPr>
          <w:noProof/>
          <w:lang w:val="en-IE" w:eastAsia="fr-BE"/>
        </w:rPr>
        <w:t>Regulation (EC) No 66/2010</w:t>
      </w:r>
      <w:r w:rsidR="00646885" w:rsidRPr="00DF5C23">
        <w:rPr>
          <w:noProof/>
          <w:lang w:val="en-IE" w:eastAsia="fr-BE"/>
        </w:rPr>
        <w:t>.</w:t>
      </w:r>
    </w:p>
    <w:p w14:paraId="2C3A57E3" w14:textId="77777777" w:rsidR="00646885" w:rsidRPr="00DF5C23" w:rsidRDefault="00646885" w:rsidP="0681B866">
      <w:pPr>
        <w:pStyle w:val="Titrearticle"/>
        <w:rPr>
          <w:noProof/>
          <w:lang w:val="en-IE"/>
        </w:rPr>
      </w:pPr>
      <w:r w:rsidRPr="00DF5C23">
        <w:rPr>
          <w:noProof/>
          <w:lang w:val="en-IE"/>
        </w:rPr>
        <w:t xml:space="preserve">Article </w:t>
      </w:r>
      <w:r w:rsidR="00807659" w:rsidRPr="00DF5C23">
        <w:rPr>
          <w:noProof/>
          <w:lang w:val="en-IE"/>
        </w:rPr>
        <w:t xml:space="preserve">35 </w:t>
      </w:r>
      <w:r w:rsidR="00014A6A" w:rsidRPr="00DF5C23">
        <w:rPr>
          <w:noProof/>
        </w:rPr>
        <w:br/>
      </w:r>
      <w:r w:rsidRPr="00DF5C23">
        <w:rPr>
          <w:noProof/>
          <w:lang w:val="en-IE"/>
        </w:rPr>
        <w:t>Common specifications</w:t>
      </w:r>
    </w:p>
    <w:p w14:paraId="2C3A57E4" w14:textId="48AD02FE"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 xml:space="preserve">The Commission may adopt implementing acts laying down common specifications for </w:t>
      </w:r>
      <w:r w:rsidR="00092811" w:rsidRPr="00DF5C23">
        <w:rPr>
          <w:noProof/>
          <w:lang w:val="en-IE" w:eastAsia="fr-BE"/>
        </w:rPr>
        <w:t>ecodesign</w:t>
      </w:r>
      <w:r w:rsidR="0681B866" w:rsidRPr="00DF5C23">
        <w:rPr>
          <w:noProof/>
          <w:lang w:val="en-IE" w:eastAsia="fr-BE"/>
        </w:rPr>
        <w:t xml:space="preserve"> requirements</w:t>
      </w:r>
      <w:r w:rsidR="00F27B9C" w:rsidRPr="00DF5C23">
        <w:rPr>
          <w:noProof/>
          <w:lang w:val="en-IE" w:eastAsia="fr-BE"/>
        </w:rPr>
        <w:t>, the essential requirement</w:t>
      </w:r>
      <w:r w:rsidR="0031447E" w:rsidRPr="00DF5C23">
        <w:rPr>
          <w:noProof/>
          <w:lang w:val="en-IE" w:eastAsia="fr-BE"/>
        </w:rPr>
        <w:t>s</w:t>
      </w:r>
      <w:r w:rsidR="00AD4D52" w:rsidRPr="00DF5C23">
        <w:rPr>
          <w:noProof/>
          <w:lang w:val="en-IE" w:eastAsia="fr-BE"/>
        </w:rPr>
        <w:t xml:space="preserve"> for product passports</w:t>
      </w:r>
      <w:r w:rsidR="00F27B9C" w:rsidRPr="00DF5C23">
        <w:rPr>
          <w:noProof/>
          <w:lang w:val="en-IE" w:eastAsia="fr-BE"/>
        </w:rPr>
        <w:t xml:space="preserve"> referred to in Article</w:t>
      </w:r>
      <w:r w:rsidR="002C78D8" w:rsidRPr="00DF5C23">
        <w:rPr>
          <w:noProof/>
          <w:lang w:val="en-IE" w:eastAsia="fr-BE"/>
        </w:rPr>
        <w:t>10</w:t>
      </w:r>
      <w:r w:rsidR="00AD4D52" w:rsidRPr="00DF5C23">
        <w:rPr>
          <w:noProof/>
          <w:lang w:val="en-IE" w:eastAsia="fr-BE"/>
        </w:rPr>
        <w:t xml:space="preserve"> </w:t>
      </w:r>
      <w:r w:rsidR="00C3098B" w:rsidRPr="00DF5C23">
        <w:rPr>
          <w:noProof/>
          <w:lang w:val="en-IE" w:eastAsia="fr-BE"/>
        </w:rPr>
        <w:t>or for</w:t>
      </w:r>
      <w:r w:rsidR="0681B866" w:rsidRPr="00DF5C23">
        <w:rPr>
          <w:noProof/>
          <w:lang w:val="en-IE" w:eastAsia="fr-BE"/>
        </w:rPr>
        <w:t xml:space="preserve"> test, measurement or calculation</w:t>
      </w:r>
      <w:r w:rsidR="00C3098B" w:rsidRPr="00DF5C23">
        <w:rPr>
          <w:noProof/>
          <w:lang w:val="en-IE" w:eastAsia="fr-BE"/>
        </w:rPr>
        <w:t xml:space="preserve"> methods referred to in Article 3</w:t>
      </w:r>
      <w:r w:rsidR="00A404BE" w:rsidRPr="00DF5C23">
        <w:rPr>
          <w:noProof/>
          <w:lang w:val="en-IE" w:eastAsia="fr-BE"/>
        </w:rPr>
        <w:t>2</w:t>
      </w:r>
      <w:r w:rsidR="0681B866" w:rsidRPr="00DF5C23">
        <w:rPr>
          <w:noProof/>
          <w:lang w:val="en-IE" w:eastAsia="fr-BE"/>
        </w:rPr>
        <w:t xml:space="preserve">, </w:t>
      </w:r>
      <w:r w:rsidR="00C3098B" w:rsidRPr="00DF5C23">
        <w:rPr>
          <w:noProof/>
          <w:lang w:val="en-IE" w:eastAsia="fr-BE"/>
        </w:rPr>
        <w:t>in the following situations</w:t>
      </w:r>
      <w:r w:rsidR="0681B866" w:rsidRPr="00DF5C23">
        <w:rPr>
          <w:noProof/>
          <w:lang w:val="en-IE" w:eastAsia="fr-BE"/>
        </w:rPr>
        <w:t>:</w:t>
      </w:r>
    </w:p>
    <w:p w14:paraId="2C3A57E5" w14:textId="43AFC1DD" w:rsidR="00043DBB" w:rsidRPr="00DF5C23" w:rsidRDefault="004F5E59" w:rsidP="004F5E59">
      <w:pPr>
        <w:pStyle w:val="Point1"/>
        <w:rPr>
          <w:noProof/>
          <w:lang w:val="en-IE" w:eastAsia="fr-BE"/>
        </w:rPr>
      </w:pPr>
      <w:r w:rsidRPr="004F5E59">
        <w:t>(a)</w:t>
      </w:r>
      <w:r w:rsidRPr="004F5E59">
        <w:tab/>
      </w:r>
      <w:r w:rsidR="00506E86" w:rsidRPr="00DF5C23">
        <w:rPr>
          <w:noProof/>
          <w:lang w:val="en-IE" w:eastAsia="fr-BE"/>
        </w:rPr>
        <w:t>it has requested one or more European standardisation organisations to draft a harmonised standard in relation to a</w:t>
      </w:r>
      <w:r w:rsidR="00C3098B" w:rsidRPr="00DF5C23">
        <w:rPr>
          <w:noProof/>
          <w:lang w:val="en-IE" w:eastAsia="fr-BE"/>
        </w:rPr>
        <w:t>n ecodesign</w:t>
      </w:r>
      <w:r w:rsidR="00506E86" w:rsidRPr="00DF5C23">
        <w:rPr>
          <w:noProof/>
          <w:lang w:val="en-IE" w:eastAsia="fr-BE"/>
        </w:rPr>
        <w:t xml:space="preserve"> requirement or method that is not covered by a harmonised standard or part thereof, the references of which have been published in the </w:t>
      </w:r>
      <w:r w:rsidR="00506E86" w:rsidRPr="00DF5C23">
        <w:rPr>
          <w:i/>
          <w:iCs/>
          <w:noProof/>
          <w:lang w:val="en-IE" w:eastAsia="fr-BE"/>
        </w:rPr>
        <w:t>Official Journal of the European Union</w:t>
      </w:r>
      <w:r w:rsidR="00506E86" w:rsidRPr="00DF5C23">
        <w:rPr>
          <w:noProof/>
          <w:lang w:val="en-IE" w:eastAsia="fr-BE"/>
        </w:rPr>
        <w:t xml:space="preserve">, and there are either undue delays in the standardisation procedure or the request </w:t>
      </w:r>
      <w:r w:rsidR="0046368C" w:rsidRPr="00DF5C23">
        <w:rPr>
          <w:noProof/>
          <w:lang w:val="en-IE" w:eastAsia="fr-BE"/>
        </w:rPr>
        <w:t>has</w:t>
      </w:r>
      <w:r w:rsidR="00506E86" w:rsidRPr="00DF5C23">
        <w:rPr>
          <w:noProof/>
          <w:lang w:val="en-IE" w:eastAsia="fr-BE"/>
        </w:rPr>
        <w:t xml:space="preserve"> not been accepted by any of the European standardisation organisations; </w:t>
      </w:r>
    </w:p>
    <w:p w14:paraId="2C3A57E6" w14:textId="7D871EA6" w:rsidR="00DC7401" w:rsidRPr="00DF5C23" w:rsidRDefault="004F5E59" w:rsidP="004F5E59">
      <w:pPr>
        <w:pStyle w:val="Point1"/>
        <w:rPr>
          <w:noProof/>
          <w:lang w:val="en-IE" w:eastAsia="fr-BE"/>
        </w:rPr>
      </w:pPr>
      <w:r w:rsidRPr="004F5E59">
        <w:t>(b)</w:t>
      </w:r>
      <w:r w:rsidRPr="004F5E59">
        <w:tab/>
      </w:r>
      <w:r w:rsidR="00DC7401" w:rsidRPr="00DF5C23">
        <w:rPr>
          <w:noProof/>
          <w:lang w:val="en-IE" w:eastAsia="fr-BE"/>
        </w:rPr>
        <w:t xml:space="preserve">the Commission has decided in accordance with the procedure referred to in Article 11(5) of Regulation (EU) No 1025/2012 to maintain with restriction or to withdraw the references to the harmonised standards or parts thereof by which </w:t>
      </w:r>
      <w:r w:rsidR="00C3098B" w:rsidRPr="00DF5C23">
        <w:rPr>
          <w:noProof/>
          <w:lang w:val="en-IE" w:eastAsia="fr-BE"/>
        </w:rPr>
        <w:t xml:space="preserve">an ecodesign </w:t>
      </w:r>
      <w:r w:rsidR="00DC7401" w:rsidRPr="00DF5C23">
        <w:rPr>
          <w:noProof/>
          <w:lang w:val="en-IE" w:eastAsia="fr-BE"/>
        </w:rPr>
        <w:t xml:space="preserve">requirements or method </w:t>
      </w:r>
      <w:r w:rsidR="00C3098B" w:rsidRPr="00DF5C23">
        <w:rPr>
          <w:noProof/>
          <w:lang w:val="en-IE" w:eastAsia="fr-BE"/>
        </w:rPr>
        <w:t>is</w:t>
      </w:r>
      <w:r w:rsidR="00DC7401" w:rsidRPr="00DF5C23">
        <w:rPr>
          <w:noProof/>
          <w:lang w:val="en-IE" w:eastAsia="fr-BE"/>
        </w:rPr>
        <w:t xml:space="preserve"> covered</w:t>
      </w:r>
      <w:r w:rsidR="002B664A" w:rsidRPr="00DF5C23">
        <w:rPr>
          <w:noProof/>
          <w:lang w:val="en-IE" w:eastAsia="fr-BE"/>
        </w:rPr>
        <w:t>.</w:t>
      </w:r>
    </w:p>
    <w:p w14:paraId="2C3A57E7" w14:textId="77777777" w:rsidR="00646885" w:rsidRPr="00DF5C23" w:rsidRDefault="00646885" w:rsidP="0681B866">
      <w:pPr>
        <w:pStyle w:val="Text1"/>
        <w:rPr>
          <w:noProof/>
          <w:lang w:val="en-IE" w:eastAsia="fr-BE"/>
        </w:rPr>
      </w:pPr>
      <w:r w:rsidRPr="00DF5C23">
        <w:rPr>
          <w:noProof/>
          <w:lang w:val="en-IE" w:eastAsia="fr-BE"/>
        </w:rPr>
        <w:t>Those implementing acts shall be adopted in accordance with the examination procedure referred to in Article </w:t>
      </w:r>
      <w:r w:rsidR="003271F4" w:rsidRPr="00DF5C23">
        <w:rPr>
          <w:noProof/>
          <w:lang w:val="en-IE" w:eastAsia="fr-BE"/>
        </w:rPr>
        <w:t>6</w:t>
      </w:r>
      <w:r w:rsidR="00A404BE" w:rsidRPr="00DF5C23">
        <w:rPr>
          <w:noProof/>
          <w:lang w:val="en-IE" w:eastAsia="fr-BE"/>
        </w:rPr>
        <w:t>7</w:t>
      </w:r>
      <w:r w:rsidR="00E7338F" w:rsidRPr="00DF5C23">
        <w:rPr>
          <w:noProof/>
          <w:lang w:val="en-IE" w:eastAsia="fr-BE"/>
        </w:rPr>
        <w:t>(3)</w:t>
      </w:r>
      <w:r w:rsidRPr="00DF5C23">
        <w:rPr>
          <w:noProof/>
          <w:lang w:val="en-IE" w:eastAsia="fr-BE"/>
        </w:rPr>
        <w:t>.</w:t>
      </w:r>
    </w:p>
    <w:p w14:paraId="2C3A57E8" w14:textId="2BEEA6F0" w:rsidR="00646885" w:rsidRPr="00DF5C23" w:rsidRDefault="004F5E59" w:rsidP="004F5E59">
      <w:pPr>
        <w:pStyle w:val="ManualNumPar1"/>
        <w:rPr>
          <w:noProof/>
          <w:lang w:val="en-IE" w:eastAsia="fr-BE"/>
        </w:rPr>
      </w:pPr>
      <w:r w:rsidRPr="004F5E59">
        <w:t>2.</w:t>
      </w:r>
      <w:r w:rsidRPr="004F5E59">
        <w:tab/>
      </w:r>
      <w:r w:rsidR="00C3098B" w:rsidRPr="00DF5C23">
        <w:rPr>
          <w:noProof/>
          <w:lang w:val="en-IE" w:eastAsia="fr-BE"/>
        </w:rPr>
        <w:t>Test, measurement and calculation methods referred to in Article 3</w:t>
      </w:r>
      <w:r w:rsidR="00A404BE" w:rsidRPr="00DF5C23">
        <w:rPr>
          <w:noProof/>
          <w:lang w:val="en-IE" w:eastAsia="fr-BE"/>
        </w:rPr>
        <w:t>2</w:t>
      </w:r>
      <w:r w:rsidR="0681B866" w:rsidRPr="00DF5C23">
        <w:rPr>
          <w:noProof/>
          <w:lang w:val="en-IE" w:eastAsia="fr-BE"/>
        </w:rPr>
        <w:t xml:space="preserve">which are in conformity with common specification or parts thereof shall be presumed </w:t>
      </w:r>
      <w:r w:rsidR="00C3098B" w:rsidRPr="00DF5C23">
        <w:rPr>
          <w:noProof/>
          <w:lang w:val="en-IE" w:eastAsia="fr-BE"/>
        </w:rPr>
        <w:t xml:space="preserve">to be in conformity with the requirements set out in that Article and with test, measurement and calculation requirements set out in delegated acts  adopted pursuant to Article 4 </w:t>
      </w:r>
      <w:r w:rsidR="0681B866" w:rsidRPr="00DF5C23">
        <w:rPr>
          <w:noProof/>
          <w:lang w:val="en-IE" w:eastAsia="fr-BE"/>
        </w:rPr>
        <w:t>to the extent that those requirements are covered by such common specification or parts thereof.</w:t>
      </w:r>
    </w:p>
    <w:p w14:paraId="2C3A57E9" w14:textId="3D2ABF03"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 xml:space="preserve">Products which are in conformity with common specifications or parts thereof shall be presumed to be in conformity with </w:t>
      </w:r>
      <w:r w:rsidR="00C3098B" w:rsidRPr="00DF5C23">
        <w:rPr>
          <w:noProof/>
          <w:lang w:val="en-IE" w:eastAsia="fr-BE"/>
        </w:rPr>
        <w:t>ecodesign</w:t>
      </w:r>
      <w:r w:rsidR="0681B866" w:rsidRPr="00DF5C23">
        <w:rPr>
          <w:noProof/>
          <w:lang w:val="en-IE" w:eastAsia="fr-BE"/>
        </w:rPr>
        <w:t xml:space="preserve"> requirements set out in </w:t>
      </w:r>
      <w:r w:rsidR="00C3098B" w:rsidRPr="00DF5C23">
        <w:rPr>
          <w:noProof/>
          <w:lang w:val="en-IE" w:eastAsia="fr-BE"/>
        </w:rPr>
        <w:t xml:space="preserve">the delegated act adopted pursuant to Article 4 by which those products are covered </w:t>
      </w:r>
      <w:r w:rsidR="0681B866" w:rsidRPr="00DF5C23">
        <w:rPr>
          <w:noProof/>
          <w:lang w:val="en-IE" w:eastAsia="fr-BE"/>
        </w:rPr>
        <w:t>to the extent that those requirements are covered those common specifications or parts thereof.</w:t>
      </w:r>
    </w:p>
    <w:p w14:paraId="2C3A57EA" w14:textId="77777777" w:rsidR="00646885" w:rsidRPr="00DF5C23" w:rsidRDefault="00646885" w:rsidP="0681B866">
      <w:pPr>
        <w:pStyle w:val="Titrearticle"/>
        <w:rPr>
          <w:noProof/>
          <w:lang w:val="en-IE" w:eastAsia="fr-BE"/>
        </w:rPr>
      </w:pPr>
      <w:r w:rsidRPr="00DF5C23">
        <w:rPr>
          <w:noProof/>
          <w:color w:val="000000" w:themeColor="text1"/>
          <w:lang w:val="en-IE" w:eastAsia="fr-BE"/>
        </w:rPr>
        <w:t xml:space="preserve">Article </w:t>
      </w:r>
      <w:r w:rsidR="00807659" w:rsidRPr="00DF5C23">
        <w:rPr>
          <w:noProof/>
          <w:color w:val="000000" w:themeColor="text1"/>
          <w:lang w:val="en-IE" w:eastAsia="fr-BE"/>
        </w:rPr>
        <w:t>36</w:t>
      </w:r>
      <w:r w:rsidR="00014A6A" w:rsidRPr="00DF5C23">
        <w:rPr>
          <w:noProof/>
        </w:rPr>
        <w:br/>
      </w:r>
      <w:r w:rsidRPr="00DF5C23">
        <w:rPr>
          <w:noProof/>
          <w:lang w:val="en-IE" w:eastAsia="fr-BE"/>
        </w:rPr>
        <w:t>Conformity assessment</w:t>
      </w:r>
    </w:p>
    <w:p w14:paraId="2C3A57EB" w14:textId="7F2803E7" w:rsidR="00721189" w:rsidRPr="00DF5C23" w:rsidRDefault="004F5E59" w:rsidP="004F5E59">
      <w:pPr>
        <w:pStyle w:val="ManualNumPar1"/>
        <w:rPr>
          <w:noProof/>
          <w:lang w:val="en-IE" w:eastAsia="fr-BE"/>
        </w:rPr>
      </w:pPr>
      <w:r w:rsidRPr="004F5E59">
        <w:t>1.</w:t>
      </w:r>
      <w:r w:rsidRPr="004F5E59">
        <w:tab/>
      </w:r>
      <w:r w:rsidR="00721189" w:rsidRPr="00DF5C23">
        <w:rPr>
          <w:noProof/>
          <w:lang w:val="en-IE" w:eastAsia="fr-BE"/>
        </w:rPr>
        <w:t xml:space="preserve">When specifying the applicable conformity assessment procedure pursuant to Article 4, </w:t>
      </w:r>
      <w:r w:rsidR="002438E5" w:rsidRPr="00DF5C23">
        <w:rPr>
          <w:noProof/>
          <w:lang w:val="en-IE" w:eastAsia="fr-BE"/>
        </w:rPr>
        <w:t>second subparagraph</w:t>
      </w:r>
      <w:r w:rsidR="00721189" w:rsidRPr="00DF5C23">
        <w:rPr>
          <w:noProof/>
          <w:lang w:val="en-IE" w:eastAsia="fr-BE"/>
        </w:rPr>
        <w:t xml:space="preserve">, the Commission shall </w:t>
      </w:r>
      <w:r w:rsidR="00283506" w:rsidRPr="00DF5C23">
        <w:rPr>
          <w:noProof/>
          <w:lang w:val="en-IE" w:eastAsia="fr-BE"/>
        </w:rPr>
        <w:t>consider</w:t>
      </w:r>
      <w:r w:rsidR="00721189" w:rsidRPr="00DF5C23">
        <w:rPr>
          <w:noProof/>
          <w:lang w:val="en-IE" w:eastAsia="fr-BE"/>
        </w:rPr>
        <w:t xml:space="preserve"> the following criteria:</w:t>
      </w:r>
    </w:p>
    <w:p w14:paraId="2C3A57EC" w14:textId="57BCC03F" w:rsidR="00721189" w:rsidRPr="00DF5C23" w:rsidRDefault="004F5E59" w:rsidP="004F5E59">
      <w:pPr>
        <w:pStyle w:val="Point1"/>
        <w:rPr>
          <w:noProof/>
          <w:lang w:val="en-IE" w:eastAsia="fr-BE"/>
        </w:rPr>
      </w:pPr>
      <w:r w:rsidRPr="004F5E59">
        <w:t>(a)</w:t>
      </w:r>
      <w:r w:rsidRPr="004F5E59">
        <w:tab/>
      </w:r>
      <w:r w:rsidR="00721189" w:rsidRPr="00DF5C23">
        <w:rPr>
          <w:noProof/>
          <w:lang w:val="en-IE" w:eastAsia="fr-BE"/>
        </w:rPr>
        <w:t>whether the module concerned is appropriate to the type of product</w:t>
      </w:r>
      <w:r w:rsidR="00ED7A83" w:rsidRPr="00DF5C23">
        <w:rPr>
          <w:noProof/>
          <w:lang w:val="en-IE" w:eastAsia="fr-BE"/>
        </w:rPr>
        <w:t xml:space="preserve"> and proportionate to the public interest pursued</w:t>
      </w:r>
      <w:r w:rsidR="00721189" w:rsidRPr="00DF5C23">
        <w:rPr>
          <w:noProof/>
          <w:lang w:val="en-IE" w:eastAsia="fr-BE"/>
        </w:rPr>
        <w:t>;</w:t>
      </w:r>
    </w:p>
    <w:p w14:paraId="2C3A57ED" w14:textId="209A3A56" w:rsidR="00721189" w:rsidRPr="00DF5C23" w:rsidRDefault="004F5E59" w:rsidP="004F5E59">
      <w:pPr>
        <w:pStyle w:val="Point1"/>
        <w:rPr>
          <w:noProof/>
          <w:lang w:val="en-IE" w:eastAsia="fr-BE"/>
        </w:rPr>
      </w:pPr>
      <w:r w:rsidRPr="004F5E59">
        <w:t>(b)</w:t>
      </w:r>
      <w:r w:rsidRPr="004F5E59">
        <w:tab/>
      </w:r>
      <w:r w:rsidR="00721189" w:rsidRPr="00DF5C23">
        <w:rPr>
          <w:noProof/>
          <w:lang w:val="en-IE" w:eastAsia="fr-BE"/>
        </w:rPr>
        <w:t xml:space="preserve">the nature of the </w:t>
      </w:r>
      <w:r w:rsidR="00F461EF" w:rsidRPr="00DF5C23">
        <w:rPr>
          <w:noProof/>
          <w:lang w:val="en-IE" w:eastAsia="fr-BE"/>
        </w:rPr>
        <w:t xml:space="preserve">product parameters referred to in Annex I </w:t>
      </w:r>
      <w:r w:rsidR="000E71D4" w:rsidRPr="00DF5C23">
        <w:rPr>
          <w:noProof/>
          <w:lang w:val="en-IE" w:eastAsia="fr-BE"/>
        </w:rPr>
        <w:t>on which the relevant ecodesign requirements are</w:t>
      </w:r>
      <w:r w:rsidR="00F461EF" w:rsidRPr="00DF5C23">
        <w:rPr>
          <w:noProof/>
          <w:lang w:val="en-IE" w:eastAsia="fr-BE"/>
        </w:rPr>
        <w:t xml:space="preserve"> based</w:t>
      </w:r>
      <w:r w:rsidR="000E71D4" w:rsidRPr="00DF5C23">
        <w:rPr>
          <w:noProof/>
          <w:lang w:val="en-IE" w:eastAsia="fr-BE"/>
        </w:rPr>
        <w:t>, in particular whether performance in relation to those product parameters can be verified on the product itself</w:t>
      </w:r>
      <w:r w:rsidR="00721189" w:rsidRPr="00DF5C23">
        <w:rPr>
          <w:noProof/>
          <w:lang w:val="en-IE" w:eastAsia="fr-BE"/>
        </w:rPr>
        <w:t>;</w:t>
      </w:r>
    </w:p>
    <w:p w14:paraId="2C3A57EE" w14:textId="7C7B4886" w:rsidR="00721189" w:rsidRPr="00DF5C23" w:rsidRDefault="004F5E59" w:rsidP="004F5E59">
      <w:pPr>
        <w:pStyle w:val="Point1"/>
        <w:rPr>
          <w:noProof/>
          <w:lang w:val="en-IE" w:eastAsia="fr-BE"/>
        </w:rPr>
      </w:pPr>
      <w:r w:rsidRPr="004F5E59">
        <w:t>(c)</w:t>
      </w:r>
      <w:r w:rsidRPr="004F5E59">
        <w:tab/>
      </w:r>
      <w:r w:rsidR="00721189" w:rsidRPr="00DF5C23">
        <w:rPr>
          <w:noProof/>
          <w:lang w:val="en-IE" w:eastAsia="fr-BE"/>
        </w:rPr>
        <w:t>where third party involvement is mandatory, the need for the manufacturer to have a choice between quality assurance and product certification modules set out in Annex II</w:t>
      </w:r>
      <w:r w:rsidR="00F461EF" w:rsidRPr="00DF5C23">
        <w:rPr>
          <w:noProof/>
          <w:lang w:val="en-IE" w:eastAsia="fr-BE"/>
        </w:rPr>
        <w:t xml:space="preserve"> of Decision No 768/2008/EC</w:t>
      </w:r>
      <w:r w:rsidR="00ED7A83" w:rsidRPr="00DF5C23">
        <w:rPr>
          <w:noProof/>
          <w:lang w:val="en-IE" w:eastAsia="fr-BE"/>
        </w:rPr>
        <w:t>.</w:t>
      </w:r>
    </w:p>
    <w:p w14:paraId="2C3A57EF" w14:textId="3A377474" w:rsidR="00646885" w:rsidRPr="00DF5C23" w:rsidRDefault="004F5E59" w:rsidP="004F5E59">
      <w:pPr>
        <w:pStyle w:val="ManualNumPar1"/>
        <w:rPr>
          <w:noProof/>
          <w:lang w:val="en-IE" w:eastAsia="fr-BE"/>
        </w:rPr>
      </w:pPr>
      <w:r w:rsidRPr="004F5E59">
        <w:t>2.</w:t>
      </w:r>
      <w:r w:rsidRPr="004F5E59">
        <w:tab/>
      </w:r>
      <w:r w:rsidR="00AF5DA2" w:rsidRPr="00DF5C23">
        <w:rPr>
          <w:noProof/>
          <w:lang w:val="en-IE" w:eastAsia="fr-BE"/>
        </w:rPr>
        <w:t>Where relevant, r</w:t>
      </w:r>
      <w:r w:rsidR="0681B866" w:rsidRPr="00DF5C23">
        <w:rPr>
          <w:noProof/>
          <w:lang w:val="en-IE" w:eastAsia="fr-BE"/>
        </w:rPr>
        <w:t xml:space="preserve">ecords and correspondence relating to the conformity assessment shall be drawn up in an official language of the Member State where </w:t>
      </w:r>
      <w:r w:rsidR="00AF5DA2" w:rsidRPr="00DF5C23">
        <w:rPr>
          <w:noProof/>
          <w:lang w:val="en-IE" w:eastAsia="fr-BE"/>
        </w:rPr>
        <w:t>a</w:t>
      </w:r>
      <w:r w:rsidR="0681B866" w:rsidRPr="00DF5C23">
        <w:rPr>
          <w:noProof/>
          <w:lang w:val="en-IE" w:eastAsia="fr-BE"/>
        </w:rPr>
        <w:t xml:space="preserve"> notified body </w:t>
      </w:r>
      <w:r w:rsidR="00AF5DA2" w:rsidRPr="00DF5C23">
        <w:rPr>
          <w:noProof/>
          <w:lang w:val="en-IE" w:eastAsia="fr-BE"/>
        </w:rPr>
        <w:t>involved in a</w:t>
      </w:r>
      <w:r w:rsidR="0681B866" w:rsidRPr="00DF5C23">
        <w:rPr>
          <w:noProof/>
          <w:lang w:val="en-IE" w:eastAsia="fr-BE"/>
        </w:rPr>
        <w:t xml:space="preserve"> conformity assessment </w:t>
      </w:r>
      <w:r w:rsidR="00AF5DA2" w:rsidRPr="00DF5C23">
        <w:rPr>
          <w:noProof/>
          <w:lang w:val="en-IE" w:eastAsia="fr-BE"/>
        </w:rPr>
        <w:t>procedure</w:t>
      </w:r>
      <w:r w:rsidR="0681B866" w:rsidRPr="00DF5C23">
        <w:rPr>
          <w:noProof/>
          <w:lang w:val="en-IE" w:eastAsia="fr-BE"/>
        </w:rPr>
        <w:t xml:space="preserve"> referred to in paragraph 1 is established, or in a language accepted by that body.</w:t>
      </w:r>
    </w:p>
    <w:p w14:paraId="2C3A57F0" w14:textId="77777777" w:rsidR="00646885" w:rsidRPr="00DF5C23" w:rsidRDefault="00646885" w:rsidP="0681B866">
      <w:pPr>
        <w:pStyle w:val="Titrearticle"/>
        <w:rPr>
          <w:noProof/>
          <w:lang w:val="en-IE"/>
        </w:rPr>
      </w:pPr>
      <w:r w:rsidRPr="00DF5C23">
        <w:rPr>
          <w:noProof/>
          <w:lang w:val="en-IE"/>
        </w:rPr>
        <w:t xml:space="preserve">Article </w:t>
      </w:r>
      <w:r w:rsidR="00807659" w:rsidRPr="00DF5C23">
        <w:rPr>
          <w:noProof/>
          <w:lang w:val="en-IE"/>
        </w:rPr>
        <w:t>37</w:t>
      </w:r>
      <w:r w:rsidR="00014A6A" w:rsidRPr="00DF5C23">
        <w:rPr>
          <w:noProof/>
        </w:rPr>
        <w:br/>
      </w:r>
      <w:r w:rsidRPr="00DF5C23">
        <w:rPr>
          <w:noProof/>
          <w:lang w:val="en-IE"/>
        </w:rPr>
        <w:t>EU declaration of conformity</w:t>
      </w:r>
    </w:p>
    <w:p w14:paraId="2C3A57F1" w14:textId="60D082D1" w:rsidR="00DC7401" w:rsidRPr="00DF5C23" w:rsidRDefault="004F5E59" w:rsidP="004F5E59">
      <w:pPr>
        <w:pStyle w:val="ManualNumPar1"/>
        <w:rPr>
          <w:noProof/>
          <w:lang w:val="en-IE"/>
        </w:rPr>
      </w:pPr>
      <w:r w:rsidRPr="004F5E59">
        <w:t>1.</w:t>
      </w:r>
      <w:r w:rsidRPr="004F5E59">
        <w:tab/>
      </w:r>
      <w:r w:rsidR="0681B866" w:rsidRPr="00DF5C23">
        <w:rPr>
          <w:noProof/>
          <w:lang w:val="en-IE"/>
        </w:rPr>
        <w:t xml:space="preserve">The EU declaration of conformity shall state that the fulfilment of </w:t>
      </w:r>
      <w:r w:rsidR="000F0A02" w:rsidRPr="00DF5C23">
        <w:rPr>
          <w:noProof/>
          <w:lang w:val="en-IE"/>
        </w:rPr>
        <w:t xml:space="preserve">ecodesign </w:t>
      </w:r>
      <w:r w:rsidR="0681B866" w:rsidRPr="00DF5C23">
        <w:rPr>
          <w:noProof/>
          <w:lang w:val="en-IE"/>
        </w:rPr>
        <w:t xml:space="preserve">requirements specified in the applicable </w:t>
      </w:r>
      <w:r w:rsidR="0681B866" w:rsidRPr="00DF5C23">
        <w:rPr>
          <w:rFonts w:eastAsia="Times New Roman"/>
          <w:noProof/>
          <w:lang w:val="en-IE" w:eastAsia="fr-BE"/>
        </w:rPr>
        <w:t>d</w:t>
      </w:r>
      <w:r w:rsidR="0681B866" w:rsidRPr="00DF5C23">
        <w:rPr>
          <w:noProof/>
          <w:lang w:val="en-IE" w:eastAsia="fr-BE"/>
        </w:rPr>
        <w:t xml:space="preserve">elegated acts </w:t>
      </w:r>
      <w:r w:rsidR="000F0A02" w:rsidRPr="00DF5C23">
        <w:rPr>
          <w:noProof/>
          <w:lang w:val="en-IE" w:eastAsia="fr-BE"/>
        </w:rPr>
        <w:t>adopted pursuant to Article 4</w:t>
      </w:r>
      <w:r w:rsidR="0681B866" w:rsidRPr="00DF5C23">
        <w:rPr>
          <w:noProof/>
          <w:lang w:val="en-IE" w:eastAsia="fr-BE"/>
        </w:rPr>
        <w:t xml:space="preserve"> </w:t>
      </w:r>
      <w:r w:rsidR="0681B866" w:rsidRPr="00DF5C23">
        <w:rPr>
          <w:noProof/>
          <w:lang w:val="en-IE"/>
        </w:rPr>
        <w:t>has been demonstrated.</w:t>
      </w:r>
    </w:p>
    <w:p w14:paraId="2C3A57F2" w14:textId="23D295FB" w:rsidR="00DC7401" w:rsidRPr="00DF5C23" w:rsidRDefault="004F5E59" w:rsidP="004F5E59">
      <w:pPr>
        <w:pStyle w:val="ManualNumPar1"/>
        <w:rPr>
          <w:noProof/>
          <w:lang w:val="en-IE"/>
        </w:rPr>
      </w:pPr>
      <w:r w:rsidRPr="004F5E59">
        <w:t>2.</w:t>
      </w:r>
      <w:r w:rsidRPr="004F5E59">
        <w:tab/>
      </w:r>
      <w:r w:rsidR="0681B866" w:rsidRPr="00DF5C23">
        <w:rPr>
          <w:noProof/>
          <w:lang w:val="en-IE"/>
        </w:rPr>
        <w:t xml:space="preserve">The EU declaration of conformity shall have the model structure set out in Annex V, shall contain the elements specified in the applicable conformity assessment procedure and a reference to the applicable </w:t>
      </w:r>
      <w:r w:rsidR="0681B866" w:rsidRPr="00DF5C23">
        <w:rPr>
          <w:rFonts w:eastAsia="Times New Roman"/>
          <w:noProof/>
          <w:lang w:val="en-IE" w:eastAsia="fr-BE"/>
        </w:rPr>
        <w:t>d</w:t>
      </w:r>
      <w:r w:rsidR="0681B866" w:rsidRPr="00DF5C23">
        <w:rPr>
          <w:noProof/>
          <w:lang w:val="en-IE" w:eastAsia="fr-BE"/>
        </w:rPr>
        <w:t xml:space="preserve">elegated acts </w:t>
      </w:r>
      <w:r w:rsidR="00850318" w:rsidRPr="00DF5C23">
        <w:rPr>
          <w:noProof/>
          <w:lang w:val="en-IE" w:eastAsia="fr-BE"/>
        </w:rPr>
        <w:t>adopted pursuant to Article 4.</w:t>
      </w:r>
      <w:r w:rsidR="0681B866" w:rsidRPr="00DF5C23">
        <w:rPr>
          <w:noProof/>
          <w:lang w:val="en-IE" w:eastAsia="fr-BE"/>
        </w:rPr>
        <w:t xml:space="preserve"> </w:t>
      </w:r>
      <w:r w:rsidR="0681B866" w:rsidRPr="00DF5C23">
        <w:rPr>
          <w:noProof/>
          <w:lang w:val="en-IE"/>
        </w:rPr>
        <w:t>It shall be continuously updated. It shall be translated into the language or languages required by the Member State in which the product is placed or made available.</w:t>
      </w:r>
    </w:p>
    <w:p w14:paraId="2C3A57F3" w14:textId="39CA6006" w:rsidR="00DC7401" w:rsidRPr="00DF5C23" w:rsidRDefault="004F5E59" w:rsidP="004F5E59">
      <w:pPr>
        <w:pStyle w:val="ManualNumPar1"/>
        <w:rPr>
          <w:noProof/>
          <w:lang w:val="en-IE"/>
        </w:rPr>
      </w:pPr>
      <w:r w:rsidRPr="004F5E59">
        <w:t>3.</w:t>
      </w:r>
      <w:r w:rsidRPr="004F5E59">
        <w:tab/>
      </w:r>
      <w:r w:rsidR="00646885" w:rsidRPr="00DF5C23">
        <w:rPr>
          <w:noProof/>
          <w:lang w:val="en-IE"/>
        </w:rPr>
        <w:t xml:space="preserve">Where a product covered by a </w:t>
      </w:r>
      <w:r w:rsidR="00715D90" w:rsidRPr="00DF5C23">
        <w:rPr>
          <w:noProof/>
          <w:lang w:val="en-IE"/>
        </w:rPr>
        <w:t xml:space="preserve">delegated act </w:t>
      </w:r>
      <w:r w:rsidR="000F0A02" w:rsidRPr="00DF5C23">
        <w:rPr>
          <w:noProof/>
          <w:lang w:val="en-IE"/>
        </w:rPr>
        <w:t xml:space="preserve">adopted pursuant to Article 4 </w:t>
      </w:r>
      <w:r w:rsidR="00646885" w:rsidRPr="00DF5C23">
        <w:rPr>
          <w:noProof/>
          <w:lang w:val="en-IE"/>
        </w:rPr>
        <w:t>is subject to more than one Union act requiring an EU declaration of conformity, a single EU declaration of conformity shall be drawn up in respect of all such Union acts. That declaration shall state the Union acts concerned and their publication references.</w:t>
      </w:r>
      <w:r w:rsidR="0020340B" w:rsidRPr="00DF5C23">
        <w:rPr>
          <w:noProof/>
          <w:lang w:val="en-IE"/>
        </w:rPr>
        <w:t xml:space="preserve"> It may be a dossier made up of relevant individual EU declarations of conformity.</w:t>
      </w:r>
    </w:p>
    <w:p w14:paraId="2C3A57F4" w14:textId="456E76A5" w:rsidR="00646885" w:rsidRPr="00DF5C23" w:rsidRDefault="004F5E59" w:rsidP="004F5E59">
      <w:pPr>
        <w:pStyle w:val="ManualNumPar1"/>
        <w:rPr>
          <w:noProof/>
          <w:lang w:val="en-IE"/>
        </w:rPr>
      </w:pPr>
      <w:r w:rsidRPr="004F5E59">
        <w:t>4.</w:t>
      </w:r>
      <w:r w:rsidRPr="004F5E59">
        <w:tab/>
      </w:r>
      <w:r w:rsidR="0681B866" w:rsidRPr="00DF5C23">
        <w:rPr>
          <w:noProof/>
          <w:lang w:val="en-IE"/>
        </w:rPr>
        <w:t>By drawing up the EU declaration of conformity, the manufacturer shall assume responsibility for the compliance of the product.</w:t>
      </w:r>
    </w:p>
    <w:p w14:paraId="2C3A57F5" w14:textId="77777777" w:rsidR="00646885" w:rsidRPr="00DF5C23" w:rsidRDefault="00646885" w:rsidP="0681B866">
      <w:pPr>
        <w:pStyle w:val="Titrearticle"/>
        <w:rPr>
          <w:noProof/>
          <w:lang w:val="en-IE"/>
        </w:rPr>
      </w:pPr>
      <w:r w:rsidRPr="00DF5C23">
        <w:rPr>
          <w:noProof/>
          <w:lang w:val="en-IE"/>
        </w:rPr>
        <w:t xml:space="preserve">Article </w:t>
      </w:r>
      <w:r w:rsidR="00807659" w:rsidRPr="00DF5C23">
        <w:rPr>
          <w:noProof/>
          <w:lang w:val="en-IE"/>
        </w:rPr>
        <w:t xml:space="preserve">38 </w:t>
      </w:r>
      <w:r w:rsidR="00014A6A" w:rsidRPr="00DF5C23">
        <w:rPr>
          <w:noProof/>
        </w:rPr>
        <w:br/>
      </w:r>
      <w:r w:rsidRPr="00DF5C23">
        <w:rPr>
          <w:noProof/>
          <w:lang w:val="en-IE"/>
        </w:rPr>
        <w:t>General principles of the CE marking</w:t>
      </w:r>
    </w:p>
    <w:p w14:paraId="2C3A57F6" w14:textId="77777777" w:rsidR="00646885" w:rsidRPr="00DF5C23" w:rsidRDefault="0681B866" w:rsidP="0681B866">
      <w:pPr>
        <w:rPr>
          <w:noProof/>
          <w:lang w:val="en-IE"/>
        </w:rPr>
      </w:pPr>
      <w:r w:rsidRPr="00DF5C23">
        <w:rPr>
          <w:noProof/>
          <w:lang w:val="en-IE"/>
        </w:rPr>
        <w:t>The CE marking shall be subject to the general principles set out in Article 30 of Regulation (EC) No 765/2008.</w:t>
      </w:r>
    </w:p>
    <w:p w14:paraId="2C3A57F7" w14:textId="77777777" w:rsidR="00646885" w:rsidRPr="00DF5C23" w:rsidRDefault="00646885" w:rsidP="0681B866">
      <w:pPr>
        <w:pStyle w:val="Titrearticle"/>
        <w:rPr>
          <w:noProof/>
          <w:lang w:val="en-IE"/>
        </w:rPr>
      </w:pPr>
      <w:r w:rsidRPr="00DF5C23">
        <w:rPr>
          <w:noProof/>
          <w:lang w:val="en-IE"/>
        </w:rPr>
        <w:t xml:space="preserve">Article </w:t>
      </w:r>
      <w:r w:rsidR="00807659" w:rsidRPr="00DF5C23">
        <w:rPr>
          <w:noProof/>
          <w:lang w:val="en-IE"/>
        </w:rPr>
        <w:t xml:space="preserve">39 </w:t>
      </w:r>
      <w:r w:rsidR="00014A6A" w:rsidRPr="00DF5C23">
        <w:rPr>
          <w:noProof/>
        </w:rPr>
        <w:br/>
      </w:r>
      <w:r w:rsidRPr="00DF5C23">
        <w:rPr>
          <w:noProof/>
          <w:lang w:val="en-IE"/>
        </w:rPr>
        <w:t>Rules and conditions for affixing the CE marking</w:t>
      </w:r>
    </w:p>
    <w:p w14:paraId="2C3A57F8" w14:textId="59DE6FA8" w:rsidR="00DC7401" w:rsidRPr="00DF5C23" w:rsidRDefault="004F5E59" w:rsidP="004F5E59">
      <w:pPr>
        <w:pStyle w:val="ManualNumPar1"/>
        <w:rPr>
          <w:noProof/>
          <w:lang w:val="en-IE"/>
        </w:rPr>
      </w:pPr>
      <w:r w:rsidRPr="004F5E59">
        <w:t>1.</w:t>
      </w:r>
      <w:r w:rsidRPr="004F5E59">
        <w:tab/>
      </w:r>
      <w:r w:rsidR="0681B866" w:rsidRPr="00DF5C23">
        <w:rPr>
          <w:noProof/>
          <w:lang w:val="en-IE"/>
        </w:rPr>
        <w:t>The CE marking shall be affixed visibly, legibly and indelibly to the product. Where that is not possible or not warranted on account of the nature of the product, it shall be affixed to the packaging and to the accompanying documents.</w:t>
      </w:r>
    </w:p>
    <w:p w14:paraId="2C3A57F9" w14:textId="6E0BE85F" w:rsidR="00DC7401" w:rsidRPr="00DF5C23" w:rsidRDefault="004F5E59" w:rsidP="004F5E59">
      <w:pPr>
        <w:pStyle w:val="ManualNumPar1"/>
        <w:rPr>
          <w:noProof/>
          <w:lang w:val="en-IE"/>
        </w:rPr>
      </w:pPr>
      <w:r w:rsidRPr="004F5E59">
        <w:t>2.</w:t>
      </w:r>
      <w:r w:rsidRPr="004F5E59">
        <w:tab/>
      </w:r>
      <w:r w:rsidR="0681B866" w:rsidRPr="00DF5C23">
        <w:rPr>
          <w:noProof/>
          <w:lang w:val="en-IE"/>
        </w:rPr>
        <w:t xml:space="preserve">The CE marking shall be affixed before the product is placed on the market. </w:t>
      </w:r>
    </w:p>
    <w:p w14:paraId="2C3A57FA" w14:textId="2EE04D8D" w:rsidR="00646885" w:rsidRPr="00DF5C23" w:rsidRDefault="004F5E59" w:rsidP="004F5E59">
      <w:pPr>
        <w:pStyle w:val="ManualNumPar1"/>
        <w:rPr>
          <w:noProof/>
          <w:lang w:val="en-IE"/>
        </w:rPr>
      </w:pPr>
      <w:r w:rsidRPr="004F5E59">
        <w:t>3.</w:t>
      </w:r>
      <w:r w:rsidRPr="004F5E59">
        <w:tab/>
      </w:r>
      <w:r w:rsidR="0681B866" w:rsidRPr="00DF5C23">
        <w:rPr>
          <w:noProof/>
          <w:lang w:val="en-IE"/>
        </w:rPr>
        <w:t>For a product in the conformity assessment of which a notified body participates, the CE marking shall be followed by the identification number of that notified body.</w:t>
      </w:r>
    </w:p>
    <w:p w14:paraId="2C3A57FB" w14:textId="77777777" w:rsidR="00646885" w:rsidRPr="00DF5C23" w:rsidRDefault="0681B866" w:rsidP="0681B866">
      <w:pPr>
        <w:pStyle w:val="Text1"/>
        <w:rPr>
          <w:noProof/>
          <w:lang w:val="en-IE"/>
        </w:rPr>
      </w:pPr>
      <w:r w:rsidRPr="00DF5C23">
        <w:rPr>
          <w:noProof/>
          <w:lang w:val="en-IE"/>
        </w:rPr>
        <w:t>The identification number of the notified body shall be affixed by the body itself or, under its instructions, by the manufacturer or its authorised representative.</w:t>
      </w:r>
    </w:p>
    <w:p w14:paraId="2C3A57FC" w14:textId="7E30BD6F"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The CE marking and, where applicable, the identification number of the notified body may be followed by a pictogram or other marking indicating a special risk or use.</w:t>
      </w:r>
    </w:p>
    <w:p w14:paraId="2C3A57FD" w14:textId="2F94E562" w:rsidR="00646885"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 xml:space="preserve">Member States shall build upon existing mechanisms to ensure correct application of the regime governing the CE marking and take appropriate action in the event of improper use of the marking. </w:t>
      </w:r>
    </w:p>
    <w:p w14:paraId="2C3A57FE" w14:textId="77777777" w:rsidR="00121761" w:rsidRPr="00DF5C23" w:rsidRDefault="00121761" w:rsidP="00121761">
      <w:pPr>
        <w:pStyle w:val="Titrearticle"/>
        <w:rPr>
          <w:noProof/>
          <w:lang w:val="en-IE"/>
        </w:rPr>
      </w:pPr>
      <w:r w:rsidRPr="00DF5C23">
        <w:rPr>
          <w:noProof/>
          <w:lang w:val="en-IE"/>
        </w:rPr>
        <w:t xml:space="preserve">Article </w:t>
      </w:r>
      <w:r w:rsidR="00807659" w:rsidRPr="00DF5C23">
        <w:rPr>
          <w:noProof/>
          <w:lang w:val="en-IE"/>
        </w:rPr>
        <w:t>40</w:t>
      </w:r>
      <w:r w:rsidRPr="00DF5C23">
        <w:rPr>
          <w:noProof/>
          <w:lang w:val="en-IE"/>
        </w:rPr>
        <w:t xml:space="preserve"> </w:t>
      </w:r>
      <w:r w:rsidRPr="00DF5C23">
        <w:rPr>
          <w:noProof/>
        </w:rPr>
        <w:br/>
      </w:r>
      <w:r w:rsidRPr="00DF5C23">
        <w:rPr>
          <w:noProof/>
          <w:lang w:val="en-IE"/>
        </w:rPr>
        <w:t>Alternative conformity declarations and markings</w:t>
      </w:r>
    </w:p>
    <w:p w14:paraId="2C3A57FF" w14:textId="77777777" w:rsidR="00121761" w:rsidRPr="00DF5C23" w:rsidRDefault="00116B33" w:rsidP="00EC0E40">
      <w:pPr>
        <w:rPr>
          <w:noProof/>
          <w:lang w:val="en-IE"/>
        </w:rPr>
      </w:pPr>
      <w:r w:rsidRPr="00DF5C23">
        <w:rPr>
          <w:noProof/>
          <w:lang w:val="en-IE" w:eastAsia="fr-BE"/>
        </w:rPr>
        <w:t>When specifying</w:t>
      </w:r>
      <w:r w:rsidR="00121761" w:rsidRPr="00DF5C23">
        <w:rPr>
          <w:noProof/>
          <w:lang w:val="en-IE" w:eastAsia="fr-BE"/>
        </w:rPr>
        <w:t xml:space="preserve"> </w:t>
      </w:r>
      <w:r w:rsidR="00121761" w:rsidRPr="00DF5C23">
        <w:rPr>
          <w:noProof/>
          <w:lang w:val="en-IE"/>
        </w:rPr>
        <w:t xml:space="preserve">alternative rules on the declaration of conformity or markings indicating conformity with the applicable requirements under Union law pursuant to Article 4, </w:t>
      </w:r>
      <w:r w:rsidR="002438E5" w:rsidRPr="00DF5C23">
        <w:rPr>
          <w:noProof/>
          <w:lang w:val="en-IE" w:eastAsia="fr-BE"/>
        </w:rPr>
        <w:t>third subparagraph, point (</w:t>
      </w:r>
      <w:r w:rsidR="00AF404D" w:rsidRPr="00DF5C23">
        <w:rPr>
          <w:noProof/>
          <w:lang w:val="en-IE" w:eastAsia="fr-BE"/>
        </w:rPr>
        <w:t>f</w:t>
      </w:r>
      <w:r w:rsidR="00121761" w:rsidRPr="00DF5C23">
        <w:rPr>
          <w:noProof/>
          <w:lang w:val="en-IE"/>
        </w:rPr>
        <w:t xml:space="preserve">), </w:t>
      </w:r>
      <w:r w:rsidRPr="00DF5C23">
        <w:rPr>
          <w:noProof/>
          <w:lang w:val="en-IE"/>
        </w:rPr>
        <w:t>the Commission</w:t>
      </w:r>
      <w:r w:rsidR="00121761" w:rsidRPr="00DF5C23">
        <w:rPr>
          <w:noProof/>
          <w:lang w:val="en-IE"/>
        </w:rPr>
        <w:t xml:space="preserve"> shall take into account the following criteria:</w:t>
      </w:r>
    </w:p>
    <w:p w14:paraId="2C3A5800" w14:textId="77777777" w:rsidR="00121761" w:rsidRPr="00DF5C23" w:rsidRDefault="0065275B" w:rsidP="0065275B">
      <w:pPr>
        <w:pStyle w:val="Point0"/>
        <w:rPr>
          <w:noProof/>
          <w:lang w:val="en-IE"/>
        </w:rPr>
      </w:pPr>
      <w:r w:rsidRPr="00DF5C23">
        <w:rPr>
          <w:noProof/>
          <w:lang w:val="en-IE" w:eastAsia="fr-BE"/>
        </w:rPr>
        <w:t>(a)</w:t>
      </w:r>
      <w:r w:rsidRPr="00DF5C23">
        <w:rPr>
          <w:noProof/>
          <w:lang w:val="en-IE" w:eastAsia="fr-BE"/>
        </w:rPr>
        <w:tab/>
      </w:r>
      <w:r w:rsidR="00121761" w:rsidRPr="00DF5C23">
        <w:rPr>
          <w:noProof/>
          <w:lang w:val="en-IE" w:eastAsia="fr-BE"/>
        </w:rPr>
        <w:t xml:space="preserve">the need to minimise administrative burden for economic operators;  </w:t>
      </w:r>
    </w:p>
    <w:p w14:paraId="2C3A5801" w14:textId="77777777" w:rsidR="00121761" w:rsidRPr="00DF5C23" w:rsidRDefault="0065275B" w:rsidP="0065275B">
      <w:pPr>
        <w:pStyle w:val="Point0"/>
        <w:rPr>
          <w:noProof/>
          <w:lang w:val="en-IE"/>
        </w:rPr>
      </w:pPr>
      <w:r w:rsidRPr="00DF5C23">
        <w:rPr>
          <w:noProof/>
          <w:lang w:val="en-IE" w:eastAsia="fr-BE"/>
        </w:rPr>
        <w:t>(b)</w:t>
      </w:r>
      <w:r w:rsidRPr="00DF5C23">
        <w:rPr>
          <w:noProof/>
          <w:lang w:val="en-IE" w:eastAsia="fr-BE"/>
        </w:rPr>
        <w:tab/>
      </w:r>
      <w:r w:rsidR="00121761" w:rsidRPr="00DF5C23">
        <w:rPr>
          <w:noProof/>
          <w:lang w:val="en-IE" w:eastAsia="fr-BE"/>
        </w:rPr>
        <w:t xml:space="preserve">the need to ensure coherence with other conformity declarations and markings applicable to a specific product; </w:t>
      </w:r>
    </w:p>
    <w:p w14:paraId="2C3A5802" w14:textId="77777777" w:rsidR="00121761" w:rsidRPr="00DF5C23" w:rsidRDefault="0065275B" w:rsidP="0065275B">
      <w:pPr>
        <w:pStyle w:val="Point0"/>
        <w:rPr>
          <w:noProof/>
          <w:lang w:val="en-IE"/>
        </w:rPr>
      </w:pPr>
      <w:r w:rsidRPr="00DF5C23">
        <w:rPr>
          <w:noProof/>
          <w:lang w:val="en-IE" w:eastAsia="fr-BE"/>
        </w:rPr>
        <w:t>(c)</w:t>
      </w:r>
      <w:r w:rsidRPr="00DF5C23">
        <w:rPr>
          <w:noProof/>
          <w:lang w:val="en-IE" w:eastAsia="fr-BE"/>
        </w:rPr>
        <w:tab/>
      </w:r>
      <w:r w:rsidR="00121761" w:rsidRPr="00DF5C23">
        <w:rPr>
          <w:noProof/>
          <w:lang w:val="en-IE" w:eastAsia="fr-BE"/>
        </w:rPr>
        <w:t>the need to prevent confusion about the meaning of conformity declarations and markings under other Union law.</w:t>
      </w:r>
      <w:r w:rsidR="00121761" w:rsidRPr="00DF5C23">
        <w:rPr>
          <w:noProof/>
          <w:lang w:val="en-IE"/>
        </w:rPr>
        <w:t xml:space="preserve"> </w:t>
      </w:r>
    </w:p>
    <w:p w14:paraId="2C3A5803" w14:textId="77777777" w:rsidR="00646885" w:rsidRPr="00DF5C23" w:rsidRDefault="0681B866" w:rsidP="00F77587">
      <w:pPr>
        <w:pStyle w:val="ManualHeading1"/>
        <w:jc w:val="center"/>
        <w:rPr>
          <w:noProof/>
        </w:rPr>
      </w:pPr>
      <w:r w:rsidRPr="00DF5C23">
        <w:rPr>
          <w:noProof/>
        </w:rPr>
        <w:t xml:space="preserve">Chapter </w:t>
      </w:r>
      <w:r w:rsidR="00D531F0" w:rsidRPr="00DF5C23">
        <w:rPr>
          <w:noProof/>
        </w:rPr>
        <w:t>IX</w:t>
      </w:r>
      <w:r w:rsidR="00F77587" w:rsidRPr="00DF5C23">
        <w:rPr>
          <w:noProof/>
        </w:rPr>
        <w:t xml:space="preserve"> - </w:t>
      </w:r>
      <w:r w:rsidRPr="00DF5C23">
        <w:rPr>
          <w:noProof/>
        </w:rPr>
        <w:t>Notification of conformity assessment bodies</w:t>
      </w:r>
    </w:p>
    <w:p w14:paraId="2C3A5804"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41</w:t>
      </w:r>
      <w:r w:rsidR="00014A6A" w:rsidRPr="00DF5C23">
        <w:rPr>
          <w:noProof/>
        </w:rPr>
        <w:br/>
      </w:r>
      <w:r w:rsidRPr="00DF5C23">
        <w:rPr>
          <w:noProof/>
          <w:lang w:val="en-IE" w:eastAsia="fr-BE"/>
        </w:rPr>
        <w:t>Notification</w:t>
      </w:r>
    </w:p>
    <w:p w14:paraId="2C3A5805" w14:textId="77777777" w:rsidR="00FD05A3" w:rsidRPr="00DF5C23" w:rsidRDefault="0681B866" w:rsidP="0681B866">
      <w:pPr>
        <w:rPr>
          <w:noProof/>
          <w:lang w:val="en-IE" w:eastAsia="fr-BE"/>
        </w:rPr>
      </w:pPr>
      <w:r w:rsidRPr="00DF5C23">
        <w:rPr>
          <w:noProof/>
          <w:lang w:val="en-IE" w:eastAsia="fr-BE"/>
        </w:rPr>
        <w:t xml:space="preserve">Member States shall notify the Commission and the other Member States of bodies authorised to carry out the third-party conformity assessment tasks provided for under the </w:t>
      </w:r>
      <w:r w:rsidRPr="00DF5C23">
        <w:rPr>
          <w:noProof/>
          <w:lang w:val="en-IE" w:eastAsia="en-GB"/>
        </w:rPr>
        <w:t>delegated acts</w:t>
      </w:r>
      <w:r w:rsidR="000F0A02" w:rsidRPr="00DF5C23">
        <w:rPr>
          <w:noProof/>
          <w:lang w:val="en-IE" w:eastAsia="en-GB"/>
        </w:rPr>
        <w:t xml:space="preserve"> adopted pursuant to Article 4</w:t>
      </w:r>
      <w:r w:rsidRPr="00DF5C23">
        <w:rPr>
          <w:noProof/>
          <w:lang w:val="en-IE" w:eastAsia="fr-BE"/>
        </w:rPr>
        <w:t>.</w:t>
      </w:r>
    </w:p>
    <w:p w14:paraId="2C3A5806"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42</w:t>
      </w:r>
      <w:r w:rsidR="00014A6A" w:rsidRPr="00DF5C23">
        <w:rPr>
          <w:noProof/>
        </w:rPr>
        <w:br/>
      </w:r>
      <w:r w:rsidRPr="00DF5C23">
        <w:rPr>
          <w:noProof/>
          <w:lang w:val="en-IE" w:eastAsia="fr-BE"/>
        </w:rPr>
        <w:t>Notifying authorities</w:t>
      </w:r>
    </w:p>
    <w:p w14:paraId="2C3A5807" w14:textId="45BE461F"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Member States shall designate a notifying authority that shall be responsible for setting up and carrying out the necessary procedures for the assessment and notification of conformity assessment bodies and the monitoring of notified bodies, including compliance with the provisions of Article </w:t>
      </w:r>
      <w:r w:rsidR="002C78D8" w:rsidRPr="00DF5C23">
        <w:rPr>
          <w:noProof/>
          <w:lang w:val="en-IE" w:eastAsia="fr-BE"/>
        </w:rPr>
        <w:t>4</w:t>
      </w:r>
      <w:r w:rsidR="00A404BE" w:rsidRPr="00DF5C23">
        <w:rPr>
          <w:noProof/>
          <w:lang w:val="en-IE" w:eastAsia="fr-BE"/>
        </w:rPr>
        <w:t>7</w:t>
      </w:r>
      <w:r w:rsidR="00646885" w:rsidRPr="00DF5C23">
        <w:rPr>
          <w:noProof/>
          <w:lang w:val="en-IE" w:eastAsia="fr-BE"/>
        </w:rPr>
        <w:t>.</w:t>
      </w:r>
    </w:p>
    <w:p w14:paraId="2C3A5808" w14:textId="5C8A6E82"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Member States may decide that the assessment and monitoring referred to in paragraph 1 shall be carried out by a national accreditation body within the meaning of and in accordance with Regulation (EC) No 765/2008. </w:t>
      </w:r>
    </w:p>
    <w:p w14:paraId="2C3A5809" w14:textId="19DD5ECC" w:rsidR="00DC7401" w:rsidRPr="00DF5C23" w:rsidRDefault="004F5E59" w:rsidP="004F5E59">
      <w:pPr>
        <w:pStyle w:val="ManualNumPar1"/>
        <w:rPr>
          <w:noProof/>
          <w:lang w:val="en-IE" w:eastAsia="fr-BE"/>
        </w:rPr>
      </w:pPr>
      <w:r w:rsidRPr="004F5E59">
        <w:t>3.</w:t>
      </w:r>
      <w:r w:rsidRPr="004F5E59">
        <w:tab/>
      </w:r>
      <w:r w:rsidR="00646885" w:rsidRPr="00DF5C23">
        <w:rPr>
          <w:noProof/>
          <w:lang w:val="en-IE" w:eastAsia="fr-BE"/>
        </w:rPr>
        <w:t xml:space="preserve">Where the notifying authority delegates or entrusts the assessment, notification or monitoring referred to in paragraph 1 to a body which is not a governmental entity, that body shall be a legal entity </w:t>
      </w:r>
      <w:r w:rsidR="00654D12" w:rsidRPr="00DF5C23">
        <w:rPr>
          <w:noProof/>
          <w:lang w:eastAsia="fr-BE"/>
        </w:rPr>
        <w:t>and shall comply </w:t>
      </w:r>
      <w:r w:rsidR="00654D12" w:rsidRPr="00DF5C23">
        <w:rPr>
          <w:i/>
          <w:noProof/>
          <w:lang w:eastAsia="fr-BE"/>
        </w:rPr>
        <w:t>mutatis mutandis</w:t>
      </w:r>
      <w:r w:rsidR="00654D12" w:rsidRPr="00DF5C23">
        <w:rPr>
          <w:noProof/>
          <w:lang w:eastAsia="fr-BE"/>
        </w:rPr>
        <w:t xml:space="preserve"> with the requirements laid down in Article </w:t>
      </w:r>
      <w:r w:rsidR="00A404BE" w:rsidRPr="00DF5C23">
        <w:rPr>
          <w:noProof/>
          <w:lang w:eastAsia="fr-BE"/>
        </w:rPr>
        <w:t>43</w:t>
      </w:r>
      <w:r w:rsidR="00654D12" w:rsidRPr="00DF5C23">
        <w:rPr>
          <w:noProof/>
          <w:lang w:eastAsia="fr-BE"/>
        </w:rPr>
        <w:t xml:space="preserve">. </w:t>
      </w:r>
      <w:r w:rsidR="00646885" w:rsidRPr="00DF5C23">
        <w:rPr>
          <w:noProof/>
          <w:lang w:val="en-IE" w:eastAsia="fr-BE"/>
        </w:rPr>
        <w:t xml:space="preserve"> In addition, it shall have arrangements to cover liabilities arising out of its activities.</w:t>
      </w:r>
    </w:p>
    <w:p w14:paraId="2C3A580A" w14:textId="2B092BAD"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The notifying authority shall take full responsibility for the tasks performed by the body referred to in paragraph 3.</w:t>
      </w:r>
    </w:p>
    <w:p w14:paraId="2C3A580B"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43</w:t>
      </w:r>
      <w:r w:rsidR="00014A6A" w:rsidRPr="00DF5C23">
        <w:rPr>
          <w:noProof/>
        </w:rPr>
        <w:br/>
      </w:r>
      <w:r w:rsidRPr="00DF5C23">
        <w:rPr>
          <w:noProof/>
          <w:lang w:val="en-IE" w:eastAsia="fr-BE"/>
        </w:rPr>
        <w:t>Requirements relating to notifying authorities</w:t>
      </w:r>
    </w:p>
    <w:p w14:paraId="2C3A580C" w14:textId="43FF0FAD" w:rsidR="00DC7401"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A notifying authority shall be established in such a way that no conflict of interest with conformity assessment bodies or notified bodies occurs.</w:t>
      </w:r>
    </w:p>
    <w:p w14:paraId="2C3A580D" w14:textId="4495DAFE" w:rsidR="00DC7401"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A notifying authority shall be organised and operated so as to safeguard the objectivity and impartiality of its activities.</w:t>
      </w:r>
    </w:p>
    <w:p w14:paraId="2C3A580E" w14:textId="2EC13187" w:rsidR="00DC7401"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A notifying authority shall be organised in such a way that each decision relating to notification of a conformity assessment body is taken by competent persons different from those who carried out the assessment.</w:t>
      </w:r>
    </w:p>
    <w:p w14:paraId="2C3A580F" w14:textId="02C3DB50" w:rsidR="00DC7401"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A notifying authority shall not offer or provide any activities that conformity assessment bodies perform</w:t>
      </w:r>
      <w:r w:rsidR="00410434" w:rsidRPr="00DF5C23">
        <w:rPr>
          <w:noProof/>
          <w:lang w:val="en-IE" w:eastAsia="fr-BE"/>
        </w:rPr>
        <w:t>,</w:t>
      </w:r>
      <w:r w:rsidR="0681B866" w:rsidRPr="00DF5C23">
        <w:rPr>
          <w:noProof/>
          <w:lang w:val="en-IE" w:eastAsia="fr-BE"/>
        </w:rPr>
        <w:t xml:space="preserve"> or consultancy services on a commercial or competitive basis.</w:t>
      </w:r>
    </w:p>
    <w:p w14:paraId="2C3A5810" w14:textId="3A199708" w:rsidR="00DC7401"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A notifying authority shall safeguard the confidentiality of the information it obtains. However, it shall, upon request, exchange information on notified bodies with the Commission, with notifying authorities of other Member States and with other relevant national authorities.</w:t>
      </w:r>
    </w:p>
    <w:p w14:paraId="2C3A5811" w14:textId="0D3EB7B0" w:rsidR="00705684" w:rsidRPr="00DF5C23" w:rsidRDefault="004F5E59" w:rsidP="004F5E59">
      <w:pPr>
        <w:pStyle w:val="ManualNumPar1"/>
        <w:rPr>
          <w:noProof/>
          <w:lang w:val="en-IE" w:eastAsia="fr-BE"/>
        </w:rPr>
      </w:pPr>
      <w:r w:rsidRPr="004F5E59">
        <w:t>6.</w:t>
      </w:r>
      <w:r w:rsidRPr="004F5E59">
        <w:tab/>
      </w:r>
      <w:r w:rsidR="00705684" w:rsidRPr="00DF5C23">
        <w:rPr>
          <w:noProof/>
          <w:lang w:val="en-IE" w:eastAsia="fr-BE"/>
        </w:rPr>
        <w:t xml:space="preserve">A notifying authority shall take as a basis for notification only </w:t>
      </w:r>
      <w:r w:rsidR="00410434" w:rsidRPr="00DF5C23">
        <w:rPr>
          <w:noProof/>
          <w:lang w:val="en-IE" w:eastAsia="fr-BE"/>
        </w:rPr>
        <w:t>the</w:t>
      </w:r>
      <w:r w:rsidR="000F0A02" w:rsidRPr="00DF5C23">
        <w:rPr>
          <w:noProof/>
          <w:lang w:val="en-IE" w:eastAsia="fr-BE"/>
        </w:rPr>
        <w:t xml:space="preserve"> specific</w:t>
      </w:r>
      <w:r w:rsidR="00410434" w:rsidRPr="00DF5C23">
        <w:rPr>
          <w:noProof/>
          <w:lang w:val="en-IE" w:eastAsia="fr-BE"/>
        </w:rPr>
        <w:t xml:space="preserve"> </w:t>
      </w:r>
      <w:r w:rsidR="000F0A02" w:rsidRPr="00DF5C23">
        <w:rPr>
          <w:noProof/>
          <w:lang w:val="en-IE" w:eastAsia="fr-BE"/>
        </w:rPr>
        <w:t>conformity assessment</w:t>
      </w:r>
      <w:r w:rsidR="00410434" w:rsidRPr="00DF5C23">
        <w:rPr>
          <w:noProof/>
          <w:lang w:val="en-IE" w:eastAsia="fr-BE"/>
        </w:rPr>
        <w:t xml:space="preserve"> body applying</w:t>
      </w:r>
      <w:r w:rsidR="000F0A02" w:rsidRPr="00DF5C23">
        <w:rPr>
          <w:noProof/>
          <w:lang w:val="en-IE" w:eastAsia="fr-BE"/>
        </w:rPr>
        <w:t xml:space="preserve"> for notification</w:t>
      </w:r>
      <w:r w:rsidR="000F0A02" w:rsidRPr="00DF5C23">
        <w:rPr>
          <w:rFonts w:eastAsia="Times New Roman"/>
          <w:noProof/>
          <w:lang w:val="en-IE" w:eastAsia="fr-BE"/>
        </w:rPr>
        <w:t xml:space="preserve"> and not take account of the capacities </w:t>
      </w:r>
      <w:r w:rsidR="0001617E" w:rsidRPr="00DF5C23">
        <w:rPr>
          <w:rFonts w:eastAsia="Times New Roman"/>
          <w:noProof/>
          <w:lang w:val="en-IE" w:eastAsia="fr-BE"/>
        </w:rPr>
        <w:t>or</w:t>
      </w:r>
      <w:r w:rsidR="000F0A02" w:rsidRPr="00DF5C23">
        <w:rPr>
          <w:rFonts w:eastAsia="Times New Roman"/>
          <w:noProof/>
          <w:lang w:val="en-IE" w:eastAsia="fr-BE"/>
        </w:rPr>
        <w:t xml:space="preserve"> personnel of </w:t>
      </w:r>
      <w:r w:rsidR="0001617E" w:rsidRPr="00DF5C23">
        <w:rPr>
          <w:noProof/>
          <w:lang w:val="en-IE" w:eastAsia="fr-BE"/>
        </w:rPr>
        <w:t>parent or sister companies</w:t>
      </w:r>
      <w:r w:rsidR="000F0A02" w:rsidRPr="00DF5C23">
        <w:rPr>
          <w:rFonts w:eastAsia="Times New Roman"/>
          <w:noProof/>
          <w:lang w:val="en-IE" w:eastAsia="fr-BE"/>
        </w:rPr>
        <w:t>.</w:t>
      </w:r>
      <w:r w:rsidR="00410434" w:rsidRPr="00DF5C23">
        <w:rPr>
          <w:rFonts w:eastAsia="Times New Roman"/>
          <w:noProof/>
          <w:lang w:val="en-IE" w:eastAsia="fr-BE"/>
        </w:rPr>
        <w:t xml:space="preserve"> </w:t>
      </w:r>
      <w:r w:rsidR="000F0A02" w:rsidRPr="00DF5C23">
        <w:rPr>
          <w:rFonts w:eastAsia="Times New Roman"/>
          <w:noProof/>
          <w:lang w:val="en-IE" w:eastAsia="fr-BE"/>
        </w:rPr>
        <w:t xml:space="preserve"> </w:t>
      </w:r>
      <w:r w:rsidR="00410434" w:rsidRPr="00DF5C23">
        <w:rPr>
          <w:rFonts w:eastAsia="Times New Roman"/>
          <w:noProof/>
          <w:lang w:val="en-IE" w:eastAsia="fr-BE"/>
        </w:rPr>
        <w:t xml:space="preserve">The authority shall </w:t>
      </w:r>
      <w:r w:rsidR="00705684" w:rsidRPr="00DF5C23">
        <w:rPr>
          <w:noProof/>
          <w:lang w:val="en-IE" w:eastAsia="fr-BE"/>
        </w:rPr>
        <w:t>assess that body against all relevant requirements and conformity assessment tasks.</w:t>
      </w:r>
    </w:p>
    <w:p w14:paraId="2C3A5812" w14:textId="1DC798D4" w:rsidR="00646885"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A notifying authority shall have a sufficient number of competent personnel and sufficient funding at its disposal for the proper performance of its tasks.</w:t>
      </w:r>
    </w:p>
    <w:p w14:paraId="2C3A5813" w14:textId="77777777" w:rsidR="00646885" w:rsidRPr="00DF5C23" w:rsidRDefault="00646885" w:rsidP="0681B866">
      <w:pPr>
        <w:pStyle w:val="Text1"/>
        <w:rPr>
          <w:noProof/>
          <w:lang w:val="en-IE" w:eastAsia="fr-BE"/>
        </w:rPr>
      </w:pPr>
      <w:r w:rsidRPr="00DF5C23">
        <w:rPr>
          <w:noProof/>
          <w:lang w:val="en-IE" w:eastAsia="fr-BE"/>
        </w:rPr>
        <w:t>The Commission may</w:t>
      </w:r>
      <w:r w:rsidR="00C63638" w:rsidRPr="00DF5C23">
        <w:rPr>
          <w:noProof/>
          <w:lang w:val="en-IE" w:eastAsia="fr-BE"/>
        </w:rPr>
        <w:t xml:space="preserve"> </w:t>
      </w:r>
      <w:r w:rsidR="00DC7401" w:rsidRPr="00DF5C23">
        <w:rPr>
          <w:noProof/>
          <w:lang w:val="en-IE" w:eastAsia="fr-BE"/>
        </w:rPr>
        <w:t>adopt implementing acts</w:t>
      </w:r>
      <w:r w:rsidRPr="00DF5C23">
        <w:rPr>
          <w:noProof/>
          <w:lang w:val="en-IE" w:eastAsia="fr-BE"/>
        </w:rPr>
        <w:t xml:space="preserve"> lay</w:t>
      </w:r>
      <w:r w:rsidR="00DC7401" w:rsidRPr="00DF5C23">
        <w:rPr>
          <w:noProof/>
          <w:lang w:val="en-IE" w:eastAsia="fr-BE"/>
        </w:rPr>
        <w:t>ing</w:t>
      </w:r>
      <w:r w:rsidRPr="00DF5C23">
        <w:rPr>
          <w:noProof/>
          <w:lang w:val="en-IE" w:eastAsia="fr-BE"/>
        </w:rPr>
        <w:t xml:space="preserve"> down a minimum number of full-time equivalents considered sufficient for the proper monitoring of notified bodies, where appropriate in relation to specific conformity assessment tasks. Where monitoring is carried out by a national accreditation body or a body referred to in Article </w:t>
      </w:r>
      <w:r w:rsidR="00A404BE" w:rsidRPr="00DF5C23">
        <w:rPr>
          <w:noProof/>
          <w:lang w:val="en-IE" w:eastAsia="fr-BE"/>
        </w:rPr>
        <w:t>42</w:t>
      </w:r>
      <w:r w:rsidRPr="00DF5C23">
        <w:rPr>
          <w:noProof/>
          <w:lang w:val="en-IE" w:eastAsia="fr-BE"/>
        </w:rPr>
        <w:t>(3), this minimum number shall apply to that body.</w:t>
      </w:r>
    </w:p>
    <w:p w14:paraId="2C3A5814" w14:textId="77777777" w:rsidR="00DC7401" w:rsidRPr="00DF5C23" w:rsidRDefault="00DC7401" w:rsidP="0681B866">
      <w:pPr>
        <w:pStyle w:val="Text1"/>
        <w:rPr>
          <w:noProof/>
          <w:lang w:val="en-IE" w:eastAsia="fr-BE"/>
        </w:rPr>
      </w:pPr>
      <w:r w:rsidRPr="00DF5C23">
        <w:rPr>
          <w:noProof/>
          <w:lang w:val="en-IE" w:eastAsia="fr-BE"/>
        </w:rPr>
        <w:t>Those implementing acts shall be adopted in accordance with the examination procedure referred to in Article </w:t>
      </w:r>
      <w:r w:rsidR="00A404BE" w:rsidRPr="00DF5C23">
        <w:rPr>
          <w:noProof/>
          <w:lang w:val="en-IE" w:eastAsia="fr-BE"/>
        </w:rPr>
        <w:t>67</w:t>
      </w:r>
      <w:r w:rsidR="00E7338F" w:rsidRPr="00DF5C23">
        <w:rPr>
          <w:noProof/>
          <w:lang w:val="en-IE" w:eastAsia="fr-BE"/>
        </w:rPr>
        <w:t>(3)</w:t>
      </w:r>
      <w:r w:rsidRPr="00DF5C23">
        <w:rPr>
          <w:noProof/>
          <w:lang w:val="en-IE" w:eastAsia="fr-BE"/>
        </w:rPr>
        <w:t>.</w:t>
      </w:r>
    </w:p>
    <w:p w14:paraId="2C3A5815"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44</w:t>
      </w:r>
      <w:r w:rsidR="00014A6A" w:rsidRPr="00DF5C23">
        <w:rPr>
          <w:noProof/>
        </w:rPr>
        <w:br/>
      </w:r>
      <w:r w:rsidRPr="00DF5C23">
        <w:rPr>
          <w:noProof/>
          <w:lang w:val="en-IE" w:eastAsia="fr-BE"/>
        </w:rPr>
        <w:t>Information obligation on notifying authorities</w:t>
      </w:r>
    </w:p>
    <w:p w14:paraId="2C3A5816" w14:textId="77777777" w:rsidR="00646885" w:rsidRPr="00DF5C23" w:rsidRDefault="0681B866" w:rsidP="00DF50E8">
      <w:pPr>
        <w:rPr>
          <w:noProof/>
        </w:rPr>
      </w:pPr>
      <w:r w:rsidRPr="00DF5C23">
        <w:rPr>
          <w:noProof/>
          <w:lang w:val="en-IE" w:eastAsia="fr-BE"/>
        </w:rPr>
        <w:t>Member States shall inform the Commission of their procedures for the assessment and notification of conformity assessment bodies and the monitoring of notified bodies, and of any changes thereto.</w:t>
      </w:r>
    </w:p>
    <w:p w14:paraId="2C3A5817" w14:textId="77777777" w:rsidR="00646885" w:rsidRPr="00DF5C23" w:rsidRDefault="0681B866" w:rsidP="00DF50E8">
      <w:pPr>
        <w:rPr>
          <w:noProof/>
        </w:rPr>
      </w:pPr>
      <w:r w:rsidRPr="00DF5C23">
        <w:rPr>
          <w:noProof/>
          <w:lang w:val="en-IE" w:eastAsia="fr-BE"/>
        </w:rPr>
        <w:t>The Commission shall make that information publicly available.</w:t>
      </w:r>
    </w:p>
    <w:p w14:paraId="2C3A5818" w14:textId="77777777" w:rsidR="00646885" w:rsidRPr="00DF5C23" w:rsidRDefault="00646885" w:rsidP="00DF50E8">
      <w:pPr>
        <w:pStyle w:val="Titrearticle"/>
        <w:rPr>
          <w:noProof/>
        </w:rPr>
      </w:pPr>
      <w:r w:rsidRPr="00DF5C23">
        <w:rPr>
          <w:rFonts w:eastAsia="Times New Roman"/>
          <w:noProof/>
          <w:lang w:val="en-IE" w:eastAsia="fr-BE"/>
        </w:rPr>
        <w:t xml:space="preserve">Article </w:t>
      </w:r>
      <w:r w:rsidR="00807659" w:rsidRPr="00DF5C23">
        <w:rPr>
          <w:noProof/>
          <w:lang w:val="en-IE" w:eastAsia="fr-BE"/>
        </w:rPr>
        <w:t>45</w:t>
      </w:r>
      <w:r w:rsidR="00C63638" w:rsidRPr="00DF5C23">
        <w:rPr>
          <w:noProof/>
        </w:rPr>
        <w:br/>
      </w:r>
      <w:r w:rsidRPr="00DF5C23">
        <w:rPr>
          <w:noProof/>
          <w:lang w:val="en-IE" w:eastAsia="fr-BE"/>
        </w:rPr>
        <w:t>Requirements relating to notified bodies</w:t>
      </w:r>
    </w:p>
    <w:p w14:paraId="2C3A5819" w14:textId="0BAA428B"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For the purposes of notification, a conformity assessment body shall meet the requirements laid down in paragraphs 2 to 11.</w:t>
      </w:r>
    </w:p>
    <w:p w14:paraId="2C3A581A" w14:textId="162E5CC9"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A conformity assessment body shall be established under </w:t>
      </w:r>
      <w:r w:rsidR="0001617E" w:rsidRPr="00DF5C23">
        <w:rPr>
          <w:noProof/>
          <w:lang w:val="en-IE" w:eastAsia="fr-BE"/>
        </w:rPr>
        <w:t xml:space="preserve">the </w:t>
      </w:r>
      <w:r w:rsidR="0681B866" w:rsidRPr="00DF5C23">
        <w:rPr>
          <w:noProof/>
          <w:lang w:val="en-IE" w:eastAsia="fr-BE"/>
        </w:rPr>
        <w:t>national law</w:t>
      </w:r>
      <w:r w:rsidR="0001617E" w:rsidRPr="00DF5C23">
        <w:rPr>
          <w:noProof/>
          <w:lang w:val="en-IE" w:eastAsia="fr-BE"/>
        </w:rPr>
        <w:t xml:space="preserve"> of a Member State</w:t>
      </w:r>
      <w:r w:rsidR="0681B866" w:rsidRPr="00DF5C23">
        <w:rPr>
          <w:noProof/>
          <w:lang w:val="en-IE" w:eastAsia="fr-BE"/>
        </w:rPr>
        <w:t xml:space="preserve"> and have legal personality.</w:t>
      </w:r>
    </w:p>
    <w:p w14:paraId="2C3A581B" w14:textId="5D90C6FA" w:rsidR="00646885" w:rsidRPr="00DF5C23" w:rsidRDefault="004F5E59" w:rsidP="004F5E59">
      <w:pPr>
        <w:pStyle w:val="ManualNumPar1"/>
        <w:rPr>
          <w:noProof/>
          <w:lang w:val="en-IE" w:eastAsia="fr-BE"/>
        </w:rPr>
      </w:pPr>
      <w:r w:rsidRPr="004F5E59">
        <w:t>3.</w:t>
      </w:r>
      <w:r w:rsidRPr="004F5E59">
        <w:tab/>
      </w:r>
      <w:r w:rsidR="00646885" w:rsidRPr="00DF5C23">
        <w:rPr>
          <w:noProof/>
          <w:lang w:val="en-IE" w:eastAsia="fr-BE"/>
        </w:rPr>
        <w:t xml:space="preserve">A conformity assessment body shall be a third-party body independent of the organisation or the product it assesses. </w:t>
      </w:r>
      <w:r w:rsidR="0001617E" w:rsidRPr="00DF5C23">
        <w:rPr>
          <w:noProof/>
          <w:lang w:val="en-US"/>
        </w:rPr>
        <w:t xml:space="preserve">It shall not have any business ties with organisations </w:t>
      </w:r>
      <w:r w:rsidR="00EC000E" w:rsidRPr="00DF5C23">
        <w:rPr>
          <w:noProof/>
          <w:lang w:val="en-IE" w:eastAsia="fr-BE"/>
        </w:rPr>
        <w:t>that have</w:t>
      </w:r>
      <w:r w:rsidR="00646885" w:rsidRPr="00DF5C23">
        <w:rPr>
          <w:noProof/>
          <w:lang w:val="en-IE" w:eastAsia="fr-BE"/>
        </w:rPr>
        <w:t xml:space="preserve"> an interest in the products it assesses, in particular manufacturers, their trade partners </w:t>
      </w:r>
      <w:r w:rsidR="0001617E" w:rsidRPr="00DF5C23">
        <w:rPr>
          <w:noProof/>
          <w:lang w:val="en-IE" w:eastAsia="fr-BE"/>
        </w:rPr>
        <w:t>and</w:t>
      </w:r>
      <w:r w:rsidR="00646885" w:rsidRPr="00DF5C23">
        <w:rPr>
          <w:noProof/>
          <w:lang w:val="en-IE" w:eastAsia="fr-BE"/>
        </w:rPr>
        <w:t xml:space="preserve"> their shareholding investors. This </w:t>
      </w:r>
      <w:r w:rsidR="00821A9A" w:rsidRPr="00DF5C23">
        <w:rPr>
          <w:noProof/>
          <w:lang w:val="en-IE" w:eastAsia="fr-BE"/>
        </w:rPr>
        <w:t xml:space="preserve">shall </w:t>
      </w:r>
      <w:r w:rsidR="00646885" w:rsidRPr="00DF5C23">
        <w:rPr>
          <w:noProof/>
          <w:lang w:val="en-IE" w:eastAsia="fr-BE"/>
        </w:rPr>
        <w:t xml:space="preserve">not preclude the </w:t>
      </w:r>
      <w:r w:rsidR="00821A9A" w:rsidRPr="00DF5C23">
        <w:rPr>
          <w:noProof/>
          <w:lang w:val="en-IE" w:eastAsia="fr-BE"/>
        </w:rPr>
        <w:t>conformity assessment body</w:t>
      </w:r>
      <w:r w:rsidR="00821A9A" w:rsidRPr="00DF5C23" w:rsidDel="00470DCB">
        <w:rPr>
          <w:noProof/>
          <w:lang w:val="en-IE" w:eastAsia="fr-BE"/>
        </w:rPr>
        <w:t xml:space="preserve"> </w:t>
      </w:r>
      <w:r w:rsidR="00646885" w:rsidRPr="00DF5C23">
        <w:rPr>
          <w:noProof/>
          <w:lang w:val="en-IE" w:eastAsia="fr-BE"/>
        </w:rPr>
        <w:t>from carrying out conformity assessment activities for competing manufacturers.</w:t>
      </w:r>
    </w:p>
    <w:p w14:paraId="2C3A581C" w14:textId="01741686"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 xml:space="preserve">A conformity assessment body, its </w:t>
      </w:r>
      <w:r w:rsidR="0681B866" w:rsidRPr="00DF5C23">
        <w:rPr>
          <w:noProof/>
          <w:lang w:eastAsia="fr-BE"/>
        </w:rPr>
        <w:t>top</w:t>
      </w:r>
      <w:r w:rsidR="00EC000E" w:rsidRPr="00DF5C23">
        <w:rPr>
          <w:noProof/>
          <w:lang w:eastAsia="fr-BE"/>
        </w:rPr>
        <w:t>-</w:t>
      </w:r>
      <w:r w:rsidR="0681B866" w:rsidRPr="00DF5C23">
        <w:rPr>
          <w:noProof/>
          <w:lang w:eastAsia="fr-BE"/>
        </w:rPr>
        <w:t xml:space="preserve">level </w:t>
      </w:r>
      <w:r w:rsidR="0681B866" w:rsidRPr="00DF5C23">
        <w:rPr>
          <w:noProof/>
          <w:lang w:val="en-IE" w:eastAsia="fr-BE"/>
        </w:rPr>
        <w:t>management and the personnel responsible for carrying out the conformity assessment tasks shall not be the designer, manufacturer, supplier, importer, distributor, installer, purchaser, owner, user or maintainer of the products which they assess, nor the representative of any of those parties. This shall not preclude the use of assessed products that are necessary for the operations of the conformity assessment body or the use of such products for personal purposes.</w:t>
      </w:r>
    </w:p>
    <w:p w14:paraId="2C3A581D" w14:textId="77777777" w:rsidR="00646885" w:rsidRPr="00DF5C23" w:rsidRDefault="0681B866" w:rsidP="0681B866">
      <w:pPr>
        <w:pStyle w:val="Text1"/>
        <w:rPr>
          <w:noProof/>
          <w:lang w:val="en-IE" w:eastAsia="fr-BE"/>
        </w:rPr>
      </w:pPr>
      <w:r w:rsidRPr="00DF5C23">
        <w:rPr>
          <w:noProof/>
          <w:lang w:val="en-IE" w:eastAsia="fr-BE"/>
        </w:rPr>
        <w:t xml:space="preserve">A conformity assessment body, its </w:t>
      </w:r>
      <w:r w:rsidRPr="00DF5C23">
        <w:rPr>
          <w:noProof/>
          <w:lang w:eastAsia="fr-BE"/>
        </w:rPr>
        <w:t>top</w:t>
      </w:r>
      <w:r w:rsidR="00EC000E" w:rsidRPr="00DF5C23">
        <w:rPr>
          <w:noProof/>
          <w:lang w:eastAsia="fr-BE"/>
        </w:rPr>
        <w:t>-</w:t>
      </w:r>
      <w:r w:rsidRPr="00DF5C23">
        <w:rPr>
          <w:noProof/>
          <w:lang w:eastAsia="fr-BE"/>
        </w:rPr>
        <w:t xml:space="preserve">level </w:t>
      </w:r>
      <w:r w:rsidRPr="00DF5C23">
        <w:rPr>
          <w:noProof/>
          <w:lang w:val="en-IE" w:eastAsia="fr-BE"/>
        </w:rPr>
        <w:t xml:space="preserve">management and the personnel responsible for carrying out the conformity assessment tasks shall not be directly involved in the design, manufacture or construction, the marketing, installation, use or maintenance of those products, or represent the parties engaged in those activities. They shall not engage in any activity that may conflict with their independence of judgement or integrity in relation to conformity assessment activities for which they are notified. This shall </w:t>
      </w:r>
      <w:r w:rsidRPr="00DF5C23">
        <w:rPr>
          <w:noProof/>
          <w:lang w:eastAsia="fr-BE"/>
        </w:rPr>
        <w:t xml:space="preserve">apply </w:t>
      </w:r>
      <w:r w:rsidR="00EC000E" w:rsidRPr="00DF5C23">
        <w:rPr>
          <w:noProof/>
          <w:lang w:eastAsia="fr-BE"/>
        </w:rPr>
        <w:t xml:space="preserve">in particular </w:t>
      </w:r>
      <w:r w:rsidRPr="00DF5C23">
        <w:rPr>
          <w:noProof/>
          <w:lang w:val="en-IE" w:eastAsia="fr-BE"/>
        </w:rPr>
        <w:t>to consultancy services.</w:t>
      </w:r>
    </w:p>
    <w:p w14:paraId="2C3A581E" w14:textId="77777777" w:rsidR="00646885" w:rsidRPr="00DF5C23" w:rsidRDefault="0681B866" w:rsidP="0681B866">
      <w:pPr>
        <w:pStyle w:val="Text1"/>
        <w:rPr>
          <w:noProof/>
          <w:lang w:val="en-IE" w:eastAsia="fr-BE"/>
        </w:rPr>
      </w:pPr>
      <w:r w:rsidRPr="00DF5C23">
        <w:rPr>
          <w:noProof/>
          <w:lang w:val="en-IE" w:eastAsia="fr-BE"/>
        </w:rPr>
        <w:t>Conformity assessment bodies shall ensure that the activities of its parent or sister companies, subsidiaries or subcontractors do not affect the confidentiality, objectivity or impartiality of their conformity assessment activities.</w:t>
      </w:r>
    </w:p>
    <w:p w14:paraId="2C3A581F" w14:textId="77777777" w:rsidR="00646885" w:rsidRPr="00DF5C23" w:rsidRDefault="0681B866" w:rsidP="0681B866">
      <w:pPr>
        <w:pStyle w:val="Text1"/>
        <w:rPr>
          <w:noProof/>
          <w:lang w:val="en-IE" w:eastAsia="fr-BE"/>
        </w:rPr>
      </w:pPr>
      <w:r w:rsidRPr="00DF5C23">
        <w:rPr>
          <w:noProof/>
          <w:lang w:val="en-IE" w:eastAsia="fr-BE"/>
        </w:rPr>
        <w:t>The establishment and the supervision of internal procedures, general policies, codes of conduct or other internal rules, the assignment of personnel to specific tasks and the conformity assessment decisions may not be delegated to a subcontractor or a subsidiary.</w:t>
      </w:r>
    </w:p>
    <w:p w14:paraId="2C3A5820" w14:textId="5AC6388B" w:rsidR="00646885"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Conformity assessment bodies and their personnel shall carry out the conformity assessment activities with the highest degree of professional integrity and the requisite technical competence in the specific field</w:t>
      </w:r>
      <w:r w:rsidR="00EC000E" w:rsidRPr="00DF5C23">
        <w:rPr>
          <w:noProof/>
          <w:lang w:eastAsia="fr-BE"/>
        </w:rPr>
        <w:t>. They</w:t>
      </w:r>
      <w:r w:rsidR="0681B866" w:rsidRPr="00DF5C23">
        <w:rPr>
          <w:noProof/>
          <w:lang w:eastAsia="fr-BE"/>
        </w:rPr>
        <w:t xml:space="preserve"> </w:t>
      </w:r>
      <w:r w:rsidR="0681B866" w:rsidRPr="00DF5C23">
        <w:rPr>
          <w:noProof/>
          <w:lang w:val="en-IE" w:eastAsia="fr-BE"/>
        </w:rPr>
        <w:t>shall be free from all pressures and inducements, particularly financial, which might influence their judgement or the results of their conformity assessment activities, especially as regards persons or groups of persons with an interest in the results of those activities.</w:t>
      </w:r>
    </w:p>
    <w:p w14:paraId="2C3A5821" w14:textId="3F9BE5A8" w:rsidR="00646885" w:rsidRPr="00DF5C23" w:rsidRDefault="004F5E59" w:rsidP="004F5E59">
      <w:pPr>
        <w:pStyle w:val="ManualNumPar1"/>
        <w:rPr>
          <w:noProof/>
          <w:lang w:val="en-IE" w:eastAsia="fr-BE"/>
        </w:rPr>
      </w:pPr>
      <w:r w:rsidRPr="004F5E59">
        <w:t>6.</w:t>
      </w:r>
      <w:r w:rsidRPr="004F5E59">
        <w:tab/>
      </w:r>
      <w:r w:rsidR="0681B866" w:rsidRPr="00DF5C23">
        <w:rPr>
          <w:noProof/>
          <w:lang w:val="en-IE" w:eastAsia="fr-BE"/>
        </w:rPr>
        <w:t xml:space="preserve">A conformity assessment body shall be capable of carrying out all the conformity assessment tasks assigned to it </w:t>
      </w:r>
      <w:r w:rsidR="00EC000E" w:rsidRPr="00DF5C23">
        <w:rPr>
          <w:noProof/>
          <w:lang w:eastAsia="fr-BE"/>
        </w:rPr>
        <w:t>under</w:t>
      </w:r>
      <w:r w:rsidR="0681B866" w:rsidRPr="00DF5C23">
        <w:rPr>
          <w:noProof/>
          <w:lang w:val="en-IE" w:eastAsia="fr-BE"/>
        </w:rPr>
        <w:t xml:space="preserve">the relevant delegated act </w:t>
      </w:r>
      <w:r w:rsidR="00850318" w:rsidRPr="00DF5C23">
        <w:rPr>
          <w:noProof/>
          <w:lang w:val="en-IE" w:eastAsia="fr-BE"/>
        </w:rPr>
        <w:t>adopted pursuant to Article 4</w:t>
      </w:r>
      <w:r w:rsidR="0681B866" w:rsidRPr="00DF5C23">
        <w:rPr>
          <w:noProof/>
          <w:lang w:val="en-IE" w:eastAsia="fr-BE"/>
        </w:rPr>
        <w:t xml:space="preserve"> and in relation to which it has been notified, whether those tasks are carried out by the conformity assessment body itself or on its behalf and under its responsibility.</w:t>
      </w:r>
    </w:p>
    <w:p w14:paraId="2C3A5822" w14:textId="77777777" w:rsidR="00646885" w:rsidRPr="00DF5C23" w:rsidRDefault="0681B866" w:rsidP="0681B866">
      <w:pPr>
        <w:pStyle w:val="Text1"/>
        <w:rPr>
          <w:noProof/>
          <w:lang w:val="en-IE" w:eastAsia="fr-BE"/>
        </w:rPr>
      </w:pPr>
      <w:r w:rsidRPr="00DF5C23">
        <w:rPr>
          <w:noProof/>
          <w:lang w:val="en-IE" w:eastAsia="fr-BE"/>
        </w:rPr>
        <w:t>At all times and for each conformity assessment procedure</w:t>
      </w:r>
      <w:r w:rsidR="00EC000E" w:rsidRPr="00DF5C23">
        <w:rPr>
          <w:noProof/>
          <w:lang w:val="en-IE" w:eastAsia="fr-BE"/>
        </w:rPr>
        <w:t>,</w:t>
      </w:r>
      <w:r w:rsidRPr="00DF5C23">
        <w:rPr>
          <w:noProof/>
          <w:lang w:val="en-IE" w:eastAsia="fr-BE"/>
        </w:rPr>
        <w:t xml:space="preserve"> and </w:t>
      </w:r>
      <w:r w:rsidR="00EC000E" w:rsidRPr="00DF5C23">
        <w:rPr>
          <w:noProof/>
          <w:lang w:val="en-IE" w:eastAsia="fr-BE"/>
        </w:rPr>
        <w:t>for</w:t>
      </w:r>
      <w:r w:rsidRPr="00DF5C23">
        <w:rPr>
          <w:noProof/>
          <w:lang w:val="en-IE" w:eastAsia="fr-BE"/>
        </w:rPr>
        <w:t xml:space="preserve"> each kind or category of products in relation to which it has been notified, a conformity assessment body shall have at its disposal the necessary:</w:t>
      </w:r>
    </w:p>
    <w:p w14:paraId="2C3A5823" w14:textId="551FCA2C" w:rsidR="00C63638" w:rsidRPr="00DF5C23" w:rsidRDefault="004F5E59" w:rsidP="004F5E59">
      <w:pPr>
        <w:pStyle w:val="Point1"/>
        <w:rPr>
          <w:noProof/>
          <w:lang w:val="en-IE" w:eastAsia="fr-BE"/>
        </w:rPr>
      </w:pPr>
      <w:r w:rsidRPr="004F5E59">
        <w:t>(a)</w:t>
      </w:r>
      <w:r w:rsidRPr="004F5E59">
        <w:tab/>
      </w:r>
      <w:r w:rsidR="00C63638" w:rsidRPr="00DF5C23">
        <w:rPr>
          <w:noProof/>
          <w:lang w:val="en-IE" w:eastAsia="fr-BE"/>
        </w:rPr>
        <w:t>personnel with technical knowledge</w:t>
      </w:r>
      <w:r w:rsidR="00EC000E" w:rsidRPr="00DF5C23">
        <w:rPr>
          <w:noProof/>
          <w:lang w:val="en-IE" w:eastAsia="fr-BE"/>
        </w:rPr>
        <w:t>,</w:t>
      </w:r>
      <w:r w:rsidR="00C63638" w:rsidRPr="00DF5C23">
        <w:rPr>
          <w:noProof/>
          <w:lang w:val="en-IE" w:eastAsia="fr-BE"/>
        </w:rPr>
        <w:t xml:space="preserve"> and sufficient and appropriate experience to perform the conformity assessment tasks. Personnel responsible for taking assessment decisions shall be employed by the </w:t>
      </w:r>
      <w:r w:rsidR="00821A9A" w:rsidRPr="00DF5C23">
        <w:rPr>
          <w:noProof/>
          <w:lang w:val="en-IE" w:eastAsia="fr-BE"/>
        </w:rPr>
        <w:t>conformity assessment body</w:t>
      </w:r>
      <w:r w:rsidR="00821A9A" w:rsidRPr="00DF5C23" w:rsidDel="00821A9A">
        <w:rPr>
          <w:noProof/>
          <w:lang w:val="en-IE" w:eastAsia="fr-BE"/>
        </w:rPr>
        <w:t xml:space="preserve"> </w:t>
      </w:r>
      <w:r w:rsidR="00C63638" w:rsidRPr="00DF5C23">
        <w:rPr>
          <w:noProof/>
          <w:lang w:val="en-IE" w:eastAsia="fr-BE"/>
        </w:rPr>
        <w:t>under the national law of the notifying Member State, shall not have any other potential</w:t>
      </w:r>
      <w:r w:rsidR="00850318" w:rsidRPr="00DF5C23">
        <w:rPr>
          <w:noProof/>
          <w:lang w:val="en-IE" w:eastAsia="fr-BE"/>
        </w:rPr>
        <w:t xml:space="preserve"> </w:t>
      </w:r>
      <w:r w:rsidR="00850318" w:rsidRPr="00DF5C23">
        <w:rPr>
          <w:noProof/>
          <w:lang w:val="en-US"/>
        </w:rPr>
        <w:t>conflict of interest, </w:t>
      </w:r>
      <w:r w:rsidR="00C63638" w:rsidRPr="00DF5C23">
        <w:rPr>
          <w:noProof/>
          <w:lang w:val="en-IE" w:eastAsia="fr-BE"/>
        </w:rPr>
        <w:t>shall be competent to verify the assessments made by other staff, external experts or subcontractors</w:t>
      </w:r>
      <w:r w:rsidR="00EC000E" w:rsidRPr="00DF5C23">
        <w:rPr>
          <w:noProof/>
          <w:lang w:eastAsia="fr-BE"/>
        </w:rPr>
        <w:t xml:space="preserve">. The </w:t>
      </w:r>
      <w:r w:rsidR="00C63638" w:rsidRPr="00DF5C23">
        <w:rPr>
          <w:noProof/>
          <w:lang w:eastAsia="fr-BE"/>
        </w:rPr>
        <w:t xml:space="preserve">  number </w:t>
      </w:r>
      <w:r w:rsidR="00EC000E" w:rsidRPr="00DF5C23">
        <w:rPr>
          <w:noProof/>
          <w:lang w:eastAsia="fr-BE"/>
        </w:rPr>
        <w:t xml:space="preserve">of such personnel </w:t>
      </w:r>
      <w:r w:rsidR="00C63638" w:rsidRPr="00DF5C23">
        <w:rPr>
          <w:noProof/>
          <w:lang w:val="en-IE" w:eastAsia="fr-BE"/>
        </w:rPr>
        <w:t xml:space="preserve">shall be sufficient to ensure business continuity and </w:t>
      </w:r>
      <w:r w:rsidR="00850318" w:rsidRPr="00DF5C23">
        <w:rPr>
          <w:noProof/>
          <w:lang w:val="en-IE" w:eastAsia="fr-BE"/>
        </w:rPr>
        <w:t>a consistent approach to conformity assessments</w:t>
      </w:r>
      <w:r w:rsidR="00C63638" w:rsidRPr="00DF5C23">
        <w:rPr>
          <w:noProof/>
          <w:lang w:val="en-IE" w:eastAsia="fr-BE"/>
        </w:rPr>
        <w:t>;</w:t>
      </w:r>
    </w:p>
    <w:p w14:paraId="2C3A5824" w14:textId="6127F646" w:rsidR="00C63638" w:rsidRPr="00DF5C23" w:rsidRDefault="004F5E59" w:rsidP="004F5E59">
      <w:pPr>
        <w:pStyle w:val="Point1"/>
        <w:rPr>
          <w:noProof/>
          <w:lang w:val="en-IE" w:eastAsia="fr-BE"/>
        </w:rPr>
      </w:pPr>
      <w:r w:rsidRPr="004F5E59">
        <w:t>(b)</w:t>
      </w:r>
      <w:r w:rsidRPr="004F5E59">
        <w:tab/>
      </w:r>
      <w:r w:rsidR="0681B866" w:rsidRPr="00DF5C23">
        <w:rPr>
          <w:noProof/>
          <w:lang w:val="en-IE" w:eastAsia="fr-BE"/>
        </w:rPr>
        <w:t xml:space="preserve">descriptions of procedures in accordance with which conformity assessment is carried out, ensuring the </w:t>
      </w:r>
      <w:r w:rsidR="00EC000E" w:rsidRPr="00DF5C23">
        <w:rPr>
          <w:noProof/>
          <w:lang w:eastAsia="fr-BE"/>
        </w:rPr>
        <w:t>of these procedures</w:t>
      </w:r>
      <w:r w:rsidR="0681B866" w:rsidRPr="00DF5C23">
        <w:rPr>
          <w:noProof/>
          <w:lang w:eastAsia="fr-BE"/>
        </w:rPr>
        <w:t xml:space="preserve"> and the ability </w:t>
      </w:r>
      <w:r w:rsidR="00EC000E" w:rsidRPr="00DF5C23">
        <w:rPr>
          <w:noProof/>
          <w:lang w:eastAsia="fr-BE"/>
        </w:rPr>
        <w:t>to reproduce them</w:t>
      </w:r>
      <w:r w:rsidR="0681B866" w:rsidRPr="00DF5C23">
        <w:rPr>
          <w:noProof/>
          <w:lang w:val="en-IE" w:eastAsia="fr-BE"/>
        </w:rPr>
        <w:t xml:space="preserve">. This shall include a qualification matrix </w:t>
      </w:r>
      <w:r w:rsidR="00EC000E" w:rsidRPr="00DF5C23">
        <w:rPr>
          <w:noProof/>
          <w:lang w:eastAsia="fr-BE"/>
        </w:rPr>
        <w:t>that matches</w:t>
      </w:r>
      <w:r w:rsidR="0681B866" w:rsidRPr="00DF5C23">
        <w:rPr>
          <w:noProof/>
          <w:lang w:eastAsia="fr-BE"/>
        </w:rPr>
        <w:t xml:space="preserve"> </w:t>
      </w:r>
      <w:r w:rsidR="0681B866" w:rsidRPr="00DF5C23">
        <w:rPr>
          <w:noProof/>
          <w:lang w:val="en-IE" w:eastAsia="fr-BE"/>
        </w:rPr>
        <w:t>relevant personnel, their respective status and tasks within the conformity assessment body with the conformity assessment tasks in relation to which the body intends to be notified;</w:t>
      </w:r>
    </w:p>
    <w:p w14:paraId="2C3A5825" w14:textId="459E336F" w:rsidR="00C63638" w:rsidRPr="00DF5C23" w:rsidRDefault="004F5E59" w:rsidP="004F5E59">
      <w:pPr>
        <w:pStyle w:val="Point1"/>
        <w:rPr>
          <w:noProof/>
          <w:lang w:val="en-IE" w:eastAsia="fr-BE"/>
        </w:rPr>
      </w:pPr>
      <w:r w:rsidRPr="004F5E59">
        <w:t>(c)</w:t>
      </w:r>
      <w:r w:rsidRPr="004F5E59">
        <w:tab/>
      </w:r>
      <w:r w:rsidR="0681B866" w:rsidRPr="00DF5C23">
        <w:rPr>
          <w:noProof/>
          <w:lang w:val="en-IE" w:eastAsia="fr-BE"/>
        </w:rPr>
        <w:t xml:space="preserve">appropriate policies and procedures to distinguish </w:t>
      </w:r>
      <w:r w:rsidR="00EC000E" w:rsidRPr="00DF5C23">
        <w:rPr>
          <w:noProof/>
          <w:lang w:eastAsia="fr-BE"/>
        </w:rPr>
        <w:t xml:space="preserve">the </w:t>
      </w:r>
      <w:r w:rsidR="0681B866" w:rsidRPr="00DF5C23">
        <w:rPr>
          <w:noProof/>
          <w:lang w:eastAsia="fr-BE"/>
        </w:rPr>
        <w:t xml:space="preserve">tasks it carries out as a notified body </w:t>
      </w:r>
      <w:r w:rsidR="00EC000E" w:rsidRPr="00DF5C23">
        <w:rPr>
          <w:noProof/>
          <w:lang w:eastAsia="fr-BE"/>
        </w:rPr>
        <w:t>from</w:t>
      </w:r>
      <w:r w:rsidR="0681B866" w:rsidRPr="00DF5C23">
        <w:rPr>
          <w:noProof/>
          <w:lang w:val="en-IE" w:eastAsia="fr-BE"/>
        </w:rPr>
        <w:t xml:space="preserve"> other activities;</w:t>
      </w:r>
    </w:p>
    <w:p w14:paraId="2C3A5826" w14:textId="738EBAB9" w:rsidR="00C63638" w:rsidRPr="00DF5C23" w:rsidRDefault="004F5E59" w:rsidP="004F5E59">
      <w:pPr>
        <w:pStyle w:val="Point1"/>
        <w:rPr>
          <w:noProof/>
          <w:lang w:val="en-IE" w:eastAsia="fr-BE"/>
        </w:rPr>
      </w:pPr>
      <w:r w:rsidRPr="004F5E59">
        <w:t>(d)</w:t>
      </w:r>
      <w:r w:rsidRPr="004F5E59">
        <w:tab/>
      </w:r>
      <w:r w:rsidR="0681B866" w:rsidRPr="00DF5C23">
        <w:rPr>
          <w:noProof/>
          <w:lang w:val="en-IE" w:eastAsia="fr-BE"/>
        </w:rPr>
        <w:t>procedures for the performance of activities</w:t>
      </w:r>
      <w:r w:rsidR="00EC000E" w:rsidRPr="00DF5C23">
        <w:rPr>
          <w:noProof/>
          <w:lang w:val="en-IE" w:eastAsia="fr-BE"/>
        </w:rPr>
        <w:t>,</w:t>
      </w:r>
      <w:r w:rsidR="0681B866" w:rsidRPr="00DF5C23">
        <w:rPr>
          <w:noProof/>
          <w:lang w:val="en-IE" w:eastAsia="fr-BE"/>
        </w:rPr>
        <w:t xml:space="preserve"> which take due account of the size of an undertaking, the sector in which it operates, its structure, the degree of complexity of the product technology in question and the mass or serial nature of the production process.</w:t>
      </w:r>
    </w:p>
    <w:p w14:paraId="2C3A5827" w14:textId="77777777" w:rsidR="00646885" w:rsidRPr="00DF5C23" w:rsidRDefault="0681B866" w:rsidP="0681B866">
      <w:pPr>
        <w:pStyle w:val="Text1"/>
        <w:rPr>
          <w:noProof/>
          <w:lang w:val="en-IE" w:eastAsia="fr-BE"/>
        </w:rPr>
      </w:pPr>
      <w:r w:rsidRPr="00DF5C23">
        <w:rPr>
          <w:noProof/>
          <w:lang w:val="en-IE" w:eastAsia="fr-BE"/>
        </w:rPr>
        <w:t>It shall have the means necessary to perform the technical and administrative tasks connected with the conformity assessment activities in an appropriate manner and shall have access to all necessary equipment or facilities.</w:t>
      </w:r>
    </w:p>
    <w:p w14:paraId="2C3A5828" w14:textId="7537AA57" w:rsidR="00646885"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The personnel responsible for carrying out conformity assessment activities shall have the following:</w:t>
      </w:r>
    </w:p>
    <w:p w14:paraId="2C3A5829" w14:textId="7CDAE95E" w:rsidR="00AD4976" w:rsidRPr="00DF5C23" w:rsidRDefault="004F5E59" w:rsidP="004F5E59">
      <w:pPr>
        <w:pStyle w:val="Point1"/>
        <w:rPr>
          <w:noProof/>
          <w:lang w:val="en-IE" w:eastAsia="fr-BE"/>
        </w:rPr>
      </w:pPr>
      <w:r w:rsidRPr="004F5E59">
        <w:t>(a)</w:t>
      </w:r>
      <w:r w:rsidRPr="004F5E59">
        <w:tab/>
      </w:r>
      <w:r w:rsidR="0681B866" w:rsidRPr="00DF5C23">
        <w:rPr>
          <w:noProof/>
          <w:lang w:val="en-IE" w:eastAsia="fr-BE"/>
        </w:rPr>
        <w:t>sound technical and vocational training covering all the conformity assessment activities in relation to which the conformity assessment body has been notified;</w:t>
      </w:r>
    </w:p>
    <w:p w14:paraId="2C3A582A" w14:textId="06D03702" w:rsidR="00AD4976" w:rsidRPr="00DF5C23" w:rsidRDefault="004F5E59" w:rsidP="004F5E59">
      <w:pPr>
        <w:pStyle w:val="Point1"/>
        <w:rPr>
          <w:noProof/>
          <w:lang w:val="en-IE" w:eastAsia="fr-BE"/>
        </w:rPr>
      </w:pPr>
      <w:r w:rsidRPr="004F5E59">
        <w:t>(b)</w:t>
      </w:r>
      <w:r w:rsidRPr="004F5E59">
        <w:tab/>
      </w:r>
      <w:r w:rsidR="0681B866" w:rsidRPr="00DF5C23">
        <w:rPr>
          <w:noProof/>
          <w:lang w:val="en-IE" w:eastAsia="fr-BE"/>
        </w:rPr>
        <w:t xml:space="preserve">satisfactory knowledge of the requirements of the assessments they carry out and adequate authority to carry out those assessments, including appropriate knowledge and understanding of the relevant legislation, </w:t>
      </w:r>
      <w:r w:rsidR="0681B866" w:rsidRPr="00DF5C23">
        <w:rPr>
          <w:noProof/>
          <w:color w:val="000000" w:themeColor="text1"/>
          <w:lang w:val="en-IE" w:eastAsia="fr-BE"/>
        </w:rPr>
        <w:t>test, measurement and calculation requirements,</w:t>
      </w:r>
      <w:r w:rsidR="0681B866" w:rsidRPr="00DF5C23">
        <w:rPr>
          <w:noProof/>
          <w:lang w:val="en-IE" w:eastAsia="fr-BE"/>
        </w:rPr>
        <w:t xml:space="preserve"> of the applicable harmonised standards or common specifications and of the relevant provisions of this Regulation, and of the delegated acts </w:t>
      </w:r>
      <w:r w:rsidR="00850318" w:rsidRPr="00DF5C23">
        <w:rPr>
          <w:noProof/>
          <w:lang w:val="en-IE" w:eastAsia="fr-BE"/>
        </w:rPr>
        <w:t>adopted pursuant to Article 4</w:t>
      </w:r>
      <w:r w:rsidR="0681B866" w:rsidRPr="00DF5C23">
        <w:rPr>
          <w:noProof/>
          <w:lang w:val="en-IE" w:eastAsia="fr-BE"/>
        </w:rPr>
        <w:t>;</w:t>
      </w:r>
    </w:p>
    <w:p w14:paraId="2C3A582B" w14:textId="112D02C7" w:rsidR="00AD4976" w:rsidRPr="00DF5C23" w:rsidRDefault="004F5E59" w:rsidP="004F5E59">
      <w:pPr>
        <w:pStyle w:val="Point1"/>
        <w:rPr>
          <w:noProof/>
          <w:lang w:val="en-IE" w:eastAsia="fr-BE"/>
        </w:rPr>
      </w:pPr>
      <w:r w:rsidRPr="004F5E59">
        <w:t>(c)</w:t>
      </w:r>
      <w:r w:rsidRPr="004F5E59">
        <w:tab/>
      </w:r>
      <w:r w:rsidR="0681B866" w:rsidRPr="00DF5C23">
        <w:rPr>
          <w:noProof/>
          <w:lang w:val="en-IE" w:eastAsia="fr-BE"/>
        </w:rPr>
        <w:t>the ability to draw up certificates, records and reports demonstrating that assessments have been carried out.</w:t>
      </w:r>
    </w:p>
    <w:p w14:paraId="2C3A582C" w14:textId="2DDCF844" w:rsidR="00646885" w:rsidRPr="00DF5C23" w:rsidRDefault="004F5E59" w:rsidP="004F5E59">
      <w:pPr>
        <w:pStyle w:val="ManualNumPar1"/>
        <w:rPr>
          <w:noProof/>
          <w:lang w:val="en-IE" w:eastAsia="fr-BE"/>
        </w:rPr>
      </w:pPr>
      <w:r w:rsidRPr="004F5E59">
        <w:t>8.</w:t>
      </w:r>
      <w:r w:rsidRPr="004F5E59">
        <w:tab/>
      </w:r>
      <w:r w:rsidR="0681B866" w:rsidRPr="00DF5C23">
        <w:rPr>
          <w:noProof/>
          <w:lang w:val="en-IE" w:eastAsia="fr-BE"/>
        </w:rPr>
        <w:t xml:space="preserve">The impartiality of the conformity assessment </w:t>
      </w:r>
      <w:r w:rsidR="0681B866" w:rsidRPr="00DF5C23">
        <w:rPr>
          <w:noProof/>
          <w:lang w:eastAsia="fr-BE"/>
        </w:rPr>
        <w:t>bodies</w:t>
      </w:r>
      <w:r w:rsidR="00EC000E" w:rsidRPr="00DF5C23">
        <w:rPr>
          <w:noProof/>
          <w:lang w:eastAsia="fr-BE"/>
        </w:rPr>
        <w:t xml:space="preserve"> and</w:t>
      </w:r>
      <w:r w:rsidR="0681B866" w:rsidRPr="00DF5C23">
        <w:rPr>
          <w:noProof/>
          <w:lang w:eastAsia="fr-BE"/>
        </w:rPr>
        <w:t xml:space="preserve"> their top</w:t>
      </w:r>
      <w:r w:rsidR="00EC000E" w:rsidRPr="00DF5C23">
        <w:rPr>
          <w:noProof/>
          <w:lang w:eastAsia="fr-BE"/>
        </w:rPr>
        <w:t>-</w:t>
      </w:r>
      <w:r w:rsidR="0681B866" w:rsidRPr="00DF5C23">
        <w:rPr>
          <w:noProof/>
          <w:lang w:eastAsia="fr-BE"/>
        </w:rPr>
        <w:t xml:space="preserve">level </w:t>
      </w:r>
      <w:r w:rsidR="0681B866" w:rsidRPr="00DF5C23">
        <w:rPr>
          <w:noProof/>
          <w:lang w:val="en-IE" w:eastAsia="fr-BE"/>
        </w:rPr>
        <w:t>management and of the assessment personnel shall be guaranteed.</w:t>
      </w:r>
    </w:p>
    <w:p w14:paraId="2C3A582D" w14:textId="77777777" w:rsidR="00646885" w:rsidRPr="00DF5C23" w:rsidRDefault="0681B866" w:rsidP="0681B866">
      <w:pPr>
        <w:pStyle w:val="Text1"/>
        <w:rPr>
          <w:noProof/>
          <w:lang w:val="en-IE" w:eastAsia="fr-BE"/>
        </w:rPr>
      </w:pPr>
      <w:r w:rsidRPr="00DF5C23">
        <w:rPr>
          <w:noProof/>
          <w:lang w:eastAsia="fr-BE"/>
        </w:rPr>
        <w:t>The remuneration of the top</w:t>
      </w:r>
      <w:r w:rsidR="00EC000E" w:rsidRPr="00DF5C23">
        <w:rPr>
          <w:noProof/>
          <w:lang w:eastAsia="fr-BE"/>
        </w:rPr>
        <w:t>-</w:t>
      </w:r>
      <w:r w:rsidRPr="00DF5C23">
        <w:rPr>
          <w:noProof/>
          <w:lang w:eastAsia="fr-BE"/>
        </w:rPr>
        <w:t xml:space="preserve">level management and assessment personnel of a conformity assessment body shall not depend on the number of assessments carried out or </w:t>
      </w:r>
      <w:r w:rsidR="00EC000E" w:rsidRPr="00DF5C23">
        <w:rPr>
          <w:noProof/>
          <w:lang w:eastAsia="fr-BE"/>
        </w:rPr>
        <w:t>their</w:t>
      </w:r>
      <w:r w:rsidRPr="00DF5C23">
        <w:rPr>
          <w:noProof/>
          <w:lang w:eastAsia="fr-BE"/>
        </w:rPr>
        <w:t xml:space="preserve"> results</w:t>
      </w:r>
      <w:r w:rsidRPr="00DF5C23">
        <w:rPr>
          <w:noProof/>
          <w:lang w:val="en-IE" w:eastAsia="fr-BE"/>
        </w:rPr>
        <w:t>.</w:t>
      </w:r>
    </w:p>
    <w:p w14:paraId="2C3A582E" w14:textId="7BA2C142" w:rsidR="00646885" w:rsidRPr="00DF5C23" w:rsidRDefault="004F5E59" w:rsidP="004F5E59">
      <w:pPr>
        <w:pStyle w:val="ManualNumPar1"/>
        <w:rPr>
          <w:noProof/>
          <w:lang w:val="en-IE" w:eastAsia="fr-BE"/>
        </w:rPr>
      </w:pPr>
      <w:r w:rsidRPr="004F5E59">
        <w:t>9.</w:t>
      </w:r>
      <w:r w:rsidRPr="004F5E59">
        <w:tab/>
      </w:r>
      <w:r w:rsidR="0681B866" w:rsidRPr="00DF5C23">
        <w:rPr>
          <w:noProof/>
          <w:lang w:val="en-IE" w:eastAsia="fr-BE"/>
        </w:rPr>
        <w:t>Conformity assessment bodies shall take out liability insurance unless liability is assumed by the State in accordance with national law, or the Member State itself is directly responsible for the conformity assessment.</w:t>
      </w:r>
    </w:p>
    <w:p w14:paraId="2C3A582F" w14:textId="62874D06" w:rsidR="00646885" w:rsidRPr="00DF5C23" w:rsidRDefault="004F5E59" w:rsidP="004F5E59">
      <w:pPr>
        <w:pStyle w:val="ManualNumPar1"/>
        <w:rPr>
          <w:noProof/>
          <w:lang w:val="en-IE" w:eastAsia="fr-BE"/>
        </w:rPr>
      </w:pPr>
      <w:r w:rsidRPr="004F5E59">
        <w:t>10.</w:t>
      </w:r>
      <w:r w:rsidRPr="004F5E59">
        <w:tab/>
      </w:r>
      <w:r w:rsidR="0681B866" w:rsidRPr="00DF5C23">
        <w:rPr>
          <w:noProof/>
          <w:lang w:val="en-IE" w:eastAsia="fr-BE"/>
        </w:rPr>
        <w:t xml:space="preserve">The personnel of a conformity assessment body shall observe professional secrecy </w:t>
      </w:r>
      <w:r w:rsidR="00EC000E" w:rsidRPr="00DF5C23">
        <w:rPr>
          <w:noProof/>
          <w:lang w:eastAsia="fr-BE"/>
        </w:rPr>
        <w:t>regarding</w:t>
      </w:r>
      <w:r w:rsidR="0681B866" w:rsidRPr="00DF5C23">
        <w:rPr>
          <w:noProof/>
          <w:lang w:eastAsia="fr-BE"/>
        </w:rPr>
        <w:t xml:space="preserve"> </w:t>
      </w:r>
      <w:r w:rsidR="0681B866" w:rsidRPr="00DF5C23">
        <w:rPr>
          <w:noProof/>
          <w:lang w:val="en-IE" w:eastAsia="fr-BE"/>
        </w:rPr>
        <w:t xml:space="preserve">all information obtained in carrying out the conformity assessment tasks under the relevant delegated acts </w:t>
      </w:r>
      <w:r w:rsidR="00850318" w:rsidRPr="00DF5C23">
        <w:rPr>
          <w:noProof/>
          <w:lang w:val="en-IE" w:eastAsia="fr-BE"/>
        </w:rPr>
        <w:t>adopted pursuant to Article 4</w:t>
      </w:r>
      <w:r w:rsidR="0681B866" w:rsidRPr="00DF5C23">
        <w:rPr>
          <w:noProof/>
          <w:lang w:val="en-IE" w:eastAsia="fr-BE"/>
        </w:rPr>
        <w:t>, except in relation to the notifying authorities and other national authorities of the Member State in which its activities are carried out. Proprietary rights shall be protected.</w:t>
      </w:r>
    </w:p>
    <w:p w14:paraId="2C3A5830" w14:textId="2BCFEB6C" w:rsidR="00646885" w:rsidRPr="00DF5C23" w:rsidRDefault="004F5E59" w:rsidP="004F5E59">
      <w:pPr>
        <w:pStyle w:val="ManualNumPar1"/>
        <w:rPr>
          <w:noProof/>
          <w:lang w:val="en-IE" w:eastAsia="fr-BE"/>
        </w:rPr>
      </w:pPr>
      <w:r w:rsidRPr="004F5E59">
        <w:t>11.</w:t>
      </w:r>
      <w:r w:rsidRPr="004F5E59">
        <w:tab/>
      </w:r>
      <w:r w:rsidR="0681B866" w:rsidRPr="00DF5C23">
        <w:rPr>
          <w:noProof/>
          <w:lang w:val="en-IE" w:eastAsia="fr-BE"/>
        </w:rPr>
        <w:t xml:space="preserve">Conformity assessment bodies shall participate in, or ensure that their assessment personnel are informed </w:t>
      </w:r>
      <w:r w:rsidR="00EC000E" w:rsidRPr="00DF5C23">
        <w:rPr>
          <w:noProof/>
          <w:lang w:eastAsia="fr-BE"/>
        </w:rPr>
        <w:t>about</w:t>
      </w:r>
      <w:r w:rsidR="0681B866" w:rsidRPr="00DF5C23">
        <w:rPr>
          <w:noProof/>
          <w:lang w:val="en-IE" w:eastAsia="fr-BE"/>
        </w:rPr>
        <w:t>, the relevant standardisation activities and apply as general guidance the administrative decisions and documents produced as a result of the work of that group.</w:t>
      </w:r>
    </w:p>
    <w:p w14:paraId="2C3A5831"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46</w:t>
      </w:r>
      <w:r w:rsidR="00AD4976" w:rsidRPr="00DF5C23">
        <w:rPr>
          <w:noProof/>
        </w:rPr>
        <w:br/>
      </w:r>
      <w:r w:rsidRPr="00DF5C23">
        <w:rPr>
          <w:noProof/>
          <w:lang w:val="en-IE" w:eastAsia="fr-BE"/>
        </w:rPr>
        <w:t>Presumption of conformity</w:t>
      </w:r>
      <w:r w:rsidR="00FF4374" w:rsidRPr="00DF5C23">
        <w:rPr>
          <w:noProof/>
          <w:lang w:val="en-IE" w:eastAsia="fr-BE"/>
        </w:rPr>
        <w:t xml:space="preserve"> of conformity assessment bodies</w:t>
      </w:r>
    </w:p>
    <w:p w14:paraId="2C3A5832" w14:textId="77777777" w:rsidR="00646885" w:rsidRPr="00DF5C23" w:rsidRDefault="00646885" w:rsidP="0681B866">
      <w:pPr>
        <w:rPr>
          <w:noProof/>
          <w:lang w:val="en-IE" w:eastAsia="fr-BE"/>
        </w:rPr>
      </w:pPr>
      <w:r w:rsidRPr="00DF5C23">
        <w:rPr>
          <w:noProof/>
          <w:lang w:val="en-IE" w:eastAsia="fr-BE"/>
        </w:rPr>
        <w:t>Where a conformity assessment body demonstrates its conformity with the criteria laid down in the relevant harmonised standards or parts thereof the references of which have been published in the </w:t>
      </w:r>
      <w:r w:rsidRPr="00DF5C23">
        <w:rPr>
          <w:i/>
          <w:iCs/>
          <w:noProof/>
          <w:lang w:val="en-IE" w:eastAsia="fr-BE"/>
        </w:rPr>
        <w:t>Official Journal of the European Union</w:t>
      </w:r>
      <w:r w:rsidRPr="00DF5C23">
        <w:rPr>
          <w:noProof/>
          <w:lang w:val="en-IE" w:eastAsia="fr-BE"/>
        </w:rPr>
        <w:t xml:space="preserve"> it shall be presumed to comply with the requirements set out in Article </w:t>
      </w:r>
      <w:r w:rsidR="00A404BE" w:rsidRPr="00DF5C23">
        <w:rPr>
          <w:noProof/>
          <w:lang w:val="en-IE" w:eastAsia="fr-BE"/>
        </w:rPr>
        <w:t xml:space="preserve">45 </w:t>
      </w:r>
      <w:r w:rsidRPr="00DF5C23">
        <w:rPr>
          <w:noProof/>
          <w:lang w:val="en-IE" w:eastAsia="fr-BE"/>
        </w:rPr>
        <w:t>in so far as the applicable harmonised standards cover those requirements.</w:t>
      </w:r>
    </w:p>
    <w:p w14:paraId="2C3A5833"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07659" w:rsidRPr="00DF5C23">
        <w:rPr>
          <w:noProof/>
          <w:lang w:val="en-IE" w:eastAsia="fr-BE"/>
        </w:rPr>
        <w:t>47</w:t>
      </w:r>
      <w:r w:rsidR="00AD4976" w:rsidRPr="00DF5C23">
        <w:rPr>
          <w:noProof/>
        </w:rPr>
        <w:br/>
      </w:r>
      <w:r w:rsidRPr="00DF5C23">
        <w:rPr>
          <w:noProof/>
          <w:lang w:val="en-IE" w:eastAsia="fr-BE"/>
        </w:rPr>
        <w:t>Subsidiaries of and subcontracting by notified bodies</w:t>
      </w:r>
    </w:p>
    <w:p w14:paraId="2C3A5834" w14:textId="1689495B"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Where a notified body subcontracts specific tasks connected with conformity assessment or has recourse to a subsidiary, it shall ensure that the subcontractor or the subsidiary meets the requirements set out in Article </w:t>
      </w:r>
      <w:r w:rsidR="002C78D8" w:rsidRPr="00DF5C23">
        <w:rPr>
          <w:noProof/>
          <w:lang w:val="en-IE" w:eastAsia="fr-BE"/>
        </w:rPr>
        <w:t>4</w:t>
      </w:r>
      <w:r w:rsidR="00A404BE" w:rsidRPr="00DF5C23">
        <w:rPr>
          <w:noProof/>
          <w:lang w:val="en-IE" w:eastAsia="fr-BE"/>
        </w:rPr>
        <w:t>5</w:t>
      </w:r>
      <w:r w:rsidR="002C78D8" w:rsidRPr="00DF5C23">
        <w:rPr>
          <w:noProof/>
          <w:lang w:val="en-IE" w:eastAsia="fr-BE"/>
        </w:rPr>
        <w:t xml:space="preserve"> </w:t>
      </w:r>
      <w:r w:rsidR="00646885" w:rsidRPr="00DF5C23">
        <w:rPr>
          <w:noProof/>
          <w:lang w:val="en-IE" w:eastAsia="fr-BE"/>
        </w:rPr>
        <w:t>and shall inform the notifying authority accordingly.</w:t>
      </w:r>
    </w:p>
    <w:p w14:paraId="2C3A5835" w14:textId="2D14EB07" w:rsidR="00646885" w:rsidRPr="00DF5C23" w:rsidRDefault="004F5E59" w:rsidP="004F5E59">
      <w:pPr>
        <w:pStyle w:val="ManualNumPar1"/>
        <w:rPr>
          <w:noProof/>
          <w:lang w:val="en-IE" w:eastAsia="fr-BE"/>
        </w:rPr>
      </w:pPr>
      <w:r w:rsidRPr="004F5E59">
        <w:t>2.</w:t>
      </w:r>
      <w:r w:rsidRPr="004F5E59">
        <w:tab/>
      </w:r>
      <w:r w:rsidR="00646885" w:rsidRPr="00DF5C23">
        <w:rPr>
          <w:noProof/>
          <w:lang w:val="en-IE" w:eastAsia="fr-BE"/>
        </w:rPr>
        <w:t xml:space="preserve">Notified bodies shall take full responsibility for the tasks performed by subcontractors or subsidiaries wherever these are established. The relevant notified bodies shall establish procedures for the on-going monitoring of the competence, activities and performance of its subcontractors or subsidiaries, taking into account the qualification matrix referred to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(6).</w:t>
      </w:r>
    </w:p>
    <w:p w14:paraId="2C3A5836" w14:textId="35DE52A2"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Activities may be subcontracted or carried out by a subsidiary only with the agreement of the client.</w:t>
      </w:r>
    </w:p>
    <w:p w14:paraId="2C3A5837" w14:textId="12432B3C" w:rsidR="00AD4976"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 xml:space="preserve">Notified bodies shall keep at the disposal of the notifying authority the relevant documents concerning the assessment and monitoring of the qualifications of the subcontractor or the subsidiary and the work carried out by them under the relevant delegated acts </w:t>
      </w:r>
      <w:r w:rsidR="00850318" w:rsidRPr="00DF5C23">
        <w:rPr>
          <w:noProof/>
          <w:lang w:val="en-IE" w:eastAsia="fr-BE"/>
        </w:rPr>
        <w:t>adopted pursuant to Article 4</w:t>
      </w:r>
      <w:r w:rsidR="0681B866" w:rsidRPr="00DF5C23">
        <w:rPr>
          <w:noProof/>
          <w:lang w:val="en-IE" w:eastAsia="fr-BE"/>
        </w:rPr>
        <w:t xml:space="preserve">. </w:t>
      </w:r>
    </w:p>
    <w:p w14:paraId="2C3A5838"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F7190" w:rsidRPr="00DF5C23">
        <w:rPr>
          <w:noProof/>
          <w:lang w:val="en-IE" w:eastAsia="fr-BE"/>
        </w:rPr>
        <w:t>4</w:t>
      </w:r>
      <w:r w:rsidR="00807659" w:rsidRPr="00DF5C23">
        <w:rPr>
          <w:noProof/>
          <w:lang w:val="en-IE" w:eastAsia="fr-BE"/>
        </w:rPr>
        <w:t>8</w:t>
      </w:r>
      <w:r w:rsidR="00AD4976" w:rsidRPr="00DF5C23">
        <w:rPr>
          <w:noProof/>
        </w:rPr>
        <w:br/>
      </w:r>
      <w:r w:rsidRPr="00DF5C23">
        <w:rPr>
          <w:noProof/>
          <w:lang w:val="en-IE" w:eastAsia="fr-BE"/>
        </w:rPr>
        <w:t>Application for notification</w:t>
      </w:r>
    </w:p>
    <w:p w14:paraId="2C3A5839" w14:textId="2701FC92" w:rsidR="007A4166"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A conformity assessment body shall submit an application for notification to the notifying authority of the Member State in which it is established.</w:t>
      </w:r>
    </w:p>
    <w:p w14:paraId="2C3A583A" w14:textId="0157F942" w:rsidR="007A4166" w:rsidRPr="00DF5C23" w:rsidRDefault="004F5E59" w:rsidP="004F5E59">
      <w:pPr>
        <w:pStyle w:val="ManualNumPar1"/>
        <w:rPr>
          <w:noProof/>
          <w:lang w:val="en-IE" w:eastAsia="fr-BE"/>
        </w:rPr>
      </w:pPr>
      <w:r w:rsidRPr="004F5E59">
        <w:t>2.</w:t>
      </w:r>
      <w:r w:rsidRPr="004F5E59">
        <w:tab/>
      </w:r>
      <w:r w:rsidR="00646885" w:rsidRPr="00DF5C23">
        <w:rPr>
          <w:noProof/>
          <w:lang w:val="en-IE" w:eastAsia="fr-BE"/>
        </w:rPr>
        <w:t xml:space="preserve">That application shall be accompanied by a description of the conformity assessment activities, the conformity assessment module or modules and the product or products for which that body claims to be competent, the qualification matrix referred to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 xml:space="preserve">(6), as well as by an accreditation certificate, where one exists, issued by a national accreditation body attesting that the conformity assessment body fulfils the requirements laid down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 xml:space="preserve">. The accreditation certificate shall relate only to the precise legal body applying for notification and shall be based, in addition to relevant harmonised standards, on the specific requirements and conformity assessment tasks set out in the </w:t>
      </w:r>
      <w:r w:rsidR="00095F2D" w:rsidRPr="00DF5C23">
        <w:rPr>
          <w:noProof/>
          <w:color w:val="000000" w:themeColor="text1"/>
          <w:lang w:val="en-IE" w:eastAsia="fr-BE"/>
        </w:rPr>
        <w:t xml:space="preserve">relevant </w:t>
      </w:r>
      <w:r w:rsidR="00095F2D" w:rsidRPr="00DF5C23">
        <w:rPr>
          <w:noProof/>
          <w:lang w:val="en-IE" w:eastAsia="fr-BE"/>
        </w:rPr>
        <w:t xml:space="preserve">delegated act </w:t>
      </w:r>
      <w:r w:rsidR="00850318" w:rsidRPr="00DF5C23">
        <w:rPr>
          <w:noProof/>
          <w:lang w:val="en-IE" w:eastAsia="fr-BE"/>
        </w:rPr>
        <w:t>adopted pursuant to Article 4</w:t>
      </w:r>
      <w:r w:rsidR="00646885" w:rsidRPr="00DF5C23">
        <w:rPr>
          <w:noProof/>
          <w:lang w:val="en-IE" w:eastAsia="fr-BE"/>
        </w:rPr>
        <w:t>.</w:t>
      </w:r>
    </w:p>
    <w:p w14:paraId="2C3A583B" w14:textId="7123B15C" w:rsidR="00646885" w:rsidRPr="00DF5C23" w:rsidRDefault="004F5E59" w:rsidP="004F5E59">
      <w:pPr>
        <w:pStyle w:val="ManualNumPar1"/>
        <w:rPr>
          <w:noProof/>
          <w:lang w:val="en-IE" w:eastAsia="fr-BE"/>
        </w:rPr>
      </w:pPr>
      <w:r w:rsidRPr="004F5E59">
        <w:t>3.</w:t>
      </w:r>
      <w:r w:rsidRPr="004F5E59">
        <w:tab/>
      </w:r>
      <w:r w:rsidR="00646885" w:rsidRPr="00DF5C23">
        <w:rPr>
          <w:noProof/>
          <w:lang w:val="en-IE" w:eastAsia="fr-BE"/>
        </w:rPr>
        <w:t xml:space="preserve">Where the conformity assessment body concerned cannot provide an accreditation certificate, it shall provide the notifying authority with all the documentary evidence necessary for the verification, recognition and regular monitoring of its compliance with the requirements laid down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w:t>
      </w:r>
    </w:p>
    <w:p w14:paraId="2C3A583C"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8F7190" w:rsidRPr="00DF5C23">
        <w:rPr>
          <w:noProof/>
          <w:lang w:val="en-IE" w:eastAsia="fr-BE"/>
        </w:rPr>
        <w:t>4</w:t>
      </w:r>
      <w:r w:rsidR="00565D97" w:rsidRPr="00DF5C23">
        <w:rPr>
          <w:noProof/>
          <w:lang w:val="en-IE" w:eastAsia="fr-BE"/>
        </w:rPr>
        <w:t>9</w:t>
      </w:r>
      <w:r w:rsidR="007A4166" w:rsidRPr="00DF5C23">
        <w:rPr>
          <w:noProof/>
        </w:rPr>
        <w:br/>
      </w:r>
      <w:r w:rsidRPr="00DF5C23">
        <w:rPr>
          <w:noProof/>
          <w:lang w:val="en-IE" w:eastAsia="fr-BE"/>
        </w:rPr>
        <w:t>Notification procedure</w:t>
      </w:r>
    </w:p>
    <w:p w14:paraId="2C3A583D" w14:textId="7829A81F"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Notifying authorities </w:t>
      </w:r>
      <w:r w:rsidR="007715CB" w:rsidRPr="00DF5C23">
        <w:rPr>
          <w:noProof/>
          <w:lang w:eastAsia="fr-BE"/>
        </w:rPr>
        <w:t>only</w:t>
      </w:r>
      <w:r w:rsidR="00646885" w:rsidRPr="00DF5C23">
        <w:rPr>
          <w:noProof/>
          <w:lang w:eastAsia="fr-BE"/>
        </w:rPr>
        <w:t xml:space="preserve"> notify </w:t>
      </w:r>
      <w:r w:rsidR="00646885" w:rsidRPr="00DF5C23">
        <w:rPr>
          <w:noProof/>
          <w:lang w:val="en-IE" w:eastAsia="fr-BE"/>
        </w:rPr>
        <w:t xml:space="preserve">conformity assessment bodies which have satisfied the requirements laid down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w:t>
      </w:r>
    </w:p>
    <w:p w14:paraId="2C3A583E" w14:textId="6E060639"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They shall notify the Commission and the other Member States using the electronic notification tool developed and managed by the Commission.</w:t>
      </w:r>
    </w:p>
    <w:p w14:paraId="2C3A583F" w14:textId="28A8C7CF"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The notification shall include full details of the conformity assessment activities, the conformity assessment module or modules and product or products concerned and the relevant attestation of competence.</w:t>
      </w:r>
    </w:p>
    <w:p w14:paraId="2C3A5840" w14:textId="022D8DE2" w:rsidR="00646885" w:rsidRPr="00DF5C23" w:rsidRDefault="004F5E59" w:rsidP="004F5E59">
      <w:pPr>
        <w:pStyle w:val="ManualNumPar1"/>
        <w:rPr>
          <w:noProof/>
          <w:lang w:val="en-IE" w:eastAsia="fr-BE"/>
        </w:rPr>
      </w:pPr>
      <w:r w:rsidRPr="004F5E59">
        <w:t>4.</w:t>
      </w:r>
      <w:r w:rsidRPr="004F5E59">
        <w:tab/>
      </w:r>
      <w:r w:rsidR="00646885" w:rsidRPr="00DF5C23">
        <w:rPr>
          <w:noProof/>
          <w:lang w:val="en-IE" w:eastAsia="fr-BE"/>
        </w:rPr>
        <w:t xml:space="preserve">Where a notification is not based on an accreditation certificate as referred to in Article </w:t>
      </w:r>
      <w:r w:rsidR="00A404BE" w:rsidRPr="00DF5C23">
        <w:rPr>
          <w:noProof/>
          <w:lang w:val="en-IE" w:eastAsia="fr-BE"/>
        </w:rPr>
        <w:t>48</w:t>
      </w:r>
      <w:r w:rsidR="00646885" w:rsidRPr="00DF5C23">
        <w:rPr>
          <w:noProof/>
          <w:lang w:val="en-IE" w:eastAsia="fr-BE"/>
        </w:rPr>
        <w:t xml:space="preserve">(2), the notifying authority shall provide the Commission and the other Member States with documentary evidence which attests to the conformity assessment body's competence and the arrangements in place to ensure that that body will be monitored regularly and will continue to satisfy the requirements laid down in Article </w:t>
      </w:r>
      <w:r w:rsidR="00A404BE" w:rsidRPr="00DF5C23">
        <w:rPr>
          <w:noProof/>
          <w:lang w:val="en-IE" w:eastAsia="fr-BE"/>
        </w:rPr>
        <w:t>45</w:t>
      </w:r>
      <w:r w:rsidR="00646885" w:rsidRPr="00DF5C23">
        <w:rPr>
          <w:noProof/>
          <w:lang w:val="en-IE" w:eastAsia="fr-BE"/>
        </w:rPr>
        <w:t>.</w:t>
      </w:r>
    </w:p>
    <w:p w14:paraId="2C3A5841" w14:textId="4C4EB2C8" w:rsidR="00646885"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 xml:space="preserve">The body concerned may perform the activities of a notified body </w:t>
      </w:r>
      <w:r w:rsidR="007715CB" w:rsidRPr="00DF5C23">
        <w:rPr>
          <w:noProof/>
          <w:lang w:eastAsia="fr-BE"/>
        </w:rPr>
        <w:t>if</w:t>
      </w:r>
      <w:r w:rsidR="0681B866" w:rsidRPr="00DF5C23">
        <w:rPr>
          <w:noProof/>
          <w:lang w:eastAsia="fr-BE"/>
        </w:rPr>
        <w:t xml:space="preserve"> the Commission or the other Member States </w:t>
      </w:r>
      <w:r w:rsidR="007715CB" w:rsidRPr="00DF5C23">
        <w:rPr>
          <w:noProof/>
          <w:lang w:eastAsia="fr-BE"/>
        </w:rPr>
        <w:t>do not raise any objections within 2</w:t>
      </w:r>
      <w:r w:rsidR="0681B866" w:rsidRPr="00DF5C23">
        <w:rPr>
          <w:noProof/>
          <w:lang w:eastAsia="fr-BE"/>
        </w:rPr>
        <w:t xml:space="preserve"> weeks </w:t>
      </w:r>
      <w:r w:rsidR="0681B866" w:rsidRPr="00DF5C23">
        <w:rPr>
          <w:noProof/>
          <w:lang w:val="en-IE" w:eastAsia="fr-BE"/>
        </w:rPr>
        <w:t>of a notification where an accreditation certificate is used</w:t>
      </w:r>
      <w:r w:rsidR="007715CB" w:rsidRPr="00DF5C23">
        <w:rPr>
          <w:noProof/>
          <w:lang w:eastAsia="fr-BE"/>
        </w:rPr>
        <w:t>,</w:t>
      </w:r>
      <w:r w:rsidR="0681B866" w:rsidRPr="00DF5C23">
        <w:rPr>
          <w:noProof/>
          <w:lang w:eastAsia="fr-BE"/>
        </w:rPr>
        <w:t xml:space="preserve"> or within </w:t>
      </w:r>
      <w:r w:rsidR="007715CB" w:rsidRPr="00DF5C23">
        <w:rPr>
          <w:noProof/>
          <w:lang w:eastAsia="fr-BE"/>
        </w:rPr>
        <w:t>2</w:t>
      </w:r>
      <w:r w:rsidR="0681B866" w:rsidRPr="00DF5C23">
        <w:rPr>
          <w:noProof/>
          <w:lang w:eastAsia="fr-BE"/>
        </w:rPr>
        <w:t xml:space="preserve"> months </w:t>
      </w:r>
      <w:r w:rsidR="0681B866" w:rsidRPr="00DF5C23">
        <w:rPr>
          <w:noProof/>
          <w:lang w:val="en-IE" w:eastAsia="fr-BE"/>
        </w:rPr>
        <w:t>of a notification where accreditation is not used.</w:t>
      </w:r>
    </w:p>
    <w:p w14:paraId="2C3A5842" w14:textId="77777777" w:rsidR="00646885" w:rsidRPr="00DF5C23" w:rsidRDefault="0681B866" w:rsidP="0681B866">
      <w:pPr>
        <w:pStyle w:val="Text1"/>
        <w:rPr>
          <w:noProof/>
          <w:lang w:val="en-IE" w:eastAsia="fr-BE"/>
        </w:rPr>
      </w:pPr>
      <w:r w:rsidRPr="00DF5C23">
        <w:rPr>
          <w:noProof/>
          <w:lang w:val="en-IE" w:eastAsia="fr-BE"/>
        </w:rPr>
        <w:t>Only such a body shall be considered a notified body for the purposes of this Regulation.</w:t>
      </w:r>
    </w:p>
    <w:p w14:paraId="2C3A5843" w14:textId="21FB99F9" w:rsidR="00646885" w:rsidRPr="00DF5C23" w:rsidRDefault="004F5E59" w:rsidP="004F5E59">
      <w:pPr>
        <w:pStyle w:val="ManualNumPar1"/>
        <w:rPr>
          <w:noProof/>
          <w:lang w:val="en-IE" w:eastAsia="fr-BE"/>
        </w:rPr>
      </w:pPr>
      <w:r w:rsidRPr="004F5E59">
        <w:t>6.</w:t>
      </w:r>
      <w:r w:rsidRPr="004F5E59">
        <w:tab/>
      </w:r>
      <w:r w:rsidR="00646885" w:rsidRPr="00DF5C23">
        <w:rPr>
          <w:noProof/>
          <w:lang w:val="en-IE" w:eastAsia="fr-BE"/>
        </w:rPr>
        <w:t xml:space="preserve">The notification shall become valid the day after </w:t>
      </w:r>
      <w:r w:rsidR="002E5E7D" w:rsidRPr="00DF5C23">
        <w:rPr>
          <w:noProof/>
          <w:lang w:val="en-IE" w:eastAsia="fr-BE"/>
        </w:rPr>
        <w:t>the</w:t>
      </w:r>
      <w:r w:rsidR="00646885" w:rsidRPr="00DF5C23">
        <w:rPr>
          <w:noProof/>
          <w:lang w:val="en-IE" w:eastAsia="fr-BE"/>
        </w:rPr>
        <w:t xml:space="preserve"> body is included in the list of notified bodies referred to in Article </w:t>
      </w:r>
      <w:r w:rsidR="00A404BE" w:rsidRPr="00DF5C23">
        <w:rPr>
          <w:noProof/>
          <w:lang w:val="en-IE" w:eastAsia="fr-BE"/>
        </w:rPr>
        <w:t>50</w:t>
      </w:r>
      <w:r w:rsidR="00646885" w:rsidRPr="00DF5C23">
        <w:rPr>
          <w:noProof/>
          <w:lang w:val="en-IE" w:eastAsia="fr-BE"/>
        </w:rPr>
        <w:t xml:space="preserve">(2) by the Commission. The body concerned may perform the activities of a notified body only after the notification has become valid. </w:t>
      </w:r>
    </w:p>
    <w:p w14:paraId="2C3A5844" w14:textId="77777777" w:rsidR="00646885" w:rsidRPr="00DF5C23" w:rsidRDefault="00646885" w:rsidP="0681B866">
      <w:pPr>
        <w:pStyle w:val="Text1"/>
        <w:rPr>
          <w:noProof/>
          <w:lang w:val="en-IE" w:eastAsia="fr-BE"/>
        </w:rPr>
      </w:pPr>
      <w:r w:rsidRPr="00DF5C23">
        <w:rPr>
          <w:noProof/>
          <w:lang w:val="en-IE" w:eastAsia="fr-BE"/>
        </w:rPr>
        <w:t xml:space="preserve">The Commission shall not publish a notification if it is aware or becomes aware that the relevant notified body does not meet the requirements laid down in Article </w:t>
      </w:r>
      <w:r w:rsidR="00A404BE" w:rsidRPr="00DF5C23">
        <w:rPr>
          <w:noProof/>
          <w:lang w:val="en-IE" w:eastAsia="fr-BE"/>
        </w:rPr>
        <w:t>45</w:t>
      </w:r>
      <w:r w:rsidRPr="00DF5C23">
        <w:rPr>
          <w:noProof/>
          <w:lang w:val="en-IE" w:eastAsia="fr-BE"/>
        </w:rPr>
        <w:t xml:space="preserve">.  </w:t>
      </w:r>
    </w:p>
    <w:p w14:paraId="2C3A5845" w14:textId="2ABCA466" w:rsidR="00646885"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The Commission and the other Member States shall be notified of any subsequent relevant changes to the notification.</w:t>
      </w:r>
    </w:p>
    <w:p w14:paraId="2C3A5846"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50</w:t>
      </w:r>
      <w:r w:rsidR="007A4166" w:rsidRPr="00DF5C23">
        <w:rPr>
          <w:noProof/>
        </w:rPr>
        <w:br/>
      </w:r>
      <w:r w:rsidRPr="00DF5C23">
        <w:rPr>
          <w:noProof/>
          <w:lang w:val="en-IE" w:eastAsia="fr-BE"/>
        </w:rPr>
        <w:t>Identification numbers and lists of notified bodies</w:t>
      </w:r>
    </w:p>
    <w:p w14:paraId="2C3A5847" w14:textId="7A3DAA56"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The Commission shall assign an identification number to a notified body.</w:t>
      </w:r>
    </w:p>
    <w:p w14:paraId="2C3A5848" w14:textId="77777777" w:rsidR="00646885" w:rsidRPr="00DF5C23" w:rsidRDefault="0681B866" w:rsidP="0681B866">
      <w:pPr>
        <w:pStyle w:val="Text1"/>
        <w:rPr>
          <w:noProof/>
          <w:lang w:val="en-IE" w:eastAsia="fr-BE"/>
        </w:rPr>
      </w:pPr>
      <w:r w:rsidRPr="00DF5C23">
        <w:rPr>
          <w:noProof/>
          <w:lang w:val="en-IE" w:eastAsia="fr-BE"/>
        </w:rPr>
        <w:t>It shall assign a single such number even where the body is notified under several Union acts.</w:t>
      </w:r>
    </w:p>
    <w:p w14:paraId="2C3A5849" w14:textId="0AC67330"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The Commission shall make the list of the bodies notified under this Regulation</w:t>
      </w:r>
      <w:r w:rsidR="007715CB" w:rsidRPr="00DF5C23">
        <w:rPr>
          <w:noProof/>
          <w:lang w:val="en-IE" w:eastAsia="fr-BE"/>
        </w:rPr>
        <w:t xml:space="preserve"> publicly available</w:t>
      </w:r>
      <w:r w:rsidR="0681B866" w:rsidRPr="00DF5C23">
        <w:rPr>
          <w:noProof/>
          <w:lang w:val="en-IE" w:eastAsia="fr-BE"/>
        </w:rPr>
        <w:t>, including the identification numbers that have been allocated to them and the activities for which they have been notified.</w:t>
      </w:r>
    </w:p>
    <w:p w14:paraId="2C3A584A" w14:textId="77777777" w:rsidR="00646885" w:rsidRPr="00DF5C23" w:rsidRDefault="0681B866" w:rsidP="0681B866">
      <w:pPr>
        <w:pStyle w:val="Text1"/>
        <w:rPr>
          <w:noProof/>
          <w:lang w:val="en-IE" w:eastAsia="fr-BE"/>
        </w:rPr>
      </w:pPr>
      <w:r w:rsidRPr="00DF5C23">
        <w:rPr>
          <w:noProof/>
          <w:lang w:val="en-IE" w:eastAsia="fr-BE"/>
        </w:rPr>
        <w:t>The Commission shall ensure that that list is kept up to date.</w:t>
      </w:r>
    </w:p>
    <w:p w14:paraId="2C3A584B"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51</w:t>
      </w:r>
      <w:r w:rsidR="007A4166" w:rsidRPr="00DF5C23">
        <w:rPr>
          <w:noProof/>
        </w:rPr>
        <w:br/>
      </w:r>
      <w:r w:rsidRPr="00DF5C23">
        <w:rPr>
          <w:noProof/>
          <w:lang w:val="en-IE" w:eastAsia="fr-BE"/>
        </w:rPr>
        <w:t>Changes to notifications</w:t>
      </w:r>
    </w:p>
    <w:p w14:paraId="2C3A584C" w14:textId="0AC38B5F"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Where a notifying authority has ascertained or has been informed that a notified body no longer meets the requirements laid down in Article </w:t>
      </w:r>
      <w:r w:rsidR="002C78D8" w:rsidRPr="00DF5C23">
        <w:rPr>
          <w:noProof/>
          <w:lang w:val="en-IE" w:eastAsia="fr-BE"/>
        </w:rPr>
        <w:t>4</w:t>
      </w:r>
      <w:r w:rsidR="00A404BE" w:rsidRPr="00DF5C23">
        <w:rPr>
          <w:noProof/>
          <w:lang w:val="en-IE" w:eastAsia="fr-BE"/>
        </w:rPr>
        <w:t>5</w:t>
      </w:r>
      <w:r w:rsidR="00646885" w:rsidRPr="00DF5C23">
        <w:rPr>
          <w:noProof/>
          <w:lang w:val="en-IE" w:eastAsia="fr-BE"/>
        </w:rPr>
        <w:t>, or that it is failing to fulfil its obligations, the notifying authority shall restrict, suspend or withdraw notification as appropriate, depending on the seriousness of the failure to meet those requirements or fulfil those obligations. It shall immediately inform the Commission and the other Member States accordingly.</w:t>
      </w:r>
    </w:p>
    <w:p w14:paraId="2C3A584D" w14:textId="17C8BB3B"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In the event of restriction, suspension or withdrawal of notification, or where the notified body has ceased its activity, the notifying Member State shall take appropriate steps to ensure that </w:t>
      </w:r>
      <w:r w:rsidR="007715CB" w:rsidRPr="00DF5C23">
        <w:rPr>
          <w:noProof/>
          <w:lang w:eastAsia="fr-BE"/>
        </w:rPr>
        <w:t>this</w:t>
      </w:r>
      <w:r w:rsidR="0681B866" w:rsidRPr="00DF5C23">
        <w:rPr>
          <w:noProof/>
          <w:lang w:eastAsia="fr-BE"/>
        </w:rPr>
        <w:t xml:space="preserve"> </w:t>
      </w:r>
      <w:r w:rsidR="007715CB" w:rsidRPr="00DF5C23">
        <w:rPr>
          <w:noProof/>
          <w:lang w:eastAsia="fr-BE"/>
        </w:rPr>
        <w:t>body’s files</w:t>
      </w:r>
      <w:r w:rsidR="0681B866" w:rsidRPr="00DF5C23">
        <w:rPr>
          <w:noProof/>
          <w:lang w:eastAsia="fr-BE"/>
        </w:rPr>
        <w:t xml:space="preserve"> </w:t>
      </w:r>
      <w:r w:rsidR="0681B866" w:rsidRPr="00DF5C23">
        <w:rPr>
          <w:noProof/>
          <w:lang w:val="en-IE" w:eastAsia="fr-BE"/>
        </w:rPr>
        <w:t>are either processed by another notified body or kept available for the responsible notifying and market surveillance authorities at their request.</w:t>
      </w:r>
    </w:p>
    <w:p w14:paraId="2C3A584E"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52</w:t>
      </w:r>
      <w:r w:rsidR="007A4166" w:rsidRPr="00DF5C23">
        <w:rPr>
          <w:noProof/>
        </w:rPr>
        <w:br/>
      </w:r>
      <w:r w:rsidRPr="00DF5C23">
        <w:rPr>
          <w:noProof/>
          <w:lang w:val="en-IE" w:eastAsia="fr-BE"/>
        </w:rPr>
        <w:t>Challenge of the competence of notified bodies</w:t>
      </w:r>
    </w:p>
    <w:p w14:paraId="2C3A584F" w14:textId="3C6C0A02"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The Commission shall investigate all cases where it doubts, or doubt is brought to its attention regarding, the competence of a notified body or the continued fulfilment by a notified body of the requirements and responsibilities to which it is subject.</w:t>
      </w:r>
    </w:p>
    <w:p w14:paraId="2C3A5850" w14:textId="692B47BD"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The notifying Member State shall provide the Commission, on request, with all information relating to the basis for the notification or the maintenance of the competence of the body concerned.</w:t>
      </w:r>
    </w:p>
    <w:p w14:paraId="2C3A5851" w14:textId="1777C773"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The Commission shall ensure that all sensitive information obtained in the course of its investigations is treated confidentially.</w:t>
      </w:r>
    </w:p>
    <w:p w14:paraId="2C3A5852" w14:textId="2A083220" w:rsidR="00B023C9" w:rsidRPr="00DF5C23" w:rsidRDefault="004F5E59" w:rsidP="004F5E59">
      <w:pPr>
        <w:pStyle w:val="ManualNumPar1"/>
        <w:rPr>
          <w:noProof/>
          <w:lang w:val="en-IE" w:eastAsia="fr-BE"/>
        </w:rPr>
      </w:pPr>
      <w:r w:rsidRPr="004F5E59">
        <w:t>4.</w:t>
      </w:r>
      <w:r w:rsidRPr="004F5E59">
        <w:tab/>
      </w:r>
      <w:r w:rsidR="00646885" w:rsidRPr="00DF5C23">
        <w:rPr>
          <w:noProof/>
          <w:lang w:val="en-IE" w:eastAsia="fr-BE"/>
        </w:rPr>
        <w:t xml:space="preserve">Where the Commission ascertains that a notified body does not meet or no longer meets the requirements for its notification, it shall adopt an implementing act requiring the notifying Member State to take the necessary corrective action, including withdrawal of the notification if necessary. That implementing act shall be adopted in accordance with the advisory procedure referred to in Article </w:t>
      </w:r>
      <w:r w:rsidR="00BE479B" w:rsidRPr="00DF5C23">
        <w:rPr>
          <w:noProof/>
          <w:lang w:val="en-IE" w:eastAsia="fr-BE"/>
        </w:rPr>
        <w:t>6</w:t>
      </w:r>
      <w:r w:rsidR="00A404BE" w:rsidRPr="00DF5C23">
        <w:rPr>
          <w:noProof/>
          <w:lang w:val="en-IE" w:eastAsia="fr-BE"/>
        </w:rPr>
        <w:t>7</w:t>
      </w:r>
      <w:r w:rsidR="00E7338F" w:rsidRPr="00DF5C23">
        <w:rPr>
          <w:noProof/>
          <w:lang w:val="en-IE" w:eastAsia="fr-BE"/>
        </w:rPr>
        <w:t>(2)</w:t>
      </w:r>
      <w:r w:rsidR="00646885" w:rsidRPr="00DF5C23">
        <w:rPr>
          <w:noProof/>
          <w:lang w:val="en-IE" w:eastAsia="fr-BE"/>
        </w:rPr>
        <w:t xml:space="preserve">. </w:t>
      </w:r>
    </w:p>
    <w:p w14:paraId="2C3A5853" w14:textId="77777777" w:rsidR="00646885" w:rsidRPr="00DF5C23" w:rsidRDefault="00646885" w:rsidP="0681B866">
      <w:pPr>
        <w:pStyle w:val="Text1"/>
        <w:rPr>
          <w:noProof/>
          <w:lang w:val="en-IE" w:eastAsia="fr-BE"/>
        </w:rPr>
      </w:pPr>
      <w:r w:rsidRPr="00DF5C23">
        <w:rPr>
          <w:noProof/>
          <w:lang w:val="en-IE" w:eastAsia="en-GB"/>
        </w:rPr>
        <w:t xml:space="preserve">The Commission shall update </w:t>
      </w:r>
      <w:r w:rsidRPr="00DF5C23">
        <w:rPr>
          <w:noProof/>
          <w:lang w:val="en-IE" w:eastAsia="fr-BE"/>
        </w:rPr>
        <w:t xml:space="preserve">the list of notified bodies referred to in Article </w:t>
      </w:r>
      <w:r w:rsidR="00A404BE" w:rsidRPr="00DF5C23">
        <w:rPr>
          <w:noProof/>
          <w:lang w:val="en-IE" w:eastAsia="fr-BE"/>
        </w:rPr>
        <w:t>50</w:t>
      </w:r>
      <w:r w:rsidRPr="00DF5C23">
        <w:rPr>
          <w:noProof/>
          <w:lang w:val="en-IE" w:eastAsia="fr-BE"/>
        </w:rPr>
        <w:t xml:space="preserve">(2) </w:t>
      </w:r>
      <w:r w:rsidRPr="00DF5C23">
        <w:rPr>
          <w:noProof/>
          <w:lang w:val="en-IE" w:eastAsia="en-GB"/>
        </w:rPr>
        <w:t xml:space="preserve">within </w:t>
      </w:r>
      <w:r w:rsidR="007715CB" w:rsidRPr="00DF5C23">
        <w:rPr>
          <w:noProof/>
          <w:lang w:eastAsia="en-GB"/>
        </w:rPr>
        <w:t>2</w:t>
      </w:r>
      <w:r w:rsidRPr="00DF5C23">
        <w:rPr>
          <w:noProof/>
          <w:lang w:eastAsia="en-GB"/>
        </w:rPr>
        <w:t xml:space="preserve"> weeks of the implementing act</w:t>
      </w:r>
      <w:r w:rsidR="007715CB" w:rsidRPr="00DF5C23">
        <w:rPr>
          <w:noProof/>
          <w:lang w:eastAsia="en-GB"/>
        </w:rPr>
        <w:t xml:space="preserve"> being adopted</w:t>
      </w:r>
      <w:r w:rsidRPr="00DF5C23">
        <w:rPr>
          <w:noProof/>
          <w:lang w:val="en-IE" w:eastAsia="en-GB"/>
        </w:rPr>
        <w:t>.</w:t>
      </w:r>
    </w:p>
    <w:p w14:paraId="2C3A5854"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53</w:t>
      </w:r>
      <w:r w:rsidR="007A4166" w:rsidRPr="00DF5C23">
        <w:rPr>
          <w:noProof/>
        </w:rPr>
        <w:br/>
      </w:r>
      <w:r w:rsidRPr="00DF5C23">
        <w:rPr>
          <w:noProof/>
          <w:lang w:val="en-IE" w:eastAsia="fr-BE"/>
        </w:rPr>
        <w:t>Operational obligations of notified bodies</w:t>
      </w:r>
    </w:p>
    <w:p w14:paraId="2C3A5855" w14:textId="5B3F64BB" w:rsidR="00B023C9"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 xml:space="preserve">Notified bodies shall carry out conformity assessments in accordance with the conformity assessment procedures provided for in the </w:t>
      </w:r>
      <w:r w:rsidR="0681B866" w:rsidRPr="00DF5C23">
        <w:rPr>
          <w:rFonts w:eastAsia="Times New Roman"/>
          <w:noProof/>
          <w:lang w:val="en-IE" w:eastAsia="fr-BE"/>
        </w:rPr>
        <w:t>d</w:t>
      </w:r>
      <w:r w:rsidR="0681B866" w:rsidRPr="00DF5C23">
        <w:rPr>
          <w:noProof/>
          <w:lang w:val="en-IE" w:eastAsia="fr-BE"/>
        </w:rPr>
        <w:t xml:space="preserve">elegated acts </w:t>
      </w:r>
      <w:r w:rsidR="00850318" w:rsidRPr="00DF5C23">
        <w:rPr>
          <w:noProof/>
          <w:lang w:val="en-IE" w:eastAsia="fr-BE"/>
        </w:rPr>
        <w:t>adopted pursuant to Article 4</w:t>
      </w:r>
      <w:r w:rsidR="0681B866" w:rsidRPr="00DF5C23">
        <w:rPr>
          <w:noProof/>
          <w:lang w:val="en-IE" w:eastAsia="fr-BE"/>
        </w:rPr>
        <w:t>.</w:t>
      </w:r>
    </w:p>
    <w:p w14:paraId="2C3A5856" w14:textId="03EAA16C"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Conformity assessments shall be carried out in a proportionate manner, avoiding unnecessary burdens for economic operators. Conformity assessment bodies shall perform their activities taking due account of the size of an undertaking, the sector in which it operates, its structure, the degree of complexity of the product technology in question and the mass or serial nature of the production process.</w:t>
      </w:r>
    </w:p>
    <w:p w14:paraId="2C3A5857" w14:textId="77777777" w:rsidR="00B023C9" w:rsidRPr="00DF5C23" w:rsidRDefault="0681B866" w:rsidP="0681B866">
      <w:pPr>
        <w:pStyle w:val="Text1"/>
        <w:rPr>
          <w:noProof/>
          <w:lang w:val="en-IE" w:eastAsia="fr-BE"/>
        </w:rPr>
      </w:pPr>
      <w:r w:rsidRPr="00DF5C23">
        <w:rPr>
          <w:noProof/>
          <w:lang w:val="en-IE" w:eastAsia="fr-BE"/>
        </w:rPr>
        <w:t>In so doing they shall nevertheless respect the degree of rigour and the level of protection required for the compliance of the product with the relevant requirements.</w:t>
      </w:r>
    </w:p>
    <w:p w14:paraId="2C3A5858" w14:textId="637468F0"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Where a notified body finds that</w:t>
      </w:r>
      <w:r w:rsidR="007715CB" w:rsidRPr="00DF5C23">
        <w:rPr>
          <w:noProof/>
          <w:lang w:val="en-IE" w:eastAsia="fr-BE"/>
        </w:rPr>
        <w:t xml:space="preserve"> </w:t>
      </w:r>
      <w:r w:rsidR="007715CB" w:rsidRPr="00DF5C23">
        <w:rPr>
          <w:noProof/>
          <w:lang w:eastAsia="fr-BE"/>
        </w:rPr>
        <w:t>a manufacturer does not meet</w:t>
      </w:r>
      <w:r w:rsidR="0681B866" w:rsidRPr="00DF5C23">
        <w:rPr>
          <w:noProof/>
          <w:lang w:eastAsia="fr-BE"/>
        </w:rPr>
        <w:t xml:space="preserve"> the relevant requirements or corresponding harmonised standards, common specifications or other technical specifications</w:t>
      </w:r>
      <w:r w:rsidR="0681B866" w:rsidRPr="00DF5C23">
        <w:rPr>
          <w:noProof/>
          <w:lang w:val="en-IE" w:eastAsia="fr-BE"/>
        </w:rPr>
        <w:t>, it shall require that manufacturer to take appropriate corrective measures in view of a second and final conformity assessment, unless the deficiencies cannot be remedied, in which case it shall not issue a certificate or approval decision.</w:t>
      </w:r>
    </w:p>
    <w:p w14:paraId="2C3A5859" w14:textId="6CD2863B"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Where, in the course of the monitoring of conformity following the issue of a certificate or approval decision, a notified body finds that a product or the manufacturer does not comply or no longer complies, it shall require the manufacturer to take appropriate corrective measures and shall suspend or withdraw the certificate or approval decision if necessary.</w:t>
      </w:r>
    </w:p>
    <w:p w14:paraId="2C3A585A" w14:textId="08E24DE2" w:rsidR="00646885"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Where corrective measures are not taken or do not have the required effect, the notified body shall restrict, suspend or withdraw any certificates or approval decisions, as appropriate.</w:t>
      </w:r>
    </w:p>
    <w:p w14:paraId="2C3A585B" w14:textId="7B6FBE3E" w:rsidR="00646885" w:rsidRPr="00DF5C23" w:rsidRDefault="004F5E59" w:rsidP="004F5E59">
      <w:pPr>
        <w:pStyle w:val="ManualNumPar1"/>
        <w:rPr>
          <w:noProof/>
          <w:lang w:val="en-IE" w:eastAsia="fr-BE"/>
        </w:rPr>
      </w:pPr>
      <w:r w:rsidRPr="004F5E59">
        <w:t>6.</w:t>
      </w:r>
      <w:r w:rsidRPr="004F5E59">
        <w:tab/>
      </w:r>
      <w:r w:rsidR="0681B866" w:rsidRPr="00DF5C23">
        <w:rPr>
          <w:noProof/>
          <w:lang w:val="en-IE" w:eastAsia="fr-BE"/>
        </w:rPr>
        <w:t>When taking conformity assessment decisions, including when deciding on the need to suspend or withdraw a certificate or approval decisions in light of possible non-compliance, notified bodies shall apply clear and pre-determined criteria.</w:t>
      </w:r>
    </w:p>
    <w:p w14:paraId="2C3A585C" w14:textId="55DC31CF" w:rsidR="00646885"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 xml:space="preserve">Notified bodies shall ensure rotation </w:t>
      </w:r>
      <w:r w:rsidR="007715CB" w:rsidRPr="00DF5C23">
        <w:rPr>
          <w:noProof/>
          <w:lang w:val="en-IE" w:eastAsia="fr-BE"/>
        </w:rPr>
        <w:t>among</w:t>
      </w:r>
      <w:r w:rsidR="0681B866" w:rsidRPr="00DF5C23">
        <w:rPr>
          <w:noProof/>
          <w:lang w:val="en-IE" w:eastAsia="fr-BE"/>
        </w:rPr>
        <w:t xml:space="preserve"> the personnel carrying out different conformity assessment tasks.</w:t>
      </w:r>
    </w:p>
    <w:p w14:paraId="2C3A585D" w14:textId="77777777" w:rsidR="00646885" w:rsidRPr="00DF5C23" w:rsidRDefault="00646885" w:rsidP="0681B866">
      <w:pPr>
        <w:pStyle w:val="Titrearticle"/>
        <w:rPr>
          <w:noProof/>
          <w:lang w:eastAsia="fr-BE"/>
        </w:rPr>
      </w:pPr>
      <w:r w:rsidRPr="00DF5C23">
        <w:rPr>
          <w:noProof/>
          <w:lang w:eastAsia="fr-BE"/>
        </w:rPr>
        <w:t xml:space="preserve">Article </w:t>
      </w:r>
      <w:r w:rsidR="00565D97" w:rsidRPr="00DF5C23">
        <w:rPr>
          <w:noProof/>
          <w:lang w:eastAsia="fr-BE"/>
        </w:rPr>
        <w:t>54</w:t>
      </w:r>
      <w:r w:rsidR="007A4166" w:rsidRPr="00DF5C23">
        <w:rPr>
          <w:noProof/>
        </w:rPr>
        <w:br/>
      </w:r>
      <w:r w:rsidR="007A4166" w:rsidRPr="00DF5C23">
        <w:rPr>
          <w:noProof/>
          <w:lang w:eastAsia="fr-BE"/>
        </w:rPr>
        <w:t>I</w:t>
      </w:r>
      <w:r w:rsidRPr="00DF5C23">
        <w:rPr>
          <w:noProof/>
          <w:lang w:eastAsia="fr-BE"/>
        </w:rPr>
        <w:t>nformation obligation on notified bodies</w:t>
      </w:r>
    </w:p>
    <w:p w14:paraId="2C3A585E" w14:textId="5A0390F0"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Notified bodies shall inform the notifying authority of the following:</w:t>
      </w:r>
    </w:p>
    <w:p w14:paraId="2C3A585F" w14:textId="03B536CA" w:rsidR="00B023C9" w:rsidRPr="00DF5C23" w:rsidRDefault="004F5E59" w:rsidP="004F5E59">
      <w:pPr>
        <w:pStyle w:val="Point1"/>
        <w:rPr>
          <w:noProof/>
          <w:lang w:val="en-IE" w:eastAsia="fr-BE"/>
        </w:rPr>
      </w:pPr>
      <w:r w:rsidRPr="004F5E59">
        <w:t>(a)</w:t>
      </w:r>
      <w:r w:rsidRPr="004F5E59">
        <w:tab/>
      </w:r>
      <w:r w:rsidR="0681B866" w:rsidRPr="00DF5C23">
        <w:rPr>
          <w:noProof/>
          <w:lang w:val="en-IE" w:eastAsia="fr-BE"/>
        </w:rPr>
        <w:t>any refusal, restriction, suspension or withdrawal of a certificate;</w:t>
      </w:r>
    </w:p>
    <w:p w14:paraId="2C3A5860" w14:textId="46FA199B" w:rsidR="00B023C9" w:rsidRPr="00DF5C23" w:rsidRDefault="004F5E59" w:rsidP="004F5E59">
      <w:pPr>
        <w:pStyle w:val="Point1"/>
        <w:rPr>
          <w:noProof/>
          <w:lang w:val="en-IE" w:eastAsia="fr-BE"/>
        </w:rPr>
      </w:pPr>
      <w:r w:rsidRPr="004F5E59">
        <w:t>(b)</w:t>
      </w:r>
      <w:r w:rsidRPr="004F5E59">
        <w:tab/>
      </w:r>
      <w:r w:rsidR="0681B866" w:rsidRPr="00DF5C23">
        <w:rPr>
          <w:noProof/>
          <w:lang w:val="en-IE" w:eastAsia="fr-BE"/>
        </w:rPr>
        <w:t>any circumstances affecting the scope of and conditions for notification;</w:t>
      </w:r>
    </w:p>
    <w:p w14:paraId="2C3A5861" w14:textId="6A0B1A3A" w:rsidR="00B023C9" w:rsidRPr="00DF5C23" w:rsidRDefault="004F5E59" w:rsidP="004F5E59">
      <w:pPr>
        <w:pStyle w:val="Point1"/>
        <w:rPr>
          <w:noProof/>
          <w:lang w:val="en-IE" w:eastAsia="fr-BE"/>
        </w:rPr>
      </w:pPr>
      <w:r w:rsidRPr="004F5E59">
        <w:t>(c)</w:t>
      </w:r>
      <w:r w:rsidRPr="004F5E59">
        <w:tab/>
      </w:r>
      <w:r w:rsidR="0681B866" w:rsidRPr="00DF5C23">
        <w:rPr>
          <w:noProof/>
          <w:lang w:val="en-IE" w:eastAsia="fr-BE"/>
        </w:rPr>
        <w:t>any request for information which they have received from market surveillance authorities regarding conformity assessment activities;</w:t>
      </w:r>
    </w:p>
    <w:p w14:paraId="2C3A5862" w14:textId="5B872108" w:rsidR="00B023C9" w:rsidRPr="00DF5C23" w:rsidRDefault="004F5E59" w:rsidP="004F5E59">
      <w:pPr>
        <w:pStyle w:val="Point1"/>
        <w:rPr>
          <w:noProof/>
          <w:lang w:val="en-IE" w:eastAsia="fr-BE"/>
        </w:rPr>
      </w:pPr>
      <w:r w:rsidRPr="004F5E59">
        <w:t>(d)</w:t>
      </w:r>
      <w:r w:rsidRPr="004F5E59">
        <w:tab/>
      </w:r>
      <w:r w:rsidR="0681B866" w:rsidRPr="00DF5C23">
        <w:rPr>
          <w:noProof/>
          <w:lang w:val="en-IE" w:eastAsia="fr-BE"/>
        </w:rPr>
        <w:t>on request, conformity assessment activities performed within the scope of their notification and any other activity performed, including cross-border activities and subcontracting.</w:t>
      </w:r>
    </w:p>
    <w:p w14:paraId="2C3A5863" w14:textId="6A731204"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Notified bodies shall provide the other bodies notified under this Regulation </w:t>
      </w:r>
      <w:r w:rsidR="00DA5755" w:rsidRPr="00DF5C23">
        <w:rPr>
          <w:noProof/>
          <w:lang w:eastAsia="fr-BE"/>
        </w:rPr>
        <w:t xml:space="preserve">which </w:t>
      </w:r>
      <w:r w:rsidR="0681B866" w:rsidRPr="00DF5C23">
        <w:rPr>
          <w:noProof/>
          <w:lang w:eastAsia="fr-BE"/>
        </w:rPr>
        <w:t>carry</w:t>
      </w:r>
      <w:r w:rsidR="0681B866" w:rsidRPr="00DF5C23">
        <w:rPr>
          <w:noProof/>
          <w:lang w:val="en-IE" w:eastAsia="fr-BE"/>
        </w:rPr>
        <w:t xml:space="preserve"> out similar conformity assessment activities </w:t>
      </w:r>
      <w:r w:rsidR="00DA5755" w:rsidRPr="00DF5C23">
        <w:rPr>
          <w:noProof/>
          <w:lang w:eastAsia="fr-BE"/>
        </w:rPr>
        <w:t xml:space="preserve">that </w:t>
      </w:r>
      <w:r w:rsidR="0681B866" w:rsidRPr="00DF5C23">
        <w:rPr>
          <w:noProof/>
          <w:lang w:eastAsia="fr-BE"/>
        </w:rPr>
        <w:t xml:space="preserve">cover </w:t>
      </w:r>
      <w:r w:rsidR="0681B866" w:rsidRPr="00DF5C23">
        <w:rPr>
          <w:noProof/>
          <w:lang w:val="en-IE" w:eastAsia="fr-BE"/>
        </w:rPr>
        <w:t>the same products with relevant information on issues relating to negative and, on request, positive conformity assessment results.</w:t>
      </w:r>
    </w:p>
    <w:p w14:paraId="2C3A5864" w14:textId="2FE11F1B"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 xml:space="preserve">Where the Commission or </w:t>
      </w:r>
      <w:r w:rsidR="00DA5755" w:rsidRPr="00DF5C23">
        <w:rPr>
          <w:noProof/>
          <w:lang w:eastAsia="fr-BE"/>
        </w:rPr>
        <w:t>a Member State’s</w:t>
      </w:r>
      <w:r w:rsidR="0681B866" w:rsidRPr="00DF5C23">
        <w:rPr>
          <w:noProof/>
          <w:lang w:eastAsia="fr-BE"/>
        </w:rPr>
        <w:t xml:space="preserve"> market surveillance authority </w:t>
      </w:r>
      <w:r w:rsidR="0681B866" w:rsidRPr="00DF5C23">
        <w:rPr>
          <w:noProof/>
          <w:lang w:val="en-IE" w:eastAsia="fr-BE"/>
        </w:rPr>
        <w:t>submits a request to a notified body established on the territory of another Member State relating to a conformity assessment carried out by that notified body, it shall send a copy of that request to the notifying authority of that other Member State. The notified body concerned shall respond without delay and within 15 days at the latest to the request. The notifying authority shall ensure that such requests are resolved by the notified body unless there is a legitimate reason for not doing so.</w:t>
      </w:r>
    </w:p>
    <w:p w14:paraId="2C3A5865" w14:textId="191759EA" w:rsidR="00646885"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 xml:space="preserve">Where notified bodies have or receive evidence that: </w:t>
      </w:r>
    </w:p>
    <w:p w14:paraId="2C3A5866" w14:textId="5C9346FE" w:rsidR="00646885" w:rsidRPr="00DF5C23" w:rsidRDefault="004F5E59" w:rsidP="004F5E59">
      <w:pPr>
        <w:pStyle w:val="Point1"/>
        <w:rPr>
          <w:noProof/>
          <w:color w:val="000000" w:themeColor="text1"/>
          <w:lang w:val="en-IE" w:eastAsia="en-GB"/>
        </w:rPr>
      </w:pPr>
      <w:r w:rsidRPr="004F5E59">
        <w:t>(a)</w:t>
      </w:r>
      <w:r w:rsidRPr="004F5E59">
        <w:tab/>
      </w:r>
      <w:r w:rsidR="00646885" w:rsidRPr="00DF5C23">
        <w:rPr>
          <w:noProof/>
          <w:lang w:val="en-IE" w:eastAsia="en-GB"/>
        </w:rPr>
        <w:t xml:space="preserve">another notified body does not comply with the requirements laid down in Article </w:t>
      </w:r>
      <w:r w:rsidR="00E97C3A" w:rsidRPr="00DF5C23">
        <w:rPr>
          <w:noProof/>
          <w:lang w:val="en-IE" w:eastAsia="en-GB"/>
        </w:rPr>
        <w:t xml:space="preserve">45 </w:t>
      </w:r>
      <w:r w:rsidR="00646885" w:rsidRPr="00DF5C23">
        <w:rPr>
          <w:noProof/>
          <w:lang w:val="en-IE" w:eastAsia="en-GB"/>
        </w:rPr>
        <w:t>or its obligations; or</w:t>
      </w:r>
    </w:p>
    <w:p w14:paraId="2C3A5867" w14:textId="77C85C8B" w:rsidR="00646885" w:rsidRPr="00DF5C23" w:rsidRDefault="004F5E59" w:rsidP="004F5E59">
      <w:pPr>
        <w:pStyle w:val="Point1"/>
        <w:rPr>
          <w:noProof/>
          <w:lang w:val="en-IE" w:eastAsia="en-GB"/>
        </w:rPr>
      </w:pPr>
      <w:r w:rsidRPr="004F5E59">
        <w:t>(b)</w:t>
      </w:r>
      <w:r w:rsidRPr="004F5E59">
        <w:tab/>
      </w:r>
      <w:r w:rsidR="0681B866" w:rsidRPr="00DF5C23">
        <w:rPr>
          <w:noProof/>
          <w:lang w:val="en-IE" w:eastAsia="en-GB"/>
        </w:rPr>
        <w:t xml:space="preserve">a product placed on the market does not comply with </w:t>
      </w:r>
      <w:r w:rsidR="00850318" w:rsidRPr="00DF5C23">
        <w:rPr>
          <w:noProof/>
          <w:lang w:val="en-IE" w:eastAsia="en-GB"/>
        </w:rPr>
        <w:t xml:space="preserve">ecodesign requirements set out in </w:t>
      </w:r>
      <w:r w:rsidR="0681B866" w:rsidRPr="00DF5C23">
        <w:rPr>
          <w:rFonts w:eastAsia="Times New Roman"/>
          <w:noProof/>
          <w:lang w:val="en-IE" w:eastAsia="fr-BE"/>
        </w:rPr>
        <w:t>d</w:t>
      </w:r>
      <w:r w:rsidR="0681B866" w:rsidRPr="00DF5C23">
        <w:rPr>
          <w:noProof/>
          <w:lang w:val="en-IE" w:eastAsia="fr-BE"/>
        </w:rPr>
        <w:t xml:space="preserve">elegated acts </w:t>
      </w:r>
      <w:r w:rsidR="00850318" w:rsidRPr="00DF5C23">
        <w:rPr>
          <w:noProof/>
          <w:lang w:val="en-IE" w:eastAsia="fr-BE"/>
        </w:rPr>
        <w:t xml:space="preserve">adopted pursuant to Article 4 by </w:t>
      </w:r>
      <w:r w:rsidR="00185F84" w:rsidRPr="00DF5C23">
        <w:rPr>
          <w:noProof/>
          <w:lang w:val="en-IE" w:eastAsia="fr-BE"/>
        </w:rPr>
        <w:t>which that product</w:t>
      </w:r>
      <w:r w:rsidR="00850318" w:rsidRPr="00DF5C23">
        <w:rPr>
          <w:noProof/>
          <w:lang w:val="en-IE" w:eastAsia="fr-BE"/>
        </w:rPr>
        <w:t xml:space="preserve"> is covered</w:t>
      </w:r>
      <w:r w:rsidR="0681B866" w:rsidRPr="00DF5C23">
        <w:rPr>
          <w:noProof/>
          <w:lang w:val="en-IE" w:eastAsia="en-GB"/>
        </w:rPr>
        <w:t>; or</w:t>
      </w:r>
    </w:p>
    <w:p w14:paraId="2C3A5868" w14:textId="6BAA1A85" w:rsidR="00646885" w:rsidRPr="00DF5C23" w:rsidRDefault="004F5E59" w:rsidP="004F5E59">
      <w:pPr>
        <w:pStyle w:val="Point1"/>
        <w:rPr>
          <w:noProof/>
          <w:lang w:val="en-IE" w:eastAsia="en-GB"/>
        </w:rPr>
      </w:pPr>
      <w:r w:rsidRPr="004F5E59">
        <w:t>(c)</w:t>
      </w:r>
      <w:r w:rsidRPr="004F5E59">
        <w:tab/>
      </w:r>
      <w:r w:rsidR="0681B866" w:rsidRPr="00DF5C23">
        <w:rPr>
          <w:noProof/>
          <w:lang w:val="en-IE" w:eastAsia="en-GB"/>
        </w:rPr>
        <w:t>a product placed on the market, due to its physical condition, is likely to cause a serious risk;</w:t>
      </w:r>
    </w:p>
    <w:p w14:paraId="2C3A5869" w14:textId="77777777" w:rsidR="00646885" w:rsidRPr="00DF5C23" w:rsidRDefault="0681B866" w:rsidP="0681B866">
      <w:pPr>
        <w:pStyle w:val="Text1"/>
        <w:rPr>
          <w:noProof/>
          <w:color w:val="00000A"/>
          <w:lang w:val="en-IE" w:eastAsia="en-GB"/>
        </w:rPr>
      </w:pPr>
      <w:r w:rsidRPr="00DF5C23">
        <w:rPr>
          <w:noProof/>
          <w:lang w:val="en-IE" w:eastAsia="en-GB"/>
        </w:rPr>
        <w:t xml:space="preserve">they shall alert and share such evidence with the relevant market surveillance or notifying authority, as appropriate. </w:t>
      </w:r>
    </w:p>
    <w:p w14:paraId="2C3A586A"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55</w:t>
      </w:r>
      <w:r w:rsidR="007A4166" w:rsidRPr="00DF5C23">
        <w:rPr>
          <w:noProof/>
        </w:rPr>
        <w:br/>
      </w:r>
      <w:r w:rsidRPr="00DF5C23">
        <w:rPr>
          <w:noProof/>
          <w:lang w:val="en-IE" w:eastAsia="fr-BE"/>
        </w:rPr>
        <w:t>Exchange of experience</w:t>
      </w:r>
    </w:p>
    <w:p w14:paraId="2C3A586B" w14:textId="77777777" w:rsidR="00646885" w:rsidRPr="00DF5C23" w:rsidRDefault="23DF1179" w:rsidP="23DF1179">
      <w:pPr>
        <w:shd w:val="clear" w:color="auto" w:fill="FFFFFF" w:themeFill="background1"/>
        <w:spacing w:after="0" w:line="312" w:lineRule="atLeast"/>
        <w:rPr>
          <w:rFonts w:eastAsia="Times New Roman"/>
          <w:noProof/>
          <w:lang w:val="en-IE" w:eastAsia="fr-BE"/>
        </w:rPr>
      </w:pPr>
      <w:r w:rsidRPr="23DF1179">
        <w:rPr>
          <w:rFonts w:eastAsia="Times New Roman"/>
          <w:noProof/>
          <w:lang w:val="en-IE" w:eastAsia="fr-BE"/>
        </w:rPr>
        <w:t>The Commission shall provide for the organisation of exchange of experience between the Member States' authorities responsible for notification policy.</w:t>
      </w:r>
    </w:p>
    <w:p w14:paraId="2C3A586C"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56</w:t>
      </w:r>
      <w:r w:rsidR="007A4166" w:rsidRPr="00DF5C23">
        <w:rPr>
          <w:noProof/>
        </w:rPr>
        <w:br/>
      </w:r>
      <w:r w:rsidRPr="00DF5C23">
        <w:rPr>
          <w:noProof/>
          <w:lang w:val="en-IE" w:eastAsia="fr-BE"/>
        </w:rPr>
        <w:t>Coordination of notified bodies</w:t>
      </w:r>
    </w:p>
    <w:p w14:paraId="2C3A586D" w14:textId="2F51AEC2"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 xml:space="preserve">The Commission shall ensure that appropriate coordination and cooperation between bodies notified under this Regulation are put in place and properly operated in the form of a group or groups of notified bodies, where appropriate including groups of bodies notified under the same </w:t>
      </w:r>
      <w:r w:rsidR="0681B866" w:rsidRPr="00DF5C23">
        <w:rPr>
          <w:noProof/>
          <w:lang w:val="en-IE" w:eastAsia="en-GB"/>
        </w:rPr>
        <w:t xml:space="preserve">delegated act </w:t>
      </w:r>
      <w:r w:rsidR="00850318" w:rsidRPr="00DF5C23">
        <w:rPr>
          <w:noProof/>
          <w:lang w:val="en-IE" w:eastAsia="en-GB"/>
        </w:rPr>
        <w:t>adopted pursuant to Article 4</w:t>
      </w:r>
      <w:r w:rsidR="0681B866" w:rsidRPr="00DF5C23">
        <w:rPr>
          <w:noProof/>
          <w:lang w:val="en-IE" w:eastAsia="en-GB"/>
        </w:rPr>
        <w:t xml:space="preserve"> </w:t>
      </w:r>
      <w:r w:rsidR="0681B866" w:rsidRPr="00DF5C23">
        <w:rPr>
          <w:noProof/>
          <w:lang w:val="en-IE" w:eastAsia="fr-BE"/>
        </w:rPr>
        <w:t>or in relation to similar conformity assessment tasks.</w:t>
      </w:r>
    </w:p>
    <w:p w14:paraId="2C3A586E" w14:textId="77777777" w:rsidR="00646885" w:rsidRPr="00DF5C23" w:rsidRDefault="0681B866" w:rsidP="0681B866">
      <w:pPr>
        <w:pStyle w:val="Text1"/>
        <w:rPr>
          <w:noProof/>
          <w:lang w:val="en-IE" w:eastAsia="fr-BE"/>
        </w:rPr>
      </w:pPr>
      <w:r w:rsidRPr="00DF5C23">
        <w:rPr>
          <w:noProof/>
          <w:lang w:val="en-IE" w:eastAsia="fr-BE"/>
        </w:rPr>
        <w:t xml:space="preserve">Notified bodies shall participate in the work of any relevant group, directly or by means of designated representatives. </w:t>
      </w:r>
    </w:p>
    <w:p w14:paraId="2C3A586F" w14:textId="550B5892" w:rsidR="00646885"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 xml:space="preserve">Notified bodies shall apply as general guidance any relevant documents produced as a result of the work of the groups referred to in paragraph 1. </w:t>
      </w:r>
    </w:p>
    <w:p w14:paraId="2C3A5870" w14:textId="222A8A60" w:rsidR="00646885"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 xml:space="preserve">Coordination and cooperation in the groups referred to in paragraph 1 shall aim at ensuring the harmonised application of this Regulation and of the delegated acts </w:t>
      </w:r>
      <w:r w:rsidR="00850318" w:rsidRPr="00DF5C23">
        <w:rPr>
          <w:noProof/>
          <w:lang w:val="en-IE" w:eastAsia="fr-BE"/>
        </w:rPr>
        <w:t>adopted pursuant to Article 4</w:t>
      </w:r>
      <w:r w:rsidR="0681B866" w:rsidRPr="00DF5C23">
        <w:rPr>
          <w:noProof/>
          <w:lang w:val="en-IE" w:eastAsia="fr-BE"/>
        </w:rPr>
        <w:t xml:space="preserve">. In doing so, the groups shall follow as general guidance any relevant documents produced by the administrative cooperation group set up pursuant to Article 30(2) of Regulation (EU) 2019/1020.  </w:t>
      </w:r>
    </w:p>
    <w:p w14:paraId="2C3A5871" w14:textId="77777777" w:rsidR="00646885" w:rsidRPr="00DF5C23" w:rsidRDefault="0681B866" w:rsidP="00F77587">
      <w:pPr>
        <w:pStyle w:val="ManualHeading1"/>
        <w:jc w:val="center"/>
        <w:rPr>
          <w:noProof/>
        </w:rPr>
      </w:pPr>
      <w:r w:rsidRPr="00DF5C23">
        <w:rPr>
          <w:noProof/>
          <w:lang w:val="en-IE"/>
        </w:rPr>
        <w:t xml:space="preserve">Chapter </w:t>
      </w:r>
      <w:r w:rsidR="00A625AD" w:rsidRPr="00DF5C23">
        <w:rPr>
          <w:noProof/>
          <w:lang w:val="en-IE"/>
        </w:rPr>
        <w:t>X</w:t>
      </w:r>
      <w:r w:rsidR="00F77587" w:rsidRPr="00DF5C23">
        <w:rPr>
          <w:noProof/>
          <w:lang w:val="en-IE"/>
        </w:rPr>
        <w:t xml:space="preserve"> - </w:t>
      </w:r>
      <w:r w:rsidRPr="00DF5C23">
        <w:rPr>
          <w:noProof/>
        </w:rPr>
        <w:t>Incentives</w:t>
      </w:r>
    </w:p>
    <w:p w14:paraId="2C3A5872" w14:textId="77777777" w:rsidR="00646885" w:rsidRPr="00DF5C23" w:rsidRDefault="00646885" w:rsidP="0681B866">
      <w:pPr>
        <w:pStyle w:val="Titrearticle"/>
        <w:rPr>
          <w:noProof/>
          <w:color w:val="000000" w:themeColor="text1"/>
          <w:lang w:eastAsia="fr-BE"/>
        </w:rPr>
      </w:pPr>
      <w:r w:rsidRPr="00DF5C23">
        <w:rPr>
          <w:noProof/>
          <w:lang w:eastAsia="fr-BE"/>
        </w:rPr>
        <w:t xml:space="preserve">Article </w:t>
      </w:r>
      <w:r w:rsidR="00565D97" w:rsidRPr="00DF5C23">
        <w:rPr>
          <w:noProof/>
          <w:lang w:eastAsia="fr-BE"/>
        </w:rPr>
        <w:t>57</w:t>
      </w:r>
      <w:r w:rsidR="007050F6" w:rsidRPr="00DF5C23">
        <w:rPr>
          <w:noProof/>
        </w:rPr>
        <w:br/>
      </w:r>
      <w:r w:rsidRPr="00DF5C23">
        <w:rPr>
          <w:noProof/>
          <w:lang w:eastAsia="fr-BE"/>
        </w:rPr>
        <w:t>Member State incentives</w:t>
      </w:r>
    </w:p>
    <w:p w14:paraId="2C3A5873" w14:textId="39A5A152" w:rsidR="00646885" w:rsidRPr="00DF5C23" w:rsidRDefault="004F5E59" w:rsidP="004F5E59">
      <w:pPr>
        <w:pStyle w:val="ManualNumPar1"/>
        <w:rPr>
          <w:noProof/>
          <w:lang w:val="en-IE" w:eastAsia="fr-BE"/>
        </w:rPr>
      </w:pPr>
      <w:r w:rsidRPr="004F5E59">
        <w:t>1.</w:t>
      </w:r>
      <w:r w:rsidRPr="004F5E59">
        <w:tab/>
      </w:r>
      <w:r w:rsidR="00646885" w:rsidRPr="00DF5C23">
        <w:rPr>
          <w:noProof/>
          <w:lang w:val="en-IE" w:eastAsia="fr-BE"/>
        </w:rPr>
        <w:t xml:space="preserve">Member States incentives </w:t>
      </w:r>
      <w:r w:rsidR="00702B3C" w:rsidRPr="00DF5C23">
        <w:rPr>
          <w:noProof/>
          <w:lang w:val="en-IE" w:eastAsia="fr-BE"/>
        </w:rPr>
        <w:t>relating to</w:t>
      </w:r>
      <w:r w:rsidR="00646885" w:rsidRPr="00DF5C23">
        <w:rPr>
          <w:noProof/>
          <w:lang w:val="en-IE" w:eastAsia="fr-BE"/>
        </w:rPr>
        <w:t xml:space="preserve"> product</w:t>
      </w:r>
      <w:r w:rsidR="00702B3C" w:rsidRPr="00DF5C23">
        <w:rPr>
          <w:noProof/>
          <w:lang w:val="en-IE" w:eastAsia="fr-BE"/>
        </w:rPr>
        <w:t>s</w:t>
      </w:r>
      <w:r w:rsidR="00646885" w:rsidRPr="00DF5C23">
        <w:rPr>
          <w:noProof/>
          <w:lang w:val="en-IE" w:eastAsia="fr-BE"/>
        </w:rPr>
        <w:t xml:space="preserve"> covered by a </w:t>
      </w:r>
      <w:r w:rsidR="00AD4AED" w:rsidRPr="00DF5C23">
        <w:rPr>
          <w:noProof/>
          <w:lang w:val="en-IE" w:eastAsia="fr-BE"/>
        </w:rPr>
        <w:t xml:space="preserve">delegated act </w:t>
      </w:r>
      <w:r w:rsidR="00F63158" w:rsidRPr="00DF5C23">
        <w:rPr>
          <w:noProof/>
          <w:lang w:val="en-IE"/>
        </w:rPr>
        <w:t>adopted pursuant to Article 4</w:t>
      </w:r>
      <w:r w:rsidR="00F63158" w:rsidRPr="00DF5C23" w:rsidDel="00702B3C">
        <w:rPr>
          <w:noProof/>
          <w:lang w:val="en-IE"/>
        </w:rPr>
        <w:t xml:space="preserve"> </w:t>
      </w:r>
      <w:r w:rsidR="00646885" w:rsidRPr="00DF5C23">
        <w:rPr>
          <w:noProof/>
          <w:lang w:val="en-IE" w:eastAsia="fr-BE"/>
        </w:rPr>
        <w:t>that de</w:t>
      </w:r>
      <w:r w:rsidR="003201E9" w:rsidRPr="00DF5C23">
        <w:rPr>
          <w:noProof/>
          <w:lang w:val="en-IE" w:eastAsia="fr-BE"/>
        </w:rPr>
        <w:t>termines</w:t>
      </w:r>
      <w:r w:rsidR="00646885" w:rsidRPr="00DF5C23">
        <w:rPr>
          <w:noProof/>
          <w:lang w:val="en-IE" w:eastAsia="fr-BE"/>
        </w:rPr>
        <w:t xml:space="preserve"> classes of performance</w:t>
      </w:r>
      <w:r w:rsidR="00702B3C" w:rsidRPr="00DF5C23">
        <w:rPr>
          <w:noProof/>
          <w:lang w:val="en-IE" w:eastAsia="fr-BE"/>
        </w:rPr>
        <w:t xml:space="preserve"> in accordance with</w:t>
      </w:r>
      <w:r w:rsidR="00D06AA5" w:rsidRPr="00DF5C23">
        <w:rPr>
          <w:noProof/>
          <w:lang w:val="en-IE" w:eastAsia="fr-BE"/>
        </w:rPr>
        <w:t xml:space="preserve"> Article 7(</w:t>
      </w:r>
      <w:r w:rsidR="00DF3084" w:rsidRPr="00DF5C23">
        <w:rPr>
          <w:noProof/>
          <w:lang w:val="en-IE" w:eastAsia="fr-BE"/>
        </w:rPr>
        <w:t>4</w:t>
      </w:r>
      <w:r w:rsidR="00D06AA5" w:rsidRPr="00DF5C23">
        <w:rPr>
          <w:noProof/>
          <w:lang w:val="en-IE" w:eastAsia="fr-BE"/>
        </w:rPr>
        <w:t>),</w:t>
      </w:r>
      <w:r w:rsidR="00646885" w:rsidRPr="00DF5C23">
        <w:rPr>
          <w:noProof/>
          <w:lang w:val="en-IE" w:eastAsia="fr-BE"/>
        </w:rPr>
        <w:t xml:space="preserve"> in relation to </w:t>
      </w:r>
      <w:r w:rsidR="00BE340F" w:rsidRPr="00DF5C23">
        <w:rPr>
          <w:noProof/>
          <w:lang w:val="en-IE" w:eastAsia="fr-BE"/>
        </w:rPr>
        <w:t>a</w:t>
      </w:r>
      <w:r w:rsidR="001B1FF9" w:rsidRPr="00DF5C23">
        <w:rPr>
          <w:noProof/>
          <w:lang w:val="en-IE" w:eastAsia="fr-BE"/>
        </w:rPr>
        <w:t xml:space="preserve"> </w:t>
      </w:r>
      <w:r w:rsidR="00214C38" w:rsidRPr="00DF5C23">
        <w:rPr>
          <w:noProof/>
        </w:rPr>
        <w:t>product</w:t>
      </w:r>
      <w:r w:rsidR="001B1FF9" w:rsidRPr="00DF5C23">
        <w:rPr>
          <w:noProof/>
        </w:rPr>
        <w:t xml:space="preserve"> </w:t>
      </w:r>
      <w:r w:rsidR="00646885" w:rsidRPr="00DF5C23">
        <w:rPr>
          <w:noProof/>
          <w:lang w:val="en-IE" w:eastAsia="fr-BE"/>
        </w:rPr>
        <w:t>parameter</w:t>
      </w:r>
      <w:r w:rsidR="00171675" w:rsidRPr="00DF5C23">
        <w:rPr>
          <w:noProof/>
          <w:lang w:val="en-IE" w:eastAsia="fr-BE"/>
        </w:rPr>
        <w:t xml:space="preserve"> </w:t>
      </w:r>
      <w:r w:rsidR="009A2B0A" w:rsidRPr="00DF5C23">
        <w:rPr>
          <w:noProof/>
          <w:lang w:val="en-IE" w:eastAsia="fr-BE"/>
        </w:rPr>
        <w:t xml:space="preserve">referred to </w:t>
      </w:r>
      <w:r w:rsidR="00171675" w:rsidRPr="00DF5C23">
        <w:rPr>
          <w:noProof/>
          <w:lang w:val="en-IE" w:eastAsia="fr-BE"/>
        </w:rPr>
        <w:t xml:space="preserve">in Annex </w:t>
      </w:r>
      <w:r w:rsidR="00AD4AED" w:rsidRPr="00DF5C23">
        <w:rPr>
          <w:noProof/>
          <w:lang w:val="en-IE" w:eastAsia="fr-BE"/>
        </w:rPr>
        <w:t>I</w:t>
      </w:r>
      <w:r w:rsidR="00646885" w:rsidRPr="00DF5C23">
        <w:rPr>
          <w:noProof/>
          <w:lang w:val="en-IE" w:eastAsia="fr-BE"/>
        </w:rPr>
        <w:t xml:space="preserve">, </w:t>
      </w:r>
      <w:r w:rsidR="00702B3C" w:rsidRPr="00DF5C23">
        <w:rPr>
          <w:noProof/>
          <w:lang w:val="en-IE" w:eastAsia="fr-BE"/>
        </w:rPr>
        <w:t xml:space="preserve">shall concern </w:t>
      </w:r>
      <w:r w:rsidR="00646885" w:rsidRPr="00DF5C23">
        <w:rPr>
          <w:noProof/>
          <w:lang w:val="en-IE" w:eastAsia="fr-BE"/>
        </w:rPr>
        <w:t xml:space="preserve"> the highest </w:t>
      </w:r>
      <w:r w:rsidR="00646885" w:rsidRPr="00DF5C23" w:rsidDel="007A77C9">
        <w:rPr>
          <w:noProof/>
          <w:lang w:val="en-IE" w:eastAsia="fr-BE"/>
        </w:rPr>
        <w:t>two</w:t>
      </w:r>
      <w:r w:rsidR="00646885" w:rsidRPr="00DF5C23">
        <w:rPr>
          <w:noProof/>
          <w:lang w:val="en-IE" w:eastAsia="fr-BE"/>
        </w:rPr>
        <w:t xml:space="preserve"> classes of performance</w:t>
      </w:r>
      <w:r w:rsidR="00743C21" w:rsidRPr="00DF5C23">
        <w:rPr>
          <w:noProof/>
          <w:lang w:val="en-IE" w:eastAsia="fr-BE"/>
        </w:rPr>
        <w:t xml:space="preserve"> that are populated</w:t>
      </w:r>
      <w:r w:rsidR="004403A0" w:rsidRPr="00DF5C23">
        <w:rPr>
          <w:noProof/>
          <w:lang w:val="en-IE" w:eastAsia="fr-BE"/>
        </w:rPr>
        <w:t xml:space="preserve"> at </w:t>
      </w:r>
      <w:r w:rsidR="00702B3C" w:rsidRPr="00DF5C23">
        <w:rPr>
          <w:noProof/>
          <w:lang w:val="en-IE" w:eastAsia="fr-BE"/>
        </w:rPr>
        <w:t xml:space="preserve">Union </w:t>
      </w:r>
      <w:r w:rsidR="004403A0" w:rsidRPr="00DF5C23">
        <w:rPr>
          <w:noProof/>
          <w:lang w:val="en-IE" w:eastAsia="fr-BE"/>
        </w:rPr>
        <w:t>level</w:t>
      </w:r>
      <w:r w:rsidR="008F5B16" w:rsidRPr="00DF5C23">
        <w:rPr>
          <w:noProof/>
          <w:lang w:val="en-IE" w:eastAsia="fr-BE"/>
        </w:rPr>
        <w:t xml:space="preserve"> or, where relevant, products with an EU Ecolabel,</w:t>
      </w:r>
      <w:r w:rsidR="00E30199" w:rsidRPr="00DF5C23">
        <w:rPr>
          <w:noProof/>
          <w:lang w:val="en-IE" w:eastAsia="fr-BE"/>
        </w:rPr>
        <w:t xml:space="preserve"> unless otherwise specified in that delegated act.</w:t>
      </w:r>
    </w:p>
    <w:p w14:paraId="2C3A5874" w14:textId="0DBA2838" w:rsidR="00EC6339" w:rsidRPr="00DF5C23" w:rsidRDefault="004F5E59" w:rsidP="004F5E59">
      <w:pPr>
        <w:pStyle w:val="ManualNumPar1"/>
        <w:rPr>
          <w:noProof/>
          <w:lang w:val="en-IE" w:eastAsia="fr-BE"/>
        </w:rPr>
      </w:pPr>
      <w:r w:rsidRPr="004F5E59">
        <w:t>2.</w:t>
      </w:r>
      <w:r w:rsidRPr="004F5E59">
        <w:tab/>
      </w:r>
      <w:r w:rsidR="00EC6339" w:rsidRPr="00DF5C23" w:rsidDel="00702B3C">
        <w:rPr>
          <w:noProof/>
          <w:lang w:val="en-IE" w:eastAsia="fr-BE"/>
        </w:rPr>
        <w:t xml:space="preserve">Where a delegated act </w:t>
      </w:r>
      <w:r w:rsidR="00EC6339" w:rsidRPr="00DF5C23">
        <w:rPr>
          <w:noProof/>
          <w:lang w:val="en-IE" w:eastAsia="fr-BE"/>
        </w:rPr>
        <w:t>adopted pursuant to Article 4</w:t>
      </w:r>
      <w:r w:rsidR="00EC6339" w:rsidRPr="00DF5C23" w:rsidDel="00702B3C">
        <w:rPr>
          <w:noProof/>
          <w:lang w:val="en-IE" w:eastAsia="fr-BE"/>
        </w:rPr>
        <w:t xml:space="preserve"> de</w:t>
      </w:r>
      <w:r w:rsidR="00EC6339" w:rsidRPr="00DF5C23">
        <w:rPr>
          <w:noProof/>
          <w:lang w:val="en-IE" w:eastAsia="fr-BE"/>
        </w:rPr>
        <w:t xml:space="preserve">termines </w:t>
      </w:r>
      <w:r w:rsidR="00EC6339" w:rsidRPr="00DF5C23" w:rsidDel="00702B3C">
        <w:rPr>
          <w:noProof/>
          <w:lang w:val="en-IE" w:eastAsia="fr-BE"/>
        </w:rPr>
        <w:t xml:space="preserve">classes of performance pursuant to Article 7(4), in relation to more than one </w:t>
      </w:r>
      <w:r w:rsidR="00EC6339" w:rsidRPr="00DF5C23">
        <w:rPr>
          <w:noProof/>
          <w:lang w:val="en-IE" w:eastAsia="fr-BE"/>
        </w:rPr>
        <w:t xml:space="preserve">product </w:t>
      </w:r>
      <w:r w:rsidR="00EC6339" w:rsidRPr="00DF5C23" w:rsidDel="00702B3C">
        <w:rPr>
          <w:noProof/>
          <w:lang w:val="en-IE" w:eastAsia="fr-BE"/>
        </w:rPr>
        <w:t xml:space="preserve">parameter </w:t>
      </w:r>
      <w:r w:rsidR="009A2B0A" w:rsidRPr="00DF5C23">
        <w:rPr>
          <w:noProof/>
          <w:lang w:val="en-IE" w:eastAsia="fr-BE"/>
        </w:rPr>
        <w:t>referred to</w:t>
      </w:r>
      <w:r w:rsidR="009A2B0A" w:rsidRPr="00DF5C23" w:rsidDel="00702B3C">
        <w:rPr>
          <w:noProof/>
          <w:lang w:val="en-IE" w:eastAsia="fr-BE"/>
        </w:rPr>
        <w:t xml:space="preserve"> </w:t>
      </w:r>
      <w:r w:rsidR="00EC6339" w:rsidRPr="00DF5C23" w:rsidDel="00702B3C">
        <w:rPr>
          <w:noProof/>
          <w:lang w:val="en-IE" w:eastAsia="fr-BE"/>
        </w:rPr>
        <w:t>in Annex I</w:t>
      </w:r>
      <w:r w:rsidR="00FE421D" w:rsidRPr="00DF5C23">
        <w:rPr>
          <w:noProof/>
          <w:lang w:val="en-IE" w:eastAsia="fr-BE"/>
        </w:rPr>
        <w:t xml:space="preserve"> or</w:t>
      </w:r>
      <w:r w:rsidR="00EC6339" w:rsidRPr="00DF5C23" w:rsidDel="00702B3C">
        <w:rPr>
          <w:noProof/>
          <w:lang w:val="en-IE" w:eastAsia="fr-BE"/>
        </w:rPr>
        <w:t xml:space="preserve"> </w:t>
      </w:r>
      <w:r w:rsidR="00EC6339" w:rsidRPr="00DF5C23">
        <w:rPr>
          <w:noProof/>
          <w:lang w:val="en-IE" w:eastAsia="fr-BE"/>
        </w:rPr>
        <w:t>where classes of performance are established both under Regulation (EU) 2017/1369 and under this Regulation , the Commission may further specify in the delegated acts adopted pursuant to Article 4, third subparagraph, point (g), which product parameters the Member States incentives shall concern.</w:t>
      </w:r>
    </w:p>
    <w:p w14:paraId="2C3A5875" w14:textId="77777777" w:rsidR="00EC6339" w:rsidRPr="00DF5C23" w:rsidRDefault="00EC6339" w:rsidP="00EC6339">
      <w:pPr>
        <w:pStyle w:val="Text1"/>
        <w:rPr>
          <w:noProof/>
          <w:lang w:val="en-IE" w:eastAsia="fr-BE"/>
        </w:rPr>
      </w:pPr>
      <w:r w:rsidRPr="00DF5C23">
        <w:rPr>
          <w:noProof/>
          <w:lang w:val="en-IE" w:eastAsia="fr-BE"/>
        </w:rPr>
        <w:t xml:space="preserve">When doing so, the Commission shall take into account the following criteria: </w:t>
      </w:r>
    </w:p>
    <w:p w14:paraId="2C3A5876" w14:textId="73DD595D" w:rsidR="00437A0E" w:rsidRPr="00DF5C23" w:rsidRDefault="004F5E59" w:rsidP="004F5E59">
      <w:pPr>
        <w:pStyle w:val="Point1"/>
        <w:rPr>
          <w:noProof/>
          <w:lang w:eastAsia="fr-BE"/>
        </w:rPr>
      </w:pPr>
      <w:r w:rsidRPr="004F5E59">
        <w:t>(a)</w:t>
      </w:r>
      <w:r w:rsidRPr="004F5E59">
        <w:tab/>
      </w:r>
      <w:r w:rsidR="00437A0E" w:rsidRPr="00DF5C23">
        <w:rPr>
          <w:noProof/>
          <w:lang w:eastAsia="fr-BE"/>
        </w:rPr>
        <w:t xml:space="preserve">the number of products in each class of performance; </w:t>
      </w:r>
    </w:p>
    <w:p w14:paraId="2C3A5877" w14:textId="6F10D58C" w:rsidR="00EC6339" w:rsidRPr="00DF5C23" w:rsidRDefault="004F5E59" w:rsidP="004F5E59">
      <w:pPr>
        <w:pStyle w:val="Point1"/>
        <w:rPr>
          <w:noProof/>
          <w:lang w:eastAsia="fr-BE"/>
        </w:rPr>
      </w:pPr>
      <w:r w:rsidRPr="004F5E59">
        <w:t>(b)</w:t>
      </w:r>
      <w:r w:rsidRPr="004F5E59">
        <w:tab/>
      </w:r>
      <w:r w:rsidR="00EC6339" w:rsidRPr="00DF5C23">
        <w:rPr>
          <w:noProof/>
          <w:lang w:eastAsia="fr-BE"/>
        </w:rPr>
        <w:t xml:space="preserve">the </w:t>
      </w:r>
      <w:r w:rsidR="00437A0E" w:rsidRPr="00DF5C23">
        <w:rPr>
          <w:noProof/>
          <w:lang w:eastAsia="fr-BE"/>
        </w:rPr>
        <w:t xml:space="preserve">relative </w:t>
      </w:r>
      <w:r w:rsidR="00EC6339" w:rsidRPr="00DF5C23">
        <w:rPr>
          <w:noProof/>
          <w:lang w:eastAsia="fr-BE"/>
        </w:rPr>
        <w:t xml:space="preserve">affordability of the </w:t>
      </w:r>
      <w:r w:rsidR="00437A0E" w:rsidRPr="00DF5C23">
        <w:rPr>
          <w:noProof/>
          <w:lang w:eastAsia="fr-BE"/>
        </w:rPr>
        <w:t>products in each class of performance;</w:t>
      </w:r>
    </w:p>
    <w:p w14:paraId="2C3A5878" w14:textId="1C07B754" w:rsidR="00EC6339" w:rsidRPr="00DF5C23" w:rsidRDefault="004F5E59" w:rsidP="004F5E59">
      <w:pPr>
        <w:pStyle w:val="Point1"/>
        <w:rPr>
          <w:noProof/>
          <w:lang w:eastAsia="fr-BE"/>
        </w:rPr>
      </w:pPr>
      <w:r w:rsidRPr="004F5E59">
        <w:t>(c)</w:t>
      </w:r>
      <w:r w:rsidRPr="004F5E59">
        <w:tab/>
      </w:r>
      <w:r w:rsidR="00437A0E" w:rsidRPr="00DF5C23">
        <w:rPr>
          <w:noProof/>
          <w:lang w:eastAsia="fr-BE"/>
        </w:rPr>
        <w:tab/>
        <w:t>the need to ensure sufficient demand for more environmentally sustainable products.</w:t>
      </w:r>
    </w:p>
    <w:p w14:paraId="2C3A5879" w14:textId="335697BB" w:rsidR="00D45DAC" w:rsidRPr="00DF5C23" w:rsidRDefault="004F5E59" w:rsidP="004F5E59">
      <w:pPr>
        <w:pStyle w:val="ManualNumPar1"/>
        <w:rPr>
          <w:noProof/>
          <w:lang w:val="en-IE" w:eastAsia="fr-BE"/>
        </w:rPr>
      </w:pPr>
      <w:r w:rsidRPr="004F5E59">
        <w:t>3.</w:t>
      </w:r>
      <w:r w:rsidRPr="004F5E59">
        <w:tab/>
      </w:r>
      <w:r w:rsidR="00D45DAC" w:rsidRPr="00DF5C23" w:rsidDel="00702B3C">
        <w:rPr>
          <w:noProof/>
          <w:lang w:val="en-IE" w:eastAsia="fr-BE"/>
        </w:rPr>
        <w:t xml:space="preserve">Where a delegated act </w:t>
      </w:r>
      <w:r w:rsidR="00D45DAC" w:rsidRPr="00DF5C23">
        <w:rPr>
          <w:noProof/>
          <w:lang w:val="en-IE" w:eastAsia="fr-BE"/>
        </w:rPr>
        <w:t xml:space="preserve">adopted pursuant to Article 4 does not determine classes of performance, the Commission may specify in the delegated acts adopted pursuant to Article 4, third subparagraph, point (g), </w:t>
      </w:r>
      <w:r w:rsidR="00942C65" w:rsidRPr="00DF5C23">
        <w:rPr>
          <w:noProof/>
          <w:lang w:val="en-IE" w:eastAsia="fr-BE"/>
        </w:rPr>
        <w:t>requirements related to product parameters that products concerned by Member State incentives shall meet</w:t>
      </w:r>
      <w:r w:rsidR="00D45DAC" w:rsidRPr="00DF5C23">
        <w:rPr>
          <w:noProof/>
          <w:lang w:val="en-IE" w:eastAsia="fr-BE"/>
        </w:rPr>
        <w:t>.</w:t>
      </w:r>
      <w:r w:rsidR="00942C65" w:rsidRPr="00DF5C23">
        <w:rPr>
          <w:noProof/>
          <w:lang w:val="en-IE" w:eastAsia="fr-BE"/>
        </w:rPr>
        <w:t xml:space="preserve"> </w:t>
      </w:r>
    </w:p>
    <w:p w14:paraId="2C3A587A" w14:textId="77777777" w:rsidR="00D45DAC" w:rsidRPr="00DF5C23" w:rsidRDefault="00D45DAC" w:rsidP="00D45DAC">
      <w:pPr>
        <w:pStyle w:val="Text1"/>
        <w:rPr>
          <w:noProof/>
          <w:lang w:val="en-IE" w:eastAsia="fr-BE"/>
        </w:rPr>
      </w:pPr>
      <w:r w:rsidRPr="00DF5C23">
        <w:rPr>
          <w:noProof/>
          <w:lang w:val="en-IE" w:eastAsia="fr-BE"/>
        </w:rPr>
        <w:t xml:space="preserve">When doing so, the Commission shall take into account the following criteria: </w:t>
      </w:r>
    </w:p>
    <w:p w14:paraId="2C3A587B" w14:textId="6036DA03" w:rsidR="00D45DAC" w:rsidRPr="00DF5C23" w:rsidRDefault="004F5E59" w:rsidP="004F5E59">
      <w:pPr>
        <w:pStyle w:val="Point1"/>
        <w:rPr>
          <w:noProof/>
          <w:lang w:eastAsia="fr-BE"/>
        </w:rPr>
      </w:pPr>
      <w:r w:rsidRPr="004F5E59">
        <w:t>(a)</w:t>
      </w:r>
      <w:r w:rsidRPr="004F5E59">
        <w:tab/>
      </w:r>
      <w:r w:rsidR="00D45DAC" w:rsidRPr="00DF5C23">
        <w:rPr>
          <w:noProof/>
          <w:lang w:eastAsia="fr-BE"/>
        </w:rPr>
        <w:t>the relative affordability of the products meeting those requirements;</w:t>
      </w:r>
    </w:p>
    <w:p w14:paraId="2C3A587C" w14:textId="4E1A40DA" w:rsidR="00283506" w:rsidRPr="00DF5C23" w:rsidRDefault="004F5E59" w:rsidP="004F5E59">
      <w:pPr>
        <w:pStyle w:val="Point1"/>
        <w:rPr>
          <w:noProof/>
          <w:lang w:eastAsia="fr-BE"/>
        </w:rPr>
      </w:pPr>
      <w:r w:rsidRPr="004F5E59">
        <w:t>(b)</w:t>
      </w:r>
      <w:r w:rsidRPr="004F5E59">
        <w:tab/>
      </w:r>
      <w:r w:rsidR="00D45DAC" w:rsidRPr="00DF5C23">
        <w:rPr>
          <w:noProof/>
          <w:lang w:eastAsia="fr-BE"/>
        </w:rPr>
        <w:tab/>
        <w:t>the need to ensure sufficient demand for more environmentally sustainable products.</w:t>
      </w:r>
    </w:p>
    <w:p w14:paraId="2C3A587D" w14:textId="77777777" w:rsidR="00646885" w:rsidRPr="00DF5C23" w:rsidRDefault="00646885" w:rsidP="0681B866">
      <w:pPr>
        <w:pStyle w:val="Titrearticle"/>
        <w:rPr>
          <w:noProof/>
          <w:color w:val="000000" w:themeColor="text1"/>
          <w:lang w:val="en-IE" w:eastAsia="fr-BE"/>
        </w:rPr>
      </w:pPr>
      <w:r w:rsidRPr="00DF5C23">
        <w:rPr>
          <w:noProof/>
          <w:lang w:val="en-IE" w:eastAsia="fr-BE"/>
        </w:rPr>
        <w:t xml:space="preserve">Article </w:t>
      </w:r>
      <w:r w:rsidR="00565D97" w:rsidRPr="00DF5C23">
        <w:rPr>
          <w:noProof/>
          <w:lang w:val="en-IE" w:eastAsia="fr-BE"/>
        </w:rPr>
        <w:t>58</w:t>
      </w:r>
      <w:r w:rsidR="007050F6" w:rsidRPr="00DF5C23">
        <w:rPr>
          <w:noProof/>
        </w:rPr>
        <w:br/>
      </w:r>
      <w:r w:rsidRPr="00DF5C23">
        <w:rPr>
          <w:noProof/>
          <w:lang w:val="en-IE" w:eastAsia="fr-BE"/>
        </w:rPr>
        <w:t>Green public procurement</w:t>
      </w:r>
    </w:p>
    <w:p w14:paraId="2C3A587E" w14:textId="5F1F4801" w:rsidR="00646885" w:rsidRPr="00DF5C23" w:rsidRDefault="004F5E59" w:rsidP="004F5E59">
      <w:pPr>
        <w:pStyle w:val="ManualNumPar1"/>
        <w:rPr>
          <w:noProof/>
          <w:lang w:val="en-IE" w:eastAsia="fr-BE"/>
        </w:rPr>
      </w:pPr>
      <w:r w:rsidRPr="004F5E59">
        <w:t>1.</w:t>
      </w:r>
      <w:r w:rsidRPr="004F5E59">
        <w:tab/>
      </w:r>
      <w:r w:rsidR="009B0743" w:rsidRPr="00DF5C23">
        <w:rPr>
          <w:noProof/>
          <w:lang w:val="en-IE" w:eastAsia="fr-BE"/>
        </w:rPr>
        <w:t>R</w:t>
      </w:r>
      <w:r w:rsidR="005C7C0C" w:rsidRPr="00DF5C23">
        <w:rPr>
          <w:noProof/>
          <w:lang w:val="en-IE" w:eastAsia="fr-BE"/>
        </w:rPr>
        <w:t xml:space="preserve">equirements </w:t>
      </w:r>
      <w:r w:rsidR="00C80AF9" w:rsidRPr="00DF5C23">
        <w:rPr>
          <w:noProof/>
          <w:lang w:val="en-IE" w:eastAsia="fr-BE"/>
        </w:rPr>
        <w:t xml:space="preserve">pursuant </w:t>
      </w:r>
      <w:r w:rsidR="00881AB3" w:rsidRPr="00DF5C23">
        <w:rPr>
          <w:noProof/>
          <w:lang w:val="en-IE" w:eastAsia="fr-BE"/>
        </w:rPr>
        <w:t xml:space="preserve">to Article 4, </w:t>
      </w:r>
      <w:r w:rsidR="002438E5" w:rsidRPr="00DF5C23">
        <w:rPr>
          <w:noProof/>
          <w:lang w:val="en-IE" w:eastAsia="fr-BE"/>
        </w:rPr>
        <w:t xml:space="preserve">third subparagraph, </w:t>
      </w:r>
      <w:r w:rsidR="00881AB3" w:rsidRPr="00DF5C23">
        <w:rPr>
          <w:noProof/>
          <w:lang w:val="en-IE" w:eastAsia="fr-BE"/>
        </w:rPr>
        <w:t>point (</w:t>
      </w:r>
      <w:r w:rsidR="00E97C3A" w:rsidRPr="00DF5C23">
        <w:rPr>
          <w:noProof/>
          <w:lang w:val="en-IE" w:eastAsia="fr-BE"/>
        </w:rPr>
        <w:t>h</w:t>
      </w:r>
      <w:r w:rsidR="002438E5" w:rsidRPr="00DF5C23">
        <w:rPr>
          <w:noProof/>
          <w:lang w:val="en-IE" w:eastAsia="fr-BE"/>
        </w:rPr>
        <w:t>)</w:t>
      </w:r>
      <w:r w:rsidR="00C80AF9" w:rsidRPr="00DF5C23">
        <w:rPr>
          <w:noProof/>
          <w:lang w:val="en-IE" w:eastAsia="fr-BE"/>
        </w:rPr>
        <w:t xml:space="preserve"> </w:t>
      </w:r>
      <w:r w:rsidR="005C7C0C" w:rsidRPr="00DF5C23">
        <w:rPr>
          <w:noProof/>
          <w:lang w:val="en-IE" w:eastAsia="fr-BE"/>
        </w:rPr>
        <w:t xml:space="preserve">for public contracts </w:t>
      </w:r>
      <w:r w:rsidR="00B15011" w:rsidRPr="00DF5C23">
        <w:rPr>
          <w:noProof/>
          <w:lang w:val="en-IE" w:eastAsia="fr-BE"/>
        </w:rPr>
        <w:t>awarded</w:t>
      </w:r>
      <w:r w:rsidR="005C7C0C" w:rsidRPr="00DF5C23">
        <w:rPr>
          <w:noProof/>
          <w:lang w:val="en-IE" w:eastAsia="fr-BE"/>
        </w:rPr>
        <w:t xml:space="preserve"> by </w:t>
      </w:r>
      <w:r w:rsidR="00646885" w:rsidRPr="00DF5C23" w:rsidDel="00DC09D4">
        <w:rPr>
          <w:noProof/>
          <w:lang w:val="en-IE" w:eastAsia="fr-BE"/>
        </w:rPr>
        <w:t>c</w:t>
      </w:r>
      <w:r w:rsidR="00646885" w:rsidRPr="00DF5C23">
        <w:rPr>
          <w:noProof/>
          <w:lang w:val="en-IE" w:eastAsia="fr-BE"/>
        </w:rPr>
        <w:t>ontracting authorities, as defined in Article 2(1) of Directive 2014/24/EU or Article 3(1) of Directive 2014/25/EU, or contracting entities, as defined in Article 4(1) of Directive 2014/25/EU</w:t>
      </w:r>
      <w:r w:rsidR="00C80AF9" w:rsidRPr="00DF5C23">
        <w:rPr>
          <w:noProof/>
          <w:lang w:val="en-IE" w:eastAsia="fr-BE"/>
        </w:rPr>
        <w:t xml:space="preserve">, </w:t>
      </w:r>
      <w:r w:rsidR="005C7C0C" w:rsidRPr="00DF5C23">
        <w:rPr>
          <w:noProof/>
          <w:lang w:val="en-IE" w:eastAsia="fr-BE"/>
        </w:rPr>
        <w:t xml:space="preserve">may </w:t>
      </w:r>
      <w:r w:rsidR="009B0743" w:rsidRPr="00DF5C23">
        <w:rPr>
          <w:noProof/>
          <w:lang w:val="en-IE" w:eastAsia="fr-BE"/>
        </w:rPr>
        <w:t xml:space="preserve">take the form of mandatory </w:t>
      </w:r>
      <w:r w:rsidR="005C7C0C" w:rsidRPr="00DF5C23">
        <w:rPr>
          <w:noProof/>
          <w:lang w:val="en-IE" w:eastAsia="fr-BE"/>
        </w:rPr>
        <w:t>technical specifications, selection criteria, award criteria, contract performance clauses, or targets</w:t>
      </w:r>
      <w:r w:rsidR="00AB5CFA" w:rsidRPr="00DF5C23">
        <w:rPr>
          <w:noProof/>
          <w:lang w:val="en-IE" w:eastAsia="fr-BE"/>
        </w:rPr>
        <w:t>, as</w:t>
      </w:r>
      <w:r w:rsidR="005C7C0C" w:rsidRPr="00DF5C23">
        <w:rPr>
          <w:noProof/>
          <w:lang w:val="en-IE" w:eastAsia="fr-BE"/>
        </w:rPr>
        <w:t xml:space="preserve"> appropriate. </w:t>
      </w:r>
    </w:p>
    <w:p w14:paraId="2C3A587F" w14:textId="2969E913" w:rsidR="00F53621" w:rsidRPr="00DF5C23" w:rsidRDefault="004F5E59" w:rsidP="004F5E59">
      <w:pPr>
        <w:pStyle w:val="ManualNumPar1"/>
        <w:rPr>
          <w:noProof/>
          <w:lang w:val="en-IE" w:eastAsia="fr-BE"/>
        </w:rPr>
      </w:pPr>
      <w:r w:rsidRPr="004F5E59">
        <w:t>2.</w:t>
      </w:r>
      <w:r w:rsidRPr="004F5E59">
        <w:tab/>
      </w:r>
      <w:r w:rsidR="000E71D4" w:rsidRPr="00DF5C23">
        <w:rPr>
          <w:noProof/>
          <w:lang w:val="en-IE" w:eastAsia="fr-BE"/>
        </w:rPr>
        <w:t>When establishing re</w:t>
      </w:r>
      <w:r w:rsidR="00881AB3" w:rsidRPr="00DF5C23">
        <w:rPr>
          <w:noProof/>
          <w:lang w:val="en-IE" w:eastAsia="fr-BE"/>
        </w:rPr>
        <w:t xml:space="preserve">quirements pursuant to Article 4, </w:t>
      </w:r>
      <w:r w:rsidR="002438E5" w:rsidRPr="00DF5C23">
        <w:rPr>
          <w:noProof/>
          <w:lang w:val="en-IE" w:eastAsia="fr-BE"/>
        </w:rPr>
        <w:t xml:space="preserve">third subparagraph, </w:t>
      </w:r>
      <w:r w:rsidR="00881AB3" w:rsidRPr="00DF5C23">
        <w:rPr>
          <w:noProof/>
          <w:lang w:val="en-IE" w:eastAsia="fr-BE"/>
        </w:rPr>
        <w:t>point (</w:t>
      </w:r>
      <w:r w:rsidR="00F45C32" w:rsidRPr="00DF5C23">
        <w:rPr>
          <w:noProof/>
          <w:lang w:val="en-IE" w:eastAsia="fr-BE"/>
        </w:rPr>
        <w:t>h</w:t>
      </w:r>
      <w:r w:rsidR="00881AB3" w:rsidRPr="00DF5C23">
        <w:rPr>
          <w:noProof/>
          <w:lang w:val="en-IE" w:eastAsia="fr-BE"/>
        </w:rPr>
        <w:t>),</w:t>
      </w:r>
      <w:r w:rsidR="000E71D4" w:rsidRPr="00DF5C23">
        <w:rPr>
          <w:noProof/>
          <w:lang w:val="en-IE" w:eastAsia="fr-BE"/>
        </w:rPr>
        <w:t xml:space="preserve"> for public contract</w:t>
      </w:r>
      <w:r w:rsidR="00881AB3" w:rsidRPr="00DF5C23">
        <w:rPr>
          <w:noProof/>
          <w:lang w:val="en-IE" w:eastAsia="fr-BE"/>
        </w:rPr>
        <w:t>s</w:t>
      </w:r>
      <w:r w:rsidR="000E71D4" w:rsidRPr="00DF5C23">
        <w:rPr>
          <w:noProof/>
          <w:lang w:val="en-IE" w:eastAsia="fr-BE"/>
        </w:rPr>
        <w:t>, the Commission shall take into account</w:t>
      </w:r>
      <w:r w:rsidR="00F53621" w:rsidRPr="00DF5C23">
        <w:rPr>
          <w:noProof/>
          <w:lang w:val="en-IE" w:eastAsia="fr-BE"/>
        </w:rPr>
        <w:t xml:space="preserve"> the following criteria</w:t>
      </w:r>
      <w:r w:rsidR="000E71D4" w:rsidRPr="00DF5C23">
        <w:rPr>
          <w:noProof/>
          <w:lang w:val="en-IE" w:eastAsia="fr-BE"/>
        </w:rPr>
        <w:t>:</w:t>
      </w:r>
    </w:p>
    <w:p w14:paraId="2C3A5880" w14:textId="0D665224" w:rsidR="00881AB3" w:rsidRPr="00DF5C23" w:rsidRDefault="004F5E59" w:rsidP="004F5E59">
      <w:pPr>
        <w:pStyle w:val="Point1"/>
        <w:rPr>
          <w:noProof/>
          <w:lang w:eastAsia="fr-BE"/>
        </w:rPr>
      </w:pPr>
      <w:r w:rsidRPr="004F5E59">
        <w:t>(a)</w:t>
      </w:r>
      <w:r w:rsidRPr="004F5E59">
        <w:tab/>
      </w:r>
      <w:r w:rsidR="00881AB3" w:rsidRPr="00DF5C23">
        <w:rPr>
          <w:noProof/>
          <w:lang w:eastAsia="fr-BE"/>
        </w:rPr>
        <w:t xml:space="preserve">the value and volume of public contracts awarded for that given product group or for the services or works using the given product group; </w:t>
      </w:r>
    </w:p>
    <w:p w14:paraId="2C3A5881" w14:textId="65CD3B3C" w:rsidR="00F53621" w:rsidRPr="00DF5C23" w:rsidRDefault="004F5E59" w:rsidP="004F5E59">
      <w:pPr>
        <w:pStyle w:val="Point1"/>
        <w:rPr>
          <w:noProof/>
          <w:lang w:eastAsia="fr-BE"/>
        </w:rPr>
      </w:pPr>
      <w:r w:rsidRPr="004F5E59">
        <w:t>(b)</w:t>
      </w:r>
      <w:r w:rsidRPr="004F5E59">
        <w:tab/>
      </w:r>
      <w:r w:rsidR="00881AB3" w:rsidRPr="00DF5C23">
        <w:rPr>
          <w:noProof/>
          <w:lang w:eastAsia="fr-BE"/>
        </w:rPr>
        <w:t xml:space="preserve">the need to ensure sufficient demand for more environmentally sustainable products; </w:t>
      </w:r>
    </w:p>
    <w:p w14:paraId="2C3A5882" w14:textId="0577F3B6" w:rsidR="00E97C3A" w:rsidRPr="00DF5C23" w:rsidRDefault="004F5E59" w:rsidP="004F5E59">
      <w:pPr>
        <w:pStyle w:val="Point1"/>
        <w:rPr>
          <w:noProof/>
          <w:lang w:eastAsia="fr-BE"/>
        </w:rPr>
      </w:pPr>
      <w:r w:rsidRPr="004F5E59">
        <w:t>(c)</w:t>
      </w:r>
      <w:r w:rsidRPr="004F5E59">
        <w:tab/>
      </w:r>
      <w:r w:rsidR="00E97C3A" w:rsidRPr="00DF5C23">
        <w:rPr>
          <w:noProof/>
          <w:lang w:eastAsia="fr-BE"/>
        </w:rPr>
        <w:t>the economic feasibility for contracting authorities or contracting entities to buy more environmentally sustainable products, without entailing disproportionate costs.</w:t>
      </w:r>
    </w:p>
    <w:p w14:paraId="2C3A5883" w14:textId="77777777" w:rsidR="00FF2BAC" w:rsidRPr="00DF5C23" w:rsidRDefault="0681B866" w:rsidP="00F77587">
      <w:pPr>
        <w:pStyle w:val="ManualHeading1"/>
        <w:jc w:val="center"/>
        <w:rPr>
          <w:noProof/>
          <w:lang w:val="fr-BE"/>
        </w:rPr>
      </w:pPr>
      <w:r w:rsidRPr="00DF5C23">
        <w:rPr>
          <w:noProof/>
          <w:lang w:val="fr-BE"/>
        </w:rPr>
        <w:t>Chapter X</w:t>
      </w:r>
      <w:r w:rsidR="00A625AD" w:rsidRPr="00DF5C23">
        <w:rPr>
          <w:noProof/>
          <w:lang w:val="fr-BE"/>
        </w:rPr>
        <w:t>I</w:t>
      </w:r>
      <w:r w:rsidR="00F77587" w:rsidRPr="00DF5C23">
        <w:rPr>
          <w:noProof/>
          <w:lang w:val="fr-BE"/>
        </w:rPr>
        <w:t xml:space="preserve"> - </w:t>
      </w:r>
      <w:r w:rsidRPr="00DF5C23">
        <w:rPr>
          <w:noProof/>
          <w:lang w:val="fr-BE"/>
        </w:rPr>
        <w:t xml:space="preserve">Market surveillance  </w:t>
      </w:r>
    </w:p>
    <w:p w14:paraId="2C3A5884" w14:textId="77777777" w:rsidR="00FF2BAC" w:rsidRPr="00DF5C23" w:rsidRDefault="00FF2BAC" w:rsidP="0681B866">
      <w:pPr>
        <w:pStyle w:val="Titrearticle"/>
        <w:rPr>
          <w:noProof/>
          <w:lang w:val="fr-BE" w:eastAsia="fr-BE"/>
        </w:rPr>
      </w:pPr>
      <w:r w:rsidRPr="00DF5C23">
        <w:rPr>
          <w:noProof/>
          <w:lang w:val="fr-BE" w:eastAsia="fr-BE"/>
        </w:rPr>
        <w:t xml:space="preserve">Article </w:t>
      </w:r>
      <w:r w:rsidR="00565D97" w:rsidRPr="00DF5C23">
        <w:rPr>
          <w:noProof/>
          <w:lang w:val="fr-BE" w:eastAsia="fr-BE"/>
        </w:rPr>
        <w:t>59</w:t>
      </w:r>
      <w:r w:rsidRPr="00DF5C23">
        <w:rPr>
          <w:noProof/>
          <w:lang w:val="fr-BE"/>
        </w:rPr>
        <w:br/>
      </w:r>
      <w:r w:rsidR="00EE36AA" w:rsidRPr="00DF5C23">
        <w:rPr>
          <w:noProof/>
          <w:lang w:val="fr-BE" w:eastAsia="fr-BE"/>
        </w:rPr>
        <w:t>M</w:t>
      </w:r>
      <w:r w:rsidRPr="00DF5C23">
        <w:rPr>
          <w:noProof/>
          <w:lang w:val="fr-BE" w:eastAsia="fr-BE"/>
        </w:rPr>
        <w:t xml:space="preserve">arket surveillance </w:t>
      </w:r>
      <w:r w:rsidR="00EE36AA" w:rsidRPr="00DF5C23">
        <w:rPr>
          <w:noProof/>
          <w:lang w:val="fr-BE" w:eastAsia="fr-BE"/>
        </w:rPr>
        <w:t>action plans</w:t>
      </w:r>
      <w:r w:rsidRPr="00DF5C23">
        <w:rPr>
          <w:noProof/>
          <w:lang w:val="fr-BE" w:eastAsia="fr-BE"/>
        </w:rPr>
        <w:t xml:space="preserve"> </w:t>
      </w:r>
    </w:p>
    <w:p w14:paraId="2C3A5885" w14:textId="14F13B2D" w:rsidR="00FF2BAC" w:rsidRPr="00DF5C23" w:rsidRDefault="004F5E59" w:rsidP="004F5E59">
      <w:pPr>
        <w:pStyle w:val="ManualNumPar1"/>
        <w:rPr>
          <w:noProof/>
          <w:lang w:val="en-IE"/>
        </w:rPr>
      </w:pPr>
      <w:r w:rsidRPr="004F5E59">
        <w:t>1.</w:t>
      </w:r>
      <w:r w:rsidRPr="004F5E59">
        <w:tab/>
      </w:r>
      <w:r w:rsidR="00B44AB1" w:rsidRPr="00DF5C23">
        <w:rPr>
          <w:noProof/>
          <w:lang w:val="en-IE" w:eastAsia="fr-BE"/>
        </w:rPr>
        <w:t>Without prejudice to Article 13 of Regulation</w:t>
      </w:r>
      <w:r w:rsidR="00E22445" w:rsidRPr="00DF5C23">
        <w:rPr>
          <w:noProof/>
          <w:lang w:val="en-IE" w:eastAsia="fr-BE"/>
        </w:rPr>
        <w:t xml:space="preserve"> (EU)</w:t>
      </w:r>
      <w:r w:rsidR="00B44AB1" w:rsidRPr="00DF5C23">
        <w:rPr>
          <w:noProof/>
          <w:lang w:val="en-IE" w:eastAsia="fr-BE"/>
        </w:rPr>
        <w:t xml:space="preserve"> 2019/1020</w:t>
      </w:r>
      <w:r w:rsidR="0681B866" w:rsidRPr="00DF5C23">
        <w:rPr>
          <w:noProof/>
          <w:lang w:val="en-IE"/>
        </w:rPr>
        <w:t xml:space="preserve">, each Member State shall, at least every </w:t>
      </w:r>
      <w:r w:rsidR="00A95884" w:rsidRPr="00DF5C23">
        <w:rPr>
          <w:noProof/>
          <w:lang w:val="en-IE"/>
        </w:rPr>
        <w:t xml:space="preserve">2 </w:t>
      </w:r>
      <w:r w:rsidR="0681B866" w:rsidRPr="00DF5C23">
        <w:rPr>
          <w:noProof/>
          <w:lang w:val="en-IE"/>
        </w:rPr>
        <w:t xml:space="preserve">years, draw up an action plan </w:t>
      </w:r>
      <w:r w:rsidR="0681B866" w:rsidRPr="00DF5C23">
        <w:rPr>
          <w:noProof/>
          <w:lang w:val="en-IE" w:eastAsia="fr-BE"/>
        </w:rPr>
        <w:t xml:space="preserve">outlining the market surveillance activities planned to ensure </w:t>
      </w:r>
      <w:r w:rsidR="00B44AB1" w:rsidRPr="00DF5C23">
        <w:rPr>
          <w:noProof/>
          <w:lang w:val="en-IE" w:eastAsia="fr-BE"/>
        </w:rPr>
        <w:t xml:space="preserve">that appropriate </w:t>
      </w:r>
      <w:r w:rsidR="00B44AB1" w:rsidRPr="00DF5C23">
        <w:rPr>
          <w:noProof/>
          <w:lang w:val="en-IE"/>
        </w:rPr>
        <w:t>checks are performed on an adequate scale in relation to this Regulation and the</w:t>
      </w:r>
      <w:r w:rsidR="00B44AB1" w:rsidRPr="00DF5C23" w:rsidDel="00B44AB1">
        <w:rPr>
          <w:noProof/>
          <w:lang w:val="en-IE" w:eastAsia="fr-BE"/>
        </w:rPr>
        <w:t xml:space="preserve"> </w:t>
      </w:r>
      <w:r w:rsidR="0681B866" w:rsidRPr="00DF5C23">
        <w:rPr>
          <w:rFonts w:eastAsia="Times New Roman"/>
          <w:noProof/>
          <w:lang w:val="en-IE" w:eastAsia="fr-BE"/>
        </w:rPr>
        <w:t>d</w:t>
      </w:r>
      <w:r w:rsidR="0681B866" w:rsidRPr="00DF5C23">
        <w:rPr>
          <w:noProof/>
          <w:lang w:val="en-IE" w:eastAsia="fr-BE"/>
        </w:rPr>
        <w:t xml:space="preserve">elegated acts </w:t>
      </w:r>
      <w:r w:rsidR="00850318" w:rsidRPr="00DF5C23">
        <w:rPr>
          <w:noProof/>
          <w:lang w:val="en-IE" w:eastAsia="fr-BE"/>
        </w:rPr>
        <w:t>adopted pursuant to Article 4</w:t>
      </w:r>
      <w:r w:rsidR="0681B866" w:rsidRPr="00DF5C23">
        <w:rPr>
          <w:noProof/>
          <w:lang w:val="en-IE"/>
        </w:rPr>
        <w:t>. Each Member State shall draw up the first such action plan by [16 July 2024].</w:t>
      </w:r>
    </w:p>
    <w:p w14:paraId="2C3A5886" w14:textId="77777777" w:rsidR="00A47A4B" w:rsidRPr="00DF5C23" w:rsidRDefault="00A47A4B" w:rsidP="00A47A4B">
      <w:pPr>
        <w:pStyle w:val="Text1"/>
        <w:rPr>
          <w:noProof/>
          <w:lang w:eastAsia="fr-BE"/>
        </w:rPr>
      </w:pPr>
      <w:r w:rsidRPr="00DF5C23">
        <w:rPr>
          <w:noProof/>
          <w:lang w:eastAsia="fr-BE"/>
        </w:rPr>
        <w:t xml:space="preserve">The action plan referred to in paragraph 1 shall at least include: </w:t>
      </w:r>
    </w:p>
    <w:p w14:paraId="2C3A5887" w14:textId="00714859" w:rsidR="00A47A4B" w:rsidRPr="00DF5C23" w:rsidRDefault="004F5E59" w:rsidP="004F5E59">
      <w:pPr>
        <w:pStyle w:val="Point1"/>
        <w:rPr>
          <w:noProof/>
          <w:lang w:val="en-IE" w:eastAsia="fr-BE"/>
        </w:rPr>
      </w:pPr>
      <w:r w:rsidRPr="004F5E59">
        <w:t>(a)</w:t>
      </w:r>
      <w:r w:rsidRPr="004F5E59">
        <w:tab/>
      </w:r>
      <w:r w:rsidR="00A47A4B" w:rsidRPr="00DF5C23">
        <w:rPr>
          <w:noProof/>
          <w:lang w:eastAsia="fr-BE"/>
        </w:rPr>
        <w:t>t</w:t>
      </w:r>
      <w:r w:rsidR="00A47A4B" w:rsidRPr="00DF5C23">
        <w:rPr>
          <w:noProof/>
          <w:lang w:val="en-IE" w:eastAsia="fr-BE"/>
        </w:rPr>
        <w:t>he products or requirements identified as priorities for market surveillance, taking into account the common priorities identified by the administrative cooperation group pursuant to Article 6</w:t>
      </w:r>
      <w:r w:rsidR="00137517" w:rsidRPr="00DF5C23">
        <w:rPr>
          <w:noProof/>
          <w:lang w:val="en-IE" w:eastAsia="fr-BE"/>
        </w:rPr>
        <w:t>2</w:t>
      </w:r>
      <w:r w:rsidR="00A47A4B" w:rsidRPr="00DF5C23">
        <w:rPr>
          <w:noProof/>
          <w:lang w:val="en-IE" w:eastAsia="fr-BE"/>
        </w:rPr>
        <w:t>(1), point (a), and in accordance with the implementing acts referred to in paragraph 5;</w:t>
      </w:r>
    </w:p>
    <w:p w14:paraId="2C3A5888" w14:textId="533A58E6" w:rsidR="00A47A4B" w:rsidRPr="00DF5C23" w:rsidRDefault="004F5E59" w:rsidP="004F5E59">
      <w:pPr>
        <w:pStyle w:val="Point1"/>
        <w:rPr>
          <w:noProof/>
          <w:lang w:eastAsia="fr-BE"/>
        </w:rPr>
      </w:pPr>
      <w:r w:rsidRPr="004F5E59">
        <w:t>(b)</w:t>
      </w:r>
      <w:r w:rsidRPr="004F5E59">
        <w:tab/>
      </w:r>
      <w:r w:rsidR="00A47A4B" w:rsidRPr="00DF5C23">
        <w:rPr>
          <w:noProof/>
          <w:lang w:val="en-IE" w:eastAsia="fr-BE"/>
        </w:rPr>
        <w:t xml:space="preserve">the market surveillance activities planned in order to reduce non-compliance for those products or requirements identified as priorities, including the nature and minimum number of checks to be performed during the period covered by the action plan. </w:t>
      </w:r>
    </w:p>
    <w:p w14:paraId="2C3A5889" w14:textId="7CD0041A" w:rsidR="00A47A4B" w:rsidRPr="00DF5C23" w:rsidRDefault="004F5E59" w:rsidP="004F5E59">
      <w:pPr>
        <w:pStyle w:val="ManualNumPar1"/>
        <w:rPr>
          <w:noProof/>
          <w:lang w:val="en-IE" w:eastAsia="fr-BE"/>
        </w:rPr>
      </w:pPr>
      <w:r w:rsidRPr="004F5E59">
        <w:t>2.</w:t>
      </w:r>
      <w:r w:rsidRPr="004F5E59">
        <w:tab/>
      </w:r>
      <w:r w:rsidR="00A47A4B" w:rsidRPr="00DF5C23">
        <w:rPr>
          <w:noProof/>
          <w:lang w:val="en-IE" w:eastAsia="fr-BE"/>
        </w:rPr>
        <w:t xml:space="preserve">The priorities for market surveillance referred to in paragraph 1, point (a), shall be identified on the basis of objective criteria, including: </w:t>
      </w:r>
    </w:p>
    <w:p w14:paraId="2C3A588A" w14:textId="5640537F" w:rsidR="00A47A4B" w:rsidRPr="00DF5C23" w:rsidRDefault="004F5E59" w:rsidP="004F5E59">
      <w:pPr>
        <w:pStyle w:val="Point1"/>
        <w:rPr>
          <w:noProof/>
          <w:lang w:val="en-IE" w:eastAsia="fr-BE"/>
        </w:rPr>
      </w:pPr>
      <w:r w:rsidRPr="004F5E59">
        <w:t>(a)</w:t>
      </w:r>
      <w:r w:rsidRPr="004F5E59">
        <w:tab/>
      </w:r>
      <w:r w:rsidR="00A47A4B" w:rsidRPr="00DF5C23">
        <w:rPr>
          <w:noProof/>
          <w:lang w:val="en-IE" w:eastAsia="fr-BE"/>
        </w:rPr>
        <w:t>the levels of non-compliance observed in the market;</w:t>
      </w:r>
    </w:p>
    <w:p w14:paraId="2C3A588B" w14:textId="0826DEDC" w:rsidR="00A47A4B" w:rsidRPr="00DF5C23" w:rsidRDefault="004F5E59" w:rsidP="004F5E59">
      <w:pPr>
        <w:pStyle w:val="Point1"/>
        <w:rPr>
          <w:noProof/>
          <w:lang w:val="en-IE" w:eastAsia="fr-BE"/>
        </w:rPr>
      </w:pPr>
      <w:r w:rsidRPr="004F5E59">
        <w:t>(b)</w:t>
      </w:r>
      <w:r w:rsidRPr="004F5E59">
        <w:tab/>
      </w:r>
      <w:r w:rsidR="00A47A4B" w:rsidRPr="00DF5C23">
        <w:rPr>
          <w:noProof/>
          <w:lang w:val="en-IE" w:eastAsia="fr-BE"/>
        </w:rPr>
        <w:t>the environmental impacts of non-compliance;</w:t>
      </w:r>
    </w:p>
    <w:p w14:paraId="2C3A588C" w14:textId="663130B8" w:rsidR="00A47A4B" w:rsidRPr="00DF5C23" w:rsidRDefault="004F5E59" w:rsidP="004F5E59">
      <w:pPr>
        <w:pStyle w:val="Point1"/>
        <w:rPr>
          <w:noProof/>
          <w:lang w:val="en-IE" w:eastAsia="fr-BE"/>
        </w:rPr>
      </w:pPr>
      <w:r w:rsidRPr="004F5E59">
        <w:t>(c)</w:t>
      </w:r>
      <w:r w:rsidRPr="004F5E59">
        <w:tab/>
      </w:r>
      <w:r w:rsidR="00A47A4B" w:rsidRPr="00DF5C23">
        <w:rPr>
          <w:noProof/>
          <w:lang w:val="en-IE" w:eastAsia="fr-BE"/>
        </w:rPr>
        <w:t>the number of relevant products made available on national markets; and</w:t>
      </w:r>
    </w:p>
    <w:p w14:paraId="2C3A588D" w14:textId="0C244329" w:rsidR="00A47A4B" w:rsidRPr="00DF5C23" w:rsidRDefault="004F5E59" w:rsidP="004F5E59">
      <w:pPr>
        <w:pStyle w:val="Point1"/>
        <w:rPr>
          <w:noProof/>
          <w:lang w:val="en-IE" w:eastAsia="fr-BE"/>
        </w:rPr>
      </w:pPr>
      <w:r w:rsidRPr="004F5E59">
        <w:t>(d)</w:t>
      </w:r>
      <w:r w:rsidRPr="004F5E59">
        <w:tab/>
      </w:r>
      <w:r w:rsidR="00A47A4B" w:rsidRPr="00DF5C23">
        <w:rPr>
          <w:noProof/>
          <w:lang w:val="en-IE" w:eastAsia="fr-BE"/>
        </w:rPr>
        <w:t xml:space="preserve">the number of relevant economic operators active on those markets.  </w:t>
      </w:r>
    </w:p>
    <w:p w14:paraId="2C3A588E" w14:textId="36523E14" w:rsidR="00A47A4B" w:rsidRPr="00DF5C23" w:rsidRDefault="004F5E59" w:rsidP="004F5E59">
      <w:pPr>
        <w:pStyle w:val="ManualNumPar1"/>
        <w:rPr>
          <w:noProof/>
          <w:lang w:eastAsia="fr-BE"/>
        </w:rPr>
      </w:pPr>
      <w:r w:rsidRPr="004F5E59">
        <w:t>3.</w:t>
      </w:r>
      <w:r w:rsidRPr="004F5E59">
        <w:tab/>
      </w:r>
      <w:r w:rsidR="00A47A4B" w:rsidRPr="00DF5C23">
        <w:rPr>
          <w:noProof/>
          <w:lang w:eastAsia="fr-BE"/>
        </w:rPr>
        <w:t>The nature and number of checks planned pursuant to paragraph 1, point (b), shall be proportionate to the objective criteria used to identify the priorities in line with paragraph 2.</w:t>
      </w:r>
    </w:p>
    <w:p w14:paraId="2C3A588F" w14:textId="1E4E20EF" w:rsidR="00A47A4B" w:rsidRPr="00DF5C23" w:rsidRDefault="004F5E59" w:rsidP="004F5E59">
      <w:pPr>
        <w:pStyle w:val="ManualNumPar1"/>
        <w:rPr>
          <w:noProof/>
          <w:lang w:eastAsia="fr-BE"/>
        </w:rPr>
      </w:pPr>
      <w:r w:rsidRPr="004F5E59">
        <w:t>4.</w:t>
      </w:r>
      <w:r w:rsidRPr="004F5E59">
        <w:tab/>
      </w:r>
      <w:r w:rsidR="00A47A4B" w:rsidRPr="00DF5C23">
        <w:rPr>
          <w:noProof/>
          <w:lang w:eastAsia="fr-BE"/>
        </w:rPr>
        <w:t>Member States shall communicate their action plans to the Commission and other Member States through the information and communication system referred to in Article 34 of Regulation (EU) 2019/1020.</w:t>
      </w:r>
    </w:p>
    <w:p w14:paraId="2C3A5890" w14:textId="7E1C49F4" w:rsidR="00A47A4B" w:rsidRPr="00DF5C23" w:rsidRDefault="004F5E59" w:rsidP="004F5E59">
      <w:pPr>
        <w:pStyle w:val="ManualNumPar1"/>
        <w:rPr>
          <w:noProof/>
          <w:lang w:eastAsia="fr-BE"/>
        </w:rPr>
      </w:pPr>
      <w:r w:rsidRPr="004F5E59">
        <w:t>5.</w:t>
      </w:r>
      <w:r w:rsidRPr="004F5E59">
        <w:tab/>
      </w:r>
      <w:r w:rsidR="00A47A4B" w:rsidRPr="00DF5C23">
        <w:rPr>
          <w:noProof/>
        </w:rPr>
        <w:t>The Commission may adopt</w:t>
      </w:r>
      <w:r w:rsidR="00A47A4B" w:rsidRPr="00DF5C23" w:rsidDel="009548A7">
        <w:rPr>
          <w:noProof/>
        </w:rPr>
        <w:t xml:space="preserve"> </w:t>
      </w:r>
      <w:r w:rsidR="00A47A4B" w:rsidRPr="00DF5C23">
        <w:rPr>
          <w:noProof/>
        </w:rPr>
        <w:t xml:space="preserve">implementing acts listing the </w:t>
      </w:r>
      <w:r w:rsidR="00A47A4B" w:rsidRPr="00DF5C23">
        <w:rPr>
          <w:noProof/>
          <w:lang w:eastAsia="fr-BE"/>
        </w:rPr>
        <w:t>products</w:t>
      </w:r>
      <w:r w:rsidR="00A47A4B" w:rsidRPr="00DF5C23">
        <w:rPr>
          <w:noProof/>
        </w:rPr>
        <w:t xml:space="preserve"> or requirements that Member States shall at least consider as </w:t>
      </w:r>
      <w:r w:rsidR="00A47A4B" w:rsidRPr="00DF5C23">
        <w:rPr>
          <w:noProof/>
          <w:lang w:eastAsia="fr-BE"/>
        </w:rPr>
        <w:t>priorities for market surveillance pursuant to paragraph 1, point (a).</w:t>
      </w:r>
      <w:r w:rsidR="00A47A4B" w:rsidRPr="00DF5C23">
        <w:rPr>
          <w:noProof/>
          <w:lang w:val="en-IE" w:eastAsia="fr-BE"/>
        </w:rPr>
        <w:t xml:space="preserve"> </w:t>
      </w:r>
    </w:p>
    <w:p w14:paraId="2C3A5891" w14:textId="77777777" w:rsidR="00A47A4B" w:rsidRPr="00DF5C23" w:rsidRDefault="00A47A4B" w:rsidP="00A47A4B">
      <w:pPr>
        <w:pStyle w:val="Text1"/>
        <w:rPr>
          <w:noProof/>
          <w:lang w:val="en-IE"/>
        </w:rPr>
      </w:pPr>
      <w:r w:rsidRPr="00DF5C23">
        <w:rPr>
          <w:noProof/>
          <w:lang w:val="en-IE"/>
        </w:rPr>
        <w:t xml:space="preserve">Those implementing acts shall be adopted in accordance with the advisory procedure referred to in Article </w:t>
      </w:r>
      <w:r w:rsidR="00137517" w:rsidRPr="00DF5C23">
        <w:rPr>
          <w:noProof/>
          <w:lang w:val="en-IE"/>
        </w:rPr>
        <w:t>67</w:t>
      </w:r>
      <w:r w:rsidRPr="00DF5C23">
        <w:rPr>
          <w:noProof/>
          <w:lang w:val="en-IE" w:eastAsia="fr-BE"/>
        </w:rPr>
        <w:t>(2)</w:t>
      </w:r>
      <w:r w:rsidRPr="00DF5C23">
        <w:rPr>
          <w:noProof/>
          <w:lang w:val="en-IE"/>
        </w:rPr>
        <w:t>.</w:t>
      </w:r>
    </w:p>
    <w:p w14:paraId="2C3A5892" w14:textId="77777777" w:rsidR="00B44AB1" w:rsidRPr="00DF5C23" w:rsidRDefault="00B44AB1" w:rsidP="00B44AB1">
      <w:pPr>
        <w:pStyle w:val="Titrearticle"/>
        <w:rPr>
          <w:noProof/>
          <w:lang w:val="en-IE" w:eastAsia="fr-BE"/>
        </w:rPr>
      </w:pPr>
      <w:r w:rsidRPr="00DF5C23">
        <w:rPr>
          <w:noProof/>
          <w:lang w:val="en-IE" w:eastAsia="fr-BE"/>
        </w:rPr>
        <w:t xml:space="preserve">Article </w:t>
      </w:r>
      <w:r w:rsidR="00565D97" w:rsidRPr="00DF5C23">
        <w:rPr>
          <w:noProof/>
          <w:lang w:val="en-IE" w:eastAsia="fr-BE"/>
        </w:rPr>
        <w:t>60</w:t>
      </w:r>
      <w:r w:rsidRPr="00DF5C23">
        <w:rPr>
          <w:noProof/>
          <w:lang w:val="en-IE"/>
        </w:rPr>
        <w:br/>
      </w:r>
      <w:r w:rsidRPr="00DF5C23">
        <w:rPr>
          <w:noProof/>
          <w:lang w:val="en-IE" w:eastAsia="fr-BE"/>
        </w:rPr>
        <w:t>Minimum number of checks</w:t>
      </w:r>
    </w:p>
    <w:p w14:paraId="2C3A5893" w14:textId="6CB530C1" w:rsidR="007F3D25" w:rsidRPr="00DF5C23" w:rsidRDefault="004F5E59" w:rsidP="004F5E59">
      <w:pPr>
        <w:pStyle w:val="ManualNumPar1"/>
        <w:rPr>
          <w:noProof/>
          <w:lang w:val="en-IE" w:eastAsia="fr-BE"/>
        </w:rPr>
      </w:pPr>
      <w:r w:rsidRPr="004F5E59">
        <w:t>1.</w:t>
      </w:r>
      <w:r w:rsidRPr="004F5E59">
        <w:tab/>
      </w:r>
      <w:r w:rsidR="007F3D25" w:rsidRPr="00DF5C23">
        <w:rPr>
          <w:noProof/>
          <w:lang w:val="en-IE" w:eastAsia="fr-BE"/>
        </w:rPr>
        <w:t>The Commission is empowered to adopt delegated acts in accordance with Article 6</w:t>
      </w:r>
      <w:r w:rsidR="00137517" w:rsidRPr="00DF5C23">
        <w:rPr>
          <w:noProof/>
          <w:lang w:val="en-IE" w:eastAsia="fr-BE"/>
        </w:rPr>
        <w:t>6</w:t>
      </w:r>
      <w:r w:rsidR="007F3D25" w:rsidRPr="00DF5C23">
        <w:rPr>
          <w:noProof/>
          <w:lang w:val="en-IE" w:eastAsia="fr-BE"/>
        </w:rPr>
        <w:t xml:space="preserve"> to supplement this Regulation by laying down the minimum number of checks to be performed by the market surveillance authorities of each Member State on specific products covered by delegated acts adopted pursuant to Article </w:t>
      </w:r>
      <w:r w:rsidR="00552FE2" w:rsidRPr="00DF5C23">
        <w:rPr>
          <w:noProof/>
          <w:lang w:val="en-IE" w:eastAsia="fr-BE"/>
        </w:rPr>
        <w:t>4</w:t>
      </w:r>
      <w:r w:rsidR="007F3D25" w:rsidRPr="00DF5C23">
        <w:rPr>
          <w:noProof/>
          <w:lang w:val="en-IE" w:eastAsia="fr-BE"/>
        </w:rPr>
        <w:t xml:space="preserve"> or in relation to specific requirements set out in such delegated acts. The delegated act may, where relevant, specify the nature of the checks required and methods to be used.</w:t>
      </w:r>
    </w:p>
    <w:p w14:paraId="2C3A5894" w14:textId="77777777" w:rsidR="007F3D25" w:rsidRPr="00DF5C23" w:rsidRDefault="007F3D25" w:rsidP="007F3D25">
      <w:pPr>
        <w:pStyle w:val="Text1"/>
        <w:rPr>
          <w:noProof/>
          <w:lang w:val="en-IE" w:eastAsia="fr-BE"/>
        </w:rPr>
      </w:pPr>
      <w:r w:rsidRPr="00DF5C23">
        <w:rPr>
          <w:noProof/>
          <w:lang w:val="en-IE" w:eastAsia="fr-BE"/>
        </w:rPr>
        <w:t xml:space="preserve">The minimum number of checks shall be established on the basis of the following criteria: </w:t>
      </w:r>
    </w:p>
    <w:p w14:paraId="2C3A5895" w14:textId="60670EF2" w:rsidR="007F3D25" w:rsidRPr="00DF5C23" w:rsidRDefault="004F5E59" w:rsidP="004F5E59">
      <w:pPr>
        <w:pStyle w:val="Point1"/>
        <w:rPr>
          <w:noProof/>
          <w:lang w:eastAsia="fr-BE"/>
        </w:rPr>
      </w:pPr>
      <w:r w:rsidRPr="004F5E59">
        <w:t>(a)</w:t>
      </w:r>
      <w:r w:rsidRPr="004F5E59">
        <w:tab/>
      </w:r>
      <w:r w:rsidR="007F3D25" w:rsidRPr="00DF5C23">
        <w:rPr>
          <w:noProof/>
          <w:lang w:eastAsia="fr-BE"/>
        </w:rPr>
        <w:t xml:space="preserve">the criteria listed in Article </w:t>
      </w:r>
      <w:r w:rsidR="00137517" w:rsidRPr="00DF5C23">
        <w:rPr>
          <w:noProof/>
          <w:lang w:eastAsia="fr-BE"/>
        </w:rPr>
        <w:t>59</w:t>
      </w:r>
      <w:r w:rsidR="007F3D25" w:rsidRPr="00DF5C23">
        <w:rPr>
          <w:noProof/>
          <w:lang w:eastAsia="fr-BE"/>
        </w:rPr>
        <w:t>(2);</w:t>
      </w:r>
    </w:p>
    <w:p w14:paraId="2C3A5896" w14:textId="27361241" w:rsidR="007F3D25" w:rsidRPr="00DF5C23" w:rsidRDefault="004F5E59" w:rsidP="004F5E59">
      <w:pPr>
        <w:pStyle w:val="Point1"/>
        <w:rPr>
          <w:noProof/>
          <w:lang w:eastAsia="fr-BE"/>
        </w:rPr>
      </w:pPr>
      <w:r w:rsidRPr="004F5E59">
        <w:t>(b)</w:t>
      </w:r>
      <w:r w:rsidRPr="004F5E59">
        <w:tab/>
      </w:r>
      <w:r w:rsidR="007F3D25" w:rsidRPr="00DF5C23">
        <w:rPr>
          <w:noProof/>
          <w:lang w:val="en-IE" w:eastAsia="fr-BE"/>
        </w:rPr>
        <w:t>the activities planned in Member States' action plans;</w:t>
      </w:r>
    </w:p>
    <w:p w14:paraId="2C3A5897" w14:textId="37B49E9F" w:rsidR="007F3D25" w:rsidRPr="00DF5C23" w:rsidRDefault="004F5E59" w:rsidP="004F5E59">
      <w:pPr>
        <w:pStyle w:val="Point1"/>
        <w:rPr>
          <w:noProof/>
          <w:lang w:eastAsia="fr-BE"/>
        </w:rPr>
      </w:pPr>
      <w:r w:rsidRPr="004F5E59">
        <w:t>(c)</w:t>
      </w:r>
      <w:r w:rsidRPr="004F5E59">
        <w:tab/>
      </w:r>
      <w:r w:rsidR="007F3D25" w:rsidRPr="00DF5C23">
        <w:rPr>
          <w:noProof/>
          <w:lang w:val="en-IE" w:eastAsia="fr-BE"/>
        </w:rPr>
        <w:t>the common priorities identified by the administrative cooperation group pursuant to Article 6</w:t>
      </w:r>
      <w:r w:rsidR="00137517" w:rsidRPr="00DF5C23">
        <w:rPr>
          <w:noProof/>
          <w:lang w:val="en-IE" w:eastAsia="fr-BE"/>
        </w:rPr>
        <w:t>2</w:t>
      </w:r>
      <w:r w:rsidR="007F3D25" w:rsidRPr="00DF5C23">
        <w:rPr>
          <w:noProof/>
          <w:lang w:val="en-IE" w:eastAsia="fr-BE"/>
        </w:rPr>
        <w:t>(1), point (a);</w:t>
      </w:r>
    </w:p>
    <w:p w14:paraId="2C3A5898" w14:textId="0D20A05C" w:rsidR="007F3D25" w:rsidRPr="00DF5C23" w:rsidRDefault="004F5E59" w:rsidP="004F5E59">
      <w:pPr>
        <w:pStyle w:val="Point1"/>
        <w:rPr>
          <w:noProof/>
          <w:lang w:eastAsia="fr-BE"/>
        </w:rPr>
      </w:pPr>
      <w:r w:rsidRPr="004F5E59">
        <w:t>(d)</w:t>
      </w:r>
      <w:r w:rsidRPr="004F5E59">
        <w:tab/>
      </w:r>
      <w:r w:rsidR="007F3D25" w:rsidRPr="00DF5C23">
        <w:rPr>
          <w:noProof/>
          <w:lang w:val="en-IE" w:eastAsia="fr-BE"/>
        </w:rPr>
        <w:t>where relevant, the priorities included in the implementing acts referred to in Article 5</w:t>
      </w:r>
      <w:r w:rsidR="00137517" w:rsidRPr="00DF5C23">
        <w:rPr>
          <w:noProof/>
          <w:lang w:val="en-IE" w:eastAsia="fr-BE"/>
        </w:rPr>
        <w:t>9</w:t>
      </w:r>
      <w:r w:rsidR="007F3D25" w:rsidRPr="00DF5C23">
        <w:rPr>
          <w:noProof/>
          <w:lang w:val="en-IE" w:eastAsia="fr-BE"/>
        </w:rPr>
        <w:t>(5).</w:t>
      </w:r>
    </w:p>
    <w:p w14:paraId="2C3A5899" w14:textId="26F12B8E" w:rsidR="007F3D25" w:rsidRPr="00DF5C23" w:rsidRDefault="004F5E59" w:rsidP="004F5E59">
      <w:pPr>
        <w:pStyle w:val="ManualNumPar1"/>
        <w:rPr>
          <w:noProof/>
          <w:lang w:eastAsia="fr-BE"/>
        </w:rPr>
      </w:pPr>
      <w:r w:rsidRPr="004F5E59">
        <w:t>2.</w:t>
      </w:r>
      <w:r w:rsidRPr="004F5E59">
        <w:tab/>
      </w:r>
      <w:r w:rsidR="007F3D25" w:rsidRPr="00DF5C23">
        <w:rPr>
          <w:noProof/>
          <w:lang w:eastAsia="fr-BE"/>
        </w:rPr>
        <w:t xml:space="preserve">Market surveillance authorities shall have the right to recover from the responsible economic operator the costs of document inspection and physical product testing in case of non-compliance with </w:t>
      </w:r>
      <w:r w:rsidR="007F3D25" w:rsidRPr="00DF5C23">
        <w:rPr>
          <w:rFonts w:eastAsia="Times New Roman"/>
          <w:noProof/>
          <w:lang w:val="en-IE" w:eastAsia="fr-BE"/>
        </w:rPr>
        <w:t>d</w:t>
      </w:r>
      <w:r w:rsidR="007F3D25" w:rsidRPr="00DF5C23">
        <w:rPr>
          <w:noProof/>
          <w:lang w:val="en-IE" w:eastAsia="fr-BE"/>
        </w:rPr>
        <w:t xml:space="preserve">elegated acts </w:t>
      </w:r>
      <w:r w:rsidR="00552FE2" w:rsidRPr="00DF5C23">
        <w:rPr>
          <w:noProof/>
          <w:lang w:val="en-IE" w:eastAsia="fr-BE"/>
        </w:rPr>
        <w:t>adopted pursuant to Article 4</w:t>
      </w:r>
      <w:r w:rsidR="007F3D25" w:rsidRPr="00DF5C23">
        <w:rPr>
          <w:noProof/>
          <w:lang w:eastAsia="fr-BE"/>
        </w:rPr>
        <w:t>.</w:t>
      </w:r>
    </w:p>
    <w:p w14:paraId="2C3A589A" w14:textId="77777777" w:rsidR="00FF2BAC" w:rsidRPr="00DF5C23" w:rsidRDefault="00FF2BAC"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61</w:t>
      </w:r>
      <w:r w:rsidRPr="00DF5C23">
        <w:rPr>
          <w:noProof/>
        </w:rPr>
        <w:br/>
      </w:r>
      <w:r w:rsidRPr="00DF5C23">
        <w:rPr>
          <w:noProof/>
          <w:lang w:val="en-IE" w:eastAsia="fr-BE"/>
        </w:rPr>
        <w:t>Reporting and benchmarking</w:t>
      </w:r>
    </w:p>
    <w:p w14:paraId="2C3A589B" w14:textId="51A0F559" w:rsidR="007F3D25" w:rsidRPr="00DF5C23" w:rsidRDefault="004F5E59" w:rsidP="004F5E59">
      <w:pPr>
        <w:pStyle w:val="ManualNumPar1"/>
        <w:rPr>
          <w:noProof/>
          <w:lang w:val="en-IE" w:eastAsia="fr-BE"/>
        </w:rPr>
      </w:pPr>
      <w:r w:rsidRPr="004F5E59">
        <w:t>1.</w:t>
      </w:r>
      <w:r w:rsidRPr="004F5E59">
        <w:tab/>
      </w:r>
      <w:r w:rsidR="007F3D25" w:rsidRPr="00DF5C23">
        <w:rPr>
          <w:noProof/>
          <w:lang w:val="en-IE" w:eastAsia="fr-BE"/>
        </w:rPr>
        <w:t>Market surveillance authorities shall enter into the information and communication system referred to in Article 34 of Regulation (EU) 2019/1020 information on the nature and severity of any penalty imposed in relation to non-compliance with this Regulation.</w:t>
      </w:r>
    </w:p>
    <w:p w14:paraId="2C3A589C" w14:textId="16518D28" w:rsidR="007F3D25" w:rsidRPr="00DF5C23" w:rsidRDefault="004F5E59" w:rsidP="004F5E59">
      <w:pPr>
        <w:pStyle w:val="ManualNumPar1"/>
        <w:rPr>
          <w:noProof/>
          <w:lang w:eastAsia="fr-BE"/>
        </w:rPr>
      </w:pPr>
      <w:r w:rsidRPr="004F5E59">
        <w:t>2.</w:t>
      </w:r>
      <w:r w:rsidRPr="004F5E59">
        <w:tab/>
      </w:r>
      <w:r w:rsidR="007F3D25" w:rsidRPr="00DF5C23">
        <w:rPr>
          <w:noProof/>
          <w:lang w:eastAsia="fr-BE"/>
        </w:rPr>
        <w:t xml:space="preserve">The Commission shall, every 2 years, draw up a report by 30 June based on the information </w:t>
      </w:r>
      <w:r w:rsidR="007F3D25" w:rsidRPr="00DF5C23">
        <w:rPr>
          <w:noProof/>
          <w:lang w:val="en-IE" w:eastAsia="fr-BE"/>
        </w:rPr>
        <w:t xml:space="preserve">entered by market surveillance authorities into the information and communication system referred to in Article 34 </w:t>
      </w:r>
      <w:r w:rsidR="007F3D25" w:rsidRPr="00DF5C23">
        <w:rPr>
          <w:noProof/>
          <w:lang w:eastAsia="fr-BE"/>
        </w:rPr>
        <w:t>of Regulation (EU) 2019/1020. The first of these reports shall be published by [</w:t>
      </w:r>
      <w:r w:rsidR="007F3D25" w:rsidRPr="00DF5C23">
        <w:rPr>
          <w:i/>
          <w:noProof/>
          <w:lang w:eastAsia="fr-BE"/>
        </w:rPr>
        <w:t>OP: Please add date: two years after date of application of this Regulation</w:t>
      </w:r>
      <w:r w:rsidR="007F3D25" w:rsidRPr="00DF5C23">
        <w:rPr>
          <w:noProof/>
          <w:lang w:eastAsia="fr-BE"/>
        </w:rPr>
        <w:t>].</w:t>
      </w:r>
    </w:p>
    <w:p w14:paraId="2C3A589D" w14:textId="77777777" w:rsidR="007F3D25" w:rsidRPr="00DF5C23" w:rsidRDefault="007F3D25" w:rsidP="007F3D25">
      <w:pPr>
        <w:pStyle w:val="Text1"/>
        <w:rPr>
          <w:noProof/>
          <w:lang w:eastAsia="fr-BE"/>
        </w:rPr>
      </w:pPr>
      <w:r w:rsidRPr="00DF5C23">
        <w:rPr>
          <w:noProof/>
          <w:lang w:eastAsia="fr-BE"/>
        </w:rPr>
        <w:t xml:space="preserve">The report shall </w:t>
      </w:r>
      <w:r w:rsidRPr="00DF5C23">
        <w:rPr>
          <w:noProof/>
          <w:lang w:val="en-IE" w:eastAsia="fr-BE"/>
        </w:rPr>
        <w:t xml:space="preserve">include: </w:t>
      </w:r>
    </w:p>
    <w:p w14:paraId="2C3A589E" w14:textId="3E532224" w:rsidR="007F3D25" w:rsidRPr="00DF5C23" w:rsidRDefault="004F5E59" w:rsidP="004F5E59">
      <w:pPr>
        <w:pStyle w:val="Point1"/>
        <w:rPr>
          <w:noProof/>
          <w:lang w:eastAsia="fr-BE"/>
        </w:rPr>
      </w:pPr>
      <w:r w:rsidRPr="004F5E59">
        <w:t>(a)</w:t>
      </w:r>
      <w:r w:rsidRPr="004F5E59">
        <w:tab/>
      </w:r>
      <w:r w:rsidR="007F3D25" w:rsidRPr="00DF5C23">
        <w:rPr>
          <w:noProof/>
          <w:lang w:eastAsia="fr-BE"/>
        </w:rPr>
        <w:t xml:space="preserve">information on the nature and number of checks performed by market surveillance authorities during the two previous calendar years pursuant to Article 34(4) and (5) of Regulation (EU) 2019/1020; </w:t>
      </w:r>
    </w:p>
    <w:p w14:paraId="2C3A589F" w14:textId="597D7DE2" w:rsidR="007F3D25" w:rsidRPr="00DF5C23" w:rsidRDefault="004F5E59" w:rsidP="004F5E59">
      <w:pPr>
        <w:pStyle w:val="Point1"/>
        <w:rPr>
          <w:noProof/>
          <w:lang w:eastAsia="fr-BE"/>
        </w:rPr>
      </w:pPr>
      <w:r w:rsidRPr="004F5E59">
        <w:t>(b)</w:t>
      </w:r>
      <w:r w:rsidRPr="004F5E59">
        <w:tab/>
      </w:r>
      <w:r w:rsidR="007F3D25" w:rsidRPr="00DF5C23">
        <w:rPr>
          <w:noProof/>
          <w:lang w:eastAsia="fr-BE"/>
        </w:rPr>
        <w:t xml:space="preserve">information on the levels of non-compliance identified and on the nature and severity of penalties imposed for the two previous calendar years in relation to products covered by </w:t>
      </w:r>
      <w:r w:rsidR="007F3D25" w:rsidRPr="00DF5C23">
        <w:rPr>
          <w:noProof/>
          <w:lang w:val="en-IE" w:eastAsia="fr-BE"/>
        </w:rPr>
        <w:t>delegated acts adopted pursuant to Article 4 of this Regulation;</w:t>
      </w:r>
    </w:p>
    <w:p w14:paraId="2C3A58A0" w14:textId="69902237" w:rsidR="007F3D25" w:rsidRPr="00DF5C23" w:rsidRDefault="004F5E59" w:rsidP="004F5E59">
      <w:pPr>
        <w:pStyle w:val="Point1"/>
        <w:rPr>
          <w:noProof/>
          <w:lang w:eastAsia="fr-BE"/>
        </w:rPr>
      </w:pPr>
      <w:r w:rsidRPr="004F5E59">
        <w:t>(c)</w:t>
      </w:r>
      <w:r w:rsidRPr="004F5E59">
        <w:tab/>
      </w:r>
      <w:r w:rsidR="007F3D25" w:rsidRPr="00DF5C23">
        <w:rPr>
          <w:noProof/>
          <w:lang w:eastAsia="fr-BE"/>
        </w:rPr>
        <w:t xml:space="preserve">a comparison of this information with the activities planned in the context of the action plans drawn up pursuant to Article </w:t>
      </w:r>
      <w:r w:rsidR="00137517" w:rsidRPr="00DF5C23">
        <w:rPr>
          <w:noProof/>
          <w:lang w:eastAsia="fr-BE"/>
        </w:rPr>
        <w:t>59</w:t>
      </w:r>
      <w:r w:rsidR="007F3D25" w:rsidRPr="00DF5C23">
        <w:rPr>
          <w:noProof/>
          <w:lang w:eastAsia="fr-BE"/>
        </w:rPr>
        <w:t>(1);</w:t>
      </w:r>
    </w:p>
    <w:p w14:paraId="2C3A58A1" w14:textId="4BBB3FEC" w:rsidR="007F3D25" w:rsidRPr="00DF5C23" w:rsidRDefault="004F5E59" w:rsidP="004F5E59">
      <w:pPr>
        <w:pStyle w:val="Point1"/>
        <w:rPr>
          <w:noProof/>
          <w:lang w:eastAsia="fr-BE"/>
        </w:rPr>
      </w:pPr>
      <w:r w:rsidRPr="004F5E59">
        <w:t>(d)</w:t>
      </w:r>
      <w:r w:rsidRPr="004F5E59">
        <w:tab/>
      </w:r>
      <w:r w:rsidR="007F3D25" w:rsidRPr="00DF5C23">
        <w:rPr>
          <w:noProof/>
          <w:lang w:eastAsia="fr-BE"/>
        </w:rPr>
        <w:t>indicative benchmarks for market surveillance authorities in relation to the frequency of checks and the nature and severity of penalties imposed.</w:t>
      </w:r>
      <w:r w:rsidR="007F3D25" w:rsidRPr="00DF5C23">
        <w:rPr>
          <w:noProof/>
          <w:lang w:val="en-IE" w:eastAsia="fr-BE"/>
        </w:rPr>
        <w:t xml:space="preserve"> </w:t>
      </w:r>
    </w:p>
    <w:p w14:paraId="2C3A58A2" w14:textId="280E6812" w:rsidR="007F3D25" w:rsidRPr="00DF5C23" w:rsidRDefault="004F5E59" w:rsidP="004F5E59">
      <w:pPr>
        <w:pStyle w:val="ManualNumPar1"/>
        <w:rPr>
          <w:noProof/>
          <w:lang w:val="en-IE" w:eastAsia="fr-BE"/>
        </w:rPr>
      </w:pPr>
      <w:r w:rsidRPr="004F5E59">
        <w:t>3.</w:t>
      </w:r>
      <w:r w:rsidRPr="004F5E59">
        <w:tab/>
      </w:r>
      <w:r w:rsidR="007F3D25" w:rsidRPr="00DF5C23">
        <w:rPr>
          <w:noProof/>
          <w:lang w:val="en-IE" w:eastAsia="fr-BE"/>
        </w:rPr>
        <w:t xml:space="preserve">The Commission shall publish the report </w:t>
      </w:r>
      <w:r w:rsidR="007F3D25" w:rsidRPr="00DF5C23">
        <w:rPr>
          <w:noProof/>
          <w:lang w:eastAsia="fr-BE"/>
        </w:rPr>
        <w:t xml:space="preserve">referred to in paragraph 2 of this Article </w:t>
      </w:r>
      <w:r w:rsidR="007F3D25" w:rsidRPr="00DF5C23">
        <w:rPr>
          <w:noProof/>
          <w:lang w:val="en-IE" w:eastAsia="fr-BE"/>
        </w:rPr>
        <w:t>in the information and communication system referred to in Article 34 of Regulation (EU) 2019/1020 and shall make public a summary of the report.</w:t>
      </w:r>
    </w:p>
    <w:p w14:paraId="2C3A58A3" w14:textId="77777777" w:rsidR="00FF2BAC" w:rsidRPr="00DF5C23" w:rsidRDefault="007F3D25" w:rsidP="007F3D25">
      <w:pPr>
        <w:pStyle w:val="Titrearticle"/>
        <w:rPr>
          <w:noProof/>
          <w:lang w:val="en-IE" w:eastAsia="fr-BE"/>
        </w:rPr>
      </w:pPr>
      <w:r w:rsidRPr="00DF5C23">
        <w:rPr>
          <w:noProof/>
          <w:lang w:val="en-IE" w:eastAsia="fr-BE"/>
        </w:rPr>
        <w:t xml:space="preserve"> </w:t>
      </w:r>
      <w:r w:rsidR="00FF2BAC" w:rsidRPr="00DF5C23">
        <w:rPr>
          <w:noProof/>
          <w:lang w:val="en-IE" w:eastAsia="fr-BE"/>
        </w:rPr>
        <w:t xml:space="preserve">Article </w:t>
      </w:r>
      <w:r w:rsidR="00565D97" w:rsidRPr="00DF5C23">
        <w:rPr>
          <w:noProof/>
          <w:lang w:val="en-IE" w:eastAsia="fr-BE"/>
        </w:rPr>
        <w:t>62</w:t>
      </w:r>
      <w:r w:rsidR="00FF2BAC" w:rsidRPr="00DF5C23">
        <w:rPr>
          <w:noProof/>
        </w:rPr>
        <w:br/>
      </w:r>
      <w:r w:rsidR="00FF2BAC" w:rsidRPr="00DF5C23">
        <w:rPr>
          <w:noProof/>
          <w:lang w:val="en-IE" w:eastAsia="fr-BE"/>
        </w:rPr>
        <w:t>Market surveillance coordination and support</w:t>
      </w:r>
    </w:p>
    <w:p w14:paraId="2C3A58A4" w14:textId="6642B45E" w:rsidR="007F3D25" w:rsidRPr="00DF5C23" w:rsidRDefault="004F5E59" w:rsidP="004F5E59">
      <w:pPr>
        <w:pStyle w:val="ManualNumPar1"/>
        <w:rPr>
          <w:noProof/>
          <w:lang w:val="en-IE" w:eastAsia="fr-BE"/>
        </w:rPr>
      </w:pPr>
      <w:r w:rsidRPr="004F5E59">
        <w:t>1.</w:t>
      </w:r>
      <w:r w:rsidRPr="004F5E59">
        <w:tab/>
      </w:r>
      <w:r w:rsidR="007F3D25" w:rsidRPr="00DF5C23">
        <w:rPr>
          <w:noProof/>
          <w:lang w:val="en-IE" w:eastAsia="fr-BE"/>
        </w:rPr>
        <w:t xml:space="preserve">For the purposes of this Regulation, the administrative cooperation group (‘ADCO’) set up pursuant to Article 30(2) of Regulation (EU) 2019/1020 shall meet at regular intervals and, where necessary, at the reasoned request of the Commission or of two or more participating market surveillance authorities. </w:t>
      </w:r>
    </w:p>
    <w:p w14:paraId="2C3A58A5" w14:textId="77777777" w:rsidR="007F3D25" w:rsidRPr="00DF5C23" w:rsidRDefault="007F3D25" w:rsidP="007F3D25">
      <w:pPr>
        <w:pStyle w:val="Text1"/>
        <w:rPr>
          <w:noProof/>
          <w:color w:val="000000" w:themeColor="text1"/>
          <w:lang w:val="en-IE" w:eastAsia="fr-BE"/>
        </w:rPr>
      </w:pPr>
      <w:r w:rsidRPr="00DF5C23">
        <w:rPr>
          <w:noProof/>
          <w:lang w:val="en-IE" w:eastAsia="fr-BE"/>
        </w:rPr>
        <w:t xml:space="preserve">In the context of performing its tasks set out in Article 32 of Regulation (EU) 2019/1020, the ADCO shall support the implementation of the action plans drawn up pursuant to Article </w:t>
      </w:r>
      <w:r w:rsidR="00137517" w:rsidRPr="00DF5C23">
        <w:rPr>
          <w:noProof/>
          <w:lang w:val="en-IE" w:eastAsia="fr-BE"/>
        </w:rPr>
        <w:t>59</w:t>
      </w:r>
      <w:r w:rsidRPr="00DF5C23">
        <w:rPr>
          <w:noProof/>
          <w:lang w:val="en-IE" w:eastAsia="fr-BE"/>
        </w:rPr>
        <w:t>(1) and shall identify</w:t>
      </w:r>
      <w:r w:rsidRPr="00DF5C23">
        <w:rPr>
          <w:noProof/>
          <w:color w:val="000000" w:themeColor="text1"/>
          <w:lang w:val="en-IE" w:eastAsia="fr-BE"/>
        </w:rPr>
        <w:t>:</w:t>
      </w:r>
    </w:p>
    <w:p w14:paraId="2C3A58A6" w14:textId="73718D32" w:rsidR="007F3D25" w:rsidRPr="00DF5C23" w:rsidRDefault="004F5E59" w:rsidP="004F5E59">
      <w:pPr>
        <w:pStyle w:val="Point1"/>
        <w:rPr>
          <w:noProof/>
          <w:lang w:val="en-IE" w:eastAsia="fr-BE"/>
        </w:rPr>
      </w:pPr>
      <w:r w:rsidRPr="004F5E59">
        <w:t>(a)</w:t>
      </w:r>
      <w:r w:rsidRPr="004F5E59">
        <w:tab/>
      </w:r>
      <w:r w:rsidR="007F3D25" w:rsidRPr="00DF5C23">
        <w:rPr>
          <w:noProof/>
          <w:lang w:val="en-IE" w:eastAsia="fr-BE"/>
        </w:rPr>
        <w:t xml:space="preserve">common priorities for market surveillance as referred to in Article </w:t>
      </w:r>
      <w:r w:rsidR="00137517" w:rsidRPr="00DF5C23">
        <w:rPr>
          <w:noProof/>
          <w:lang w:val="en-IE" w:eastAsia="fr-BE"/>
        </w:rPr>
        <w:t>59</w:t>
      </w:r>
      <w:r w:rsidR="007F3D25" w:rsidRPr="00DF5C23">
        <w:rPr>
          <w:noProof/>
          <w:lang w:val="en-IE" w:eastAsia="fr-BE"/>
        </w:rPr>
        <w:t xml:space="preserve">(1), point (a), based on objective criteria as referred to in Article </w:t>
      </w:r>
      <w:r w:rsidR="00137517" w:rsidRPr="00DF5C23">
        <w:rPr>
          <w:noProof/>
          <w:lang w:val="en-IE" w:eastAsia="fr-BE"/>
        </w:rPr>
        <w:t>59</w:t>
      </w:r>
      <w:r w:rsidR="007F3D25" w:rsidRPr="00DF5C23">
        <w:rPr>
          <w:noProof/>
          <w:lang w:val="en-IE" w:eastAsia="fr-BE"/>
        </w:rPr>
        <w:t>(2);</w:t>
      </w:r>
    </w:p>
    <w:p w14:paraId="2C3A58A7" w14:textId="79600375" w:rsidR="007F3D25" w:rsidRPr="00DF5C23" w:rsidRDefault="004F5E59" w:rsidP="004F5E59">
      <w:pPr>
        <w:pStyle w:val="Point1"/>
        <w:rPr>
          <w:noProof/>
          <w:lang w:val="en-IE" w:eastAsia="fr-BE"/>
        </w:rPr>
      </w:pPr>
      <w:r w:rsidRPr="004F5E59">
        <w:t>(b)</w:t>
      </w:r>
      <w:r w:rsidRPr="004F5E59">
        <w:tab/>
      </w:r>
      <w:r w:rsidR="007F3D25" w:rsidRPr="00DF5C23">
        <w:rPr>
          <w:noProof/>
          <w:lang w:val="en-IE" w:eastAsia="fr-BE"/>
        </w:rPr>
        <w:t>priorities for Union support pursuant to paragraph 2;</w:t>
      </w:r>
    </w:p>
    <w:p w14:paraId="2C3A58A8" w14:textId="3DA83758" w:rsidR="007F3D25" w:rsidRPr="00DF5C23" w:rsidRDefault="004F5E59" w:rsidP="004F5E59">
      <w:pPr>
        <w:pStyle w:val="Point1"/>
        <w:rPr>
          <w:noProof/>
          <w:lang w:val="en-IE" w:eastAsia="fr-BE"/>
        </w:rPr>
      </w:pPr>
      <w:r w:rsidRPr="004F5E59">
        <w:t>(c)</w:t>
      </w:r>
      <w:r w:rsidRPr="004F5E59">
        <w:tab/>
      </w:r>
      <w:r w:rsidR="007F3D25" w:rsidRPr="00DF5C23">
        <w:rPr>
          <w:noProof/>
          <w:lang w:val="en-IE" w:eastAsia="fr-BE"/>
        </w:rPr>
        <w:t xml:space="preserve">requirements set out in </w:t>
      </w:r>
      <w:r w:rsidR="007F3D25" w:rsidRPr="00DF5C23">
        <w:rPr>
          <w:rFonts w:eastAsia="Times New Roman"/>
          <w:noProof/>
          <w:lang w:val="en-IE" w:eastAsia="fr-BE"/>
        </w:rPr>
        <w:t>d</w:t>
      </w:r>
      <w:r w:rsidR="007F3D25" w:rsidRPr="00DF5C23">
        <w:rPr>
          <w:noProof/>
          <w:lang w:val="en-IE" w:eastAsia="fr-BE"/>
        </w:rPr>
        <w:t xml:space="preserve">elegated acts adopted pursuant to Article 4 that are applied or interpreted differently that should be priorities for the organisation of common trainings or adoption of guidelines pursuant to paragraph 2 of this Article.   </w:t>
      </w:r>
    </w:p>
    <w:p w14:paraId="2C3A58A9" w14:textId="3FB27E68" w:rsidR="007F3D25" w:rsidRPr="00DF5C23" w:rsidRDefault="004F5E59" w:rsidP="004F5E59">
      <w:pPr>
        <w:pStyle w:val="ManualNumPar1"/>
        <w:rPr>
          <w:noProof/>
          <w:lang w:val="en-IE" w:eastAsia="fr-BE"/>
        </w:rPr>
      </w:pPr>
      <w:r w:rsidRPr="004F5E59">
        <w:t>2.</w:t>
      </w:r>
      <w:r w:rsidRPr="004F5E59">
        <w:tab/>
      </w:r>
      <w:r w:rsidR="007F3D25" w:rsidRPr="00DF5C23">
        <w:rPr>
          <w:noProof/>
          <w:lang w:val="en-IE" w:eastAsia="fr-BE"/>
        </w:rPr>
        <w:t>Based on priorities identified by the ADCO, the Commission shall:</w:t>
      </w:r>
    </w:p>
    <w:p w14:paraId="2C3A58AA" w14:textId="59A8E6FE" w:rsidR="007F3D25" w:rsidRPr="00DF5C23" w:rsidRDefault="004F5E59" w:rsidP="004F5E59">
      <w:pPr>
        <w:pStyle w:val="Point1"/>
        <w:rPr>
          <w:noProof/>
          <w:lang w:val="en-IE" w:eastAsia="fr-BE"/>
        </w:rPr>
      </w:pPr>
      <w:r w:rsidRPr="004F5E59">
        <w:t>(a)</w:t>
      </w:r>
      <w:r w:rsidRPr="004F5E59">
        <w:tab/>
      </w:r>
      <w:r w:rsidR="007F3D25" w:rsidRPr="00DF5C23">
        <w:rPr>
          <w:noProof/>
          <w:lang w:val="en-IE" w:eastAsia="fr-BE"/>
        </w:rPr>
        <w:t>organise joint market surveillance and testing projects in areas of common interest;</w:t>
      </w:r>
    </w:p>
    <w:p w14:paraId="2C3A58AB" w14:textId="5998E57E" w:rsidR="007F3D25" w:rsidRPr="00DF5C23" w:rsidRDefault="004F5E59" w:rsidP="004F5E59">
      <w:pPr>
        <w:pStyle w:val="Point1"/>
        <w:rPr>
          <w:noProof/>
          <w:lang w:val="en-IE" w:eastAsia="fr-BE"/>
        </w:rPr>
      </w:pPr>
      <w:r w:rsidRPr="004F5E59">
        <w:t>(b)</w:t>
      </w:r>
      <w:r w:rsidRPr="004F5E59">
        <w:tab/>
      </w:r>
      <w:r w:rsidR="007F3D25" w:rsidRPr="00DF5C23">
        <w:rPr>
          <w:noProof/>
          <w:lang w:val="en-IE" w:eastAsia="fr-BE"/>
        </w:rPr>
        <w:t>organise joint investment in market surveillance capacities, including equipment and IT tools;</w:t>
      </w:r>
    </w:p>
    <w:p w14:paraId="2C3A58AC" w14:textId="506F5190" w:rsidR="007F3D25" w:rsidRPr="00DF5C23" w:rsidRDefault="004F5E59" w:rsidP="004F5E59">
      <w:pPr>
        <w:pStyle w:val="Point1"/>
        <w:rPr>
          <w:noProof/>
          <w:lang w:val="en-IE" w:eastAsia="fr-BE"/>
        </w:rPr>
      </w:pPr>
      <w:r w:rsidRPr="004F5E59">
        <w:t>(c)</w:t>
      </w:r>
      <w:r w:rsidRPr="004F5E59">
        <w:tab/>
      </w:r>
      <w:r w:rsidR="007F3D25" w:rsidRPr="00DF5C23">
        <w:rPr>
          <w:noProof/>
          <w:lang w:val="en-IE" w:eastAsia="fr-BE"/>
        </w:rPr>
        <w:t xml:space="preserve">organise common trainings for the staff of market surveillance authorities, notifying authorities and notified bodies, including on the correct interpretation and application of requirements set out in </w:t>
      </w:r>
      <w:r w:rsidR="007F3D25" w:rsidRPr="00DF5C23">
        <w:rPr>
          <w:rFonts w:eastAsia="Times New Roman"/>
          <w:noProof/>
          <w:lang w:val="en-IE" w:eastAsia="fr-BE"/>
        </w:rPr>
        <w:t>d</w:t>
      </w:r>
      <w:r w:rsidR="007F3D25" w:rsidRPr="00DF5C23">
        <w:rPr>
          <w:noProof/>
          <w:lang w:val="en-IE" w:eastAsia="fr-BE"/>
        </w:rPr>
        <w:t xml:space="preserve">elegated acts adopted pursuant to Article 4 and on methods and techniques relevant for applying or verifying compliance with such; </w:t>
      </w:r>
    </w:p>
    <w:p w14:paraId="2C3A58AD" w14:textId="3AA7BFA1" w:rsidR="007F3D25" w:rsidRPr="00DF5C23" w:rsidRDefault="004F5E59" w:rsidP="004F5E59">
      <w:pPr>
        <w:pStyle w:val="Point1"/>
        <w:rPr>
          <w:noProof/>
          <w:lang w:val="en-IE" w:eastAsia="fr-BE"/>
        </w:rPr>
      </w:pPr>
      <w:r w:rsidRPr="004F5E59">
        <w:t>(d)</w:t>
      </w:r>
      <w:r w:rsidRPr="004F5E59">
        <w:tab/>
      </w:r>
      <w:r w:rsidR="007F3D25" w:rsidRPr="00DF5C23">
        <w:rPr>
          <w:noProof/>
          <w:lang w:val="en-IE" w:eastAsia="fr-BE"/>
        </w:rPr>
        <w:t xml:space="preserve">elaborate guidelines for the application and enforcement of requirements set out in </w:t>
      </w:r>
      <w:r w:rsidR="007F3D25" w:rsidRPr="00DF5C23">
        <w:rPr>
          <w:rFonts w:eastAsia="Times New Roman"/>
          <w:noProof/>
          <w:lang w:val="en-IE" w:eastAsia="fr-BE"/>
        </w:rPr>
        <w:t>d</w:t>
      </w:r>
      <w:r w:rsidR="007F3D25" w:rsidRPr="00DF5C23">
        <w:rPr>
          <w:noProof/>
          <w:lang w:val="en-IE" w:eastAsia="fr-BE"/>
        </w:rPr>
        <w:t>elegated acts adopted pursuant to Article 4, including common practices and methodologies for effective market surveillance.</w:t>
      </w:r>
    </w:p>
    <w:p w14:paraId="2C3A58AE" w14:textId="77777777" w:rsidR="007F3D25" w:rsidRPr="00DF5C23" w:rsidRDefault="007F3D25" w:rsidP="007F3D25">
      <w:pPr>
        <w:pStyle w:val="Text1"/>
        <w:rPr>
          <w:noProof/>
          <w:lang w:val="en-IE" w:eastAsia="fr-BE"/>
        </w:rPr>
      </w:pPr>
      <w:r w:rsidRPr="00DF5C23">
        <w:rPr>
          <w:noProof/>
          <w:lang w:val="en-IE" w:eastAsia="fr-BE"/>
        </w:rPr>
        <w:t xml:space="preserve">The Union shall, where appropriate, finance the actions referred to in points (a), (b) and (c). </w:t>
      </w:r>
    </w:p>
    <w:p w14:paraId="2C3A58AF" w14:textId="544A1F83" w:rsidR="00FF2BAC" w:rsidRPr="00DF5C23" w:rsidRDefault="004F5E59" w:rsidP="004F5E59">
      <w:pPr>
        <w:pStyle w:val="ManualNumPar1"/>
        <w:rPr>
          <w:noProof/>
          <w:lang w:val="en-IE" w:eastAsia="fr-BE"/>
        </w:rPr>
      </w:pPr>
      <w:r w:rsidRPr="004F5E59">
        <w:t>3.</w:t>
      </w:r>
      <w:r w:rsidRPr="004F5E59">
        <w:tab/>
      </w:r>
      <w:r w:rsidR="007F3D25" w:rsidRPr="00DF5C23">
        <w:rPr>
          <w:noProof/>
          <w:lang w:val="en-IE" w:eastAsia="fr-BE"/>
        </w:rPr>
        <w:t>The Commission shall provide technical and logistic support to ensure the ADCO fulfils its tasks set out in Article 32 of Regulation (EU) 2019/1020 and this Article.</w:t>
      </w:r>
    </w:p>
    <w:p w14:paraId="2C3A58B0" w14:textId="77777777" w:rsidR="00FF2BAC" w:rsidRPr="00DF5C23" w:rsidRDefault="0681B866" w:rsidP="00F77587">
      <w:pPr>
        <w:pStyle w:val="ManualHeading1"/>
        <w:jc w:val="center"/>
        <w:rPr>
          <w:noProof/>
          <w:lang w:val="en-IE"/>
        </w:rPr>
      </w:pPr>
      <w:r w:rsidRPr="00DF5C23">
        <w:rPr>
          <w:noProof/>
        </w:rPr>
        <w:t>Chapter XI</w:t>
      </w:r>
      <w:r w:rsidR="00A625AD" w:rsidRPr="00DF5C23">
        <w:rPr>
          <w:noProof/>
        </w:rPr>
        <w:t>I</w:t>
      </w:r>
      <w:r w:rsidR="00F77587" w:rsidRPr="00DF5C23">
        <w:rPr>
          <w:noProof/>
        </w:rPr>
        <w:t xml:space="preserve"> - </w:t>
      </w:r>
      <w:r w:rsidRPr="00DF5C23">
        <w:rPr>
          <w:noProof/>
        </w:rPr>
        <w:t>Safeguard procedures</w:t>
      </w:r>
    </w:p>
    <w:p w14:paraId="2C3A58B1" w14:textId="77777777" w:rsidR="00FF2BAC" w:rsidRPr="00DF5C23" w:rsidRDefault="00FF2BAC" w:rsidP="0681B866">
      <w:pPr>
        <w:pStyle w:val="Titrearticle"/>
        <w:rPr>
          <w:noProof/>
          <w:lang w:val="en-IE" w:eastAsia="fr-BE"/>
        </w:rPr>
      </w:pPr>
      <w:r w:rsidRPr="00DF5C23">
        <w:rPr>
          <w:noProof/>
          <w:lang w:eastAsia="fr-BE"/>
        </w:rPr>
        <w:t xml:space="preserve">Article </w:t>
      </w:r>
      <w:r w:rsidR="00565D97" w:rsidRPr="00DF5C23">
        <w:rPr>
          <w:noProof/>
          <w:lang w:eastAsia="fr-BE"/>
        </w:rPr>
        <w:t>63</w:t>
      </w:r>
      <w:r w:rsidRPr="00DF5C23">
        <w:rPr>
          <w:noProof/>
        </w:rPr>
        <w:br/>
      </w:r>
      <w:r w:rsidRPr="00DF5C23">
        <w:rPr>
          <w:noProof/>
          <w:lang w:val="en-IE" w:eastAsia="fr-BE"/>
        </w:rPr>
        <w:t>Procedure for dealing with products</w:t>
      </w:r>
      <w:r w:rsidR="008017E5" w:rsidRPr="00DF5C23">
        <w:rPr>
          <w:noProof/>
          <w:lang w:val="en-IE" w:eastAsia="fr-BE"/>
        </w:rPr>
        <w:t xml:space="preserve"> presenting a risk</w:t>
      </w:r>
      <w:r w:rsidRPr="00DF5C23">
        <w:rPr>
          <w:noProof/>
          <w:lang w:val="en-IE" w:eastAsia="fr-BE"/>
        </w:rPr>
        <w:t xml:space="preserve"> at national level</w:t>
      </w:r>
    </w:p>
    <w:p w14:paraId="2C3A58B2" w14:textId="586FCE4C" w:rsidR="00FF2BAC" w:rsidRPr="00DF5C23" w:rsidRDefault="004F5E59" w:rsidP="004F5E59">
      <w:pPr>
        <w:pStyle w:val="ManualNumPar1"/>
        <w:rPr>
          <w:noProof/>
          <w:lang w:val="en-IE" w:eastAsia="fr-BE"/>
        </w:rPr>
      </w:pPr>
      <w:r w:rsidRPr="004F5E59">
        <w:t>1.</w:t>
      </w:r>
      <w:r w:rsidRPr="004F5E59">
        <w:tab/>
      </w:r>
      <w:r w:rsidR="00FF2BAC" w:rsidRPr="00DF5C23">
        <w:rPr>
          <w:noProof/>
          <w:lang w:val="en-IE" w:eastAsia="fr-BE"/>
        </w:rPr>
        <w:t xml:space="preserve">Where the market surveillance authorities of one Member State have sufficient </w:t>
      </w:r>
      <w:r w:rsidR="0055208A" w:rsidRPr="00DF5C23">
        <w:rPr>
          <w:noProof/>
          <w:color w:val="000000" w:themeColor="text1"/>
          <w:lang w:val="en-IE" w:eastAsia="fr-BE"/>
        </w:rPr>
        <w:t>reason to believe that</w:t>
      </w:r>
      <w:r w:rsidR="00FF2BAC" w:rsidRPr="00DF5C23">
        <w:rPr>
          <w:noProof/>
          <w:lang w:val="en-IE" w:eastAsia="fr-BE"/>
        </w:rPr>
        <w:t xml:space="preserve"> a product covered by a delegated act </w:t>
      </w:r>
      <w:r w:rsidR="00552FE2" w:rsidRPr="00DF5C23">
        <w:rPr>
          <w:noProof/>
          <w:lang w:val="en-IE" w:eastAsia="fr-BE"/>
        </w:rPr>
        <w:t>adopted pursuant to Article 4</w:t>
      </w:r>
      <w:r w:rsidR="00CE7F8A" w:rsidRPr="00DF5C23">
        <w:rPr>
          <w:noProof/>
          <w:lang w:val="en-IE" w:eastAsia="fr-BE"/>
        </w:rPr>
        <w:t>presents a risk</w:t>
      </w:r>
      <w:r w:rsidR="00FF2BAC" w:rsidRPr="00DF5C23">
        <w:rPr>
          <w:noProof/>
          <w:lang w:val="en-IE" w:eastAsia="fr-BE"/>
        </w:rPr>
        <w:t xml:space="preserve">, they shall carry out an evaluation covering all </w:t>
      </w:r>
      <w:r w:rsidR="00506E86" w:rsidRPr="00DF5C23">
        <w:rPr>
          <w:noProof/>
          <w:lang w:val="en-IE" w:eastAsia="fr-BE"/>
        </w:rPr>
        <w:t xml:space="preserve">requirements </w:t>
      </w:r>
      <w:r w:rsidR="00506E86" w:rsidRPr="00DF5C23">
        <w:rPr>
          <w:noProof/>
        </w:rPr>
        <w:t>relevant to the risk and laid down in this Regulation or in the relevant delegated act</w:t>
      </w:r>
      <w:r w:rsidR="00506E86" w:rsidRPr="00DF5C23" w:rsidDel="007E3F44">
        <w:rPr>
          <w:noProof/>
          <w:lang w:val="en-IE" w:eastAsia="fr-BE"/>
        </w:rPr>
        <w:t>.</w:t>
      </w:r>
      <w:r w:rsidR="00FF2BAC" w:rsidRPr="00DF5C23">
        <w:rPr>
          <w:noProof/>
          <w:lang w:val="en-IE" w:eastAsia="fr-BE"/>
        </w:rPr>
        <w:t xml:space="preserve"> The relevant economic operators shall cooperate as necessary with the market surveillance authorities.</w:t>
      </w:r>
    </w:p>
    <w:p w14:paraId="2C3A58B3" w14:textId="77777777" w:rsidR="00FF2BAC" w:rsidRPr="00DF5C23" w:rsidRDefault="0681B866" w:rsidP="0681B866">
      <w:pPr>
        <w:pStyle w:val="Text1"/>
        <w:rPr>
          <w:noProof/>
          <w:lang w:val="en-IE" w:eastAsia="fr-BE"/>
        </w:rPr>
      </w:pPr>
      <w:r w:rsidRPr="00DF5C23">
        <w:rPr>
          <w:noProof/>
          <w:lang w:val="en-IE" w:eastAsia="fr-BE"/>
        </w:rPr>
        <w:t xml:space="preserve">Where, in the course of that evaluation, the market surveillance authorities find that the product does not comply with the requirements laid down in the applicable delegated acts </w:t>
      </w:r>
      <w:r w:rsidR="00552FE2" w:rsidRPr="00DF5C23">
        <w:rPr>
          <w:noProof/>
          <w:lang w:val="en-IE" w:eastAsia="fr-BE"/>
        </w:rPr>
        <w:t>adopted pursuant to Article 4</w:t>
      </w:r>
      <w:r w:rsidRPr="00DF5C23">
        <w:rPr>
          <w:noProof/>
          <w:lang w:val="en-IE" w:eastAsia="fr-BE"/>
        </w:rPr>
        <w:t xml:space="preserve">, they shall without delay require the relevant economic operator to take appropriate and proportionate corrective action, within a reasonable period prescribed by the market surveillance authorities and commensurate with the nature and where relevant the degree of the non-compliance, to bring the non-compliance to an end. The corrective action required to be taken by the economic operator may include the actions listed in Article 16(3) of </w:t>
      </w:r>
      <w:r w:rsidRPr="00DF5C23">
        <w:rPr>
          <w:noProof/>
          <w:color w:val="000000" w:themeColor="text1"/>
          <w:lang w:val="en-IE" w:eastAsia="en-GB"/>
        </w:rPr>
        <w:t>Regulation (EU) 2019/1020</w:t>
      </w:r>
      <w:r w:rsidRPr="00DF5C23">
        <w:rPr>
          <w:noProof/>
          <w:lang w:val="en-IE" w:eastAsia="fr-BE"/>
        </w:rPr>
        <w:t xml:space="preserve">. </w:t>
      </w:r>
    </w:p>
    <w:p w14:paraId="2C3A58B4" w14:textId="77777777" w:rsidR="00FF2BAC" w:rsidRPr="00DF5C23" w:rsidRDefault="0681B866" w:rsidP="0681B866">
      <w:pPr>
        <w:pStyle w:val="Text1"/>
        <w:rPr>
          <w:noProof/>
          <w:lang w:val="en-IE" w:eastAsia="fr-BE"/>
        </w:rPr>
      </w:pPr>
      <w:r w:rsidRPr="00DF5C23">
        <w:rPr>
          <w:noProof/>
          <w:lang w:val="en-IE" w:eastAsia="fr-BE"/>
        </w:rPr>
        <w:t>The market surveillance authorities shall inform the relevant notified body accordingly.</w:t>
      </w:r>
    </w:p>
    <w:p w14:paraId="2C3A58B5" w14:textId="0CCE1106" w:rsidR="00FF2BAC"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Where the market surveillance authorities consider that non-compliance is not restricted to their national territory, they shall inform the Commission and the other Member States of the results of the evaluation and of the actions which they have required the economic operator to take.</w:t>
      </w:r>
    </w:p>
    <w:p w14:paraId="2C3A58B6" w14:textId="6C62290F" w:rsidR="00FF2BAC" w:rsidRPr="00DF5C23" w:rsidRDefault="004F5E59" w:rsidP="004F5E59">
      <w:pPr>
        <w:pStyle w:val="ManualNumPar1"/>
        <w:rPr>
          <w:noProof/>
          <w:lang w:val="en-IE" w:eastAsia="fr-BE"/>
        </w:rPr>
      </w:pPr>
      <w:r w:rsidRPr="004F5E59">
        <w:t>3.</w:t>
      </w:r>
      <w:r w:rsidRPr="004F5E59">
        <w:tab/>
      </w:r>
      <w:r w:rsidR="0681B866" w:rsidRPr="00DF5C23">
        <w:rPr>
          <w:noProof/>
          <w:lang w:val="en-IE" w:eastAsia="fr-BE"/>
        </w:rPr>
        <w:t>The economic operator shall ensure that all appropriate corrective action is taken in respect of all the products concerned that it has made available on the market throughout the Union.</w:t>
      </w:r>
    </w:p>
    <w:p w14:paraId="2C3A58B7" w14:textId="141107BA" w:rsidR="00FF2BAC" w:rsidRPr="00DF5C23" w:rsidRDefault="004F5E59" w:rsidP="004F5E59">
      <w:pPr>
        <w:pStyle w:val="ManualNumPar1"/>
        <w:rPr>
          <w:noProof/>
          <w:lang w:val="en-IE" w:eastAsia="fr-BE"/>
        </w:rPr>
      </w:pPr>
      <w:r w:rsidRPr="004F5E59">
        <w:t>4.</w:t>
      </w:r>
      <w:r w:rsidRPr="004F5E59">
        <w:tab/>
      </w:r>
      <w:r w:rsidR="0681B866" w:rsidRPr="00DF5C23">
        <w:rPr>
          <w:noProof/>
          <w:lang w:val="en-IE" w:eastAsia="fr-BE"/>
        </w:rPr>
        <w:t>Where the relevant economic operator does not take corrective action within the period referred to in the second subparagraph of paragraph 1 or the non-compliance persists, the market surveillance authorities shall take all appropriate provisional measures to prohibit or restrict the making available of the product concerned on their national market, to withdraw the product from that market or to recall it.</w:t>
      </w:r>
    </w:p>
    <w:p w14:paraId="2C3A58B8" w14:textId="77777777" w:rsidR="00FF2BAC" w:rsidRPr="00DF5C23" w:rsidRDefault="0681B866" w:rsidP="0681B866">
      <w:pPr>
        <w:pStyle w:val="Text1"/>
        <w:rPr>
          <w:noProof/>
          <w:lang w:val="en-IE" w:eastAsia="fr-BE"/>
        </w:rPr>
      </w:pPr>
      <w:r w:rsidRPr="00DF5C23">
        <w:rPr>
          <w:noProof/>
          <w:lang w:val="en-IE" w:eastAsia="fr-BE"/>
        </w:rPr>
        <w:t>They shall inform the Commission and the other Member States, without delay, of those measures.</w:t>
      </w:r>
    </w:p>
    <w:p w14:paraId="2C3A58B9" w14:textId="302EF245" w:rsidR="00FF2BAC" w:rsidRPr="00DF5C23" w:rsidRDefault="004F5E59" w:rsidP="004F5E59">
      <w:pPr>
        <w:pStyle w:val="ManualNumPar1"/>
        <w:rPr>
          <w:noProof/>
          <w:lang w:val="en-IE" w:eastAsia="fr-BE"/>
        </w:rPr>
      </w:pPr>
      <w:r w:rsidRPr="004F5E59">
        <w:t>5.</w:t>
      </w:r>
      <w:r w:rsidRPr="004F5E59">
        <w:tab/>
      </w:r>
      <w:r w:rsidR="0681B866" w:rsidRPr="00DF5C23">
        <w:rPr>
          <w:noProof/>
          <w:lang w:val="en-IE" w:eastAsia="fr-BE"/>
        </w:rPr>
        <w:t xml:space="preserve">The information to the Commission and the other Member States referred to in paragraph 4 shall be communicated through the information and communication system referred to in Article 34 of </w:t>
      </w:r>
      <w:r w:rsidR="0681B866" w:rsidRPr="00DF5C23">
        <w:rPr>
          <w:noProof/>
          <w:color w:val="000000" w:themeColor="text1"/>
          <w:lang w:val="en-IE" w:eastAsia="en-GB"/>
        </w:rPr>
        <w:t xml:space="preserve">Regulation (EU) 2019/1020 </w:t>
      </w:r>
      <w:r w:rsidR="0681B866" w:rsidRPr="00DF5C23">
        <w:rPr>
          <w:noProof/>
          <w:lang w:val="en-IE" w:eastAsia="fr-BE"/>
        </w:rPr>
        <w:t>and shall include all available details, in particular the data necessary for the identification of the non-compliant product, the origin of the product, the nature of the non-compliance alleged and the non-compliance involved, the nature and duration of the national measures taken and the arguments put forward by the relevant economic operator. The market surveillance authorities shall also indicate whether the non-compliance is due to either:</w:t>
      </w:r>
    </w:p>
    <w:p w14:paraId="2C3A58BA" w14:textId="77270D1C" w:rsidR="00FF2BAC" w:rsidRPr="00DF5C23" w:rsidRDefault="004F5E59" w:rsidP="004F5E59">
      <w:pPr>
        <w:pStyle w:val="Point1"/>
        <w:rPr>
          <w:noProof/>
          <w:lang w:val="en-IE" w:eastAsia="fr-BE"/>
        </w:rPr>
      </w:pPr>
      <w:r w:rsidRPr="004F5E59">
        <w:t>(a)</w:t>
      </w:r>
      <w:r w:rsidRPr="004F5E59">
        <w:tab/>
      </w:r>
      <w:r w:rsidR="0681B866" w:rsidRPr="00DF5C23">
        <w:rPr>
          <w:noProof/>
          <w:lang w:val="en-IE" w:eastAsia="fr-BE"/>
        </w:rPr>
        <w:t xml:space="preserve">failure of the product to meet requirements set out in the relevant delegated act </w:t>
      </w:r>
      <w:r w:rsidR="00552FE2" w:rsidRPr="00DF5C23">
        <w:rPr>
          <w:noProof/>
          <w:lang w:val="en-IE" w:eastAsia="fr-BE"/>
        </w:rPr>
        <w:t>adopted pursuant to Article 4</w:t>
      </w:r>
      <w:r w:rsidR="0681B866" w:rsidRPr="00DF5C23">
        <w:rPr>
          <w:noProof/>
          <w:lang w:val="en-IE" w:eastAsia="fr-BE"/>
        </w:rPr>
        <w:t>; or</w:t>
      </w:r>
    </w:p>
    <w:p w14:paraId="2C3A58BB" w14:textId="21CAABA1" w:rsidR="00FF2BAC" w:rsidRPr="00DF5C23" w:rsidRDefault="004F5E59" w:rsidP="004F5E59">
      <w:pPr>
        <w:pStyle w:val="Point1"/>
        <w:rPr>
          <w:noProof/>
          <w:lang w:val="en-IE" w:eastAsia="fr-BE"/>
        </w:rPr>
      </w:pPr>
      <w:r w:rsidRPr="004F5E59">
        <w:t>(b)</w:t>
      </w:r>
      <w:r w:rsidRPr="004F5E59">
        <w:tab/>
      </w:r>
      <w:r w:rsidR="00FF2BAC" w:rsidRPr="00DF5C23">
        <w:rPr>
          <w:noProof/>
          <w:lang w:val="en-IE" w:eastAsia="fr-BE"/>
        </w:rPr>
        <w:t xml:space="preserve">shortcomings in the harmonised standards or common specification referred to in Articles </w:t>
      </w:r>
      <w:r w:rsidR="00E22445" w:rsidRPr="00DF5C23">
        <w:rPr>
          <w:noProof/>
          <w:lang w:val="en-IE" w:eastAsia="fr-BE"/>
        </w:rPr>
        <w:t>3</w:t>
      </w:r>
      <w:r w:rsidR="00137517" w:rsidRPr="00DF5C23">
        <w:rPr>
          <w:noProof/>
          <w:lang w:val="en-IE" w:eastAsia="fr-BE"/>
        </w:rPr>
        <w:t>4</w:t>
      </w:r>
      <w:r w:rsidR="00E22445" w:rsidRPr="00DF5C23">
        <w:rPr>
          <w:noProof/>
          <w:lang w:val="en-IE" w:eastAsia="fr-BE"/>
        </w:rPr>
        <w:t xml:space="preserve"> </w:t>
      </w:r>
      <w:r w:rsidR="00FF2BAC" w:rsidRPr="00DF5C23">
        <w:rPr>
          <w:noProof/>
          <w:lang w:val="en-IE" w:eastAsia="fr-BE"/>
        </w:rPr>
        <w:t xml:space="preserve">and </w:t>
      </w:r>
      <w:r w:rsidR="00E22445" w:rsidRPr="00DF5C23">
        <w:rPr>
          <w:noProof/>
          <w:lang w:val="en-IE" w:eastAsia="fr-BE"/>
        </w:rPr>
        <w:t>3</w:t>
      </w:r>
      <w:r w:rsidR="00137517" w:rsidRPr="00DF5C23">
        <w:rPr>
          <w:noProof/>
          <w:lang w:val="en-IE" w:eastAsia="fr-BE"/>
        </w:rPr>
        <w:t>5</w:t>
      </w:r>
      <w:r w:rsidR="00E22445" w:rsidRPr="00DF5C23">
        <w:rPr>
          <w:noProof/>
          <w:lang w:val="en-IE" w:eastAsia="fr-BE"/>
        </w:rPr>
        <w:t xml:space="preserve"> </w:t>
      </w:r>
      <w:r w:rsidR="00FF2BAC" w:rsidRPr="00DF5C23">
        <w:rPr>
          <w:noProof/>
          <w:lang w:val="en-IE" w:eastAsia="fr-BE"/>
        </w:rPr>
        <w:t>conferring a presumption of conformity.</w:t>
      </w:r>
    </w:p>
    <w:p w14:paraId="2C3A58BC" w14:textId="477655E9" w:rsidR="00FF2BAC" w:rsidRPr="00DF5C23" w:rsidRDefault="004F5E59" w:rsidP="004F5E59">
      <w:pPr>
        <w:pStyle w:val="ManualNumPar1"/>
        <w:rPr>
          <w:noProof/>
          <w:lang w:val="en-IE" w:eastAsia="fr-BE"/>
        </w:rPr>
      </w:pPr>
      <w:r w:rsidRPr="004F5E59">
        <w:t>6.</w:t>
      </w:r>
      <w:r w:rsidRPr="004F5E59">
        <w:tab/>
      </w:r>
      <w:r w:rsidR="0681B866" w:rsidRPr="00DF5C23">
        <w:rPr>
          <w:noProof/>
          <w:lang w:val="en-IE" w:eastAsia="fr-BE"/>
        </w:rPr>
        <w:t>Member States other than the Member State initiating the procedure shall without delay inform the Commission and the other Member States of any measures adopted and of any additional information at their disposal relating to the non-compliance of the product concerned, and, in the event of disagreement with the notified national measure, of their objections.</w:t>
      </w:r>
    </w:p>
    <w:p w14:paraId="2C3A58BD" w14:textId="2F2C0987" w:rsidR="00FF2BAC" w:rsidRPr="00DF5C23" w:rsidRDefault="004F5E59" w:rsidP="004F5E59">
      <w:pPr>
        <w:pStyle w:val="ManualNumPar1"/>
        <w:rPr>
          <w:noProof/>
          <w:lang w:val="en-IE" w:eastAsia="fr-BE"/>
        </w:rPr>
      </w:pPr>
      <w:r w:rsidRPr="004F5E59">
        <w:t>7.</w:t>
      </w:r>
      <w:r w:rsidRPr="004F5E59">
        <w:tab/>
      </w:r>
      <w:r w:rsidR="0681B866" w:rsidRPr="00DF5C23">
        <w:rPr>
          <w:noProof/>
          <w:lang w:val="en-IE" w:eastAsia="fr-BE"/>
        </w:rPr>
        <w:t>Where, within three months of receipt of the information referred to in paragraph 4, no objection has been raised by either a Member State or the Commission in respect of a provisional measure taken by a Member State, that measure shall be deemed justified. Measures may specify a period longer or shorter than three months in order to take account of the specificities of the products or requirements concerned.</w:t>
      </w:r>
    </w:p>
    <w:p w14:paraId="2C3A58BE" w14:textId="58E047B6" w:rsidR="00FF2BAC" w:rsidRPr="00DF5C23" w:rsidRDefault="004F5E59" w:rsidP="004F5E59">
      <w:pPr>
        <w:pStyle w:val="ManualNumPar1"/>
        <w:rPr>
          <w:noProof/>
          <w:lang w:val="en-IE" w:eastAsia="fr-BE"/>
        </w:rPr>
      </w:pPr>
      <w:r w:rsidRPr="004F5E59">
        <w:t>8.</w:t>
      </w:r>
      <w:r w:rsidRPr="004F5E59">
        <w:tab/>
      </w:r>
      <w:r w:rsidR="0681B866" w:rsidRPr="00DF5C23">
        <w:rPr>
          <w:noProof/>
          <w:lang w:val="en-IE" w:eastAsia="fr-BE"/>
        </w:rPr>
        <w:t>Member States shall ensure that appropriate restrictive measures are taken in respect of the product or manufacturer concerned, such as withdrawal of the product from their market, without delay.</w:t>
      </w:r>
    </w:p>
    <w:p w14:paraId="2C3A58BF" w14:textId="77777777" w:rsidR="00FF2BAC" w:rsidRPr="00DF5C23" w:rsidRDefault="00FF2BAC"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64</w:t>
      </w:r>
      <w:r w:rsidRPr="00DF5C23">
        <w:rPr>
          <w:noProof/>
        </w:rPr>
        <w:br/>
      </w:r>
      <w:r w:rsidRPr="00DF5C23">
        <w:rPr>
          <w:noProof/>
          <w:lang w:val="en-IE" w:eastAsia="fr-BE"/>
        </w:rPr>
        <w:t>Union safeguard procedure</w:t>
      </w:r>
    </w:p>
    <w:p w14:paraId="2C3A58C0" w14:textId="12E43C0C" w:rsidR="00FF2BAC" w:rsidRPr="00DF5C23" w:rsidRDefault="004F5E59" w:rsidP="004F5E59">
      <w:pPr>
        <w:pStyle w:val="ManualNumPar1"/>
        <w:rPr>
          <w:noProof/>
          <w:lang w:val="en-IE"/>
        </w:rPr>
      </w:pPr>
      <w:r w:rsidRPr="004F5E59">
        <w:t>1.</w:t>
      </w:r>
      <w:r w:rsidRPr="004F5E59">
        <w:tab/>
      </w:r>
      <w:r w:rsidR="00FF2BAC" w:rsidRPr="00DF5C23">
        <w:rPr>
          <w:noProof/>
          <w:lang w:val="en-IE" w:eastAsia="fr-BE"/>
        </w:rPr>
        <w:t xml:space="preserve">Where, on completion of the procedure set out in Article </w:t>
      </w:r>
      <w:r w:rsidR="00137517" w:rsidRPr="00DF5C23">
        <w:rPr>
          <w:noProof/>
          <w:lang w:val="en-IE" w:eastAsia="fr-BE"/>
        </w:rPr>
        <w:t>63</w:t>
      </w:r>
      <w:r w:rsidR="00FF2BAC" w:rsidRPr="00DF5C23" w:rsidDel="0080509C">
        <w:rPr>
          <w:noProof/>
          <w:lang w:val="en-IE" w:eastAsia="fr-BE"/>
        </w:rPr>
        <w:t>(</w:t>
      </w:r>
      <w:r w:rsidR="00FF2BAC" w:rsidRPr="00DF5C23">
        <w:rPr>
          <w:noProof/>
          <w:lang w:val="en-IE" w:eastAsia="fr-BE"/>
        </w:rPr>
        <w:t>3) and (4), objections are raised against a measure taken by a Member State, or where the Commission considers a national measure to be contrary to Union legislation, the Commission shall without delay enter into consultation with the Member States and the relevant economic operator or operators and shall evaluate the national measure. On the basis of the results of that evaluation, the Commission shall decide by means of an implementing act whether the national measure is justified or not.</w:t>
      </w:r>
      <w:r w:rsidR="00FF2BAC" w:rsidRPr="00DF5C23">
        <w:rPr>
          <w:noProof/>
          <w:lang w:val="en-IE"/>
        </w:rPr>
        <w:t xml:space="preserve"> </w:t>
      </w:r>
    </w:p>
    <w:p w14:paraId="2C3A58C1" w14:textId="77777777" w:rsidR="00FF2BAC" w:rsidRPr="00DF5C23" w:rsidRDefault="00FF2BAC" w:rsidP="0681B866">
      <w:pPr>
        <w:pStyle w:val="Text1"/>
        <w:rPr>
          <w:noProof/>
          <w:lang w:val="en-IE" w:eastAsia="fr-BE"/>
        </w:rPr>
      </w:pPr>
      <w:r w:rsidRPr="00DF5C23">
        <w:rPr>
          <w:noProof/>
          <w:lang w:val="en-IE" w:eastAsia="fr-BE"/>
        </w:rPr>
        <w:t xml:space="preserve">That implementing act shall be adopted in accordance with the examination procedure referred to in Article </w:t>
      </w:r>
      <w:r w:rsidR="00137517" w:rsidRPr="00DF5C23">
        <w:rPr>
          <w:noProof/>
          <w:lang w:val="en-IE" w:eastAsia="fr-BE"/>
        </w:rPr>
        <w:t>67</w:t>
      </w:r>
      <w:r w:rsidRPr="00DF5C23">
        <w:rPr>
          <w:noProof/>
          <w:lang w:val="en-IE" w:eastAsia="fr-BE"/>
        </w:rPr>
        <w:t>(3).</w:t>
      </w:r>
    </w:p>
    <w:p w14:paraId="2C3A58C2" w14:textId="3774B22D" w:rsidR="00FF2BAC"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The Commission shall address its decision to all Member States and shall immediately communicate it to them and the relevant economic operator or operators.</w:t>
      </w:r>
    </w:p>
    <w:p w14:paraId="2C3A58C3" w14:textId="77777777" w:rsidR="00FF2BAC" w:rsidRPr="00DF5C23" w:rsidRDefault="0681B866" w:rsidP="0681B866">
      <w:pPr>
        <w:pStyle w:val="Text1"/>
        <w:rPr>
          <w:noProof/>
          <w:lang w:val="en-IE" w:eastAsia="fr-BE"/>
        </w:rPr>
      </w:pPr>
      <w:r w:rsidRPr="00DF5C23">
        <w:rPr>
          <w:noProof/>
          <w:lang w:val="en-IE" w:eastAsia="fr-BE"/>
        </w:rPr>
        <w:t xml:space="preserve">If the national measure is considered justified, all Member States shall take the measures necessary to ensure that the non-compliant product is withdrawn from their market, and shall inform the Commission accordingly. </w:t>
      </w:r>
    </w:p>
    <w:p w14:paraId="2C3A58C4" w14:textId="77777777" w:rsidR="00FF2BAC" w:rsidRPr="00DF5C23" w:rsidRDefault="0681B866" w:rsidP="0681B866">
      <w:pPr>
        <w:pStyle w:val="Text1"/>
        <w:rPr>
          <w:noProof/>
          <w:lang w:val="en-IE" w:eastAsia="fr-BE"/>
        </w:rPr>
      </w:pPr>
      <w:r w:rsidRPr="00DF5C23">
        <w:rPr>
          <w:noProof/>
          <w:lang w:val="en-IE" w:eastAsia="fr-BE"/>
        </w:rPr>
        <w:t>If the national measure is considered unjustified, the Member State concerned shall withdraw the measure.</w:t>
      </w:r>
    </w:p>
    <w:p w14:paraId="2C3A58C5" w14:textId="1026B183" w:rsidR="00FF2BAC" w:rsidRPr="00DF5C23" w:rsidRDefault="004F5E59" w:rsidP="004F5E59">
      <w:pPr>
        <w:pStyle w:val="ManualNumPar1"/>
        <w:rPr>
          <w:noProof/>
          <w:lang w:val="en-IE" w:eastAsia="fr-BE"/>
        </w:rPr>
      </w:pPr>
      <w:r w:rsidRPr="004F5E59">
        <w:t>3.</w:t>
      </w:r>
      <w:r w:rsidRPr="004F5E59">
        <w:tab/>
      </w:r>
      <w:r w:rsidR="00FF2BAC" w:rsidRPr="00DF5C23">
        <w:rPr>
          <w:noProof/>
          <w:lang w:val="en-IE" w:eastAsia="fr-BE"/>
        </w:rPr>
        <w:t xml:space="preserve">Where the national measure is considered justified and the non-compliance of the product is attributed to shortcomings in the harmonised standards referred to in Article </w:t>
      </w:r>
      <w:r w:rsidR="00137517" w:rsidRPr="00DF5C23">
        <w:rPr>
          <w:noProof/>
          <w:lang w:val="en-IE" w:eastAsia="fr-BE"/>
        </w:rPr>
        <w:t xml:space="preserve">34 </w:t>
      </w:r>
      <w:r w:rsidR="00F71B45" w:rsidRPr="00DF5C23">
        <w:rPr>
          <w:noProof/>
          <w:lang w:val="en-IE" w:eastAsia="fr-BE"/>
        </w:rPr>
        <w:t>of this Regulation</w:t>
      </w:r>
      <w:r w:rsidR="00FF2BAC" w:rsidRPr="00DF5C23">
        <w:rPr>
          <w:noProof/>
          <w:lang w:val="en-IE" w:eastAsia="fr-BE"/>
        </w:rPr>
        <w:t>, the Commission shall apply the procedure provided for in Article 11 of Regulation (EU) No 1025/2012.</w:t>
      </w:r>
    </w:p>
    <w:p w14:paraId="2C3A58C6" w14:textId="6049F41C" w:rsidR="00FF2BAC" w:rsidRPr="00DF5C23" w:rsidRDefault="004F5E59" w:rsidP="004F5E59">
      <w:pPr>
        <w:pStyle w:val="ManualNumPar1"/>
        <w:rPr>
          <w:noProof/>
          <w:lang w:val="en-IE" w:eastAsia="fr-BE"/>
        </w:rPr>
      </w:pPr>
      <w:r w:rsidRPr="004F5E59">
        <w:t>4.</w:t>
      </w:r>
      <w:r w:rsidRPr="004F5E59">
        <w:tab/>
      </w:r>
      <w:r w:rsidR="00FF2BAC" w:rsidRPr="00DF5C23">
        <w:rPr>
          <w:noProof/>
          <w:lang w:val="en-IE" w:eastAsia="fr-BE"/>
        </w:rPr>
        <w:t xml:space="preserve">Where the national measure is considered justified and the non-compliance of the product is attributed to shortcomings in the common specifications referred to in Article </w:t>
      </w:r>
      <w:r w:rsidR="00137517" w:rsidRPr="00DF5C23">
        <w:rPr>
          <w:noProof/>
          <w:lang w:val="en-IE" w:eastAsia="fr-BE"/>
        </w:rPr>
        <w:t>35</w:t>
      </w:r>
      <w:r w:rsidR="00FF2BAC" w:rsidRPr="00DF5C23">
        <w:rPr>
          <w:noProof/>
          <w:lang w:val="en-IE" w:eastAsia="fr-BE"/>
        </w:rPr>
        <w:t>, the Commission shall, without delay, adopt implementing acts amending or repealing the common specifications concerned.</w:t>
      </w:r>
    </w:p>
    <w:p w14:paraId="2C3A58C7" w14:textId="77777777" w:rsidR="00FF2BAC" w:rsidRPr="00DF5C23" w:rsidRDefault="00FF2BAC" w:rsidP="0681B866">
      <w:pPr>
        <w:pStyle w:val="Text1"/>
        <w:rPr>
          <w:noProof/>
          <w:lang w:val="en-IE" w:eastAsia="fr-BE"/>
        </w:rPr>
      </w:pPr>
      <w:r w:rsidRPr="00DF5C23">
        <w:rPr>
          <w:noProof/>
          <w:lang w:val="en-IE" w:eastAsia="fr-BE"/>
        </w:rPr>
        <w:t>Th</w:t>
      </w:r>
      <w:r w:rsidR="008017E5" w:rsidRPr="00DF5C23">
        <w:rPr>
          <w:noProof/>
          <w:lang w:val="en-IE" w:eastAsia="fr-BE"/>
        </w:rPr>
        <w:t>e</w:t>
      </w:r>
      <w:r w:rsidRPr="00DF5C23">
        <w:rPr>
          <w:noProof/>
          <w:lang w:val="en-IE" w:eastAsia="fr-BE"/>
        </w:rPr>
        <w:t xml:space="preserve"> implementing acts</w:t>
      </w:r>
      <w:r w:rsidR="008017E5" w:rsidRPr="00DF5C23">
        <w:rPr>
          <w:noProof/>
          <w:lang w:val="en-IE" w:eastAsia="fr-BE"/>
        </w:rPr>
        <w:t xml:space="preserve"> referred to in the first </w:t>
      </w:r>
      <w:r w:rsidR="00756D5E" w:rsidRPr="00DF5C23">
        <w:rPr>
          <w:noProof/>
          <w:lang w:val="en-IE" w:eastAsia="fr-BE"/>
        </w:rPr>
        <w:t>subparagraph</w:t>
      </w:r>
      <w:r w:rsidRPr="00DF5C23">
        <w:rPr>
          <w:noProof/>
          <w:lang w:val="en-IE" w:eastAsia="fr-BE"/>
        </w:rPr>
        <w:t xml:space="preserve"> shall be adopted in accordance with the examination procedure referred to in Article </w:t>
      </w:r>
      <w:r w:rsidR="00137517" w:rsidRPr="00DF5C23">
        <w:rPr>
          <w:noProof/>
          <w:lang w:val="en-IE" w:eastAsia="fr-BE"/>
        </w:rPr>
        <w:t>67</w:t>
      </w:r>
      <w:r w:rsidRPr="00DF5C23">
        <w:rPr>
          <w:noProof/>
          <w:lang w:val="en-IE" w:eastAsia="fr-BE"/>
        </w:rPr>
        <w:t>(3).</w:t>
      </w:r>
    </w:p>
    <w:p w14:paraId="2C3A58C8" w14:textId="77777777" w:rsidR="00FF2BAC" w:rsidRPr="00DF5C23" w:rsidRDefault="00FF2BAC" w:rsidP="0681B866">
      <w:pPr>
        <w:pStyle w:val="Titrearticle"/>
        <w:rPr>
          <w:noProof/>
          <w:lang w:val="fr-BE" w:eastAsia="fr-BE"/>
        </w:rPr>
      </w:pPr>
      <w:r w:rsidRPr="00DF5C23" w:rsidDel="005E7771">
        <w:rPr>
          <w:noProof/>
          <w:lang w:val="fr-BE" w:eastAsia="fr-BE"/>
        </w:rPr>
        <w:t xml:space="preserve">Article </w:t>
      </w:r>
      <w:r w:rsidR="00565D97" w:rsidRPr="00DF5C23">
        <w:rPr>
          <w:noProof/>
          <w:lang w:val="fr-BE" w:eastAsia="fr-BE"/>
        </w:rPr>
        <w:t>65</w:t>
      </w:r>
      <w:r w:rsidRPr="00DF5C23">
        <w:rPr>
          <w:noProof/>
        </w:rPr>
        <w:br/>
      </w:r>
      <w:r w:rsidRPr="00DF5C23">
        <w:rPr>
          <w:noProof/>
          <w:lang w:eastAsia="fr-BE"/>
        </w:rPr>
        <w:t>Formal non</w:t>
      </w:r>
      <w:r w:rsidRPr="00DF5C23">
        <w:rPr>
          <w:noProof/>
          <w:lang w:val="fr-BE" w:eastAsia="fr-BE"/>
        </w:rPr>
        <w:t>-compliance</w:t>
      </w:r>
    </w:p>
    <w:p w14:paraId="2C3A58C9" w14:textId="30EF1D76" w:rsidR="00FF2BAC"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Where a Member State makes one of the following findings, it shall require the relevant economic operator to put an end to the non-compliance concerned:</w:t>
      </w:r>
    </w:p>
    <w:p w14:paraId="2C3A58CA" w14:textId="6739D6B7" w:rsidR="00FF2BAC" w:rsidRPr="00DF5C23" w:rsidRDefault="004F5E59" w:rsidP="004F5E59">
      <w:pPr>
        <w:pStyle w:val="Point1"/>
        <w:rPr>
          <w:noProof/>
          <w:lang w:val="en-IE" w:eastAsia="fr-BE"/>
        </w:rPr>
      </w:pPr>
      <w:r w:rsidRPr="004F5E59">
        <w:t>(a)</w:t>
      </w:r>
      <w:r w:rsidRPr="004F5E59">
        <w:tab/>
      </w:r>
      <w:r w:rsidR="00FF2BAC" w:rsidRPr="00DF5C23">
        <w:rPr>
          <w:noProof/>
          <w:lang w:val="en-IE" w:eastAsia="fr-BE"/>
        </w:rPr>
        <w:t xml:space="preserve">the CE marking has been affixed in violation of Article 30 of Regulation (EC) No 765/2008 or of Article </w:t>
      </w:r>
      <w:r w:rsidR="00DA5FE8" w:rsidRPr="00DF5C23">
        <w:rPr>
          <w:noProof/>
          <w:lang w:val="en-IE" w:eastAsia="fr-BE"/>
        </w:rPr>
        <w:t>3</w:t>
      </w:r>
      <w:r w:rsidR="00137517" w:rsidRPr="00DF5C23">
        <w:rPr>
          <w:noProof/>
          <w:lang w:val="en-IE" w:eastAsia="fr-BE"/>
        </w:rPr>
        <w:t>9</w:t>
      </w:r>
      <w:r w:rsidR="00DA5FE8" w:rsidRPr="00DF5C23">
        <w:rPr>
          <w:noProof/>
          <w:lang w:val="en-IE" w:eastAsia="fr-BE"/>
        </w:rPr>
        <w:t xml:space="preserve"> </w:t>
      </w:r>
      <w:r w:rsidR="00FF2BAC" w:rsidRPr="00DF5C23">
        <w:rPr>
          <w:noProof/>
          <w:lang w:val="en-IE" w:eastAsia="fr-BE"/>
        </w:rPr>
        <w:t>of this Regulation;</w:t>
      </w:r>
    </w:p>
    <w:p w14:paraId="2C3A58CB" w14:textId="2C8E3952" w:rsidR="00FF2BAC" w:rsidRPr="00DF5C23" w:rsidRDefault="004F5E59" w:rsidP="004F5E59">
      <w:pPr>
        <w:pStyle w:val="Point1"/>
        <w:rPr>
          <w:noProof/>
          <w:lang w:val="en-IE" w:eastAsia="fr-BE"/>
        </w:rPr>
      </w:pPr>
      <w:r w:rsidRPr="004F5E59">
        <w:t>(b)</w:t>
      </w:r>
      <w:r w:rsidRPr="004F5E59">
        <w:tab/>
      </w:r>
      <w:r w:rsidR="0681B866" w:rsidRPr="00DF5C23">
        <w:rPr>
          <w:noProof/>
          <w:lang w:val="en-IE" w:eastAsia="fr-BE"/>
        </w:rPr>
        <w:t>the CE marking has not been affixed;</w:t>
      </w:r>
    </w:p>
    <w:p w14:paraId="2C3A58CC" w14:textId="1EE0AE5F" w:rsidR="00FF2BAC" w:rsidRPr="00DF5C23" w:rsidRDefault="004F5E59" w:rsidP="004F5E59">
      <w:pPr>
        <w:pStyle w:val="Point1"/>
        <w:rPr>
          <w:noProof/>
          <w:lang w:val="en-IE" w:eastAsia="fr-BE"/>
        </w:rPr>
      </w:pPr>
      <w:r w:rsidRPr="004F5E59">
        <w:t>(c)</w:t>
      </w:r>
      <w:r w:rsidRPr="004F5E59">
        <w:tab/>
      </w:r>
      <w:r w:rsidR="00FF2BAC" w:rsidRPr="00DF5C23">
        <w:rPr>
          <w:noProof/>
          <w:lang w:val="en-IE" w:eastAsia="fr-BE"/>
        </w:rPr>
        <w:t xml:space="preserve">the identification number of the notified body has been affixed in violation of Article </w:t>
      </w:r>
      <w:r w:rsidR="00137517" w:rsidRPr="00DF5C23">
        <w:rPr>
          <w:noProof/>
          <w:lang w:val="en-IE" w:eastAsia="fr-BE"/>
        </w:rPr>
        <w:t xml:space="preserve">39 </w:t>
      </w:r>
      <w:r w:rsidR="00FF2BAC" w:rsidRPr="00DF5C23">
        <w:rPr>
          <w:noProof/>
          <w:lang w:val="en-IE" w:eastAsia="fr-BE"/>
        </w:rPr>
        <w:t>or has not been affixed where required;</w:t>
      </w:r>
    </w:p>
    <w:p w14:paraId="2C3A58CD" w14:textId="00FA56CD" w:rsidR="00FF2BAC" w:rsidRPr="00DF5C23" w:rsidRDefault="004F5E59" w:rsidP="004F5E59">
      <w:pPr>
        <w:pStyle w:val="Point1"/>
        <w:rPr>
          <w:noProof/>
          <w:lang w:val="en-IE" w:eastAsia="fr-BE"/>
        </w:rPr>
      </w:pPr>
      <w:r w:rsidRPr="004F5E59">
        <w:t>(d)</w:t>
      </w:r>
      <w:r w:rsidRPr="004F5E59">
        <w:tab/>
      </w:r>
      <w:r w:rsidR="0681B866" w:rsidRPr="00DF5C23">
        <w:rPr>
          <w:noProof/>
          <w:lang w:val="en-IE" w:eastAsia="fr-BE"/>
        </w:rPr>
        <w:t>the E</w:t>
      </w:r>
      <w:r w:rsidR="00C224D3" w:rsidRPr="00DF5C23">
        <w:rPr>
          <w:noProof/>
          <w:lang w:val="en-IE" w:eastAsia="fr-BE"/>
        </w:rPr>
        <w:t>U</w:t>
      </w:r>
      <w:r w:rsidR="0681B866" w:rsidRPr="00DF5C23">
        <w:rPr>
          <w:noProof/>
          <w:lang w:val="en-IE" w:eastAsia="fr-BE"/>
        </w:rPr>
        <w:t xml:space="preserve"> declaration of conformity has not been drawn up;</w:t>
      </w:r>
    </w:p>
    <w:p w14:paraId="2C3A58CE" w14:textId="62F23579" w:rsidR="00FF2BAC" w:rsidRPr="00DF5C23" w:rsidRDefault="004F5E59" w:rsidP="004F5E59">
      <w:pPr>
        <w:pStyle w:val="Point1"/>
        <w:rPr>
          <w:noProof/>
          <w:lang w:val="en-IE" w:eastAsia="fr-BE"/>
        </w:rPr>
      </w:pPr>
      <w:r w:rsidRPr="004F5E59">
        <w:t>(e)</w:t>
      </w:r>
      <w:r w:rsidRPr="004F5E59">
        <w:tab/>
      </w:r>
      <w:r w:rsidR="00C224D3" w:rsidRPr="00DF5C23">
        <w:rPr>
          <w:noProof/>
          <w:lang w:val="en-IE" w:eastAsia="fr-BE"/>
        </w:rPr>
        <w:t>the EU</w:t>
      </w:r>
      <w:r w:rsidR="0681B866" w:rsidRPr="00DF5C23">
        <w:rPr>
          <w:noProof/>
          <w:lang w:val="en-IE" w:eastAsia="fr-BE"/>
        </w:rPr>
        <w:t xml:space="preserve"> declaration of conformity has not been drawn up correctly;</w:t>
      </w:r>
    </w:p>
    <w:p w14:paraId="2C3A58CF" w14:textId="00B2B5B9" w:rsidR="00FF2BAC" w:rsidRPr="00DF5C23" w:rsidRDefault="004F5E59" w:rsidP="004F5E59">
      <w:pPr>
        <w:pStyle w:val="Point1"/>
        <w:rPr>
          <w:noProof/>
          <w:lang w:val="en-IE" w:eastAsia="fr-BE"/>
        </w:rPr>
      </w:pPr>
      <w:r w:rsidRPr="004F5E59">
        <w:t>(f)</w:t>
      </w:r>
      <w:r w:rsidRPr="004F5E59">
        <w:tab/>
      </w:r>
      <w:r w:rsidR="0681B866" w:rsidRPr="00DF5C23">
        <w:rPr>
          <w:noProof/>
          <w:lang w:val="en-IE" w:eastAsia="fr-BE"/>
        </w:rPr>
        <w:t>the technical documentation is not available, not complete or contains errors;</w:t>
      </w:r>
    </w:p>
    <w:p w14:paraId="2C3A58D0" w14:textId="6C33222B" w:rsidR="00FF2BAC" w:rsidRPr="00DF5C23" w:rsidRDefault="004F5E59" w:rsidP="004F5E59">
      <w:pPr>
        <w:pStyle w:val="Point1"/>
        <w:rPr>
          <w:noProof/>
          <w:lang w:val="en-IE" w:eastAsia="fr-BE"/>
        </w:rPr>
      </w:pPr>
      <w:r w:rsidRPr="004F5E59">
        <w:t>(g)</w:t>
      </w:r>
      <w:r w:rsidRPr="004F5E59">
        <w:tab/>
      </w:r>
      <w:r w:rsidR="0681B866" w:rsidRPr="00DF5C23">
        <w:rPr>
          <w:noProof/>
          <w:lang w:val="en-IE" w:eastAsia="fr-BE"/>
        </w:rPr>
        <w:t xml:space="preserve">the information referred to in Article </w:t>
      </w:r>
      <w:r w:rsidR="00137517" w:rsidRPr="00DF5C23">
        <w:rPr>
          <w:noProof/>
          <w:lang w:val="en-IE" w:eastAsia="fr-BE"/>
        </w:rPr>
        <w:t>21</w:t>
      </w:r>
      <w:r w:rsidR="0681B866" w:rsidRPr="00DF5C23">
        <w:rPr>
          <w:noProof/>
          <w:lang w:val="en-IE" w:eastAsia="fr-BE"/>
        </w:rPr>
        <w:t xml:space="preserve">(6) or Article </w:t>
      </w:r>
      <w:r w:rsidR="00137517" w:rsidRPr="00DF5C23">
        <w:rPr>
          <w:noProof/>
          <w:lang w:val="en-IE" w:eastAsia="fr-BE"/>
        </w:rPr>
        <w:t>23</w:t>
      </w:r>
      <w:r w:rsidR="0681B866" w:rsidRPr="00DF5C23">
        <w:rPr>
          <w:noProof/>
          <w:lang w:val="en-IE" w:eastAsia="fr-BE"/>
        </w:rPr>
        <w:t>(3) is absent, false or incomplete;</w:t>
      </w:r>
    </w:p>
    <w:p w14:paraId="2C3A58D1" w14:textId="4B508CB7" w:rsidR="00FF2BAC" w:rsidRPr="00DF5C23" w:rsidRDefault="004F5E59" w:rsidP="004F5E59">
      <w:pPr>
        <w:pStyle w:val="Point1"/>
        <w:rPr>
          <w:noProof/>
          <w:lang w:val="en-IE" w:eastAsia="fr-BE"/>
        </w:rPr>
      </w:pPr>
      <w:r w:rsidRPr="004F5E59">
        <w:t>(h)</w:t>
      </w:r>
      <w:r w:rsidRPr="004F5E59">
        <w:tab/>
      </w:r>
      <w:r w:rsidR="0681B866" w:rsidRPr="00DF5C23">
        <w:rPr>
          <w:noProof/>
          <w:lang w:val="en-IE" w:eastAsia="fr-BE"/>
        </w:rPr>
        <w:t xml:space="preserve">any other administrative requirement provided for in Article </w:t>
      </w:r>
      <w:r w:rsidR="00137517" w:rsidRPr="00DF5C23">
        <w:rPr>
          <w:noProof/>
          <w:lang w:val="en-IE" w:eastAsia="fr-BE"/>
        </w:rPr>
        <w:t xml:space="preserve">21 </w:t>
      </w:r>
      <w:r w:rsidR="0681B866" w:rsidRPr="00DF5C23">
        <w:rPr>
          <w:noProof/>
          <w:lang w:val="en-IE" w:eastAsia="fr-BE"/>
        </w:rPr>
        <w:t xml:space="preserve">or Article </w:t>
      </w:r>
      <w:r w:rsidR="0059575A" w:rsidRPr="00DF5C23">
        <w:rPr>
          <w:noProof/>
          <w:lang w:val="en-IE" w:eastAsia="fr-BE"/>
        </w:rPr>
        <w:t>2</w:t>
      </w:r>
      <w:r w:rsidR="00137517" w:rsidRPr="00DF5C23">
        <w:rPr>
          <w:noProof/>
          <w:lang w:val="en-IE" w:eastAsia="fr-BE"/>
        </w:rPr>
        <w:t>3</w:t>
      </w:r>
      <w:r w:rsidR="0059575A" w:rsidRPr="00DF5C23">
        <w:rPr>
          <w:noProof/>
          <w:lang w:val="en-IE" w:eastAsia="fr-BE"/>
        </w:rPr>
        <w:t xml:space="preserve"> </w:t>
      </w:r>
      <w:r w:rsidR="0681B866" w:rsidRPr="00DF5C23">
        <w:rPr>
          <w:noProof/>
          <w:lang w:val="en-IE" w:eastAsia="fr-BE"/>
        </w:rPr>
        <w:t xml:space="preserve">or in the applicable delegated act </w:t>
      </w:r>
      <w:r w:rsidR="00552FE2" w:rsidRPr="00DF5C23">
        <w:rPr>
          <w:noProof/>
          <w:lang w:val="en-IE" w:eastAsia="fr-BE"/>
        </w:rPr>
        <w:t>adopted pursuant to Article 4</w:t>
      </w:r>
      <w:r w:rsidR="0681B866" w:rsidRPr="00DF5C23">
        <w:rPr>
          <w:noProof/>
          <w:lang w:val="en-IE" w:eastAsia="fr-BE"/>
        </w:rPr>
        <w:t>, is not fulfilled.</w:t>
      </w:r>
    </w:p>
    <w:p w14:paraId="2C3A58D2" w14:textId="2B9D4443" w:rsidR="00FF2BAC" w:rsidRPr="00DF5C23" w:rsidRDefault="004F5E59" w:rsidP="004F5E59">
      <w:pPr>
        <w:pStyle w:val="ManualNumPar1"/>
        <w:rPr>
          <w:noProof/>
          <w:lang w:val="en-IE" w:eastAsia="fr-BE"/>
        </w:rPr>
      </w:pPr>
      <w:r w:rsidRPr="004F5E59">
        <w:t>2.</w:t>
      </w:r>
      <w:r w:rsidRPr="004F5E59">
        <w:tab/>
      </w:r>
      <w:r w:rsidR="0681B866" w:rsidRPr="00DF5C23">
        <w:rPr>
          <w:noProof/>
          <w:lang w:val="en-IE" w:eastAsia="fr-BE"/>
        </w:rPr>
        <w:t>Where the non-compliance referred to in paragraph 1 persists, the Member State concerned shall take all appropriate measures to restrict or prohibit the product being made available on the market or ensure that it is recalled or withdrawn from the market.</w:t>
      </w:r>
    </w:p>
    <w:p w14:paraId="2C3A58D3" w14:textId="77777777" w:rsidR="00646885" w:rsidRPr="00DF5C23" w:rsidRDefault="0681B866" w:rsidP="00F77587">
      <w:pPr>
        <w:pStyle w:val="ManualHeading1"/>
        <w:jc w:val="center"/>
        <w:rPr>
          <w:noProof/>
        </w:rPr>
      </w:pPr>
      <w:r w:rsidRPr="00DF5C23">
        <w:rPr>
          <w:noProof/>
        </w:rPr>
        <w:t>Chapter XII</w:t>
      </w:r>
      <w:r w:rsidR="00A625AD" w:rsidRPr="00DF5C23">
        <w:rPr>
          <w:noProof/>
        </w:rPr>
        <w:t>I</w:t>
      </w:r>
      <w:r w:rsidR="00F77587" w:rsidRPr="00DF5C23">
        <w:rPr>
          <w:noProof/>
        </w:rPr>
        <w:t xml:space="preserve"> - </w:t>
      </w:r>
      <w:r w:rsidRPr="00DF5C23">
        <w:rPr>
          <w:noProof/>
        </w:rPr>
        <w:t>Delegated powers and committee procedure</w:t>
      </w:r>
    </w:p>
    <w:p w14:paraId="2C3A58D4" w14:textId="77777777" w:rsidR="00646885" w:rsidRPr="00DF5C23" w:rsidRDefault="00646885" w:rsidP="0681B866">
      <w:pPr>
        <w:pStyle w:val="Titrearticle"/>
        <w:rPr>
          <w:noProof/>
          <w:lang w:val="en-IE"/>
        </w:rPr>
      </w:pPr>
      <w:r w:rsidRPr="00DF5C23">
        <w:rPr>
          <w:noProof/>
          <w:lang w:val="en-IE"/>
        </w:rPr>
        <w:t xml:space="preserve">Article </w:t>
      </w:r>
      <w:r w:rsidR="00565D97" w:rsidRPr="00DF5C23">
        <w:rPr>
          <w:noProof/>
          <w:lang w:val="en-IE"/>
        </w:rPr>
        <w:t>66</w:t>
      </w:r>
      <w:r w:rsidR="003257DB" w:rsidRPr="00DF5C23">
        <w:rPr>
          <w:noProof/>
        </w:rPr>
        <w:br/>
      </w:r>
      <w:r w:rsidRPr="00DF5C23">
        <w:rPr>
          <w:noProof/>
          <w:lang w:val="en-IE"/>
        </w:rPr>
        <w:t>Exercise of the delegation</w:t>
      </w:r>
    </w:p>
    <w:p w14:paraId="2C3A58D5" w14:textId="07CBAC4A" w:rsidR="007F3D25" w:rsidRPr="00DF5C23" w:rsidRDefault="004F5E59" w:rsidP="004F5E59">
      <w:pPr>
        <w:pStyle w:val="ManualNumPar1"/>
        <w:rPr>
          <w:noProof/>
          <w:lang w:val="en-IE"/>
        </w:rPr>
      </w:pPr>
      <w:r w:rsidRPr="004F5E59">
        <w:t>1.</w:t>
      </w:r>
      <w:r w:rsidRPr="004F5E59">
        <w:tab/>
      </w:r>
      <w:r w:rsidR="007F3D25" w:rsidRPr="00DF5C23">
        <w:rPr>
          <w:noProof/>
          <w:lang w:val="en-IE"/>
        </w:rPr>
        <w:t>The power to adopt delegated acts is conferred on the Commission subject to the conditions laid down in this Article.</w:t>
      </w:r>
    </w:p>
    <w:p w14:paraId="2C3A58D6" w14:textId="5AC30CB7" w:rsidR="007F3D25" w:rsidRPr="00DF5C23" w:rsidRDefault="004F5E59" w:rsidP="004F5E59">
      <w:pPr>
        <w:pStyle w:val="ManualNumPar1"/>
        <w:rPr>
          <w:noProof/>
          <w:lang w:val="en-IE"/>
        </w:rPr>
      </w:pPr>
      <w:r w:rsidRPr="004F5E59">
        <w:t>2.</w:t>
      </w:r>
      <w:r w:rsidRPr="004F5E59">
        <w:tab/>
      </w:r>
      <w:r w:rsidR="007F3D25" w:rsidRPr="00DF5C23">
        <w:rPr>
          <w:noProof/>
          <w:lang w:val="en-IE"/>
        </w:rPr>
        <w:t xml:space="preserve">The power to adopt delegated acts referred to in Article 4, </w:t>
      </w:r>
      <w:r w:rsidR="00FC419C" w:rsidRPr="00DF5C23">
        <w:rPr>
          <w:noProof/>
          <w:lang w:val="en-IE"/>
        </w:rPr>
        <w:t>Article</w:t>
      </w:r>
      <w:r w:rsidR="007F3D25" w:rsidRPr="00DF5C23">
        <w:rPr>
          <w:noProof/>
          <w:lang w:val="en-IE"/>
        </w:rPr>
        <w:t xml:space="preserve"> </w:t>
      </w:r>
      <w:r w:rsidR="00937D52" w:rsidRPr="00DF5C23">
        <w:rPr>
          <w:noProof/>
          <w:lang w:val="en-IE"/>
        </w:rPr>
        <w:t xml:space="preserve">9(1), second subparagraph, </w:t>
      </w:r>
      <w:r w:rsidR="00FC419C" w:rsidRPr="00DF5C23">
        <w:rPr>
          <w:noProof/>
          <w:lang w:val="en-IE"/>
        </w:rPr>
        <w:t xml:space="preserve">Article </w:t>
      </w:r>
      <w:r w:rsidR="00937D52" w:rsidRPr="00DF5C23">
        <w:rPr>
          <w:noProof/>
          <w:lang w:val="en-IE"/>
        </w:rPr>
        <w:t xml:space="preserve">11(4), </w:t>
      </w:r>
      <w:r w:rsidR="00FC419C" w:rsidRPr="00DF5C23">
        <w:rPr>
          <w:noProof/>
          <w:lang w:val="en-IE"/>
        </w:rPr>
        <w:t xml:space="preserve">Article </w:t>
      </w:r>
      <w:r w:rsidR="00137517" w:rsidRPr="00DF5C23">
        <w:rPr>
          <w:noProof/>
          <w:lang w:val="en-IE"/>
        </w:rPr>
        <w:t>20</w:t>
      </w:r>
      <w:r w:rsidR="007F3D25" w:rsidRPr="00DF5C23">
        <w:rPr>
          <w:noProof/>
          <w:lang w:val="en-IE"/>
        </w:rPr>
        <w:t>(</w:t>
      </w:r>
      <w:r w:rsidR="00937D52" w:rsidRPr="00DF5C23">
        <w:rPr>
          <w:noProof/>
          <w:lang w:val="en-IE"/>
        </w:rPr>
        <w:t>3</w:t>
      </w:r>
      <w:r w:rsidR="007F3D25" w:rsidRPr="00DF5C23">
        <w:rPr>
          <w:noProof/>
          <w:lang w:val="en-IE"/>
        </w:rPr>
        <w:t xml:space="preserve">), and </w:t>
      </w:r>
      <w:r w:rsidR="00FC419C" w:rsidRPr="00DF5C23">
        <w:rPr>
          <w:noProof/>
          <w:lang w:val="en-IE"/>
        </w:rPr>
        <w:t>Article</w:t>
      </w:r>
      <w:r w:rsidR="007F3D25" w:rsidRPr="00DF5C23">
        <w:rPr>
          <w:noProof/>
          <w:lang w:val="en-IE"/>
        </w:rPr>
        <w:t xml:space="preserve"> </w:t>
      </w:r>
      <w:r w:rsidR="00137517" w:rsidRPr="00DF5C23">
        <w:rPr>
          <w:noProof/>
          <w:lang w:val="en-IE"/>
        </w:rPr>
        <w:t>61</w:t>
      </w:r>
      <w:r w:rsidR="007F3D25" w:rsidRPr="00DF5C23">
        <w:rPr>
          <w:noProof/>
          <w:lang w:val="en-IE"/>
        </w:rPr>
        <w:t xml:space="preserve">(1) shall be conferred on the Commission for a period of six years from </w:t>
      </w:r>
      <w:r w:rsidR="007F3D25" w:rsidRPr="00DF5C23">
        <w:rPr>
          <w:i/>
          <w:noProof/>
          <w:lang w:val="en-IE"/>
        </w:rPr>
        <w:t>[one month after the entry into force of this act</w:t>
      </w:r>
      <w:r w:rsidR="007F3D25" w:rsidRPr="00DF5C23">
        <w:rPr>
          <w:noProof/>
          <w:lang w:val="en-IE"/>
        </w:rPr>
        <w:t>]. The Commission shall draw up a report in respect of the delegation of power not later than nine months before the end of the six-year period. The delegation of power shall be tacitly extended for periods of an identical duration, unless the European Parliament or the Council opposes such extension not later than three months before the end of each period.</w:t>
      </w:r>
    </w:p>
    <w:p w14:paraId="2C3A58D7" w14:textId="57CFD249" w:rsidR="007F3D25" w:rsidRPr="00DF5C23" w:rsidRDefault="004F5E59" w:rsidP="004F5E59">
      <w:pPr>
        <w:pStyle w:val="ManualNumPar1"/>
        <w:rPr>
          <w:noProof/>
          <w:lang w:val="en-IE"/>
        </w:rPr>
      </w:pPr>
      <w:r w:rsidRPr="004F5E59">
        <w:t>3.</w:t>
      </w:r>
      <w:r w:rsidRPr="004F5E59">
        <w:tab/>
      </w:r>
      <w:r w:rsidR="007F3D25" w:rsidRPr="00DF5C23">
        <w:rPr>
          <w:noProof/>
          <w:lang w:val="en-IE"/>
        </w:rPr>
        <w:t xml:space="preserve">The delegation of power referred to in </w:t>
      </w:r>
      <w:r w:rsidR="00FC419C" w:rsidRPr="00DF5C23">
        <w:rPr>
          <w:noProof/>
          <w:lang w:val="en-IE"/>
        </w:rPr>
        <w:t>Article 4, Article 9(1), second subparagraph, Article 11(4), Article 20(3), and Article 61(1)</w:t>
      </w:r>
      <w:r w:rsidR="007F3D25" w:rsidRPr="00DF5C23">
        <w:rPr>
          <w:noProof/>
          <w:lang w:val="en-IE"/>
        </w:rPr>
        <w:t xml:space="preserve">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p w14:paraId="2C3A58D8" w14:textId="3F69C5A3" w:rsidR="007F3D25" w:rsidRPr="00DF5C23" w:rsidRDefault="004F5E59" w:rsidP="004F5E59">
      <w:pPr>
        <w:pStyle w:val="ManualNumPar1"/>
        <w:rPr>
          <w:noProof/>
          <w:lang w:val="en-IE"/>
        </w:rPr>
      </w:pPr>
      <w:r w:rsidRPr="004F5E59">
        <w:t>4.</w:t>
      </w:r>
      <w:r w:rsidRPr="004F5E59">
        <w:tab/>
      </w:r>
      <w:r w:rsidR="007F3D25" w:rsidRPr="00DF5C23">
        <w:rPr>
          <w:noProof/>
          <w:lang w:val="en-IE"/>
        </w:rPr>
        <w:t xml:space="preserve">Before adopting a delegated act, the Commission shall consult </w:t>
      </w:r>
      <w:r w:rsidR="009A606A" w:rsidRPr="00DF5C23">
        <w:rPr>
          <w:noProof/>
          <w:lang w:val="en-IE"/>
        </w:rPr>
        <w:t>experts designated by each Member State</w:t>
      </w:r>
      <w:r w:rsidR="007F3D25" w:rsidRPr="00DF5C23">
        <w:rPr>
          <w:noProof/>
          <w:lang w:val="en-IE"/>
        </w:rPr>
        <w:t xml:space="preserve"> acting in accordance with the principles laid down in the Interinstitutional Agreement of 13 April 2016 on Better Law-Making. </w:t>
      </w:r>
    </w:p>
    <w:p w14:paraId="2C3A58D9" w14:textId="4C06E41B" w:rsidR="007F3D25" w:rsidRPr="00DF5C23" w:rsidRDefault="004F5E59" w:rsidP="004F5E59">
      <w:pPr>
        <w:pStyle w:val="ManualNumPar1"/>
        <w:rPr>
          <w:noProof/>
          <w:lang w:val="en-IE"/>
        </w:rPr>
      </w:pPr>
      <w:r w:rsidRPr="004F5E59">
        <w:t>5.</w:t>
      </w:r>
      <w:r w:rsidRPr="004F5E59">
        <w:tab/>
      </w:r>
      <w:r w:rsidR="007F3D25" w:rsidRPr="00DF5C23">
        <w:rPr>
          <w:noProof/>
          <w:lang w:val="en-IE"/>
        </w:rPr>
        <w:t>As soon as it adopts a delegated act, the Commission shall notify it simultaneously to the European Parliament and to the Council.</w:t>
      </w:r>
    </w:p>
    <w:p w14:paraId="2C3A58DA" w14:textId="78AAD052" w:rsidR="00646885" w:rsidRPr="00DF5C23" w:rsidRDefault="004F5E59" w:rsidP="004F5E59">
      <w:pPr>
        <w:pStyle w:val="ManualNumPar1"/>
        <w:rPr>
          <w:noProof/>
          <w:lang w:val="en-IE"/>
        </w:rPr>
      </w:pPr>
      <w:r w:rsidRPr="004F5E59">
        <w:t>6.</w:t>
      </w:r>
      <w:r w:rsidRPr="004F5E59">
        <w:tab/>
      </w:r>
      <w:r w:rsidR="007F3D25" w:rsidRPr="00DF5C23">
        <w:rPr>
          <w:noProof/>
          <w:lang w:val="en-IE"/>
        </w:rPr>
        <w:t xml:space="preserve">A delegated act adopted pursuant to </w:t>
      </w:r>
      <w:r w:rsidR="00FC419C" w:rsidRPr="00DF5C23">
        <w:rPr>
          <w:noProof/>
          <w:lang w:val="en-IE"/>
        </w:rPr>
        <w:t>Article 4, Article 9(1), second subparagraph, Article 11(4), Article 20(3), and Article 61(1)</w:t>
      </w:r>
      <w:r w:rsidR="00937D52" w:rsidRPr="00DF5C23">
        <w:rPr>
          <w:noProof/>
          <w:lang w:val="en-IE"/>
        </w:rPr>
        <w:t xml:space="preserve"> </w:t>
      </w:r>
      <w:r w:rsidR="007F3D25" w:rsidRPr="00DF5C23">
        <w:rPr>
          <w:noProof/>
          <w:lang w:val="en-IE"/>
        </w:rPr>
        <w:t>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2C3A58DB"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67</w:t>
      </w:r>
      <w:r w:rsidR="003257DB" w:rsidRPr="00DF5C23">
        <w:rPr>
          <w:noProof/>
        </w:rPr>
        <w:br/>
      </w:r>
      <w:r w:rsidRPr="00DF5C23">
        <w:rPr>
          <w:noProof/>
          <w:lang w:val="en-IE" w:eastAsia="fr-BE"/>
        </w:rPr>
        <w:t>Committee procedure</w:t>
      </w:r>
    </w:p>
    <w:p w14:paraId="2C3A58DC" w14:textId="50EB9473" w:rsidR="00646885" w:rsidRPr="00DF5C23" w:rsidRDefault="004F5E59" w:rsidP="004F5E59">
      <w:pPr>
        <w:pStyle w:val="ManualNumPar1"/>
        <w:rPr>
          <w:noProof/>
          <w:lang w:val="en-IE" w:eastAsia="fr-BE"/>
        </w:rPr>
      </w:pPr>
      <w:r w:rsidRPr="004F5E59">
        <w:t>1.</w:t>
      </w:r>
      <w:r w:rsidRPr="004F5E59">
        <w:tab/>
      </w:r>
      <w:r w:rsidR="0681B866" w:rsidRPr="00DF5C23">
        <w:rPr>
          <w:noProof/>
          <w:lang w:val="en-IE" w:eastAsia="fr-BE"/>
        </w:rPr>
        <w:t>The Commission shall be assisted by a Committee</w:t>
      </w:r>
      <w:r w:rsidR="00B464D0" w:rsidRPr="00DF5C23">
        <w:rPr>
          <w:noProof/>
          <w:lang w:val="en-IE" w:eastAsia="fr-BE"/>
        </w:rPr>
        <w:t>.</w:t>
      </w:r>
      <w:r w:rsidR="0681B866" w:rsidRPr="00DF5C23">
        <w:rPr>
          <w:noProof/>
          <w:lang w:val="en-IE" w:eastAsia="fr-BE"/>
        </w:rPr>
        <w:t xml:space="preserve"> </w:t>
      </w:r>
      <w:r w:rsidR="0681B866" w:rsidRPr="00DF5C23">
        <w:rPr>
          <w:noProof/>
        </w:rPr>
        <w:t>That committee shall be a committee within the meaning of Regulation (EU) No 182/2011.</w:t>
      </w:r>
    </w:p>
    <w:p w14:paraId="2C3A58DD" w14:textId="5CE8254B" w:rsidR="00646885" w:rsidRPr="00DF5C23" w:rsidRDefault="004F5E59" w:rsidP="004F5E59">
      <w:pPr>
        <w:pStyle w:val="ManualNumPar1"/>
        <w:rPr>
          <w:noProof/>
          <w:lang w:val="en-IE"/>
        </w:rPr>
      </w:pPr>
      <w:r w:rsidRPr="004F5E59">
        <w:t>2.</w:t>
      </w:r>
      <w:r w:rsidRPr="004F5E59">
        <w:tab/>
      </w:r>
      <w:r w:rsidR="0681B866" w:rsidRPr="00DF5C23">
        <w:rPr>
          <w:noProof/>
          <w:lang w:val="en-IE"/>
        </w:rPr>
        <w:t xml:space="preserve">Where reference is made to this paragraph, Article 4 of Regulation (EU) No 182/2011 shall apply. </w:t>
      </w:r>
    </w:p>
    <w:p w14:paraId="2C3A58DE" w14:textId="66DA39CC" w:rsidR="00646885" w:rsidRPr="00DF5C23" w:rsidRDefault="004F5E59" w:rsidP="004F5E59">
      <w:pPr>
        <w:pStyle w:val="ManualNumPar1"/>
        <w:rPr>
          <w:noProof/>
          <w:lang w:val="en-IE"/>
        </w:rPr>
      </w:pPr>
      <w:r w:rsidRPr="004F5E59">
        <w:t>3.</w:t>
      </w:r>
      <w:r w:rsidRPr="004F5E59">
        <w:tab/>
      </w:r>
      <w:r w:rsidR="0681B866" w:rsidRPr="00DF5C23">
        <w:rPr>
          <w:noProof/>
          <w:lang w:val="en-IE"/>
        </w:rPr>
        <w:t xml:space="preserve">Where reference is made to this paragraph, Article 5 of Regulation (EU) No 182/2011 shall apply. </w:t>
      </w:r>
    </w:p>
    <w:p w14:paraId="2C3A58DF" w14:textId="77777777" w:rsidR="00646885" w:rsidRPr="00DF5C23" w:rsidRDefault="0681B866" w:rsidP="00345B04">
      <w:pPr>
        <w:pStyle w:val="ManualHeading1"/>
        <w:jc w:val="center"/>
        <w:rPr>
          <w:noProof/>
        </w:rPr>
      </w:pPr>
      <w:r w:rsidRPr="00DF5C23">
        <w:rPr>
          <w:noProof/>
        </w:rPr>
        <w:t>Chapter X</w:t>
      </w:r>
      <w:r w:rsidR="00FC419C" w:rsidRPr="00DF5C23">
        <w:rPr>
          <w:noProof/>
        </w:rPr>
        <w:t>I</w:t>
      </w:r>
      <w:r w:rsidR="00A625AD" w:rsidRPr="00DF5C23">
        <w:rPr>
          <w:noProof/>
        </w:rPr>
        <w:t>V</w:t>
      </w:r>
      <w:r w:rsidR="00345B04" w:rsidRPr="00DF5C23">
        <w:rPr>
          <w:noProof/>
        </w:rPr>
        <w:t xml:space="preserve"> - </w:t>
      </w:r>
      <w:r w:rsidRPr="00DF5C23">
        <w:rPr>
          <w:noProof/>
        </w:rPr>
        <w:t>Final provisions</w:t>
      </w:r>
    </w:p>
    <w:p w14:paraId="2C3A58E0" w14:textId="77777777" w:rsidR="00646885" w:rsidRPr="00DF5C23" w:rsidRDefault="00646885" w:rsidP="0681B866">
      <w:pPr>
        <w:pStyle w:val="Titrearticle"/>
        <w:rPr>
          <w:noProof/>
          <w:color w:val="000000" w:themeColor="text1"/>
          <w:lang w:val="en-IE" w:eastAsia="fr-BE"/>
        </w:rPr>
      </w:pPr>
      <w:r w:rsidRPr="00DF5C23">
        <w:rPr>
          <w:noProof/>
          <w:color w:val="000000" w:themeColor="text1"/>
          <w:lang w:val="en-IE" w:eastAsia="fr-BE"/>
        </w:rPr>
        <w:t xml:space="preserve">Article </w:t>
      </w:r>
      <w:r w:rsidR="00565D97" w:rsidRPr="00DF5C23">
        <w:rPr>
          <w:noProof/>
          <w:color w:val="000000" w:themeColor="text1"/>
          <w:lang w:val="en-IE" w:eastAsia="fr-BE"/>
        </w:rPr>
        <w:t>6</w:t>
      </w:r>
      <w:r w:rsidR="00FC419C" w:rsidRPr="00DF5C23">
        <w:rPr>
          <w:noProof/>
          <w:color w:val="000000" w:themeColor="text1"/>
          <w:lang w:val="en-IE" w:eastAsia="fr-BE"/>
        </w:rPr>
        <w:t>8</w:t>
      </w:r>
      <w:r w:rsidR="00D333AD" w:rsidRPr="00DF5C23">
        <w:rPr>
          <w:noProof/>
        </w:rPr>
        <w:br/>
      </w:r>
      <w:r w:rsidRPr="00DF5C23">
        <w:rPr>
          <w:noProof/>
          <w:color w:val="000000" w:themeColor="text1"/>
          <w:lang w:val="en-IE" w:eastAsia="fr-BE"/>
        </w:rPr>
        <w:t>Penalties</w:t>
      </w:r>
    </w:p>
    <w:p w14:paraId="2C3A58E1" w14:textId="77777777" w:rsidR="00EC7EC3" w:rsidRPr="00DF5C23" w:rsidRDefault="23DF1179" w:rsidP="00EC7EC3">
      <w:pPr>
        <w:shd w:val="clear" w:color="auto" w:fill="FFFFFF" w:themeFill="background1"/>
        <w:spacing w:after="0"/>
        <w:rPr>
          <w:noProof/>
        </w:rPr>
      </w:pPr>
      <w:r w:rsidRPr="23DF1179">
        <w:rPr>
          <w:rFonts w:eastAsia="Times New Roman"/>
          <w:noProof/>
          <w:color w:val="000000" w:themeColor="text1"/>
          <w:lang w:val="en-IE" w:eastAsia="fr-BE"/>
        </w:rPr>
        <w:t xml:space="preserve">Member States shall lay down the rules </w:t>
      </w:r>
      <w:r>
        <w:rPr>
          <w:noProof/>
        </w:rPr>
        <w:t xml:space="preserve">on penalties </w:t>
      </w:r>
      <w:r w:rsidRPr="23DF1179">
        <w:rPr>
          <w:rFonts w:eastAsia="Times New Roman"/>
          <w:noProof/>
          <w:color w:val="000000" w:themeColor="text1"/>
          <w:lang w:val="en-IE" w:eastAsia="fr-BE"/>
        </w:rPr>
        <w:t>applicable to infringements of this Regulation and shall take all measures necessary to ensure that they are implemented. The penalties provided for shall be effective, proportionate and dissuasive, taking into account the extent of non-compliance and the number of units of non-complying products placed on the Union market. Member States shall notify the Commission of those provisions by [</w:t>
      </w:r>
      <w:r w:rsidRPr="23DF1179">
        <w:rPr>
          <w:rFonts w:eastAsia="Times New Roman"/>
          <w:i/>
          <w:iCs/>
          <w:noProof/>
          <w:color w:val="000000" w:themeColor="text1"/>
          <w:lang w:val="en-IE" w:eastAsia="fr-BE"/>
        </w:rPr>
        <w:t>one year after the date of application of this Regulation</w:t>
      </w:r>
      <w:r w:rsidRPr="23DF1179">
        <w:rPr>
          <w:rFonts w:eastAsia="Times New Roman"/>
          <w:noProof/>
          <w:color w:val="000000" w:themeColor="text1"/>
          <w:lang w:val="en-IE" w:eastAsia="fr-BE"/>
        </w:rPr>
        <w:t>] at the latest and shall notify it without delay of any subsequent amendment affecting them.</w:t>
      </w:r>
    </w:p>
    <w:p w14:paraId="2C3A58E2"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FC419C" w:rsidRPr="00DF5C23">
        <w:rPr>
          <w:noProof/>
          <w:lang w:val="en-IE" w:eastAsia="fr-BE"/>
        </w:rPr>
        <w:t>69</w:t>
      </w:r>
      <w:r w:rsidR="0077167C" w:rsidRPr="00DF5C23">
        <w:rPr>
          <w:noProof/>
        </w:rPr>
        <w:br/>
      </w:r>
      <w:r w:rsidR="00A102BB" w:rsidRPr="00DF5C23">
        <w:rPr>
          <w:noProof/>
          <w:lang w:val="en-IE" w:eastAsia="fr-BE"/>
        </w:rPr>
        <w:t>Evaluation</w:t>
      </w:r>
    </w:p>
    <w:p w14:paraId="2C3A58E3" w14:textId="77777777" w:rsidR="00EF3579" w:rsidRPr="00DF5C23" w:rsidRDefault="23DF1179" w:rsidP="23DF1179">
      <w:pPr>
        <w:shd w:val="clear" w:color="auto" w:fill="FFFFFF" w:themeFill="background1"/>
        <w:spacing w:after="0"/>
        <w:rPr>
          <w:rFonts w:eastAsia="Times New Roman"/>
          <w:noProof/>
          <w:color w:val="000000" w:themeColor="text1"/>
          <w:lang w:val="en-IE" w:eastAsia="fr-BE"/>
        </w:rPr>
      </w:pPr>
      <w:r w:rsidRPr="23DF1179">
        <w:rPr>
          <w:rFonts w:eastAsia="Times New Roman"/>
          <w:noProof/>
          <w:color w:val="000000" w:themeColor="text1"/>
          <w:lang w:val="en-IE" w:eastAsia="fr-BE"/>
        </w:rPr>
        <w:t>No sooner than [</w:t>
      </w:r>
      <w:r w:rsidRPr="23DF1179">
        <w:rPr>
          <w:rFonts w:eastAsia="Times New Roman"/>
          <w:i/>
          <w:iCs/>
          <w:noProof/>
          <w:color w:val="000000" w:themeColor="text1"/>
          <w:lang w:val="en-IE" w:eastAsia="fr-BE"/>
        </w:rPr>
        <w:t>8 years after the date of application of this Regulation</w:t>
      </w:r>
      <w:r w:rsidRPr="23DF1179">
        <w:rPr>
          <w:rFonts w:eastAsia="Times New Roman"/>
          <w:noProof/>
          <w:color w:val="000000" w:themeColor="text1"/>
          <w:lang w:val="en-IE" w:eastAsia="fr-BE"/>
        </w:rPr>
        <w:t xml:space="preserve">], the Commission shall carry out an evaluation of this Regulation </w:t>
      </w:r>
      <w:r>
        <w:rPr>
          <w:noProof/>
        </w:rPr>
        <w:t xml:space="preserve">and of its contribution to the functioning of the internal market and the improvement of the environmental sustainability of products. </w:t>
      </w:r>
      <w:r w:rsidRPr="23DF1179">
        <w:rPr>
          <w:rFonts w:eastAsia="Times New Roman"/>
          <w:noProof/>
          <w:color w:val="000000" w:themeColor="text1"/>
          <w:lang w:eastAsia="fr-BE"/>
        </w:rPr>
        <w:t>The Commission shall</w:t>
      </w:r>
      <w:r w:rsidRPr="23DF1179">
        <w:rPr>
          <w:rFonts w:eastAsia="Times New Roman"/>
          <w:noProof/>
          <w:color w:val="000000" w:themeColor="text1"/>
          <w:lang w:val="en-IE" w:eastAsia="fr-BE"/>
        </w:rPr>
        <w:t xml:space="preserve"> present a report on the main findings to the European Parliament, the Council, the European Economic and Social Committee, and the Committee of the Regions. Member States shall provide the Commission with the information necessary for the preparation of that report. </w:t>
      </w:r>
    </w:p>
    <w:p w14:paraId="2C3A58E4" w14:textId="77777777" w:rsidR="00A102BB" w:rsidRPr="00DF5C23" w:rsidRDefault="23DF1179" w:rsidP="0681B866">
      <w:pPr>
        <w:shd w:val="clear" w:color="auto" w:fill="FFFFFF" w:themeFill="background1"/>
        <w:spacing w:after="0"/>
        <w:rPr>
          <w:noProof/>
        </w:rPr>
      </w:pPr>
      <w:r>
        <w:rPr>
          <w:noProof/>
        </w:rPr>
        <w:t>Where the Commission finds it appropriate, the report shall be accompanied by a legislative proposal for amendment of the relevant provisions of this Regulation.</w:t>
      </w:r>
    </w:p>
    <w:p w14:paraId="2C3A58E5" w14:textId="77777777" w:rsidR="00646885" w:rsidRPr="00DF5C23" w:rsidRDefault="00646885" w:rsidP="0681B866">
      <w:pPr>
        <w:pStyle w:val="Titrearticle"/>
        <w:rPr>
          <w:noProof/>
          <w:lang w:val="en-IE" w:eastAsia="fr-BE"/>
        </w:rPr>
      </w:pPr>
      <w:r w:rsidRPr="00DF5C23">
        <w:rPr>
          <w:noProof/>
          <w:lang w:val="en-IE" w:eastAsia="fr-BE"/>
        </w:rPr>
        <w:t xml:space="preserve">Article </w:t>
      </w:r>
      <w:r w:rsidR="00565D97" w:rsidRPr="00DF5C23">
        <w:rPr>
          <w:noProof/>
          <w:lang w:val="en-IE" w:eastAsia="fr-BE"/>
        </w:rPr>
        <w:t>7</w:t>
      </w:r>
      <w:r w:rsidR="00FC419C" w:rsidRPr="00DF5C23">
        <w:rPr>
          <w:noProof/>
          <w:lang w:val="en-IE" w:eastAsia="fr-BE"/>
        </w:rPr>
        <w:t>0</w:t>
      </w:r>
      <w:r w:rsidR="0077167C" w:rsidRPr="00DF5C23">
        <w:rPr>
          <w:noProof/>
        </w:rPr>
        <w:br/>
      </w:r>
      <w:r w:rsidRPr="00DF5C23">
        <w:rPr>
          <w:noProof/>
          <w:lang w:val="en-IE" w:eastAsia="fr-BE"/>
        </w:rPr>
        <w:t>Repeal</w:t>
      </w:r>
      <w:r w:rsidR="00635F01" w:rsidRPr="00DF5C23">
        <w:rPr>
          <w:noProof/>
          <w:lang w:val="en-IE" w:eastAsia="fr-BE"/>
        </w:rPr>
        <w:t xml:space="preserve"> and transitional provisions</w:t>
      </w:r>
    </w:p>
    <w:p w14:paraId="2C3A58E6" w14:textId="0D14825F" w:rsidR="008D4EE0" w:rsidRPr="00DF5C23" w:rsidRDefault="004F5E59" w:rsidP="004F5E59">
      <w:pPr>
        <w:pStyle w:val="ManualNumPar1"/>
        <w:rPr>
          <w:noProof/>
          <w:lang w:val="en-IE" w:eastAsia="fr-BE"/>
        </w:rPr>
      </w:pPr>
      <w:r w:rsidRPr="004F5E59">
        <w:t>1.</w:t>
      </w:r>
      <w:r w:rsidRPr="004F5E59">
        <w:tab/>
      </w:r>
      <w:r w:rsidR="00EC7EC3" w:rsidRPr="00DF5C23">
        <w:rPr>
          <w:noProof/>
          <w:lang w:val="en-IE" w:eastAsia="fr-BE"/>
        </w:rPr>
        <w:t xml:space="preserve">Directive 2009/125/EC is repealed. </w:t>
      </w:r>
    </w:p>
    <w:p w14:paraId="2C3A58E7" w14:textId="15E4FEED" w:rsidR="008D4EE0" w:rsidRPr="00DF5C23" w:rsidRDefault="004F5E59" w:rsidP="004F5E59">
      <w:pPr>
        <w:pStyle w:val="ManualNumPar1"/>
        <w:rPr>
          <w:noProof/>
          <w:lang w:val="en-IE" w:eastAsia="fr-BE"/>
        </w:rPr>
      </w:pPr>
      <w:r w:rsidRPr="004F5E59">
        <w:t>2.</w:t>
      </w:r>
      <w:r w:rsidRPr="004F5E59">
        <w:tab/>
      </w:r>
      <w:r w:rsidR="008D4EE0" w:rsidRPr="00DF5C23">
        <w:rPr>
          <w:noProof/>
          <w:lang w:val="en-IE" w:eastAsia="fr-BE"/>
        </w:rPr>
        <w:t>References to the repealed Directive shall be construed as references to this Regulation and shall be read in accordance with the correlation table in Annex VIII.</w:t>
      </w:r>
    </w:p>
    <w:p w14:paraId="2C3A58E8" w14:textId="52AB6F98" w:rsidR="00930D44" w:rsidRPr="00DF5C23" w:rsidRDefault="004F5E59" w:rsidP="004F5E59">
      <w:pPr>
        <w:pStyle w:val="ManualNumPar1"/>
        <w:rPr>
          <w:noProof/>
          <w:lang w:val="en-IE" w:eastAsia="fr-BE"/>
        </w:rPr>
      </w:pPr>
      <w:r w:rsidRPr="004F5E59">
        <w:t>3.</w:t>
      </w:r>
      <w:r w:rsidRPr="004F5E59">
        <w:tab/>
      </w:r>
      <w:r w:rsidR="00B001DC" w:rsidRPr="00DF5C23">
        <w:rPr>
          <w:noProof/>
          <w:lang w:val="en-IE" w:eastAsia="fr-BE"/>
        </w:rPr>
        <w:t>Article 1</w:t>
      </w:r>
      <w:r w:rsidR="00C245A0" w:rsidRPr="00DF5C23">
        <w:rPr>
          <w:noProof/>
          <w:lang w:val="en-IE" w:eastAsia="fr-BE"/>
        </w:rPr>
        <w:t>(3)</w:t>
      </w:r>
      <w:r w:rsidR="00B001DC" w:rsidRPr="00DF5C23">
        <w:rPr>
          <w:noProof/>
          <w:lang w:val="en-IE" w:eastAsia="fr-BE"/>
        </w:rPr>
        <w:t>, Article 2, Article 3</w:t>
      </w:r>
      <w:r w:rsidR="00C245A0" w:rsidRPr="00DF5C23">
        <w:rPr>
          <w:noProof/>
          <w:lang w:val="en-IE" w:eastAsia="fr-BE"/>
        </w:rPr>
        <w:t>(1)</w:t>
      </w:r>
      <w:r w:rsidR="00B001DC" w:rsidRPr="00DF5C23">
        <w:rPr>
          <w:noProof/>
          <w:lang w:val="en-IE" w:eastAsia="fr-BE"/>
        </w:rPr>
        <w:t>, Article</w:t>
      </w:r>
      <w:r w:rsidR="00C245A0" w:rsidRPr="00DF5C23">
        <w:rPr>
          <w:noProof/>
          <w:lang w:val="en-IE" w:eastAsia="fr-BE"/>
        </w:rPr>
        <w:t>s</w:t>
      </w:r>
      <w:r w:rsidR="00B001DC" w:rsidRPr="00DF5C23">
        <w:rPr>
          <w:noProof/>
          <w:lang w:val="en-IE" w:eastAsia="fr-BE"/>
        </w:rPr>
        <w:t xml:space="preserve"> 4</w:t>
      </w:r>
      <w:r w:rsidR="00C245A0" w:rsidRPr="00DF5C23">
        <w:rPr>
          <w:noProof/>
          <w:lang w:val="en-IE" w:eastAsia="fr-BE"/>
        </w:rPr>
        <w:t xml:space="preserve">, </w:t>
      </w:r>
      <w:r w:rsidR="00B001DC" w:rsidRPr="00DF5C23">
        <w:rPr>
          <w:noProof/>
          <w:lang w:val="en-IE" w:eastAsia="fr-BE"/>
        </w:rPr>
        <w:t>5</w:t>
      </w:r>
      <w:r w:rsidR="00C245A0" w:rsidRPr="00DF5C23">
        <w:rPr>
          <w:noProof/>
          <w:lang w:val="en-IE" w:eastAsia="fr-BE"/>
        </w:rPr>
        <w:t xml:space="preserve"> and </w:t>
      </w:r>
      <w:r w:rsidR="00B001DC" w:rsidRPr="00DF5C23">
        <w:rPr>
          <w:noProof/>
          <w:lang w:val="en-IE" w:eastAsia="fr-BE"/>
        </w:rPr>
        <w:t>8, Article 9</w:t>
      </w:r>
      <w:r w:rsidR="00C245A0" w:rsidRPr="00DF5C23">
        <w:rPr>
          <w:noProof/>
          <w:lang w:val="en-IE" w:eastAsia="fr-BE"/>
        </w:rPr>
        <w:t>(</w:t>
      </w:r>
      <w:r w:rsidR="003078A5" w:rsidRPr="00DF5C23">
        <w:rPr>
          <w:noProof/>
          <w:lang w:val="en-IE" w:eastAsia="fr-BE"/>
        </w:rPr>
        <w:t>3</w:t>
      </w:r>
      <w:r w:rsidR="00C245A0" w:rsidRPr="00DF5C23">
        <w:rPr>
          <w:noProof/>
          <w:lang w:val="en-IE" w:eastAsia="fr-BE"/>
        </w:rPr>
        <w:t>)</w:t>
      </w:r>
      <w:r w:rsidR="00B001DC" w:rsidRPr="00DF5C23">
        <w:rPr>
          <w:noProof/>
          <w:lang w:val="en-IE" w:eastAsia="fr-BE"/>
        </w:rPr>
        <w:t>, Article 10</w:t>
      </w:r>
      <w:r w:rsidR="00270C9B" w:rsidRPr="00DF5C23">
        <w:rPr>
          <w:noProof/>
          <w:lang w:val="en-IE" w:eastAsia="fr-BE"/>
        </w:rPr>
        <w:t xml:space="preserve"> </w:t>
      </w:r>
      <w:r w:rsidR="00835A1C" w:rsidRPr="00DF5C23">
        <w:rPr>
          <w:noProof/>
          <w:lang w:val="en-IE" w:eastAsia="fr-BE"/>
        </w:rPr>
        <w:t>and</w:t>
      </w:r>
      <w:r w:rsidR="00B001DC" w:rsidRPr="00DF5C23">
        <w:rPr>
          <w:noProof/>
          <w:lang w:val="en-IE" w:eastAsia="fr-BE"/>
        </w:rPr>
        <w:t xml:space="preserve"> Annexes IV, V and VI of Directive 2009/125/EC, as applicable on [OP: </w:t>
      </w:r>
      <w:r w:rsidR="00B001DC" w:rsidRPr="00DF5C23">
        <w:rPr>
          <w:i/>
          <w:noProof/>
          <w:lang w:val="en-IE" w:eastAsia="fr-BE"/>
        </w:rPr>
        <w:t xml:space="preserve">please insert </w:t>
      </w:r>
      <w:r w:rsidR="008D4EE0" w:rsidRPr="00DF5C23">
        <w:rPr>
          <w:i/>
          <w:noProof/>
          <w:lang w:val="en-IE" w:eastAsia="fr-BE"/>
        </w:rPr>
        <w:t>the day</w:t>
      </w:r>
      <w:r w:rsidR="00B001DC" w:rsidRPr="00DF5C23">
        <w:rPr>
          <w:i/>
          <w:noProof/>
          <w:lang w:val="en-IE" w:eastAsia="fr-BE"/>
        </w:rPr>
        <w:t xml:space="preserve"> before the date of application of this Regulation</w:t>
      </w:r>
      <w:r w:rsidR="00B001DC" w:rsidRPr="00DF5C23">
        <w:rPr>
          <w:noProof/>
          <w:lang w:val="en-IE" w:eastAsia="fr-BE"/>
        </w:rPr>
        <w:t>] shall continue to apply to implementing measures adopted pursuant to Article 15 of that Directive.</w:t>
      </w:r>
    </w:p>
    <w:p w14:paraId="2C3A58E9" w14:textId="374AFBD2" w:rsidR="008D4EE0" w:rsidRPr="00DF5C23" w:rsidRDefault="004F5E59" w:rsidP="004F5E59">
      <w:pPr>
        <w:pStyle w:val="ManualNumPar1"/>
        <w:rPr>
          <w:noProof/>
          <w:lang w:val="en-IE" w:eastAsia="fr-BE"/>
        </w:rPr>
      </w:pPr>
      <w:r w:rsidRPr="004F5E59">
        <w:t>4.</w:t>
      </w:r>
      <w:r w:rsidRPr="004F5E59">
        <w:tab/>
      </w:r>
      <w:r w:rsidR="00930D44" w:rsidRPr="00DF5C23">
        <w:rPr>
          <w:noProof/>
          <w:lang w:val="en-IE" w:eastAsia="fr-BE"/>
        </w:rPr>
        <w:t>Article</w:t>
      </w:r>
      <w:r w:rsidR="00C245A0" w:rsidRPr="00DF5C23">
        <w:rPr>
          <w:noProof/>
          <w:lang w:val="en-IE" w:eastAsia="fr-BE"/>
        </w:rPr>
        <w:t>s</w:t>
      </w:r>
      <w:r w:rsidR="00930D44" w:rsidRPr="00DF5C23">
        <w:rPr>
          <w:noProof/>
          <w:lang w:val="en-IE" w:eastAsia="fr-BE"/>
        </w:rPr>
        <w:t xml:space="preserve"> 3, 3</w:t>
      </w:r>
      <w:r w:rsidR="00E33AD9" w:rsidRPr="00DF5C23">
        <w:rPr>
          <w:noProof/>
          <w:lang w:val="en-IE" w:eastAsia="fr-BE"/>
        </w:rPr>
        <w:t>3</w:t>
      </w:r>
      <w:r w:rsidR="00C245A0" w:rsidRPr="00DF5C23">
        <w:rPr>
          <w:noProof/>
          <w:lang w:val="en-IE" w:eastAsia="fr-BE"/>
        </w:rPr>
        <w:t xml:space="preserve"> and </w:t>
      </w:r>
      <w:r w:rsidR="00FC419C" w:rsidRPr="00DF5C23">
        <w:rPr>
          <w:noProof/>
          <w:lang w:val="en-IE" w:eastAsia="fr-BE"/>
        </w:rPr>
        <w:t xml:space="preserve">Articles </w:t>
      </w:r>
      <w:r w:rsidR="00930D44" w:rsidRPr="00DF5C23">
        <w:rPr>
          <w:noProof/>
          <w:lang w:val="en-IE" w:eastAsia="fr-BE"/>
        </w:rPr>
        <w:t>5</w:t>
      </w:r>
      <w:r w:rsidR="00E33AD9" w:rsidRPr="00DF5C23">
        <w:rPr>
          <w:noProof/>
          <w:lang w:val="en-IE" w:eastAsia="fr-BE"/>
        </w:rPr>
        <w:t>9</w:t>
      </w:r>
      <w:r w:rsidR="00930D44" w:rsidRPr="00DF5C23">
        <w:rPr>
          <w:noProof/>
          <w:lang w:val="en-IE" w:eastAsia="fr-BE"/>
        </w:rPr>
        <w:t xml:space="preserve"> to </w:t>
      </w:r>
      <w:r w:rsidR="00E33AD9" w:rsidRPr="00DF5C23">
        <w:rPr>
          <w:noProof/>
          <w:lang w:val="en-IE" w:eastAsia="fr-BE"/>
        </w:rPr>
        <w:t>65</w:t>
      </w:r>
      <w:r w:rsidR="00930D44" w:rsidRPr="00DF5C23">
        <w:rPr>
          <w:noProof/>
          <w:lang w:val="en-IE" w:eastAsia="fr-BE"/>
        </w:rPr>
        <w:t xml:space="preserve"> of this Regulation shall apply to implementing measures adopted pursuant to Article 15 of Directive 2009/125/EC. </w:t>
      </w:r>
    </w:p>
    <w:p w14:paraId="2C3A58EA" w14:textId="3DEC8F87" w:rsidR="00EC7EC3" w:rsidRPr="00DF5C23" w:rsidRDefault="004F5E59" w:rsidP="004F5E59">
      <w:pPr>
        <w:pStyle w:val="ManualNumPar1"/>
        <w:rPr>
          <w:noProof/>
          <w:lang w:val="en-IE" w:eastAsia="fr-BE"/>
        </w:rPr>
      </w:pPr>
      <w:r w:rsidRPr="004F5E59">
        <w:t>5.</w:t>
      </w:r>
      <w:r w:rsidRPr="004F5E59">
        <w:tab/>
      </w:r>
      <w:r w:rsidR="00EC7EC3" w:rsidRPr="00DF5C23">
        <w:rPr>
          <w:noProof/>
          <w:lang w:val="en-IE" w:eastAsia="fr-BE"/>
        </w:rPr>
        <w:t xml:space="preserve">For products placed on the market or put into service in accordance with Directive 2009/125/EC before the date of application of a delegated act </w:t>
      </w:r>
      <w:r w:rsidR="00552FE2" w:rsidRPr="00DF5C23">
        <w:rPr>
          <w:noProof/>
          <w:lang w:val="en-IE" w:eastAsia="fr-BE"/>
        </w:rPr>
        <w:t>adopted pursuant to Article 4</w:t>
      </w:r>
      <w:r w:rsidR="00EC7EC3" w:rsidRPr="00DF5C23">
        <w:rPr>
          <w:noProof/>
          <w:lang w:val="en-IE" w:eastAsia="fr-BE"/>
        </w:rPr>
        <w:t xml:space="preserve"> of this Regulation covering the same products, the manufacturer shall, for a period of 10 years as from the date when the </w:t>
      </w:r>
      <w:r w:rsidR="004C1534" w:rsidRPr="00DF5C23">
        <w:rPr>
          <w:noProof/>
          <w:lang w:val="en-IE" w:eastAsia="fr-BE"/>
        </w:rPr>
        <w:t>last of th</w:t>
      </w:r>
      <w:r w:rsidR="004D66C4" w:rsidRPr="00DF5C23">
        <w:rPr>
          <w:noProof/>
          <w:lang w:val="en-IE" w:eastAsia="fr-BE"/>
        </w:rPr>
        <w:t>at</w:t>
      </w:r>
      <w:r w:rsidR="00EC7EC3" w:rsidRPr="00DF5C23">
        <w:rPr>
          <w:noProof/>
          <w:lang w:val="en-IE" w:eastAsia="fr-BE"/>
        </w:rPr>
        <w:t xml:space="preserve"> product was manufactured, make an electronic version of documentation relating to the conformity assessment and the declaration of conformity available for inspection within 10 days of a request received from market surveillance authorities or the Commission.</w:t>
      </w:r>
    </w:p>
    <w:p w14:paraId="2C3A58EB" w14:textId="77777777" w:rsidR="00EC7EC3" w:rsidRPr="00DF5C23" w:rsidRDefault="00646885" w:rsidP="00EC7EC3">
      <w:pPr>
        <w:pStyle w:val="Titrearticle"/>
        <w:rPr>
          <w:noProof/>
          <w:lang w:eastAsia="fr-BE"/>
        </w:rPr>
      </w:pPr>
      <w:r w:rsidRPr="00DF5C23">
        <w:rPr>
          <w:noProof/>
          <w:lang w:val="en-IE" w:eastAsia="fr-BE"/>
        </w:rPr>
        <w:t xml:space="preserve">Article </w:t>
      </w:r>
      <w:r w:rsidR="00FE5C92" w:rsidRPr="00DF5C23">
        <w:rPr>
          <w:noProof/>
          <w:lang w:val="en-IE" w:eastAsia="fr-BE"/>
        </w:rPr>
        <w:t>7</w:t>
      </w:r>
      <w:r w:rsidR="00FC419C" w:rsidRPr="00DF5C23">
        <w:rPr>
          <w:noProof/>
          <w:lang w:val="en-IE" w:eastAsia="fr-BE"/>
        </w:rPr>
        <w:t>1</w:t>
      </w:r>
      <w:r w:rsidR="0077167C" w:rsidRPr="00DF5C23">
        <w:rPr>
          <w:noProof/>
        </w:rPr>
        <w:br/>
      </w:r>
      <w:r w:rsidR="00EC7EC3" w:rsidRPr="00DF5C23">
        <w:rPr>
          <w:noProof/>
          <w:lang w:val="en-IE" w:eastAsia="fr-BE"/>
        </w:rPr>
        <w:t>Entry into force</w:t>
      </w:r>
    </w:p>
    <w:p w14:paraId="2C3A58EC" w14:textId="77777777" w:rsidR="00EC7EC3" w:rsidRPr="00DF5C23" w:rsidRDefault="23DF1179" w:rsidP="23DF1179">
      <w:pPr>
        <w:shd w:val="clear" w:color="auto" w:fill="FFFFFF" w:themeFill="background1"/>
        <w:spacing w:after="0"/>
        <w:rPr>
          <w:rFonts w:eastAsiaTheme="majorEastAsia"/>
          <w:noProof/>
          <w:color w:val="000000" w:themeColor="text1"/>
          <w:lang w:val="en-IE" w:eastAsia="fr-BE"/>
        </w:rPr>
      </w:pPr>
      <w:r w:rsidRPr="23DF1179">
        <w:rPr>
          <w:rFonts w:eastAsia="Times New Roman"/>
          <w:noProof/>
          <w:color w:val="000000" w:themeColor="text1"/>
          <w:lang w:val="en-IE" w:eastAsia="fr-BE"/>
        </w:rPr>
        <w:t>This Regulation shall enter into force on the twentieth day following that of its publication in the </w:t>
      </w:r>
      <w:r w:rsidRPr="23DF1179">
        <w:rPr>
          <w:rFonts w:eastAsiaTheme="majorEastAsia"/>
          <w:i/>
          <w:iCs/>
          <w:noProof/>
          <w:color w:val="000000" w:themeColor="text1"/>
          <w:lang w:val="en-IE" w:eastAsia="fr-BE"/>
        </w:rPr>
        <w:t>Official Journal of the European Union</w:t>
      </w:r>
      <w:r w:rsidRPr="23DF1179">
        <w:rPr>
          <w:rFonts w:eastAsiaTheme="majorEastAsia"/>
          <w:noProof/>
          <w:color w:val="000000" w:themeColor="text1"/>
          <w:lang w:val="en-IE" w:eastAsia="fr-BE"/>
        </w:rPr>
        <w:t xml:space="preserve">. </w:t>
      </w:r>
    </w:p>
    <w:p w14:paraId="2C3A58ED" w14:textId="77777777" w:rsidR="0077167C" w:rsidRPr="00DF5C23" w:rsidRDefault="0681B866" w:rsidP="0077167C">
      <w:pPr>
        <w:pStyle w:val="Applicationdirecte"/>
        <w:rPr>
          <w:noProof/>
        </w:rPr>
      </w:pPr>
      <w:r w:rsidRPr="00DF5C23">
        <w:rPr>
          <w:noProof/>
        </w:rPr>
        <w:t>This Regulation shall be binding in its entirety and directly applicable in all Member States.</w:t>
      </w:r>
      <w:r w:rsidR="00DF15BE" w:rsidRPr="00DF5C23">
        <w:rPr>
          <w:noProof/>
        </w:rPr>
        <w:t xml:space="preserve"> </w:t>
      </w:r>
    </w:p>
    <w:p w14:paraId="2C3A58EE" w14:textId="76054C56" w:rsidR="0077167C" w:rsidRPr="00DF5C23" w:rsidRDefault="003D463A" w:rsidP="007302C4">
      <w:pPr>
        <w:pStyle w:val="Fait"/>
        <w:rPr>
          <w:noProof/>
        </w:rPr>
      </w:pPr>
      <w:r w:rsidRPr="003D463A">
        <w:t>Done at Brussels,</w:t>
      </w:r>
    </w:p>
    <w:p w14:paraId="2C3A58EF" w14:textId="77777777" w:rsidR="0077167C" w:rsidRPr="00DF5C23" w:rsidRDefault="0077167C" w:rsidP="007302C4">
      <w:pPr>
        <w:pStyle w:val="Institutionquisigne"/>
        <w:rPr>
          <w:noProof/>
        </w:rPr>
      </w:pPr>
      <w:r w:rsidRPr="00DF5C23">
        <w:rPr>
          <w:noProof/>
        </w:rPr>
        <w:t>For the European Parliament</w:t>
      </w:r>
      <w:r w:rsidRPr="00DF5C23">
        <w:rPr>
          <w:noProof/>
        </w:rPr>
        <w:tab/>
        <w:t>For the Council</w:t>
      </w:r>
    </w:p>
    <w:p w14:paraId="2C3A58F0" w14:textId="77777777" w:rsidR="0077167C" w:rsidRPr="00DF5C23" w:rsidRDefault="0077167C" w:rsidP="0077167C">
      <w:pPr>
        <w:pStyle w:val="Personnequisigne"/>
        <w:rPr>
          <w:noProof/>
        </w:rPr>
      </w:pPr>
      <w:r w:rsidRPr="00DF5C23">
        <w:rPr>
          <w:noProof/>
        </w:rPr>
        <w:t>The President</w:t>
      </w:r>
      <w:r w:rsidRPr="00DF5C23">
        <w:rPr>
          <w:noProof/>
        </w:rPr>
        <w:tab/>
        <w:t>The President</w:t>
      </w:r>
    </w:p>
    <w:p w14:paraId="2C3A58F1" w14:textId="77777777" w:rsidR="005879E3" w:rsidRPr="00DF5C23" w:rsidRDefault="005879E3" w:rsidP="005879E3">
      <w:pPr>
        <w:rPr>
          <w:noProof/>
        </w:rPr>
        <w:sectPr w:rsidR="005879E3" w:rsidRPr="00DF5C23" w:rsidSect="008B42B0">
          <w:pgSz w:w="11907" w:h="16839"/>
          <w:pgMar w:top="1134" w:right="1417" w:bottom="1134" w:left="1417" w:header="709" w:footer="709" w:gutter="0"/>
          <w:cols w:space="708"/>
          <w:docGrid w:linePitch="360"/>
        </w:sectPr>
      </w:pPr>
    </w:p>
    <w:p w14:paraId="2C3A58F2" w14:textId="77777777" w:rsidR="005879E3" w:rsidRPr="00DF5C23" w:rsidRDefault="005879E3" w:rsidP="00893002">
      <w:pPr>
        <w:pStyle w:val="Fichefinanciretitre"/>
        <w:keepNext/>
        <w:rPr>
          <w:noProof/>
        </w:rPr>
      </w:pPr>
      <w:r w:rsidRPr="00DF5C23">
        <w:rPr>
          <w:noProof/>
        </w:rPr>
        <w:t>LEGISLATIVE FINANCIAL STATEMENT</w:t>
      </w:r>
    </w:p>
    <w:p w14:paraId="2C3A58F3" w14:textId="77777777" w:rsidR="005879E3" w:rsidRPr="00DF5C23" w:rsidRDefault="005879E3" w:rsidP="00893002">
      <w:pPr>
        <w:pStyle w:val="ManualHeading1"/>
        <w:rPr>
          <w:noProof/>
        </w:rPr>
      </w:pPr>
      <w:r w:rsidRPr="00DF5C23">
        <w:rPr>
          <w:noProof/>
        </w:rPr>
        <w:t>1.</w:t>
      </w:r>
      <w:r w:rsidRPr="00DF5C23">
        <w:rPr>
          <w:noProof/>
        </w:rPr>
        <w:tab/>
        <w:t>FRAMEWORK OF THE PROPOSAL/INITIATIVE</w:t>
      </w:r>
    </w:p>
    <w:p w14:paraId="2C3A58F4" w14:textId="77777777" w:rsidR="005879E3" w:rsidRPr="00DF5C23" w:rsidRDefault="005879E3" w:rsidP="00893002">
      <w:pPr>
        <w:pStyle w:val="ManualHeading2"/>
        <w:rPr>
          <w:noProof/>
        </w:rPr>
      </w:pPr>
      <w:r w:rsidRPr="00DF5C23">
        <w:rPr>
          <w:noProof/>
        </w:rPr>
        <w:tab/>
        <w:t>1.1.</w:t>
      </w:r>
      <w:r w:rsidRPr="00DF5C23">
        <w:rPr>
          <w:noProof/>
        </w:rPr>
        <w:tab/>
        <w:t>Title of the proposal/initiative</w:t>
      </w:r>
    </w:p>
    <w:p w14:paraId="2C3A58F5" w14:textId="77777777" w:rsidR="005879E3" w:rsidRPr="00DF5C23" w:rsidRDefault="005879E3" w:rsidP="00893002">
      <w:pPr>
        <w:pStyle w:val="ManualHeading2"/>
        <w:rPr>
          <w:noProof/>
        </w:rPr>
      </w:pPr>
      <w:r w:rsidRPr="00DF5C23">
        <w:rPr>
          <w:noProof/>
        </w:rPr>
        <w:tab/>
        <w:t>1.2.</w:t>
      </w:r>
      <w:r w:rsidRPr="00DF5C23">
        <w:rPr>
          <w:noProof/>
        </w:rPr>
        <w:tab/>
        <w:t>Policy area(s) concerned</w:t>
      </w:r>
    </w:p>
    <w:p w14:paraId="2C3A58F6" w14:textId="77777777" w:rsidR="005879E3" w:rsidRPr="00DF5C23" w:rsidRDefault="005879E3" w:rsidP="00893002">
      <w:pPr>
        <w:pStyle w:val="ManualHeading2"/>
        <w:rPr>
          <w:noProof/>
        </w:rPr>
      </w:pPr>
      <w:r w:rsidRPr="00DF5C23">
        <w:rPr>
          <w:noProof/>
        </w:rPr>
        <w:tab/>
        <w:t>1.3.</w:t>
      </w:r>
      <w:r w:rsidRPr="00DF5C23">
        <w:rPr>
          <w:noProof/>
        </w:rPr>
        <w:tab/>
        <w:t>The proposal/initiative relates to:</w:t>
      </w:r>
    </w:p>
    <w:p w14:paraId="2C3A58F7" w14:textId="77777777" w:rsidR="005879E3" w:rsidRPr="00DF5C23" w:rsidRDefault="005879E3" w:rsidP="00893002">
      <w:pPr>
        <w:pStyle w:val="ManualHeading2"/>
        <w:rPr>
          <w:noProof/>
        </w:rPr>
      </w:pPr>
      <w:r w:rsidRPr="00DF5C23">
        <w:rPr>
          <w:noProof/>
        </w:rPr>
        <w:tab/>
        <w:t>1.4.</w:t>
      </w:r>
      <w:r w:rsidRPr="00DF5C23">
        <w:rPr>
          <w:noProof/>
        </w:rPr>
        <w:tab/>
        <w:t>Objective(s)</w:t>
      </w:r>
    </w:p>
    <w:p w14:paraId="2C3A58F8" w14:textId="77777777" w:rsidR="005879E3" w:rsidRPr="00DF5C23" w:rsidRDefault="005879E3" w:rsidP="00893002">
      <w:pPr>
        <w:pStyle w:val="ManualHeading3"/>
        <w:rPr>
          <w:noProof/>
        </w:rPr>
      </w:pPr>
      <w:r w:rsidRPr="00DF5C23">
        <w:rPr>
          <w:noProof/>
        </w:rPr>
        <w:tab/>
        <w:t>1.4.1.</w:t>
      </w:r>
      <w:r w:rsidRPr="00DF5C23">
        <w:rPr>
          <w:noProof/>
        </w:rPr>
        <w:tab/>
        <w:t>General objective(s)</w:t>
      </w:r>
    </w:p>
    <w:p w14:paraId="2C3A58F9" w14:textId="77777777" w:rsidR="005879E3" w:rsidRPr="00DF5C23" w:rsidRDefault="005879E3" w:rsidP="00893002">
      <w:pPr>
        <w:pStyle w:val="ManualHeading3"/>
        <w:rPr>
          <w:noProof/>
        </w:rPr>
      </w:pPr>
      <w:r w:rsidRPr="00DF5C23">
        <w:rPr>
          <w:noProof/>
        </w:rPr>
        <w:tab/>
        <w:t>1.4.2.</w:t>
      </w:r>
      <w:r w:rsidRPr="00DF5C23">
        <w:rPr>
          <w:noProof/>
        </w:rPr>
        <w:tab/>
        <w:t>Specific objective(s)</w:t>
      </w:r>
    </w:p>
    <w:p w14:paraId="2C3A58FA" w14:textId="77777777" w:rsidR="005879E3" w:rsidRPr="00DF5C23" w:rsidRDefault="005879E3" w:rsidP="00893002">
      <w:pPr>
        <w:pStyle w:val="ManualHeading3"/>
        <w:rPr>
          <w:noProof/>
        </w:rPr>
      </w:pPr>
      <w:r w:rsidRPr="00DF5C23">
        <w:rPr>
          <w:noProof/>
        </w:rPr>
        <w:tab/>
        <w:t>1.4.3.</w:t>
      </w:r>
      <w:r w:rsidRPr="00DF5C23">
        <w:rPr>
          <w:noProof/>
        </w:rPr>
        <w:tab/>
        <w:t>Expected result(s) and impact</w:t>
      </w:r>
    </w:p>
    <w:p w14:paraId="2C3A58FB" w14:textId="77777777" w:rsidR="005879E3" w:rsidRPr="00DF5C23" w:rsidRDefault="005879E3" w:rsidP="00893002">
      <w:pPr>
        <w:pStyle w:val="ManualHeading3"/>
        <w:rPr>
          <w:noProof/>
        </w:rPr>
      </w:pPr>
      <w:r w:rsidRPr="00DF5C23">
        <w:rPr>
          <w:noProof/>
        </w:rPr>
        <w:tab/>
        <w:t>1.4.4.</w:t>
      </w:r>
      <w:r w:rsidRPr="00DF5C23">
        <w:rPr>
          <w:noProof/>
        </w:rPr>
        <w:tab/>
        <w:t>Indicators of performance</w:t>
      </w:r>
    </w:p>
    <w:p w14:paraId="2C3A58FC" w14:textId="77777777" w:rsidR="005879E3" w:rsidRPr="00DF5C23" w:rsidRDefault="005879E3" w:rsidP="00893002">
      <w:pPr>
        <w:pStyle w:val="ManualHeading2"/>
        <w:rPr>
          <w:noProof/>
        </w:rPr>
      </w:pPr>
      <w:r w:rsidRPr="00DF5C23">
        <w:rPr>
          <w:noProof/>
        </w:rPr>
        <w:tab/>
        <w:t>1.5.</w:t>
      </w:r>
      <w:r w:rsidRPr="00DF5C23">
        <w:rPr>
          <w:noProof/>
        </w:rPr>
        <w:tab/>
        <w:t>Grounds for the proposal/initiative</w:t>
      </w:r>
    </w:p>
    <w:p w14:paraId="2C3A58FD" w14:textId="77777777" w:rsidR="005879E3" w:rsidRPr="00DF5C23" w:rsidRDefault="005879E3" w:rsidP="00893002">
      <w:pPr>
        <w:pStyle w:val="ManualHeading3"/>
        <w:rPr>
          <w:noProof/>
        </w:rPr>
      </w:pPr>
      <w:r w:rsidRPr="00DF5C23">
        <w:rPr>
          <w:noProof/>
        </w:rPr>
        <w:tab/>
        <w:t>1.5.1.</w:t>
      </w:r>
      <w:r w:rsidRPr="00DF5C23">
        <w:rPr>
          <w:noProof/>
        </w:rPr>
        <w:tab/>
        <w:t>Requirement(s) to be met in the short or long term including a detailed timeline for roll-out of the implementation of the initiative</w:t>
      </w:r>
    </w:p>
    <w:p w14:paraId="2C3A58FE" w14:textId="77777777" w:rsidR="005879E3" w:rsidRPr="00DF5C23" w:rsidRDefault="005879E3" w:rsidP="00893002">
      <w:pPr>
        <w:pStyle w:val="ManualHeading3"/>
        <w:rPr>
          <w:noProof/>
        </w:rPr>
      </w:pPr>
      <w:r w:rsidRPr="00DF5C23">
        <w:rPr>
          <w:noProof/>
        </w:rPr>
        <w:tab/>
        <w:t>1.5.2.</w:t>
      </w:r>
      <w:r w:rsidRPr="00DF5C23">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2C3A58FF" w14:textId="77777777" w:rsidR="005879E3" w:rsidRPr="00DF5C23" w:rsidRDefault="005879E3" w:rsidP="00893002">
      <w:pPr>
        <w:pStyle w:val="ManualHeading3"/>
        <w:rPr>
          <w:noProof/>
        </w:rPr>
      </w:pPr>
      <w:r w:rsidRPr="00DF5C23">
        <w:rPr>
          <w:noProof/>
        </w:rPr>
        <w:tab/>
        <w:t>1.5.3.</w:t>
      </w:r>
      <w:r w:rsidRPr="00DF5C23">
        <w:rPr>
          <w:noProof/>
        </w:rPr>
        <w:tab/>
        <w:t>Lessons learned from similar experiences in the past</w:t>
      </w:r>
    </w:p>
    <w:p w14:paraId="2C3A5900" w14:textId="77777777" w:rsidR="005879E3" w:rsidRPr="00DF5C23" w:rsidRDefault="005879E3" w:rsidP="00893002">
      <w:pPr>
        <w:pStyle w:val="ManualHeading3"/>
        <w:rPr>
          <w:noProof/>
        </w:rPr>
      </w:pPr>
      <w:r w:rsidRPr="00DF5C23">
        <w:rPr>
          <w:noProof/>
        </w:rPr>
        <w:tab/>
        <w:t>1.5.4.</w:t>
      </w:r>
      <w:r w:rsidRPr="00DF5C23">
        <w:rPr>
          <w:noProof/>
        </w:rPr>
        <w:tab/>
        <w:t>Compatibility with the Multiannual Financial Framework and possible synergies with other appropriate instruments</w:t>
      </w:r>
    </w:p>
    <w:p w14:paraId="2C3A5901" w14:textId="77777777" w:rsidR="005879E3" w:rsidRPr="00DF5C23" w:rsidRDefault="005879E3" w:rsidP="00893002">
      <w:pPr>
        <w:pStyle w:val="ManualHeading3"/>
        <w:rPr>
          <w:noProof/>
        </w:rPr>
      </w:pPr>
      <w:r w:rsidRPr="00DF5C23">
        <w:rPr>
          <w:noProof/>
        </w:rPr>
        <w:tab/>
        <w:t>1.5.5.</w:t>
      </w:r>
      <w:r w:rsidRPr="00DF5C23">
        <w:rPr>
          <w:noProof/>
        </w:rPr>
        <w:tab/>
        <w:t>Assessment of the different available financing options, including scope for redeployment</w:t>
      </w:r>
    </w:p>
    <w:p w14:paraId="2C3A5902" w14:textId="77777777" w:rsidR="005879E3" w:rsidRPr="00DF5C23" w:rsidRDefault="005879E3" w:rsidP="00893002">
      <w:pPr>
        <w:pStyle w:val="ManualHeading2"/>
        <w:rPr>
          <w:noProof/>
        </w:rPr>
      </w:pPr>
      <w:r w:rsidRPr="00DF5C23">
        <w:rPr>
          <w:noProof/>
        </w:rPr>
        <w:tab/>
        <w:t>1.6.</w:t>
      </w:r>
      <w:r w:rsidRPr="00DF5C23">
        <w:rPr>
          <w:noProof/>
        </w:rPr>
        <w:tab/>
        <w:t>Duration and financial impact of the proposal/initiative</w:t>
      </w:r>
    </w:p>
    <w:p w14:paraId="2C3A5903" w14:textId="77777777" w:rsidR="005879E3" w:rsidRPr="00DF5C23" w:rsidRDefault="005879E3" w:rsidP="00893002">
      <w:pPr>
        <w:pStyle w:val="ManualHeading2"/>
        <w:rPr>
          <w:noProof/>
        </w:rPr>
      </w:pPr>
      <w:r w:rsidRPr="00DF5C23">
        <w:rPr>
          <w:noProof/>
        </w:rPr>
        <w:tab/>
        <w:t>1.7.</w:t>
      </w:r>
      <w:r w:rsidRPr="00DF5C23">
        <w:rPr>
          <w:noProof/>
        </w:rPr>
        <w:tab/>
        <w:t>Management mode(s) planned</w:t>
      </w:r>
    </w:p>
    <w:p w14:paraId="2C3A5904" w14:textId="77777777" w:rsidR="005879E3" w:rsidRPr="00DF5C23" w:rsidRDefault="005879E3" w:rsidP="00893002">
      <w:pPr>
        <w:pStyle w:val="ManualHeading1"/>
        <w:rPr>
          <w:noProof/>
        </w:rPr>
      </w:pPr>
      <w:r w:rsidRPr="00DF5C23">
        <w:rPr>
          <w:noProof/>
        </w:rPr>
        <w:tab/>
        <w:t>2.</w:t>
      </w:r>
      <w:r w:rsidRPr="00DF5C23">
        <w:rPr>
          <w:noProof/>
        </w:rPr>
        <w:tab/>
        <w:t>MANAGEMENT MEASURES</w:t>
      </w:r>
    </w:p>
    <w:p w14:paraId="2C3A5905" w14:textId="77777777" w:rsidR="005879E3" w:rsidRPr="00DF5C23" w:rsidRDefault="005879E3" w:rsidP="00893002">
      <w:pPr>
        <w:pStyle w:val="ManualHeading2"/>
        <w:rPr>
          <w:noProof/>
        </w:rPr>
      </w:pPr>
      <w:r w:rsidRPr="00DF5C23">
        <w:rPr>
          <w:noProof/>
        </w:rPr>
        <w:tab/>
        <w:t>2.1.</w:t>
      </w:r>
      <w:r w:rsidRPr="00DF5C23">
        <w:rPr>
          <w:noProof/>
        </w:rPr>
        <w:tab/>
        <w:t>Monitoring and reporting rules</w:t>
      </w:r>
    </w:p>
    <w:p w14:paraId="2C3A5906" w14:textId="77777777" w:rsidR="005879E3" w:rsidRPr="00DF5C23" w:rsidRDefault="005879E3" w:rsidP="00893002">
      <w:pPr>
        <w:pStyle w:val="ManualHeading2"/>
        <w:rPr>
          <w:noProof/>
        </w:rPr>
      </w:pPr>
      <w:r w:rsidRPr="00DF5C23">
        <w:rPr>
          <w:noProof/>
        </w:rPr>
        <w:tab/>
        <w:t>2.2.</w:t>
      </w:r>
      <w:r w:rsidRPr="00DF5C23">
        <w:rPr>
          <w:noProof/>
        </w:rPr>
        <w:tab/>
        <w:t>Management and control system(s)</w:t>
      </w:r>
    </w:p>
    <w:p w14:paraId="2C3A5907" w14:textId="77777777" w:rsidR="005879E3" w:rsidRPr="00DF5C23" w:rsidRDefault="005879E3" w:rsidP="00893002">
      <w:pPr>
        <w:pStyle w:val="ManualHeading3"/>
        <w:rPr>
          <w:noProof/>
        </w:rPr>
      </w:pPr>
      <w:r w:rsidRPr="00DF5C23">
        <w:rPr>
          <w:noProof/>
        </w:rPr>
        <w:tab/>
        <w:t>2.2.1.</w:t>
      </w:r>
      <w:r w:rsidRPr="00DF5C23">
        <w:rPr>
          <w:noProof/>
        </w:rPr>
        <w:tab/>
        <w:t>Justification of the management mode(s), the funding implementation mechanism(s), the payment modalities and the control strategy proposed</w:t>
      </w:r>
    </w:p>
    <w:p w14:paraId="2C3A5908" w14:textId="77777777" w:rsidR="005879E3" w:rsidRPr="00DF5C23" w:rsidRDefault="005879E3" w:rsidP="00893002">
      <w:pPr>
        <w:pStyle w:val="ManualHeading3"/>
        <w:rPr>
          <w:noProof/>
        </w:rPr>
      </w:pPr>
      <w:r w:rsidRPr="00DF5C23">
        <w:rPr>
          <w:noProof/>
        </w:rPr>
        <w:tab/>
        <w:t>2.2.2.</w:t>
      </w:r>
      <w:r w:rsidRPr="00DF5C23">
        <w:rPr>
          <w:noProof/>
        </w:rPr>
        <w:tab/>
        <w:t>Information concerning the risks identified and the internal control system(s) set up to mitigate them</w:t>
      </w:r>
    </w:p>
    <w:p w14:paraId="2C3A5909" w14:textId="77777777" w:rsidR="005879E3" w:rsidRPr="00DF5C23" w:rsidRDefault="005879E3" w:rsidP="00893002">
      <w:pPr>
        <w:pStyle w:val="ManualHeading3"/>
        <w:rPr>
          <w:noProof/>
        </w:rPr>
      </w:pPr>
      <w:r w:rsidRPr="00DF5C23">
        <w:rPr>
          <w:noProof/>
        </w:rPr>
        <w:tab/>
        <w:t>2.2.3.</w:t>
      </w:r>
      <w:r w:rsidRPr="00DF5C23">
        <w:rPr>
          <w:noProof/>
        </w:rPr>
        <w:tab/>
        <w:t>Estimation and justification of the cost-effectiveness of the controls (ratio of "control costs ÷ value of the related funds managed"), and assessment of the expected levels of risk of error (at payment &amp; at closure)</w:t>
      </w:r>
    </w:p>
    <w:p w14:paraId="2C3A590A" w14:textId="77777777" w:rsidR="005879E3" w:rsidRPr="00DF5C23" w:rsidRDefault="005879E3" w:rsidP="00893002">
      <w:pPr>
        <w:pStyle w:val="ManualHeading2"/>
        <w:rPr>
          <w:noProof/>
        </w:rPr>
      </w:pPr>
      <w:r w:rsidRPr="00DF5C23">
        <w:rPr>
          <w:noProof/>
        </w:rPr>
        <w:tab/>
        <w:t>2.3.</w:t>
      </w:r>
      <w:r w:rsidRPr="00DF5C23">
        <w:rPr>
          <w:noProof/>
        </w:rPr>
        <w:tab/>
        <w:t>Measures to prevent fraud and irregularities</w:t>
      </w:r>
    </w:p>
    <w:p w14:paraId="2C3A590B" w14:textId="77777777" w:rsidR="005879E3" w:rsidRPr="00DF5C23" w:rsidRDefault="005879E3" w:rsidP="00893002">
      <w:pPr>
        <w:pStyle w:val="ManualHeading1"/>
        <w:rPr>
          <w:noProof/>
        </w:rPr>
      </w:pPr>
      <w:r w:rsidRPr="00DF5C23">
        <w:rPr>
          <w:noProof/>
        </w:rPr>
        <w:t>3.</w:t>
      </w:r>
      <w:r w:rsidRPr="00DF5C23">
        <w:rPr>
          <w:noProof/>
        </w:rPr>
        <w:tab/>
        <w:t>ESTIMATED FINANCIAL IMPACT OF THE PROPOSAL/INITIATIVE</w:t>
      </w:r>
      <w:r w:rsidRPr="00DF5C23">
        <w:rPr>
          <w:noProof/>
        </w:rPr>
        <w:tab/>
      </w:r>
    </w:p>
    <w:p w14:paraId="2C3A590C" w14:textId="77777777" w:rsidR="005879E3" w:rsidRPr="00DF5C23" w:rsidRDefault="005879E3" w:rsidP="00893002">
      <w:pPr>
        <w:pStyle w:val="ManualHeading2"/>
        <w:rPr>
          <w:noProof/>
        </w:rPr>
      </w:pPr>
      <w:r w:rsidRPr="00DF5C23">
        <w:rPr>
          <w:noProof/>
        </w:rPr>
        <w:tab/>
        <w:t>3.1.</w:t>
      </w:r>
      <w:r w:rsidRPr="00DF5C23">
        <w:rPr>
          <w:noProof/>
        </w:rPr>
        <w:tab/>
        <w:t>Heading(s) of the multiannual financial framework and expenditure budget line(s) affected</w:t>
      </w:r>
    </w:p>
    <w:p w14:paraId="2C3A590D" w14:textId="77777777" w:rsidR="005879E3" w:rsidRPr="00DF5C23" w:rsidRDefault="005879E3" w:rsidP="00893002">
      <w:pPr>
        <w:pStyle w:val="ManualHeading2"/>
        <w:rPr>
          <w:noProof/>
        </w:rPr>
      </w:pPr>
      <w:r w:rsidRPr="00DF5C23">
        <w:rPr>
          <w:noProof/>
        </w:rPr>
        <w:tab/>
        <w:t>3.2.</w:t>
      </w:r>
      <w:r w:rsidRPr="00DF5C23">
        <w:rPr>
          <w:noProof/>
        </w:rPr>
        <w:tab/>
        <w:t>Estimated financial impact of the proposal on appropriations</w:t>
      </w:r>
    </w:p>
    <w:p w14:paraId="2C3A590E" w14:textId="77777777" w:rsidR="005879E3" w:rsidRPr="00DF5C23" w:rsidRDefault="005879E3" w:rsidP="00893002">
      <w:pPr>
        <w:pStyle w:val="ManualHeading3"/>
        <w:rPr>
          <w:noProof/>
        </w:rPr>
      </w:pPr>
      <w:r w:rsidRPr="00DF5C23">
        <w:rPr>
          <w:noProof/>
        </w:rPr>
        <w:tab/>
        <w:t>3.2.1.</w:t>
      </w:r>
      <w:r w:rsidRPr="00DF5C23">
        <w:rPr>
          <w:noProof/>
        </w:rPr>
        <w:tab/>
        <w:t>Summary of estimated impact on operational appropriations</w:t>
      </w:r>
    </w:p>
    <w:p w14:paraId="2C3A590F" w14:textId="77777777" w:rsidR="005879E3" w:rsidRPr="00DF5C23" w:rsidRDefault="005879E3" w:rsidP="00893002">
      <w:pPr>
        <w:pStyle w:val="ManualHeading3"/>
        <w:rPr>
          <w:noProof/>
        </w:rPr>
      </w:pPr>
      <w:r w:rsidRPr="00DF5C23">
        <w:rPr>
          <w:noProof/>
        </w:rPr>
        <w:tab/>
        <w:t>3.2.2.</w:t>
      </w:r>
      <w:r w:rsidRPr="00DF5C23">
        <w:rPr>
          <w:noProof/>
        </w:rPr>
        <w:tab/>
        <w:t>Estimated output funded with operational appropriations</w:t>
      </w:r>
    </w:p>
    <w:p w14:paraId="2C3A5910" w14:textId="77777777" w:rsidR="005879E3" w:rsidRPr="00DF5C23" w:rsidRDefault="005879E3" w:rsidP="00893002">
      <w:pPr>
        <w:pStyle w:val="ManualHeading3"/>
        <w:rPr>
          <w:noProof/>
        </w:rPr>
      </w:pPr>
      <w:r w:rsidRPr="00DF5C23">
        <w:rPr>
          <w:noProof/>
        </w:rPr>
        <w:tab/>
        <w:t>3.2.3.</w:t>
      </w:r>
      <w:r w:rsidRPr="00DF5C23">
        <w:rPr>
          <w:noProof/>
        </w:rPr>
        <w:tab/>
        <w:t>Summary of estimated impact on administrative appropriations</w:t>
      </w:r>
    </w:p>
    <w:p w14:paraId="2C3A5911" w14:textId="77777777" w:rsidR="005879E3" w:rsidRPr="00DF5C23" w:rsidRDefault="005879E3" w:rsidP="00893002">
      <w:pPr>
        <w:pStyle w:val="ManualHeading3"/>
        <w:rPr>
          <w:noProof/>
        </w:rPr>
      </w:pPr>
      <w:r w:rsidRPr="00DF5C23">
        <w:rPr>
          <w:noProof/>
        </w:rPr>
        <w:tab/>
        <w:t>3.2.4.</w:t>
      </w:r>
      <w:r w:rsidRPr="00DF5C23">
        <w:rPr>
          <w:noProof/>
        </w:rPr>
        <w:tab/>
        <w:t>Compatibility with the current multiannual financial framework</w:t>
      </w:r>
    </w:p>
    <w:p w14:paraId="2C3A5912" w14:textId="77777777" w:rsidR="005879E3" w:rsidRPr="00DF5C23" w:rsidRDefault="005879E3" w:rsidP="00893002">
      <w:pPr>
        <w:pStyle w:val="ManualHeading3"/>
        <w:rPr>
          <w:noProof/>
        </w:rPr>
      </w:pPr>
      <w:r w:rsidRPr="00DF5C23">
        <w:rPr>
          <w:noProof/>
        </w:rPr>
        <w:tab/>
        <w:t>3.2.5.</w:t>
      </w:r>
      <w:r w:rsidRPr="00DF5C23">
        <w:rPr>
          <w:noProof/>
        </w:rPr>
        <w:tab/>
        <w:t>Third-party contributions</w:t>
      </w:r>
    </w:p>
    <w:p w14:paraId="2C3A5913" w14:textId="77777777" w:rsidR="005879E3" w:rsidRPr="00DF5C23" w:rsidRDefault="005879E3" w:rsidP="00893002">
      <w:pPr>
        <w:pStyle w:val="ManualHeading2"/>
        <w:rPr>
          <w:noProof/>
        </w:rPr>
      </w:pPr>
      <w:r w:rsidRPr="00DF5C23">
        <w:rPr>
          <w:noProof/>
        </w:rPr>
        <w:tab/>
        <w:t>3.3.</w:t>
      </w:r>
      <w:r w:rsidRPr="00DF5C23">
        <w:rPr>
          <w:noProof/>
        </w:rPr>
        <w:tab/>
        <w:t>Estimated impact on revenue</w:t>
      </w:r>
    </w:p>
    <w:p w14:paraId="2C3A5914" w14:textId="77777777" w:rsidR="005879E3" w:rsidRPr="00DF5C23" w:rsidRDefault="005879E3" w:rsidP="00893002">
      <w:pPr>
        <w:rPr>
          <w:noProof/>
        </w:rPr>
        <w:sectPr w:rsidR="005879E3" w:rsidRPr="00DF5C23" w:rsidSect="008B42B0">
          <w:pgSz w:w="11907" w:h="16840" w:code="9"/>
          <w:pgMar w:top="1134" w:right="1418" w:bottom="1134" w:left="1418" w:header="709" w:footer="709" w:gutter="0"/>
          <w:cols w:space="708"/>
          <w:docGrid w:linePitch="360"/>
        </w:sectPr>
      </w:pPr>
    </w:p>
    <w:p w14:paraId="2C3A5915" w14:textId="1B1CE0E6" w:rsidR="003102BB" w:rsidRPr="00DF5C23" w:rsidRDefault="004F5E59" w:rsidP="004F5E59">
      <w:pPr>
        <w:pStyle w:val="ManualHeading1"/>
        <w:rPr>
          <w:noProof/>
        </w:rPr>
      </w:pPr>
      <w:bookmarkStart w:id="2" w:name="_Toc514938007"/>
      <w:bookmarkStart w:id="3" w:name="_Toc520485025"/>
      <w:bookmarkStart w:id="4" w:name="_Toc514938011"/>
      <w:bookmarkStart w:id="5" w:name="_Toc520485027"/>
      <w:r w:rsidRPr="004F5E59">
        <w:t>1.</w:t>
      </w:r>
      <w:r w:rsidRPr="004F5E59">
        <w:tab/>
      </w:r>
      <w:r w:rsidR="003102BB" w:rsidRPr="00DF5C23">
        <w:rPr>
          <w:noProof/>
        </w:rPr>
        <w:t>FRAMEWORK OF THE PROPOSAL/INITIATIVE</w:t>
      </w:r>
      <w:bookmarkEnd w:id="2"/>
      <w:bookmarkEnd w:id="3"/>
      <w:r w:rsidR="003102BB" w:rsidRPr="00DF5C23">
        <w:rPr>
          <w:noProof/>
        </w:rPr>
        <w:t xml:space="preserve"> </w:t>
      </w:r>
    </w:p>
    <w:p w14:paraId="2C3A5916" w14:textId="596BE429" w:rsidR="003102BB" w:rsidRPr="00DF5C23" w:rsidRDefault="004F5E59" w:rsidP="004F5E59">
      <w:pPr>
        <w:pStyle w:val="ManualHeading2"/>
        <w:rPr>
          <w:noProof/>
        </w:rPr>
      </w:pPr>
      <w:bookmarkStart w:id="6" w:name="_Toc514938008"/>
      <w:bookmarkStart w:id="7" w:name="_Toc520485026"/>
      <w:r w:rsidRPr="004F5E59">
        <w:t>1.1.</w:t>
      </w:r>
      <w:r w:rsidRPr="004F5E59">
        <w:tab/>
      </w:r>
      <w:r w:rsidR="003102BB" w:rsidRPr="00DF5C23">
        <w:rPr>
          <w:noProof/>
        </w:rPr>
        <w:t>Title of the proposal/initiative</w:t>
      </w:r>
      <w:bookmarkEnd w:id="6"/>
      <w:bookmarkEnd w:id="7"/>
    </w:p>
    <w:p w14:paraId="2C3A5917" w14:textId="77777777" w:rsidR="00BF1765" w:rsidRPr="00DF5C23" w:rsidRDefault="00262E1C" w:rsidP="00BF1765">
      <w:pPr>
        <w:keepNext/>
        <w:ind w:left="720"/>
        <w:outlineLvl w:val="1"/>
        <w:rPr>
          <w:rFonts w:eastAsia="Calibri"/>
          <w:noProof/>
        </w:rPr>
      </w:pPr>
      <w:r w:rsidRPr="00DF5C23">
        <w:rPr>
          <w:rFonts w:eastAsia="Calibri"/>
          <w:noProof/>
        </w:rPr>
        <w:t>Proposal for a Regulation of the European Parliament and of the Council establishing a framework for setting ecodesign requirements for sustainable products and repealing Directive 2009/125/EC</w:t>
      </w:r>
      <w:r w:rsidR="00BF1765" w:rsidRPr="00DF5C23">
        <w:rPr>
          <w:rFonts w:eastAsia="Calibri"/>
          <w:noProof/>
        </w:rPr>
        <w:t xml:space="preserve"> </w:t>
      </w:r>
    </w:p>
    <w:p w14:paraId="2C3A5918" w14:textId="53C220A9" w:rsidR="003102BB" w:rsidRPr="00DF5C23" w:rsidRDefault="004F5E59" w:rsidP="004F5E59">
      <w:pPr>
        <w:pStyle w:val="ManualHeading2"/>
        <w:rPr>
          <w:i/>
          <w:noProof/>
        </w:rPr>
      </w:pPr>
      <w:bookmarkStart w:id="8" w:name="_Toc514938014"/>
      <w:bookmarkStart w:id="9" w:name="_Toc520485028"/>
      <w:bookmarkEnd w:id="4"/>
      <w:bookmarkEnd w:id="5"/>
      <w:r w:rsidRPr="004F5E59">
        <w:t>1.2.</w:t>
      </w:r>
      <w:r w:rsidRPr="004F5E59">
        <w:tab/>
      </w:r>
      <w:r w:rsidR="003102BB" w:rsidRPr="00DF5C23">
        <w:rPr>
          <w:noProof/>
        </w:rPr>
        <w:t>Policy area(s) concerned</w:t>
      </w:r>
      <w:r w:rsidR="003102BB" w:rsidRPr="00DF5C23">
        <w:rPr>
          <w:i/>
          <w:noProof/>
        </w:rPr>
        <w:t xml:space="preserve"> </w:t>
      </w:r>
    </w:p>
    <w:p w14:paraId="2C3A5919" w14:textId="77777777" w:rsidR="00BF1765" w:rsidRPr="00DF5C23" w:rsidRDefault="00BF1765" w:rsidP="00BF1765">
      <w:pPr>
        <w:ind w:left="850"/>
        <w:rPr>
          <w:rFonts w:eastAsia="Calibri"/>
          <w:noProof/>
        </w:rPr>
      </w:pPr>
      <w:r w:rsidRPr="00DF5C23">
        <w:rPr>
          <w:rFonts w:eastAsia="Calibri"/>
          <w:noProof/>
        </w:rPr>
        <w:t>03 - Single Market</w:t>
      </w:r>
    </w:p>
    <w:p w14:paraId="2C3A591A" w14:textId="77777777" w:rsidR="00BF1765" w:rsidRPr="00DF5C23" w:rsidRDefault="00BF1765" w:rsidP="00BF1765">
      <w:pPr>
        <w:ind w:left="850"/>
        <w:rPr>
          <w:rFonts w:eastAsia="Calibri"/>
          <w:noProof/>
        </w:rPr>
      </w:pPr>
      <w:r w:rsidRPr="00DF5C23">
        <w:rPr>
          <w:rFonts w:eastAsia="Calibri"/>
          <w:noProof/>
        </w:rPr>
        <w:t>09 - Environment and Climate Action</w:t>
      </w:r>
    </w:p>
    <w:bookmarkEnd w:id="8"/>
    <w:bookmarkEnd w:id="9"/>
    <w:p w14:paraId="2C3A591B" w14:textId="192FA463" w:rsidR="003102BB" w:rsidRPr="00DF5C23" w:rsidRDefault="004F5E59" w:rsidP="004F5E59">
      <w:pPr>
        <w:pStyle w:val="ManualHeading2"/>
        <w:rPr>
          <w:bCs/>
          <w:noProof/>
          <w:szCs w:val="24"/>
        </w:rPr>
      </w:pPr>
      <w:r w:rsidRPr="004F5E59">
        <w:t>1.3.</w:t>
      </w:r>
      <w:r w:rsidRPr="004F5E59">
        <w:tab/>
      </w:r>
      <w:r w:rsidR="003102BB" w:rsidRPr="00DF5C23">
        <w:rPr>
          <w:noProof/>
        </w:rPr>
        <w:t xml:space="preserve">The proposal/initiative relates to: </w:t>
      </w:r>
    </w:p>
    <w:p w14:paraId="2C3A591C" w14:textId="77777777" w:rsidR="00BF1765" w:rsidRPr="00DF5C23" w:rsidRDefault="00BF1765" w:rsidP="00BF1765">
      <w:pPr>
        <w:ind w:left="850"/>
        <w:rPr>
          <w:rFonts w:eastAsia="Calibri"/>
          <w:b/>
          <w:noProof/>
          <w:sz w:val="22"/>
        </w:rPr>
      </w:pPr>
      <w:r w:rsidRPr="00DF5C23">
        <w:rPr>
          <w:rFonts w:eastAsia="Calibri"/>
          <w:noProof/>
          <w:sz w:val="22"/>
        </w:rPr>
        <w:sym w:font="Wingdings" w:char="F0A8"/>
      </w:r>
      <w:r w:rsidRPr="00DF5C23">
        <w:rPr>
          <w:rFonts w:eastAsia="Calibri"/>
          <w:b/>
          <w:i/>
          <w:noProof/>
          <w:sz w:val="22"/>
        </w:rPr>
        <w:t xml:space="preserve"> </w:t>
      </w:r>
      <w:r w:rsidRPr="00DF5C23">
        <w:rPr>
          <w:rFonts w:eastAsia="Calibri"/>
          <w:b/>
          <w:noProof/>
        </w:rPr>
        <w:t>a new action</w:t>
      </w:r>
      <w:r w:rsidRPr="00DF5C23">
        <w:rPr>
          <w:rFonts w:eastAsia="Calibri"/>
          <w:b/>
          <w:noProof/>
          <w:sz w:val="22"/>
        </w:rPr>
        <w:t xml:space="preserve"> </w:t>
      </w:r>
    </w:p>
    <w:p w14:paraId="2C3A591D" w14:textId="77777777" w:rsidR="00BF1765" w:rsidRPr="00DF5C23" w:rsidRDefault="00BF1765" w:rsidP="00BF1765">
      <w:pPr>
        <w:ind w:left="850"/>
        <w:rPr>
          <w:rFonts w:eastAsia="Calibri"/>
          <w:noProof/>
          <w:sz w:val="22"/>
        </w:rPr>
      </w:pPr>
      <w:r w:rsidRPr="00DF5C23">
        <w:rPr>
          <w:rFonts w:eastAsia="Calibri"/>
          <w:noProof/>
          <w:sz w:val="22"/>
        </w:rPr>
        <w:sym w:font="Wingdings" w:char="F0A8"/>
      </w:r>
      <w:r w:rsidRPr="00DF5C23">
        <w:rPr>
          <w:rFonts w:eastAsia="Calibri"/>
          <w:i/>
          <w:iCs/>
          <w:noProof/>
          <w:sz w:val="22"/>
        </w:rPr>
        <w:t xml:space="preserve"> </w:t>
      </w:r>
      <w:r w:rsidRPr="00DF5C23">
        <w:rPr>
          <w:rFonts w:eastAsia="Calibri"/>
          <w:b/>
          <w:bCs/>
          <w:noProof/>
        </w:rPr>
        <w:t>a new action following a pilot project/preparatory action</w:t>
      </w:r>
      <w:r w:rsidR="00C41ADE" w:rsidRPr="00DF5C23">
        <w:rPr>
          <w:rStyle w:val="FootnoteReference0"/>
          <w:rFonts w:eastAsia="Calibri"/>
          <w:b/>
          <w:bCs/>
          <w:noProof/>
        </w:rPr>
        <w:footnoteReference w:id="87"/>
      </w:r>
      <w:r w:rsidRPr="00DF5C23">
        <w:rPr>
          <w:rFonts w:eastAsia="Calibri"/>
          <w:noProof/>
          <w:sz w:val="22"/>
        </w:rPr>
        <w:t xml:space="preserve"> </w:t>
      </w:r>
    </w:p>
    <w:p w14:paraId="2C3A591E" w14:textId="77777777" w:rsidR="00BF1765" w:rsidRPr="00DF5C23" w:rsidRDefault="00BF1765" w:rsidP="00BF1765">
      <w:pPr>
        <w:ind w:left="850"/>
        <w:rPr>
          <w:rFonts w:eastAsia="Calibri"/>
          <w:noProof/>
          <w:sz w:val="22"/>
        </w:rPr>
      </w:pPr>
      <w:r w:rsidRPr="00DF5C23">
        <w:rPr>
          <w:rFonts w:eastAsia="Calibri"/>
          <w:noProof/>
          <w:sz w:val="22"/>
        </w:rPr>
        <w:sym w:font="Wingdings" w:char="F0FE"/>
      </w:r>
      <w:r w:rsidRPr="00DF5C23">
        <w:rPr>
          <w:rFonts w:eastAsia="Calibri"/>
          <w:i/>
          <w:noProof/>
          <w:sz w:val="22"/>
        </w:rPr>
        <w:t xml:space="preserve"> </w:t>
      </w:r>
      <w:r w:rsidRPr="00DF5C23">
        <w:rPr>
          <w:rFonts w:eastAsia="Calibri"/>
          <w:b/>
          <w:noProof/>
        </w:rPr>
        <w:t>the extension of an existing action</w:t>
      </w:r>
      <w:r w:rsidRPr="00DF5C23">
        <w:rPr>
          <w:rFonts w:eastAsia="Calibri"/>
          <w:noProof/>
          <w:sz w:val="22"/>
        </w:rPr>
        <w:t xml:space="preserve"> </w:t>
      </w:r>
    </w:p>
    <w:p w14:paraId="2C3A591F" w14:textId="77777777" w:rsidR="00BF1765" w:rsidRPr="00DF5C23" w:rsidRDefault="00BF1765" w:rsidP="00BF1765">
      <w:pPr>
        <w:ind w:left="850"/>
        <w:rPr>
          <w:rFonts w:eastAsia="Calibri"/>
          <w:noProof/>
        </w:rPr>
      </w:pPr>
      <w:r w:rsidRPr="00DF5C23">
        <w:rPr>
          <w:rFonts w:eastAsia="Calibri"/>
          <w:noProof/>
          <w:sz w:val="22"/>
        </w:rPr>
        <w:sym w:font="Wingdings" w:char="F0FE"/>
      </w:r>
      <w:r w:rsidRPr="00DF5C23">
        <w:rPr>
          <w:rFonts w:eastAsia="Calibri"/>
          <w:i/>
          <w:noProof/>
          <w:sz w:val="22"/>
        </w:rPr>
        <w:t xml:space="preserve"> </w:t>
      </w:r>
      <w:r w:rsidRPr="00DF5C23">
        <w:rPr>
          <w:rFonts w:eastAsia="Calibri"/>
          <w:b/>
          <w:noProof/>
        </w:rPr>
        <w:t>a merger or redirection of one or more actions towards another/a new action</w:t>
      </w:r>
      <w:r w:rsidRPr="00DF5C23">
        <w:rPr>
          <w:rFonts w:eastAsia="Calibri"/>
          <w:noProof/>
        </w:rPr>
        <w:t xml:space="preserve"> </w:t>
      </w:r>
    </w:p>
    <w:p w14:paraId="2C3A5920" w14:textId="3637E3EC" w:rsidR="003102BB" w:rsidRPr="00DF5C23" w:rsidRDefault="004F5E59" w:rsidP="004F5E59">
      <w:pPr>
        <w:pStyle w:val="ManualHeading2"/>
        <w:rPr>
          <w:bCs/>
          <w:noProof/>
          <w:szCs w:val="24"/>
        </w:rPr>
      </w:pPr>
      <w:bookmarkStart w:id="10" w:name="_Toc514938015"/>
      <w:bookmarkStart w:id="11" w:name="_Toc520485029"/>
      <w:bookmarkStart w:id="12" w:name="_Toc514938018"/>
      <w:bookmarkStart w:id="13" w:name="_Toc520485031"/>
      <w:r w:rsidRPr="004F5E59">
        <w:t>1.4.</w:t>
      </w:r>
      <w:r w:rsidRPr="004F5E59">
        <w:tab/>
      </w:r>
      <w:r w:rsidR="003102BB" w:rsidRPr="00DF5C23">
        <w:rPr>
          <w:noProof/>
        </w:rPr>
        <w:t>Objective(s)</w:t>
      </w:r>
      <w:bookmarkEnd w:id="10"/>
      <w:bookmarkEnd w:id="11"/>
    </w:p>
    <w:p w14:paraId="2C3A5921" w14:textId="7AC36CF5" w:rsidR="003102BB" w:rsidRPr="00DF5C23" w:rsidRDefault="004F5E59" w:rsidP="004F5E59">
      <w:pPr>
        <w:pStyle w:val="ManualHeading3"/>
        <w:rPr>
          <w:noProof/>
        </w:rPr>
      </w:pPr>
      <w:bookmarkStart w:id="14" w:name="_Toc514938016"/>
      <w:bookmarkStart w:id="15" w:name="_Toc520485030"/>
      <w:r w:rsidRPr="004F5E59">
        <w:t>1.4.1.</w:t>
      </w:r>
      <w:r w:rsidRPr="004F5E59">
        <w:tab/>
      </w:r>
      <w:r w:rsidR="003102BB" w:rsidRPr="00DF5C23">
        <w:rPr>
          <w:noProof/>
        </w:rPr>
        <w:t>General objective(s)</w:t>
      </w:r>
      <w:bookmarkEnd w:id="14"/>
      <w:bookmarkEnd w:id="15"/>
    </w:p>
    <w:p w14:paraId="2C3A5922" w14:textId="77777777" w:rsidR="00BF1765" w:rsidRPr="00DF5C23" w:rsidRDefault="00BF1765" w:rsidP="00BF1765">
      <w:pPr>
        <w:ind w:left="850"/>
        <w:rPr>
          <w:rFonts w:eastAsia="Calibri"/>
          <w:noProof/>
          <w:lang w:val="en-IE" w:eastAsia="fr-BE"/>
        </w:rPr>
      </w:pPr>
      <w:r w:rsidRPr="00DF5C23">
        <w:rPr>
          <w:rFonts w:eastAsia="Calibri"/>
          <w:noProof/>
          <w:lang w:val="en-IE" w:eastAsia="fr-BE"/>
        </w:rPr>
        <w:t xml:space="preserve">The objectives of this Regulation are to improve </w:t>
      </w:r>
      <w:r w:rsidR="00BC51D8" w:rsidRPr="00DF5C23">
        <w:rPr>
          <w:noProof/>
          <w:lang w:val="en-IE"/>
        </w:rPr>
        <w:t>the environmental sustainability of products</w:t>
      </w:r>
      <w:r w:rsidR="00BC51D8" w:rsidRPr="00DF5C23" w:rsidDel="00BC51D8">
        <w:rPr>
          <w:rFonts w:eastAsia="Calibri"/>
          <w:noProof/>
          <w:lang w:val="en-IE" w:eastAsia="fr-BE"/>
        </w:rPr>
        <w:t xml:space="preserve"> </w:t>
      </w:r>
      <w:r w:rsidRPr="00DF5C23">
        <w:rPr>
          <w:rFonts w:eastAsia="Calibri"/>
          <w:noProof/>
          <w:lang w:val="en-IE" w:eastAsia="fr-BE"/>
        </w:rPr>
        <w:t xml:space="preserve">and to ensure the free movement in the internal market of products for which sustainability requirements are set. </w:t>
      </w:r>
    </w:p>
    <w:p w14:paraId="2C3A5923" w14:textId="77777777" w:rsidR="00BF1765" w:rsidRPr="00DF5C23" w:rsidRDefault="00BF1765" w:rsidP="00BF1765">
      <w:pPr>
        <w:ind w:left="850"/>
        <w:rPr>
          <w:rFonts w:eastAsia="Calibri"/>
          <w:noProof/>
        </w:rPr>
      </w:pPr>
      <w:r w:rsidRPr="00DF5C23">
        <w:rPr>
          <w:rFonts w:eastAsia="Calibri"/>
          <w:noProof/>
          <w:lang w:val="en-IE" w:eastAsia="fr-BE"/>
        </w:rPr>
        <w:t xml:space="preserve">It does so by providing for the adoption of delegated acts containing requirements related to product durability, reusability, upgradability and reparability, the presence of substances of concern in products, product energy and resource efficiency, recycled content in products, product remanufacturing and high-quality recycling, and for reducing products’ carbon and environmental footprints. It also provides for the creation of </w:t>
      </w:r>
      <w:r w:rsidR="000534E9" w:rsidRPr="00DF5C23">
        <w:rPr>
          <w:rFonts w:eastAsia="Calibri"/>
          <w:noProof/>
          <w:lang w:val="en-IE" w:eastAsia="fr-BE"/>
        </w:rPr>
        <w:t>a</w:t>
      </w:r>
      <w:r w:rsidRPr="00DF5C23">
        <w:rPr>
          <w:rFonts w:eastAsia="Calibri"/>
          <w:noProof/>
          <w:lang w:val="en-IE" w:eastAsia="fr-BE"/>
        </w:rPr>
        <w:t xml:space="preserve"> digital product passport (‘product passport’), for the setting of mandatory green public procurement criteria and creates a framework to prevent unsold consumer products from being destroyed.</w:t>
      </w:r>
    </w:p>
    <w:bookmarkEnd w:id="12"/>
    <w:bookmarkEnd w:id="13"/>
    <w:p w14:paraId="2C3A5924" w14:textId="056B26FD" w:rsidR="003102BB" w:rsidRPr="00DF5C23" w:rsidRDefault="004F5E59" w:rsidP="004F5E59">
      <w:pPr>
        <w:pStyle w:val="ManualHeading3"/>
        <w:rPr>
          <w:noProof/>
        </w:rPr>
      </w:pPr>
      <w:r w:rsidRPr="004F5E59">
        <w:t>1.4.2.</w:t>
      </w:r>
      <w:r w:rsidRPr="004F5E59">
        <w:tab/>
      </w:r>
      <w:r w:rsidR="003102BB" w:rsidRPr="00DF5C23">
        <w:rPr>
          <w:noProof/>
        </w:rPr>
        <w:t>Specific objective(s)</w:t>
      </w:r>
    </w:p>
    <w:p w14:paraId="2C3A5925" w14:textId="77777777" w:rsidR="00C11798" w:rsidRPr="00DF5C23" w:rsidRDefault="00C11798" w:rsidP="00C11798">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Following from the general objective, the specific objectives are to: </w:t>
      </w:r>
    </w:p>
    <w:p w14:paraId="2C3A5926" w14:textId="77777777" w:rsidR="00C11798" w:rsidRPr="00DF5C23" w:rsidRDefault="00C11798" w:rsidP="00431D9B">
      <w:pPr>
        <w:pStyle w:val="Bullet1"/>
        <w:numPr>
          <w:ilvl w:val="0"/>
          <w:numId w:val="92"/>
        </w:numPr>
        <w:pBdr>
          <w:top w:val="single" w:sz="4" w:space="1" w:color="auto"/>
          <w:left w:val="single" w:sz="4" w:space="4" w:color="auto"/>
          <w:bottom w:val="single" w:sz="4" w:space="1" w:color="auto"/>
          <w:right w:val="single" w:sz="4" w:space="4" w:color="auto"/>
        </w:pBdr>
        <w:rPr>
          <w:noProof/>
        </w:rPr>
      </w:pPr>
      <w:r w:rsidRPr="00DF5C23">
        <w:rPr>
          <w:rFonts w:eastAsia="Calibri"/>
          <w:noProof/>
        </w:rPr>
        <w:t>Improve products environmental sustainability and access to sustainability information along the supply chain</w:t>
      </w:r>
    </w:p>
    <w:p w14:paraId="2C3A5927" w14:textId="77777777" w:rsidR="00C11798" w:rsidRPr="00DF5C23" w:rsidRDefault="00C11798" w:rsidP="00C11798">
      <w:pPr>
        <w:pStyle w:val="Bullet1"/>
        <w:pBdr>
          <w:top w:val="single" w:sz="4" w:space="1" w:color="auto"/>
          <w:left w:val="single" w:sz="4" w:space="4" w:color="auto"/>
          <w:bottom w:val="single" w:sz="4" w:space="1" w:color="auto"/>
          <w:right w:val="single" w:sz="4" w:space="4" w:color="auto"/>
        </w:pBdr>
        <w:rPr>
          <w:noProof/>
        </w:rPr>
      </w:pPr>
      <w:r w:rsidRPr="00DF5C23">
        <w:rPr>
          <w:rFonts w:eastAsia="Calibri"/>
          <w:noProof/>
        </w:rPr>
        <w:t>Incentivise more sustainable products and business models to improve value retention</w:t>
      </w:r>
    </w:p>
    <w:p w14:paraId="2C3A5928" w14:textId="77777777" w:rsidR="00C11798" w:rsidRPr="00DF5C23" w:rsidRDefault="00C11798" w:rsidP="00C11798">
      <w:pPr>
        <w:pStyle w:val="Bullet1"/>
        <w:pBdr>
          <w:top w:val="single" w:sz="4" w:space="1" w:color="auto"/>
          <w:left w:val="single" w:sz="4" w:space="4" w:color="auto"/>
          <w:bottom w:val="single" w:sz="4" w:space="1" w:color="auto"/>
          <w:right w:val="single" w:sz="4" w:space="4" w:color="auto"/>
        </w:pBdr>
        <w:rPr>
          <w:noProof/>
        </w:rPr>
      </w:pPr>
      <w:r w:rsidRPr="00DF5C23">
        <w:rPr>
          <w:rFonts w:eastAsia="Calibri"/>
          <w:noProof/>
        </w:rPr>
        <w:t>Improve application of sustainable product legislative framework</w:t>
      </w:r>
    </w:p>
    <w:p w14:paraId="2C3A5929" w14:textId="5CAA1EC4" w:rsidR="00BF1765" w:rsidRPr="00DF5C23" w:rsidRDefault="004F5E59" w:rsidP="004F5E59">
      <w:pPr>
        <w:pStyle w:val="ManualHeading3"/>
        <w:rPr>
          <w:noProof/>
        </w:rPr>
      </w:pPr>
      <w:bookmarkStart w:id="16" w:name="_Toc514938019"/>
      <w:bookmarkStart w:id="17" w:name="_Toc520485032"/>
      <w:r w:rsidRPr="004F5E59">
        <w:t>1.4.3.</w:t>
      </w:r>
      <w:r w:rsidRPr="004F5E59">
        <w:tab/>
      </w:r>
      <w:r w:rsidR="00BF1765" w:rsidRPr="00DF5C23">
        <w:rPr>
          <w:noProof/>
        </w:rPr>
        <w:t>Expected result(s) and impact</w:t>
      </w:r>
      <w:bookmarkEnd w:id="16"/>
      <w:bookmarkEnd w:id="17"/>
    </w:p>
    <w:p w14:paraId="2C3A592A" w14:textId="77777777" w:rsidR="00BF1765" w:rsidRPr="00DF5C23" w:rsidRDefault="00BF1765" w:rsidP="00BF1765">
      <w:pPr>
        <w:ind w:left="850"/>
        <w:rPr>
          <w:rFonts w:eastAsia="Calibri"/>
          <w:i/>
          <w:noProof/>
          <w:sz w:val="20"/>
        </w:rPr>
      </w:pPr>
      <w:r w:rsidRPr="00DF5C23">
        <w:rPr>
          <w:rFonts w:eastAsia="Calibri"/>
          <w:i/>
          <w:noProof/>
          <w:sz w:val="20"/>
        </w:rPr>
        <w:t>Specify the effects which the proposal/initiative should have on the beneficiaries/groups targeted.</w:t>
      </w:r>
    </w:p>
    <w:p w14:paraId="2C3A592B"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The expected results and impacts of implementation of this Regulation are the following:</w:t>
      </w:r>
    </w:p>
    <w:p w14:paraId="2C3A592C"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In terms of improved products environmental sustainability and access to sustainability information along the supply chain</w:t>
      </w:r>
    </w:p>
    <w:p w14:paraId="2C3A592D"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Increased number of (non-food) products covered</w:t>
      </w:r>
    </w:p>
    <w:p w14:paraId="2C3A592E"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Product requirements covering better the value chain of products, circularity aspects and access to sustainability information</w:t>
      </w:r>
    </w:p>
    <w:p w14:paraId="2C3A592F"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Lower environmental impacts, better energy and resource efficiency in the life cycle of products, including through addressing product lifetime and materials used.</w:t>
      </w:r>
    </w:p>
    <w:p w14:paraId="2C3A5930"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 xml:space="preserve">In terms of incentives to more sustainable products and business models </w:t>
      </w:r>
    </w:p>
    <w:p w14:paraId="2C3A5931"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Increased investment in the design, production &amp; after-sales services of more sustainable products leading to a higher market share for them.</w:t>
      </w:r>
    </w:p>
    <w:p w14:paraId="2C3A5932"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Increased economic value of the recycling and repair and re</w:t>
      </w:r>
      <w:r w:rsidR="00AB244C" w:rsidRPr="00DF5C23">
        <w:rPr>
          <w:noProof/>
        </w:rPr>
        <w:t>-</w:t>
      </w:r>
      <w:r w:rsidRPr="00DF5C23">
        <w:rPr>
          <w:noProof/>
        </w:rPr>
        <w:t>use sectors</w:t>
      </w:r>
    </w:p>
    <w:p w14:paraId="2C3A5933"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In terms of improved application of sustainable product legislative framework</w:t>
      </w:r>
    </w:p>
    <w:p w14:paraId="2C3A5934"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Increased number of products covered by sustainability requirements</w:t>
      </w:r>
    </w:p>
    <w:p w14:paraId="2C3A5935"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Product requirements covering better the value chain of products, circularity aspects and access to sustainability information</w:t>
      </w:r>
    </w:p>
    <w:p w14:paraId="2C3A5936"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Reduced level of non-compliance on sustainability requirements for products placed on the EU market</w:t>
      </w:r>
    </w:p>
    <w:p w14:paraId="2C3A5937"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For businesses operating across EU borders, harmonised requirements at EU level are likely to reduce overall compliance costs, given that they will replace various existing or planned requirements at national level. There will also be direct benefits to the competitiveness of businesses, including from a shift of activity from the processing of primary towards secondary raw materials and from production of products to maintenance, re</w:t>
      </w:r>
      <w:r w:rsidR="00AB244C" w:rsidRPr="00DF5C23">
        <w:rPr>
          <w:rFonts w:eastAsia="Calibri"/>
          <w:noProof/>
        </w:rPr>
        <w:t>-</w:t>
      </w:r>
      <w:r w:rsidRPr="00DF5C23">
        <w:rPr>
          <w:rFonts w:eastAsia="Calibri"/>
          <w:noProof/>
        </w:rPr>
        <w:t>use, refurbishment, repair and second-hand sales, which is expected to benefit SMEs significantly because they are more active in these sectors.</w:t>
      </w:r>
    </w:p>
    <w:p w14:paraId="2C3A5938"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val="en-IE"/>
        </w:rPr>
      </w:pPr>
      <w:r w:rsidRPr="00DF5C23">
        <w:rPr>
          <w:rFonts w:eastAsia="Calibri"/>
          <w:noProof/>
          <w:lang w:val="en-IE"/>
        </w:rPr>
        <w:t xml:space="preserve">It is also expected that this Regulation will change consumer behaviour. It will respond to the identified problem that it is still too difficult for economic operators and citizens to make sustainable </w:t>
      </w:r>
      <w:r w:rsidR="000F1803" w:rsidRPr="00DF5C23">
        <w:rPr>
          <w:rFonts w:eastAsia="Calibri"/>
          <w:noProof/>
          <w:lang w:val="en-IE"/>
        </w:rPr>
        <w:t xml:space="preserve">purchasing </w:t>
      </w:r>
      <w:r w:rsidRPr="00DF5C23">
        <w:rPr>
          <w:rFonts w:eastAsia="Calibri"/>
          <w:noProof/>
          <w:lang w:val="en-IE"/>
        </w:rPr>
        <w:t>choices given that relevant information and</w:t>
      </w:r>
      <w:r w:rsidRPr="00DF5C23">
        <w:rPr>
          <w:rFonts w:eastAsia="Calibri"/>
          <w:noProof/>
        </w:rPr>
        <w:t xml:space="preserve"> </w:t>
      </w:r>
      <w:r w:rsidRPr="00DF5C23">
        <w:rPr>
          <w:rFonts w:eastAsia="Calibri"/>
          <w:noProof/>
          <w:lang w:val="en-IE"/>
        </w:rPr>
        <w:t>affordable options to do so are lacking. It will lead consumers towards more environmentally friendly purchases by excluding the least sustainable products from the market (therefore simplifying consumers’ choices)</w:t>
      </w:r>
      <w:r w:rsidRPr="00DF5C23">
        <w:rPr>
          <w:rFonts w:eastAsia="Times New Roman"/>
          <w:noProof/>
          <w:lang w:val="en-IE"/>
        </w:rPr>
        <w:t xml:space="preserve"> and by providing clearer and more accessible information, including for some products their classes of performance and possibly related labels. </w:t>
      </w:r>
      <w:r w:rsidRPr="00DF5C23">
        <w:rPr>
          <w:rFonts w:eastAsia="Calibri"/>
          <w:noProof/>
          <w:lang w:val="en-IE"/>
        </w:rPr>
        <w:t>The Digital Product Passport will further increase the information available and facilitating access. It will allow private providers to develop apps and services that improve the ability of consumers to assess products and compare them.</w:t>
      </w:r>
    </w:p>
    <w:p w14:paraId="2C3A5939"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val="en-IE"/>
        </w:rPr>
      </w:pPr>
      <w:r w:rsidRPr="00DF5C23">
        <w:rPr>
          <w:rFonts w:eastAsia="Calibri"/>
          <w:noProof/>
          <w:szCs w:val="24"/>
          <w:lang w:val="en-IE"/>
        </w:rPr>
        <w:t>The Digital Product Passport will also</w:t>
      </w:r>
      <w:r w:rsidRPr="00DF5C23">
        <w:rPr>
          <w:rFonts w:eastAsia="Calibri"/>
          <w:noProof/>
        </w:rPr>
        <w:t xml:space="preserve"> make relevant product information digitally available to market surveillance authorities (MSAs) and </w:t>
      </w:r>
      <w:r w:rsidR="00B709D3" w:rsidRPr="00DF5C23">
        <w:rPr>
          <w:noProof/>
        </w:rPr>
        <w:t xml:space="preserve">possibly </w:t>
      </w:r>
      <w:r w:rsidRPr="00DF5C23">
        <w:rPr>
          <w:rFonts w:eastAsia="Calibri"/>
          <w:noProof/>
        </w:rPr>
        <w:t>Customs authorities, facilitating the verification of compliance and improving the efficiency of enforcement activities by Member States. However, the extended scope of the Ecodesign framework with higher sustainability ambitions can only be successful if resources of both the European Commission and Member States are strengthened to a level commensurate with the ambitions.</w:t>
      </w:r>
    </w:p>
    <w:p w14:paraId="2C3A593A" w14:textId="0389E886" w:rsidR="00BF1765" w:rsidRPr="00DF5C23" w:rsidRDefault="004F5E59" w:rsidP="004F5E59">
      <w:pPr>
        <w:pStyle w:val="ManualHeading3"/>
        <w:rPr>
          <w:noProof/>
        </w:rPr>
      </w:pPr>
      <w:bookmarkStart w:id="18" w:name="_Toc514938023"/>
      <w:bookmarkStart w:id="19" w:name="_Toc520485033"/>
      <w:r w:rsidRPr="004F5E59">
        <w:t>1.4.4.</w:t>
      </w:r>
      <w:r w:rsidRPr="004F5E59">
        <w:tab/>
      </w:r>
      <w:r w:rsidR="00BF1765" w:rsidRPr="00DF5C23">
        <w:rPr>
          <w:noProof/>
        </w:rPr>
        <w:t>Indicators of performance</w:t>
      </w:r>
      <w:bookmarkEnd w:id="18"/>
      <w:bookmarkEnd w:id="19"/>
    </w:p>
    <w:p w14:paraId="2C3A593B" w14:textId="77777777" w:rsidR="00BF1765" w:rsidRPr="00DF5C23" w:rsidRDefault="00BF1765" w:rsidP="00BF1765">
      <w:pPr>
        <w:ind w:left="850"/>
        <w:rPr>
          <w:rFonts w:eastAsia="Calibri"/>
          <w:i/>
          <w:noProof/>
          <w:sz w:val="20"/>
        </w:rPr>
      </w:pPr>
      <w:r w:rsidRPr="00DF5C23">
        <w:rPr>
          <w:rFonts w:eastAsia="Calibri"/>
          <w:i/>
          <w:noProof/>
          <w:sz w:val="20"/>
        </w:rPr>
        <w:t>Specify the indicators for monitoring progress and achievements.</w:t>
      </w:r>
    </w:p>
    <w:p w14:paraId="2C3A593C"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The following core set of indicators will be used to monitor the implementation of this Regulation and impacts:</w:t>
      </w:r>
    </w:p>
    <w:p w14:paraId="2C3A593D"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In terms of improved products environmental sustainability and access to sustainability information along the supply chain</w:t>
      </w:r>
    </w:p>
    <w:p w14:paraId="2C3A593E"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Number of product groups covered by delegated acts pursuant to Article 5</w:t>
      </w:r>
    </w:p>
    <w:p w14:paraId="2C3A593F"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 xml:space="preserve">Estimated change in Pollutants and Greenhouse Gas (GHG) emissions </w:t>
      </w:r>
      <w:r w:rsidR="00153B4C" w:rsidRPr="00DF5C23">
        <w:rPr>
          <w:noProof/>
        </w:rPr>
        <w:t xml:space="preserve">(including via removals) </w:t>
      </w:r>
      <w:r w:rsidRPr="00DF5C23">
        <w:rPr>
          <w:noProof/>
        </w:rPr>
        <w:t xml:space="preserve">from the manufacturing value chains supplying regulated products to the EU Internal Market </w:t>
      </w:r>
    </w:p>
    <w:p w14:paraId="2C3A5940"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Estimated change in energy use and efficiency and water use and efficiency of relevant regulated products placed or put in service in the EU Internal market; resource productivity (material efficiency)</w:t>
      </w:r>
    </w:p>
    <w:p w14:paraId="2C3A5941"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Average life duration of relevant regulated products as a consequence of (1) its intrinsic durability, (2) the maintenance, repair and upgrade operations it was subject to, and (3) the number of its successive users</w:t>
      </w:r>
    </w:p>
    <w:p w14:paraId="2C3A5942"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Contribution of post-consumer recycled materials to raw materials demand of the Internal Market - for non-precious metals, Critical Raw Materials, and plastics.</w:t>
      </w:r>
    </w:p>
    <w:p w14:paraId="2C3A5943"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 xml:space="preserve">Circular material use rate  - Share of material demand satisfied by secondary raw materials (% of total material use) </w:t>
      </w:r>
    </w:p>
    <w:p w14:paraId="2C3A5944"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 xml:space="preserve">In terms of incentives to more sustainable products and business models </w:t>
      </w:r>
    </w:p>
    <w:p w14:paraId="2C3A5945"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 xml:space="preserve">Value added and its components by activity </w:t>
      </w:r>
    </w:p>
    <w:p w14:paraId="2C3A5946"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Green public procurement - the share of public procurement procedures above the EU thresholds (in number and value) that include environmental elements</w:t>
      </w:r>
    </w:p>
    <w:p w14:paraId="2C3A5947"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Impact on consumers due to change in cost of products and change in value from their use</w:t>
      </w:r>
    </w:p>
    <w:p w14:paraId="2C3A5948"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“Gross investment in tangible goods”, “Number of persons employed” and “Value added at factor costs” in the recycling sector and repair and re</w:t>
      </w:r>
      <w:r w:rsidR="00AB244C" w:rsidRPr="00DF5C23">
        <w:rPr>
          <w:noProof/>
        </w:rPr>
        <w:t>-</w:t>
      </w:r>
      <w:r w:rsidRPr="00DF5C23">
        <w:rPr>
          <w:noProof/>
        </w:rPr>
        <w:t>use sector.</w:t>
      </w:r>
    </w:p>
    <w:p w14:paraId="2C3A5949"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u w:val="single"/>
        </w:rPr>
      </w:pPr>
      <w:r w:rsidRPr="00DF5C23">
        <w:rPr>
          <w:rFonts w:eastAsia="Calibri"/>
          <w:noProof/>
          <w:u w:val="single"/>
        </w:rPr>
        <w:t>In terms of improved application of sustainable product legislative framework</w:t>
      </w:r>
    </w:p>
    <w:p w14:paraId="2C3A594A"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types of requirements set including digital product passport established</w:t>
      </w:r>
    </w:p>
    <w:p w14:paraId="2C3A594B" w14:textId="77777777" w:rsidR="00BF1765" w:rsidRPr="00DF5C23" w:rsidRDefault="00BF1765" w:rsidP="00CB02BE">
      <w:pPr>
        <w:pStyle w:val="Bullet1"/>
        <w:pBdr>
          <w:top w:val="single" w:sz="4" w:space="1" w:color="auto"/>
          <w:left w:val="single" w:sz="4" w:space="4" w:color="auto"/>
          <w:bottom w:val="single" w:sz="4" w:space="1" w:color="auto"/>
          <w:right w:val="single" w:sz="4" w:space="4" w:color="auto"/>
        </w:pBdr>
        <w:rPr>
          <w:noProof/>
        </w:rPr>
      </w:pPr>
      <w:r w:rsidRPr="00DF5C23">
        <w:rPr>
          <w:noProof/>
        </w:rPr>
        <w:t>Rate of non-compliance with requirements set for products covered by delegated acts</w:t>
      </w:r>
    </w:p>
    <w:p w14:paraId="2C3A594C" w14:textId="08175E50" w:rsidR="003102BB" w:rsidRPr="00DF5C23" w:rsidRDefault="004F5E59" w:rsidP="004F5E59">
      <w:pPr>
        <w:pStyle w:val="ManualHeading2"/>
        <w:rPr>
          <w:bCs/>
          <w:noProof/>
          <w:szCs w:val="24"/>
        </w:rPr>
      </w:pPr>
      <w:bookmarkStart w:id="20" w:name="_Toc514938025"/>
      <w:bookmarkStart w:id="21" w:name="_Toc520485034"/>
      <w:bookmarkStart w:id="22" w:name="_Toc514938026"/>
      <w:bookmarkStart w:id="23" w:name="_Toc520485035"/>
      <w:r w:rsidRPr="004F5E59">
        <w:t>1.5.</w:t>
      </w:r>
      <w:r w:rsidRPr="004F5E59">
        <w:tab/>
      </w:r>
      <w:r w:rsidR="003102BB" w:rsidRPr="00DF5C23">
        <w:rPr>
          <w:noProof/>
        </w:rPr>
        <w:t>Grounds for the proposal/initiative</w:t>
      </w:r>
      <w:bookmarkEnd w:id="20"/>
      <w:bookmarkEnd w:id="21"/>
      <w:r w:rsidR="003102BB" w:rsidRPr="00DF5C23">
        <w:rPr>
          <w:noProof/>
        </w:rPr>
        <w:t xml:space="preserve"> </w:t>
      </w:r>
    </w:p>
    <w:p w14:paraId="2C3A594D" w14:textId="6EBDF2C5" w:rsidR="00BF1765" w:rsidRPr="00DF5C23" w:rsidRDefault="004F5E59" w:rsidP="004F5E59">
      <w:pPr>
        <w:pStyle w:val="ManualHeading3"/>
        <w:rPr>
          <w:noProof/>
        </w:rPr>
      </w:pPr>
      <w:r w:rsidRPr="004F5E59">
        <w:t>1.5.1.</w:t>
      </w:r>
      <w:r w:rsidRPr="004F5E59">
        <w:tab/>
      </w:r>
      <w:r w:rsidR="00BF1765" w:rsidRPr="00DF5C23">
        <w:rPr>
          <w:noProof/>
        </w:rPr>
        <w:t>Requirement(s) to be met in the short or long term including a detailed timeline for roll-out of the implementation of the initiative</w:t>
      </w:r>
      <w:bookmarkEnd w:id="22"/>
      <w:bookmarkEnd w:id="23"/>
    </w:p>
    <w:p w14:paraId="2C3A594E"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 proposal builds on a pre-existing Directive and structure that has been used to regulate energy related products through secondary legislation for over 15 years. In the same way, most measures introduced in this Regulation are not immediately applicable but should follow the adoption of the legal act through adoption of delegated and implementing acts. Only measures on circumvention and on disclosure of the destruction of unsold </w:t>
      </w:r>
      <w:r w:rsidR="00B709D3" w:rsidRPr="00DF5C23">
        <w:rPr>
          <w:rFonts w:eastAsia="Calibri"/>
          <w:noProof/>
        </w:rPr>
        <w:t>consumer products</w:t>
      </w:r>
      <w:r w:rsidRPr="00DF5C23">
        <w:rPr>
          <w:rFonts w:eastAsia="Calibri"/>
          <w:noProof/>
        </w:rPr>
        <w:t xml:space="preserve"> are immediately applicable.</w:t>
      </w:r>
    </w:p>
    <w:p w14:paraId="2C3A594F" w14:textId="77777777" w:rsidR="00F16935" w:rsidRPr="00DF5C23" w:rsidRDefault="00F16935" w:rsidP="00BF1765">
      <w:pPr>
        <w:pBdr>
          <w:top w:val="single" w:sz="4" w:space="1" w:color="auto"/>
          <w:left w:val="single" w:sz="4" w:space="4" w:color="auto"/>
          <w:bottom w:val="single" w:sz="4" w:space="1" w:color="auto"/>
          <w:right w:val="single" w:sz="4" w:space="4" w:color="auto"/>
        </w:pBdr>
        <w:ind w:left="850"/>
        <w:rPr>
          <w:noProof/>
        </w:rPr>
      </w:pPr>
      <w:r w:rsidRPr="00DF5C23">
        <w:rPr>
          <w:noProof/>
        </w:rPr>
        <w:t>After adoption of the legal act, the Commission shall adopt a working plan setting out an indicative list of product groups for which it intends to adopt delegated acts pursuant to Article</w:t>
      </w:r>
      <w:r w:rsidR="00552FE2" w:rsidRPr="00DF5C23">
        <w:rPr>
          <w:noProof/>
        </w:rPr>
        <w:t>4.</w:t>
      </w:r>
      <w:r w:rsidRPr="00DF5C23">
        <w:rPr>
          <w:noProof/>
        </w:rPr>
        <w:t xml:space="preserve"> This will take over the continuing work under the existing Directive that will be brought under the new Regulation.</w:t>
      </w:r>
    </w:p>
    <w:p w14:paraId="2C3A5950"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These delegated acts shall establish </w:t>
      </w:r>
      <w:r w:rsidR="00397ED5" w:rsidRPr="00DF5C23">
        <w:rPr>
          <w:rFonts w:eastAsia="Calibri"/>
          <w:noProof/>
        </w:rPr>
        <w:t>ecodesign</w:t>
      </w:r>
      <w:r w:rsidRPr="00DF5C23">
        <w:rPr>
          <w:rFonts w:eastAsia="Calibri"/>
          <w:noProof/>
        </w:rPr>
        <w:t xml:space="preserve"> requirements applicable to specific product groups or to a range of product groups where those product groups present similarities allowing for the setting of common </w:t>
      </w:r>
      <w:r w:rsidR="00397ED5" w:rsidRPr="00DF5C23">
        <w:rPr>
          <w:rFonts w:eastAsia="Calibri"/>
          <w:noProof/>
        </w:rPr>
        <w:t>ecodesign</w:t>
      </w:r>
      <w:r w:rsidRPr="00DF5C23">
        <w:rPr>
          <w:rFonts w:eastAsia="Calibri"/>
          <w:noProof/>
        </w:rPr>
        <w:t xml:space="preserve"> requirements. These delegated acts may include requirements applicable to public contracts</w:t>
      </w:r>
      <w:r w:rsidR="00560BC8" w:rsidRPr="00DF5C23">
        <w:rPr>
          <w:rFonts w:eastAsia="Calibri"/>
          <w:noProof/>
        </w:rPr>
        <w:t xml:space="preserve"> and</w:t>
      </w:r>
      <w:r w:rsidRPr="00DF5C23">
        <w:rPr>
          <w:rFonts w:eastAsia="Calibri"/>
          <w:noProof/>
        </w:rPr>
        <w:t xml:space="preserve"> the creation of digital product passports. </w:t>
      </w:r>
    </w:p>
    <w:p w14:paraId="2C3A5951"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val="en-IE" w:eastAsia="fr-BE"/>
        </w:rPr>
      </w:pPr>
      <w:r w:rsidRPr="00DF5C23">
        <w:rPr>
          <w:rFonts w:eastAsia="Calibri"/>
          <w:noProof/>
        </w:rPr>
        <w:t xml:space="preserve">Delegated acts may also be adopted on </w:t>
      </w:r>
      <w:r w:rsidRPr="00DF5C23">
        <w:rPr>
          <w:rFonts w:eastAsia="Calibri"/>
          <w:noProof/>
          <w:lang w:val="en-IE" w:eastAsia="fr-BE"/>
        </w:rPr>
        <w:t xml:space="preserve">the prohibition of the discarding of unsold </w:t>
      </w:r>
      <w:r w:rsidR="00560BC8" w:rsidRPr="00DF5C23">
        <w:rPr>
          <w:rFonts w:eastAsia="Calibri"/>
          <w:noProof/>
          <w:lang w:val="en-IE" w:eastAsia="fr-BE"/>
        </w:rPr>
        <w:t>consumer products</w:t>
      </w:r>
      <w:r w:rsidRPr="00DF5C23">
        <w:rPr>
          <w:rFonts w:eastAsia="Calibri"/>
          <w:noProof/>
          <w:lang w:val="en-IE" w:eastAsia="fr-BE"/>
        </w:rPr>
        <w:t xml:space="preserve"> and on the number of checks to be performed by Market Surveillance authorities.</w:t>
      </w:r>
    </w:p>
    <w:p w14:paraId="2C3A5952"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eastAsia="fr-BE"/>
        </w:rPr>
      </w:pPr>
      <w:r w:rsidRPr="00DF5C23">
        <w:rPr>
          <w:rFonts w:eastAsia="Calibri"/>
          <w:noProof/>
          <w:lang w:val="en-IE" w:eastAsia="fr-BE"/>
        </w:rPr>
        <w:t xml:space="preserve">Implementing acts may be adopted to </w:t>
      </w:r>
      <w:r w:rsidRPr="00DF5C23">
        <w:rPr>
          <w:rFonts w:eastAsia="Calibri"/>
          <w:noProof/>
        </w:rPr>
        <w:t xml:space="preserve">specify the format for the disclosure of the information on the destruction of unsold </w:t>
      </w:r>
      <w:r w:rsidR="00D10B22" w:rsidRPr="00DF5C23">
        <w:rPr>
          <w:rFonts w:eastAsia="Calibri"/>
          <w:noProof/>
          <w:lang w:val="en-IE" w:eastAsia="fr-BE"/>
        </w:rPr>
        <w:t xml:space="preserve">consumer products </w:t>
      </w:r>
      <w:r w:rsidRPr="00DF5C23">
        <w:rPr>
          <w:rFonts w:eastAsia="Calibri"/>
          <w:noProof/>
        </w:rPr>
        <w:t xml:space="preserve">and to listing the </w:t>
      </w:r>
      <w:r w:rsidRPr="00DF5C23">
        <w:rPr>
          <w:rFonts w:eastAsia="Calibri"/>
          <w:noProof/>
          <w:lang w:eastAsia="fr-BE"/>
        </w:rPr>
        <w:t>products</w:t>
      </w:r>
      <w:r w:rsidRPr="00DF5C23">
        <w:rPr>
          <w:rFonts w:eastAsia="Calibri"/>
          <w:noProof/>
        </w:rPr>
        <w:t xml:space="preserve"> or requirements that Member States shall at least consider as </w:t>
      </w:r>
      <w:r w:rsidRPr="00DF5C23">
        <w:rPr>
          <w:rFonts w:eastAsia="Calibri"/>
          <w:noProof/>
          <w:lang w:eastAsia="fr-BE"/>
        </w:rPr>
        <w:t>priorities for market surveillance activities.</w:t>
      </w:r>
    </w:p>
    <w:p w14:paraId="2C3A5953"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eastAsia="fr-BE"/>
        </w:rPr>
      </w:pPr>
      <w:r w:rsidRPr="00DF5C23">
        <w:rPr>
          <w:rFonts w:eastAsia="Calibri"/>
          <w:noProof/>
          <w:lang w:eastAsia="fr-BE"/>
        </w:rPr>
        <w:t>Delegated acts and</w:t>
      </w:r>
      <w:r w:rsidR="009F3CE5" w:rsidRPr="00DF5C23">
        <w:rPr>
          <w:rFonts w:eastAsia="Calibri"/>
          <w:noProof/>
          <w:lang w:eastAsia="fr-BE"/>
        </w:rPr>
        <w:t>, where appropriate,</w:t>
      </w:r>
      <w:r w:rsidRPr="00DF5C23">
        <w:rPr>
          <w:rFonts w:eastAsia="Calibri"/>
          <w:noProof/>
          <w:lang w:eastAsia="fr-BE"/>
        </w:rPr>
        <w:t xml:space="preserve"> implementing acts will be adopted after thorough assessment of impacts and consultation of stakeholders, in line with Better Regulation guidelines.</w:t>
      </w:r>
    </w:p>
    <w:p w14:paraId="2C3A5954"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lang w:val="en-IE" w:eastAsia="fr-BE"/>
        </w:rPr>
        <w:t xml:space="preserve">Delegated acts on </w:t>
      </w:r>
      <w:r w:rsidR="008D205D" w:rsidRPr="00DF5C23">
        <w:rPr>
          <w:rFonts w:eastAsia="Calibri"/>
          <w:noProof/>
          <w:lang w:val="en-IE" w:eastAsia="fr-BE"/>
        </w:rPr>
        <w:t>ecodesign</w:t>
      </w:r>
      <w:r w:rsidRPr="00DF5C23">
        <w:rPr>
          <w:rFonts w:eastAsia="Calibri"/>
          <w:noProof/>
          <w:lang w:val="en-IE" w:eastAsia="fr-BE"/>
        </w:rPr>
        <w:t xml:space="preserve"> requirements and on the prohibition of the discarding of unsold </w:t>
      </w:r>
      <w:r w:rsidR="00D10B22" w:rsidRPr="00DF5C23">
        <w:rPr>
          <w:rFonts w:eastAsia="Calibri"/>
          <w:noProof/>
          <w:lang w:val="en-IE" w:eastAsia="fr-BE"/>
        </w:rPr>
        <w:t xml:space="preserve">consumer products </w:t>
      </w:r>
      <w:r w:rsidRPr="00DF5C23">
        <w:rPr>
          <w:rFonts w:eastAsia="Calibri"/>
          <w:noProof/>
          <w:lang w:val="en-IE" w:eastAsia="fr-BE"/>
        </w:rPr>
        <w:t xml:space="preserve">will be implemented by economic actors, in particular manufacturers, importers and distributors. Industry will be supported by </w:t>
      </w:r>
      <w:r w:rsidRPr="00DF5C23">
        <w:rPr>
          <w:rFonts w:eastAsia="Calibri"/>
          <w:noProof/>
        </w:rPr>
        <w:t xml:space="preserve">the provision of </w:t>
      </w:r>
      <w:r w:rsidRPr="00DF5C23">
        <w:rPr>
          <w:rFonts w:eastAsia="Calibri"/>
          <w:bCs/>
          <w:iCs/>
          <w:noProof/>
        </w:rPr>
        <w:t>guidelines</w:t>
      </w:r>
      <w:r w:rsidRPr="00DF5C23">
        <w:rPr>
          <w:rFonts w:eastAsia="Calibri"/>
          <w:noProof/>
        </w:rPr>
        <w:t xml:space="preserve"> </w:t>
      </w:r>
      <w:r w:rsidRPr="00DF5C23">
        <w:rPr>
          <w:rFonts w:eastAsia="Calibri"/>
          <w:bCs/>
          <w:iCs/>
          <w:noProof/>
        </w:rPr>
        <w:t>on Circular Business Models</w:t>
      </w:r>
      <w:r w:rsidRPr="00DF5C23">
        <w:rPr>
          <w:rFonts w:eastAsia="Calibri"/>
          <w:noProof/>
        </w:rPr>
        <w:t xml:space="preserve"> (CBM) supported by an </w:t>
      </w:r>
      <w:r w:rsidRPr="00DF5C23">
        <w:rPr>
          <w:rFonts w:eastAsia="Calibri"/>
          <w:bCs/>
          <w:iCs/>
          <w:noProof/>
        </w:rPr>
        <w:t>EU-wide hub supporting the uptake of circular business models</w:t>
      </w:r>
      <w:r w:rsidRPr="00DF5C23">
        <w:rPr>
          <w:rFonts w:eastAsia="Calibri"/>
          <w:noProof/>
        </w:rPr>
        <w:t xml:space="preserve">, channelling information and services including awareness raising, cooperation, provision of training, exchange of best practices, etc. </w:t>
      </w:r>
    </w:p>
    <w:p w14:paraId="2C3A5955" w14:textId="59C17BF9" w:rsidR="003102BB" w:rsidRPr="00DF5C23" w:rsidRDefault="004F5E59" w:rsidP="004F5E59">
      <w:pPr>
        <w:pStyle w:val="ManualHeading3"/>
        <w:rPr>
          <w:bCs/>
          <w:noProof/>
          <w:szCs w:val="24"/>
        </w:rPr>
      </w:pPr>
      <w:bookmarkStart w:id="24" w:name="_Toc514938029"/>
      <w:bookmarkStart w:id="25" w:name="_Toc520485036"/>
      <w:r w:rsidRPr="004F5E59">
        <w:t>1.5.2.</w:t>
      </w:r>
      <w:r w:rsidRPr="004F5E59">
        <w:tab/>
      </w:r>
      <w:r w:rsidR="003102BB" w:rsidRPr="00DF5C23">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4"/>
      <w:bookmarkEnd w:id="25"/>
    </w:p>
    <w:p w14:paraId="2C3A5956"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color w:val="0000FF"/>
        </w:rPr>
      </w:pPr>
      <w:r w:rsidRPr="00DF5C23">
        <w:rPr>
          <w:rFonts w:eastAsia="Calibri"/>
          <w:noProof/>
        </w:rPr>
        <w:t xml:space="preserve">Reasons for action at European level (ex-ante) </w:t>
      </w:r>
    </w:p>
    <w:p w14:paraId="2C3A5957"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Comparable to the rationale for the existing Ecodesign legislation, Member States alone would not have the possibility to enact appropriate measures without creating divergences in the requirements for economic operators, and obstacles to the free movement of products, regulatory burden and excessive costs for economic operators. In addition, Member States alone would inevitably develop tools that would diverge and render consumer’s choices more complicated. If Member States would act individually there would be therefore a high risk to end up with different competing systems, based on different methods and approaches, especially products traded across the internal market, creating market fragmentation, and likely leading to uneven awareness and information levels on the environmental performance of products across the EU and additional costs for companies trading cross border.</w:t>
      </w:r>
    </w:p>
    <w:p w14:paraId="2C3A5958"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Expected generated Union added value (ex-post) </w:t>
      </w:r>
    </w:p>
    <w:p w14:paraId="2C3A5959"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szCs w:val="24"/>
          <w:lang w:eastAsia="en-GB"/>
        </w:rPr>
        <w:t xml:space="preserve">Action at Union level is more effective than action at national level because </w:t>
      </w:r>
      <w:r w:rsidRPr="00DF5C23">
        <w:rPr>
          <w:rFonts w:eastAsia="Calibri"/>
          <w:noProof/>
          <w:szCs w:val="24"/>
        </w:rPr>
        <w:t xml:space="preserve">only EU action can set harmonised common product requirements and information requirements on sustainability characteristics ensuring the free movement of goods and allowing consumers to dispose of pertinent and reliable information about sustainable characteristics and circular features of products in whatever Member State they are purchased. There is clear added value in setting common requirements at EU level, as this will ensure a harmonised and well-functioning internal market across all Member States and, therefore, a level playing field for </w:t>
      </w:r>
      <w:r w:rsidR="002A76DC" w:rsidRPr="00DF5C23">
        <w:rPr>
          <w:noProof/>
          <w:lang w:eastAsia="en-GB"/>
        </w:rPr>
        <w:t xml:space="preserve">businesses operating </w:t>
      </w:r>
      <w:r w:rsidR="002A76DC" w:rsidRPr="00DF5C23">
        <w:rPr>
          <w:rFonts w:eastAsia="Arial Unicode MS"/>
          <w:noProof/>
        </w:rPr>
        <w:t>on the internal market</w:t>
      </w:r>
      <w:r w:rsidRPr="00DF5C23">
        <w:rPr>
          <w:rFonts w:eastAsia="Calibri"/>
          <w:noProof/>
          <w:szCs w:val="24"/>
        </w:rPr>
        <w:t>. With harmonised minimum and information requirements set at EU level, sustainable products and circular practices will be promoted in all Member States, creating a larger and more efficient market and hence greater incentives for the industry to develop them. Finally, the size of the internal market provides a critical mass enabling the EU to promote product sustainability and to influence product design and value chain management worldwide.</w:t>
      </w:r>
      <w:r w:rsidRPr="00DF5C23">
        <w:rPr>
          <w:rFonts w:eastAsia="Calibri"/>
          <w:noProof/>
          <w:color w:val="0000FF"/>
        </w:rPr>
        <w:t xml:space="preserve"> </w:t>
      </w:r>
    </w:p>
    <w:p w14:paraId="2C3A595A" w14:textId="254817B0" w:rsidR="00BF1765" w:rsidRPr="00DF5C23" w:rsidRDefault="004F5E59" w:rsidP="004F5E59">
      <w:pPr>
        <w:pStyle w:val="ManualHeading3"/>
        <w:rPr>
          <w:noProof/>
        </w:rPr>
      </w:pPr>
      <w:bookmarkStart w:id="26" w:name="_Toc514938030"/>
      <w:bookmarkStart w:id="27" w:name="_Toc520485037"/>
      <w:r w:rsidRPr="004F5E59">
        <w:t>1.5.3.</w:t>
      </w:r>
      <w:r w:rsidRPr="004F5E59">
        <w:tab/>
      </w:r>
      <w:r w:rsidR="00BF1765" w:rsidRPr="00DF5C23">
        <w:rPr>
          <w:noProof/>
        </w:rPr>
        <w:t>Lessons learned from similar experiences in the past</w:t>
      </w:r>
      <w:bookmarkEnd w:id="26"/>
      <w:bookmarkEnd w:id="27"/>
    </w:p>
    <w:p w14:paraId="2C3A595B"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There is a long experience of regulating first energy-using and then energy related products at EU level. The current Directive 2009/125, the Ecodesign Directive provides the basis for product specific measures that have been adopted. The benefits have been documented in annual Ecodesign impact accounting reports showing the mainly energy benefits accompanied by other emission and resource benefits. </w:t>
      </w:r>
    </w:p>
    <w:p w14:paraId="2C3A595C"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While a number of evaluations  of the Ecodesign Directive have confirmed its clear relevance and effectiveness as a regulatory tool, they point to potential to improve its implementation and enforcement. A 2012 evaluation, for example, noted that “while it is broadly recognised that the energy efficiency aspects of the SCP/SIP Action Plan  and of EU resource efficiency policy can be served by the Ecodesign Directive and the implementing measures, it is also suggested by some Member State representatives and by environmental NGOs that there have been missed opportunities as a result of the limited coverage in implementing measures of other environmental aspects”. The untapped potential of the Directive to address aspects beyond energy efficiency has also been highlighted, with the same evaluation concluding that “there may have been non-energy improvements that have not been addressed as a result of the product scope, policy choices or the underlying technical analysis”. While there are undoubtedly opportunities for further action, this always needs to be seen in the context of the available resources and focusing on the largest benefits.</w:t>
      </w:r>
    </w:p>
    <w:p w14:paraId="2C3A595D"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In March 2019, the Commission published a Staff Working Document entitled ‘Sustainable Products in a Circular Economy - Towards an EU Product Policy Framework contributing to the Circular Economy’. This examined the extent to which EU policies affecting products contribute to the transition to a circular economy, and where there is potential for a stronger contribution – for example through more consistent implementation, better synergies between policy interventions or better coverage of products by policy instruments – and looked in particular depth at a number of specific product groups. It found that no overarching, integrated EU policy instrument exists that covers the sustainable production and consumption of all products and/or the availability and reliability of information on these products to consumers. Instead, it identified a patchwork of tools that, although capable of addressing certain aspects related to product circularity, nevertheless offers space for additional work to be done. The document also noted that in certain highly relevant sectors (such as textiles and furniture), no tools to systematically target circularity were in place, and that the success of Ecodesign polices in stimulating circularity for energy-related products had yet to be applied in other relevant sectors.</w:t>
      </w:r>
    </w:p>
    <w:p w14:paraId="2C3A595E" w14:textId="27709670" w:rsidR="00BF1765" w:rsidRPr="00DF5C23" w:rsidRDefault="004F5E59" w:rsidP="004F5E59">
      <w:pPr>
        <w:pStyle w:val="ManualHeading3"/>
        <w:rPr>
          <w:noProof/>
        </w:rPr>
      </w:pPr>
      <w:bookmarkStart w:id="28" w:name="_Toc514938033"/>
      <w:bookmarkStart w:id="29" w:name="_Toc520485038"/>
      <w:r w:rsidRPr="004F5E59">
        <w:t>1.5.4.</w:t>
      </w:r>
      <w:r w:rsidRPr="004F5E59">
        <w:tab/>
      </w:r>
      <w:r w:rsidR="00BF1765" w:rsidRPr="00DF5C23">
        <w:rPr>
          <w:noProof/>
        </w:rPr>
        <w:t>Compatibility with the Multiannual Financial Framework and possible synergies with other appropriate instruments</w:t>
      </w:r>
      <w:bookmarkEnd w:id="28"/>
      <w:bookmarkEnd w:id="29"/>
    </w:p>
    <w:p w14:paraId="2C3A595F"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The European Union has approved a major recovery plan based on a reinforced long term budget for the next Multiannual Financial Framework and a new recovery instrument, Next Generation EU.</w:t>
      </w:r>
    </w:p>
    <w:p w14:paraId="2C3A5960"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 initiative falls under the umbrella of the </w:t>
      </w:r>
      <w:r w:rsidRPr="00DF5C23">
        <w:rPr>
          <w:rFonts w:eastAsia="Calibri"/>
          <w:b/>
          <w:noProof/>
        </w:rPr>
        <w:t>European Green Deal</w:t>
      </w:r>
      <w:r w:rsidRPr="00DF5C23">
        <w:rPr>
          <w:rFonts w:eastAsia="Calibri"/>
          <w:noProof/>
        </w:rPr>
        <w:t xml:space="preserve">, which guides the EU's recovery strategy. The Green Deal recognises the advantages of investing in our competitive sustainability by building a fairer, greener and more digital Europe. This also entails engaging third countries and trading partners to ensure the sustainability of global value chains and ensuring that European emission reductions contribute to a global emissions decline, instead of pushing carbon-intensive production outside Europe. This will benefit citizens, providing them with high-quality products that are efficient and affordable, last longer and are better for the environment. </w:t>
      </w:r>
    </w:p>
    <w:p w14:paraId="2C3A5961"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 initiative falls under Heading 1 (Single Market, Innovation and Digital), Title 3 (Single Market) and Heading 3 (Natural Resources and the Environment), Title 9 (Environment and Climate Action) of the Multiannual Financial Framework. As detailed below, the implementation of this piece of legislation will require additional human resources and also some supporting expenditure. </w:t>
      </w:r>
    </w:p>
    <w:p w14:paraId="2C3A5962"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lang w:val="en-IE" w:eastAsia="fr-BE"/>
        </w:rPr>
      </w:pPr>
      <w:r w:rsidRPr="00DF5C23">
        <w:rPr>
          <w:rFonts w:eastAsia="Calibri"/>
          <w:noProof/>
        </w:rPr>
        <w:t xml:space="preserve">Other policy areas will provide support, in particular </w:t>
      </w:r>
      <w:r w:rsidRPr="00DF5C23">
        <w:rPr>
          <w:rFonts w:eastAsia="Calibri"/>
          <w:noProof/>
          <w:lang w:val="en-IE" w:eastAsia="fr-BE"/>
        </w:rPr>
        <w:t>EU</w:t>
      </w:r>
      <w:r w:rsidRPr="00DF5C23">
        <w:rPr>
          <w:rFonts w:eastAsia="Calibri"/>
          <w:noProof/>
        </w:rPr>
        <w:t xml:space="preserve"> funding provided on innovation and investments to businesses. The </w:t>
      </w:r>
      <w:r w:rsidRPr="00DF5C23">
        <w:rPr>
          <w:rFonts w:eastAsia="Calibri"/>
          <w:b/>
          <w:noProof/>
        </w:rPr>
        <w:t>European Regional Development Fund</w:t>
      </w:r>
      <w:r w:rsidRPr="00DF5C23">
        <w:rPr>
          <w:rFonts w:eastAsia="Calibri"/>
          <w:noProof/>
        </w:rPr>
        <w:t xml:space="preserve">, through smart specialisation, </w:t>
      </w:r>
      <w:r w:rsidRPr="00DF5C23">
        <w:rPr>
          <w:rFonts w:eastAsia="Calibri"/>
          <w:b/>
          <w:noProof/>
        </w:rPr>
        <w:t>LIFE</w:t>
      </w:r>
      <w:r w:rsidRPr="00DF5C23">
        <w:rPr>
          <w:rFonts w:eastAsia="Calibri"/>
          <w:noProof/>
        </w:rPr>
        <w:t xml:space="preserve"> and </w:t>
      </w:r>
      <w:r w:rsidRPr="00DF5C23">
        <w:rPr>
          <w:rFonts w:eastAsia="Calibri"/>
          <w:b/>
          <w:noProof/>
        </w:rPr>
        <w:t>Horizon Europe</w:t>
      </w:r>
      <w:r w:rsidRPr="00DF5C23">
        <w:rPr>
          <w:rFonts w:eastAsia="Calibri"/>
          <w:noProof/>
        </w:rPr>
        <w:t xml:space="preserve"> complements private innovation funding and support the whole innovation cycle with the aim to bring solutions to the market. The </w:t>
      </w:r>
      <w:r w:rsidRPr="00DF5C23">
        <w:rPr>
          <w:rFonts w:eastAsia="Calibri"/>
          <w:b/>
          <w:noProof/>
        </w:rPr>
        <w:t>Digital Europe Programme</w:t>
      </w:r>
      <w:r w:rsidRPr="00DF5C23">
        <w:rPr>
          <w:rFonts w:eastAsia="Calibri"/>
          <w:noProof/>
        </w:rPr>
        <w:t xml:space="preserve"> is expected to launch by end 2022 an 18-month long Concerted Action to propose and agree with relevant stakeholders the design and prototypes of the digital product passport in three sectors, including requirements for cross-sectoral interoperability. The </w:t>
      </w:r>
      <w:r w:rsidRPr="00DF5C23">
        <w:rPr>
          <w:rFonts w:eastAsia="Calibri"/>
          <w:b/>
          <w:noProof/>
        </w:rPr>
        <w:t>Innovation Fund</w:t>
      </w:r>
      <w:r w:rsidRPr="00DF5C23">
        <w:rPr>
          <w:rFonts w:eastAsia="Calibri"/>
          <w:noProof/>
        </w:rPr>
        <w:t xml:space="preserve"> is one of the world’s largest funding programmes for the demonstration of innovative low-carbon technologies and solutions. It will provide around EUR 10 billion of support over 2020-2030, aiming to bring to the market industrial solutions to decarbonise Europe and support its transition to climate neutrality.</w:t>
      </w:r>
    </w:p>
    <w:p w14:paraId="2C3A5963"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5964" w14:textId="73192A17" w:rsidR="00BF1765" w:rsidRPr="00DF5C23" w:rsidRDefault="004F5E59" w:rsidP="004F5E59">
      <w:pPr>
        <w:pStyle w:val="ManualHeading3"/>
        <w:rPr>
          <w:noProof/>
        </w:rPr>
      </w:pPr>
      <w:bookmarkStart w:id="30" w:name="_Toc514938036"/>
      <w:bookmarkStart w:id="31" w:name="_Toc520485039"/>
      <w:r w:rsidRPr="004F5E59">
        <w:t>1.5.5.</w:t>
      </w:r>
      <w:r w:rsidRPr="004F5E59">
        <w:tab/>
      </w:r>
      <w:r w:rsidR="00BF1765" w:rsidRPr="00DF5C23">
        <w:rPr>
          <w:noProof/>
        </w:rPr>
        <w:t>Assessment of the different available financing options, including scope for redeployment</w:t>
      </w:r>
      <w:bookmarkEnd w:id="30"/>
      <w:bookmarkEnd w:id="31"/>
    </w:p>
    <w:p w14:paraId="2C3A5965"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The budget implications come mainly from the following factors:</w:t>
      </w:r>
    </w:p>
    <w:p w14:paraId="2C3A5966" w14:textId="77777777" w:rsidR="00BF1765" w:rsidRPr="00DF5C23" w:rsidRDefault="00BF1765" w:rsidP="00431D9B">
      <w:pPr>
        <w:pStyle w:val="Tiret1"/>
        <w:numPr>
          <w:ilvl w:val="0"/>
          <w:numId w:val="93"/>
        </w:numPr>
        <w:pBdr>
          <w:top w:val="single" w:sz="4" w:space="1" w:color="auto"/>
          <w:left w:val="single" w:sz="4" w:space="4" w:color="auto"/>
          <w:bottom w:val="single" w:sz="4" w:space="1" w:color="auto"/>
          <w:right w:val="single" w:sz="4" w:space="4" w:color="auto"/>
        </w:pBdr>
        <w:rPr>
          <w:noProof/>
        </w:rPr>
      </w:pPr>
      <w:r w:rsidRPr="00DF5C23">
        <w:rPr>
          <w:noProof/>
        </w:rPr>
        <w:t xml:space="preserve">The review, between 2022 and 2026, of </w:t>
      </w:r>
      <w:r w:rsidR="00397ED5" w:rsidRPr="00DF5C23">
        <w:rPr>
          <w:noProof/>
        </w:rPr>
        <w:t>33</w:t>
      </w:r>
      <w:r w:rsidRPr="00DF5C23">
        <w:rPr>
          <w:noProof/>
        </w:rPr>
        <w:t xml:space="preserve"> Commission Regulations and adoption of 5 new Regulations in 2022-2023 under the current Ecodesign Directive, which cannot be addressed only by staff currently allocated to the implementation of Ecodesign; the 14 Commission Regulations reviewed in 2021 continue also to have staff implications for tasks such as standardisation and guidance of stakeholders;</w:t>
      </w:r>
    </w:p>
    <w:p w14:paraId="2C3A5967" w14:textId="77777777" w:rsidR="00BF1765" w:rsidRPr="00DF5C23" w:rsidRDefault="00BF1765" w:rsidP="00397ED5">
      <w:pPr>
        <w:pStyle w:val="Tiret1"/>
        <w:pBdr>
          <w:top w:val="single" w:sz="4" w:space="1" w:color="auto"/>
          <w:left w:val="single" w:sz="4" w:space="4" w:color="auto"/>
          <w:bottom w:val="single" w:sz="4" w:space="1" w:color="auto"/>
          <w:right w:val="single" w:sz="4" w:space="4" w:color="auto"/>
        </w:pBdr>
        <w:rPr>
          <w:noProof/>
        </w:rPr>
      </w:pPr>
      <w:r w:rsidRPr="00DF5C23">
        <w:rPr>
          <w:noProof/>
        </w:rPr>
        <w:t xml:space="preserve">The preparation and adoption of up to </w:t>
      </w:r>
      <w:r w:rsidR="00397ED5" w:rsidRPr="00DF5C23">
        <w:rPr>
          <w:noProof/>
        </w:rPr>
        <w:t>18</w:t>
      </w:r>
      <w:r w:rsidRPr="00DF5C23">
        <w:rPr>
          <w:noProof/>
        </w:rPr>
        <w:t xml:space="preserve"> new Delegated Acts between 2024 and 2027; The multiannual Working Plan exercise is a key step to define and prioritise product groups; we work on the assumption of a phasing in of 4 products in 2024, 6 in 2025 and 4 each year as from 2026 in order to reach SPI objectives while smoothing the need for resources </w:t>
      </w:r>
      <w:r w:rsidR="00397ED5" w:rsidRPr="00DF5C23">
        <w:rPr>
          <w:noProof/>
        </w:rPr>
        <w:t>over</w:t>
      </w:r>
      <w:r w:rsidRPr="00DF5C23">
        <w:rPr>
          <w:noProof/>
        </w:rPr>
        <w:t xml:space="preserve"> time.</w:t>
      </w:r>
      <w:r w:rsidR="00397ED5" w:rsidRPr="00DF5C23">
        <w:rPr>
          <w:noProof/>
        </w:rPr>
        <w:t xml:space="preserve"> 12 Delegated acts should also be adopted between 2028 and 2030, with staff and budget implications in 2025-2027.</w:t>
      </w:r>
    </w:p>
    <w:p w14:paraId="2C3A5968" w14:textId="77777777" w:rsidR="0067098C" w:rsidRPr="00DF5C23" w:rsidRDefault="0067098C" w:rsidP="0067098C">
      <w:pPr>
        <w:pStyle w:val="Tiret1"/>
        <w:pBdr>
          <w:top w:val="single" w:sz="4" w:space="1" w:color="auto"/>
          <w:left w:val="single" w:sz="4" w:space="4" w:color="auto"/>
          <w:bottom w:val="single" w:sz="4" w:space="1" w:color="auto"/>
          <w:right w:val="single" w:sz="4" w:space="4" w:color="auto"/>
        </w:pBdr>
        <w:rPr>
          <w:noProof/>
        </w:rPr>
      </w:pPr>
      <w:r w:rsidRPr="00DF5C23">
        <w:rPr>
          <w:noProof/>
        </w:rPr>
        <w:t xml:space="preserve"> prepare implementing acts (on average one per year as from 2024) when this is needed to ensure uniform conditions for the implementation of this Regulation, for example in relation to market surveillance, disclosure of information on the destruction of unsold consumer goods or the acknowledgement of self-regulatory measures; and</w:t>
      </w:r>
    </w:p>
    <w:p w14:paraId="2C3A5969" w14:textId="77777777" w:rsidR="00534271" w:rsidRPr="00DF5C23" w:rsidRDefault="00534271" w:rsidP="00534271">
      <w:pPr>
        <w:pStyle w:val="Tiret1"/>
        <w:pBdr>
          <w:top w:val="single" w:sz="4" w:space="1" w:color="auto"/>
          <w:left w:val="single" w:sz="4" w:space="4" w:color="auto"/>
          <w:bottom w:val="single" w:sz="4" w:space="1" w:color="auto"/>
          <w:right w:val="single" w:sz="4" w:space="4" w:color="auto"/>
        </w:pBdr>
        <w:rPr>
          <w:noProof/>
        </w:rPr>
      </w:pPr>
      <w:r w:rsidRPr="00DF5C23">
        <w:rPr>
          <w:noProof/>
        </w:rPr>
        <w:t>carry out horizontal tasks related to the digital product passport, to market surveillance and customs control, and a European circular business hub to support the exchange of experience between economic actors in integrating circularity in product design and manufacturing.</w:t>
      </w:r>
    </w:p>
    <w:p w14:paraId="2C3A596A" w14:textId="77777777" w:rsidR="00397ED5" w:rsidRPr="00DF5C23" w:rsidRDefault="00397ED5" w:rsidP="00397ED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For the review of existing regulations, a reasonable estimate based on experience is that around 0,5 FTE (+ assistants support) are needed on average to cover one product, including work on standardisation but excluding the technical assessment associated with the review, which is outsourced. The 11,5 Full-Time Equivalents (FTE) currently allocated to Ecodesign in the 3 DGs are not sufficient to meet legal obligations. Additional resources of 1</w:t>
      </w:r>
      <w:r w:rsidR="007A6D05" w:rsidRPr="00DF5C23">
        <w:rPr>
          <w:rFonts w:eastAsia="Calibri"/>
          <w:noProof/>
        </w:rPr>
        <w:t>3</w:t>
      </w:r>
      <w:r w:rsidRPr="00DF5C23">
        <w:rPr>
          <w:rFonts w:eastAsia="Calibri"/>
          <w:noProof/>
        </w:rPr>
        <w:t xml:space="preserve"> FTEs in 2022, 24 FTEs in 2023 then decreasing progressively to 19 FTEs in 2027 are requested in addition to redeployment and outsourcing of studies.  </w:t>
      </w:r>
    </w:p>
    <w:p w14:paraId="2C3A596B" w14:textId="77777777" w:rsidR="00BF1765" w:rsidRPr="00DF5C23" w:rsidRDefault="00397ED5" w:rsidP="00397ED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As regards new product groups under SPI, the analysis of new requirements and assessment tasks lead to the estimate of around 0.9 FTE (+ assistants support) per new product. The IA analysis lead to an estimate of around 30 new product groups or horizontal measures to be covered under SPI. This leads to an estimated need of 16 FTEs in 2023 and increasing progressively up to 28,5 FTEs in 2027, in addition to the redeployment of 8,5 FTEs currently allocated to the preparation of SPI or other tasks in the 3 lead DGs. The following table gives the estimates for additional needs year per year.</w:t>
      </w:r>
    </w:p>
    <w:tbl>
      <w:tblPr>
        <w:tblStyle w:val="TableGrid1"/>
        <w:tblW w:w="0" w:type="auto"/>
        <w:tblInd w:w="850" w:type="dxa"/>
        <w:tblLook w:val="04A0" w:firstRow="1" w:lastRow="0" w:firstColumn="1" w:lastColumn="0" w:noHBand="0" w:noVBand="1"/>
      </w:tblPr>
      <w:tblGrid>
        <w:gridCol w:w="2519"/>
        <w:gridCol w:w="992"/>
        <w:gridCol w:w="992"/>
        <w:gridCol w:w="992"/>
        <w:gridCol w:w="993"/>
        <w:gridCol w:w="992"/>
        <w:gridCol w:w="957"/>
      </w:tblGrid>
      <w:tr w:rsidR="00BF1765" w:rsidRPr="00DF5C23" w14:paraId="2C3A5973" w14:textId="77777777" w:rsidTr="00EC0E40">
        <w:tc>
          <w:tcPr>
            <w:tcW w:w="2519" w:type="dxa"/>
            <w:tcBorders>
              <w:bottom w:val="single" w:sz="4" w:space="0" w:color="auto"/>
            </w:tcBorders>
          </w:tcPr>
          <w:p w14:paraId="2C3A596C" w14:textId="77777777" w:rsidR="00BF1765" w:rsidRPr="00DF5C23" w:rsidRDefault="00BF1765" w:rsidP="00BF1765">
            <w:pPr>
              <w:rPr>
                <w:noProof/>
              </w:rPr>
            </w:pPr>
          </w:p>
        </w:tc>
        <w:tc>
          <w:tcPr>
            <w:tcW w:w="992" w:type="dxa"/>
          </w:tcPr>
          <w:p w14:paraId="2C3A596D" w14:textId="77777777" w:rsidR="00BF1765" w:rsidRPr="00DF5C23" w:rsidRDefault="00BF1765" w:rsidP="00BF1765">
            <w:pPr>
              <w:rPr>
                <w:noProof/>
              </w:rPr>
            </w:pPr>
            <w:r w:rsidRPr="00DF5C23">
              <w:rPr>
                <w:noProof/>
              </w:rPr>
              <w:t>2022</w:t>
            </w:r>
          </w:p>
        </w:tc>
        <w:tc>
          <w:tcPr>
            <w:tcW w:w="992" w:type="dxa"/>
          </w:tcPr>
          <w:p w14:paraId="2C3A596E" w14:textId="77777777" w:rsidR="00BF1765" w:rsidRPr="00DF5C23" w:rsidRDefault="00BF1765" w:rsidP="00BF1765">
            <w:pPr>
              <w:rPr>
                <w:noProof/>
              </w:rPr>
            </w:pPr>
            <w:r w:rsidRPr="00DF5C23">
              <w:rPr>
                <w:noProof/>
              </w:rPr>
              <w:t>2023</w:t>
            </w:r>
          </w:p>
        </w:tc>
        <w:tc>
          <w:tcPr>
            <w:tcW w:w="992" w:type="dxa"/>
          </w:tcPr>
          <w:p w14:paraId="2C3A596F" w14:textId="77777777" w:rsidR="00BF1765" w:rsidRPr="00DF5C23" w:rsidRDefault="00BF1765" w:rsidP="00BF1765">
            <w:pPr>
              <w:rPr>
                <w:noProof/>
              </w:rPr>
            </w:pPr>
            <w:r w:rsidRPr="00DF5C23">
              <w:rPr>
                <w:noProof/>
              </w:rPr>
              <w:t>2024</w:t>
            </w:r>
          </w:p>
        </w:tc>
        <w:tc>
          <w:tcPr>
            <w:tcW w:w="993" w:type="dxa"/>
          </w:tcPr>
          <w:p w14:paraId="2C3A5970" w14:textId="77777777" w:rsidR="00BF1765" w:rsidRPr="00DF5C23" w:rsidRDefault="00BF1765" w:rsidP="00BF1765">
            <w:pPr>
              <w:rPr>
                <w:noProof/>
              </w:rPr>
            </w:pPr>
            <w:r w:rsidRPr="00DF5C23">
              <w:rPr>
                <w:noProof/>
              </w:rPr>
              <w:t>2025</w:t>
            </w:r>
          </w:p>
        </w:tc>
        <w:tc>
          <w:tcPr>
            <w:tcW w:w="992" w:type="dxa"/>
          </w:tcPr>
          <w:p w14:paraId="2C3A5971" w14:textId="77777777" w:rsidR="00BF1765" w:rsidRPr="00DF5C23" w:rsidRDefault="00BF1765" w:rsidP="00BF1765">
            <w:pPr>
              <w:rPr>
                <w:noProof/>
              </w:rPr>
            </w:pPr>
            <w:r w:rsidRPr="00DF5C23">
              <w:rPr>
                <w:noProof/>
              </w:rPr>
              <w:t>2026</w:t>
            </w:r>
          </w:p>
        </w:tc>
        <w:tc>
          <w:tcPr>
            <w:tcW w:w="957" w:type="dxa"/>
          </w:tcPr>
          <w:p w14:paraId="2C3A5972" w14:textId="77777777" w:rsidR="00BF1765" w:rsidRPr="00DF5C23" w:rsidRDefault="00BF1765" w:rsidP="00BF1765">
            <w:pPr>
              <w:rPr>
                <w:noProof/>
              </w:rPr>
            </w:pPr>
            <w:r w:rsidRPr="00DF5C23">
              <w:rPr>
                <w:noProof/>
              </w:rPr>
              <w:t>2027 and follow.</w:t>
            </w:r>
          </w:p>
        </w:tc>
      </w:tr>
      <w:tr w:rsidR="005C61BF" w:rsidRPr="00DF5C23" w14:paraId="2C3A597B" w14:textId="77777777" w:rsidTr="00EC0E40">
        <w:tc>
          <w:tcPr>
            <w:tcW w:w="2519" w:type="dxa"/>
            <w:tcBorders>
              <w:bottom w:val="nil"/>
            </w:tcBorders>
          </w:tcPr>
          <w:p w14:paraId="2C3A5974" w14:textId="77777777" w:rsidR="005C61BF" w:rsidRPr="00DF5C23" w:rsidRDefault="005C61BF" w:rsidP="005C61BF">
            <w:pPr>
              <w:rPr>
                <w:noProof/>
              </w:rPr>
            </w:pPr>
            <w:r w:rsidRPr="00DF5C23">
              <w:rPr>
                <w:noProof/>
              </w:rPr>
              <w:t>Ecodesign existing products</w:t>
            </w:r>
            <w:r w:rsidR="009E22E2" w:rsidRPr="00DF5C23">
              <w:rPr>
                <w:noProof/>
              </w:rPr>
              <w:t>, incl.</w:t>
            </w:r>
          </w:p>
        </w:tc>
        <w:tc>
          <w:tcPr>
            <w:tcW w:w="992" w:type="dxa"/>
            <w:vAlign w:val="center"/>
          </w:tcPr>
          <w:p w14:paraId="2C3A5975"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1</w:t>
            </w:r>
            <w:r w:rsidR="003941D7" w:rsidRPr="00DF5C23">
              <w:rPr>
                <w:rFonts w:ascii="Calibri" w:hAnsi="Calibri" w:cs="Calibri"/>
                <w:noProof/>
                <w:color w:val="000000"/>
                <w:sz w:val="22"/>
                <w:szCs w:val="22"/>
              </w:rPr>
              <w:t>3</w:t>
            </w:r>
          </w:p>
        </w:tc>
        <w:tc>
          <w:tcPr>
            <w:tcW w:w="992" w:type="dxa"/>
            <w:vAlign w:val="center"/>
          </w:tcPr>
          <w:p w14:paraId="2C3A5976"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24</w:t>
            </w:r>
          </w:p>
        </w:tc>
        <w:tc>
          <w:tcPr>
            <w:tcW w:w="992" w:type="dxa"/>
            <w:vAlign w:val="center"/>
          </w:tcPr>
          <w:p w14:paraId="2C3A5977" w14:textId="77777777" w:rsidR="005C61BF" w:rsidRPr="00DF5C23" w:rsidRDefault="005C61BF" w:rsidP="005C61BF">
            <w:pPr>
              <w:rPr>
                <w:noProof/>
              </w:rPr>
            </w:pPr>
            <w:r w:rsidRPr="00DF5C23">
              <w:rPr>
                <w:rFonts w:ascii="Calibri" w:hAnsi="Calibri" w:cs="Calibri"/>
                <w:noProof/>
                <w:color w:val="000000"/>
                <w:sz w:val="22"/>
                <w:szCs w:val="22"/>
              </w:rPr>
              <w:t>23</w:t>
            </w:r>
          </w:p>
        </w:tc>
        <w:tc>
          <w:tcPr>
            <w:tcW w:w="993" w:type="dxa"/>
            <w:vAlign w:val="center"/>
          </w:tcPr>
          <w:p w14:paraId="2C3A5978" w14:textId="77777777" w:rsidR="005C61BF" w:rsidRPr="00DF5C23" w:rsidRDefault="005C61BF" w:rsidP="005C61BF">
            <w:pPr>
              <w:rPr>
                <w:noProof/>
              </w:rPr>
            </w:pPr>
            <w:r w:rsidRPr="00DF5C23">
              <w:rPr>
                <w:rFonts w:ascii="Calibri" w:hAnsi="Calibri" w:cs="Calibri"/>
                <w:noProof/>
                <w:color w:val="000000"/>
                <w:sz w:val="22"/>
                <w:szCs w:val="22"/>
              </w:rPr>
              <w:t>21</w:t>
            </w:r>
          </w:p>
        </w:tc>
        <w:tc>
          <w:tcPr>
            <w:tcW w:w="992" w:type="dxa"/>
            <w:vAlign w:val="center"/>
          </w:tcPr>
          <w:p w14:paraId="2C3A5979" w14:textId="77777777" w:rsidR="005C61BF" w:rsidRPr="00DF5C23" w:rsidRDefault="005C61BF" w:rsidP="005C61BF">
            <w:pPr>
              <w:rPr>
                <w:noProof/>
              </w:rPr>
            </w:pPr>
            <w:r w:rsidRPr="00DF5C23">
              <w:rPr>
                <w:rFonts w:ascii="Calibri" w:hAnsi="Calibri" w:cs="Calibri"/>
                <w:noProof/>
                <w:color w:val="000000"/>
                <w:sz w:val="22"/>
                <w:szCs w:val="22"/>
              </w:rPr>
              <w:t>20</w:t>
            </w:r>
          </w:p>
        </w:tc>
        <w:tc>
          <w:tcPr>
            <w:tcW w:w="957" w:type="dxa"/>
            <w:vAlign w:val="center"/>
          </w:tcPr>
          <w:p w14:paraId="2C3A597A" w14:textId="77777777" w:rsidR="005C61BF" w:rsidRPr="00DF5C23" w:rsidRDefault="005C61BF" w:rsidP="005C61BF">
            <w:pPr>
              <w:rPr>
                <w:noProof/>
              </w:rPr>
            </w:pPr>
            <w:r w:rsidRPr="00DF5C23">
              <w:rPr>
                <w:rFonts w:ascii="Calibri" w:hAnsi="Calibri" w:cs="Calibri"/>
                <w:noProof/>
                <w:color w:val="000000"/>
                <w:sz w:val="22"/>
                <w:szCs w:val="22"/>
              </w:rPr>
              <w:t>19</w:t>
            </w:r>
          </w:p>
        </w:tc>
      </w:tr>
      <w:tr w:rsidR="00BC1665" w:rsidRPr="00DF5C23" w14:paraId="2C3A5983" w14:textId="77777777" w:rsidTr="00EC0E40">
        <w:tc>
          <w:tcPr>
            <w:tcW w:w="2519" w:type="dxa"/>
            <w:tcBorders>
              <w:top w:val="nil"/>
              <w:bottom w:val="nil"/>
            </w:tcBorders>
          </w:tcPr>
          <w:p w14:paraId="2C3A597C" w14:textId="77777777" w:rsidR="00BC1665" w:rsidRPr="00DF5C23" w:rsidRDefault="003941D7" w:rsidP="00E86A2C">
            <w:pPr>
              <w:jc w:val="right"/>
              <w:rPr>
                <w:noProof/>
              </w:rPr>
            </w:pPr>
            <w:r w:rsidRPr="00DF5C23">
              <w:rPr>
                <w:noProof/>
              </w:rPr>
              <w:t>DG GROW</w:t>
            </w:r>
          </w:p>
        </w:tc>
        <w:tc>
          <w:tcPr>
            <w:tcW w:w="992" w:type="dxa"/>
            <w:vAlign w:val="center"/>
          </w:tcPr>
          <w:p w14:paraId="2C3A597D"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4,5</w:t>
            </w:r>
          </w:p>
        </w:tc>
        <w:tc>
          <w:tcPr>
            <w:tcW w:w="992" w:type="dxa"/>
            <w:vAlign w:val="center"/>
          </w:tcPr>
          <w:p w14:paraId="2C3A597E"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7</w:t>
            </w:r>
          </w:p>
        </w:tc>
        <w:tc>
          <w:tcPr>
            <w:tcW w:w="992" w:type="dxa"/>
            <w:vAlign w:val="center"/>
          </w:tcPr>
          <w:p w14:paraId="2C3A597F"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6,5</w:t>
            </w:r>
          </w:p>
        </w:tc>
        <w:tc>
          <w:tcPr>
            <w:tcW w:w="993" w:type="dxa"/>
            <w:vAlign w:val="center"/>
          </w:tcPr>
          <w:p w14:paraId="2C3A5980"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5,5</w:t>
            </w:r>
          </w:p>
        </w:tc>
        <w:tc>
          <w:tcPr>
            <w:tcW w:w="992" w:type="dxa"/>
            <w:vAlign w:val="center"/>
          </w:tcPr>
          <w:p w14:paraId="2C3A5981"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4,5</w:t>
            </w:r>
          </w:p>
        </w:tc>
        <w:tc>
          <w:tcPr>
            <w:tcW w:w="957" w:type="dxa"/>
            <w:vAlign w:val="center"/>
          </w:tcPr>
          <w:p w14:paraId="2C3A5982"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3,5</w:t>
            </w:r>
          </w:p>
        </w:tc>
      </w:tr>
      <w:tr w:rsidR="00BC1665" w:rsidRPr="00DF5C23" w14:paraId="2C3A598B" w14:textId="77777777" w:rsidTr="00EC0E40">
        <w:tc>
          <w:tcPr>
            <w:tcW w:w="2519" w:type="dxa"/>
            <w:tcBorders>
              <w:top w:val="nil"/>
              <w:bottom w:val="nil"/>
            </w:tcBorders>
          </w:tcPr>
          <w:p w14:paraId="2C3A5984" w14:textId="77777777" w:rsidR="00BC1665" w:rsidRPr="00DF5C23" w:rsidRDefault="003941D7" w:rsidP="00E86A2C">
            <w:pPr>
              <w:jc w:val="right"/>
              <w:rPr>
                <w:noProof/>
              </w:rPr>
            </w:pPr>
            <w:r w:rsidRPr="00DF5C23">
              <w:rPr>
                <w:noProof/>
              </w:rPr>
              <w:t>DG ENV</w:t>
            </w:r>
          </w:p>
        </w:tc>
        <w:tc>
          <w:tcPr>
            <w:tcW w:w="992" w:type="dxa"/>
            <w:vAlign w:val="center"/>
          </w:tcPr>
          <w:p w14:paraId="2C3A5985"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4</w:t>
            </w:r>
          </w:p>
        </w:tc>
        <w:tc>
          <w:tcPr>
            <w:tcW w:w="992" w:type="dxa"/>
            <w:vAlign w:val="center"/>
          </w:tcPr>
          <w:p w14:paraId="2C3A5986"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5</w:t>
            </w:r>
          </w:p>
        </w:tc>
        <w:tc>
          <w:tcPr>
            <w:tcW w:w="992" w:type="dxa"/>
            <w:vAlign w:val="center"/>
          </w:tcPr>
          <w:p w14:paraId="2C3A5987"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4,5</w:t>
            </w:r>
          </w:p>
        </w:tc>
        <w:tc>
          <w:tcPr>
            <w:tcW w:w="993" w:type="dxa"/>
            <w:vAlign w:val="center"/>
          </w:tcPr>
          <w:p w14:paraId="2C3A5988"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3,5</w:t>
            </w:r>
          </w:p>
        </w:tc>
        <w:tc>
          <w:tcPr>
            <w:tcW w:w="992" w:type="dxa"/>
            <w:vAlign w:val="center"/>
          </w:tcPr>
          <w:p w14:paraId="2C3A5989"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3,5</w:t>
            </w:r>
          </w:p>
        </w:tc>
        <w:tc>
          <w:tcPr>
            <w:tcW w:w="957" w:type="dxa"/>
            <w:vAlign w:val="center"/>
          </w:tcPr>
          <w:p w14:paraId="2C3A598A"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3,5</w:t>
            </w:r>
          </w:p>
        </w:tc>
      </w:tr>
      <w:tr w:rsidR="00BC1665" w:rsidRPr="00DF5C23" w14:paraId="2C3A5993" w14:textId="77777777" w:rsidTr="00EC0E40">
        <w:tc>
          <w:tcPr>
            <w:tcW w:w="2519" w:type="dxa"/>
            <w:tcBorders>
              <w:top w:val="nil"/>
              <w:bottom w:val="single" w:sz="4" w:space="0" w:color="auto"/>
            </w:tcBorders>
          </w:tcPr>
          <w:p w14:paraId="2C3A598C" w14:textId="77777777" w:rsidR="00BC1665" w:rsidRPr="00DF5C23" w:rsidRDefault="003941D7" w:rsidP="00E86A2C">
            <w:pPr>
              <w:jc w:val="right"/>
              <w:rPr>
                <w:noProof/>
              </w:rPr>
            </w:pPr>
            <w:r w:rsidRPr="00DF5C23">
              <w:rPr>
                <w:noProof/>
              </w:rPr>
              <w:t>DG ENER</w:t>
            </w:r>
          </w:p>
        </w:tc>
        <w:tc>
          <w:tcPr>
            <w:tcW w:w="992" w:type="dxa"/>
            <w:vAlign w:val="center"/>
          </w:tcPr>
          <w:p w14:paraId="2C3A598D"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4,5</w:t>
            </w:r>
          </w:p>
        </w:tc>
        <w:tc>
          <w:tcPr>
            <w:tcW w:w="992" w:type="dxa"/>
            <w:vAlign w:val="center"/>
          </w:tcPr>
          <w:p w14:paraId="2C3A598E"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12</w:t>
            </w:r>
          </w:p>
        </w:tc>
        <w:tc>
          <w:tcPr>
            <w:tcW w:w="992" w:type="dxa"/>
            <w:vAlign w:val="center"/>
          </w:tcPr>
          <w:p w14:paraId="2C3A598F"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12</w:t>
            </w:r>
          </w:p>
        </w:tc>
        <w:tc>
          <w:tcPr>
            <w:tcW w:w="993" w:type="dxa"/>
            <w:vAlign w:val="center"/>
          </w:tcPr>
          <w:p w14:paraId="2C3A5990"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12</w:t>
            </w:r>
          </w:p>
        </w:tc>
        <w:tc>
          <w:tcPr>
            <w:tcW w:w="992" w:type="dxa"/>
            <w:vAlign w:val="center"/>
          </w:tcPr>
          <w:p w14:paraId="2C3A5991"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12</w:t>
            </w:r>
          </w:p>
        </w:tc>
        <w:tc>
          <w:tcPr>
            <w:tcW w:w="957" w:type="dxa"/>
            <w:vAlign w:val="center"/>
          </w:tcPr>
          <w:p w14:paraId="2C3A5992" w14:textId="77777777" w:rsidR="00BC1665" w:rsidRPr="00DF5C23" w:rsidRDefault="003941D7" w:rsidP="005C61BF">
            <w:pPr>
              <w:rPr>
                <w:rFonts w:ascii="Calibri" w:hAnsi="Calibri" w:cs="Calibri"/>
                <w:noProof/>
                <w:color w:val="000000"/>
                <w:sz w:val="22"/>
              </w:rPr>
            </w:pPr>
            <w:r w:rsidRPr="00DF5C23">
              <w:rPr>
                <w:rFonts w:ascii="Calibri" w:hAnsi="Calibri" w:cs="Calibri"/>
                <w:noProof/>
                <w:color w:val="000000"/>
                <w:sz w:val="22"/>
              </w:rPr>
              <w:t>12</w:t>
            </w:r>
          </w:p>
        </w:tc>
      </w:tr>
      <w:tr w:rsidR="005C61BF" w:rsidRPr="00DF5C23" w14:paraId="2C3A599B" w14:textId="77777777" w:rsidTr="00EC0E40">
        <w:tc>
          <w:tcPr>
            <w:tcW w:w="2519" w:type="dxa"/>
            <w:tcBorders>
              <w:bottom w:val="nil"/>
            </w:tcBorders>
          </w:tcPr>
          <w:p w14:paraId="2C3A5994" w14:textId="77777777" w:rsidR="005C61BF" w:rsidRPr="00DF5C23" w:rsidRDefault="005C61BF" w:rsidP="005C61BF">
            <w:pPr>
              <w:rPr>
                <w:noProof/>
              </w:rPr>
            </w:pPr>
            <w:r w:rsidRPr="00DF5C23">
              <w:rPr>
                <w:noProof/>
              </w:rPr>
              <w:t>SPI new products</w:t>
            </w:r>
            <w:r w:rsidR="009E22E2" w:rsidRPr="00DF5C23">
              <w:rPr>
                <w:noProof/>
              </w:rPr>
              <w:t>, incl.</w:t>
            </w:r>
          </w:p>
        </w:tc>
        <w:tc>
          <w:tcPr>
            <w:tcW w:w="992" w:type="dxa"/>
            <w:vAlign w:val="center"/>
          </w:tcPr>
          <w:p w14:paraId="2C3A5995"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0</w:t>
            </w:r>
          </w:p>
        </w:tc>
        <w:tc>
          <w:tcPr>
            <w:tcW w:w="992" w:type="dxa"/>
            <w:vAlign w:val="center"/>
          </w:tcPr>
          <w:p w14:paraId="2C3A5996"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16</w:t>
            </w:r>
          </w:p>
        </w:tc>
        <w:tc>
          <w:tcPr>
            <w:tcW w:w="992" w:type="dxa"/>
            <w:vAlign w:val="center"/>
          </w:tcPr>
          <w:p w14:paraId="2C3A5997" w14:textId="77777777" w:rsidR="005C61BF" w:rsidRPr="00DF5C23" w:rsidRDefault="005C61BF" w:rsidP="005C61BF">
            <w:pPr>
              <w:rPr>
                <w:noProof/>
              </w:rPr>
            </w:pPr>
            <w:r w:rsidRPr="00DF5C23">
              <w:rPr>
                <w:rFonts w:ascii="Calibri" w:hAnsi="Calibri" w:cs="Calibri"/>
                <w:noProof/>
                <w:color w:val="000000"/>
                <w:sz w:val="22"/>
                <w:szCs w:val="22"/>
              </w:rPr>
              <w:t>21,5</w:t>
            </w:r>
          </w:p>
        </w:tc>
        <w:tc>
          <w:tcPr>
            <w:tcW w:w="993" w:type="dxa"/>
            <w:vAlign w:val="center"/>
          </w:tcPr>
          <w:p w14:paraId="2C3A5998" w14:textId="77777777" w:rsidR="005C61BF" w:rsidRPr="00DF5C23" w:rsidRDefault="005C61BF" w:rsidP="005C61BF">
            <w:pPr>
              <w:rPr>
                <w:noProof/>
              </w:rPr>
            </w:pPr>
            <w:r w:rsidRPr="00DF5C23">
              <w:rPr>
                <w:rFonts w:ascii="Calibri" w:hAnsi="Calibri" w:cs="Calibri"/>
                <w:noProof/>
                <w:color w:val="000000"/>
                <w:sz w:val="22"/>
                <w:szCs w:val="22"/>
              </w:rPr>
              <w:t>23,5</w:t>
            </w:r>
          </w:p>
        </w:tc>
        <w:tc>
          <w:tcPr>
            <w:tcW w:w="992" w:type="dxa"/>
            <w:vAlign w:val="center"/>
          </w:tcPr>
          <w:p w14:paraId="2C3A5999" w14:textId="77777777" w:rsidR="005C61BF" w:rsidRPr="00DF5C23" w:rsidRDefault="005C61BF" w:rsidP="005C61BF">
            <w:pPr>
              <w:rPr>
                <w:noProof/>
              </w:rPr>
            </w:pPr>
            <w:r w:rsidRPr="00DF5C23">
              <w:rPr>
                <w:rFonts w:ascii="Calibri" w:hAnsi="Calibri" w:cs="Calibri"/>
                <w:noProof/>
                <w:color w:val="000000"/>
                <w:sz w:val="22"/>
                <w:szCs w:val="22"/>
              </w:rPr>
              <w:t>25,5</w:t>
            </w:r>
          </w:p>
        </w:tc>
        <w:tc>
          <w:tcPr>
            <w:tcW w:w="957" w:type="dxa"/>
            <w:vAlign w:val="center"/>
          </w:tcPr>
          <w:p w14:paraId="2C3A599A" w14:textId="77777777" w:rsidR="005C61BF" w:rsidRPr="00DF5C23" w:rsidRDefault="005C61BF" w:rsidP="005C61BF">
            <w:pPr>
              <w:rPr>
                <w:noProof/>
              </w:rPr>
            </w:pPr>
            <w:r w:rsidRPr="00DF5C23">
              <w:rPr>
                <w:rFonts w:ascii="Calibri" w:hAnsi="Calibri" w:cs="Calibri"/>
                <w:noProof/>
                <w:color w:val="000000"/>
                <w:sz w:val="22"/>
                <w:szCs w:val="22"/>
              </w:rPr>
              <w:t>28,5</w:t>
            </w:r>
          </w:p>
        </w:tc>
      </w:tr>
      <w:tr w:rsidR="003941D7" w:rsidRPr="00DF5C23" w14:paraId="2C3A59A3" w14:textId="77777777" w:rsidTr="00EC0E40">
        <w:tc>
          <w:tcPr>
            <w:tcW w:w="2519" w:type="dxa"/>
            <w:tcBorders>
              <w:top w:val="nil"/>
              <w:bottom w:val="nil"/>
            </w:tcBorders>
          </w:tcPr>
          <w:p w14:paraId="2C3A599C" w14:textId="77777777" w:rsidR="003941D7" w:rsidRPr="00DF5C23" w:rsidRDefault="003941D7" w:rsidP="00E86A2C">
            <w:pPr>
              <w:jc w:val="right"/>
              <w:rPr>
                <w:noProof/>
              </w:rPr>
            </w:pPr>
            <w:r w:rsidRPr="00DF5C23">
              <w:rPr>
                <w:noProof/>
              </w:rPr>
              <w:t>DG GROW</w:t>
            </w:r>
          </w:p>
        </w:tc>
        <w:tc>
          <w:tcPr>
            <w:tcW w:w="992" w:type="dxa"/>
            <w:vAlign w:val="center"/>
          </w:tcPr>
          <w:p w14:paraId="2C3A599D"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9E"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7</w:t>
            </w:r>
          </w:p>
        </w:tc>
        <w:tc>
          <w:tcPr>
            <w:tcW w:w="992" w:type="dxa"/>
            <w:vAlign w:val="center"/>
          </w:tcPr>
          <w:p w14:paraId="2C3A599F"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10</w:t>
            </w:r>
          </w:p>
        </w:tc>
        <w:tc>
          <w:tcPr>
            <w:tcW w:w="993" w:type="dxa"/>
            <w:vAlign w:val="center"/>
          </w:tcPr>
          <w:p w14:paraId="2C3A59A0"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11</w:t>
            </w:r>
          </w:p>
        </w:tc>
        <w:tc>
          <w:tcPr>
            <w:tcW w:w="992" w:type="dxa"/>
            <w:vAlign w:val="center"/>
          </w:tcPr>
          <w:p w14:paraId="2C3A59A1"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12</w:t>
            </w:r>
          </w:p>
        </w:tc>
        <w:tc>
          <w:tcPr>
            <w:tcW w:w="957" w:type="dxa"/>
            <w:vAlign w:val="center"/>
          </w:tcPr>
          <w:p w14:paraId="2C3A59A2"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13,5</w:t>
            </w:r>
          </w:p>
        </w:tc>
      </w:tr>
      <w:tr w:rsidR="003941D7" w:rsidRPr="00DF5C23" w14:paraId="2C3A59AB" w14:textId="77777777" w:rsidTr="00EC0E40">
        <w:tc>
          <w:tcPr>
            <w:tcW w:w="2519" w:type="dxa"/>
            <w:tcBorders>
              <w:top w:val="nil"/>
              <w:bottom w:val="nil"/>
            </w:tcBorders>
          </w:tcPr>
          <w:p w14:paraId="2C3A59A4" w14:textId="77777777" w:rsidR="003941D7" w:rsidRPr="00DF5C23" w:rsidRDefault="003941D7" w:rsidP="00E86A2C">
            <w:pPr>
              <w:jc w:val="right"/>
              <w:rPr>
                <w:noProof/>
              </w:rPr>
            </w:pPr>
            <w:r w:rsidRPr="00DF5C23">
              <w:rPr>
                <w:noProof/>
              </w:rPr>
              <w:t>DG ENV</w:t>
            </w:r>
          </w:p>
        </w:tc>
        <w:tc>
          <w:tcPr>
            <w:tcW w:w="992" w:type="dxa"/>
            <w:vAlign w:val="center"/>
          </w:tcPr>
          <w:p w14:paraId="2C3A59A5"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A6"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7</w:t>
            </w:r>
          </w:p>
        </w:tc>
        <w:tc>
          <w:tcPr>
            <w:tcW w:w="992" w:type="dxa"/>
            <w:vAlign w:val="center"/>
          </w:tcPr>
          <w:p w14:paraId="2C3A59A7"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10</w:t>
            </w:r>
          </w:p>
        </w:tc>
        <w:tc>
          <w:tcPr>
            <w:tcW w:w="993" w:type="dxa"/>
            <w:vAlign w:val="center"/>
          </w:tcPr>
          <w:p w14:paraId="2C3A59A8"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11</w:t>
            </w:r>
          </w:p>
        </w:tc>
        <w:tc>
          <w:tcPr>
            <w:tcW w:w="992" w:type="dxa"/>
            <w:vAlign w:val="center"/>
          </w:tcPr>
          <w:p w14:paraId="2C3A59A9"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12</w:t>
            </w:r>
          </w:p>
        </w:tc>
        <w:tc>
          <w:tcPr>
            <w:tcW w:w="957" w:type="dxa"/>
            <w:vAlign w:val="center"/>
          </w:tcPr>
          <w:p w14:paraId="2C3A59AA"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13,5</w:t>
            </w:r>
          </w:p>
        </w:tc>
      </w:tr>
      <w:tr w:rsidR="003941D7" w:rsidRPr="00DF5C23" w14:paraId="2C3A59B3" w14:textId="77777777" w:rsidTr="00EC0E40">
        <w:tc>
          <w:tcPr>
            <w:tcW w:w="2519" w:type="dxa"/>
            <w:tcBorders>
              <w:top w:val="nil"/>
              <w:bottom w:val="single" w:sz="4" w:space="0" w:color="auto"/>
            </w:tcBorders>
          </w:tcPr>
          <w:p w14:paraId="2C3A59AC" w14:textId="77777777" w:rsidR="003941D7" w:rsidRPr="00DF5C23" w:rsidRDefault="003941D7" w:rsidP="00E86A2C">
            <w:pPr>
              <w:jc w:val="right"/>
              <w:rPr>
                <w:noProof/>
              </w:rPr>
            </w:pPr>
            <w:r w:rsidRPr="00DF5C23">
              <w:rPr>
                <w:noProof/>
              </w:rPr>
              <w:t>DG ENER</w:t>
            </w:r>
          </w:p>
        </w:tc>
        <w:tc>
          <w:tcPr>
            <w:tcW w:w="992" w:type="dxa"/>
            <w:vAlign w:val="center"/>
          </w:tcPr>
          <w:p w14:paraId="2C3A59AD"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AE"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2</w:t>
            </w:r>
          </w:p>
        </w:tc>
        <w:tc>
          <w:tcPr>
            <w:tcW w:w="992" w:type="dxa"/>
            <w:vAlign w:val="center"/>
          </w:tcPr>
          <w:p w14:paraId="2C3A59AF" w14:textId="77777777" w:rsidR="003941D7" w:rsidRPr="00DF5C23" w:rsidRDefault="003941D7" w:rsidP="005C61BF">
            <w:pPr>
              <w:rPr>
                <w:rFonts w:ascii="Calibri" w:hAnsi="Calibri" w:cs="Calibri"/>
                <w:noProof/>
                <w:color w:val="000000"/>
                <w:sz w:val="22"/>
              </w:rPr>
            </w:pPr>
            <w:r w:rsidRPr="00DF5C23">
              <w:rPr>
                <w:rFonts w:ascii="Calibri" w:hAnsi="Calibri" w:cs="Calibri"/>
                <w:noProof/>
                <w:color w:val="000000"/>
                <w:sz w:val="22"/>
              </w:rPr>
              <w:t>1,5</w:t>
            </w:r>
          </w:p>
        </w:tc>
        <w:tc>
          <w:tcPr>
            <w:tcW w:w="993" w:type="dxa"/>
            <w:vAlign w:val="center"/>
          </w:tcPr>
          <w:p w14:paraId="2C3A59B0"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1,5</w:t>
            </w:r>
          </w:p>
        </w:tc>
        <w:tc>
          <w:tcPr>
            <w:tcW w:w="992" w:type="dxa"/>
            <w:vAlign w:val="center"/>
          </w:tcPr>
          <w:p w14:paraId="2C3A59B1"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1,5</w:t>
            </w:r>
          </w:p>
        </w:tc>
        <w:tc>
          <w:tcPr>
            <w:tcW w:w="957" w:type="dxa"/>
            <w:vAlign w:val="center"/>
          </w:tcPr>
          <w:p w14:paraId="2C3A59B2" w14:textId="77777777" w:rsidR="003941D7" w:rsidRPr="00DF5C23" w:rsidRDefault="00E86A2C" w:rsidP="005C61BF">
            <w:pPr>
              <w:rPr>
                <w:rFonts w:ascii="Calibri" w:hAnsi="Calibri" w:cs="Calibri"/>
                <w:noProof/>
                <w:color w:val="000000"/>
                <w:sz w:val="22"/>
              </w:rPr>
            </w:pPr>
            <w:r w:rsidRPr="00DF5C23">
              <w:rPr>
                <w:rFonts w:ascii="Calibri" w:hAnsi="Calibri" w:cs="Calibri"/>
                <w:noProof/>
                <w:color w:val="000000"/>
                <w:sz w:val="22"/>
              </w:rPr>
              <w:t>1,5</w:t>
            </w:r>
          </w:p>
        </w:tc>
      </w:tr>
      <w:tr w:rsidR="005C61BF" w:rsidRPr="00DF5C23" w14:paraId="2C3A59BB" w14:textId="77777777" w:rsidTr="00EC0E40">
        <w:tc>
          <w:tcPr>
            <w:tcW w:w="2519" w:type="dxa"/>
            <w:tcBorders>
              <w:bottom w:val="nil"/>
            </w:tcBorders>
          </w:tcPr>
          <w:p w14:paraId="2C3A59B4" w14:textId="77777777" w:rsidR="005C61BF" w:rsidRPr="00DF5C23" w:rsidRDefault="005C61BF" w:rsidP="005C61BF">
            <w:pPr>
              <w:rPr>
                <w:noProof/>
              </w:rPr>
            </w:pPr>
            <w:r w:rsidRPr="00DF5C23">
              <w:rPr>
                <w:noProof/>
              </w:rPr>
              <w:t>Digital product passport</w:t>
            </w:r>
            <w:r w:rsidR="009E22E2" w:rsidRPr="00DF5C23">
              <w:rPr>
                <w:noProof/>
              </w:rPr>
              <w:t>, incl.</w:t>
            </w:r>
          </w:p>
        </w:tc>
        <w:tc>
          <w:tcPr>
            <w:tcW w:w="992" w:type="dxa"/>
            <w:vAlign w:val="center"/>
          </w:tcPr>
          <w:p w14:paraId="2C3A59B5"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0,5</w:t>
            </w:r>
          </w:p>
        </w:tc>
        <w:tc>
          <w:tcPr>
            <w:tcW w:w="992" w:type="dxa"/>
            <w:vAlign w:val="center"/>
          </w:tcPr>
          <w:p w14:paraId="2C3A59B6"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2</w:t>
            </w:r>
          </w:p>
        </w:tc>
        <w:tc>
          <w:tcPr>
            <w:tcW w:w="992" w:type="dxa"/>
            <w:vAlign w:val="center"/>
          </w:tcPr>
          <w:p w14:paraId="2C3A59B7"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3" w:type="dxa"/>
            <w:vAlign w:val="center"/>
          </w:tcPr>
          <w:p w14:paraId="2C3A59B8"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2" w:type="dxa"/>
            <w:vAlign w:val="center"/>
          </w:tcPr>
          <w:p w14:paraId="2C3A59B9" w14:textId="77777777" w:rsidR="005C61BF" w:rsidRPr="00DF5C23" w:rsidRDefault="005C61BF" w:rsidP="005C61BF">
            <w:pPr>
              <w:rPr>
                <w:noProof/>
              </w:rPr>
            </w:pPr>
            <w:r w:rsidRPr="00DF5C23">
              <w:rPr>
                <w:rFonts w:ascii="Calibri" w:hAnsi="Calibri" w:cs="Calibri"/>
                <w:noProof/>
                <w:color w:val="000000"/>
                <w:sz w:val="22"/>
                <w:szCs w:val="22"/>
              </w:rPr>
              <w:t>2</w:t>
            </w:r>
          </w:p>
        </w:tc>
        <w:tc>
          <w:tcPr>
            <w:tcW w:w="957" w:type="dxa"/>
            <w:vAlign w:val="center"/>
          </w:tcPr>
          <w:p w14:paraId="2C3A59BA" w14:textId="77777777" w:rsidR="005C61BF" w:rsidRPr="00DF5C23" w:rsidRDefault="005C61BF" w:rsidP="005C61BF">
            <w:pPr>
              <w:rPr>
                <w:noProof/>
              </w:rPr>
            </w:pPr>
            <w:r w:rsidRPr="00DF5C23">
              <w:rPr>
                <w:rFonts w:ascii="Calibri" w:hAnsi="Calibri" w:cs="Calibri"/>
                <w:noProof/>
                <w:color w:val="000000"/>
                <w:sz w:val="22"/>
                <w:szCs w:val="22"/>
              </w:rPr>
              <w:t>2</w:t>
            </w:r>
          </w:p>
        </w:tc>
      </w:tr>
      <w:tr w:rsidR="00E86A2C" w:rsidRPr="00DF5C23" w14:paraId="2C3A59C3" w14:textId="77777777" w:rsidTr="00EC0E40">
        <w:tc>
          <w:tcPr>
            <w:tcW w:w="2519" w:type="dxa"/>
            <w:tcBorders>
              <w:top w:val="nil"/>
              <w:bottom w:val="nil"/>
            </w:tcBorders>
          </w:tcPr>
          <w:p w14:paraId="2C3A59BC" w14:textId="77777777" w:rsidR="00E86A2C" w:rsidRPr="00DF5C23" w:rsidRDefault="00E86A2C" w:rsidP="00E86A2C">
            <w:pPr>
              <w:jc w:val="right"/>
              <w:rPr>
                <w:noProof/>
              </w:rPr>
            </w:pPr>
            <w:r w:rsidRPr="00DF5C23">
              <w:rPr>
                <w:noProof/>
              </w:rPr>
              <w:t>DG GROW</w:t>
            </w:r>
          </w:p>
        </w:tc>
        <w:tc>
          <w:tcPr>
            <w:tcW w:w="992" w:type="dxa"/>
            <w:vAlign w:val="center"/>
          </w:tcPr>
          <w:p w14:paraId="2C3A59BD"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BE"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BF"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3" w:type="dxa"/>
            <w:vAlign w:val="center"/>
          </w:tcPr>
          <w:p w14:paraId="2C3A59C0"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C1"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57" w:type="dxa"/>
            <w:vAlign w:val="center"/>
          </w:tcPr>
          <w:p w14:paraId="2C3A59C2"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r>
      <w:tr w:rsidR="00E86A2C" w:rsidRPr="00DF5C23" w14:paraId="2C3A59CB" w14:textId="77777777" w:rsidTr="00EC0E40">
        <w:tc>
          <w:tcPr>
            <w:tcW w:w="2519" w:type="dxa"/>
            <w:tcBorders>
              <w:top w:val="nil"/>
              <w:bottom w:val="nil"/>
            </w:tcBorders>
          </w:tcPr>
          <w:p w14:paraId="2C3A59C4" w14:textId="77777777" w:rsidR="00E86A2C" w:rsidRPr="00DF5C23" w:rsidRDefault="00E86A2C" w:rsidP="00E86A2C">
            <w:pPr>
              <w:jc w:val="right"/>
              <w:rPr>
                <w:noProof/>
              </w:rPr>
            </w:pPr>
            <w:r w:rsidRPr="00DF5C23">
              <w:rPr>
                <w:noProof/>
              </w:rPr>
              <w:t>DG ENV</w:t>
            </w:r>
          </w:p>
        </w:tc>
        <w:tc>
          <w:tcPr>
            <w:tcW w:w="992" w:type="dxa"/>
            <w:vAlign w:val="center"/>
          </w:tcPr>
          <w:p w14:paraId="2C3A59C5"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C6"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1</w:t>
            </w:r>
          </w:p>
        </w:tc>
        <w:tc>
          <w:tcPr>
            <w:tcW w:w="992" w:type="dxa"/>
            <w:vAlign w:val="center"/>
          </w:tcPr>
          <w:p w14:paraId="2C3A59C7"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1</w:t>
            </w:r>
          </w:p>
        </w:tc>
        <w:tc>
          <w:tcPr>
            <w:tcW w:w="993" w:type="dxa"/>
            <w:vAlign w:val="center"/>
          </w:tcPr>
          <w:p w14:paraId="2C3A59C8"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1</w:t>
            </w:r>
          </w:p>
        </w:tc>
        <w:tc>
          <w:tcPr>
            <w:tcW w:w="992" w:type="dxa"/>
            <w:vAlign w:val="center"/>
          </w:tcPr>
          <w:p w14:paraId="2C3A59C9"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1</w:t>
            </w:r>
          </w:p>
        </w:tc>
        <w:tc>
          <w:tcPr>
            <w:tcW w:w="957" w:type="dxa"/>
            <w:vAlign w:val="center"/>
          </w:tcPr>
          <w:p w14:paraId="2C3A59CA"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1</w:t>
            </w:r>
          </w:p>
        </w:tc>
      </w:tr>
      <w:tr w:rsidR="00E86A2C" w:rsidRPr="00DF5C23" w14:paraId="2C3A59D3" w14:textId="77777777" w:rsidTr="00EC0E40">
        <w:tc>
          <w:tcPr>
            <w:tcW w:w="2519" w:type="dxa"/>
            <w:tcBorders>
              <w:top w:val="nil"/>
              <w:bottom w:val="single" w:sz="4" w:space="0" w:color="auto"/>
            </w:tcBorders>
          </w:tcPr>
          <w:p w14:paraId="2C3A59CC" w14:textId="77777777" w:rsidR="00E86A2C" w:rsidRPr="00DF5C23" w:rsidRDefault="00E86A2C" w:rsidP="00E86A2C">
            <w:pPr>
              <w:jc w:val="right"/>
              <w:rPr>
                <w:noProof/>
              </w:rPr>
            </w:pPr>
            <w:r w:rsidRPr="00DF5C23">
              <w:rPr>
                <w:noProof/>
              </w:rPr>
              <w:t>DG ENER</w:t>
            </w:r>
          </w:p>
        </w:tc>
        <w:tc>
          <w:tcPr>
            <w:tcW w:w="992" w:type="dxa"/>
            <w:vAlign w:val="center"/>
          </w:tcPr>
          <w:p w14:paraId="2C3A59CD"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CE"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CF"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3" w:type="dxa"/>
            <w:vAlign w:val="center"/>
          </w:tcPr>
          <w:p w14:paraId="2C3A59D0"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D1"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c>
          <w:tcPr>
            <w:tcW w:w="957" w:type="dxa"/>
            <w:vAlign w:val="center"/>
          </w:tcPr>
          <w:p w14:paraId="2C3A59D2" w14:textId="77777777" w:rsidR="00E86A2C" w:rsidRPr="00DF5C23" w:rsidRDefault="00E86A2C" w:rsidP="005C61BF">
            <w:pPr>
              <w:rPr>
                <w:rFonts w:ascii="Calibri" w:hAnsi="Calibri" w:cs="Calibri"/>
                <w:noProof/>
                <w:color w:val="000000"/>
                <w:sz w:val="22"/>
              </w:rPr>
            </w:pPr>
            <w:r w:rsidRPr="00DF5C23">
              <w:rPr>
                <w:rFonts w:ascii="Calibri" w:hAnsi="Calibri" w:cs="Calibri"/>
                <w:noProof/>
                <w:color w:val="000000"/>
                <w:sz w:val="22"/>
              </w:rPr>
              <w:t>0,5</w:t>
            </w:r>
          </w:p>
        </w:tc>
      </w:tr>
      <w:tr w:rsidR="005C61BF" w:rsidRPr="00DF5C23" w14:paraId="2C3A59DB" w14:textId="77777777" w:rsidTr="00EC0E40">
        <w:tc>
          <w:tcPr>
            <w:tcW w:w="2519" w:type="dxa"/>
            <w:tcBorders>
              <w:bottom w:val="nil"/>
            </w:tcBorders>
          </w:tcPr>
          <w:p w14:paraId="2C3A59D4" w14:textId="77777777" w:rsidR="005C61BF" w:rsidRPr="00DF5C23" w:rsidRDefault="005C61BF" w:rsidP="005C61BF">
            <w:pPr>
              <w:rPr>
                <w:noProof/>
              </w:rPr>
            </w:pPr>
            <w:r w:rsidRPr="00DF5C23">
              <w:rPr>
                <w:noProof/>
              </w:rPr>
              <w:t>Support to market surveillance</w:t>
            </w:r>
            <w:r w:rsidR="009E22E2" w:rsidRPr="00DF5C23">
              <w:rPr>
                <w:noProof/>
              </w:rPr>
              <w:t>, incl.</w:t>
            </w:r>
          </w:p>
        </w:tc>
        <w:tc>
          <w:tcPr>
            <w:tcW w:w="992" w:type="dxa"/>
            <w:vAlign w:val="center"/>
          </w:tcPr>
          <w:p w14:paraId="2C3A59D5"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0,5</w:t>
            </w:r>
          </w:p>
        </w:tc>
        <w:tc>
          <w:tcPr>
            <w:tcW w:w="992" w:type="dxa"/>
            <w:vAlign w:val="center"/>
          </w:tcPr>
          <w:p w14:paraId="2C3A59D6" w14:textId="77777777" w:rsidR="005C61BF" w:rsidRPr="00DF5C23" w:rsidRDefault="005C61BF" w:rsidP="005C61BF">
            <w:pPr>
              <w:rPr>
                <w:rFonts w:ascii="Calibri" w:hAnsi="Calibri" w:cs="Calibri"/>
                <w:noProof/>
                <w:color w:val="000000"/>
                <w:sz w:val="22"/>
              </w:rPr>
            </w:pPr>
            <w:r w:rsidRPr="00DF5C23">
              <w:rPr>
                <w:rFonts w:ascii="Calibri" w:hAnsi="Calibri" w:cs="Calibri"/>
                <w:noProof/>
                <w:color w:val="000000"/>
                <w:sz w:val="22"/>
                <w:szCs w:val="22"/>
              </w:rPr>
              <w:t>0,5</w:t>
            </w:r>
          </w:p>
        </w:tc>
        <w:tc>
          <w:tcPr>
            <w:tcW w:w="992" w:type="dxa"/>
            <w:vAlign w:val="center"/>
          </w:tcPr>
          <w:p w14:paraId="2C3A59D7"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3" w:type="dxa"/>
            <w:vAlign w:val="center"/>
          </w:tcPr>
          <w:p w14:paraId="2C3A59D8"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2" w:type="dxa"/>
            <w:vAlign w:val="center"/>
          </w:tcPr>
          <w:p w14:paraId="2C3A59D9" w14:textId="77777777" w:rsidR="005C61BF" w:rsidRPr="00DF5C23" w:rsidRDefault="005C61BF" w:rsidP="005C61BF">
            <w:pPr>
              <w:rPr>
                <w:noProof/>
              </w:rPr>
            </w:pPr>
            <w:r w:rsidRPr="00DF5C23">
              <w:rPr>
                <w:rFonts w:ascii="Calibri" w:hAnsi="Calibri" w:cs="Calibri"/>
                <w:noProof/>
                <w:color w:val="000000"/>
                <w:sz w:val="22"/>
                <w:szCs w:val="22"/>
              </w:rPr>
              <w:t>2</w:t>
            </w:r>
          </w:p>
        </w:tc>
        <w:tc>
          <w:tcPr>
            <w:tcW w:w="957" w:type="dxa"/>
            <w:vAlign w:val="center"/>
          </w:tcPr>
          <w:p w14:paraId="2C3A59DA" w14:textId="77777777" w:rsidR="005C61BF" w:rsidRPr="00DF5C23" w:rsidRDefault="005C61BF" w:rsidP="005C61BF">
            <w:pPr>
              <w:rPr>
                <w:noProof/>
              </w:rPr>
            </w:pPr>
            <w:r w:rsidRPr="00DF5C23">
              <w:rPr>
                <w:rFonts w:ascii="Calibri" w:hAnsi="Calibri" w:cs="Calibri"/>
                <w:noProof/>
                <w:color w:val="000000"/>
                <w:sz w:val="22"/>
                <w:szCs w:val="22"/>
              </w:rPr>
              <w:t>2</w:t>
            </w:r>
          </w:p>
        </w:tc>
      </w:tr>
      <w:tr w:rsidR="00E86A2C" w:rsidRPr="00DF5C23" w14:paraId="2C3A59E3" w14:textId="77777777" w:rsidTr="00EC0E40">
        <w:tc>
          <w:tcPr>
            <w:tcW w:w="2519" w:type="dxa"/>
            <w:tcBorders>
              <w:top w:val="nil"/>
              <w:bottom w:val="nil"/>
            </w:tcBorders>
          </w:tcPr>
          <w:p w14:paraId="2C3A59DC" w14:textId="77777777" w:rsidR="00E86A2C" w:rsidRPr="00DF5C23" w:rsidRDefault="00E86A2C" w:rsidP="00E86A2C">
            <w:pPr>
              <w:jc w:val="right"/>
              <w:rPr>
                <w:noProof/>
              </w:rPr>
            </w:pPr>
            <w:r w:rsidRPr="00DF5C23">
              <w:rPr>
                <w:noProof/>
              </w:rPr>
              <w:t>DG GROW</w:t>
            </w:r>
          </w:p>
        </w:tc>
        <w:tc>
          <w:tcPr>
            <w:tcW w:w="992" w:type="dxa"/>
            <w:vAlign w:val="center"/>
          </w:tcPr>
          <w:p w14:paraId="2C3A59DD"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DE"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DF"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3" w:type="dxa"/>
            <w:vAlign w:val="center"/>
          </w:tcPr>
          <w:p w14:paraId="2C3A59E0"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E1"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57" w:type="dxa"/>
            <w:vAlign w:val="center"/>
          </w:tcPr>
          <w:p w14:paraId="2C3A59E2"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r>
      <w:tr w:rsidR="00E86A2C" w:rsidRPr="00DF5C23" w14:paraId="2C3A59EB" w14:textId="77777777" w:rsidTr="00EC0E40">
        <w:tc>
          <w:tcPr>
            <w:tcW w:w="2519" w:type="dxa"/>
            <w:tcBorders>
              <w:top w:val="nil"/>
              <w:bottom w:val="nil"/>
            </w:tcBorders>
          </w:tcPr>
          <w:p w14:paraId="2C3A59E4" w14:textId="77777777" w:rsidR="00E86A2C" w:rsidRPr="00DF5C23" w:rsidRDefault="00E86A2C" w:rsidP="00E86A2C">
            <w:pPr>
              <w:jc w:val="right"/>
              <w:rPr>
                <w:noProof/>
              </w:rPr>
            </w:pPr>
            <w:r w:rsidRPr="00DF5C23">
              <w:rPr>
                <w:noProof/>
              </w:rPr>
              <w:t>DG ENV</w:t>
            </w:r>
          </w:p>
        </w:tc>
        <w:tc>
          <w:tcPr>
            <w:tcW w:w="992" w:type="dxa"/>
            <w:vAlign w:val="center"/>
          </w:tcPr>
          <w:p w14:paraId="2C3A59E5"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E6"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w:t>
            </w:r>
          </w:p>
        </w:tc>
        <w:tc>
          <w:tcPr>
            <w:tcW w:w="992" w:type="dxa"/>
            <w:vAlign w:val="center"/>
          </w:tcPr>
          <w:p w14:paraId="2C3A59E7"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3" w:type="dxa"/>
            <w:vAlign w:val="center"/>
          </w:tcPr>
          <w:p w14:paraId="2C3A59E8"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E9"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57" w:type="dxa"/>
            <w:vAlign w:val="center"/>
          </w:tcPr>
          <w:p w14:paraId="2C3A59EA"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r>
      <w:tr w:rsidR="00E86A2C" w:rsidRPr="00DF5C23" w14:paraId="2C3A59F3" w14:textId="77777777" w:rsidTr="00EC0E40">
        <w:tc>
          <w:tcPr>
            <w:tcW w:w="2519" w:type="dxa"/>
            <w:tcBorders>
              <w:top w:val="nil"/>
            </w:tcBorders>
          </w:tcPr>
          <w:p w14:paraId="2C3A59EC" w14:textId="77777777" w:rsidR="00E86A2C" w:rsidRPr="00DF5C23" w:rsidRDefault="00E86A2C" w:rsidP="00E86A2C">
            <w:pPr>
              <w:jc w:val="right"/>
              <w:rPr>
                <w:noProof/>
              </w:rPr>
            </w:pPr>
            <w:r w:rsidRPr="00DF5C23">
              <w:rPr>
                <w:noProof/>
              </w:rPr>
              <w:t>DG ENER</w:t>
            </w:r>
          </w:p>
        </w:tc>
        <w:tc>
          <w:tcPr>
            <w:tcW w:w="992" w:type="dxa"/>
            <w:vAlign w:val="center"/>
          </w:tcPr>
          <w:p w14:paraId="2C3A59ED"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EE"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0,5</w:t>
            </w:r>
          </w:p>
        </w:tc>
        <w:tc>
          <w:tcPr>
            <w:tcW w:w="992" w:type="dxa"/>
            <w:vAlign w:val="center"/>
          </w:tcPr>
          <w:p w14:paraId="2C3A59EF"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1</w:t>
            </w:r>
          </w:p>
        </w:tc>
        <w:tc>
          <w:tcPr>
            <w:tcW w:w="993" w:type="dxa"/>
            <w:vAlign w:val="center"/>
          </w:tcPr>
          <w:p w14:paraId="2C3A59F0"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1</w:t>
            </w:r>
          </w:p>
        </w:tc>
        <w:tc>
          <w:tcPr>
            <w:tcW w:w="992" w:type="dxa"/>
            <w:vAlign w:val="center"/>
          </w:tcPr>
          <w:p w14:paraId="2C3A59F1"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1</w:t>
            </w:r>
          </w:p>
        </w:tc>
        <w:tc>
          <w:tcPr>
            <w:tcW w:w="957" w:type="dxa"/>
            <w:vAlign w:val="center"/>
          </w:tcPr>
          <w:p w14:paraId="2C3A59F2" w14:textId="77777777" w:rsidR="00E86A2C" w:rsidRPr="00DF5C23" w:rsidRDefault="00E86A2C" w:rsidP="00E86A2C">
            <w:pPr>
              <w:rPr>
                <w:rFonts w:ascii="Calibri" w:hAnsi="Calibri" w:cs="Calibri"/>
                <w:noProof/>
                <w:color w:val="000000"/>
                <w:sz w:val="22"/>
              </w:rPr>
            </w:pPr>
            <w:r w:rsidRPr="00DF5C23">
              <w:rPr>
                <w:rFonts w:ascii="Calibri" w:hAnsi="Calibri" w:cs="Calibri"/>
                <w:noProof/>
                <w:color w:val="000000"/>
                <w:sz w:val="22"/>
              </w:rPr>
              <w:t>1</w:t>
            </w:r>
          </w:p>
        </w:tc>
      </w:tr>
      <w:tr w:rsidR="005C61BF" w:rsidRPr="00DF5C23" w14:paraId="2C3A59FB" w14:textId="77777777" w:rsidTr="00EC0E40">
        <w:tc>
          <w:tcPr>
            <w:tcW w:w="2519" w:type="dxa"/>
          </w:tcPr>
          <w:p w14:paraId="2C3A59F4" w14:textId="77777777" w:rsidR="005C61BF" w:rsidRPr="00DF5C23" w:rsidRDefault="005C61BF" w:rsidP="005C61BF">
            <w:pPr>
              <w:rPr>
                <w:noProof/>
              </w:rPr>
            </w:pPr>
            <w:r w:rsidRPr="00DF5C23">
              <w:rPr>
                <w:noProof/>
              </w:rPr>
              <w:t>Support to customs control</w:t>
            </w:r>
            <w:r w:rsidR="00E86A2C" w:rsidRPr="00DF5C23">
              <w:rPr>
                <w:noProof/>
              </w:rPr>
              <w:t xml:space="preserve"> (DG TAXUD)</w:t>
            </w:r>
          </w:p>
        </w:tc>
        <w:tc>
          <w:tcPr>
            <w:tcW w:w="992" w:type="dxa"/>
            <w:vAlign w:val="center"/>
          </w:tcPr>
          <w:p w14:paraId="2C3A59F5" w14:textId="77777777" w:rsidR="005C61BF" w:rsidRPr="00DF5C23" w:rsidRDefault="005C61BF" w:rsidP="005C61BF">
            <w:pPr>
              <w:rPr>
                <w:noProof/>
              </w:rPr>
            </w:pPr>
            <w:r w:rsidRPr="00DF5C23">
              <w:rPr>
                <w:rFonts w:ascii="Calibri" w:hAnsi="Calibri" w:cs="Calibri"/>
                <w:noProof/>
                <w:color w:val="000000"/>
                <w:sz w:val="22"/>
                <w:szCs w:val="22"/>
              </w:rPr>
              <w:t>0</w:t>
            </w:r>
          </w:p>
        </w:tc>
        <w:tc>
          <w:tcPr>
            <w:tcW w:w="992" w:type="dxa"/>
            <w:vAlign w:val="center"/>
          </w:tcPr>
          <w:p w14:paraId="2C3A59F6" w14:textId="77777777" w:rsidR="005C61BF" w:rsidRPr="00DF5C23" w:rsidRDefault="005C61BF" w:rsidP="005C61BF">
            <w:pPr>
              <w:rPr>
                <w:noProof/>
              </w:rPr>
            </w:pPr>
            <w:r w:rsidRPr="00DF5C23">
              <w:rPr>
                <w:rFonts w:ascii="Calibri" w:hAnsi="Calibri" w:cs="Calibri"/>
                <w:noProof/>
                <w:color w:val="000000"/>
                <w:sz w:val="22"/>
                <w:szCs w:val="22"/>
              </w:rPr>
              <w:t>1,5</w:t>
            </w:r>
          </w:p>
        </w:tc>
        <w:tc>
          <w:tcPr>
            <w:tcW w:w="992" w:type="dxa"/>
            <w:vAlign w:val="center"/>
          </w:tcPr>
          <w:p w14:paraId="2C3A59F7"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3" w:type="dxa"/>
            <w:vAlign w:val="center"/>
          </w:tcPr>
          <w:p w14:paraId="2C3A59F8" w14:textId="77777777" w:rsidR="005C61BF" w:rsidRPr="00DF5C23" w:rsidRDefault="005C61BF" w:rsidP="005C61BF">
            <w:pPr>
              <w:rPr>
                <w:noProof/>
              </w:rPr>
            </w:pPr>
            <w:r w:rsidRPr="00DF5C23">
              <w:rPr>
                <w:rFonts w:ascii="Calibri" w:hAnsi="Calibri" w:cs="Calibri"/>
                <w:noProof/>
                <w:color w:val="000000"/>
                <w:sz w:val="22"/>
                <w:szCs w:val="22"/>
              </w:rPr>
              <w:t>2</w:t>
            </w:r>
          </w:p>
        </w:tc>
        <w:tc>
          <w:tcPr>
            <w:tcW w:w="992" w:type="dxa"/>
            <w:vAlign w:val="center"/>
          </w:tcPr>
          <w:p w14:paraId="2C3A59F9" w14:textId="77777777" w:rsidR="005C61BF" w:rsidRPr="00DF5C23" w:rsidRDefault="005C61BF" w:rsidP="005C61BF">
            <w:pPr>
              <w:rPr>
                <w:noProof/>
              </w:rPr>
            </w:pPr>
            <w:r w:rsidRPr="00DF5C23">
              <w:rPr>
                <w:rFonts w:ascii="Calibri" w:hAnsi="Calibri" w:cs="Calibri"/>
                <w:noProof/>
                <w:color w:val="000000"/>
                <w:sz w:val="22"/>
                <w:szCs w:val="22"/>
              </w:rPr>
              <w:t>2</w:t>
            </w:r>
          </w:p>
        </w:tc>
        <w:tc>
          <w:tcPr>
            <w:tcW w:w="957" w:type="dxa"/>
            <w:vAlign w:val="center"/>
          </w:tcPr>
          <w:p w14:paraId="2C3A59FA" w14:textId="77777777" w:rsidR="005C61BF" w:rsidRPr="00DF5C23" w:rsidRDefault="005C61BF" w:rsidP="005C61BF">
            <w:pPr>
              <w:rPr>
                <w:noProof/>
              </w:rPr>
            </w:pPr>
            <w:r w:rsidRPr="00DF5C23">
              <w:rPr>
                <w:rFonts w:ascii="Calibri" w:hAnsi="Calibri" w:cs="Calibri"/>
                <w:noProof/>
                <w:color w:val="000000"/>
                <w:sz w:val="22"/>
                <w:szCs w:val="22"/>
              </w:rPr>
              <w:t>2</w:t>
            </w:r>
          </w:p>
        </w:tc>
      </w:tr>
      <w:tr w:rsidR="005C61BF" w:rsidRPr="00DF5C23" w14:paraId="2C3A5A03" w14:textId="77777777" w:rsidTr="00EC0E40">
        <w:tc>
          <w:tcPr>
            <w:tcW w:w="2519" w:type="dxa"/>
          </w:tcPr>
          <w:p w14:paraId="2C3A59FC" w14:textId="77777777" w:rsidR="005C61BF" w:rsidRPr="00DF5C23" w:rsidRDefault="005C61BF" w:rsidP="005C61BF">
            <w:pPr>
              <w:rPr>
                <w:noProof/>
              </w:rPr>
            </w:pPr>
            <w:r w:rsidRPr="00DF5C23">
              <w:rPr>
                <w:noProof/>
              </w:rPr>
              <w:t>Circular business models hub</w:t>
            </w:r>
            <w:r w:rsidR="00E86A2C" w:rsidRPr="00DF5C23">
              <w:rPr>
                <w:noProof/>
              </w:rPr>
              <w:t xml:space="preserve"> (DG GROW)</w:t>
            </w:r>
          </w:p>
        </w:tc>
        <w:tc>
          <w:tcPr>
            <w:tcW w:w="992" w:type="dxa"/>
            <w:vAlign w:val="bottom"/>
          </w:tcPr>
          <w:p w14:paraId="2C3A59FD" w14:textId="77777777" w:rsidR="005C61BF" w:rsidRPr="00DF5C23" w:rsidRDefault="005C61BF" w:rsidP="005C61BF">
            <w:pPr>
              <w:rPr>
                <w:noProof/>
              </w:rPr>
            </w:pPr>
            <w:r w:rsidRPr="00DF5C23">
              <w:rPr>
                <w:rFonts w:ascii="Calibri" w:hAnsi="Calibri" w:cs="Calibri"/>
                <w:noProof/>
                <w:color w:val="000000"/>
                <w:sz w:val="22"/>
                <w:szCs w:val="22"/>
              </w:rPr>
              <w:t>0</w:t>
            </w:r>
          </w:p>
        </w:tc>
        <w:tc>
          <w:tcPr>
            <w:tcW w:w="992" w:type="dxa"/>
            <w:vAlign w:val="bottom"/>
          </w:tcPr>
          <w:p w14:paraId="2C3A59FE" w14:textId="77777777" w:rsidR="005C61BF" w:rsidRPr="00DF5C23" w:rsidRDefault="005C61BF" w:rsidP="005C61BF">
            <w:pPr>
              <w:rPr>
                <w:noProof/>
              </w:rPr>
            </w:pPr>
            <w:r w:rsidRPr="00DF5C23">
              <w:rPr>
                <w:rFonts w:ascii="Calibri" w:hAnsi="Calibri" w:cs="Calibri"/>
                <w:noProof/>
                <w:color w:val="000000"/>
                <w:sz w:val="22"/>
                <w:szCs w:val="22"/>
              </w:rPr>
              <w:t>0</w:t>
            </w:r>
          </w:p>
        </w:tc>
        <w:tc>
          <w:tcPr>
            <w:tcW w:w="992" w:type="dxa"/>
            <w:vAlign w:val="bottom"/>
          </w:tcPr>
          <w:p w14:paraId="2C3A59FF" w14:textId="77777777" w:rsidR="005C61BF" w:rsidRPr="00DF5C23" w:rsidRDefault="005C61BF" w:rsidP="005C61BF">
            <w:pPr>
              <w:rPr>
                <w:noProof/>
              </w:rPr>
            </w:pPr>
            <w:r w:rsidRPr="00DF5C23">
              <w:rPr>
                <w:rFonts w:ascii="Calibri" w:hAnsi="Calibri" w:cs="Calibri"/>
                <w:noProof/>
                <w:color w:val="000000"/>
                <w:sz w:val="22"/>
                <w:szCs w:val="22"/>
              </w:rPr>
              <w:t>0,5</w:t>
            </w:r>
          </w:p>
        </w:tc>
        <w:tc>
          <w:tcPr>
            <w:tcW w:w="993" w:type="dxa"/>
            <w:vAlign w:val="bottom"/>
          </w:tcPr>
          <w:p w14:paraId="2C3A5A00" w14:textId="77777777" w:rsidR="005C61BF" w:rsidRPr="00DF5C23" w:rsidRDefault="005C61BF" w:rsidP="005C61BF">
            <w:pPr>
              <w:rPr>
                <w:noProof/>
              </w:rPr>
            </w:pPr>
            <w:r w:rsidRPr="00DF5C23">
              <w:rPr>
                <w:rFonts w:ascii="Calibri" w:hAnsi="Calibri" w:cs="Calibri"/>
                <w:noProof/>
                <w:color w:val="000000"/>
                <w:sz w:val="22"/>
                <w:szCs w:val="22"/>
              </w:rPr>
              <w:t>0,5</w:t>
            </w:r>
          </w:p>
        </w:tc>
        <w:tc>
          <w:tcPr>
            <w:tcW w:w="992" w:type="dxa"/>
            <w:vAlign w:val="bottom"/>
          </w:tcPr>
          <w:p w14:paraId="2C3A5A01" w14:textId="77777777" w:rsidR="005C61BF" w:rsidRPr="00DF5C23" w:rsidRDefault="005C61BF" w:rsidP="005C61BF">
            <w:pPr>
              <w:rPr>
                <w:noProof/>
              </w:rPr>
            </w:pPr>
            <w:r w:rsidRPr="00DF5C23">
              <w:rPr>
                <w:rFonts w:ascii="Calibri" w:hAnsi="Calibri" w:cs="Calibri"/>
                <w:noProof/>
                <w:color w:val="000000"/>
                <w:sz w:val="22"/>
                <w:szCs w:val="22"/>
              </w:rPr>
              <w:t>0,5</w:t>
            </w:r>
          </w:p>
        </w:tc>
        <w:tc>
          <w:tcPr>
            <w:tcW w:w="957" w:type="dxa"/>
            <w:vAlign w:val="bottom"/>
          </w:tcPr>
          <w:p w14:paraId="2C3A5A02" w14:textId="77777777" w:rsidR="005C61BF" w:rsidRPr="00DF5C23" w:rsidRDefault="005C61BF" w:rsidP="005C61BF">
            <w:pPr>
              <w:rPr>
                <w:noProof/>
              </w:rPr>
            </w:pPr>
            <w:r w:rsidRPr="00DF5C23">
              <w:rPr>
                <w:rFonts w:ascii="Calibri" w:hAnsi="Calibri" w:cs="Calibri"/>
                <w:noProof/>
                <w:color w:val="000000"/>
                <w:sz w:val="22"/>
                <w:szCs w:val="22"/>
              </w:rPr>
              <w:t>0,5</w:t>
            </w:r>
          </w:p>
        </w:tc>
      </w:tr>
      <w:tr w:rsidR="005C61BF" w:rsidRPr="00DF5C23" w14:paraId="2C3A5A0B" w14:textId="77777777" w:rsidTr="00EC0E40">
        <w:tc>
          <w:tcPr>
            <w:tcW w:w="2519" w:type="dxa"/>
          </w:tcPr>
          <w:p w14:paraId="2C3A5A04" w14:textId="77777777" w:rsidR="005C61BF" w:rsidRPr="00DF5C23" w:rsidRDefault="005C61BF" w:rsidP="005C61BF">
            <w:pPr>
              <w:rPr>
                <w:noProof/>
              </w:rPr>
            </w:pPr>
            <w:r w:rsidRPr="00DF5C23">
              <w:rPr>
                <w:noProof/>
              </w:rPr>
              <w:t xml:space="preserve">Total </w:t>
            </w:r>
          </w:p>
        </w:tc>
        <w:tc>
          <w:tcPr>
            <w:tcW w:w="992" w:type="dxa"/>
            <w:vAlign w:val="bottom"/>
          </w:tcPr>
          <w:p w14:paraId="2C3A5A05" w14:textId="77777777" w:rsidR="005C61BF" w:rsidRPr="00DF5C23" w:rsidRDefault="005C61BF" w:rsidP="005C61BF">
            <w:pPr>
              <w:rPr>
                <w:noProof/>
              </w:rPr>
            </w:pPr>
            <w:r w:rsidRPr="00DF5C23">
              <w:rPr>
                <w:rFonts w:ascii="Calibri" w:hAnsi="Calibri" w:cs="Calibri"/>
                <w:noProof/>
                <w:color w:val="000000"/>
                <w:sz w:val="22"/>
                <w:szCs w:val="22"/>
              </w:rPr>
              <w:t>1</w:t>
            </w:r>
            <w:r w:rsidR="007A6D05" w:rsidRPr="00DF5C23">
              <w:rPr>
                <w:rFonts w:ascii="Calibri" w:hAnsi="Calibri" w:cs="Calibri"/>
                <w:noProof/>
                <w:color w:val="000000"/>
                <w:sz w:val="22"/>
                <w:szCs w:val="22"/>
              </w:rPr>
              <w:t>4</w:t>
            </w:r>
          </w:p>
        </w:tc>
        <w:tc>
          <w:tcPr>
            <w:tcW w:w="992" w:type="dxa"/>
            <w:vAlign w:val="bottom"/>
          </w:tcPr>
          <w:p w14:paraId="2C3A5A06" w14:textId="77777777" w:rsidR="005C61BF" w:rsidRPr="00DF5C23" w:rsidRDefault="005C61BF" w:rsidP="005C61BF">
            <w:pPr>
              <w:rPr>
                <w:noProof/>
              </w:rPr>
            </w:pPr>
            <w:r w:rsidRPr="00DF5C23">
              <w:rPr>
                <w:rFonts w:ascii="Calibri" w:hAnsi="Calibri" w:cs="Calibri"/>
                <w:noProof/>
                <w:color w:val="000000"/>
                <w:sz w:val="22"/>
                <w:szCs w:val="22"/>
              </w:rPr>
              <w:t>44</w:t>
            </w:r>
          </w:p>
        </w:tc>
        <w:tc>
          <w:tcPr>
            <w:tcW w:w="992" w:type="dxa"/>
            <w:vAlign w:val="bottom"/>
          </w:tcPr>
          <w:p w14:paraId="2C3A5A07" w14:textId="77777777" w:rsidR="005C61BF" w:rsidRPr="00DF5C23" w:rsidRDefault="005C61BF" w:rsidP="005C61BF">
            <w:pPr>
              <w:rPr>
                <w:noProof/>
              </w:rPr>
            </w:pPr>
            <w:r w:rsidRPr="00DF5C23">
              <w:rPr>
                <w:rFonts w:ascii="Calibri" w:hAnsi="Calibri" w:cs="Calibri"/>
                <w:noProof/>
                <w:color w:val="000000"/>
                <w:sz w:val="22"/>
                <w:szCs w:val="22"/>
              </w:rPr>
              <w:t>51</w:t>
            </w:r>
          </w:p>
        </w:tc>
        <w:tc>
          <w:tcPr>
            <w:tcW w:w="993" w:type="dxa"/>
            <w:vAlign w:val="bottom"/>
          </w:tcPr>
          <w:p w14:paraId="2C3A5A08" w14:textId="77777777" w:rsidR="005C61BF" w:rsidRPr="00DF5C23" w:rsidRDefault="005C61BF" w:rsidP="005C61BF">
            <w:pPr>
              <w:rPr>
                <w:noProof/>
              </w:rPr>
            </w:pPr>
            <w:r w:rsidRPr="00DF5C23">
              <w:rPr>
                <w:rFonts w:ascii="Calibri" w:hAnsi="Calibri" w:cs="Calibri"/>
                <w:noProof/>
                <w:color w:val="000000"/>
                <w:sz w:val="22"/>
                <w:szCs w:val="22"/>
              </w:rPr>
              <w:t>51</w:t>
            </w:r>
          </w:p>
        </w:tc>
        <w:tc>
          <w:tcPr>
            <w:tcW w:w="992" w:type="dxa"/>
            <w:vAlign w:val="bottom"/>
          </w:tcPr>
          <w:p w14:paraId="2C3A5A09" w14:textId="77777777" w:rsidR="005C61BF" w:rsidRPr="00DF5C23" w:rsidRDefault="005C61BF" w:rsidP="005C61BF">
            <w:pPr>
              <w:rPr>
                <w:noProof/>
              </w:rPr>
            </w:pPr>
            <w:r w:rsidRPr="00DF5C23">
              <w:rPr>
                <w:rFonts w:ascii="Calibri" w:hAnsi="Calibri" w:cs="Calibri"/>
                <w:noProof/>
                <w:color w:val="000000"/>
                <w:sz w:val="22"/>
                <w:szCs w:val="22"/>
              </w:rPr>
              <w:t>52</w:t>
            </w:r>
          </w:p>
        </w:tc>
        <w:tc>
          <w:tcPr>
            <w:tcW w:w="957" w:type="dxa"/>
            <w:vAlign w:val="bottom"/>
          </w:tcPr>
          <w:p w14:paraId="2C3A5A0A" w14:textId="77777777" w:rsidR="005C61BF" w:rsidRPr="00DF5C23" w:rsidRDefault="005C61BF" w:rsidP="005C61BF">
            <w:pPr>
              <w:rPr>
                <w:noProof/>
              </w:rPr>
            </w:pPr>
            <w:r w:rsidRPr="00DF5C23">
              <w:rPr>
                <w:rFonts w:ascii="Calibri" w:hAnsi="Calibri" w:cs="Calibri"/>
                <w:noProof/>
                <w:color w:val="000000"/>
                <w:sz w:val="22"/>
                <w:szCs w:val="22"/>
              </w:rPr>
              <w:t>54</w:t>
            </w:r>
          </w:p>
        </w:tc>
      </w:tr>
    </w:tbl>
    <w:p w14:paraId="2C3A5A0C" w14:textId="77777777"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 xml:space="preserve">In the Impact Assessment report, different administrative setups have been envisaged to implement the new legislative framework. </w:t>
      </w:r>
    </w:p>
    <w:p w14:paraId="2C3A5A0D" w14:textId="16044912"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An option would be to create a “sustainable product centre” within the European Commission. The difference would be that staff allocated to the sustainable product policy will function under a virtual “Sustainable Products Centre” inside the European Commission. While European Commission staff would remain under their DG of origin, they would also be part of a permanent centre/task force, with an overall coordination ensuring knowledge sharing and with responsibility for horizontal tasks. This option could also build on and fully integrate the technical know-how of JRC which already contributes to ecodesign preparatory studies and horizontal/methodological work</w:t>
      </w:r>
      <w:r w:rsidR="00CF10BE" w:rsidRPr="00DF5C23">
        <w:rPr>
          <w:rFonts w:eastAsia="Calibri"/>
          <w:noProof/>
        </w:rPr>
        <w:t xml:space="preserve"> on consumption footprint, circular economy strategies and carbon and environmental footprint</w:t>
      </w:r>
      <w:r w:rsidRPr="00DF5C23">
        <w:rPr>
          <w:rFonts w:eastAsia="Calibri"/>
          <w:noProof/>
        </w:rPr>
        <w:t xml:space="preserve">. </w:t>
      </w:r>
      <w:r w:rsidR="00013D91" w:rsidRPr="00013D91">
        <w:rPr>
          <w:rFonts w:eastAsia="Calibri"/>
          <w:noProof/>
        </w:rPr>
        <w:t>This experience and expertise can be exploited by the JRC as part of the “Sustainable Product Centre”. The JRC would contribute to the scientific-technical dimension of methodology and data coherence, piloting new types of product requirements, and product prioritisation.</w:t>
      </w:r>
      <w:r w:rsidR="00013D91">
        <w:rPr>
          <w:rFonts w:eastAsia="Calibri"/>
          <w:noProof/>
        </w:rPr>
        <w:t xml:space="preserve"> </w:t>
      </w:r>
      <w:r w:rsidRPr="00DF5C23">
        <w:rPr>
          <w:rFonts w:eastAsia="Calibri"/>
          <w:noProof/>
        </w:rPr>
        <w:t xml:space="preserve">In the context of this financial statement, this option was not considered substantially different to the current situation in terms of resources needed. </w:t>
      </w:r>
    </w:p>
    <w:p w14:paraId="2C3A5A0E" w14:textId="77777777"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The estimates of this financial statement built upon the current situation, with competences spread among 3 DGs, and mobilising additional staff and financial resources in line with the increase of product groups and additional requirements. In terms of possible outsourcing, the current situation includes already a significant use of external support for the preparation of regulatory measures (preparatory and review studies) and for the support to impact assessments. Additional external support is envisaged for the Circular Business Hub and for the support to market surveillance authorities, but this does not change the need for additional (internal) staff resources for the core implementation tasks of the legislation, which cannot be outsourced.</w:t>
      </w:r>
    </w:p>
    <w:p w14:paraId="2C3A5A0F" w14:textId="77777777"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Additional resources are also needed to support the customs system in enforcing new requirements applicable to imported products. This includes the analysis of SPI impact on TAXUD IT ecosystem, in particular Single Window; entailing business case, Business Process Modelling, coordination with MS customs authorities, preparation for design and implementation, support to conformance testing and roll-out, maintenance, running Customs Business Groups, contributing to MASP-C and to the ECCG meetings.</w:t>
      </w:r>
    </w:p>
    <w:p w14:paraId="2C3A5A10" w14:textId="77777777" w:rsidR="00397ED5" w:rsidRPr="00DF5C23" w:rsidRDefault="00397ED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When estimating the additional resources detailed in this financial statement, careful assessment was made of possible staff redeployment within each DG, beyond the reallocation of staff already working on Ecodesign implementation and on the preparation of the legislative proposal. The rare possibilities or redeployment were integrated in the estimates. As for the type of HR needed, an important part is requested as CAs, especially in the first years of the period, and 3 additional END are requested as from 2023, both to facilitate the phasing-in in permanent staff, from 26,5 FTEs in 2023 to 45 in 2027. Permanent staff is nevertheless needed to coordinate decision procedures, represent the institution and ensure contractual management. It is shared in 87% AD and 13% AST.</w:t>
      </w:r>
    </w:p>
    <w:p w14:paraId="2C3A5A11" w14:textId="77777777"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As regards administrative expenditure other than staff, the basis of calculation are the following, mirroring the doubling of the number of products covered:</w:t>
      </w:r>
    </w:p>
    <w:p w14:paraId="2C3A5A12"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the costs of missions have been estimated on the basis of current budgets (without effect of the sanitary crisis) and a doubling between 2024 and 2027, corresponding to the extension in scope and need to present and explain the new framework to stakeholders.</w:t>
      </w:r>
    </w:p>
    <w:p w14:paraId="2C3A5A13"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 xml:space="preserve">the costs for meetings of the </w:t>
      </w:r>
      <w:r w:rsidR="00DD43D3" w:rsidRPr="00DF5C23">
        <w:rPr>
          <w:noProof/>
        </w:rPr>
        <w:t xml:space="preserve">Ecodesign </w:t>
      </w:r>
      <w:r w:rsidRPr="00DF5C23">
        <w:rPr>
          <w:noProof/>
        </w:rPr>
        <w:t xml:space="preserve">Forum are based on current costs in DG ENER, with an increase in the frequency of meetings from 6 to 9 per year on average because of the increase in the number of products covered. </w:t>
      </w:r>
    </w:p>
    <w:p w14:paraId="2C3A5A14"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the costs for expert groups are based on the current costs associated with the Ecodesign committee, with the same increase of meetings frequency and the costs of committee meetings, in relation to implementing acts, were estimated on the basis of equivalent costs in DG ENV, for the period 2024 to 2026 when implementing acts should be prepared.</w:t>
      </w:r>
    </w:p>
    <w:p w14:paraId="2C3A5A15" w14:textId="77777777" w:rsidR="00BF1765" w:rsidRPr="00DF5C23" w:rsidRDefault="00BF1765" w:rsidP="00013D91">
      <w:pPr>
        <w:pBdr>
          <w:top w:val="single" w:sz="4" w:space="1" w:color="auto"/>
          <w:left w:val="single" w:sz="4" w:space="1" w:color="auto"/>
          <w:bottom w:val="single" w:sz="4" w:space="1" w:color="auto"/>
          <w:right w:val="single" w:sz="4" w:space="1" w:color="auto"/>
        </w:pBdr>
        <w:ind w:left="850"/>
        <w:rPr>
          <w:rFonts w:eastAsia="Calibri"/>
          <w:noProof/>
        </w:rPr>
      </w:pPr>
      <w:r w:rsidRPr="00DF5C23">
        <w:rPr>
          <w:rFonts w:eastAsia="Calibri"/>
          <w:noProof/>
        </w:rPr>
        <w:t>As regards operational expenditure, the following hypotheses have been retained:</w:t>
      </w:r>
    </w:p>
    <w:p w14:paraId="2C3A5A16"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for each review, a supporting study with a cost of €300 000, based on current cost under Ecodesign; for each new product, a supporting study of €400 000, expected to be more complex than current preparatory studies under Ecodesign, and an additional cost of €800 000 for the preparation of Product Environmental Footprint Category Rules when needed, which is expected for half of new products – the timing for reviews and preparatory studies follows the same hypotheses as for staff, but the corresponding budget is committed two years before the planned date of adoption.</w:t>
      </w:r>
    </w:p>
    <w:p w14:paraId="2C3A5A17"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 xml:space="preserve">Horizontal studies, for example on methodology, working plan, market surveillance, are estimated to cost around 1 M€ per year between 2022 and 2024, shared </w:t>
      </w:r>
      <w:r w:rsidR="00397ED5" w:rsidRPr="00DF5C23">
        <w:rPr>
          <w:noProof/>
        </w:rPr>
        <w:t>between DG GROW and DG ENV</w:t>
      </w:r>
      <w:r w:rsidRPr="00DF5C23">
        <w:rPr>
          <w:noProof/>
        </w:rPr>
        <w:t>;</w:t>
      </w:r>
    </w:p>
    <w:p w14:paraId="2C3A5A18" w14:textId="77777777" w:rsidR="00BF1765" w:rsidRPr="00DF5C23" w:rsidRDefault="00397ED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 xml:space="preserve">Studies specific for the preparation of the digital product passport will be needed, under DG GROW coordination: 3 support studies and IT development on data carriers, access rights and security, data management and registry: 1 M€ from 2022 to 2024; maintenance of the </w:t>
      </w:r>
      <w:r w:rsidR="00463675" w:rsidRPr="00DF5C23">
        <w:rPr>
          <w:noProof/>
        </w:rPr>
        <w:t xml:space="preserve">product passport </w:t>
      </w:r>
      <w:r w:rsidRPr="00DF5C23">
        <w:rPr>
          <w:noProof/>
        </w:rPr>
        <w:t>registry is estimated at 0,1 M€ from 2025 to 2026; preparation of the digital product passport may also require IT developments for the SCIP database of substances of very high concern but the precise evaluation of this is not achieved at the time of drafting this financial statement;</w:t>
      </w:r>
      <w:r w:rsidR="00CB3E24" w:rsidRPr="00DF5C23">
        <w:rPr>
          <w:noProof/>
        </w:rPr>
        <w:t xml:space="preserve"> IT development and procurement choices will be subject to pre-approval by the European Commission Information Technology and Cybersecurity Board.</w:t>
      </w:r>
    </w:p>
    <w:p w14:paraId="2C3A5A19" w14:textId="77777777" w:rsidR="00BF1765" w:rsidRPr="00DF5C23" w:rsidRDefault="00BF176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The administrative and technical support to the Circular Business Models Hub is estimated at 0,5 M€ from 2024 to 2027, on DG GROW budget line;</w:t>
      </w:r>
    </w:p>
    <w:p w14:paraId="2C3A5A1A" w14:textId="77777777" w:rsidR="00BF1765" w:rsidRPr="00DF5C23" w:rsidRDefault="00397ED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The support to market surveillance and customs will take the form of guidance and implementing acts (counted under horizontal studies) but also of projects, e.g. to provide training, technical support to cooperation, support joint compliance testing; a budget increasing from 3 M€ in 2024 to 9 M€ in 2027, distributed between the 3 lead DGs, should be allocated to 3 to 10 projects each year between 2024 and 2027.</w:t>
      </w:r>
    </w:p>
    <w:p w14:paraId="2C3A5A1B" w14:textId="5A973FC2" w:rsidR="00BF1765" w:rsidRPr="00DF5C23" w:rsidRDefault="00397ED5" w:rsidP="00013D91">
      <w:pPr>
        <w:pStyle w:val="Tiret1"/>
        <w:pBdr>
          <w:top w:val="single" w:sz="4" w:space="1" w:color="auto"/>
          <w:left w:val="single" w:sz="4" w:space="1" w:color="auto"/>
          <w:bottom w:val="single" w:sz="4" w:space="1" w:color="auto"/>
          <w:right w:val="single" w:sz="4" w:space="1" w:color="auto"/>
        </w:pBdr>
        <w:rPr>
          <w:noProof/>
        </w:rPr>
      </w:pPr>
      <w:r w:rsidRPr="00DF5C23">
        <w:rPr>
          <w:noProof/>
        </w:rPr>
        <w:t>The new requirements on products may also require IT developments on</w:t>
      </w:r>
      <w:r w:rsidRPr="00DF5C23">
        <w:rPr>
          <w:iCs/>
          <w:noProof/>
          <w:lang w:val="en-US"/>
        </w:rPr>
        <w:t xml:space="preserve"> the EU Customs Single Window-CERTEX activities for DG TAXUD, for which </w:t>
      </w:r>
      <w:r w:rsidRPr="00DF5C23">
        <w:rPr>
          <w:noProof/>
          <w:lang w:val="en-US"/>
        </w:rPr>
        <w:t xml:space="preserve">1,25 M€ </w:t>
      </w:r>
      <w:r w:rsidR="0031325D" w:rsidRPr="00DF5C23">
        <w:rPr>
          <w:noProof/>
          <w:lang w:val="en-US"/>
        </w:rPr>
        <w:t>in total</w:t>
      </w:r>
      <w:r w:rsidRPr="00DF5C23">
        <w:rPr>
          <w:noProof/>
          <w:lang w:val="en-US"/>
        </w:rPr>
        <w:t xml:space="preserve"> would be needed from 2023 to 2027</w:t>
      </w:r>
      <w:r w:rsidR="0031325D" w:rsidRPr="00DF5C23">
        <w:rPr>
          <w:noProof/>
          <w:lang w:val="en-US"/>
        </w:rPr>
        <w:t>,</w:t>
      </w:r>
      <w:r w:rsidRPr="00DF5C23">
        <w:rPr>
          <w:noProof/>
          <w:lang w:val="en-US"/>
        </w:rPr>
        <w:t xml:space="preserve"> and from entry into operations an annual maintenance fee of 160 k€.</w:t>
      </w:r>
      <w:r w:rsidR="00CB3E24" w:rsidRPr="00DF5C23">
        <w:rPr>
          <w:noProof/>
        </w:rPr>
        <w:t xml:space="preserve"> IT development and procurement choices will be subject to pre-approval by the European Commission Information Technology and Cybersecurity Board.</w:t>
      </w:r>
    </w:p>
    <w:p w14:paraId="7775DBAD" w14:textId="186A88EF" w:rsidR="00013D91" w:rsidRPr="000D4A46" w:rsidRDefault="00013D91" w:rsidP="000D4A46">
      <w:pPr>
        <w:pBdr>
          <w:top w:val="single" w:sz="4" w:space="1" w:color="auto"/>
          <w:left w:val="single" w:sz="4" w:space="1" w:color="auto"/>
          <w:bottom w:val="single" w:sz="4" w:space="1" w:color="auto"/>
          <w:right w:val="single" w:sz="4" w:space="1" w:color="auto"/>
        </w:pBdr>
        <w:ind w:left="850"/>
        <w:rPr>
          <w:rFonts w:eastAsia="Calibri"/>
          <w:noProof/>
        </w:rPr>
      </w:pPr>
      <w:r w:rsidRPr="000D4A46">
        <w:rPr>
          <w:rFonts w:eastAsia="Calibri"/>
          <w:noProof/>
        </w:rPr>
        <w:t>For some of these areas of action, the JRC expertise will be mobilised through service agreements, within the estimates and envelopes indicated in this financial statement.</w:t>
      </w:r>
    </w:p>
    <w:p w14:paraId="2C3A5A1C" w14:textId="77777777" w:rsidR="00BF1765" w:rsidRPr="00DF5C23" w:rsidRDefault="00BF1765" w:rsidP="00BF1765">
      <w:pPr>
        <w:ind w:left="850"/>
        <w:rPr>
          <w:rFonts w:eastAsia="Calibri"/>
          <w:noProof/>
        </w:rPr>
      </w:pPr>
    </w:p>
    <w:p w14:paraId="2C3A5A1D" w14:textId="423129B0" w:rsidR="00BF1765" w:rsidRPr="00DF5C23" w:rsidRDefault="00BF1765" w:rsidP="004F5E59">
      <w:pPr>
        <w:pStyle w:val="ManualHeading2"/>
        <w:rPr>
          <w:rFonts w:eastAsia="Times New Roman"/>
          <w:noProof/>
          <w:szCs w:val="24"/>
        </w:rPr>
      </w:pPr>
      <w:r w:rsidRPr="00DF5C23">
        <w:rPr>
          <w:rFonts w:eastAsia="Times New Roman"/>
          <w:noProof/>
        </w:rPr>
        <w:br w:type="page"/>
      </w:r>
      <w:bookmarkStart w:id="32" w:name="_Toc514938039"/>
      <w:bookmarkStart w:id="33" w:name="_Toc520485040"/>
      <w:r w:rsidR="004F5E59" w:rsidRPr="004F5E59">
        <w:t>1.6.</w:t>
      </w:r>
      <w:r w:rsidR="004F5E59" w:rsidRPr="004F5E59">
        <w:tab/>
      </w:r>
      <w:r w:rsidRPr="00DF5C23">
        <w:rPr>
          <w:noProof/>
        </w:rPr>
        <w:t>Duration and financial impact of the proposal/initiative</w:t>
      </w:r>
      <w:bookmarkEnd w:id="32"/>
      <w:bookmarkEnd w:id="33"/>
    </w:p>
    <w:p w14:paraId="2C3A5A1E" w14:textId="77777777" w:rsidR="00BF1765" w:rsidRPr="00DF5C23" w:rsidRDefault="00BF1765" w:rsidP="00BF1765">
      <w:pPr>
        <w:ind w:left="850"/>
        <w:rPr>
          <w:rFonts w:eastAsia="Calibri"/>
          <w:noProof/>
        </w:rPr>
      </w:pPr>
      <w:r w:rsidRPr="00DF5C23">
        <w:rPr>
          <w:rFonts w:eastAsia="Calibri"/>
          <w:noProof/>
        </w:rPr>
        <w:sym w:font="Wingdings" w:char="F0A8"/>
      </w:r>
      <w:r w:rsidRPr="00DF5C23">
        <w:rPr>
          <w:rFonts w:eastAsia="Calibri"/>
          <w:b/>
          <w:i/>
          <w:noProof/>
        </w:rPr>
        <w:t xml:space="preserve"> </w:t>
      </w:r>
      <w:r w:rsidRPr="00DF5C23">
        <w:rPr>
          <w:rFonts w:eastAsia="Calibri"/>
          <w:b/>
          <w:noProof/>
        </w:rPr>
        <w:t xml:space="preserve">limited duration </w:t>
      </w:r>
    </w:p>
    <w:p w14:paraId="2C3A5A1F" w14:textId="77777777" w:rsidR="00BF1765" w:rsidRPr="00DF5C23" w:rsidRDefault="00BF1765" w:rsidP="003102BB">
      <w:pPr>
        <w:pStyle w:val="Tiret1"/>
        <w:rPr>
          <w:noProof/>
          <w:lang w:eastAsia="de-DE"/>
        </w:rPr>
      </w:pPr>
      <w:r w:rsidRPr="00DF5C23">
        <w:rPr>
          <w:noProof/>
          <w:lang w:eastAsia="de-DE"/>
        </w:rPr>
        <w:t xml:space="preserve">in effect from [DD/MM]YYYY to [DD/MM]YYYY </w:t>
      </w:r>
    </w:p>
    <w:p w14:paraId="2C3A5A20" w14:textId="77777777" w:rsidR="00BF1765" w:rsidRPr="00DF5C23" w:rsidRDefault="00BF1765" w:rsidP="003102BB">
      <w:pPr>
        <w:pStyle w:val="Tiret1"/>
        <w:rPr>
          <w:noProof/>
          <w:lang w:eastAsia="de-DE"/>
        </w:rPr>
      </w:pPr>
      <w:r w:rsidRPr="00DF5C23">
        <w:rPr>
          <w:noProof/>
          <w:lang w:eastAsia="de-DE"/>
        </w:rPr>
        <w:t xml:space="preserve">Financial impact from YYYY to YYYY for commitment appropriations and from YYYY to YYYY for payment appropriations. </w:t>
      </w:r>
    </w:p>
    <w:p w14:paraId="2C3A5A21" w14:textId="77777777" w:rsidR="00BF1765" w:rsidRPr="00DF5C23" w:rsidRDefault="00BF1765" w:rsidP="00BF1765">
      <w:pPr>
        <w:ind w:left="850"/>
        <w:rPr>
          <w:rFonts w:eastAsia="Calibri"/>
          <w:noProof/>
        </w:rPr>
      </w:pPr>
      <w:r w:rsidRPr="00DF5C23">
        <w:rPr>
          <w:rFonts w:eastAsia="Calibri"/>
          <w:noProof/>
          <w:sz w:val="22"/>
        </w:rPr>
        <w:sym w:font="Wingdings" w:char="F0FE"/>
      </w:r>
      <w:r w:rsidRPr="00DF5C23">
        <w:rPr>
          <w:rFonts w:eastAsia="Calibri"/>
          <w:b/>
          <w:i/>
          <w:noProof/>
        </w:rPr>
        <w:t xml:space="preserve"> </w:t>
      </w:r>
      <w:r w:rsidRPr="00DF5C23">
        <w:rPr>
          <w:rFonts w:eastAsia="Calibri"/>
          <w:b/>
          <w:noProof/>
        </w:rPr>
        <w:t>unlimited duration</w:t>
      </w:r>
    </w:p>
    <w:p w14:paraId="2C3A5A22" w14:textId="77777777" w:rsidR="00BF1765" w:rsidRPr="00DF5C23" w:rsidRDefault="00BF1765" w:rsidP="003102BB">
      <w:pPr>
        <w:pStyle w:val="Tiret1"/>
        <w:rPr>
          <w:noProof/>
          <w:lang w:eastAsia="de-DE"/>
        </w:rPr>
      </w:pPr>
      <w:r w:rsidRPr="00DF5C23">
        <w:rPr>
          <w:noProof/>
          <w:lang w:eastAsia="de-DE"/>
        </w:rPr>
        <w:t>Implementation with a start-up period from 2022 to 2027,</w:t>
      </w:r>
    </w:p>
    <w:p w14:paraId="2C3A5A23" w14:textId="77777777" w:rsidR="00BF1765" w:rsidRPr="00DF5C23" w:rsidRDefault="00BF1765" w:rsidP="003102BB">
      <w:pPr>
        <w:pStyle w:val="Tiret1"/>
        <w:rPr>
          <w:noProof/>
          <w:lang w:eastAsia="de-DE"/>
        </w:rPr>
      </w:pPr>
      <w:r w:rsidRPr="00DF5C23">
        <w:rPr>
          <w:noProof/>
          <w:lang w:eastAsia="de-DE"/>
        </w:rPr>
        <w:t>followed by full-scale operation.</w:t>
      </w:r>
    </w:p>
    <w:p w14:paraId="2C3A5A24" w14:textId="0E007264" w:rsidR="003102BB" w:rsidRPr="00DF5C23" w:rsidRDefault="004F5E59" w:rsidP="004F5E59">
      <w:pPr>
        <w:pStyle w:val="ManualHeading2"/>
        <w:rPr>
          <w:bCs/>
          <w:noProof/>
          <w:szCs w:val="24"/>
        </w:rPr>
      </w:pPr>
      <w:bookmarkStart w:id="34" w:name="_Toc514938040"/>
      <w:bookmarkStart w:id="35" w:name="_Toc520485041"/>
      <w:r w:rsidRPr="004F5E59">
        <w:t>1.7.</w:t>
      </w:r>
      <w:r w:rsidRPr="004F5E59">
        <w:tab/>
      </w:r>
      <w:r w:rsidR="003102BB" w:rsidRPr="00DF5C23">
        <w:rPr>
          <w:noProof/>
        </w:rPr>
        <w:t>Management mode(s) planned</w:t>
      </w:r>
      <w:r w:rsidR="003102BB" w:rsidRPr="00DF5C23">
        <w:rPr>
          <w:rStyle w:val="FootnoteReference0"/>
          <w:noProof/>
        </w:rPr>
        <w:footnoteReference w:id="88"/>
      </w:r>
      <w:bookmarkEnd w:id="34"/>
      <w:bookmarkEnd w:id="35"/>
      <w:r w:rsidR="003102BB" w:rsidRPr="00DF5C23">
        <w:rPr>
          <w:rStyle w:val="FootnoteReference0"/>
          <w:noProof/>
        </w:rPr>
        <w:t xml:space="preserve"> </w:t>
      </w:r>
    </w:p>
    <w:p w14:paraId="2C3A5A25" w14:textId="77777777" w:rsidR="00BF1765" w:rsidRPr="00DF5C23" w:rsidRDefault="00BF1765" w:rsidP="00BF1765">
      <w:pPr>
        <w:ind w:left="850"/>
        <w:rPr>
          <w:rFonts w:eastAsia="Calibri"/>
          <w:noProof/>
        </w:rPr>
      </w:pPr>
      <w:r w:rsidRPr="00DF5C23">
        <w:rPr>
          <w:rFonts w:eastAsia="Calibri"/>
          <w:noProof/>
        </w:rPr>
        <w:sym w:font="Wingdings" w:char="F0FE"/>
      </w:r>
      <w:r w:rsidRPr="00DF5C23">
        <w:rPr>
          <w:rFonts w:eastAsia="Calibri"/>
          <w:i/>
          <w:noProof/>
        </w:rPr>
        <w:t xml:space="preserve"> </w:t>
      </w:r>
      <w:r w:rsidRPr="00DF5C23">
        <w:rPr>
          <w:rFonts w:eastAsia="Calibri"/>
          <w:b/>
          <w:noProof/>
        </w:rPr>
        <w:t>Direct management</w:t>
      </w:r>
      <w:r w:rsidRPr="00DF5C23">
        <w:rPr>
          <w:rFonts w:eastAsia="Calibri"/>
          <w:noProof/>
        </w:rPr>
        <w:t xml:space="preserve"> by the Commission</w:t>
      </w:r>
    </w:p>
    <w:p w14:paraId="2C3A5A26" w14:textId="77777777" w:rsidR="00BF1765" w:rsidRPr="00DF5C23" w:rsidRDefault="00BF1765" w:rsidP="00BF1765">
      <w:pPr>
        <w:tabs>
          <w:tab w:val="num" w:pos="1134"/>
        </w:tabs>
        <w:ind w:left="1134" w:hanging="283"/>
        <w:rPr>
          <w:rFonts w:eastAsia="Times New Roman" w:cs="EUAlbertina"/>
          <w:noProof/>
          <w:lang w:eastAsia="de-DE"/>
        </w:rPr>
      </w:pPr>
      <w:r w:rsidRPr="00DF5C23">
        <w:rPr>
          <w:rFonts w:eastAsia="Times New Roman"/>
          <w:noProof/>
          <w:lang w:eastAsia="de-DE"/>
        </w:rPr>
        <w:sym w:font="Wingdings" w:char="F0FE"/>
      </w:r>
      <w:r w:rsidRPr="00DF5C23">
        <w:rPr>
          <w:rFonts w:eastAsia="Times New Roman"/>
          <w:noProof/>
          <w:lang w:eastAsia="de-DE"/>
        </w:rPr>
        <w:t xml:space="preserve"> by its departments, including by its staff in the Union delegations; </w:t>
      </w:r>
    </w:p>
    <w:p w14:paraId="2C3A5A27"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ab/>
        <w:t xml:space="preserve">by the executive agencies </w:t>
      </w:r>
    </w:p>
    <w:p w14:paraId="2C3A5A28" w14:textId="77777777" w:rsidR="00BF1765" w:rsidRPr="00DF5C23" w:rsidRDefault="00BF1765" w:rsidP="00BF1765">
      <w:pPr>
        <w:ind w:left="850"/>
        <w:rPr>
          <w:rFonts w:eastAsia="Calibri"/>
          <w:noProof/>
        </w:rPr>
      </w:pPr>
      <w:r w:rsidRPr="00DF5C23">
        <w:rPr>
          <w:rFonts w:eastAsia="Calibri"/>
          <w:noProof/>
        </w:rPr>
        <w:sym w:font="Wingdings" w:char="F0A8"/>
      </w:r>
      <w:r w:rsidRPr="00DF5C23">
        <w:rPr>
          <w:rFonts w:eastAsia="Calibri"/>
          <w:b/>
          <w:i/>
          <w:noProof/>
        </w:rPr>
        <w:t xml:space="preserve"> </w:t>
      </w:r>
      <w:r w:rsidRPr="00DF5C23">
        <w:rPr>
          <w:rFonts w:eastAsia="Calibri"/>
          <w:b/>
          <w:noProof/>
        </w:rPr>
        <w:t>Shared management</w:t>
      </w:r>
      <w:r w:rsidRPr="00DF5C23">
        <w:rPr>
          <w:rFonts w:eastAsia="Calibri"/>
          <w:noProof/>
        </w:rPr>
        <w:t xml:space="preserve"> with the Member States </w:t>
      </w:r>
    </w:p>
    <w:p w14:paraId="2C3A5A29" w14:textId="77777777" w:rsidR="00BF1765" w:rsidRPr="00DF5C23" w:rsidRDefault="00BF1765" w:rsidP="00BF1765">
      <w:pPr>
        <w:ind w:left="850"/>
        <w:rPr>
          <w:rFonts w:eastAsia="Calibri"/>
          <w:noProof/>
        </w:rPr>
      </w:pPr>
      <w:r w:rsidRPr="00DF5C23">
        <w:rPr>
          <w:rFonts w:eastAsia="Calibri"/>
          <w:noProof/>
        </w:rPr>
        <w:sym w:font="Wingdings" w:char="F0A8"/>
      </w:r>
      <w:r w:rsidRPr="00DF5C23">
        <w:rPr>
          <w:rFonts w:eastAsia="Calibri"/>
          <w:i/>
          <w:noProof/>
        </w:rPr>
        <w:t xml:space="preserve"> </w:t>
      </w:r>
      <w:r w:rsidRPr="00DF5C23">
        <w:rPr>
          <w:rFonts w:eastAsia="Calibri"/>
          <w:b/>
          <w:noProof/>
        </w:rPr>
        <w:t>Indirect management</w:t>
      </w:r>
      <w:r w:rsidRPr="00DF5C23">
        <w:rPr>
          <w:rFonts w:eastAsia="Calibri"/>
          <w:noProof/>
        </w:rPr>
        <w:t xml:space="preserve"> by entrusting budget implementation tasks to:</w:t>
      </w:r>
    </w:p>
    <w:p w14:paraId="2C3A5A2A"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third countries or the bodies they have designated;</w:t>
      </w:r>
    </w:p>
    <w:p w14:paraId="2C3A5A2B"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international organisations and their agencies (to be specified);</w:t>
      </w:r>
    </w:p>
    <w:p w14:paraId="2C3A5A2C"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the EIB and the European Investment Fund;</w:t>
      </w:r>
    </w:p>
    <w:p w14:paraId="2C3A5A2D"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bodies referred to in Articles 70 and 71 of the Financial Regulation;</w:t>
      </w:r>
    </w:p>
    <w:p w14:paraId="2C3A5A2E"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public law bodies;</w:t>
      </w:r>
    </w:p>
    <w:p w14:paraId="2C3A5A2F"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bodies governed by private law with a public service mission to the extent that they are provided with adequate financial guarantees;</w:t>
      </w:r>
    </w:p>
    <w:p w14:paraId="2C3A5A30"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bodies governed by the private law of a Member State that are entrusted with the implementation of a public-private partnership and that are provided with adequate financial guarantees;</w:t>
      </w:r>
    </w:p>
    <w:p w14:paraId="2C3A5A31" w14:textId="77777777" w:rsidR="00BF1765" w:rsidRPr="00DF5C23" w:rsidRDefault="00BF1765" w:rsidP="00BF1765">
      <w:pPr>
        <w:tabs>
          <w:tab w:val="num" w:pos="1134"/>
        </w:tabs>
        <w:ind w:left="1134" w:hanging="283"/>
        <w:rPr>
          <w:rFonts w:eastAsia="Times New Roman"/>
          <w:noProof/>
          <w:lang w:eastAsia="de-DE"/>
        </w:rPr>
      </w:pPr>
      <w:r w:rsidRPr="00DF5C23">
        <w:rPr>
          <w:rFonts w:eastAsia="Times New Roman"/>
          <w:noProof/>
          <w:lang w:eastAsia="de-DE"/>
        </w:rPr>
        <w:sym w:font="Wingdings" w:char="F0A8"/>
      </w:r>
      <w:r w:rsidRPr="00DF5C23">
        <w:rPr>
          <w:rFonts w:eastAsia="Times New Roman"/>
          <w:noProof/>
          <w:lang w:eastAsia="de-DE"/>
        </w:rPr>
        <w:t xml:space="preserve"> persons entrusted with the implementation of specific actions in the CFSP pursuant to Title V of the TEU, and identified in the relevant basic act.</w:t>
      </w:r>
    </w:p>
    <w:p w14:paraId="2C3A5A32" w14:textId="77777777" w:rsidR="00BF1765" w:rsidRPr="00DF5C23" w:rsidRDefault="00BF1765" w:rsidP="00BF1765">
      <w:pPr>
        <w:tabs>
          <w:tab w:val="num" w:pos="1134"/>
        </w:tabs>
        <w:ind w:left="1134" w:hanging="283"/>
        <w:rPr>
          <w:rFonts w:eastAsia="Times New Roman"/>
          <w:i/>
          <w:noProof/>
          <w:sz w:val="18"/>
          <w:u w:val="single"/>
          <w:lang w:eastAsia="de-DE"/>
        </w:rPr>
      </w:pPr>
      <w:r w:rsidRPr="00DF5C23">
        <w:rPr>
          <w:rFonts w:eastAsia="Times New Roman"/>
          <w:i/>
          <w:noProof/>
          <w:sz w:val="18"/>
          <w:lang w:eastAsia="de-DE"/>
        </w:rPr>
        <w:t>If more than one management mode is indicated, please provide details in the ‘Comments’ section.</w:t>
      </w:r>
    </w:p>
    <w:p w14:paraId="2C3A5A33" w14:textId="77777777" w:rsidR="00BF1765" w:rsidRPr="00DF5C23" w:rsidRDefault="00BF1765" w:rsidP="00BF1765">
      <w:pPr>
        <w:rPr>
          <w:rFonts w:eastAsia="Calibri"/>
          <w:noProof/>
        </w:rPr>
      </w:pPr>
      <w:r w:rsidRPr="00DF5C23">
        <w:rPr>
          <w:rFonts w:eastAsia="Calibri"/>
          <w:noProof/>
        </w:rPr>
        <w:t xml:space="preserve">Comments </w:t>
      </w:r>
    </w:p>
    <w:p w14:paraId="2C3A5A34" w14:textId="77777777" w:rsidR="00BF1765" w:rsidRPr="00DF5C23" w:rsidRDefault="00BF1765" w:rsidP="00BF1765">
      <w:pPr>
        <w:pBdr>
          <w:top w:val="single" w:sz="4" w:space="1" w:color="auto"/>
          <w:left w:val="single" w:sz="4" w:space="4" w:color="auto"/>
          <w:bottom w:val="single" w:sz="4" w:space="1" w:color="auto"/>
          <w:right w:val="single" w:sz="4" w:space="4" w:color="auto"/>
        </w:pBdr>
        <w:rPr>
          <w:rFonts w:eastAsia="Calibri"/>
          <w:noProof/>
        </w:rPr>
      </w:pPr>
    </w:p>
    <w:p w14:paraId="2C3A5A35" w14:textId="77777777" w:rsidR="00BF1765" w:rsidRPr="00DF5C23" w:rsidRDefault="00BF1765" w:rsidP="00BF1765">
      <w:pPr>
        <w:rPr>
          <w:rFonts w:eastAsia="Calibri"/>
          <w:noProof/>
        </w:rPr>
        <w:sectPr w:rsidR="00BF1765" w:rsidRPr="00DF5C23" w:rsidSect="008B42B0">
          <w:pgSz w:w="11907" w:h="16840" w:code="9"/>
          <w:pgMar w:top="1134" w:right="1418" w:bottom="1134" w:left="1418" w:header="709" w:footer="709" w:gutter="0"/>
          <w:cols w:space="708"/>
          <w:docGrid w:linePitch="360"/>
        </w:sectPr>
      </w:pPr>
    </w:p>
    <w:p w14:paraId="2C3A5A36" w14:textId="5C74F5A4" w:rsidR="003102BB" w:rsidRPr="00DF5C23" w:rsidRDefault="004F5E59" w:rsidP="004F5E59">
      <w:pPr>
        <w:pStyle w:val="ManualHeading1"/>
        <w:rPr>
          <w:bCs/>
          <w:noProof/>
          <w:szCs w:val="24"/>
        </w:rPr>
      </w:pPr>
      <w:bookmarkStart w:id="36" w:name="_Toc514938041"/>
      <w:bookmarkStart w:id="37" w:name="_Toc520485042"/>
      <w:r w:rsidRPr="004F5E59">
        <w:t>2.</w:t>
      </w:r>
      <w:r w:rsidRPr="004F5E59">
        <w:tab/>
      </w:r>
      <w:r w:rsidR="003102BB" w:rsidRPr="00DF5C23">
        <w:rPr>
          <w:noProof/>
        </w:rPr>
        <w:t>MANAGEMENT MEASURES</w:t>
      </w:r>
      <w:bookmarkEnd w:id="36"/>
      <w:bookmarkEnd w:id="37"/>
      <w:r w:rsidR="003102BB" w:rsidRPr="00DF5C23">
        <w:rPr>
          <w:noProof/>
        </w:rPr>
        <w:t xml:space="preserve"> </w:t>
      </w:r>
    </w:p>
    <w:p w14:paraId="2C3A5A37" w14:textId="1F5A0B6C" w:rsidR="003102BB" w:rsidRPr="00DF5C23" w:rsidRDefault="004F5E59" w:rsidP="004F5E59">
      <w:pPr>
        <w:pStyle w:val="ManualHeading2"/>
        <w:rPr>
          <w:noProof/>
        </w:rPr>
      </w:pPr>
      <w:bookmarkStart w:id="38" w:name="_Toc514938042"/>
      <w:bookmarkStart w:id="39" w:name="_Toc520485043"/>
      <w:r w:rsidRPr="004F5E59">
        <w:t>2.1.</w:t>
      </w:r>
      <w:r w:rsidRPr="004F5E59">
        <w:tab/>
      </w:r>
      <w:r w:rsidR="003102BB" w:rsidRPr="00DF5C23">
        <w:rPr>
          <w:noProof/>
        </w:rPr>
        <w:t>Monitoring and reporting rules</w:t>
      </w:r>
      <w:bookmarkEnd w:id="38"/>
      <w:bookmarkEnd w:id="39"/>
      <w:r w:rsidR="003102BB" w:rsidRPr="00DF5C23">
        <w:rPr>
          <w:noProof/>
        </w:rPr>
        <w:t xml:space="preserve"> </w:t>
      </w:r>
    </w:p>
    <w:p w14:paraId="2C3A5A38" w14:textId="77777777" w:rsidR="00BF1765" w:rsidRPr="00DF5C23" w:rsidRDefault="00BF1765" w:rsidP="00BF1765">
      <w:pPr>
        <w:ind w:left="850"/>
        <w:rPr>
          <w:rFonts w:eastAsia="Calibri"/>
          <w:i/>
          <w:noProof/>
          <w:sz w:val="20"/>
        </w:rPr>
      </w:pPr>
      <w:r w:rsidRPr="00DF5C23">
        <w:rPr>
          <w:rFonts w:eastAsia="Calibri"/>
          <w:i/>
          <w:noProof/>
          <w:sz w:val="20"/>
        </w:rPr>
        <w:t>Specify frequency and conditions.</w:t>
      </w:r>
    </w:p>
    <w:p w14:paraId="2C3A5A39"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bookmarkStart w:id="40" w:name="_Toc514938045"/>
      <w:bookmarkStart w:id="41" w:name="_Toc520485044"/>
      <w:r w:rsidRPr="00DF5C23">
        <w:rPr>
          <w:rFonts w:eastAsia="Calibri"/>
          <w:noProof/>
        </w:rPr>
        <w:t>This Legislative Financial Statement includes staff expenditure, procurement and possibly administrative arrangements. Standard rules for this type of expenditure apply.</w:t>
      </w:r>
    </w:p>
    <w:bookmarkEnd w:id="40"/>
    <w:bookmarkEnd w:id="41"/>
    <w:p w14:paraId="2C3A5A3A" w14:textId="533124B5" w:rsidR="003102BB" w:rsidRPr="00DF5C23" w:rsidRDefault="004F5E59" w:rsidP="004F5E59">
      <w:pPr>
        <w:pStyle w:val="ManualHeading2"/>
        <w:rPr>
          <w:bCs/>
          <w:noProof/>
          <w:szCs w:val="24"/>
        </w:rPr>
      </w:pPr>
      <w:r w:rsidRPr="004F5E59">
        <w:t>2.2.</w:t>
      </w:r>
      <w:r w:rsidRPr="004F5E59">
        <w:tab/>
      </w:r>
      <w:r w:rsidR="003102BB" w:rsidRPr="00DF5C23">
        <w:rPr>
          <w:noProof/>
        </w:rPr>
        <w:t xml:space="preserve">Management and control system(s) </w:t>
      </w:r>
    </w:p>
    <w:p w14:paraId="2C3A5A3B" w14:textId="53969724" w:rsidR="003102BB" w:rsidRPr="00DF5C23" w:rsidRDefault="004F5E59" w:rsidP="004F5E59">
      <w:pPr>
        <w:pStyle w:val="ManualHeading3"/>
        <w:rPr>
          <w:noProof/>
        </w:rPr>
      </w:pPr>
      <w:bookmarkStart w:id="42" w:name="_Toc514938046"/>
      <w:bookmarkStart w:id="43" w:name="_Toc520485045"/>
      <w:r w:rsidRPr="004F5E59">
        <w:t>2.2.1.</w:t>
      </w:r>
      <w:r w:rsidRPr="004F5E59">
        <w:tab/>
      </w:r>
      <w:r w:rsidR="003102BB" w:rsidRPr="00DF5C23">
        <w:rPr>
          <w:noProof/>
        </w:rPr>
        <w:t>Justification of the management mode(s), the funding implementation mechanism(s), the payment modalities and the control strategy proposed</w:t>
      </w:r>
      <w:bookmarkEnd w:id="42"/>
      <w:bookmarkEnd w:id="43"/>
    </w:p>
    <w:p w14:paraId="2C3A5A3C"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 xml:space="preserve">The management mode for the initiative is direct management by the Commission. The Commission will be assisted by an Expert Group with member states representatives and stakeholders: the </w:t>
      </w:r>
      <w:r w:rsidR="00DD43D3" w:rsidRPr="00DF5C23">
        <w:rPr>
          <w:rFonts w:eastAsia="Calibri"/>
          <w:noProof/>
        </w:rPr>
        <w:t xml:space="preserve">Ecodesign </w:t>
      </w:r>
      <w:r w:rsidRPr="00DF5C23">
        <w:rPr>
          <w:rFonts w:eastAsia="Calibri"/>
          <w:noProof/>
        </w:rPr>
        <w:t>Forum. The Commission will also be assisted by a Committee.</w:t>
      </w:r>
    </w:p>
    <w:p w14:paraId="2C3A5A3D"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Overall, the initiative requires staff expenditure, procurement and possibly administrative arrangements. Standard rules for this type of expenditure apply.</w:t>
      </w:r>
    </w:p>
    <w:p w14:paraId="2C3A5A3E" w14:textId="1C5DBFDF" w:rsidR="003102BB" w:rsidRPr="00DF5C23" w:rsidRDefault="004F5E59" w:rsidP="004F5E59">
      <w:pPr>
        <w:pStyle w:val="ManualHeading3"/>
        <w:rPr>
          <w:bCs/>
          <w:noProof/>
          <w:szCs w:val="24"/>
        </w:rPr>
      </w:pPr>
      <w:bookmarkStart w:id="44" w:name="_Toc514938047"/>
      <w:bookmarkStart w:id="45" w:name="_Toc520485046"/>
      <w:r w:rsidRPr="004F5E59">
        <w:t>2.2.2.</w:t>
      </w:r>
      <w:r w:rsidRPr="004F5E59">
        <w:tab/>
      </w:r>
      <w:r w:rsidR="003102BB" w:rsidRPr="00DF5C23">
        <w:rPr>
          <w:noProof/>
        </w:rPr>
        <w:t>Information concerning the risks identified and the internal control system(s) set up to mitigate them</w:t>
      </w:r>
      <w:bookmarkEnd w:id="44"/>
      <w:bookmarkEnd w:id="45"/>
    </w:p>
    <w:p w14:paraId="2C3A5A3F"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Overall, the initiative requires staff expenditure, procurement and possibly administrative arrangements. Standard rules for this type of expenditure apply.</w:t>
      </w:r>
    </w:p>
    <w:p w14:paraId="2C3A5A40"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Most aspects of the initiative follow standard procedures for procuring technical support, involving stakeholders and the adoption of secondary legislation. The main risk, already illustrated in the past, is insufficient human resources to implement working plans. There is also the risk of court challenges to product legislation adopted.</w:t>
      </w:r>
    </w:p>
    <w:p w14:paraId="2C3A5A41"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New risks may arise due to novel aspects of the SPI framework, including the establishment and operation of the Digital Product Passport and requirements affecting, directly or indirectly, supply chains outside the EU.</w:t>
      </w:r>
    </w:p>
    <w:p w14:paraId="2C3A5A42" w14:textId="355BC33D" w:rsidR="00BF1765" w:rsidRPr="00DF5C23" w:rsidRDefault="004F5E59" w:rsidP="004F5E59">
      <w:pPr>
        <w:pStyle w:val="ManualHeading3"/>
        <w:rPr>
          <w:noProof/>
        </w:rPr>
      </w:pPr>
      <w:bookmarkStart w:id="46" w:name="_Toc514938048"/>
      <w:bookmarkStart w:id="47" w:name="_Toc520485047"/>
      <w:r w:rsidRPr="004F5E59">
        <w:t>2.2.3.</w:t>
      </w:r>
      <w:r w:rsidRPr="004F5E59">
        <w:tab/>
      </w:r>
      <w:r w:rsidR="00BF1765" w:rsidRPr="00DF5C23">
        <w:rPr>
          <w:noProof/>
        </w:rPr>
        <w:t>Estimation and justification of the cost-effectiveness of the controls (ratio of "control costs ÷ value of the related funds managed"), and assessment of the expected levels of risk of error (at payment &amp; at closure)</w:t>
      </w:r>
      <w:bookmarkEnd w:id="46"/>
      <w:bookmarkEnd w:id="47"/>
      <w:r w:rsidR="00BF1765" w:rsidRPr="00DF5C23">
        <w:rPr>
          <w:noProof/>
        </w:rPr>
        <w:t xml:space="preserve"> </w:t>
      </w:r>
    </w:p>
    <w:p w14:paraId="2C3A5A43"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Overall, the initiative requires staff expenditure, procurement and possibly administrative arrangements. Standard rules for this type of expenditure apply.</w:t>
      </w:r>
    </w:p>
    <w:p w14:paraId="2C3A5A44" w14:textId="3E509B1F" w:rsidR="003102BB" w:rsidRPr="00DF5C23" w:rsidRDefault="004F5E59" w:rsidP="004F5E59">
      <w:pPr>
        <w:pStyle w:val="ManualHeading2"/>
        <w:rPr>
          <w:bCs/>
          <w:noProof/>
          <w:szCs w:val="24"/>
        </w:rPr>
      </w:pPr>
      <w:bookmarkStart w:id="48" w:name="_Toc514938049"/>
      <w:bookmarkStart w:id="49" w:name="_Toc520485048"/>
      <w:r w:rsidRPr="004F5E59">
        <w:t>2.3.</w:t>
      </w:r>
      <w:r w:rsidRPr="004F5E59">
        <w:tab/>
      </w:r>
      <w:r w:rsidR="003102BB" w:rsidRPr="00DF5C23">
        <w:rPr>
          <w:noProof/>
        </w:rPr>
        <w:t>Measures to prevent fraud and irregularities</w:t>
      </w:r>
      <w:bookmarkEnd w:id="48"/>
      <w:bookmarkEnd w:id="49"/>
      <w:r w:rsidR="003102BB" w:rsidRPr="00DF5C23">
        <w:rPr>
          <w:noProof/>
        </w:rPr>
        <w:t xml:space="preserve"> </w:t>
      </w:r>
    </w:p>
    <w:p w14:paraId="2C3A5A45" w14:textId="77777777" w:rsidR="00BF1765" w:rsidRPr="00DF5C23" w:rsidRDefault="00BF1765" w:rsidP="00BF1765">
      <w:pPr>
        <w:ind w:left="850"/>
        <w:rPr>
          <w:rFonts w:eastAsia="Calibri"/>
          <w:i/>
          <w:noProof/>
          <w:sz w:val="20"/>
        </w:rPr>
      </w:pPr>
      <w:r w:rsidRPr="00DF5C23">
        <w:rPr>
          <w:rFonts w:eastAsia="Calibri"/>
          <w:i/>
          <w:noProof/>
          <w:sz w:val="20"/>
        </w:rPr>
        <w:t>Specify existing or envisaged prevention and protection measures, e.g. from the Anti-Fraud Strategy.</w:t>
      </w:r>
    </w:p>
    <w:p w14:paraId="2C3A5A46"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Overall, the initiative requires staff expenditure, procurement and possibly administrative arrangements. Standard rules for this type of expenditure apply.</w:t>
      </w:r>
    </w:p>
    <w:p w14:paraId="2C3A5A47"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The main fraud risk relates to deliberate circumvention of the product requirements by economic operators. Preventing this relies on strengthening market surveillance activities</w:t>
      </w:r>
      <w:r w:rsidR="006C7D92" w:rsidRPr="00DF5C23">
        <w:rPr>
          <w:rFonts w:eastAsia="Calibri"/>
          <w:noProof/>
        </w:rPr>
        <w:t xml:space="preserve"> and custom controls</w:t>
      </w:r>
      <w:r w:rsidRPr="00DF5C23">
        <w:rPr>
          <w:rFonts w:eastAsia="Calibri"/>
          <w:noProof/>
        </w:rPr>
        <w:t>.</w:t>
      </w:r>
    </w:p>
    <w:p w14:paraId="2C3A5A48" w14:textId="77777777" w:rsidR="00BF1765" w:rsidRPr="00DF5C23" w:rsidRDefault="00BF1765" w:rsidP="00BF1765">
      <w:pPr>
        <w:rPr>
          <w:rFonts w:eastAsia="Calibri"/>
          <w:noProof/>
        </w:rPr>
      </w:pPr>
    </w:p>
    <w:p w14:paraId="2C3A5A49" w14:textId="77777777" w:rsidR="00BF1765" w:rsidRPr="00DF5C23" w:rsidRDefault="00BF1765" w:rsidP="00BF1765">
      <w:pPr>
        <w:rPr>
          <w:rFonts w:eastAsia="Calibri"/>
          <w:noProof/>
        </w:rPr>
        <w:sectPr w:rsidR="00BF1765" w:rsidRPr="00DF5C23" w:rsidSect="008B42B0">
          <w:pgSz w:w="11907" w:h="16840" w:code="9"/>
          <w:pgMar w:top="1134" w:right="1418" w:bottom="1134" w:left="1418" w:header="709" w:footer="709" w:gutter="0"/>
          <w:cols w:space="708"/>
          <w:docGrid w:linePitch="360"/>
        </w:sectPr>
      </w:pPr>
    </w:p>
    <w:p w14:paraId="2C3A5A4A" w14:textId="0415404E" w:rsidR="003102BB" w:rsidRPr="00DF5C23" w:rsidRDefault="004F5E59" w:rsidP="004F5E59">
      <w:pPr>
        <w:pStyle w:val="ManualHeading1"/>
        <w:rPr>
          <w:bCs/>
          <w:noProof/>
          <w:szCs w:val="24"/>
        </w:rPr>
      </w:pPr>
      <w:bookmarkStart w:id="50" w:name="_Toc514938050"/>
      <w:bookmarkStart w:id="51" w:name="_Toc520485049"/>
      <w:r w:rsidRPr="004F5E59">
        <w:t>3.</w:t>
      </w:r>
      <w:r w:rsidRPr="004F5E59">
        <w:tab/>
      </w:r>
      <w:r w:rsidR="003102BB" w:rsidRPr="00DF5C23">
        <w:rPr>
          <w:noProof/>
        </w:rPr>
        <w:t>ESTIMATED FINANCIAL IMPACT OF THE PROPOSAL/INITIATIVE</w:t>
      </w:r>
      <w:bookmarkEnd w:id="50"/>
      <w:bookmarkEnd w:id="51"/>
      <w:r w:rsidR="003102BB" w:rsidRPr="00DF5C23">
        <w:rPr>
          <w:noProof/>
        </w:rPr>
        <w:t xml:space="preserve"> </w:t>
      </w:r>
    </w:p>
    <w:p w14:paraId="2C3A5A4B" w14:textId="1F0E5666" w:rsidR="003102BB" w:rsidRPr="00DF5C23" w:rsidRDefault="004F5E59" w:rsidP="004F5E59">
      <w:pPr>
        <w:pStyle w:val="ManualHeading2"/>
        <w:rPr>
          <w:noProof/>
        </w:rPr>
      </w:pPr>
      <w:bookmarkStart w:id="52" w:name="_Toc514938051"/>
      <w:bookmarkStart w:id="53" w:name="_Toc520485050"/>
      <w:r w:rsidRPr="004F5E59">
        <w:t>3.1.</w:t>
      </w:r>
      <w:r w:rsidRPr="004F5E59">
        <w:tab/>
      </w:r>
      <w:r w:rsidR="003102BB" w:rsidRPr="00DF5C23">
        <w:rPr>
          <w:noProof/>
        </w:rPr>
        <w:t>Heading(s) of the multiannual financial framework and expenditure budget line(s) affected</w:t>
      </w:r>
      <w:bookmarkEnd w:id="52"/>
      <w:bookmarkEnd w:id="53"/>
      <w:r w:rsidR="003102BB" w:rsidRPr="00DF5C23">
        <w:rPr>
          <w:noProof/>
        </w:rPr>
        <w:t xml:space="preserve"> </w:t>
      </w:r>
    </w:p>
    <w:p w14:paraId="2C3A5A4C" w14:textId="77777777" w:rsidR="00BF1765" w:rsidRPr="00DF5C23" w:rsidRDefault="00BF1765" w:rsidP="003102BB">
      <w:pPr>
        <w:pStyle w:val="Bullet1"/>
        <w:rPr>
          <w:noProof/>
          <w:lang w:eastAsia="de-DE"/>
        </w:rPr>
      </w:pPr>
      <w:r w:rsidRPr="00DF5C23">
        <w:rPr>
          <w:noProof/>
          <w:lang w:eastAsia="de-DE"/>
        </w:rPr>
        <w:t xml:space="preserve">Existing budget lines </w:t>
      </w:r>
    </w:p>
    <w:p w14:paraId="2C3A5A4D" w14:textId="77777777" w:rsidR="00BF1765" w:rsidRPr="00DF5C23" w:rsidRDefault="00BF1765" w:rsidP="00BF1765">
      <w:pPr>
        <w:ind w:left="850"/>
        <w:rPr>
          <w:rFonts w:eastAsia="Calibri"/>
          <w:i/>
          <w:noProof/>
        </w:rPr>
      </w:pPr>
      <w:r w:rsidRPr="00DF5C23">
        <w:rPr>
          <w:rFonts w:eastAsia="Calibri"/>
          <w:i/>
          <w:noProof/>
          <w:u w:val="single"/>
        </w:rPr>
        <w:t>In order</w:t>
      </w:r>
      <w:r w:rsidRPr="00DF5C23">
        <w:rPr>
          <w:rFonts w:eastAsia="Calibri"/>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1765" w:rsidRPr="00DF5C23" w14:paraId="2C3A5A52" w14:textId="77777777" w:rsidTr="00743354">
        <w:tc>
          <w:tcPr>
            <w:tcW w:w="1080" w:type="dxa"/>
            <w:vMerge w:val="restart"/>
            <w:vAlign w:val="center"/>
          </w:tcPr>
          <w:p w14:paraId="2C3A5A4E" w14:textId="77777777" w:rsidR="00BF1765" w:rsidRPr="00DF5C23" w:rsidRDefault="00BF1765" w:rsidP="00BF1765">
            <w:pPr>
              <w:spacing w:before="60" w:after="60"/>
              <w:jc w:val="center"/>
              <w:rPr>
                <w:rFonts w:eastAsia="Calibri"/>
                <w:noProof/>
              </w:rPr>
            </w:pPr>
            <w:r w:rsidRPr="00DF5C23">
              <w:rPr>
                <w:rFonts w:eastAsia="Calibri"/>
                <w:noProof/>
                <w:sz w:val="18"/>
              </w:rPr>
              <w:t>Heading of multiannual financial framework</w:t>
            </w:r>
          </w:p>
        </w:tc>
        <w:tc>
          <w:tcPr>
            <w:tcW w:w="3960" w:type="dxa"/>
            <w:vAlign w:val="center"/>
          </w:tcPr>
          <w:p w14:paraId="2C3A5A4F" w14:textId="77777777" w:rsidR="00BF1765" w:rsidRPr="00DF5C23" w:rsidRDefault="00BF1765" w:rsidP="00BF1765">
            <w:pPr>
              <w:spacing w:before="60" w:after="60"/>
              <w:jc w:val="center"/>
              <w:rPr>
                <w:rFonts w:eastAsia="Calibri"/>
                <w:noProof/>
              </w:rPr>
            </w:pPr>
            <w:r w:rsidRPr="00DF5C23">
              <w:rPr>
                <w:rFonts w:eastAsia="Calibri"/>
                <w:noProof/>
                <w:sz w:val="20"/>
              </w:rPr>
              <w:t>Budget line</w:t>
            </w:r>
          </w:p>
        </w:tc>
        <w:tc>
          <w:tcPr>
            <w:tcW w:w="1080" w:type="dxa"/>
            <w:vAlign w:val="center"/>
          </w:tcPr>
          <w:p w14:paraId="2C3A5A50" w14:textId="77777777" w:rsidR="00BF1765" w:rsidRPr="00DF5C23" w:rsidRDefault="00BF1765" w:rsidP="00BF1765">
            <w:pPr>
              <w:spacing w:before="60" w:after="60"/>
              <w:jc w:val="center"/>
              <w:rPr>
                <w:rFonts w:eastAsia="Calibri"/>
                <w:noProof/>
              </w:rPr>
            </w:pPr>
            <w:r w:rsidRPr="00DF5C23">
              <w:rPr>
                <w:rFonts w:eastAsia="Calibri"/>
                <w:noProof/>
                <w:sz w:val="18"/>
              </w:rPr>
              <w:t xml:space="preserve">Type of </w:t>
            </w:r>
            <w:r w:rsidRPr="00DF5C23">
              <w:rPr>
                <w:rFonts w:eastAsia="Calibri"/>
                <w:noProof/>
                <w:sz w:val="22"/>
              </w:rPr>
              <w:br/>
            </w:r>
            <w:r w:rsidRPr="00DF5C23">
              <w:rPr>
                <w:rFonts w:eastAsia="Calibri"/>
                <w:noProof/>
                <w:sz w:val="18"/>
              </w:rPr>
              <w:t>expenditure</w:t>
            </w:r>
          </w:p>
        </w:tc>
        <w:tc>
          <w:tcPr>
            <w:tcW w:w="4440" w:type="dxa"/>
            <w:gridSpan w:val="4"/>
            <w:vAlign w:val="center"/>
          </w:tcPr>
          <w:p w14:paraId="2C3A5A51" w14:textId="77777777" w:rsidR="00BF1765" w:rsidRPr="00DF5C23" w:rsidRDefault="00BF1765" w:rsidP="00BF1765">
            <w:pPr>
              <w:spacing w:before="60" w:after="60"/>
              <w:jc w:val="center"/>
              <w:rPr>
                <w:rFonts w:eastAsia="Calibri"/>
                <w:noProof/>
              </w:rPr>
            </w:pPr>
            <w:r w:rsidRPr="00DF5C23">
              <w:rPr>
                <w:rFonts w:eastAsia="Calibri"/>
                <w:noProof/>
                <w:sz w:val="20"/>
              </w:rPr>
              <w:t xml:space="preserve">Contribution </w:t>
            </w:r>
          </w:p>
        </w:tc>
      </w:tr>
      <w:tr w:rsidR="00BF1765" w:rsidRPr="00DF5C23" w14:paraId="2C3A5A5C" w14:textId="77777777" w:rsidTr="00743354">
        <w:tc>
          <w:tcPr>
            <w:tcW w:w="1080" w:type="dxa"/>
            <w:vMerge/>
            <w:vAlign w:val="center"/>
          </w:tcPr>
          <w:p w14:paraId="2C3A5A53" w14:textId="77777777" w:rsidR="00BF1765" w:rsidRPr="00DF5C23" w:rsidRDefault="00BF1765" w:rsidP="00BF1765">
            <w:pPr>
              <w:jc w:val="center"/>
              <w:rPr>
                <w:rFonts w:eastAsia="Calibri"/>
                <w:noProof/>
              </w:rPr>
            </w:pPr>
          </w:p>
        </w:tc>
        <w:tc>
          <w:tcPr>
            <w:tcW w:w="3960" w:type="dxa"/>
            <w:vAlign w:val="center"/>
          </w:tcPr>
          <w:p w14:paraId="2C3A5A54" w14:textId="77777777" w:rsidR="00BF1765" w:rsidRPr="00DF5C23" w:rsidRDefault="00BF1765" w:rsidP="00BF1765">
            <w:pPr>
              <w:rPr>
                <w:rFonts w:eastAsia="Calibri"/>
                <w:noProof/>
              </w:rPr>
            </w:pPr>
            <w:r w:rsidRPr="00DF5C23">
              <w:rPr>
                <w:rFonts w:eastAsia="Calibri"/>
                <w:noProof/>
                <w:sz w:val="20"/>
              </w:rPr>
              <w:t xml:space="preserve">Number </w:t>
            </w:r>
            <w:r w:rsidRPr="00DF5C23">
              <w:rPr>
                <w:rFonts w:eastAsia="Calibri"/>
                <w:noProof/>
                <w:sz w:val="22"/>
              </w:rPr>
              <w:br/>
            </w:r>
          </w:p>
        </w:tc>
        <w:tc>
          <w:tcPr>
            <w:tcW w:w="1080" w:type="dxa"/>
            <w:vAlign w:val="center"/>
          </w:tcPr>
          <w:p w14:paraId="2C3A5A55" w14:textId="77777777" w:rsidR="00BF1765" w:rsidRPr="00DF5C23" w:rsidRDefault="00BF1765" w:rsidP="008B78E1">
            <w:pPr>
              <w:jc w:val="center"/>
              <w:rPr>
                <w:rFonts w:eastAsia="Calibri"/>
                <w:noProof/>
              </w:rPr>
            </w:pPr>
            <w:r w:rsidRPr="00DF5C23">
              <w:rPr>
                <w:rFonts w:eastAsia="Calibri"/>
                <w:noProof/>
                <w:sz w:val="18"/>
                <w:szCs w:val="18"/>
              </w:rPr>
              <w:t>Diff./Non-diff.</w:t>
            </w:r>
            <w:r w:rsidR="008B78E1" w:rsidRPr="00DF5C23">
              <w:rPr>
                <w:rStyle w:val="FootnoteReference0"/>
                <w:rFonts w:eastAsia="Calibri"/>
                <w:noProof/>
                <w:sz w:val="18"/>
                <w:szCs w:val="18"/>
              </w:rPr>
              <w:footnoteReference w:id="89"/>
            </w:r>
            <w:r w:rsidR="008B78E1" w:rsidRPr="00DF5C23">
              <w:rPr>
                <w:rStyle w:val="CommentReference"/>
                <w:rFonts w:eastAsia="Times New Roman"/>
                <w:noProof/>
                <w:lang w:val="fr-FR" w:eastAsia="en-GB"/>
              </w:rPr>
              <w:t xml:space="preserve"> </w:t>
            </w:r>
          </w:p>
        </w:tc>
        <w:tc>
          <w:tcPr>
            <w:tcW w:w="956" w:type="dxa"/>
            <w:vAlign w:val="center"/>
          </w:tcPr>
          <w:p w14:paraId="2C3A5A56" w14:textId="77777777" w:rsidR="00BF1765" w:rsidRPr="00DF5C23" w:rsidRDefault="00BF1765" w:rsidP="00BF1765">
            <w:pPr>
              <w:jc w:val="center"/>
              <w:rPr>
                <w:rFonts w:eastAsia="Calibri"/>
                <w:noProof/>
              </w:rPr>
            </w:pPr>
            <w:r w:rsidRPr="00DF5C23">
              <w:rPr>
                <w:rFonts w:eastAsia="Calibri"/>
                <w:noProof/>
                <w:sz w:val="18"/>
                <w:szCs w:val="18"/>
              </w:rPr>
              <w:t>from EFTA countries</w:t>
            </w:r>
            <w:r w:rsidR="008B78E1" w:rsidRPr="00DF5C23">
              <w:rPr>
                <w:rStyle w:val="FootnoteReference0"/>
                <w:rFonts w:eastAsia="Calibri"/>
                <w:noProof/>
                <w:sz w:val="18"/>
                <w:szCs w:val="18"/>
              </w:rPr>
              <w:footnoteReference w:id="90"/>
            </w:r>
          </w:p>
          <w:p w14:paraId="2C3A5A57" w14:textId="77777777" w:rsidR="00BF1765" w:rsidRPr="00DF5C23" w:rsidRDefault="00BF1765" w:rsidP="00BF1765">
            <w:pPr>
              <w:spacing w:before="0" w:after="0"/>
              <w:jc w:val="center"/>
              <w:rPr>
                <w:rFonts w:eastAsia="Calibri"/>
                <w:b/>
                <w:noProof/>
                <w:sz w:val="18"/>
              </w:rPr>
            </w:pPr>
          </w:p>
        </w:tc>
        <w:tc>
          <w:tcPr>
            <w:tcW w:w="1080" w:type="dxa"/>
            <w:vAlign w:val="center"/>
          </w:tcPr>
          <w:p w14:paraId="2C3A5A58" w14:textId="77777777" w:rsidR="00BF1765" w:rsidRPr="00DF5C23" w:rsidRDefault="00BF1765" w:rsidP="00BF1765">
            <w:pPr>
              <w:jc w:val="center"/>
              <w:rPr>
                <w:rFonts w:eastAsia="Calibri"/>
                <w:noProof/>
              </w:rPr>
            </w:pPr>
            <w:r w:rsidRPr="00DF5C23">
              <w:rPr>
                <w:rFonts w:eastAsia="Calibri"/>
                <w:noProof/>
                <w:sz w:val="18"/>
                <w:szCs w:val="18"/>
              </w:rPr>
              <w:t>from candidate countries</w:t>
            </w:r>
            <w:r w:rsidR="008B78E1" w:rsidRPr="00DF5C23">
              <w:rPr>
                <w:rStyle w:val="FootnoteReference0"/>
                <w:rFonts w:eastAsia="Calibri"/>
                <w:noProof/>
                <w:sz w:val="18"/>
                <w:szCs w:val="18"/>
              </w:rPr>
              <w:footnoteReference w:id="91"/>
            </w:r>
          </w:p>
          <w:p w14:paraId="2C3A5A59" w14:textId="77777777" w:rsidR="00BF1765" w:rsidRPr="00DF5C23" w:rsidRDefault="00BF1765" w:rsidP="00BF1765">
            <w:pPr>
              <w:spacing w:before="0" w:after="0"/>
              <w:jc w:val="center"/>
              <w:rPr>
                <w:rFonts w:eastAsia="Calibri"/>
                <w:noProof/>
                <w:sz w:val="18"/>
              </w:rPr>
            </w:pPr>
          </w:p>
        </w:tc>
        <w:tc>
          <w:tcPr>
            <w:tcW w:w="956" w:type="dxa"/>
            <w:vAlign w:val="center"/>
          </w:tcPr>
          <w:p w14:paraId="2C3A5A5A" w14:textId="77777777" w:rsidR="00BF1765" w:rsidRPr="00DF5C23" w:rsidRDefault="00BF1765" w:rsidP="00BF1765">
            <w:pPr>
              <w:jc w:val="center"/>
              <w:rPr>
                <w:rFonts w:eastAsia="Calibri"/>
                <w:noProof/>
                <w:sz w:val="18"/>
              </w:rPr>
            </w:pPr>
            <w:r w:rsidRPr="00DF5C23">
              <w:rPr>
                <w:rFonts w:eastAsia="Calibri"/>
                <w:noProof/>
                <w:sz w:val="18"/>
              </w:rPr>
              <w:t>from third countries</w:t>
            </w:r>
          </w:p>
        </w:tc>
        <w:tc>
          <w:tcPr>
            <w:tcW w:w="1448" w:type="dxa"/>
            <w:vAlign w:val="center"/>
          </w:tcPr>
          <w:p w14:paraId="2C3A5A5B" w14:textId="77777777" w:rsidR="00BF1765" w:rsidRPr="00DF5C23" w:rsidRDefault="00BF1765" w:rsidP="00BF1765">
            <w:pPr>
              <w:jc w:val="center"/>
              <w:rPr>
                <w:rFonts w:eastAsia="Calibri"/>
                <w:noProof/>
              </w:rPr>
            </w:pPr>
            <w:r w:rsidRPr="00DF5C23">
              <w:rPr>
                <w:rFonts w:eastAsia="Calibri"/>
                <w:noProof/>
                <w:sz w:val="16"/>
              </w:rPr>
              <w:t xml:space="preserve">within the meaning of Article 21(2)(b) of the Financial Regulation </w:t>
            </w:r>
          </w:p>
        </w:tc>
      </w:tr>
      <w:tr w:rsidR="00BF1765" w:rsidRPr="00DF5C23" w14:paraId="2C3A5A65" w14:textId="77777777" w:rsidTr="00743354">
        <w:tc>
          <w:tcPr>
            <w:tcW w:w="1080" w:type="dxa"/>
            <w:vAlign w:val="center"/>
          </w:tcPr>
          <w:p w14:paraId="2C3A5A5D" w14:textId="77777777" w:rsidR="00BF1765" w:rsidRPr="00DF5C23" w:rsidRDefault="00BF1765" w:rsidP="00BF1765">
            <w:pPr>
              <w:jc w:val="center"/>
              <w:rPr>
                <w:rFonts w:eastAsia="Calibri"/>
                <w:noProof/>
                <w:color w:val="0000FF"/>
              </w:rPr>
            </w:pPr>
          </w:p>
        </w:tc>
        <w:tc>
          <w:tcPr>
            <w:tcW w:w="3960" w:type="dxa"/>
            <w:vAlign w:val="center"/>
          </w:tcPr>
          <w:p w14:paraId="2C3A5A5E" w14:textId="77777777" w:rsidR="00BF1765" w:rsidRPr="00DF5C23" w:rsidRDefault="00BF1765" w:rsidP="00BF1765">
            <w:pPr>
              <w:spacing w:before="60"/>
              <w:rPr>
                <w:rFonts w:eastAsia="Calibri"/>
                <w:noProof/>
              </w:rPr>
            </w:pPr>
            <w:r w:rsidRPr="00DF5C23">
              <w:rPr>
                <w:rFonts w:eastAsia="Calibri"/>
                <w:noProof/>
                <w:sz w:val="22"/>
              </w:rPr>
              <w:t>[XX.YY.YY.YY]</w:t>
            </w:r>
          </w:p>
          <w:p w14:paraId="2C3A5A5F" w14:textId="77777777" w:rsidR="00BF1765" w:rsidRPr="00DF5C23" w:rsidRDefault="00BF1765" w:rsidP="00BF1765">
            <w:pPr>
              <w:spacing w:after="60"/>
              <w:rPr>
                <w:rFonts w:eastAsia="Calibri"/>
                <w:noProof/>
              </w:rPr>
            </w:pPr>
          </w:p>
        </w:tc>
        <w:tc>
          <w:tcPr>
            <w:tcW w:w="1080" w:type="dxa"/>
            <w:vAlign w:val="center"/>
          </w:tcPr>
          <w:p w14:paraId="2C3A5A60" w14:textId="77777777" w:rsidR="00BF1765" w:rsidRPr="00DF5C23" w:rsidRDefault="00BF1765" w:rsidP="00BF1765">
            <w:pPr>
              <w:jc w:val="center"/>
              <w:rPr>
                <w:rFonts w:eastAsia="Calibri"/>
                <w:noProof/>
                <w:color w:val="0000FF"/>
              </w:rPr>
            </w:pPr>
            <w:r w:rsidRPr="00DF5C23">
              <w:rPr>
                <w:rFonts w:eastAsia="Calibri"/>
                <w:noProof/>
                <w:sz w:val="22"/>
              </w:rPr>
              <w:t>Diff./Non-diff.</w:t>
            </w:r>
          </w:p>
        </w:tc>
        <w:tc>
          <w:tcPr>
            <w:tcW w:w="956" w:type="dxa"/>
            <w:vAlign w:val="center"/>
          </w:tcPr>
          <w:p w14:paraId="2C3A5A61"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c>
          <w:tcPr>
            <w:tcW w:w="1080" w:type="dxa"/>
            <w:vAlign w:val="center"/>
          </w:tcPr>
          <w:p w14:paraId="2C3A5A62"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c>
          <w:tcPr>
            <w:tcW w:w="956" w:type="dxa"/>
            <w:vAlign w:val="center"/>
          </w:tcPr>
          <w:p w14:paraId="2C3A5A63"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c>
          <w:tcPr>
            <w:tcW w:w="1448" w:type="dxa"/>
            <w:vAlign w:val="center"/>
          </w:tcPr>
          <w:p w14:paraId="2C3A5A64"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r>
      <w:tr w:rsidR="00BF1765" w:rsidRPr="00DF5C23" w14:paraId="2C3A5A6D" w14:textId="77777777" w:rsidTr="00743354">
        <w:tc>
          <w:tcPr>
            <w:tcW w:w="1080" w:type="dxa"/>
            <w:vAlign w:val="center"/>
          </w:tcPr>
          <w:p w14:paraId="2C3A5A66" w14:textId="77777777" w:rsidR="00BF1765" w:rsidRPr="00DF5C23" w:rsidRDefault="00BF1765" w:rsidP="00BF1765">
            <w:pPr>
              <w:jc w:val="center"/>
              <w:rPr>
                <w:rFonts w:eastAsia="Calibri"/>
                <w:noProof/>
                <w:color w:val="0000FF"/>
              </w:rPr>
            </w:pPr>
            <w:r w:rsidRPr="00DF5C23">
              <w:rPr>
                <w:rFonts w:eastAsia="Calibri"/>
                <w:noProof/>
                <w:color w:val="0000FF"/>
              </w:rPr>
              <w:t>1</w:t>
            </w:r>
          </w:p>
        </w:tc>
        <w:tc>
          <w:tcPr>
            <w:tcW w:w="3960" w:type="dxa"/>
            <w:vAlign w:val="center"/>
          </w:tcPr>
          <w:p w14:paraId="2C3A5A67" w14:textId="77777777" w:rsidR="00BF1765" w:rsidRPr="00DF5C23" w:rsidRDefault="00BF1765" w:rsidP="00BF1765">
            <w:pPr>
              <w:spacing w:before="60"/>
              <w:rPr>
                <w:rFonts w:eastAsia="Calibri"/>
                <w:noProof/>
                <w:sz w:val="22"/>
              </w:rPr>
            </w:pPr>
            <w:r w:rsidRPr="00DF5C23">
              <w:rPr>
                <w:rFonts w:eastAsia="Calibri"/>
                <w:noProof/>
                <w:sz w:val="22"/>
              </w:rPr>
              <w:t>03.02.01.01 - Operation and development of the internal market of goods and services</w:t>
            </w:r>
          </w:p>
        </w:tc>
        <w:tc>
          <w:tcPr>
            <w:tcW w:w="1080" w:type="dxa"/>
            <w:vAlign w:val="center"/>
          </w:tcPr>
          <w:p w14:paraId="2C3A5A68" w14:textId="77777777" w:rsidR="00BF1765" w:rsidRPr="00DF5C23" w:rsidRDefault="00BF1765" w:rsidP="00BF1765">
            <w:pPr>
              <w:jc w:val="center"/>
              <w:rPr>
                <w:rFonts w:eastAsia="Calibri"/>
                <w:noProof/>
                <w:sz w:val="22"/>
              </w:rPr>
            </w:pPr>
            <w:r w:rsidRPr="00DF5C23">
              <w:rPr>
                <w:rFonts w:eastAsia="Calibri"/>
                <w:noProof/>
                <w:sz w:val="22"/>
              </w:rPr>
              <w:t>Diff.</w:t>
            </w:r>
          </w:p>
        </w:tc>
        <w:tc>
          <w:tcPr>
            <w:tcW w:w="956" w:type="dxa"/>
            <w:vAlign w:val="center"/>
          </w:tcPr>
          <w:p w14:paraId="2C3A5A69"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1080" w:type="dxa"/>
            <w:vAlign w:val="center"/>
          </w:tcPr>
          <w:p w14:paraId="2C3A5A6A" w14:textId="77777777" w:rsidR="00BF1765" w:rsidRPr="00DF5C23" w:rsidRDefault="00BF1765" w:rsidP="00F16935">
            <w:pPr>
              <w:jc w:val="center"/>
              <w:rPr>
                <w:rFonts w:eastAsia="Calibri"/>
                <w:noProof/>
                <w:sz w:val="20"/>
                <w:szCs w:val="20"/>
              </w:rPr>
            </w:pPr>
            <w:r w:rsidRPr="00DF5C23">
              <w:rPr>
                <w:rFonts w:eastAsia="Calibri"/>
                <w:noProof/>
                <w:sz w:val="20"/>
                <w:szCs w:val="20"/>
              </w:rPr>
              <w:t>NO</w:t>
            </w:r>
            <w:r w:rsidR="00F16935" w:rsidRPr="00DF5C23">
              <w:rPr>
                <w:rStyle w:val="FootnoteReference0"/>
                <w:rFonts w:eastAsia="Calibri"/>
                <w:noProof/>
                <w:sz w:val="20"/>
                <w:szCs w:val="20"/>
              </w:rPr>
              <w:footnoteReference w:id="92"/>
            </w:r>
          </w:p>
        </w:tc>
        <w:tc>
          <w:tcPr>
            <w:tcW w:w="956" w:type="dxa"/>
            <w:vAlign w:val="center"/>
          </w:tcPr>
          <w:p w14:paraId="2C3A5A6B" w14:textId="77777777" w:rsidR="00BF1765" w:rsidRPr="00DF5C23" w:rsidRDefault="00BF1765" w:rsidP="00BF1765">
            <w:pPr>
              <w:jc w:val="center"/>
              <w:rPr>
                <w:rFonts w:eastAsia="Calibri"/>
                <w:noProof/>
                <w:sz w:val="20"/>
                <w:szCs w:val="20"/>
              </w:rPr>
            </w:pPr>
            <w:r w:rsidRPr="00DF5C23">
              <w:rPr>
                <w:rFonts w:eastAsia="Calibri"/>
                <w:noProof/>
                <w:sz w:val="20"/>
                <w:szCs w:val="20"/>
              </w:rPr>
              <w:t>NO</w:t>
            </w:r>
            <w:r w:rsidRPr="00DF5C23">
              <w:rPr>
                <w:rFonts w:eastAsia="Calibri"/>
                <w:noProof/>
                <w:sz w:val="20"/>
                <w:szCs w:val="20"/>
                <w:vertAlign w:val="superscript"/>
              </w:rPr>
              <w:t>6</w:t>
            </w:r>
          </w:p>
        </w:tc>
        <w:tc>
          <w:tcPr>
            <w:tcW w:w="1448" w:type="dxa"/>
            <w:vAlign w:val="center"/>
          </w:tcPr>
          <w:p w14:paraId="2C3A5A6C" w14:textId="77777777" w:rsidR="00BF1765" w:rsidRPr="00DF5C23" w:rsidRDefault="00BF1765" w:rsidP="00BF1765">
            <w:pPr>
              <w:jc w:val="center"/>
              <w:rPr>
                <w:rFonts w:eastAsia="Calibri"/>
                <w:noProof/>
                <w:sz w:val="20"/>
                <w:szCs w:val="20"/>
              </w:rPr>
            </w:pPr>
            <w:r w:rsidRPr="00DF5C23">
              <w:rPr>
                <w:rFonts w:eastAsia="Calibri"/>
                <w:noProof/>
                <w:sz w:val="20"/>
                <w:szCs w:val="20"/>
              </w:rPr>
              <w:t>NO</w:t>
            </w:r>
          </w:p>
        </w:tc>
      </w:tr>
      <w:tr w:rsidR="00BF1765" w:rsidRPr="00DF5C23" w14:paraId="2C3A5A75" w14:textId="77777777" w:rsidTr="00743354">
        <w:tc>
          <w:tcPr>
            <w:tcW w:w="1080" w:type="dxa"/>
            <w:vAlign w:val="center"/>
          </w:tcPr>
          <w:p w14:paraId="2C3A5A6E" w14:textId="77777777" w:rsidR="00BF1765" w:rsidRPr="00DF5C23" w:rsidRDefault="00BF1765" w:rsidP="00BF1765">
            <w:pPr>
              <w:jc w:val="center"/>
              <w:rPr>
                <w:rFonts w:eastAsia="Calibri"/>
                <w:noProof/>
                <w:color w:val="0000FF"/>
              </w:rPr>
            </w:pPr>
            <w:r w:rsidRPr="00DF5C23">
              <w:rPr>
                <w:rFonts w:eastAsia="Calibri"/>
                <w:noProof/>
                <w:color w:val="0000FF"/>
              </w:rPr>
              <w:t>3</w:t>
            </w:r>
          </w:p>
        </w:tc>
        <w:tc>
          <w:tcPr>
            <w:tcW w:w="3960" w:type="dxa"/>
            <w:vAlign w:val="center"/>
          </w:tcPr>
          <w:p w14:paraId="2C3A5A6F" w14:textId="77777777" w:rsidR="00BF1765" w:rsidRPr="00DF5C23" w:rsidRDefault="00BF1765" w:rsidP="00BF1765">
            <w:pPr>
              <w:spacing w:before="60"/>
              <w:rPr>
                <w:rFonts w:eastAsia="Calibri"/>
                <w:noProof/>
                <w:sz w:val="22"/>
              </w:rPr>
            </w:pPr>
            <w:r w:rsidRPr="00DF5C23">
              <w:rPr>
                <w:rFonts w:eastAsia="Calibri"/>
                <w:noProof/>
                <w:sz w:val="22"/>
              </w:rPr>
              <w:t>09.02.02 LIFE Circular economy and quality of life</w:t>
            </w:r>
          </w:p>
        </w:tc>
        <w:tc>
          <w:tcPr>
            <w:tcW w:w="1080" w:type="dxa"/>
            <w:vAlign w:val="center"/>
          </w:tcPr>
          <w:p w14:paraId="2C3A5A70" w14:textId="77777777" w:rsidR="00BF1765" w:rsidRPr="00DF5C23" w:rsidRDefault="00BF1765" w:rsidP="00BF1765">
            <w:pPr>
              <w:jc w:val="center"/>
              <w:rPr>
                <w:rFonts w:eastAsia="Calibri"/>
                <w:noProof/>
                <w:sz w:val="22"/>
              </w:rPr>
            </w:pPr>
            <w:r w:rsidRPr="00DF5C23">
              <w:rPr>
                <w:rFonts w:eastAsia="Calibri"/>
                <w:noProof/>
                <w:sz w:val="22"/>
              </w:rPr>
              <w:t>Diff.</w:t>
            </w:r>
          </w:p>
        </w:tc>
        <w:tc>
          <w:tcPr>
            <w:tcW w:w="956" w:type="dxa"/>
            <w:vAlign w:val="center"/>
          </w:tcPr>
          <w:p w14:paraId="2C3A5A71"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1080" w:type="dxa"/>
            <w:vAlign w:val="center"/>
          </w:tcPr>
          <w:p w14:paraId="2C3A5A72"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956" w:type="dxa"/>
            <w:vAlign w:val="center"/>
          </w:tcPr>
          <w:p w14:paraId="2C3A5A73"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1448" w:type="dxa"/>
            <w:vAlign w:val="center"/>
          </w:tcPr>
          <w:p w14:paraId="2C3A5A74" w14:textId="77777777" w:rsidR="00BF1765" w:rsidRPr="00DF5C23" w:rsidRDefault="00BF1765" w:rsidP="00BF1765">
            <w:pPr>
              <w:jc w:val="center"/>
              <w:rPr>
                <w:rFonts w:eastAsia="Calibri"/>
                <w:noProof/>
                <w:sz w:val="20"/>
                <w:szCs w:val="20"/>
              </w:rPr>
            </w:pPr>
            <w:r w:rsidRPr="00DF5C23">
              <w:rPr>
                <w:rFonts w:eastAsia="Calibri"/>
                <w:noProof/>
                <w:sz w:val="20"/>
                <w:szCs w:val="20"/>
              </w:rPr>
              <w:t>NO</w:t>
            </w:r>
          </w:p>
        </w:tc>
      </w:tr>
      <w:tr w:rsidR="00BF1765" w:rsidRPr="00DF5C23" w14:paraId="2C3A5A7D" w14:textId="77777777" w:rsidTr="00743354">
        <w:tc>
          <w:tcPr>
            <w:tcW w:w="1080" w:type="dxa"/>
            <w:vAlign w:val="center"/>
          </w:tcPr>
          <w:p w14:paraId="2C3A5A76" w14:textId="77777777" w:rsidR="00BF1765" w:rsidRPr="00DF5C23" w:rsidRDefault="00BF1765" w:rsidP="00BF1765">
            <w:pPr>
              <w:jc w:val="center"/>
              <w:rPr>
                <w:rFonts w:eastAsia="Calibri"/>
                <w:noProof/>
                <w:color w:val="0000FF"/>
              </w:rPr>
            </w:pPr>
            <w:r w:rsidRPr="00DF5C23">
              <w:rPr>
                <w:rFonts w:eastAsia="Calibri"/>
                <w:noProof/>
                <w:color w:val="0000FF"/>
              </w:rPr>
              <w:t>3</w:t>
            </w:r>
          </w:p>
        </w:tc>
        <w:tc>
          <w:tcPr>
            <w:tcW w:w="3960" w:type="dxa"/>
            <w:vAlign w:val="center"/>
          </w:tcPr>
          <w:p w14:paraId="2C3A5A77" w14:textId="77777777" w:rsidR="00BF1765" w:rsidRPr="00DF5C23" w:rsidRDefault="00BF1765" w:rsidP="00BF1765">
            <w:pPr>
              <w:spacing w:before="60"/>
              <w:rPr>
                <w:rFonts w:eastAsia="Calibri"/>
                <w:noProof/>
                <w:sz w:val="22"/>
              </w:rPr>
            </w:pPr>
            <w:r w:rsidRPr="00DF5C23">
              <w:rPr>
                <w:rFonts w:eastAsia="Calibri"/>
                <w:noProof/>
                <w:sz w:val="22"/>
              </w:rPr>
              <w:t xml:space="preserve">09.02.04 LIFE Clean energy transition </w:t>
            </w:r>
          </w:p>
        </w:tc>
        <w:tc>
          <w:tcPr>
            <w:tcW w:w="1080" w:type="dxa"/>
            <w:vAlign w:val="center"/>
          </w:tcPr>
          <w:p w14:paraId="2C3A5A78" w14:textId="77777777" w:rsidR="00BF1765" w:rsidRPr="00DF5C23" w:rsidRDefault="00BF1765" w:rsidP="00BF1765">
            <w:pPr>
              <w:jc w:val="center"/>
              <w:rPr>
                <w:rFonts w:eastAsia="Calibri"/>
                <w:noProof/>
                <w:sz w:val="22"/>
              </w:rPr>
            </w:pPr>
            <w:r w:rsidRPr="00DF5C23">
              <w:rPr>
                <w:rFonts w:eastAsia="Calibri"/>
                <w:noProof/>
                <w:sz w:val="22"/>
              </w:rPr>
              <w:t>Diff.</w:t>
            </w:r>
          </w:p>
        </w:tc>
        <w:tc>
          <w:tcPr>
            <w:tcW w:w="956" w:type="dxa"/>
            <w:vAlign w:val="center"/>
          </w:tcPr>
          <w:p w14:paraId="2C3A5A79"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1080" w:type="dxa"/>
            <w:vAlign w:val="center"/>
          </w:tcPr>
          <w:p w14:paraId="2C3A5A7A"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956" w:type="dxa"/>
            <w:vAlign w:val="center"/>
          </w:tcPr>
          <w:p w14:paraId="2C3A5A7B" w14:textId="77777777" w:rsidR="00BF1765" w:rsidRPr="00DF5C23" w:rsidRDefault="00BF1765" w:rsidP="00BF1765">
            <w:pPr>
              <w:jc w:val="center"/>
              <w:rPr>
                <w:rFonts w:eastAsia="Calibri"/>
                <w:noProof/>
                <w:sz w:val="20"/>
                <w:szCs w:val="20"/>
              </w:rPr>
            </w:pPr>
            <w:r w:rsidRPr="00DF5C23">
              <w:rPr>
                <w:rFonts w:eastAsia="Calibri"/>
                <w:noProof/>
                <w:sz w:val="20"/>
                <w:szCs w:val="20"/>
              </w:rPr>
              <w:t>YES</w:t>
            </w:r>
          </w:p>
        </w:tc>
        <w:tc>
          <w:tcPr>
            <w:tcW w:w="1448" w:type="dxa"/>
            <w:vAlign w:val="center"/>
          </w:tcPr>
          <w:p w14:paraId="2C3A5A7C" w14:textId="77777777" w:rsidR="00BF1765" w:rsidRPr="00DF5C23" w:rsidRDefault="00BF1765" w:rsidP="00BF1765">
            <w:pPr>
              <w:jc w:val="center"/>
              <w:rPr>
                <w:rFonts w:eastAsia="Calibri"/>
                <w:noProof/>
                <w:sz w:val="20"/>
                <w:szCs w:val="20"/>
              </w:rPr>
            </w:pPr>
            <w:r w:rsidRPr="00DF5C23">
              <w:rPr>
                <w:rFonts w:eastAsia="Calibri"/>
                <w:noProof/>
                <w:sz w:val="20"/>
                <w:szCs w:val="20"/>
              </w:rPr>
              <w:t>NO</w:t>
            </w:r>
          </w:p>
        </w:tc>
      </w:tr>
    </w:tbl>
    <w:p w14:paraId="2C3A5A7E" w14:textId="77777777" w:rsidR="00BF1765" w:rsidRPr="00DF5C23" w:rsidRDefault="00BF1765" w:rsidP="003102BB">
      <w:pPr>
        <w:pStyle w:val="Bullet1"/>
        <w:rPr>
          <w:noProof/>
          <w:lang w:eastAsia="de-DE"/>
        </w:rPr>
      </w:pPr>
      <w:r w:rsidRPr="00DF5C23">
        <w:rPr>
          <w:noProof/>
          <w:lang w:eastAsia="de-DE"/>
        </w:rPr>
        <w:t xml:space="preserve">New budget lines requested </w:t>
      </w:r>
    </w:p>
    <w:p w14:paraId="2C3A5A7F" w14:textId="77777777" w:rsidR="00BF1765" w:rsidRPr="00DF5C23" w:rsidRDefault="00BF1765" w:rsidP="00BF1765">
      <w:pPr>
        <w:ind w:left="850"/>
        <w:rPr>
          <w:rFonts w:eastAsia="Calibri"/>
          <w:i/>
          <w:noProof/>
          <w:sz w:val="20"/>
        </w:rPr>
      </w:pPr>
      <w:r w:rsidRPr="00DF5C23">
        <w:rPr>
          <w:rFonts w:eastAsia="Calibri"/>
          <w:i/>
          <w:noProof/>
          <w:u w:val="single"/>
        </w:rPr>
        <w:t>In order</w:t>
      </w:r>
      <w:r w:rsidRPr="00DF5C23">
        <w:rPr>
          <w:rFonts w:eastAsia="Calibri"/>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1765" w:rsidRPr="00DF5C23" w14:paraId="2C3A5A84" w14:textId="77777777" w:rsidTr="00743354">
        <w:tc>
          <w:tcPr>
            <w:tcW w:w="1080" w:type="dxa"/>
            <w:vMerge w:val="restart"/>
            <w:vAlign w:val="center"/>
          </w:tcPr>
          <w:p w14:paraId="2C3A5A80" w14:textId="77777777" w:rsidR="00BF1765" w:rsidRPr="00DF5C23" w:rsidRDefault="00BF1765" w:rsidP="00BF1765">
            <w:pPr>
              <w:spacing w:before="60" w:after="60"/>
              <w:jc w:val="center"/>
              <w:rPr>
                <w:rFonts w:eastAsia="Calibri"/>
                <w:noProof/>
                <w:sz w:val="18"/>
                <w:szCs w:val="18"/>
              </w:rPr>
            </w:pPr>
            <w:r w:rsidRPr="00DF5C23">
              <w:rPr>
                <w:rFonts w:eastAsia="Calibri"/>
                <w:noProof/>
                <w:sz w:val="18"/>
              </w:rPr>
              <w:t>Heading of multiannual financial framework</w:t>
            </w:r>
          </w:p>
        </w:tc>
        <w:tc>
          <w:tcPr>
            <w:tcW w:w="3960" w:type="dxa"/>
            <w:vAlign w:val="center"/>
          </w:tcPr>
          <w:p w14:paraId="2C3A5A81" w14:textId="77777777" w:rsidR="00BF1765" w:rsidRPr="00DF5C23" w:rsidRDefault="00BF1765" w:rsidP="00BF1765">
            <w:pPr>
              <w:spacing w:before="60" w:after="60"/>
              <w:jc w:val="center"/>
              <w:rPr>
                <w:rFonts w:eastAsia="Calibri"/>
                <w:noProof/>
              </w:rPr>
            </w:pPr>
            <w:r w:rsidRPr="00DF5C23">
              <w:rPr>
                <w:rFonts w:eastAsia="Calibri"/>
                <w:noProof/>
                <w:sz w:val="20"/>
              </w:rPr>
              <w:t>Budget line</w:t>
            </w:r>
          </w:p>
        </w:tc>
        <w:tc>
          <w:tcPr>
            <w:tcW w:w="1080" w:type="dxa"/>
            <w:vAlign w:val="center"/>
          </w:tcPr>
          <w:p w14:paraId="2C3A5A82" w14:textId="77777777" w:rsidR="00BF1765" w:rsidRPr="00DF5C23" w:rsidRDefault="00BF1765" w:rsidP="00BF1765">
            <w:pPr>
              <w:spacing w:before="60" w:after="60"/>
              <w:jc w:val="center"/>
              <w:rPr>
                <w:rFonts w:eastAsia="Calibri"/>
                <w:noProof/>
              </w:rPr>
            </w:pPr>
            <w:r w:rsidRPr="00DF5C23">
              <w:rPr>
                <w:rFonts w:eastAsia="Calibri"/>
                <w:noProof/>
                <w:sz w:val="18"/>
              </w:rPr>
              <w:t>Type of</w:t>
            </w:r>
            <w:r w:rsidRPr="00DF5C23">
              <w:rPr>
                <w:rFonts w:eastAsia="Calibri"/>
                <w:noProof/>
                <w:sz w:val="22"/>
              </w:rPr>
              <w:br/>
            </w:r>
            <w:r w:rsidRPr="00DF5C23">
              <w:rPr>
                <w:rFonts w:eastAsia="Calibri"/>
                <w:noProof/>
                <w:sz w:val="18"/>
              </w:rPr>
              <w:t>expenditure</w:t>
            </w:r>
          </w:p>
        </w:tc>
        <w:tc>
          <w:tcPr>
            <w:tcW w:w="4440" w:type="dxa"/>
            <w:gridSpan w:val="4"/>
            <w:vAlign w:val="center"/>
          </w:tcPr>
          <w:p w14:paraId="2C3A5A83" w14:textId="77777777" w:rsidR="00BF1765" w:rsidRPr="00DF5C23" w:rsidRDefault="00BF1765" w:rsidP="00BF1765">
            <w:pPr>
              <w:spacing w:before="60" w:after="60"/>
              <w:jc w:val="center"/>
              <w:rPr>
                <w:rFonts w:eastAsia="Calibri"/>
                <w:noProof/>
              </w:rPr>
            </w:pPr>
            <w:r w:rsidRPr="00DF5C23">
              <w:rPr>
                <w:rFonts w:eastAsia="Calibri"/>
                <w:noProof/>
                <w:sz w:val="20"/>
              </w:rPr>
              <w:t xml:space="preserve">Contribution </w:t>
            </w:r>
          </w:p>
        </w:tc>
      </w:tr>
      <w:tr w:rsidR="00BF1765" w:rsidRPr="00DF5C23" w14:paraId="2C3A5A8C" w14:textId="77777777" w:rsidTr="00743354">
        <w:tc>
          <w:tcPr>
            <w:tcW w:w="1080" w:type="dxa"/>
            <w:vMerge/>
            <w:vAlign w:val="center"/>
          </w:tcPr>
          <w:p w14:paraId="2C3A5A85" w14:textId="77777777" w:rsidR="00BF1765" w:rsidRPr="00DF5C23" w:rsidRDefault="00BF1765" w:rsidP="00BF1765">
            <w:pPr>
              <w:jc w:val="center"/>
              <w:rPr>
                <w:rFonts w:eastAsia="Calibri"/>
                <w:noProof/>
              </w:rPr>
            </w:pPr>
          </w:p>
        </w:tc>
        <w:tc>
          <w:tcPr>
            <w:tcW w:w="3960" w:type="dxa"/>
            <w:vAlign w:val="center"/>
          </w:tcPr>
          <w:p w14:paraId="2C3A5A86" w14:textId="77777777" w:rsidR="00BF1765" w:rsidRPr="00DF5C23" w:rsidRDefault="00BF1765" w:rsidP="00BF1765">
            <w:pPr>
              <w:rPr>
                <w:rFonts w:eastAsia="Calibri"/>
                <w:noProof/>
              </w:rPr>
            </w:pPr>
            <w:r w:rsidRPr="00DF5C23">
              <w:rPr>
                <w:rFonts w:eastAsia="Calibri"/>
                <w:noProof/>
                <w:sz w:val="20"/>
              </w:rPr>
              <w:t xml:space="preserve">Number </w:t>
            </w:r>
            <w:r w:rsidRPr="00DF5C23">
              <w:rPr>
                <w:rFonts w:eastAsia="Calibri"/>
                <w:noProof/>
                <w:sz w:val="22"/>
              </w:rPr>
              <w:br/>
            </w:r>
          </w:p>
        </w:tc>
        <w:tc>
          <w:tcPr>
            <w:tcW w:w="1080" w:type="dxa"/>
            <w:vAlign w:val="center"/>
          </w:tcPr>
          <w:p w14:paraId="2C3A5A87" w14:textId="77777777" w:rsidR="00BF1765" w:rsidRPr="00DF5C23" w:rsidRDefault="00BF1765" w:rsidP="00BF1765">
            <w:pPr>
              <w:jc w:val="center"/>
              <w:rPr>
                <w:rFonts w:eastAsia="Calibri"/>
                <w:noProof/>
              </w:rPr>
            </w:pPr>
            <w:r w:rsidRPr="00DF5C23">
              <w:rPr>
                <w:rFonts w:eastAsia="Calibri"/>
                <w:noProof/>
                <w:sz w:val="18"/>
              </w:rPr>
              <w:t>Diff./Non-diff.</w:t>
            </w:r>
          </w:p>
        </w:tc>
        <w:tc>
          <w:tcPr>
            <w:tcW w:w="956" w:type="dxa"/>
            <w:vAlign w:val="center"/>
          </w:tcPr>
          <w:p w14:paraId="2C3A5A88" w14:textId="77777777" w:rsidR="00BF1765" w:rsidRPr="00DF5C23" w:rsidRDefault="00BF1765" w:rsidP="00BF1765">
            <w:pPr>
              <w:jc w:val="center"/>
              <w:rPr>
                <w:rFonts w:eastAsia="Calibri"/>
                <w:noProof/>
                <w:sz w:val="18"/>
              </w:rPr>
            </w:pPr>
            <w:r w:rsidRPr="00DF5C23">
              <w:rPr>
                <w:rFonts w:eastAsia="Calibri"/>
                <w:noProof/>
                <w:sz w:val="18"/>
              </w:rPr>
              <w:t>from EFTA countries</w:t>
            </w:r>
          </w:p>
        </w:tc>
        <w:tc>
          <w:tcPr>
            <w:tcW w:w="1080" w:type="dxa"/>
            <w:vAlign w:val="center"/>
          </w:tcPr>
          <w:p w14:paraId="2C3A5A89" w14:textId="77777777" w:rsidR="00BF1765" w:rsidRPr="00DF5C23" w:rsidRDefault="00BF1765" w:rsidP="00BF1765">
            <w:pPr>
              <w:jc w:val="center"/>
              <w:rPr>
                <w:rFonts w:eastAsia="Calibri"/>
                <w:noProof/>
                <w:sz w:val="18"/>
              </w:rPr>
            </w:pPr>
            <w:r w:rsidRPr="00DF5C23">
              <w:rPr>
                <w:rFonts w:eastAsia="Calibri"/>
                <w:noProof/>
                <w:sz w:val="18"/>
              </w:rPr>
              <w:t>from candidate countries</w:t>
            </w:r>
          </w:p>
        </w:tc>
        <w:tc>
          <w:tcPr>
            <w:tcW w:w="956" w:type="dxa"/>
            <w:vAlign w:val="center"/>
          </w:tcPr>
          <w:p w14:paraId="2C3A5A8A" w14:textId="77777777" w:rsidR="00BF1765" w:rsidRPr="00DF5C23" w:rsidRDefault="00BF1765" w:rsidP="00BF1765">
            <w:pPr>
              <w:jc w:val="center"/>
              <w:rPr>
                <w:rFonts w:eastAsia="Calibri"/>
                <w:noProof/>
                <w:sz w:val="18"/>
              </w:rPr>
            </w:pPr>
            <w:r w:rsidRPr="00DF5C23">
              <w:rPr>
                <w:rFonts w:eastAsia="Calibri"/>
                <w:noProof/>
                <w:sz w:val="18"/>
              </w:rPr>
              <w:t>from third countries</w:t>
            </w:r>
          </w:p>
        </w:tc>
        <w:tc>
          <w:tcPr>
            <w:tcW w:w="1448" w:type="dxa"/>
            <w:vAlign w:val="center"/>
          </w:tcPr>
          <w:p w14:paraId="2C3A5A8B" w14:textId="77777777" w:rsidR="00BF1765" w:rsidRPr="00DF5C23" w:rsidRDefault="00BF1765" w:rsidP="00BF1765">
            <w:pPr>
              <w:jc w:val="center"/>
              <w:rPr>
                <w:rFonts w:eastAsia="Calibri"/>
                <w:noProof/>
              </w:rPr>
            </w:pPr>
            <w:r w:rsidRPr="00DF5C23">
              <w:rPr>
                <w:rFonts w:eastAsia="Calibri"/>
                <w:noProof/>
                <w:sz w:val="16"/>
              </w:rPr>
              <w:t xml:space="preserve">within the meaning of Article 21(2)(b) of the Financial Regulation </w:t>
            </w:r>
          </w:p>
        </w:tc>
      </w:tr>
      <w:tr w:rsidR="00BF1765" w:rsidRPr="00DF5C23" w14:paraId="2C3A5A95" w14:textId="77777777" w:rsidTr="00743354">
        <w:tc>
          <w:tcPr>
            <w:tcW w:w="1080" w:type="dxa"/>
            <w:vAlign w:val="center"/>
          </w:tcPr>
          <w:p w14:paraId="2C3A5A8D" w14:textId="77777777" w:rsidR="00BF1765" w:rsidRPr="00DF5C23" w:rsidRDefault="00BF1765" w:rsidP="00BF1765">
            <w:pPr>
              <w:jc w:val="center"/>
              <w:rPr>
                <w:rFonts w:eastAsia="Calibri"/>
                <w:noProof/>
                <w:color w:val="0000FF"/>
              </w:rPr>
            </w:pPr>
          </w:p>
        </w:tc>
        <w:tc>
          <w:tcPr>
            <w:tcW w:w="3960" w:type="dxa"/>
            <w:vAlign w:val="center"/>
          </w:tcPr>
          <w:p w14:paraId="2C3A5A8E" w14:textId="77777777" w:rsidR="00BF1765" w:rsidRPr="00DF5C23" w:rsidRDefault="00BF1765" w:rsidP="00BF1765">
            <w:pPr>
              <w:spacing w:before="60"/>
              <w:rPr>
                <w:rFonts w:eastAsia="Calibri"/>
                <w:noProof/>
              </w:rPr>
            </w:pPr>
            <w:r w:rsidRPr="00DF5C23">
              <w:rPr>
                <w:rFonts w:eastAsia="Calibri"/>
                <w:noProof/>
                <w:sz w:val="22"/>
              </w:rPr>
              <w:t>[XX.YY.YY.YY]</w:t>
            </w:r>
          </w:p>
          <w:p w14:paraId="2C3A5A8F" w14:textId="77777777" w:rsidR="00BF1765" w:rsidRPr="00DF5C23" w:rsidRDefault="00BF1765" w:rsidP="00BF1765">
            <w:pPr>
              <w:spacing w:after="60"/>
              <w:rPr>
                <w:rFonts w:eastAsia="Calibri"/>
                <w:noProof/>
                <w:color w:val="0000FF"/>
              </w:rPr>
            </w:pPr>
          </w:p>
        </w:tc>
        <w:tc>
          <w:tcPr>
            <w:tcW w:w="1080" w:type="dxa"/>
            <w:vAlign w:val="center"/>
          </w:tcPr>
          <w:p w14:paraId="2C3A5A90" w14:textId="77777777" w:rsidR="00BF1765" w:rsidRPr="00DF5C23" w:rsidRDefault="00BF1765" w:rsidP="00BF1765">
            <w:pPr>
              <w:jc w:val="center"/>
              <w:rPr>
                <w:rFonts w:eastAsia="Calibri"/>
                <w:noProof/>
                <w:color w:val="0000FF"/>
              </w:rPr>
            </w:pPr>
          </w:p>
        </w:tc>
        <w:tc>
          <w:tcPr>
            <w:tcW w:w="956" w:type="dxa"/>
            <w:vAlign w:val="center"/>
          </w:tcPr>
          <w:p w14:paraId="2C3A5A91"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c>
          <w:tcPr>
            <w:tcW w:w="1080" w:type="dxa"/>
            <w:vAlign w:val="center"/>
          </w:tcPr>
          <w:p w14:paraId="2C3A5A92" w14:textId="77777777" w:rsidR="00BF1765" w:rsidRPr="00DF5C23" w:rsidRDefault="00BF1765" w:rsidP="00BF1765">
            <w:pPr>
              <w:jc w:val="center"/>
              <w:rPr>
                <w:rFonts w:eastAsia="Calibri"/>
                <w:noProof/>
                <w:color w:val="0000FF"/>
                <w:sz w:val="20"/>
                <w:szCs w:val="20"/>
              </w:rPr>
            </w:pPr>
            <w:r w:rsidRPr="00DF5C23">
              <w:rPr>
                <w:rFonts w:eastAsia="Calibri"/>
                <w:noProof/>
                <w:sz w:val="20"/>
                <w:szCs w:val="20"/>
              </w:rPr>
              <w:t>YES/NO</w:t>
            </w:r>
          </w:p>
        </w:tc>
        <w:tc>
          <w:tcPr>
            <w:tcW w:w="956" w:type="dxa"/>
            <w:vAlign w:val="center"/>
          </w:tcPr>
          <w:p w14:paraId="2C3A5A93" w14:textId="77777777" w:rsidR="00BF1765" w:rsidRPr="00DF5C23" w:rsidRDefault="00BF1765" w:rsidP="00BF1765">
            <w:pPr>
              <w:jc w:val="center"/>
              <w:rPr>
                <w:rFonts w:eastAsia="Calibri"/>
                <w:noProof/>
                <w:color w:val="0000FF"/>
                <w:sz w:val="20"/>
                <w:szCs w:val="20"/>
              </w:rPr>
            </w:pPr>
            <w:r w:rsidRPr="00DF5C23">
              <w:rPr>
                <w:rFonts w:eastAsia="Calibri"/>
                <w:noProof/>
                <w:sz w:val="20"/>
                <w:szCs w:val="20"/>
              </w:rPr>
              <w:t>YES/NO</w:t>
            </w:r>
          </w:p>
        </w:tc>
        <w:tc>
          <w:tcPr>
            <w:tcW w:w="1448" w:type="dxa"/>
            <w:vAlign w:val="center"/>
          </w:tcPr>
          <w:p w14:paraId="2C3A5A94" w14:textId="77777777" w:rsidR="00BF1765" w:rsidRPr="00DF5C23" w:rsidRDefault="00BF1765" w:rsidP="00BF1765">
            <w:pPr>
              <w:jc w:val="center"/>
              <w:rPr>
                <w:rFonts w:eastAsia="Calibri"/>
                <w:noProof/>
                <w:sz w:val="20"/>
                <w:szCs w:val="20"/>
              </w:rPr>
            </w:pPr>
            <w:r w:rsidRPr="00DF5C23">
              <w:rPr>
                <w:rFonts w:eastAsia="Calibri"/>
                <w:noProof/>
                <w:sz w:val="20"/>
                <w:szCs w:val="20"/>
              </w:rPr>
              <w:t>YES/NO</w:t>
            </w:r>
          </w:p>
        </w:tc>
      </w:tr>
    </w:tbl>
    <w:p w14:paraId="2C3A5A96" w14:textId="77777777" w:rsidR="00BF1765" w:rsidRPr="00DF5C23" w:rsidRDefault="00BF1765" w:rsidP="00BF1765">
      <w:pPr>
        <w:rPr>
          <w:rFonts w:eastAsia="Calibri"/>
          <w:noProof/>
        </w:rPr>
        <w:sectPr w:rsidR="00BF1765" w:rsidRPr="00DF5C23" w:rsidSect="008B42B0">
          <w:pgSz w:w="11907" w:h="16840" w:code="1"/>
          <w:pgMar w:top="1134" w:right="1418" w:bottom="1134" w:left="1418" w:header="709" w:footer="709" w:gutter="0"/>
          <w:cols w:space="708"/>
          <w:docGrid w:linePitch="360"/>
        </w:sectPr>
      </w:pPr>
    </w:p>
    <w:p w14:paraId="2C3A5A97" w14:textId="2D688DA2" w:rsidR="003102BB" w:rsidRPr="00DF5C23" w:rsidRDefault="004F5E59" w:rsidP="004F5E59">
      <w:pPr>
        <w:pStyle w:val="ManualHeading2"/>
        <w:rPr>
          <w:bCs/>
          <w:noProof/>
          <w:szCs w:val="24"/>
        </w:rPr>
      </w:pPr>
      <w:bookmarkStart w:id="54" w:name="_Toc514938052"/>
      <w:bookmarkStart w:id="55" w:name="_Toc520485051"/>
      <w:r w:rsidRPr="004F5E59">
        <w:t>3.2.</w:t>
      </w:r>
      <w:r w:rsidRPr="004F5E59">
        <w:tab/>
      </w:r>
      <w:r w:rsidR="003102BB" w:rsidRPr="00DF5C23">
        <w:rPr>
          <w:noProof/>
        </w:rPr>
        <w:t>Estimated financial impact of the proposal on appropriations</w:t>
      </w:r>
      <w:bookmarkEnd w:id="54"/>
      <w:bookmarkEnd w:id="55"/>
      <w:r w:rsidR="003102BB" w:rsidRPr="00DF5C23">
        <w:rPr>
          <w:noProof/>
        </w:rPr>
        <w:t xml:space="preserve"> </w:t>
      </w:r>
    </w:p>
    <w:p w14:paraId="2C3A5A98" w14:textId="000A7CF6" w:rsidR="003102BB" w:rsidRPr="00DF5C23" w:rsidRDefault="004F5E59" w:rsidP="004F5E59">
      <w:pPr>
        <w:pStyle w:val="ManualHeading3"/>
        <w:rPr>
          <w:noProof/>
        </w:rPr>
      </w:pPr>
      <w:bookmarkStart w:id="56" w:name="_Toc514938053"/>
      <w:bookmarkStart w:id="57" w:name="_Toc520485052"/>
      <w:r w:rsidRPr="004F5E59">
        <w:t>3.2.1.</w:t>
      </w:r>
      <w:r w:rsidRPr="004F5E59">
        <w:tab/>
      </w:r>
      <w:r w:rsidR="003102BB" w:rsidRPr="00DF5C23">
        <w:rPr>
          <w:noProof/>
        </w:rPr>
        <w:t>Summary of estimated impact on operational appropriations</w:t>
      </w:r>
      <w:bookmarkEnd w:id="56"/>
      <w:bookmarkEnd w:id="57"/>
      <w:r w:rsidR="003102BB" w:rsidRPr="00DF5C23">
        <w:rPr>
          <w:noProof/>
        </w:rPr>
        <w:t xml:space="preserve"> </w:t>
      </w:r>
    </w:p>
    <w:p w14:paraId="2C3A5A99"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 xml:space="preserve">The proposal/initiative does not require the use of operational appropriations </w:t>
      </w:r>
    </w:p>
    <w:p w14:paraId="2C3A5A9A"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ab/>
        <w:t>The proposal/initiative requires the use of operational appropriations, as explained below:</w:t>
      </w:r>
    </w:p>
    <w:p w14:paraId="2C3A5A9B" w14:textId="77777777" w:rsidR="00BF1765" w:rsidRPr="00DF5C23" w:rsidRDefault="00BF1765" w:rsidP="00BF1765">
      <w:pPr>
        <w:jc w:val="right"/>
        <w:rPr>
          <w:rFonts w:eastAsia="Calibri"/>
          <w:noProof/>
          <w:sz w:val="18"/>
          <w:szCs w:val="18"/>
        </w:rPr>
      </w:pPr>
      <w:r w:rsidRPr="00DF5C23">
        <w:rPr>
          <w:rFonts w:eastAsia="Calibri"/>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DF5C23" w14:paraId="2C3A5A9F" w14:textId="77777777" w:rsidTr="00743354">
        <w:trPr>
          <w:jc w:val="center"/>
        </w:trPr>
        <w:tc>
          <w:tcPr>
            <w:tcW w:w="4744" w:type="dxa"/>
            <w:shd w:val="thinDiagStripe" w:color="C0C0C0" w:fill="auto"/>
            <w:vAlign w:val="center"/>
          </w:tcPr>
          <w:p w14:paraId="2C3A5A9C" w14:textId="77777777" w:rsidR="00BF1765" w:rsidRPr="00DF5C23" w:rsidRDefault="00BF1765" w:rsidP="00BF1765">
            <w:pPr>
              <w:spacing w:before="60" w:after="60"/>
              <w:jc w:val="center"/>
              <w:rPr>
                <w:rFonts w:eastAsia="Calibri"/>
                <w:b/>
                <w:noProof/>
              </w:rPr>
            </w:pPr>
            <w:r w:rsidRPr="00DF5C23">
              <w:rPr>
                <w:rFonts w:eastAsia="Calibri"/>
                <w:b/>
                <w:noProof/>
                <w:sz w:val="22"/>
              </w:rPr>
              <w:t xml:space="preserve">Heading of multiannual financial </w:t>
            </w:r>
            <w:r w:rsidRPr="00DF5C23">
              <w:rPr>
                <w:rFonts w:eastAsia="Calibri"/>
                <w:noProof/>
                <w:sz w:val="22"/>
              </w:rPr>
              <w:br/>
            </w:r>
            <w:r w:rsidRPr="00DF5C23">
              <w:rPr>
                <w:rFonts w:eastAsia="Calibri"/>
                <w:b/>
                <w:noProof/>
                <w:sz w:val="22"/>
              </w:rPr>
              <w:t xml:space="preserve">framework </w:t>
            </w:r>
          </w:p>
        </w:tc>
        <w:tc>
          <w:tcPr>
            <w:tcW w:w="1080" w:type="dxa"/>
            <w:vAlign w:val="center"/>
          </w:tcPr>
          <w:p w14:paraId="2C3A5A9D" w14:textId="77777777" w:rsidR="00BF1765" w:rsidRPr="00DF5C23" w:rsidRDefault="00BF1765" w:rsidP="00BF1765">
            <w:pPr>
              <w:spacing w:before="60" w:after="60"/>
              <w:jc w:val="center"/>
              <w:rPr>
                <w:rFonts w:eastAsia="Calibri"/>
                <w:noProof/>
              </w:rPr>
            </w:pPr>
            <w:r w:rsidRPr="00DF5C23">
              <w:rPr>
                <w:rFonts w:eastAsia="Calibri"/>
                <w:noProof/>
                <w:sz w:val="22"/>
              </w:rPr>
              <w:t>Number</w:t>
            </w:r>
          </w:p>
        </w:tc>
        <w:tc>
          <w:tcPr>
            <w:tcW w:w="7817" w:type="dxa"/>
            <w:vAlign w:val="center"/>
          </w:tcPr>
          <w:p w14:paraId="2C3A5A9E" w14:textId="77777777" w:rsidR="00BF1765" w:rsidRPr="00DF5C23" w:rsidRDefault="00BF1765" w:rsidP="00BF1765">
            <w:pPr>
              <w:spacing w:before="60" w:after="60"/>
              <w:rPr>
                <w:rFonts w:eastAsia="Calibri"/>
                <w:noProof/>
              </w:rPr>
            </w:pPr>
            <w:r w:rsidRPr="00DF5C23">
              <w:rPr>
                <w:rFonts w:eastAsia="Calibri"/>
                <w:noProof/>
              </w:rPr>
              <w:t>Heading 1 (Single Market, Innovation and Digital)</w:t>
            </w:r>
          </w:p>
        </w:tc>
      </w:tr>
    </w:tbl>
    <w:p w14:paraId="2C3A5AA0" w14:textId="77777777" w:rsidR="00BF1765" w:rsidRPr="00DF5C23" w:rsidRDefault="00BF1765" w:rsidP="00BF1765">
      <w:pPr>
        <w:rPr>
          <w:rFonts w:eastAsia="Calibri"/>
          <w:noProof/>
          <w:sz w:val="16"/>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81"/>
        <w:gridCol w:w="1333"/>
        <w:gridCol w:w="107"/>
        <w:gridCol w:w="10"/>
        <w:gridCol w:w="527"/>
        <w:gridCol w:w="117"/>
        <w:gridCol w:w="737"/>
        <w:gridCol w:w="131"/>
        <w:gridCol w:w="723"/>
        <w:gridCol w:w="145"/>
        <w:gridCol w:w="709"/>
        <w:gridCol w:w="159"/>
        <w:gridCol w:w="695"/>
        <w:gridCol w:w="173"/>
        <w:gridCol w:w="681"/>
        <w:gridCol w:w="187"/>
        <w:gridCol w:w="680"/>
        <w:gridCol w:w="201"/>
        <w:gridCol w:w="636"/>
        <w:gridCol w:w="215"/>
        <w:gridCol w:w="1701"/>
      </w:tblGrid>
      <w:tr w:rsidR="00BF1765" w:rsidRPr="00DF5C23" w14:paraId="2C3A5AAC" w14:textId="77777777" w:rsidTr="009E22E2">
        <w:tc>
          <w:tcPr>
            <w:tcW w:w="3879" w:type="dxa"/>
            <w:vAlign w:val="center"/>
          </w:tcPr>
          <w:p w14:paraId="2C3A5AA1" w14:textId="77777777" w:rsidR="00BF1765" w:rsidRPr="00DF5C23" w:rsidRDefault="00BF1765" w:rsidP="00BF1765">
            <w:pPr>
              <w:jc w:val="center"/>
              <w:rPr>
                <w:rFonts w:eastAsia="Calibri"/>
                <w:noProof/>
              </w:rPr>
            </w:pPr>
            <w:r w:rsidRPr="00DF5C23">
              <w:rPr>
                <w:rFonts w:eastAsia="Calibri"/>
                <w:noProof/>
                <w:sz w:val="22"/>
              </w:rPr>
              <w:t>DG: GROW</w:t>
            </w:r>
          </w:p>
        </w:tc>
        <w:tc>
          <w:tcPr>
            <w:tcW w:w="1531" w:type="dxa"/>
            <w:gridSpan w:val="4"/>
          </w:tcPr>
          <w:p w14:paraId="2C3A5AA2" w14:textId="77777777" w:rsidR="00BF1765" w:rsidRPr="00DF5C23" w:rsidRDefault="00BF1765" w:rsidP="00BF1765">
            <w:pPr>
              <w:rPr>
                <w:rFonts w:eastAsia="Calibri"/>
                <w:noProof/>
                <w:sz w:val="20"/>
              </w:rPr>
            </w:pPr>
          </w:p>
        </w:tc>
        <w:tc>
          <w:tcPr>
            <w:tcW w:w="527" w:type="dxa"/>
          </w:tcPr>
          <w:p w14:paraId="2C3A5AA3" w14:textId="77777777" w:rsidR="00BF1765" w:rsidRPr="00DF5C23" w:rsidRDefault="00BF1765" w:rsidP="00BF1765">
            <w:pPr>
              <w:jc w:val="center"/>
              <w:rPr>
                <w:rFonts w:eastAsia="Calibri"/>
                <w:noProof/>
                <w:sz w:val="20"/>
              </w:rPr>
            </w:pPr>
          </w:p>
        </w:tc>
        <w:tc>
          <w:tcPr>
            <w:tcW w:w="854" w:type="dxa"/>
            <w:gridSpan w:val="2"/>
            <w:vAlign w:val="center"/>
          </w:tcPr>
          <w:p w14:paraId="2C3A5AA4" w14:textId="77777777" w:rsidR="00BF1765" w:rsidRPr="00DF5C23" w:rsidRDefault="00BF1765" w:rsidP="00BF1765">
            <w:pPr>
              <w:jc w:val="center"/>
              <w:rPr>
                <w:rFonts w:eastAsia="Calibri"/>
                <w:noProof/>
                <w:sz w:val="20"/>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854" w:type="dxa"/>
            <w:gridSpan w:val="2"/>
            <w:vAlign w:val="center"/>
          </w:tcPr>
          <w:p w14:paraId="2C3A5AA5"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854" w:type="dxa"/>
            <w:gridSpan w:val="2"/>
            <w:vAlign w:val="center"/>
          </w:tcPr>
          <w:p w14:paraId="2C3A5AA6"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854" w:type="dxa"/>
            <w:gridSpan w:val="2"/>
            <w:vAlign w:val="center"/>
          </w:tcPr>
          <w:p w14:paraId="2C3A5AA7"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854" w:type="dxa"/>
            <w:gridSpan w:val="2"/>
            <w:vAlign w:val="center"/>
          </w:tcPr>
          <w:p w14:paraId="2C3A5AA8"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867" w:type="dxa"/>
            <w:gridSpan w:val="2"/>
            <w:vAlign w:val="center"/>
          </w:tcPr>
          <w:p w14:paraId="2C3A5AA9"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 xml:space="preserve">2027 </w:t>
            </w:r>
          </w:p>
        </w:tc>
        <w:tc>
          <w:tcPr>
            <w:tcW w:w="837" w:type="dxa"/>
            <w:gridSpan w:val="2"/>
          </w:tcPr>
          <w:p w14:paraId="2C3A5AAA" w14:textId="77777777" w:rsidR="00144505" w:rsidRPr="00DF5C23" w:rsidRDefault="00144505" w:rsidP="00BF1765">
            <w:pPr>
              <w:jc w:val="center"/>
              <w:rPr>
                <w:rFonts w:eastAsia="Calibri"/>
                <w:noProof/>
                <w:sz w:val="20"/>
                <w:szCs w:val="20"/>
              </w:rPr>
            </w:pPr>
            <w:r w:rsidRPr="00DF5C23">
              <w:rPr>
                <w:rFonts w:eastAsia="Calibri"/>
                <w:noProof/>
                <w:sz w:val="20"/>
                <w:szCs w:val="20"/>
              </w:rPr>
              <w:t>Post</w:t>
            </w:r>
            <w:r w:rsidR="00A1044C" w:rsidRPr="00DF5C23">
              <w:rPr>
                <w:rFonts w:eastAsia="Calibri"/>
                <w:noProof/>
                <w:sz w:val="20"/>
                <w:szCs w:val="20"/>
              </w:rPr>
              <w:t xml:space="preserve"> 2027</w:t>
            </w:r>
          </w:p>
        </w:tc>
        <w:tc>
          <w:tcPr>
            <w:tcW w:w="1916" w:type="dxa"/>
            <w:gridSpan w:val="2"/>
            <w:vAlign w:val="center"/>
          </w:tcPr>
          <w:p w14:paraId="2C3A5AAB" w14:textId="77777777" w:rsidR="00BF1765" w:rsidRPr="00DF5C23" w:rsidRDefault="00BF1765" w:rsidP="00BF1765">
            <w:pPr>
              <w:jc w:val="center"/>
              <w:rPr>
                <w:rFonts w:eastAsia="Calibri"/>
                <w:b/>
                <w:noProof/>
                <w:sz w:val="20"/>
              </w:rPr>
            </w:pPr>
            <w:r w:rsidRPr="00DF5C23">
              <w:rPr>
                <w:rFonts w:eastAsia="Calibri"/>
                <w:b/>
                <w:noProof/>
                <w:sz w:val="20"/>
              </w:rPr>
              <w:t>TOTAL</w:t>
            </w:r>
          </w:p>
        </w:tc>
      </w:tr>
      <w:tr w:rsidR="00BF1765" w:rsidRPr="00DF5C23" w14:paraId="2C3A5AB6" w14:textId="77777777" w:rsidTr="009E22E2">
        <w:trPr>
          <w:trHeight w:val="213"/>
        </w:trPr>
        <w:tc>
          <w:tcPr>
            <w:tcW w:w="5937" w:type="dxa"/>
            <w:gridSpan w:val="6"/>
            <w:vAlign w:val="center"/>
          </w:tcPr>
          <w:p w14:paraId="2C3A5AAD" w14:textId="77777777" w:rsidR="00BF1765" w:rsidRPr="00DF5C23" w:rsidRDefault="00BF1765" w:rsidP="00BF1765">
            <w:pPr>
              <w:spacing w:before="20" w:after="20"/>
              <w:rPr>
                <w:rFonts w:eastAsia="Calibri"/>
                <w:noProof/>
                <w:sz w:val="21"/>
              </w:rPr>
            </w:pPr>
            <w:r w:rsidRPr="00DF5C23">
              <w:rPr>
                <w:rFonts w:eastAsia="Calibri"/>
                <w:noProof/>
                <w:sz w:val="21"/>
              </w:rPr>
              <w:sym w:font="Wingdings" w:char="F09F"/>
            </w:r>
            <w:r w:rsidRPr="00DF5C23">
              <w:rPr>
                <w:rFonts w:eastAsia="Calibri"/>
                <w:noProof/>
                <w:sz w:val="21"/>
              </w:rPr>
              <w:t xml:space="preserve"> Operational appropriations </w:t>
            </w:r>
          </w:p>
        </w:tc>
        <w:tc>
          <w:tcPr>
            <w:tcW w:w="854" w:type="dxa"/>
            <w:gridSpan w:val="2"/>
            <w:vAlign w:val="center"/>
          </w:tcPr>
          <w:p w14:paraId="2C3A5AAE" w14:textId="77777777" w:rsidR="00BF1765" w:rsidRPr="00DF5C23" w:rsidRDefault="00BF1765" w:rsidP="00BF1765">
            <w:pPr>
              <w:rPr>
                <w:rFonts w:eastAsia="Calibri"/>
                <w:noProof/>
                <w:sz w:val="20"/>
              </w:rPr>
            </w:pPr>
          </w:p>
        </w:tc>
        <w:tc>
          <w:tcPr>
            <w:tcW w:w="854" w:type="dxa"/>
            <w:gridSpan w:val="2"/>
            <w:vAlign w:val="center"/>
          </w:tcPr>
          <w:p w14:paraId="2C3A5AAF" w14:textId="77777777" w:rsidR="00BF1765" w:rsidRPr="00DF5C23" w:rsidRDefault="00BF1765" w:rsidP="00BF1765">
            <w:pPr>
              <w:rPr>
                <w:rFonts w:eastAsia="Calibri"/>
                <w:noProof/>
                <w:sz w:val="20"/>
              </w:rPr>
            </w:pPr>
          </w:p>
        </w:tc>
        <w:tc>
          <w:tcPr>
            <w:tcW w:w="854" w:type="dxa"/>
            <w:gridSpan w:val="2"/>
            <w:vAlign w:val="center"/>
          </w:tcPr>
          <w:p w14:paraId="2C3A5AB0" w14:textId="77777777" w:rsidR="00BF1765" w:rsidRPr="00DF5C23" w:rsidRDefault="00BF1765" w:rsidP="00BF1765">
            <w:pPr>
              <w:rPr>
                <w:rFonts w:eastAsia="Calibri"/>
                <w:noProof/>
                <w:sz w:val="20"/>
              </w:rPr>
            </w:pPr>
          </w:p>
        </w:tc>
        <w:tc>
          <w:tcPr>
            <w:tcW w:w="854" w:type="dxa"/>
            <w:gridSpan w:val="2"/>
            <w:vAlign w:val="center"/>
          </w:tcPr>
          <w:p w14:paraId="2C3A5AB1" w14:textId="77777777" w:rsidR="00BF1765" w:rsidRPr="00DF5C23" w:rsidRDefault="00BF1765" w:rsidP="00BF1765">
            <w:pPr>
              <w:rPr>
                <w:rFonts w:eastAsia="Calibri"/>
                <w:noProof/>
                <w:sz w:val="20"/>
              </w:rPr>
            </w:pPr>
          </w:p>
        </w:tc>
        <w:tc>
          <w:tcPr>
            <w:tcW w:w="854" w:type="dxa"/>
            <w:gridSpan w:val="2"/>
            <w:vAlign w:val="center"/>
          </w:tcPr>
          <w:p w14:paraId="2C3A5AB2" w14:textId="77777777" w:rsidR="00BF1765" w:rsidRPr="00DF5C23" w:rsidRDefault="00BF1765" w:rsidP="00BF1765">
            <w:pPr>
              <w:rPr>
                <w:rFonts w:eastAsia="Calibri"/>
                <w:noProof/>
                <w:sz w:val="20"/>
              </w:rPr>
            </w:pPr>
          </w:p>
        </w:tc>
        <w:tc>
          <w:tcPr>
            <w:tcW w:w="867" w:type="dxa"/>
            <w:gridSpan w:val="2"/>
            <w:vAlign w:val="center"/>
          </w:tcPr>
          <w:p w14:paraId="2C3A5AB3" w14:textId="77777777" w:rsidR="00BF1765" w:rsidRPr="00DF5C23" w:rsidRDefault="00BF1765" w:rsidP="00BF1765">
            <w:pPr>
              <w:rPr>
                <w:rFonts w:eastAsia="Calibri"/>
                <w:noProof/>
                <w:sz w:val="20"/>
              </w:rPr>
            </w:pPr>
          </w:p>
        </w:tc>
        <w:tc>
          <w:tcPr>
            <w:tcW w:w="837" w:type="dxa"/>
            <w:gridSpan w:val="2"/>
          </w:tcPr>
          <w:p w14:paraId="2C3A5AB4" w14:textId="77777777" w:rsidR="00144505" w:rsidRPr="00DF5C23" w:rsidRDefault="00144505" w:rsidP="00BF1765">
            <w:pPr>
              <w:rPr>
                <w:rFonts w:eastAsia="Calibri"/>
                <w:b/>
                <w:noProof/>
                <w:sz w:val="20"/>
              </w:rPr>
            </w:pPr>
          </w:p>
        </w:tc>
        <w:tc>
          <w:tcPr>
            <w:tcW w:w="1916" w:type="dxa"/>
            <w:gridSpan w:val="2"/>
            <w:vAlign w:val="center"/>
          </w:tcPr>
          <w:p w14:paraId="2C3A5AB5" w14:textId="77777777" w:rsidR="00BF1765" w:rsidRPr="00DF5C23" w:rsidRDefault="00BF1765" w:rsidP="00BF1765">
            <w:pPr>
              <w:rPr>
                <w:rFonts w:eastAsia="Calibri"/>
                <w:b/>
                <w:noProof/>
                <w:sz w:val="20"/>
              </w:rPr>
            </w:pPr>
          </w:p>
        </w:tc>
      </w:tr>
      <w:tr w:rsidR="005C61BF" w:rsidRPr="00DF5C23" w14:paraId="2C3A5AC2" w14:textId="77777777" w:rsidTr="00EC0E40">
        <w:trPr>
          <w:trHeight w:val="277"/>
        </w:trPr>
        <w:tc>
          <w:tcPr>
            <w:tcW w:w="3960" w:type="dxa"/>
            <w:gridSpan w:val="2"/>
            <w:vMerge w:val="restart"/>
            <w:vAlign w:val="center"/>
          </w:tcPr>
          <w:p w14:paraId="2C3A5AB7" w14:textId="77777777" w:rsidR="005C61BF" w:rsidRPr="00DF5C23" w:rsidRDefault="005C61BF" w:rsidP="008B78E1">
            <w:pPr>
              <w:rPr>
                <w:rFonts w:eastAsia="Calibri"/>
                <w:noProof/>
              </w:rPr>
            </w:pPr>
            <w:r w:rsidRPr="00DF5C23">
              <w:rPr>
                <w:rFonts w:eastAsia="Calibri"/>
                <w:noProof/>
                <w:sz w:val="20"/>
                <w:szCs w:val="20"/>
              </w:rPr>
              <w:t>Budget line</w:t>
            </w:r>
            <w:r w:rsidR="008B78E1" w:rsidRPr="00DF5C23">
              <w:rPr>
                <w:rStyle w:val="FootnoteReference0"/>
                <w:rFonts w:eastAsia="Calibri"/>
                <w:noProof/>
                <w:sz w:val="20"/>
                <w:szCs w:val="20"/>
              </w:rPr>
              <w:footnoteReference w:id="93"/>
            </w:r>
            <w:r w:rsidRPr="00DF5C23">
              <w:rPr>
                <w:rFonts w:eastAsia="Calibri"/>
                <w:noProof/>
              </w:rPr>
              <w:t xml:space="preserve"> </w:t>
            </w:r>
            <w:r w:rsidRPr="00DF5C23">
              <w:rPr>
                <w:rFonts w:eastAsia="Calibri"/>
                <w:noProof/>
                <w:sz w:val="20"/>
                <w:szCs w:val="20"/>
              </w:rPr>
              <w:t>03.02.01.01 - Operation and development of the internal market of goods and services</w:t>
            </w:r>
          </w:p>
        </w:tc>
        <w:tc>
          <w:tcPr>
            <w:tcW w:w="1440" w:type="dxa"/>
            <w:gridSpan w:val="2"/>
            <w:vAlign w:val="center"/>
          </w:tcPr>
          <w:p w14:paraId="2C3A5AB8" w14:textId="77777777" w:rsidR="005C61BF" w:rsidRPr="00DF5C23" w:rsidRDefault="005C61BF" w:rsidP="005C61BF">
            <w:pPr>
              <w:spacing w:before="20" w:after="20"/>
              <w:rPr>
                <w:rFonts w:eastAsia="Calibri"/>
                <w:noProof/>
                <w:sz w:val="18"/>
              </w:rPr>
            </w:pPr>
            <w:r w:rsidRPr="00DF5C23">
              <w:rPr>
                <w:rFonts w:eastAsia="Calibri"/>
                <w:noProof/>
                <w:sz w:val="18"/>
              </w:rPr>
              <w:t>Commitments</w:t>
            </w:r>
          </w:p>
        </w:tc>
        <w:tc>
          <w:tcPr>
            <w:tcW w:w="654" w:type="dxa"/>
            <w:gridSpan w:val="3"/>
            <w:vAlign w:val="center"/>
          </w:tcPr>
          <w:p w14:paraId="2C3A5AB9" w14:textId="77777777" w:rsidR="005C61BF" w:rsidRPr="00DF5C23" w:rsidRDefault="005C61BF" w:rsidP="005C61BF">
            <w:pPr>
              <w:spacing w:before="20" w:after="20"/>
              <w:jc w:val="center"/>
              <w:rPr>
                <w:rFonts w:eastAsia="Calibri"/>
                <w:noProof/>
                <w:sz w:val="14"/>
              </w:rPr>
            </w:pPr>
            <w:r w:rsidRPr="00DF5C23">
              <w:rPr>
                <w:rFonts w:eastAsia="Calibri"/>
                <w:noProof/>
                <w:sz w:val="14"/>
              </w:rPr>
              <w:t>(1a)</w:t>
            </w:r>
          </w:p>
        </w:tc>
        <w:tc>
          <w:tcPr>
            <w:tcW w:w="868" w:type="dxa"/>
            <w:gridSpan w:val="2"/>
            <w:vAlign w:val="center"/>
          </w:tcPr>
          <w:p w14:paraId="2C3A5ABA"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3,402</w:t>
            </w:r>
          </w:p>
        </w:tc>
        <w:tc>
          <w:tcPr>
            <w:tcW w:w="868" w:type="dxa"/>
            <w:gridSpan w:val="2"/>
            <w:vAlign w:val="center"/>
          </w:tcPr>
          <w:p w14:paraId="2C3A5AB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4,056</w:t>
            </w:r>
          </w:p>
        </w:tc>
        <w:tc>
          <w:tcPr>
            <w:tcW w:w="868" w:type="dxa"/>
            <w:gridSpan w:val="2"/>
            <w:vAlign w:val="center"/>
          </w:tcPr>
          <w:p w14:paraId="2C3A5ABC"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3,770</w:t>
            </w:r>
          </w:p>
        </w:tc>
        <w:tc>
          <w:tcPr>
            <w:tcW w:w="868" w:type="dxa"/>
            <w:gridSpan w:val="2"/>
            <w:vAlign w:val="center"/>
          </w:tcPr>
          <w:p w14:paraId="2C3A5ABD"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3,370</w:t>
            </w:r>
          </w:p>
        </w:tc>
        <w:tc>
          <w:tcPr>
            <w:tcW w:w="868" w:type="dxa"/>
            <w:gridSpan w:val="2"/>
            <w:vAlign w:val="center"/>
          </w:tcPr>
          <w:p w14:paraId="2C3A5AB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81" w:type="dxa"/>
            <w:gridSpan w:val="2"/>
            <w:vAlign w:val="center"/>
          </w:tcPr>
          <w:p w14:paraId="2C3A5AB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51" w:type="dxa"/>
            <w:gridSpan w:val="2"/>
          </w:tcPr>
          <w:p w14:paraId="2C3A5AC0" w14:textId="77777777" w:rsidR="00144505" w:rsidRPr="00DF5C23" w:rsidRDefault="00144505" w:rsidP="005C61BF">
            <w:pPr>
              <w:spacing w:before="0" w:after="0"/>
              <w:jc w:val="right"/>
              <w:rPr>
                <w:rFonts w:ascii="Arial Narrow" w:hAnsi="Arial Narrow" w:cs="Calibri"/>
                <w:noProof/>
                <w:color w:val="000000"/>
                <w:sz w:val="20"/>
                <w:szCs w:val="20"/>
              </w:rPr>
            </w:pPr>
          </w:p>
        </w:tc>
        <w:tc>
          <w:tcPr>
            <w:tcW w:w="1701" w:type="dxa"/>
            <w:vAlign w:val="center"/>
          </w:tcPr>
          <w:p w14:paraId="2C3A5AC1" w14:textId="77777777" w:rsidR="005C61BF" w:rsidRPr="00DF5C23" w:rsidRDefault="005C61BF" w:rsidP="005C61BF">
            <w:pPr>
              <w:spacing w:before="0" w:after="0"/>
              <w:jc w:val="right"/>
              <w:rPr>
                <w:rFonts w:ascii="Arial Narrow" w:eastAsia="Calibri" w:hAnsi="Arial Narrow" w:cs="Calibri"/>
                <w:noProof/>
                <w:color w:val="000000"/>
                <w:sz w:val="20"/>
                <w:szCs w:val="20"/>
              </w:rPr>
            </w:pPr>
            <w:r w:rsidRPr="00DF5C23">
              <w:rPr>
                <w:rFonts w:ascii="Arial Narrow" w:hAnsi="Arial Narrow" w:cs="Calibri"/>
                <w:noProof/>
                <w:color w:val="000000"/>
                <w:sz w:val="20"/>
                <w:szCs w:val="20"/>
              </w:rPr>
              <w:t>23,338</w:t>
            </w:r>
          </w:p>
        </w:tc>
      </w:tr>
      <w:tr w:rsidR="005C61BF" w:rsidRPr="00DF5C23" w14:paraId="2C3A5ACE" w14:textId="77777777" w:rsidTr="00EC0E40">
        <w:tc>
          <w:tcPr>
            <w:tcW w:w="3960" w:type="dxa"/>
            <w:gridSpan w:val="2"/>
            <w:vMerge/>
          </w:tcPr>
          <w:p w14:paraId="2C3A5AC3" w14:textId="77777777" w:rsidR="005C61BF" w:rsidRPr="00DF5C23" w:rsidRDefault="005C61BF" w:rsidP="005C61BF">
            <w:pPr>
              <w:jc w:val="center"/>
              <w:rPr>
                <w:rFonts w:eastAsia="Calibri"/>
                <w:noProof/>
                <w:sz w:val="20"/>
              </w:rPr>
            </w:pPr>
          </w:p>
        </w:tc>
        <w:tc>
          <w:tcPr>
            <w:tcW w:w="1440" w:type="dxa"/>
            <w:gridSpan w:val="2"/>
            <w:vAlign w:val="center"/>
          </w:tcPr>
          <w:p w14:paraId="2C3A5AC4" w14:textId="77777777" w:rsidR="005C61BF" w:rsidRPr="00DF5C23" w:rsidRDefault="005C61BF" w:rsidP="005C61BF">
            <w:pPr>
              <w:spacing w:before="20" w:after="20"/>
              <w:rPr>
                <w:rFonts w:eastAsia="Calibri"/>
                <w:noProof/>
                <w:sz w:val="18"/>
              </w:rPr>
            </w:pPr>
            <w:r w:rsidRPr="00DF5C23">
              <w:rPr>
                <w:rFonts w:eastAsia="Calibri"/>
                <w:noProof/>
                <w:sz w:val="18"/>
              </w:rPr>
              <w:t>Payments</w:t>
            </w:r>
          </w:p>
        </w:tc>
        <w:tc>
          <w:tcPr>
            <w:tcW w:w="654" w:type="dxa"/>
            <w:gridSpan w:val="3"/>
            <w:vAlign w:val="center"/>
          </w:tcPr>
          <w:p w14:paraId="2C3A5AC5" w14:textId="77777777" w:rsidR="005C61BF" w:rsidRPr="00DF5C23" w:rsidRDefault="005C61BF" w:rsidP="005C61BF">
            <w:pPr>
              <w:spacing w:before="20" w:after="20"/>
              <w:jc w:val="center"/>
              <w:rPr>
                <w:rFonts w:eastAsia="Calibri"/>
                <w:noProof/>
                <w:sz w:val="14"/>
              </w:rPr>
            </w:pPr>
            <w:r w:rsidRPr="00DF5C23">
              <w:rPr>
                <w:rFonts w:eastAsia="Calibri"/>
                <w:noProof/>
                <w:sz w:val="14"/>
              </w:rPr>
              <w:t>(2a)</w:t>
            </w:r>
          </w:p>
        </w:tc>
        <w:tc>
          <w:tcPr>
            <w:tcW w:w="868" w:type="dxa"/>
            <w:gridSpan w:val="2"/>
            <w:vAlign w:val="center"/>
          </w:tcPr>
          <w:p w14:paraId="2C3A5AC6"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1,021</w:t>
            </w:r>
          </w:p>
        </w:tc>
        <w:tc>
          <w:tcPr>
            <w:tcW w:w="868" w:type="dxa"/>
            <w:gridSpan w:val="2"/>
            <w:vAlign w:val="center"/>
          </w:tcPr>
          <w:p w14:paraId="2C3A5AC7"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2,237</w:t>
            </w:r>
          </w:p>
        </w:tc>
        <w:tc>
          <w:tcPr>
            <w:tcW w:w="868" w:type="dxa"/>
            <w:gridSpan w:val="2"/>
            <w:vAlign w:val="center"/>
          </w:tcPr>
          <w:p w14:paraId="2C3A5AC8"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3,709</w:t>
            </w:r>
          </w:p>
        </w:tc>
        <w:tc>
          <w:tcPr>
            <w:tcW w:w="868" w:type="dxa"/>
            <w:gridSpan w:val="2"/>
            <w:vAlign w:val="center"/>
          </w:tcPr>
          <w:p w14:paraId="2C3A5AC9"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3,764</w:t>
            </w:r>
          </w:p>
        </w:tc>
        <w:tc>
          <w:tcPr>
            <w:tcW w:w="868" w:type="dxa"/>
            <w:gridSpan w:val="2"/>
            <w:vAlign w:val="center"/>
          </w:tcPr>
          <w:p w14:paraId="2C3A5ACA"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3,830</w:t>
            </w:r>
          </w:p>
        </w:tc>
        <w:tc>
          <w:tcPr>
            <w:tcW w:w="881" w:type="dxa"/>
            <w:gridSpan w:val="2"/>
            <w:vAlign w:val="center"/>
          </w:tcPr>
          <w:p w14:paraId="2C3A5ACB" w14:textId="77777777" w:rsidR="005C61BF" w:rsidRPr="00DF5C23" w:rsidRDefault="00A1044C" w:rsidP="005C61BF">
            <w:pPr>
              <w:spacing w:before="20" w:after="20"/>
              <w:jc w:val="right"/>
              <w:rPr>
                <w:rFonts w:eastAsia="Calibri"/>
                <w:noProof/>
                <w:sz w:val="20"/>
              </w:rPr>
            </w:pPr>
            <w:r w:rsidRPr="00DF5C23">
              <w:rPr>
                <w:rFonts w:ascii="Arial Narrow" w:hAnsi="Arial Narrow" w:cs="Calibri"/>
                <w:noProof/>
                <w:color w:val="000000"/>
                <w:sz w:val="20"/>
                <w:szCs w:val="20"/>
              </w:rPr>
              <w:t>3,970</w:t>
            </w:r>
          </w:p>
        </w:tc>
        <w:tc>
          <w:tcPr>
            <w:tcW w:w="851" w:type="dxa"/>
            <w:gridSpan w:val="2"/>
            <w:vAlign w:val="center"/>
          </w:tcPr>
          <w:p w14:paraId="2C3A5ACC" w14:textId="77777777" w:rsidR="00A1044C" w:rsidRPr="00DF5C23" w:rsidRDefault="00A1044C" w:rsidP="00A1044C">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4,807</w:t>
            </w:r>
          </w:p>
        </w:tc>
        <w:tc>
          <w:tcPr>
            <w:tcW w:w="1701" w:type="dxa"/>
            <w:vAlign w:val="center"/>
          </w:tcPr>
          <w:p w14:paraId="2C3A5ACD"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r w:rsidR="005C61BF" w:rsidRPr="00DF5C23" w14:paraId="2C3A5ADA" w14:textId="77777777" w:rsidTr="00EC0E40">
        <w:tc>
          <w:tcPr>
            <w:tcW w:w="3960" w:type="dxa"/>
            <w:gridSpan w:val="2"/>
            <w:vMerge w:val="restart"/>
            <w:vAlign w:val="center"/>
          </w:tcPr>
          <w:p w14:paraId="2C3A5ACF" w14:textId="77777777" w:rsidR="005C61BF" w:rsidRPr="00DF5C23" w:rsidRDefault="005C61BF" w:rsidP="005C61BF">
            <w:pPr>
              <w:rPr>
                <w:rFonts w:eastAsia="Calibri"/>
                <w:noProof/>
              </w:rPr>
            </w:pPr>
            <w:r w:rsidRPr="00DF5C23">
              <w:rPr>
                <w:rFonts w:eastAsia="Calibri"/>
                <w:noProof/>
                <w:sz w:val="20"/>
              </w:rPr>
              <w:t>Budget line</w:t>
            </w:r>
          </w:p>
        </w:tc>
        <w:tc>
          <w:tcPr>
            <w:tcW w:w="1440" w:type="dxa"/>
            <w:gridSpan w:val="2"/>
            <w:vAlign w:val="center"/>
          </w:tcPr>
          <w:p w14:paraId="2C3A5AD0" w14:textId="77777777" w:rsidR="005C61BF" w:rsidRPr="00DF5C23" w:rsidRDefault="005C61BF" w:rsidP="005C61BF">
            <w:pPr>
              <w:spacing w:before="20" w:after="20"/>
              <w:rPr>
                <w:rFonts w:eastAsia="Calibri"/>
                <w:noProof/>
                <w:sz w:val="18"/>
              </w:rPr>
            </w:pPr>
            <w:r w:rsidRPr="00DF5C23">
              <w:rPr>
                <w:rFonts w:eastAsia="Calibri"/>
                <w:noProof/>
                <w:sz w:val="18"/>
              </w:rPr>
              <w:t>Commitments</w:t>
            </w:r>
          </w:p>
        </w:tc>
        <w:tc>
          <w:tcPr>
            <w:tcW w:w="654" w:type="dxa"/>
            <w:gridSpan w:val="3"/>
            <w:vAlign w:val="center"/>
          </w:tcPr>
          <w:p w14:paraId="2C3A5AD1" w14:textId="77777777" w:rsidR="005C61BF" w:rsidRPr="00DF5C23" w:rsidRDefault="005C61BF" w:rsidP="005C61BF">
            <w:pPr>
              <w:spacing w:before="20" w:after="20"/>
              <w:jc w:val="center"/>
              <w:rPr>
                <w:rFonts w:eastAsia="Calibri"/>
                <w:noProof/>
                <w:sz w:val="14"/>
              </w:rPr>
            </w:pPr>
            <w:r w:rsidRPr="00DF5C23">
              <w:rPr>
                <w:rFonts w:eastAsia="Calibri"/>
                <w:noProof/>
                <w:sz w:val="14"/>
              </w:rPr>
              <w:t>(1b)</w:t>
            </w:r>
          </w:p>
        </w:tc>
        <w:tc>
          <w:tcPr>
            <w:tcW w:w="868" w:type="dxa"/>
            <w:gridSpan w:val="2"/>
            <w:vAlign w:val="center"/>
          </w:tcPr>
          <w:p w14:paraId="2C3A5AD2"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D3"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D4"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D5"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D6" w14:textId="77777777" w:rsidR="005C61BF" w:rsidRPr="00DF5C23" w:rsidRDefault="005C61BF" w:rsidP="005C61BF">
            <w:pPr>
              <w:spacing w:before="20" w:after="20"/>
              <w:jc w:val="right"/>
              <w:rPr>
                <w:rFonts w:eastAsia="Calibri"/>
                <w:noProof/>
                <w:sz w:val="20"/>
              </w:rPr>
            </w:pPr>
          </w:p>
        </w:tc>
        <w:tc>
          <w:tcPr>
            <w:tcW w:w="881" w:type="dxa"/>
            <w:gridSpan w:val="2"/>
            <w:vAlign w:val="center"/>
          </w:tcPr>
          <w:p w14:paraId="2C3A5AD7" w14:textId="77777777" w:rsidR="005C61BF" w:rsidRPr="00DF5C23" w:rsidRDefault="005C61BF" w:rsidP="005C61BF">
            <w:pPr>
              <w:spacing w:before="20" w:after="20"/>
              <w:jc w:val="right"/>
              <w:rPr>
                <w:rFonts w:eastAsia="Calibri"/>
                <w:noProof/>
                <w:sz w:val="20"/>
              </w:rPr>
            </w:pPr>
          </w:p>
        </w:tc>
        <w:tc>
          <w:tcPr>
            <w:tcW w:w="851" w:type="dxa"/>
            <w:gridSpan w:val="2"/>
          </w:tcPr>
          <w:p w14:paraId="2C3A5AD8" w14:textId="77777777" w:rsidR="00144505" w:rsidRPr="00DF5C23" w:rsidRDefault="00144505" w:rsidP="005C61BF">
            <w:pPr>
              <w:spacing w:before="20" w:after="20"/>
              <w:jc w:val="right"/>
              <w:rPr>
                <w:rFonts w:eastAsia="Calibri"/>
                <w:b/>
                <w:noProof/>
                <w:sz w:val="20"/>
              </w:rPr>
            </w:pPr>
          </w:p>
        </w:tc>
        <w:tc>
          <w:tcPr>
            <w:tcW w:w="1701" w:type="dxa"/>
            <w:vAlign w:val="center"/>
          </w:tcPr>
          <w:p w14:paraId="2C3A5AD9" w14:textId="77777777" w:rsidR="005C61BF" w:rsidRPr="00DF5C23" w:rsidRDefault="005C61BF" w:rsidP="005C61BF">
            <w:pPr>
              <w:spacing w:before="20" w:after="20"/>
              <w:jc w:val="right"/>
              <w:rPr>
                <w:rFonts w:eastAsia="Calibri"/>
                <w:b/>
                <w:noProof/>
                <w:sz w:val="20"/>
              </w:rPr>
            </w:pPr>
          </w:p>
        </w:tc>
      </w:tr>
      <w:tr w:rsidR="005C61BF" w:rsidRPr="00DF5C23" w14:paraId="2C3A5AE6" w14:textId="77777777" w:rsidTr="00EC0E40">
        <w:tc>
          <w:tcPr>
            <w:tcW w:w="3960" w:type="dxa"/>
            <w:gridSpan w:val="2"/>
            <w:vMerge/>
          </w:tcPr>
          <w:p w14:paraId="2C3A5ADB" w14:textId="77777777" w:rsidR="005C61BF" w:rsidRPr="00DF5C23" w:rsidRDefault="005C61BF" w:rsidP="005C61BF">
            <w:pPr>
              <w:jc w:val="center"/>
              <w:rPr>
                <w:rFonts w:eastAsia="Calibri"/>
                <w:noProof/>
                <w:sz w:val="20"/>
              </w:rPr>
            </w:pPr>
          </w:p>
        </w:tc>
        <w:tc>
          <w:tcPr>
            <w:tcW w:w="1440" w:type="dxa"/>
            <w:gridSpan w:val="2"/>
            <w:vAlign w:val="center"/>
          </w:tcPr>
          <w:p w14:paraId="2C3A5ADC" w14:textId="77777777" w:rsidR="005C61BF" w:rsidRPr="00DF5C23" w:rsidRDefault="005C61BF" w:rsidP="005C61BF">
            <w:pPr>
              <w:spacing w:before="20" w:after="20"/>
              <w:rPr>
                <w:rFonts w:eastAsia="Calibri"/>
                <w:noProof/>
                <w:sz w:val="18"/>
              </w:rPr>
            </w:pPr>
            <w:r w:rsidRPr="00DF5C23">
              <w:rPr>
                <w:rFonts w:eastAsia="Calibri"/>
                <w:noProof/>
                <w:sz w:val="18"/>
              </w:rPr>
              <w:t>Payments</w:t>
            </w:r>
          </w:p>
        </w:tc>
        <w:tc>
          <w:tcPr>
            <w:tcW w:w="654" w:type="dxa"/>
            <w:gridSpan w:val="3"/>
            <w:vAlign w:val="center"/>
          </w:tcPr>
          <w:p w14:paraId="2C3A5ADD" w14:textId="77777777" w:rsidR="005C61BF" w:rsidRPr="00DF5C23" w:rsidRDefault="005C61BF" w:rsidP="005C61BF">
            <w:pPr>
              <w:spacing w:before="20" w:after="20"/>
              <w:jc w:val="center"/>
              <w:rPr>
                <w:rFonts w:eastAsia="Calibri"/>
                <w:noProof/>
                <w:sz w:val="14"/>
              </w:rPr>
            </w:pPr>
            <w:r w:rsidRPr="00DF5C23">
              <w:rPr>
                <w:rFonts w:eastAsia="Calibri"/>
                <w:noProof/>
                <w:sz w:val="14"/>
              </w:rPr>
              <w:t>(2b)</w:t>
            </w:r>
          </w:p>
        </w:tc>
        <w:tc>
          <w:tcPr>
            <w:tcW w:w="868" w:type="dxa"/>
            <w:gridSpan w:val="2"/>
            <w:vAlign w:val="center"/>
          </w:tcPr>
          <w:p w14:paraId="2C3A5ADE"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DF"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E0"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E1" w14:textId="77777777" w:rsidR="005C61BF" w:rsidRPr="00DF5C23" w:rsidRDefault="005C61BF" w:rsidP="005C61BF">
            <w:pPr>
              <w:spacing w:before="20" w:after="20"/>
              <w:jc w:val="right"/>
              <w:rPr>
                <w:rFonts w:eastAsia="Calibri"/>
                <w:noProof/>
                <w:sz w:val="20"/>
              </w:rPr>
            </w:pPr>
          </w:p>
        </w:tc>
        <w:tc>
          <w:tcPr>
            <w:tcW w:w="868" w:type="dxa"/>
            <w:gridSpan w:val="2"/>
            <w:vAlign w:val="center"/>
          </w:tcPr>
          <w:p w14:paraId="2C3A5AE2" w14:textId="77777777" w:rsidR="005C61BF" w:rsidRPr="00DF5C23" w:rsidRDefault="005C61BF" w:rsidP="005C61BF">
            <w:pPr>
              <w:spacing w:before="20" w:after="20"/>
              <w:jc w:val="right"/>
              <w:rPr>
                <w:rFonts w:eastAsia="Calibri"/>
                <w:noProof/>
                <w:sz w:val="20"/>
              </w:rPr>
            </w:pPr>
          </w:p>
        </w:tc>
        <w:tc>
          <w:tcPr>
            <w:tcW w:w="881" w:type="dxa"/>
            <w:gridSpan w:val="2"/>
            <w:vAlign w:val="center"/>
          </w:tcPr>
          <w:p w14:paraId="2C3A5AE3" w14:textId="77777777" w:rsidR="005C61BF" w:rsidRPr="00DF5C23" w:rsidRDefault="005C61BF" w:rsidP="005C61BF">
            <w:pPr>
              <w:spacing w:before="20" w:after="20"/>
              <w:jc w:val="right"/>
              <w:rPr>
                <w:rFonts w:eastAsia="Calibri"/>
                <w:noProof/>
                <w:sz w:val="20"/>
              </w:rPr>
            </w:pPr>
          </w:p>
        </w:tc>
        <w:tc>
          <w:tcPr>
            <w:tcW w:w="851" w:type="dxa"/>
            <w:gridSpan w:val="2"/>
          </w:tcPr>
          <w:p w14:paraId="2C3A5AE4" w14:textId="77777777" w:rsidR="00144505" w:rsidRPr="00DF5C23" w:rsidRDefault="00144505" w:rsidP="005C61BF">
            <w:pPr>
              <w:spacing w:before="20" w:after="20"/>
              <w:jc w:val="right"/>
              <w:rPr>
                <w:rFonts w:eastAsia="Calibri"/>
                <w:b/>
                <w:noProof/>
                <w:sz w:val="20"/>
              </w:rPr>
            </w:pPr>
          </w:p>
        </w:tc>
        <w:tc>
          <w:tcPr>
            <w:tcW w:w="1701" w:type="dxa"/>
            <w:vAlign w:val="center"/>
          </w:tcPr>
          <w:p w14:paraId="2C3A5AE5" w14:textId="77777777" w:rsidR="005C61BF" w:rsidRPr="00DF5C23" w:rsidRDefault="005C61BF" w:rsidP="005C61BF">
            <w:pPr>
              <w:spacing w:before="20" w:after="20"/>
              <w:jc w:val="right"/>
              <w:rPr>
                <w:rFonts w:eastAsia="Calibri"/>
                <w:b/>
                <w:noProof/>
                <w:sz w:val="20"/>
              </w:rPr>
            </w:pPr>
          </w:p>
        </w:tc>
      </w:tr>
      <w:tr w:rsidR="005C61BF" w:rsidRPr="00DF5C23" w14:paraId="2C3A5AF1" w14:textId="77777777" w:rsidTr="009E22E2">
        <w:trPr>
          <w:trHeight w:val="231"/>
        </w:trPr>
        <w:tc>
          <w:tcPr>
            <w:tcW w:w="5937" w:type="dxa"/>
            <w:gridSpan w:val="6"/>
            <w:vAlign w:val="center"/>
          </w:tcPr>
          <w:p w14:paraId="2C3A5AE7" w14:textId="77777777" w:rsidR="005C61BF" w:rsidRPr="00DF5C23" w:rsidRDefault="005C61BF" w:rsidP="005C61BF">
            <w:pPr>
              <w:spacing w:before="20" w:after="20"/>
              <w:rPr>
                <w:rFonts w:eastAsia="Calibri"/>
                <w:noProof/>
              </w:rPr>
            </w:pPr>
            <w:r w:rsidRPr="00DF5C23">
              <w:rPr>
                <w:rFonts w:eastAsia="Calibri"/>
                <w:noProof/>
                <w:sz w:val="21"/>
                <w:szCs w:val="21"/>
              </w:rPr>
              <w:t>Appropriations of an administrative nature financed from the envelope of specific programmes</w:t>
            </w:r>
            <w:r w:rsidR="008B78E1" w:rsidRPr="00DF5C23">
              <w:rPr>
                <w:rStyle w:val="FootnoteReference0"/>
                <w:rFonts w:eastAsia="Calibri"/>
                <w:noProof/>
                <w:sz w:val="21"/>
                <w:szCs w:val="21"/>
              </w:rPr>
              <w:footnoteReference w:id="94"/>
            </w:r>
          </w:p>
          <w:p w14:paraId="2C3A5AE8" w14:textId="77777777" w:rsidR="005C61BF" w:rsidRPr="00DF5C23" w:rsidRDefault="005C61BF" w:rsidP="005C61BF">
            <w:pPr>
              <w:spacing w:before="0" w:after="0"/>
              <w:rPr>
                <w:rFonts w:eastAsia="Calibri"/>
                <w:noProof/>
              </w:rPr>
            </w:pPr>
          </w:p>
        </w:tc>
        <w:tc>
          <w:tcPr>
            <w:tcW w:w="854" w:type="dxa"/>
            <w:gridSpan w:val="2"/>
            <w:vAlign w:val="center"/>
          </w:tcPr>
          <w:p w14:paraId="2C3A5AE9" w14:textId="77777777" w:rsidR="005C61BF" w:rsidRPr="00DF5C23" w:rsidRDefault="005C61BF" w:rsidP="005C61BF">
            <w:pPr>
              <w:rPr>
                <w:rFonts w:eastAsia="Calibri"/>
                <w:b/>
                <w:noProof/>
                <w:sz w:val="20"/>
              </w:rPr>
            </w:pPr>
          </w:p>
        </w:tc>
        <w:tc>
          <w:tcPr>
            <w:tcW w:w="854" w:type="dxa"/>
            <w:gridSpan w:val="2"/>
            <w:vAlign w:val="center"/>
          </w:tcPr>
          <w:p w14:paraId="2C3A5AEA" w14:textId="77777777" w:rsidR="005C61BF" w:rsidRPr="00DF5C23" w:rsidRDefault="005C61BF" w:rsidP="005C61BF">
            <w:pPr>
              <w:rPr>
                <w:rFonts w:eastAsia="Calibri"/>
                <w:b/>
                <w:noProof/>
                <w:sz w:val="20"/>
              </w:rPr>
            </w:pPr>
          </w:p>
        </w:tc>
        <w:tc>
          <w:tcPr>
            <w:tcW w:w="854" w:type="dxa"/>
            <w:gridSpan w:val="2"/>
            <w:vAlign w:val="center"/>
          </w:tcPr>
          <w:p w14:paraId="2C3A5AEB" w14:textId="77777777" w:rsidR="005C61BF" w:rsidRPr="00DF5C23" w:rsidRDefault="005C61BF" w:rsidP="005C61BF">
            <w:pPr>
              <w:rPr>
                <w:rFonts w:eastAsia="Calibri"/>
                <w:b/>
                <w:noProof/>
                <w:sz w:val="20"/>
              </w:rPr>
            </w:pPr>
          </w:p>
        </w:tc>
        <w:tc>
          <w:tcPr>
            <w:tcW w:w="854" w:type="dxa"/>
            <w:gridSpan w:val="2"/>
            <w:vAlign w:val="center"/>
          </w:tcPr>
          <w:p w14:paraId="2C3A5AEC" w14:textId="77777777" w:rsidR="005C61BF" w:rsidRPr="00DF5C23" w:rsidRDefault="005C61BF" w:rsidP="005C61BF">
            <w:pPr>
              <w:rPr>
                <w:rFonts w:eastAsia="Calibri"/>
                <w:b/>
                <w:noProof/>
                <w:sz w:val="20"/>
              </w:rPr>
            </w:pPr>
          </w:p>
        </w:tc>
        <w:tc>
          <w:tcPr>
            <w:tcW w:w="854" w:type="dxa"/>
            <w:gridSpan w:val="2"/>
            <w:vAlign w:val="center"/>
          </w:tcPr>
          <w:p w14:paraId="2C3A5AED" w14:textId="77777777" w:rsidR="005C61BF" w:rsidRPr="00DF5C23" w:rsidRDefault="005C61BF" w:rsidP="005C61BF">
            <w:pPr>
              <w:rPr>
                <w:rFonts w:eastAsia="Calibri"/>
                <w:b/>
                <w:noProof/>
                <w:sz w:val="20"/>
              </w:rPr>
            </w:pPr>
          </w:p>
        </w:tc>
        <w:tc>
          <w:tcPr>
            <w:tcW w:w="867" w:type="dxa"/>
            <w:gridSpan w:val="2"/>
            <w:vAlign w:val="center"/>
          </w:tcPr>
          <w:p w14:paraId="2C3A5AEE" w14:textId="77777777" w:rsidR="005C61BF" w:rsidRPr="00DF5C23" w:rsidRDefault="005C61BF" w:rsidP="005C61BF">
            <w:pPr>
              <w:rPr>
                <w:rFonts w:eastAsia="Calibri"/>
                <w:b/>
                <w:noProof/>
                <w:sz w:val="20"/>
              </w:rPr>
            </w:pPr>
          </w:p>
        </w:tc>
        <w:tc>
          <w:tcPr>
            <w:tcW w:w="837" w:type="dxa"/>
            <w:gridSpan w:val="2"/>
          </w:tcPr>
          <w:p w14:paraId="2C3A5AEF" w14:textId="77777777" w:rsidR="00144505" w:rsidRPr="00DF5C23" w:rsidRDefault="00144505" w:rsidP="005C61BF">
            <w:pPr>
              <w:rPr>
                <w:rFonts w:eastAsia="Calibri"/>
                <w:b/>
                <w:noProof/>
                <w:sz w:val="20"/>
              </w:rPr>
            </w:pPr>
          </w:p>
        </w:tc>
        <w:tc>
          <w:tcPr>
            <w:tcW w:w="1916" w:type="dxa"/>
            <w:gridSpan w:val="2"/>
            <w:vAlign w:val="center"/>
          </w:tcPr>
          <w:p w14:paraId="2C3A5AF0" w14:textId="77777777" w:rsidR="005C61BF" w:rsidRPr="00DF5C23" w:rsidRDefault="005C61BF" w:rsidP="005C61BF">
            <w:pPr>
              <w:rPr>
                <w:rFonts w:eastAsia="Calibri"/>
                <w:b/>
                <w:noProof/>
                <w:sz w:val="20"/>
              </w:rPr>
            </w:pPr>
          </w:p>
        </w:tc>
      </w:tr>
      <w:tr w:rsidR="005C61BF" w:rsidRPr="00DF5C23" w14:paraId="2C3A5AFD" w14:textId="77777777" w:rsidTr="009E22E2">
        <w:trPr>
          <w:trHeight w:val="319"/>
        </w:trPr>
        <w:tc>
          <w:tcPr>
            <w:tcW w:w="3879" w:type="dxa"/>
            <w:vAlign w:val="center"/>
          </w:tcPr>
          <w:p w14:paraId="2C3A5AF2" w14:textId="77777777" w:rsidR="005C61BF" w:rsidRPr="00DF5C23" w:rsidRDefault="005C61BF" w:rsidP="005C61BF">
            <w:pPr>
              <w:spacing w:before="60" w:after="60"/>
              <w:rPr>
                <w:rFonts w:eastAsia="Calibri"/>
                <w:noProof/>
              </w:rPr>
            </w:pPr>
            <w:r w:rsidRPr="00DF5C23">
              <w:rPr>
                <w:rFonts w:eastAsia="Calibri"/>
                <w:noProof/>
                <w:sz w:val="20"/>
              </w:rPr>
              <w:t>Budget line</w:t>
            </w:r>
          </w:p>
        </w:tc>
        <w:tc>
          <w:tcPr>
            <w:tcW w:w="1414" w:type="dxa"/>
            <w:gridSpan w:val="2"/>
            <w:vAlign w:val="center"/>
          </w:tcPr>
          <w:p w14:paraId="2C3A5AF3" w14:textId="77777777" w:rsidR="005C61BF" w:rsidRPr="00DF5C23" w:rsidRDefault="005C61BF" w:rsidP="005C61BF">
            <w:pPr>
              <w:spacing w:before="40" w:after="40"/>
              <w:jc w:val="right"/>
              <w:rPr>
                <w:rFonts w:eastAsia="Calibri"/>
                <w:noProof/>
                <w:sz w:val="18"/>
              </w:rPr>
            </w:pPr>
          </w:p>
        </w:tc>
        <w:tc>
          <w:tcPr>
            <w:tcW w:w="644" w:type="dxa"/>
            <w:gridSpan w:val="3"/>
            <w:vAlign w:val="center"/>
          </w:tcPr>
          <w:p w14:paraId="2C3A5AF4" w14:textId="77777777" w:rsidR="005C61BF" w:rsidRPr="00DF5C23" w:rsidRDefault="005C61BF" w:rsidP="005C61BF">
            <w:pPr>
              <w:spacing w:before="40" w:after="40"/>
              <w:jc w:val="center"/>
              <w:rPr>
                <w:rFonts w:eastAsia="Calibri"/>
                <w:noProof/>
                <w:sz w:val="14"/>
              </w:rPr>
            </w:pPr>
            <w:r w:rsidRPr="00DF5C23">
              <w:rPr>
                <w:rFonts w:eastAsia="Calibri"/>
                <w:noProof/>
                <w:sz w:val="14"/>
              </w:rPr>
              <w:t>(3)</w:t>
            </w:r>
          </w:p>
        </w:tc>
        <w:tc>
          <w:tcPr>
            <w:tcW w:w="854" w:type="dxa"/>
            <w:gridSpan w:val="2"/>
            <w:vAlign w:val="center"/>
          </w:tcPr>
          <w:p w14:paraId="2C3A5AF5" w14:textId="77777777" w:rsidR="005C61BF" w:rsidRPr="00DF5C23" w:rsidRDefault="005C61BF" w:rsidP="005C61BF">
            <w:pPr>
              <w:spacing w:before="40" w:after="40"/>
              <w:jc w:val="right"/>
              <w:rPr>
                <w:rFonts w:eastAsia="Calibri"/>
                <w:b/>
                <w:noProof/>
                <w:sz w:val="20"/>
              </w:rPr>
            </w:pPr>
          </w:p>
        </w:tc>
        <w:tc>
          <w:tcPr>
            <w:tcW w:w="854" w:type="dxa"/>
            <w:gridSpan w:val="2"/>
            <w:vAlign w:val="center"/>
          </w:tcPr>
          <w:p w14:paraId="2C3A5AF6" w14:textId="77777777" w:rsidR="005C61BF" w:rsidRPr="00DF5C23" w:rsidRDefault="005C61BF" w:rsidP="005C61BF">
            <w:pPr>
              <w:spacing w:before="40" w:after="40"/>
              <w:jc w:val="right"/>
              <w:rPr>
                <w:rFonts w:eastAsia="Calibri"/>
                <w:b/>
                <w:noProof/>
                <w:sz w:val="20"/>
              </w:rPr>
            </w:pPr>
          </w:p>
        </w:tc>
        <w:tc>
          <w:tcPr>
            <w:tcW w:w="854" w:type="dxa"/>
            <w:gridSpan w:val="2"/>
            <w:vAlign w:val="center"/>
          </w:tcPr>
          <w:p w14:paraId="2C3A5AF7" w14:textId="77777777" w:rsidR="005C61BF" w:rsidRPr="00DF5C23" w:rsidRDefault="005C61BF" w:rsidP="005C61BF">
            <w:pPr>
              <w:spacing w:before="40" w:after="40"/>
              <w:jc w:val="right"/>
              <w:rPr>
                <w:rFonts w:eastAsia="Calibri"/>
                <w:b/>
                <w:noProof/>
                <w:sz w:val="20"/>
              </w:rPr>
            </w:pPr>
          </w:p>
        </w:tc>
        <w:tc>
          <w:tcPr>
            <w:tcW w:w="854" w:type="dxa"/>
            <w:gridSpan w:val="2"/>
            <w:vAlign w:val="center"/>
          </w:tcPr>
          <w:p w14:paraId="2C3A5AF8" w14:textId="77777777" w:rsidR="005C61BF" w:rsidRPr="00DF5C23" w:rsidRDefault="005C61BF" w:rsidP="005C61BF">
            <w:pPr>
              <w:spacing w:before="40" w:after="40"/>
              <w:jc w:val="right"/>
              <w:rPr>
                <w:rFonts w:eastAsia="Calibri"/>
                <w:b/>
                <w:noProof/>
                <w:sz w:val="20"/>
              </w:rPr>
            </w:pPr>
          </w:p>
        </w:tc>
        <w:tc>
          <w:tcPr>
            <w:tcW w:w="854" w:type="dxa"/>
            <w:gridSpan w:val="2"/>
            <w:vAlign w:val="center"/>
          </w:tcPr>
          <w:p w14:paraId="2C3A5AF9" w14:textId="77777777" w:rsidR="005C61BF" w:rsidRPr="00DF5C23" w:rsidRDefault="005C61BF" w:rsidP="005C61BF">
            <w:pPr>
              <w:spacing w:before="40" w:after="40"/>
              <w:jc w:val="right"/>
              <w:rPr>
                <w:rFonts w:eastAsia="Calibri"/>
                <w:b/>
                <w:noProof/>
                <w:sz w:val="20"/>
              </w:rPr>
            </w:pPr>
          </w:p>
        </w:tc>
        <w:tc>
          <w:tcPr>
            <w:tcW w:w="867" w:type="dxa"/>
            <w:gridSpan w:val="2"/>
            <w:vAlign w:val="center"/>
          </w:tcPr>
          <w:p w14:paraId="2C3A5AFA" w14:textId="77777777" w:rsidR="005C61BF" w:rsidRPr="00DF5C23" w:rsidRDefault="005C61BF" w:rsidP="005C61BF">
            <w:pPr>
              <w:spacing w:before="40" w:after="40"/>
              <w:jc w:val="right"/>
              <w:rPr>
                <w:rFonts w:eastAsia="Calibri"/>
                <w:b/>
                <w:noProof/>
                <w:sz w:val="20"/>
              </w:rPr>
            </w:pPr>
          </w:p>
        </w:tc>
        <w:tc>
          <w:tcPr>
            <w:tcW w:w="837" w:type="dxa"/>
            <w:gridSpan w:val="2"/>
          </w:tcPr>
          <w:p w14:paraId="2C3A5AFB" w14:textId="77777777" w:rsidR="00144505" w:rsidRPr="00DF5C23" w:rsidRDefault="00144505" w:rsidP="005C61BF">
            <w:pPr>
              <w:spacing w:before="40" w:after="40"/>
              <w:jc w:val="right"/>
              <w:rPr>
                <w:rFonts w:eastAsia="Calibri"/>
                <w:b/>
                <w:noProof/>
                <w:sz w:val="20"/>
              </w:rPr>
            </w:pPr>
          </w:p>
        </w:tc>
        <w:tc>
          <w:tcPr>
            <w:tcW w:w="1916" w:type="dxa"/>
            <w:gridSpan w:val="2"/>
            <w:vAlign w:val="center"/>
          </w:tcPr>
          <w:p w14:paraId="2C3A5AFC" w14:textId="77777777" w:rsidR="005C61BF" w:rsidRPr="00DF5C23" w:rsidRDefault="005C61BF" w:rsidP="005C61BF">
            <w:pPr>
              <w:spacing w:before="40" w:after="40"/>
              <w:jc w:val="right"/>
              <w:rPr>
                <w:rFonts w:eastAsia="Calibri"/>
                <w:b/>
                <w:noProof/>
                <w:sz w:val="20"/>
              </w:rPr>
            </w:pPr>
          </w:p>
        </w:tc>
      </w:tr>
      <w:tr w:rsidR="005C61BF" w:rsidRPr="00DF5C23" w14:paraId="2C3A5B09" w14:textId="77777777" w:rsidTr="00EC0E40">
        <w:tc>
          <w:tcPr>
            <w:tcW w:w="3960" w:type="dxa"/>
            <w:gridSpan w:val="2"/>
            <w:vMerge w:val="restart"/>
            <w:vAlign w:val="center"/>
          </w:tcPr>
          <w:p w14:paraId="2C3A5AFE" w14:textId="77777777" w:rsidR="005C61BF" w:rsidRPr="00DF5C23" w:rsidRDefault="005C61BF" w:rsidP="005C61BF">
            <w:pPr>
              <w:jc w:val="center"/>
              <w:rPr>
                <w:rFonts w:eastAsia="Calibri"/>
                <w:b/>
                <w:noProof/>
              </w:rPr>
            </w:pPr>
            <w:r w:rsidRPr="00DF5C23">
              <w:rPr>
                <w:rFonts w:eastAsia="Calibri"/>
                <w:b/>
                <w:noProof/>
                <w:sz w:val="22"/>
              </w:rPr>
              <w:t>TOTAL appropriations</w:t>
            </w:r>
            <w:r w:rsidRPr="00DF5C23">
              <w:rPr>
                <w:rFonts w:eastAsia="Calibri"/>
                <w:noProof/>
                <w:sz w:val="22"/>
              </w:rPr>
              <w:br/>
            </w:r>
            <w:r w:rsidRPr="00DF5C23">
              <w:rPr>
                <w:rFonts w:eastAsia="Calibri"/>
                <w:b/>
                <w:noProof/>
                <w:sz w:val="22"/>
              </w:rPr>
              <w:t xml:space="preserve">for DG </w:t>
            </w:r>
            <w:r w:rsidRPr="00DF5C23">
              <w:rPr>
                <w:rFonts w:eastAsia="Calibri"/>
                <w:noProof/>
                <w:sz w:val="22"/>
              </w:rPr>
              <w:t>GROW</w:t>
            </w:r>
          </w:p>
        </w:tc>
        <w:tc>
          <w:tcPr>
            <w:tcW w:w="1440" w:type="dxa"/>
            <w:gridSpan w:val="2"/>
            <w:vAlign w:val="center"/>
          </w:tcPr>
          <w:p w14:paraId="2C3A5AFF" w14:textId="77777777" w:rsidR="005C61BF" w:rsidRPr="00DF5C23" w:rsidRDefault="005C61BF" w:rsidP="005C61BF">
            <w:pPr>
              <w:rPr>
                <w:rFonts w:eastAsia="Calibri"/>
                <w:noProof/>
                <w:sz w:val="18"/>
              </w:rPr>
            </w:pPr>
            <w:r w:rsidRPr="00DF5C23">
              <w:rPr>
                <w:rFonts w:eastAsia="Calibri"/>
                <w:noProof/>
                <w:sz w:val="18"/>
              </w:rPr>
              <w:t>Commitments</w:t>
            </w:r>
          </w:p>
        </w:tc>
        <w:tc>
          <w:tcPr>
            <w:tcW w:w="654" w:type="dxa"/>
            <w:gridSpan w:val="3"/>
            <w:vAlign w:val="center"/>
          </w:tcPr>
          <w:p w14:paraId="2C3A5B00" w14:textId="77777777" w:rsidR="005C61BF" w:rsidRPr="00DF5C23" w:rsidRDefault="005C61BF" w:rsidP="005C61BF">
            <w:pPr>
              <w:jc w:val="center"/>
              <w:rPr>
                <w:rFonts w:eastAsia="Calibri"/>
                <w:noProof/>
                <w:sz w:val="14"/>
              </w:rPr>
            </w:pPr>
            <w:r w:rsidRPr="00DF5C23">
              <w:rPr>
                <w:rFonts w:eastAsia="Calibri"/>
                <w:noProof/>
                <w:sz w:val="14"/>
              </w:rPr>
              <w:t>=1a+1b +3</w:t>
            </w:r>
          </w:p>
        </w:tc>
        <w:tc>
          <w:tcPr>
            <w:tcW w:w="868" w:type="dxa"/>
            <w:gridSpan w:val="2"/>
            <w:vAlign w:val="center"/>
          </w:tcPr>
          <w:p w14:paraId="2C3A5B01"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3,402</w:t>
            </w:r>
          </w:p>
        </w:tc>
        <w:tc>
          <w:tcPr>
            <w:tcW w:w="868" w:type="dxa"/>
            <w:gridSpan w:val="2"/>
            <w:vAlign w:val="center"/>
          </w:tcPr>
          <w:p w14:paraId="2C3A5B02"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4,056</w:t>
            </w:r>
          </w:p>
        </w:tc>
        <w:tc>
          <w:tcPr>
            <w:tcW w:w="868" w:type="dxa"/>
            <w:gridSpan w:val="2"/>
            <w:vAlign w:val="center"/>
          </w:tcPr>
          <w:p w14:paraId="2C3A5B03"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3,770</w:t>
            </w:r>
          </w:p>
        </w:tc>
        <w:tc>
          <w:tcPr>
            <w:tcW w:w="868" w:type="dxa"/>
            <w:gridSpan w:val="2"/>
            <w:vAlign w:val="center"/>
          </w:tcPr>
          <w:p w14:paraId="2C3A5B04"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3,370</w:t>
            </w:r>
          </w:p>
        </w:tc>
        <w:tc>
          <w:tcPr>
            <w:tcW w:w="868" w:type="dxa"/>
            <w:gridSpan w:val="2"/>
            <w:vAlign w:val="center"/>
          </w:tcPr>
          <w:p w14:paraId="2C3A5B05"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81" w:type="dxa"/>
            <w:gridSpan w:val="2"/>
            <w:vAlign w:val="center"/>
          </w:tcPr>
          <w:p w14:paraId="2C3A5B06"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51" w:type="dxa"/>
            <w:gridSpan w:val="2"/>
          </w:tcPr>
          <w:p w14:paraId="2C3A5B07" w14:textId="77777777" w:rsidR="00144505" w:rsidRPr="00DF5C23" w:rsidRDefault="00144505" w:rsidP="005C61BF">
            <w:pPr>
              <w:spacing w:before="20" w:after="20"/>
              <w:jc w:val="right"/>
              <w:rPr>
                <w:rFonts w:ascii="Arial Narrow" w:hAnsi="Arial Narrow" w:cs="Calibri"/>
                <w:noProof/>
                <w:color w:val="000000"/>
                <w:sz w:val="20"/>
                <w:szCs w:val="20"/>
              </w:rPr>
            </w:pPr>
          </w:p>
        </w:tc>
        <w:tc>
          <w:tcPr>
            <w:tcW w:w="1701" w:type="dxa"/>
            <w:vAlign w:val="center"/>
          </w:tcPr>
          <w:p w14:paraId="2C3A5B08"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r w:rsidR="005C61BF" w:rsidRPr="00DF5C23" w14:paraId="2C3A5B16" w14:textId="77777777" w:rsidTr="00EC0E40">
        <w:tc>
          <w:tcPr>
            <w:tcW w:w="3960" w:type="dxa"/>
            <w:gridSpan w:val="2"/>
            <w:vMerge/>
          </w:tcPr>
          <w:p w14:paraId="2C3A5B0A" w14:textId="77777777" w:rsidR="005C61BF" w:rsidRPr="00DF5C23" w:rsidRDefault="005C61BF" w:rsidP="005C61BF">
            <w:pPr>
              <w:rPr>
                <w:rFonts w:eastAsia="Calibri"/>
                <w:noProof/>
                <w:sz w:val="20"/>
              </w:rPr>
            </w:pPr>
          </w:p>
        </w:tc>
        <w:tc>
          <w:tcPr>
            <w:tcW w:w="1440" w:type="dxa"/>
            <w:gridSpan w:val="2"/>
            <w:vAlign w:val="center"/>
          </w:tcPr>
          <w:p w14:paraId="2C3A5B0B" w14:textId="77777777" w:rsidR="005C61BF" w:rsidRPr="00DF5C23" w:rsidRDefault="005C61BF" w:rsidP="005C61BF">
            <w:pPr>
              <w:rPr>
                <w:rFonts w:eastAsia="Calibri"/>
                <w:noProof/>
                <w:sz w:val="18"/>
              </w:rPr>
            </w:pPr>
            <w:r w:rsidRPr="00DF5C23">
              <w:rPr>
                <w:rFonts w:eastAsia="Calibri"/>
                <w:noProof/>
                <w:sz w:val="18"/>
              </w:rPr>
              <w:t>Payments</w:t>
            </w:r>
          </w:p>
        </w:tc>
        <w:tc>
          <w:tcPr>
            <w:tcW w:w="654" w:type="dxa"/>
            <w:gridSpan w:val="3"/>
            <w:vAlign w:val="center"/>
          </w:tcPr>
          <w:p w14:paraId="2C3A5B0C" w14:textId="77777777" w:rsidR="005C61BF" w:rsidRPr="00DF5C23" w:rsidRDefault="005C61BF" w:rsidP="005C61BF">
            <w:pPr>
              <w:jc w:val="center"/>
              <w:rPr>
                <w:rFonts w:eastAsia="Calibri"/>
                <w:noProof/>
                <w:sz w:val="14"/>
              </w:rPr>
            </w:pPr>
            <w:r w:rsidRPr="00DF5C23">
              <w:rPr>
                <w:rFonts w:eastAsia="Calibri"/>
                <w:noProof/>
                <w:sz w:val="14"/>
              </w:rPr>
              <w:t>=2a+2b</w:t>
            </w:r>
          </w:p>
          <w:p w14:paraId="2C3A5B0D" w14:textId="77777777" w:rsidR="005C61BF" w:rsidRPr="00DF5C23" w:rsidRDefault="005C61BF" w:rsidP="005C61BF">
            <w:pPr>
              <w:jc w:val="center"/>
              <w:rPr>
                <w:rFonts w:eastAsia="Calibri"/>
                <w:noProof/>
                <w:sz w:val="14"/>
              </w:rPr>
            </w:pPr>
            <w:r w:rsidRPr="00DF5C23">
              <w:rPr>
                <w:rFonts w:eastAsia="Calibri"/>
                <w:noProof/>
                <w:sz w:val="14"/>
              </w:rPr>
              <w:t>+3</w:t>
            </w:r>
          </w:p>
        </w:tc>
        <w:tc>
          <w:tcPr>
            <w:tcW w:w="868" w:type="dxa"/>
            <w:gridSpan w:val="2"/>
            <w:vAlign w:val="center"/>
          </w:tcPr>
          <w:p w14:paraId="2C3A5B0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1,021</w:t>
            </w:r>
          </w:p>
        </w:tc>
        <w:tc>
          <w:tcPr>
            <w:tcW w:w="868" w:type="dxa"/>
            <w:gridSpan w:val="2"/>
            <w:vAlign w:val="center"/>
          </w:tcPr>
          <w:p w14:paraId="2C3A5B0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2,237</w:t>
            </w:r>
          </w:p>
        </w:tc>
        <w:tc>
          <w:tcPr>
            <w:tcW w:w="868" w:type="dxa"/>
            <w:gridSpan w:val="2"/>
            <w:vAlign w:val="center"/>
          </w:tcPr>
          <w:p w14:paraId="2C3A5B1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3,709</w:t>
            </w:r>
          </w:p>
        </w:tc>
        <w:tc>
          <w:tcPr>
            <w:tcW w:w="868" w:type="dxa"/>
            <w:gridSpan w:val="2"/>
            <w:vAlign w:val="center"/>
          </w:tcPr>
          <w:p w14:paraId="2C3A5B11"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3,764</w:t>
            </w:r>
          </w:p>
        </w:tc>
        <w:tc>
          <w:tcPr>
            <w:tcW w:w="868" w:type="dxa"/>
            <w:gridSpan w:val="2"/>
            <w:vAlign w:val="center"/>
          </w:tcPr>
          <w:p w14:paraId="2C3A5B12"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3,830</w:t>
            </w:r>
          </w:p>
        </w:tc>
        <w:tc>
          <w:tcPr>
            <w:tcW w:w="881" w:type="dxa"/>
            <w:gridSpan w:val="2"/>
            <w:vAlign w:val="center"/>
          </w:tcPr>
          <w:p w14:paraId="2C3A5B13" w14:textId="77777777" w:rsidR="005C61BF" w:rsidRPr="00DF5C23" w:rsidRDefault="00A1044C" w:rsidP="005C61BF">
            <w:pPr>
              <w:spacing w:before="20" w:after="20"/>
              <w:jc w:val="right"/>
              <w:rPr>
                <w:rFonts w:eastAsia="Calibri"/>
                <w:noProof/>
                <w:sz w:val="20"/>
              </w:rPr>
            </w:pPr>
            <w:r w:rsidRPr="00DF5C23">
              <w:rPr>
                <w:rFonts w:ascii="Arial Narrow" w:hAnsi="Arial Narrow" w:cs="Calibri"/>
                <w:noProof/>
                <w:color w:val="000000"/>
                <w:sz w:val="20"/>
                <w:szCs w:val="20"/>
              </w:rPr>
              <w:t>3,970</w:t>
            </w:r>
          </w:p>
        </w:tc>
        <w:tc>
          <w:tcPr>
            <w:tcW w:w="851" w:type="dxa"/>
            <w:gridSpan w:val="2"/>
            <w:vAlign w:val="center"/>
          </w:tcPr>
          <w:p w14:paraId="2C3A5B14" w14:textId="77777777" w:rsidR="00A1044C" w:rsidRPr="00DF5C23" w:rsidRDefault="00A1044C" w:rsidP="00A1044C">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4,807</w:t>
            </w:r>
          </w:p>
        </w:tc>
        <w:tc>
          <w:tcPr>
            <w:tcW w:w="1701" w:type="dxa"/>
            <w:vAlign w:val="center"/>
          </w:tcPr>
          <w:p w14:paraId="2C3A5B15"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bl>
    <w:p w14:paraId="2C3A5B17" w14:textId="77777777" w:rsidR="00BF1765" w:rsidRPr="00DF5C23" w:rsidRDefault="00BF1765" w:rsidP="00BF1765">
      <w:pPr>
        <w:rPr>
          <w:rFonts w:eastAsia="Calibri"/>
          <w:noProof/>
        </w:rPr>
      </w:pPr>
      <w:r w:rsidRPr="00DF5C23">
        <w:rPr>
          <w:rFonts w:eastAsia="Calibri"/>
          <w:noProof/>
        </w:rPr>
        <w:br/>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81"/>
        <w:gridCol w:w="851"/>
        <w:gridCol w:w="1701"/>
      </w:tblGrid>
      <w:tr w:rsidR="005C61BF" w:rsidRPr="00DF5C23" w14:paraId="2C3A5B23" w14:textId="77777777" w:rsidTr="00224662">
        <w:trPr>
          <w:trHeight w:val="277"/>
        </w:trPr>
        <w:tc>
          <w:tcPr>
            <w:tcW w:w="3960" w:type="dxa"/>
            <w:vMerge w:val="restart"/>
            <w:vAlign w:val="center"/>
          </w:tcPr>
          <w:p w14:paraId="2C3A5B18" w14:textId="77777777" w:rsidR="005C61BF" w:rsidRPr="00DF5C23" w:rsidRDefault="005C61BF" w:rsidP="005C61BF">
            <w:pPr>
              <w:spacing w:before="20" w:after="20"/>
              <w:rPr>
                <w:rFonts w:eastAsia="Calibri"/>
                <w:noProof/>
              </w:rPr>
            </w:pPr>
            <w:r w:rsidRPr="00DF5C23">
              <w:rPr>
                <w:rFonts w:eastAsia="Calibri"/>
                <w:noProof/>
                <w:sz w:val="22"/>
              </w:rPr>
              <w:br w:type="page"/>
            </w:r>
            <w:r w:rsidRPr="00DF5C23">
              <w:rPr>
                <w:rFonts w:eastAsia="Calibri"/>
                <w:noProof/>
                <w:sz w:val="21"/>
              </w:rPr>
              <w:sym w:font="Wingdings" w:char="F09F"/>
            </w:r>
            <w:r w:rsidRPr="00DF5C23">
              <w:rPr>
                <w:rFonts w:eastAsia="Calibri"/>
                <w:noProof/>
                <w:sz w:val="21"/>
              </w:rPr>
              <w:t xml:space="preserve"> TOTAL operational appropriations </w:t>
            </w:r>
          </w:p>
        </w:tc>
        <w:tc>
          <w:tcPr>
            <w:tcW w:w="1440" w:type="dxa"/>
            <w:vAlign w:val="center"/>
          </w:tcPr>
          <w:p w14:paraId="2C3A5B19"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Commitments</w:t>
            </w:r>
          </w:p>
        </w:tc>
        <w:tc>
          <w:tcPr>
            <w:tcW w:w="654" w:type="dxa"/>
            <w:vAlign w:val="center"/>
          </w:tcPr>
          <w:p w14:paraId="2C3A5B1A"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(4)</w:t>
            </w:r>
          </w:p>
        </w:tc>
        <w:tc>
          <w:tcPr>
            <w:tcW w:w="868" w:type="dxa"/>
            <w:vAlign w:val="center"/>
          </w:tcPr>
          <w:p w14:paraId="2C3A5B1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3,402</w:t>
            </w:r>
          </w:p>
        </w:tc>
        <w:tc>
          <w:tcPr>
            <w:tcW w:w="868" w:type="dxa"/>
            <w:vAlign w:val="center"/>
          </w:tcPr>
          <w:p w14:paraId="2C3A5B1C"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4,056</w:t>
            </w:r>
          </w:p>
        </w:tc>
        <w:tc>
          <w:tcPr>
            <w:tcW w:w="868" w:type="dxa"/>
            <w:vAlign w:val="center"/>
          </w:tcPr>
          <w:p w14:paraId="2C3A5B1D"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3,770</w:t>
            </w:r>
          </w:p>
        </w:tc>
        <w:tc>
          <w:tcPr>
            <w:tcW w:w="868" w:type="dxa"/>
            <w:vAlign w:val="center"/>
          </w:tcPr>
          <w:p w14:paraId="2C3A5B1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3,370</w:t>
            </w:r>
          </w:p>
        </w:tc>
        <w:tc>
          <w:tcPr>
            <w:tcW w:w="868" w:type="dxa"/>
            <w:vAlign w:val="center"/>
          </w:tcPr>
          <w:p w14:paraId="2C3A5B1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81" w:type="dxa"/>
            <w:vAlign w:val="center"/>
          </w:tcPr>
          <w:p w14:paraId="2C3A5B2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51" w:type="dxa"/>
          </w:tcPr>
          <w:p w14:paraId="2C3A5B21" w14:textId="77777777" w:rsidR="00224662" w:rsidRPr="00DF5C23" w:rsidRDefault="00224662" w:rsidP="005C61BF">
            <w:pPr>
              <w:spacing w:before="20" w:after="20"/>
              <w:jc w:val="right"/>
              <w:rPr>
                <w:rFonts w:ascii="Arial Narrow" w:hAnsi="Arial Narrow" w:cs="Calibri"/>
                <w:noProof/>
                <w:color w:val="000000"/>
                <w:sz w:val="20"/>
                <w:szCs w:val="20"/>
              </w:rPr>
            </w:pPr>
          </w:p>
        </w:tc>
        <w:tc>
          <w:tcPr>
            <w:tcW w:w="1701" w:type="dxa"/>
            <w:vAlign w:val="center"/>
          </w:tcPr>
          <w:p w14:paraId="2C3A5B22"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r w:rsidR="005C61BF" w:rsidRPr="00DF5C23" w14:paraId="2C3A5B2F" w14:textId="77777777" w:rsidTr="00224662">
        <w:tc>
          <w:tcPr>
            <w:tcW w:w="3960" w:type="dxa"/>
            <w:vMerge/>
          </w:tcPr>
          <w:p w14:paraId="2C3A5B24" w14:textId="77777777" w:rsidR="005C61BF" w:rsidRPr="00DF5C23" w:rsidRDefault="005C61BF" w:rsidP="005C61BF">
            <w:pPr>
              <w:jc w:val="center"/>
              <w:rPr>
                <w:rFonts w:eastAsia="Calibri"/>
                <w:noProof/>
                <w:sz w:val="20"/>
              </w:rPr>
            </w:pPr>
          </w:p>
        </w:tc>
        <w:tc>
          <w:tcPr>
            <w:tcW w:w="1440" w:type="dxa"/>
            <w:vAlign w:val="center"/>
          </w:tcPr>
          <w:p w14:paraId="2C3A5B25"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Payments</w:t>
            </w:r>
          </w:p>
        </w:tc>
        <w:tc>
          <w:tcPr>
            <w:tcW w:w="654" w:type="dxa"/>
            <w:vAlign w:val="center"/>
          </w:tcPr>
          <w:p w14:paraId="2C3A5B26"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(5)</w:t>
            </w:r>
          </w:p>
        </w:tc>
        <w:tc>
          <w:tcPr>
            <w:tcW w:w="868" w:type="dxa"/>
            <w:vAlign w:val="center"/>
          </w:tcPr>
          <w:p w14:paraId="2C3A5B27"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1,021</w:t>
            </w:r>
          </w:p>
        </w:tc>
        <w:tc>
          <w:tcPr>
            <w:tcW w:w="868" w:type="dxa"/>
            <w:vAlign w:val="center"/>
          </w:tcPr>
          <w:p w14:paraId="2C3A5B28"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2,237</w:t>
            </w:r>
          </w:p>
        </w:tc>
        <w:tc>
          <w:tcPr>
            <w:tcW w:w="868" w:type="dxa"/>
            <w:vAlign w:val="center"/>
          </w:tcPr>
          <w:p w14:paraId="2C3A5B29"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3,709</w:t>
            </w:r>
          </w:p>
        </w:tc>
        <w:tc>
          <w:tcPr>
            <w:tcW w:w="868" w:type="dxa"/>
            <w:vAlign w:val="center"/>
          </w:tcPr>
          <w:p w14:paraId="2C3A5B2A"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3,764</w:t>
            </w:r>
          </w:p>
        </w:tc>
        <w:tc>
          <w:tcPr>
            <w:tcW w:w="868" w:type="dxa"/>
            <w:vAlign w:val="center"/>
          </w:tcPr>
          <w:p w14:paraId="2C3A5B2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3,830</w:t>
            </w:r>
          </w:p>
        </w:tc>
        <w:tc>
          <w:tcPr>
            <w:tcW w:w="881" w:type="dxa"/>
            <w:vAlign w:val="center"/>
          </w:tcPr>
          <w:p w14:paraId="2C3A5B2C" w14:textId="77777777" w:rsidR="005C61BF" w:rsidRPr="00DF5C23" w:rsidRDefault="00224662" w:rsidP="005C61BF">
            <w:pPr>
              <w:spacing w:before="20" w:after="20"/>
              <w:jc w:val="right"/>
              <w:rPr>
                <w:rFonts w:eastAsia="Calibri"/>
                <w:noProof/>
                <w:sz w:val="20"/>
              </w:rPr>
            </w:pPr>
            <w:r w:rsidRPr="00DF5C23">
              <w:rPr>
                <w:rFonts w:ascii="Arial Narrow" w:hAnsi="Arial Narrow" w:cs="Calibri"/>
                <w:noProof/>
                <w:color w:val="000000"/>
                <w:sz w:val="20"/>
                <w:szCs w:val="20"/>
              </w:rPr>
              <w:t>3,970</w:t>
            </w:r>
          </w:p>
        </w:tc>
        <w:tc>
          <w:tcPr>
            <w:tcW w:w="851" w:type="dxa"/>
          </w:tcPr>
          <w:p w14:paraId="2C3A5B2D" w14:textId="77777777" w:rsidR="00224662" w:rsidRPr="00DF5C23" w:rsidRDefault="00224662"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4,807</w:t>
            </w:r>
          </w:p>
        </w:tc>
        <w:tc>
          <w:tcPr>
            <w:tcW w:w="1701" w:type="dxa"/>
            <w:vAlign w:val="center"/>
          </w:tcPr>
          <w:p w14:paraId="2C3A5B2E"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r w:rsidR="005C61BF" w:rsidRPr="00DF5C23" w14:paraId="2C3A5B3A" w14:textId="77777777" w:rsidTr="00224662">
        <w:trPr>
          <w:trHeight w:val="533"/>
        </w:trPr>
        <w:tc>
          <w:tcPr>
            <w:tcW w:w="5400" w:type="dxa"/>
            <w:gridSpan w:val="2"/>
            <w:vAlign w:val="center"/>
          </w:tcPr>
          <w:p w14:paraId="2C3A5B30" w14:textId="77777777" w:rsidR="005C61BF" w:rsidRPr="00DF5C23" w:rsidRDefault="005C61BF" w:rsidP="005C61BF">
            <w:pPr>
              <w:spacing w:beforeLines="20" w:before="48" w:afterLines="20" w:after="48"/>
              <w:rPr>
                <w:rFonts w:eastAsia="Calibri"/>
                <w:noProof/>
              </w:rPr>
            </w:pPr>
            <w:r w:rsidRPr="00DF5C23">
              <w:rPr>
                <w:rFonts w:eastAsia="Calibri"/>
                <w:noProof/>
                <w:sz w:val="21"/>
              </w:rPr>
              <w:sym w:font="Wingdings" w:char="F09F"/>
            </w:r>
            <w:r w:rsidRPr="00DF5C23">
              <w:rPr>
                <w:rFonts w:eastAsia="Calibri"/>
                <w:noProof/>
                <w:sz w:val="21"/>
              </w:rPr>
              <w:t xml:space="preserve"> TOTAL appropriations of an administrative nature financed from the envelope for specific programmes </w:t>
            </w:r>
          </w:p>
        </w:tc>
        <w:tc>
          <w:tcPr>
            <w:tcW w:w="654" w:type="dxa"/>
            <w:vAlign w:val="center"/>
          </w:tcPr>
          <w:p w14:paraId="2C3A5B31"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(6)</w:t>
            </w:r>
          </w:p>
        </w:tc>
        <w:tc>
          <w:tcPr>
            <w:tcW w:w="868" w:type="dxa"/>
            <w:vAlign w:val="center"/>
          </w:tcPr>
          <w:p w14:paraId="2C3A5B32" w14:textId="77777777" w:rsidR="005C61BF" w:rsidRPr="00DF5C23" w:rsidRDefault="005C61BF" w:rsidP="005C61BF">
            <w:pPr>
              <w:spacing w:before="20" w:after="20"/>
              <w:jc w:val="right"/>
              <w:rPr>
                <w:rFonts w:eastAsia="Calibri"/>
                <w:b/>
                <w:noProof/>
                <w:sz w:val="20"/>
              </w:rPr>
            </w:pPr>
          </w:p>
        </w:tc>
        <w:tc>
          <w:tcPr>
            <w:tcW w:w="868" w:type="dxa"/>
            <w:vAlign w:val="center"/>
          </w:tcPr>
          <w:p w14:paraId="2C3A5B33" w14:textId="77777777" w:rsidR="005C61BF" w:rsidRPr="00DF5C23" w:rsidRDefault="005C61BF" w:rsidP="005C61BF">
            <w:pPr>
              <w:spacing w:before="20" w:after="20"/>
              <w:jc w:val="right"/>
              <w:rPr>
                <w:rFonts w:eastAsia="Calibri"/>
                <w:b/>
                <w:noProof/>
                <w:sz w:val="20"/>
              </w:rPr>
            </w:pPr>
          </w:p>
        </w:tc>
        <w:tc>
          <w:tcPr>
            <w:tcW w:w="868" w:type="dxa"/>
            <w:vAlign w:val="center"/>
          </w:tcPr>
          <w:p w14:paraId="2C3A5B34" w14:textId="77777777" w:rsidR="005C61BF" w:rsidRPr="00DF5C23" w:rsidRDefault="005C61BF" w:rsidP="005C61BF">
            <w:pPr>
              <w:spacing w:before="20" w:after="20"/>
              <w:jc w:val="right"/>
              <w:rPr>
                <w:rFonts w:eastAsia="Calibri"/>
                <w:b/>
                <w:noProof/>
                <w:sz w:val="20"/>
              </w:rPr>
            </w:pPr>
          </w:p>
        </w:tc>
        <w:tc>
          <w:tcPr>
            <w:tcW w:w="868" w:type="dxa"/>
            <w:vAlign w:val="center"/>
          </w:tcPr>
          <w:p w14:paraId="2C3A5B35" w14:textId="77777777" w:rsidR="005C61BF" w:rsidRPr="00DF5C23" w:rsidRDefault="005C61BF" w:rsidP="005C61BF">
            <w:pPr>
              <w:spacing w:before="20" w:after="20"/>
              <w:jc w:val="right"/>
              <w:rPr>
                <w:rFonts w:eastAsia="Calibri"/>
                <w:b/>
                <w:noProof/>
                <w:sz w:val="20"/>
              </w:rPr>
            </w:pPr>
          </w:p>
        </w:tc>
        <w:tc>
          <w:tcPr>
            <w:tcW w:w="868" w:type="dxa"/>
            <w:vAlign w:val="center"/>
          </w:tcPr>
          <w:p w14:paraId="2C3A5B36" w14:textId="77777777" w:rsidR="005C61BF" w:rsidRPr="00DF5C23" w:rsidRDefault="005C61BF" w:rsidP="005C61BF">
            <w:pPr>
              <w:spacing w:before="20" w:after="20"/>
              <w:jc w:val="right"/>
              <w:rPr>
                <w:rFonts w:eastAsia="Calibri"/>
                <w:b/>
                <w:noProof/>
                <w:sz w:val="20"/>
              </w:rPr>
            </w:pPr>
          </w:p>
        </w:tc>
        <w:tc>
          <w:tcPr>
            <w:tcW w:w="881" w:type="dxa"/>
            <w:vAlign w:val="center"/>
          </w:tcPr>
          <w:p w14:paraId="2C3A5B37" w14:textId="77777777" w:rsidR="005C61BF" w:rsidRPr="00DF5C23" w:rsidRDefault="005C61BF" w:rsidP="005C61BF">
            <w:pPr>
              <w:spacing w:before="20" w:after="20"/>
              <w:jc w:val="right"/>
              <w:rPr>
                <w:rFonts w:eastAsia="Calibri"/>
                <w:b/>
                <w:noProof/>
                <w:sz w:val="20"/>
              </w:rPr>
            </w:pPr>
          </w:p>
        </w:tc>
        <w:tc>
          <w:tcPr>
            <w:tcW w:w="851" w:type="dxa"/>
          </w:tcPr>
          <w:p w14:paraId="2C3A5B38" w14:textId="77777777" w:rsidR="00224662" w:rsidRPr="00DF5C23" w:rsidRDefault="00224662" w:rsidP="005C61BF">
            <w:pPr>
              <w:spacing w:before="20" w:after="20"/>
              <w:jc w:val="right"/>
              <w:rPr>
                <w:rFonts w:eastAsia="Calibri"/>
                <w:b/>
                <w:noProof/>
                <w:sz w:val="20"/>
              </w:rPr>
            </w:pPr>
          </w:p>
        </w:tc>
        <w:tc>
          <w:tcPr>
            <w:tcW w:w="1701" w:type="dxa"/>
            <w:vAlign w:val="center"/>
          </w:tcPr>
          <w:p w14:paraId="2C3A5B39" w14:textId="77777777" w:rsidR="005C61BF" w:rsidRPr="00DF5C23" w:rsidRDefault="005C61BF" w:rsidP="005C61BF">
            <w:pPr>
              <w:spacing w:before="20" w:after="20"/>
              <w:jc w:val="right"/>
              <w:rPr>
                <w:rFonts w:eastAsia="Calibri"/>
                <w:b/>
                <w:noProof/>
                <w:sz w:val="20"/>
              </w:rPr>
            </w:pPr>
          </w:p>
        </w:tc>
      </w:tr>
      <w:tr w:rsidR="005C61BF" w:rsidRPr="00DF5C23" w14:paraId="2C3A5B46" w14:textId="77777777" w:rsidTr="00224662">
        <w:tc>
          <w:tcPr>
            <w:tcW w:w="3960" w:type="dxa"/>
            <w:vMerge w:val="restart"/>
            <w:shd w:val="thinDiagStripe" w:color="C0C0C0" w:fill="auto"/>
            <w:vAlign w:val="center"/>
          </w:tcPr>
          <w:p w14:paraId="2C3A5B3B" w14:textId="77777777" w:rsidR="005C61BF" w:rsidRPr="00DF5C23" w:rsidRDefault="005C61BF" w:rsidP="005C61BF">
            <w:pPr>
              <w:jc w:val="center"/>
              <w:rPr>
                <w:rFonts w:eastAsia="Calibri"/>
                <w:b/>
                <w:noProof/>
              </w:rPr>
            </w:pPr>
            <w:r w:rsidRPr="00DF5C23">
              <w:rPr>
                <w:rFonts w:eastAsia="Calibri"/>
                <w:b/>
                <w:noProof/>
                <w:sz w:val="22"/>
              </w:rPr>
              <w:t xml:space="preserve">TOTAL appropriations </w:t>
            </w:r>
            <w:r w:rsidRPr="00DF5C23">
              <w:rPr>
                <w:rFonts w:eastAsia="Calibri"/>
                <w:noProof/>
                <w:sz w:val="22"/>
              </w:rPr>
              <w:br/>
            </w:r>
            <w:r w:rsidRPr="00DF5C23">
              <w:rPr>
                <w:rFonts w:eastAsia="Calibri"/>
                <w:b/>
                <w:noProof/>
                <w:sz w:val="22"/>
              </w:rPr>
              <w:t>under HEADING 1</w:t>
            </w:r>
            <w:r w:rsidRPr="00DF5C23">
              <w:rPr>
                <w:rFonts w:eastAsia="Calibri"/>
                <w:noProof/>
                <w:sz w:val="22"/>
              </w:rPr>
              <w:br/>
              <w:t>of the multiannual financial framework</w:t>
            </w:r>
          </w:p>
        </w:tc>
        <w:tc>
          <w:tcPr>
            <w:tcW w:w="1440" w:type="dxa"/>
            <w:vAlign w:val="center"/>
          </w:tcPr>
          <w:p w14:paraId="2C3A5B3C" w14:textId="77777777" w:rsidR="005C61BF" w:rsidRPr="00DF5C23" w:rsidRDefault="005C61BF" w:rsidP="005C61BF">
            <w:pPr>
              <w:rPr>
                <w:rFonts w:eastAsia="Calibri"/>
                <w:noProof/>
                <w:sz w:val="18"/>
              </w:rPr>
            </w:pPr>
            <w:r w:rsidRPr="00DF5C23">
              <w:rPr>
                <w:rFonts w:eastAsia="Calibri"/>
                <w:noProof/>
                <w:sz w:val="18"/>
              </w:rPr>
              <w:t>Commitments</w:t>
            </w:r>
          </w:p>
        </w:tc>
        <w:tc>
          <w:tcPr>
            <w:tcW w:w="654" w:type="dxa"/>
            <w:vAlign w:val="center"/>
          </w:tcPr>
          <w:p w14:paraId="2C3A5B3D" w14:textId="77777777" w:rsidR="005C61BF" w:rsidRPr="00DF5C23" w:rsidRDefault="005C61BF" w:rsidP="005C61BF">
            <w:pPr>
              <w:jc w:val="center"/>
              <w:rPr>
                <w:rFonts w:eastAsia="Calibri"/>
                <w:noProof/>
                <w:sz w:val="14"/>
              </w:rPr>
            </w:pPr>
            <w:r w:rsidRPr="00DF5C23">
              <w:rPr>
                <w:rFonts w:eastAsia="Calibri"/>
                <w:noProof/>
                <w:sz w:val="14"/>
              </w:rPr>
              <w:t>=4+ 6</w:t>
            </w:r>
          </w:p>
        </w:tc>
        <w:tc>
          <w:tcPr>
            <w:tcW w:w="868" w:type="dxa"/>
            <w:vAlign w:val="center"/>
          </w:tcPr>
          <w:p w14:paraId="2C3A5B3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3,402</w:t>
            </w:r>
          </w:p>
        </w:tc>
        <w:tc>
          <w:tcPr>
            <w:tcW w:w="868" w:type="dxa"/>
            <w:vAlign w:val="center"/>
          </w:tcPr>
          <w:p w14:paraId="2C3A5B3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4,056</w:t>
            </w:r>
          </w:p>
        </w:tc>
        <w:tc>
          <w:tcPr>
            <w:tcW w:w="868" w:type="dxa"/>
            <w:vAlign w:val="center"/>
          </w:tcPr>
          <w:p w14:paraId="2C3A5B4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3,770</w:t>
            </w:r>
          </w:p>
        </w:tc>
        <w:tc>
          <w:tcPr>
            <w:tcW w:w="868" w:type="dxa"/>
            <w:vAlign w:val="center"/>
          </w:tcPr>
          <w:p w14:paraId="2C3A5B41"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3,370</w:t>
            </w:r>
          </w:p>
        </w:tc>
        <w:tc>
          <w:tcPr>
            <w:tcW w:w="868" w:type="dxa"/>
            <w:vAlign w:val="center"/>
          </w:tcPr>
          <w:p w14:paraId="2C3A5B42"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81" w:type="dxa"/>
            <w:vAlign w:val="center"/>
          </w:tcPr>
          <w:p w14:paraId="2C3A5B43"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4,370</w:t>
            </w:r>
          </w:p>
        </w:tc>
        <w:tc>
          <w:tcPr>
            <w:tcW w:w="851" w:type="dxa"/>
          </w:tcPr>
          <w:p w14:paraId="2C3A5B44" w14:textId="77777777" w:rsidR="00224662" w:rsidRPr="00DF5C23" w:rsidRDefault="00224662" w:rsidP="005C61BF">
            <w:pPr>
              <w:spacing w:before="20" w:after="20"/>
              <w:jc w:val="right"/>
              <w:rPr>
                <w:rFonts w:ascii="Arial Narrow" w:hAnsi="Arial Narrow" w:cs="Calibri"/>
                <w:noProof/>
                <w:color w:val="000000"/>
                <w:sz w:val="20"/>
                <w:szCs w:val="20"/>
              </w:rPr>
            </w:pPr>
          </w:p>
        </w:tc>
        <w:tc>
          <w:tcPr>
            <w:tcW w:w="1701" w:type="dxa"/>
            <w:vAlign w:val="center"/>
          </w:tcPr>
          <w:p w14:paraId="2C3A5B45"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r w:rsidR="005C61BF" w:rsidRPr="00DF5C23" w14:paraId="2C3A5B52" w14:textId="77777777" w:rsidTr="00224662">
        <w:tc>
          <w:tcPr>
            <w:tcW w:w="3960" w:type="dxa"/>
            <w:vMerge/>
            <w:shd w:val="thinDiagStripe" w:color="C0C0C0" w:fill="auto"/>
          </w:tcPr>
          <w:p w14:paraId="2C3A5B47" w14:textId="77777777" w:rsidR="005C61BF" w:rsidRPr="00DF5C23" w:rsidRDefault="005C61BF" w:rsidP="005C61BF">
            <w:pPr>
              <w:rPr>
                <w:rFonts w:eastAsia="Calibri"/>
                <w:noProof/>
                <w:sz w:val="20"/>
              </w:rPr>
            </w:pPr>
          </w:p>
        </w:tc>
        <w:tc>
          <w:tcPr>
            <w:tcW w:w="1440" w:type="dxa"/>
            <w:vAlign w:val="center"/>
          </w:tcPr>
          <w:p w14:paraId="2C3A5B48" w14:textId="77777777" w:rsidR="005C61BF" w:rsidRPr="00DF5C23" w:rsidRDefault="005C61BF" w:rsidP="005C61BF">
            <w:pPr>
              <w:rPr>
                <w:rFonts w:eastAsia="Calibri"/>
                <w:noProof/>
                <w:sz w:val="18"/>
              </w:rPr>
            </w:pPr>
            <w:r w:rsidRPr="00DF5C23">
              <w:rPr>
                <w:rFonts w:eastAsia="Calibri"/>
                <w:noProof/>
                <w:sz w:val="18"/>
              </w:rPr>
              <w:t>Payments</w:t>
            </w:r>
          </w:p>
        </w:tc>
        <w:tc>
          <w:tcPr>
            <w:tcW w:w="654" w:type="dxa"/>
            <w:vAlign w:val="center"/>
          </w:tcPr>
          <w:p w14:paraId="2C3A5B49" w14:textId="77777777" w:rsidR="005C61BF" w:rsidRPr="00DF5C23" w:rsidRDefault="005C61BF" w:rsidP="005C61BF">
            <w:pPr>
              <w:jc w:val="center"/>
              <w:rPr>
                <w:rFonts w:eastAsia="Calibri"/>
                <w:noProof/>
                <w:sz w:val="14"/>
              </w:rPr>
            </w:pPr>
            <w:r w:rsidRPr="00DF5C23">
              <w:rPr>
                <w:rFonts w:eastAsia="Calibri"/>
                <w:noProof/>
                <w:sz w:val="14"/>
              </w:rPr>
              <w:t>=5+ 6</w:t>
            </w:r>
          </w:p>
        </w:tc>
        <w:tc>
          <w:tcPr>
            <w:tcW w:w="868" w:type="dxa"/>
            <w:vAlign w:val="center"/>
          </w:tcPr>
          <w:p w14:paraId="2C3A5B4A"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1,021</w:t>
            </w:r>
          </w:p>
        </w:tc>
        <w:tc>
          <w:tcPr>
            <w:tcW w:w="868" w:type="dxa"/>
            <w:vAlign w:val="center"/>
          </w:tcPr>
          <w:p w14:paraId="2C3A5B4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2,237</w:t>
            </w:r>
          </w:p>
        </w:tc>
        <w:tc>
          <w:tcPr>
            <w:tcW w:w="868" w:type="dxa"/>
            <w:vAlign w:val="center"/>
          </w:tcPr>
          <w:p w14:paraId="2C3A5B4C"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3,709</w:t>
            </w:r>
          </w:p>
        </w:tc>
        <w:tc>
          <w:tcPr>
            <w:tcW w:w="868" w:type="dxa"/>
            <w:vAlign w:val="center"/>
          </w:tcPr>
          <w:p w14:paraId="2C3A5B4D"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3,764</w:t>
            </w:r>
          </w:p>
        </w:tc>
        <w:tc>
          <w:tcPr>
            <w:tcW w:w="868" w:type="dxa"/>
            <w:vAlign w:val="center"/>
          </w:tcPr>
          <w:p w14:paraId="2C3A5B4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3,830</w:t>
            </w:r>
          </w:p>
        </w:tc>
        <w:tc>
          <w:tcPr>
            <w:tcW w:w="881" w:type="dxa"/>
            <w:vAlign w:val="center"/>
          </w:tcPr>
          <w:p w14:paraId="2C3A5B4F" w14:textId="77777777" w:rsidR="005C61BF" w:rsidRPr="00DF5C23" w:rsidRDefault="00224662" w:rsidP="005C61BF">
            <w:pPr>
              <w:spacing w:before="20" w:after="20"/>
              <w:jc w:val="right"/>
              <w:rPr>
                <w:rFonts w:eastAsia="Calibri"/>
                <w:noProof/>
                <w:sz w:val="20"/>
              </w:rPr>
            </w:pPr>
            <w:r w:rsidRPr="00DF5C23">
              <w:rPr>
                <w:rFonts w:ascii="Arial Narrow" w:hAnsi="Arial Narrow" w:cs="Calibri"/>
                <w:noProof/>
                <w:color w:val="000000"/>
                <w:sz w:val="20"/>
                <w:szCs w:val="20"/>
              </w:rPr>
              <w:t>3,970</w:t>
            </w:r>
          </w:p>
        </w:tc>
        <w:tc>
          <w:tcPr>
            <w:tcW w:w="851" w:type="dxa"/>
          </w:tcPr>
          <w:p w14:paraId="2C3A5B50" w14:textId="77777777" w:rsidR="00224662" w:rsidRPr="00DF5C23" w:rsidRDefault="00224662"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4,807</w:t>
            </w:r>
          </w:p>
        </w:tc>
        <w:tc>
          <w:tcPr>
            <w:tcW w:w="1701" w:type="dxa"/>
            <w:vAlign w:val="center"/>
          </w:tcPr>
          <w:p w14:paraId="2C3A5B51"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23,338</w:t>
            </w:r>
          </w:p>
        </w:tc>
      </w:tr>
    </w:tbl>
    <w:p w14:paraId="2C3A5B53" w14:textId="77777777" w:rsidR="00BF1765" w:rsidRPr="00DF5C23" w:rsidRDefault="00BF1765" w:rsidP="00BF1765">
      <w:pPr>
        <w:jc w:val="right"/>
        <w:rPr>
          <w:rFonts w:eastAsia="Calibri"/>
          <w:noProof/>
          <w:sz w:val="18"/>
          <w:szCs w:val="18"/>
        </w:rPr>
      </w:pPr>
      <w:r w:rsidRPr="00DF5C23">
        <w:rPr>
          <w:rFonts w:eastAsia="Calibri"/>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DF5C23" w14:paraId="2C3A5B57" w14:textId="77777777" w:rsidTr="00743354">
        <w:trPr>
          <w:jc w:val="center"/>
        </w:trPr>
        <w:tc>
          <w:tcPr>
            <w:tcW w:w="4744" w:type="dxa"/>
            <w:shd w:val="thinDiagStripe" w:color="C0C0C0" w:fill="auto"/>
            <w:vAlign w:val="center"/>
          </w:tcPr>
          <w:p w14:paraId="2C3A5B54" w14:textId="77777777" w:rsidR="00BF1765" w:rsidRPr="00DF5C23" w:rsidRDefault="00BF1765" w:rsidP="00BF1765">
            <w:pPr>
              <w:spacing w:before="60" w:after="60"/>
              <w:jc w:val="center"/>
              <w:rPr>
                <w:rFonts w:eastAsia="Calibri"/>
                <w:b/>
                <w:noProof/>
              </w:rPr>
            </w:pPr>
            <w:r w:rsidRPr="00DF5C23">
              <w:rPr>
                <w:rFonts w:eastAsia="Calibri"/>
                <w:b/>
                <w:noProof/>
                <w:sz w:val="22"/>
              </w:rPr>
              <w:t xml:space="preserve">Heading of multiannual financial </w:t>
            </w:r>
            <w:r w:rsidRPr="00DF5C23">
              <w:rPr>
                <w:rFonts w:eastAsia="Calibri"/>
                <w:noProof/>
                <w:sz w:val="22"/>
              </w:rPr>
              <w:br/>
            </w:r>
            <w:r w:rsidRPr="00DF5C23">
              <w:rPr>
                <w:rFonts w:eastAsia="Calibri"/>
                <w:b/>
                <w:noProof/>
                <w:sz w:val="22"/>
              </w:rPr>
              <w:t xml:space="preserve">framework </w:t>
            </w:r>
          </w:p>
        </w:tc>
        <w:tc>
          <w:tcPr>
            <w:tcW w:w="1080" w:type="dxa"/>
            <w:vAlign w:val="center"/>
          </w:tcPr>
          <w:p w14:paraId="2C3A5B55" w14:textId="77777777" w:rsidR="00BF1765" w:rsidRPr="00DF5C23" w:rsidRDefault="00BF1765" w:rsidP="00BF1765">
            <w:pPr>
              <w:spacing w:before="60" w:after="60"/>
              <w:jc w:val="center"/>
              <w:rPr>
                <w:rFonts w:eastAsia="Calibri"/>
                <w:noProof/>
              </w:rPr>
            </w:pPr>
            <w:r w:rsidRPr="00DF5C23">
              <w:rPr>
                <w:rFonts w:eastAsia="Calibri"/>
                <w:noProof/>
                <w:sz w:val="22"/>
              </w:rPr>
              <w:t>Number</w:t>
            </w:r>
          </w:p>
        </w:tc>
        <w:tc>
          <w:tcPr>
            <w:tcW w:w="7817" w:type="dxa"/>
            <w:vAlign w:val="center"/>
          </w:tcPr>
          <w:p w14:paraId="2C3A5B56" w14:textId="77777777" w:rsidR="00BF1765" w:rsidRPr="00DF5C23" w:rsidRDefault="00BF1765" w:rsidP="00BF1765">
            <w:pPr>
              <w:spacing w:before="60" w:after="60"/>
              <w:rPr>
                <w:rFonts w:eastAsia="Calibri"/>
                <w:noProof/>
              </w:rPr>
            </w:pPr>
            <w:r w:rsidRPr="00DF5C23">
              <w:rPr>
                <w:rFonts w:eastAsia="Calibri"/>
                <w:noProof/>
              </w:rPr>
              <w:t>Heading 3 (Natural Resources and the Environment)</w:t>
            </w:r>
          </w:p>
        </w:tc>
      </w:tr>
    </w:tbl>
    <w:p w14:paraId="2C3A5B58" w14:textId="77777777" w:rsidR="00BF1765" w:rsidRPr="00DF5C23" w:rsidRDefault="00BF1765" w:rsidP="00BF1765">
      <w:pPr>
        <w:rPr>
          <w:rFonts w:eastAsia="Calibri"/>
          <w:noProof/>
          <w:sz w:val="16"/>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81"/>
        <w:gridCol w:w="851"/>
        <w:gridCol w:w="1701"/>
      </w:tblGrid>
      <w:tr w:rsidR="00BF1765" w:rsidRPr="00DF5C23" w14:paraId="2C3A5B64" w14:textId="77777777" w:rsidTr="00EC0E40">
        <w:tc>
          <w:tcPr>
            <w:tcW w:w="3960" w:type="dxa"/>
            <w:vAlign w:val="center"/>
          </w:tcPr>
          <w:p w14:paraId="2C3A5B59" w14:textId="77777777" w:rsidR="00BF1765" w:rsidRPr="00DF5C23" w:rsidRDefault="00BF1765" w:rsidP="00BF1765">
            <w:pPr>
              <w:jc w:val="center"/>
              <w:rPr>
                <w:rFonts w:eastAsia="Calibri"/>
                <w:noProof/>
              </w:rPr>
            </w:pPr>
            <w:r w:rsidRPr="00DF5C23">
              <w:rPr>
                <w:rFonts w:eastAsia="Calibri"/>
                <w:noProof/>
                <w:sz w:val="22"/>
              </w:rPr>
              <w:t>DG: ENV</w:t>
            </w:r>
          </w:p>
        </w:tc>
        <w:tc>
          <w:tcPr>
            <w:tcW w:w="1560" w:type="dxa"/>
            <w:gridSpan w:val="2"/>
          </w:tcPr>
          <w:p w14:paraId="2C3A5B5A" w14:textId="77777777" w:rsidR="00BF1765" w:rsidRPr="00DF5C23" w:rsidRDefault="00BF1765" w:rsidP="00BF1765">
            <w:pPr>
              <w:rPr>
                <w:rFonts w:eastAsia="Calibri"/>
                <w:noProof/>
                <w:sz w:val="20"/>
              </w:rPr>
            </w:pPr>
          </w:p>
        </w:tc>
        <w:tc>
          <w:tcPr>
            <w:tcW w:w="534" w:type="dxa"/>
          </w:tcPr>
          <w:p w14:paraId="2C3A5B5B" w14:textId="77777777" w:rsidR="00BF1765" w:rsidRPr="00DF5C23" w:rsidRDefault="00BF1765" w:rsidP="00BF1765">
            <w:pPr>
              <w:jc w:val="center"/>
              <w:rPr>
                <w:rFonts w:eastAsia="Calibri"/>
                <w:noProof/>
                <w:sz w:val="20"/>
              </w:rPr>
            </w:pPr>
          </w:p>
        </w:tc>
        <w:tc>
          <w:tcPr>
            <w:tcW w:w="868" w:type="dxa"/>
            <w:vAlign w:val="center"/>
          </w:tcPr>
          <w:p w14:paraId="2C3A5B5C" w14:textId="77777777" w:rsidR="00BF1765" w:rsidRPr="00DF5C23" w:rsidRDefault="00BF1765" w:rsidP="00BF1765">
            <w:pPr>
              <w:jc w:val="center"/>
              <w:rPr>
                <w:rFonts w:eastAsia="Calibri"/>
                <w:noProof/>
                <w:sz w:val="20"/>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868" w:type="dxa"/>
            <w:vAlign w:val="center"/>
          </w:tcPr>
          <w:p w14:paraId="2C3A5B5D"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868" w:type="dxa"/>
            <w:vAlign w:val="center"/>
          </w:tcPr>
          <w:p w14:paraId="2C3A5B5E"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868" w:type="dxa"/>
            <w:vAlign w:val="center"/>
          </w:tcPr>
          <w:p w14:paraId="2C3A5B5F"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868" w:type="dxa"/>
            <w:vAlign w:val="center"/>
          </w:tcPr>
          <w:p w14:paraId="2C3A5B60"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881" w:type="dxa"/>
            <w:vAlign w:val="center"/>
          </w:tcPr>
          <w:p w14:paraId="2C3A5B61"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 xml:space="preserve">2027 </w:t>
            </w:r>
          </w:p>
        </w:tc>
        <w:tc>
          <w:tcPr>
            <w:tcW w:w="851" w:type="dxa"/>
          </w:tcPr>
          <w:p w14:paraId="2C3A5B62" w14:textId="77777777" w:rsidR="005F7372" w:rsidRPr="00DF5C23" w:rsidRDefault="005F7372" w:rsidP="00BF1765">
            <w:pPr>
              <w:jc w:val="center"/>
              <w:rPr>
                <w:rFonts w:eastAsia="Calibri"/>
                <w:noProof/>
                <w:sz w:val="20"/>
                <w:szCs w:val="20"/>
              </w:rPr>
            </w:pPr>
            <w:r w:rsidRPr="00DF5C23">
              <w:rPr>
                <w:rFonts w:eastAsia="Calibri"/>
                <w:noProof/>
                <w:sz w:val="20"/>
                <w:szCs w:val="20"/>
              </w:rPr>
              <w:t>Post 2027</w:t>
            </w:r>
          </w:p>
        </w:tc>
        <w:tc>
          <w:tcPr>
            <w:tcW w:w="1701" w:type="dxa"/>
            <w:vAlign w:val="center"/>
          </w:tcPr>
          <w:p w14:paraId="2C3A5B63" w14:textId="77777777" w:rsidR="00BF1765" w:rsidRPr="00DF5C23" w:rsidRDefault="00BF1765" w:rsidP="00BF1765">
            <w:pPr>
              <w:jc w:val="center"/>
              <w:rPr>
                <w:rFonts w:eastAsia="Calibri"/>
                <w:b/>
                <w:noProof/>
                <w:sz w:val="20"/>
              </w:rPr>
            </w:pPr>
            <w:r w:rsidRPr="00DF5C23">
              <w:rPr>
                <w:rFonts w:eastAsia="Calibri"/>
                <w:b/>
                <w:noProof/>
                <w:sz w:val="20"/>
              </w:rPr>
              <w:t>TOTAL</w:t>
            </w:r>
          </w:p>
        </w:tc>
      </w:tr>
      <w:tr w:rsidR="00BF1765" w:rsidRPr="00DF5C23" w14:paraId="2C3A5B6E" w14:textId="77777777" w:rsidTr="00EC0E40">
        <w:trPr>
          <w:trHeight w:val="213"/>
        </w:trPr>
        <w:tc>
          <w:tcPr>
            <w:tcW w:w="6054" w:type="dxa"/>
            <w:gridSpan w:val="4"/>
            <w:vAlign w:val="center"/>
          </w:tcPr>
          <w:p w14:paraId="2C3A5B65" w14:textId="77777777" w:rsidR="00BF1765" w:rsidRPr="00DF5C23" w:rsidRDefault="00BF1765" w:rsidP="00BF1765">
            <w:pPr>
              <w:spacing w:before="20" w:after="20"/>
              <w:rPr>
                <w:rFonts w:eastAsia="Calibri"/>
                <w:noProof/>
                <w:sz w:val="21"/>
              </w:rPr>
            </w:pPr>
            <w:r w:rsidRPr="00DF5C23">
              <w:rPr>
                <w:rFonts w:eastAsia="Calibri"/>
                <w:noProof/>
                <w:sz w:val="21"/>
              </w:rPr>
              <w:sym w:font="Wingdings" w:char="F09F"/>
            </w:r>
            <w:r w:rsidRPr="00DF5C23">
              <w:rPr>
                <w:rFonts w:eastAsia="Calibri"/>
                <w:noProof/>
                <w:sz w:val="21"/>
              </w:rPr>
              <w:t xml:space="preserve"> Operational appropriations </w:t>
            </w:r>
          </w:p>
        </w:tc>
        <w:tc>
          <w:tcPr>
            <w:tcW w:w="868" w:type="dxa"/>
            <w:vAlign w:val="center"/>
          </w:tcPr>
          <w:p w14:paraId="2C3A5B66" w14:textId="77777777" w:rsidR="00BF1765" w:rsidRPr="00DF5C23" w:rsidRDefault="00BF1765" w:rsidP="00BF1765">
            <w:pPr>
              <w:rPr>
                <w:rFonts w:eastAsia="Calibri"/>
                <w:noProof/>
                <w:sz w:val="20"/>
              </w:rPr>
            </w:pPr>
          </w:p>
        </w:tc>
        <w:tc>
          <w:tcPr>
            <w:tcW w:w="868" w:type="dxa"/>
            <w:vAlign w:val="center"/>
          </w:tcPr>
          <w:p w14:paraId="2C3A5B67" w14:textId="77777777" w:rsidR="00BF1765" w:rsidRPr="00DF5C23" w:rsidRDefault="00BF1765" w:rsidP="00BF1765">
            <w:pPr>
              <w:rPr>
                <w:rFonts w:eastAsia="Calibri"/>
                <w:noProof/>
                <w:sz w:val="20"/>
              </w:rPr>
            </w:pPr>
          </w:p>
        </w:tc>
        <w:tc>
          <w:tcPr>
            <w:tcW w:w="868" w:type="dxa"/>
            <w:vAlign w:val="center"/>
          </w:tcPr>
          <w:p w14:paraId="2C3A5B68" w14:textId="77777777" w:rsidR="00BF1765" w:rsidRPr="00DF5C23" w:rsidRDefault="00BF1765" w:rsidP="00BF1765">
            <w:pPr>
              <w:rPr>
                <w:rFonts w:eastAsia="Calibri"/>
                <w:noProof/>
                <w:sz w:val="20"/>
              </w:rPr>
            </w:pPr>
          </w:p>
        </w:tc>
        <w:tc>
          <w:tcPr>
            <w:tcW w:w="868" w:type="dxa"/>
            <w:vAlign w:val="center"/>
          </w:tcPr>
          <w:p w14:paraId="2C3A5B69" w14:textId="77777777" w:rsidR="00BF1765" w:rsidRPr="00DF5C23" w:rsidRDefault="00BF1765" w:rsidP="00BF1765">
            <w:pPr>
              <w:rPr>
                <w:rFonts w:eastAsia="Calibri"/>
                <w:noProof/>
                <w:sz w:val="20"/>
              </w:rPr>
            </w:pPr>
          </w:p>
        </w:tc>
        <w:tc>
          <w:tcPr>
            <w:tcW w:w="868" w:type="dxa"/>
            <w:vAlign w:val="center"/>
          </w:tcPr>
          <w:p w14:paraId="2C3A5B6A" w14:textId="77777777" w:rsidR="00BF1765" w:rsidRPr="00DF5C23" w:rsidRDefault="00BF1765" w:rsidP="00BF1765">
            <w:pPr>
              <w:rPr>
                <w:rFonts w:eastAsia="Calibri"/>
                <w:noProof/>
                <w:sz w:val="20"/>
              </w:rPr>
            </w:pPr>
          </w:p>
        </w:tc>
        <w:tc>
          <w:tcPr>
            <w:tcW w:w="881" w:type="dxa"/>
            <w:vAlign w:val="center"/>
          </w:tcPr>
          <w:p w14:paraId="2C3A5B6B" w14:textId="77777777" w:rsidR="00BF1765" w:rsidRPr="00DF5C23" w:rsidRDefault="00BF1765" w:rsidP="00BF1765">
            <w:pPr>
              <w:rPr>
                <w:rFonts w:eastAsia="Calibri"/>
                <w:noProof/>
                <w:sz w:val="20"/>
              </w:rPr>
            </w:pPr>
          </w:p>
        </w:tc>
        <w:tc>
          <w:tcPr>
            <w:tcW w:w="851" w:type="dxa"/>
          </w:tcPr>
          <w:p w14:paraId="2C3A5B6C" w14:textId="77777777" w:rsidR="005F7372" w:rsidRPr="00DF5C23" w:rsidRDefault="005F7372" w:rsidP="00BF1765">
            <w:pPr>
              <w:rPr>
                <w:rFonts w:eastAsia="Calibri"/>
                <w:b/>
                <w:noProof/>
                <w:sz w:val="20"/>
              </w:rPr>
            </w:pPr>
          </w:p>
        </w:tc>
        <w:tc>
          <w:tcPr>
            <w:tcW w:w="1701" w:type="dxa"/>
            <w:vAlign w:val="center"/>
          </w:tcPr>
          <w:p w14:paraId="2C3A5B6D" w14:textId="77777777" w:rsidR="00BF1765" w:rsidRPr="00DF5C23" w:rsidRDefault="00BF1765" w:rsidP="00BF1765">
            <w:pPr>
              <w:rPr>
                <w:rFonts w:eastAsia="Calibri"/>
                <w:b/>
                <w:noProof/>
                <w:sz w:val="20"/>
              </w:rPr>
            </w:pPr>
          </w:p>
        </w:tc>
      </w:tr>
      <w:tr w:rsidR="005C61BF" w:rsidRPr="00DF5C23" w14:paraId="2C3A5B7A" w14:textId="77777777" w:rsidTr="00EC0E40">
        <w:trPr>
          <w:trHeight w:val="277"/>
        </w:trPr>
        <w:tc>
          <w:tcPr>
            <w:tcW w:w="3960" w:type="dxa"/>
            <w:vMerge w:val="restart"/>
            <w:vAlign w:val="center"/>
          </w:tcPr>
          <w:p w14:paraId="2C3A5B6F" w14:textId="77777777" w:rsidR="005C61BF" w:rsidRPr="00DF5C23" w:rsidRDefault="005C61BF" w:rsidP="008B78E1">
            <w:pPr>
              <w:rPr>
                <w:rFonts w:eastAsia="Calibri"/>
                <w:noProof/>
              </w:rPr>
            </w:pPr>
            <w:r w:rsidRPr="00DF5C23">
              <w:rPr>
                <w:rFonts w:eastAsia="Calibri"/>
                <w:noProof/>
                <w:sz w:val="20"/>
                <w:szCs w:val="20"/>
              </w:rPr>
              <w:t>Budget line</w:t>
            </w:r>
            <w:r w:rsidR="008B78E1" w:rsidRPr="00DF5C23">
              <w:rPr>
                <w:rStyle w:val="FootnoteReference0"/>
                <w:rFonts w:eastAsia="Calibri"/>
                <w:noProof/>
                <w:sz w:val="20"/>
                <w:szCs w:val="20"/>
              </w:rPr>
              <w:footnoteReference w:id="95"/>
            </w:r>
            <w:r w:rsidRPr="00DF5C23">
              <w:rPr>
                <w:rFonts w:eastAsia="Calibri"/>
                <w:noProof/>
                <w:sz w:val="20"/>
                <w:szCs w:val="20"/>
              </w:rPr>
              <w:t xml:space="preserve"> </w:t>
            </w:r>
            <w:r w:rsidRPr="00DF5C23">
              <w:rPr>
                <w:rFonts w:eastAsia="Calibri"/>
                <w:noProof/>
                <w:sz w:val="22"/>
              </w:rPr>
              <w:t>09.02.02 LIFE Circular economy and quality of life</w:t>
            </w:r>
          </w:p>
        </w:tc>
        <w:tc>
          <w:tcPr>
            <w:tcW w:w="1440" w:type="dxa"/>
            <w:vAlign w:val="center"/>
          </w:tcPr>
          <w:p w14:paraId="2C3A5B70" w14:textId="77777777" w:rsidR="005C61BF" w:rsidRPr="00DF5C23" w:rsidRDefault="005C61BF" w:rsidP="005C61BF">
            <w:pPr>
              <w:spacing w:before="20" w:after="20"/>
              <w:rPr>
                <w:rFonts w:eastAsia="Calibri"/>
                <w:noProof/>
                <w:sz w:val="18"/>
              </w:rPr>
            </w:pPr>
            <w:r w:rsidRPr="00DF5C23">
              <w:rPr>
                <w:rFonts w:eastAsia="Calibri"/>
                <w:noProof/>
                <w:sz w:val="18"/>
              </w:rPr>
              <w:t>Commitments</w:t>
            </w:r>
          </w:p>
        </w:tc>
        <w:tc>
          <w:tcPr>
            <w:tcW w:w="654" w:type="dxa"/>
            <w:gridSpan w:val="2"/>
            <w:vAlign w:val="center"/>
          </w:tcPr>
          <w:p w14:paraId="2C3A5B71" w14:textId="77777777" w:rsidR="005C61BF" w:rsidRPr="00DF5C23" w:rsidRDefault="005C61BF" w:rsidP="005C61BF">
            <w:pPr>
              <w:spacing w:before="20" w:after="20"/>
              <w:jc w:val="center"/>
              <w:rPr>
                <w:rFonts w:eastAsia="Calibri"/>
                <w:noProof/>
                <w:sz w:val="14"/>
              </w:rPr>
            </w:pPr>
            <w:r w:rsidRPr="00DF5C23">
              <w:rPr>
                <w:rFonts w:eastAsia="Calibri"/>
                <w:noProof/>
                <w:sz w:val="14"/>
              </w:rPr>
              <w:t>(1a)</w:t>
            </w:r>
          </w:p>
        </w:tc>
        <w:tc>
          <w:tcPr>
            <w:tcW w:w="868" w:type="dxa"/>
            <w:vAlign w:val="center"/>
          </w:tcPr>
          <w:p w14:paraId="2C3A5B72"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2,276</w:t>
            </w:r>
          </w:p>
        </w:tc>
        <w:tc>
          <w:tcPr>
            <w:tcW w:w="868" w:type="dxa"/>
            <w:vAlign w:val="center"/>
          </w:tcPr>
          <w:p w14:paraId="2C3A5B73"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2,948</w:t>
            </w:r>
          </w:p>
        </w:tc>
        <w:tc>
          <w:tcPr>
            <w:tcW w:w="868" w:type="dxa"/>
            <w:vAlign w:val="center"/>
          </w:tcPr>
          <w:p w14:paraId="2C3A5B74"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2,180</w:t>
            </w:r>
          </w:p>
        </w:tc>
        <w:tc>
          <w:tcPr>
            <w:tcW w:w="868" w:type="dxa"/>
            <w:vAlign w:val="center"/>
          </w:tcPr>
          <w:p w14:paraId="2C3A5B75"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2,680</w:t>
            </w:r>
          </w:p>
        </w:tc>
        <w:tc>
          <w:tcPr>
            <w:tcW w:w="868" w:type="dxa"/>
            <w:vAlign w:val="center"/>
          </w:tcPr>
          <w:p w14:paraId="2C3A5B76"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3,680</w:t>
            </w:r>
          </w:p>
        </w:tc>
        <w:tc>
          <w:tcPr>
            <w:tcW w:w="881" w:type="dxa"/>
            <w:vAlign w:val="center"/>
          </w:tcPr>
          <w:p w14:paraId="2C3A5B77"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3,680</w:t>
            </w:r>
          </w:p>
        </w:tc>
        <w:tc>
          <w:tcPr>
            <w:tcW w:w="851" w:type="dxa"/>
          </w:tcPr>
          <w:p w14:paraId="2C3A5B78" w14:textId="77777777" w:rsidR="005F7372" w:rsidRPr="00DF5C23" w:rsidRDefault="005F7372" w:rsidP="005C61BF">
            <w:pPr>
              <w:spacing w:before="20" w:after="20"/>
              <w:jc w:val="right"/>
              <w:rPr>
                <w:rFonts w:ascii="Arial Narrow" w:hAnsi="Arial Narrow" w:cs="Calibri"/>
                <w:noProof/>
                <w:color w:val="000000"/>
                <w:sz w:val="20"/>
                <w:szCs w:val="20"/>
              </w:rPr>
            </w:pPr>
          </w:p>
        </w:tc>
        <w:tc>
          <w:tcPr>
            <w:tcW w:w="1701" w:type="dxa"/>
            <w:vAlign w:val="center"/>
          </w:tcPr>
          <w:p w14:paraId="2C3A5B79" w14:textId="77777777" w:rsidR="005C61BF" w:rsidRPr="00DF5C23" w:rsidRDefault="005C61BF" w:rsidP="005C61BF">
            <w:pPr>
              <w:spacing w:before="20" w:after="20"/>
              <w:jc w:val="right"/>
              <w:rPr>
                <w:rFonts w:eastAsia="Calibri"/>
                <w:noProof/>
              </w:rPr>
            </w:pPr>
            <w:r w:rsidRPr="00DF5C23">
              <w:rPr>
                <w:rFonts w:ascii="Arial Narrow" w:hAnsi="Arial Narrow" w:cs="Calibri"/>
                <w:noProof/>
                <w:color w:val="000000"/>
                <w:sz w:val="20"/>
                <w:szCs w:val="20"/>
              </w:rPr>
              <w:t>17,444</w:t>
            </w:r>
          </w:p>
        </w:tc>
      </w:tr>
      <w:tr w:rsidR="005C61BF" w:rsidRPr="00DF5C23" w14:paraId="2C3A5B86" w14:textId="77777777" w:rsidTr="00EC0E40">
        <w:tc>
          <w:tcPr>
            <w:tcW w:w="3960" w:type="dxa"/>
            <w:vMerge/>
          </w:tcPr>
          <w:p w14:paraId="2C3A5B7B" w14:textId="77777777" w:rsidR="005C61BF" w:rsidRPr="00DF5C23" w:rsidRDefault="005C61BF" w:rsidP="005C61BF">
            <w:pPr>
              <w:jc w:val="center"/>
              <w:rPr>
                <w:rFonts w:eastAsia="Calibri"/>
                <w:noProof/>
                <w:sz w:val="20"/>
              </w:rPr>
            </w:pPr>
          </w:p>
        </w:tc>
        <w:tc>
          <w:tcPr>
            <w:tcW w:w="1440" w:type="dxa"/>
            <w:vAlign w:val="center"/>
          </w:tcPr>
          <w:p w14:paraId="2C3A5B7C" w14:textId="77777777" w:rsidR="005C61BF" w:rsidRPr="00DF5C23" w:rsidRDefault="005C61BF" w:rsidP="005C61BF">
            <w:pPr>
              <w:spacing w:before="20" w:after="20"/>
              <w:rPr>
                <w:rFonts w:eastAsia="Calibri"/>
                <w:noProof/>
                <w:sz w:val="18"/>
              </w:rPr>
            </w:pPr>
            <w:r w:rsidRPr="00DF5C23">
              <w:rPr>
                <w:rFonts w:eastAsia="Calibri"/>
                <w:noProof/>
                <w:sz w:val="18"/>
              </w:rPr>
              <w:t>Payments</w:t>
            </w:r>
          </w:p>
        </w:tc>
        <w:tc>
          <w:tcPr>
            <w:tcW w:w="654" w:type="dxa"/>
            <w:gridSpan w:val="2"/>
            <w:vAlign w:val="center"/>
          </w:tcPr>
          <w:p w14:paraId="2C3A5B7D" w14:textId="77777777" w:rsidR="005C61BF" w:rsidRPr="00DF5C23" w:rsidRDefault="005C61BF" w:rsidP="005C61BF">
            <w:pPr>
              <w:spacing w:before="20" w:after="20"/>
              <w:jc w:val="center"/>
              <w:rPr>
                <w:rFonts w:eastAsia="Calibri"/>
                <w:noProof/>
                <w:sz w:val="14"/>
              </w:rPr>
            </w:pPr>
            <w:r w:rsidRPr="00DF5C23">
              <w:rPr>
                <w:rFonts w:eastAsia="Calibri"/>
                <w:noProof/>
                <w:sz w:val="14"/>
              </w:rPr>
              <w:t>(2a)</w:t>
            </w:r>
          </w:p>
        </w:tc>
        <w:tc>
          <w:tcPr>
            <w:tcW w:w="868" w:type="dxa"/>
            <w:vAlign w:val="center"/>
          </w:tcPr>
          <w:p w14:paraId="2C3A5B7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0,683</w:t>
            </w:r>
          </w:p>
        </w:tc>
        <w:tc>
          <w:tcPr>
            <w:tcW w:w="868" w:type="dxa"/>
            <w:vAlign w:val="center"/>
          </w:tcPr>
          <w:p w14:paraId="2C3A5B7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1,567</w:t>
            </w:r>
          </w:p>
        </w:tc>
        <w:tc>
          <w:tcPr>
            <w:tcW w:w="868" w:type="dxa"/>
            <w:vAlign w:val="center"/>
          </w:tcPr>
          <w:p w14:paraId="2C3A5B8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2,449</w:t>
            </w:r>
          </w:p>
        </w:tc>
        <w:tc>
          <w:tcPr>
            <w:tcW w:w="868" w:type="dxa"/>
            <w:vAlign w:val="center"/>
          </w:tcPr>
          <w:p w14:paraId="2C3A5B81"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2,637</w:t>
            </w:r>
          </w:p>
        </w:tc>
        <w:tc>
          <w:tcPr>
            <w:tcW w:w="868" w:type="dxa"/>
            <w:vAlign w:val="center"/>
          </w:tcPr>
          <w:p w14:paraId="2C3A5B82"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2,780</w:t>
            </w:r>
          </w:p>
        </w:tc>
        <w:tc>
          <w:tcPr>
            <w:tcW w:w="881" w:type="dxa"/>
            <w:vAlign w:val="center"/>
          </w:tcPr>
          <w:p w14:paraId="2C3A5B83" w14:textId="77777777" w:rsidR="005C61BF" w:rsidRPr="00DF5C23" w:rsidRDefault="005F7372" w:rsidP="005C61BF">
            <w:pPr>
              <w:spacing w:before="20" w:after="20"/>
              <w:jc w:val="right"/>
              <w:rPr>
                <w:rFonts w:eastAsia="Calibri"/>
                <w:noProof/>
                <w:sz w:val="20"/>
              </w:rPr>
            </w:pPr>
            <w:r w:rsidRPr="00DF5C23">
              <w:rPr>
                <w:rFonts w:ascii="Arial Narrow" w:hAnsi="Arial Narrow" w:cs="Calibri"/>
                <w:noProof/>
                <w:color w:val="000000"/>
                <w:sz w:val="20"/>
                <w:szCs w:val="20"/>
              </w:rPr>
              <w:t>3,280</w:t>
            </w:r>
          </w:p>
        </w:tc>
        <w:tc>
          <w:tcPr>
            <w:tcW w:w="851" w:type="dxa"/>
          </w:tcPr>
          <w:p w14:paraId="2C3A5B84" w14:textId="77777777" w:rsidR="005F7372" w:rsidRPr="00DF5C23" w:rsidRDefault="005F7372"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4,048</w:t>
            </w:r>
          </w:p>
        </w:tc>
        <w:tc>
          <w:tcPr>
            <w:tcW w:w="1701" w:type="dxa"/>
            <w:vAlign w:val="center"/>
          </w:tcPr>
          <w:p w14:paraId="2C3A5B85"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17,444</w:t>
            </w:r>
          </w:p>
        </w:tc>
      </w:tr>
      <w:tr w:rsidR="00D12295" w:rsidRPr="00DF5C23" w14:paraId="2C3A5B92" w14:textId="77777777" w:rsidTr="00EC0E40">
        <w:tc>
          <w:tcPr>
            <w:tcW w:w="3960" w:type="dxa"/>
            <w:vMerge w:val="restart"/>
            <w:vAlign w:val="center"/>
          </w:tcPr>
          <w:p w14:paraId="2C3A5B87" w14:textId="77777777" w:rsidR="00D12295" w:rsidRPr="00DF5C23" w:rsidRDefault="00D12295" w:rsidP="008B78E1">
            <w:pPr>
              <w:rPr>
                <w:rFonts w:eastAsia="Calibri"/>
                <w:noProof/>
              </w:rPr>
            </w:pPr>
            <w:r w:rsidRPr="00DF5C23">
              <w:rPr>
                <w:noProof/>
                <w:sz w:val="20"/>
                <w:szCs w:val="20"/>
              </w:rPr>
              <w:t xml:space="preserve">Budget line </w:t>
            </w:r>
            <w:r w:rsidRPr="00DF5C23">
              <w:rPr>
                <w:noProof/>
                <w:sz w:val="22"/>
              </w:rPr>
              <w:t>09.02.02 LIFE Circular economy and quality of life</w:t>
            </w:r>
            <w:r w:rsidR="008B78E1" w:rsidRPr="00DF5C23">
              <w:rPr>
                <w:rStyle w:val="FootnoteReference0"/>
                <w:noProof/>
                <w:sz w:val="22"/>
              </w:rPr>
              <w:footnoteReference w:id="96"/>
            </w:r>
          </w:p>
        </w:tc>
        <w:tc>
          <w:tcPr>
            <w:tcW w:w="1440" w:type="dxa"/>
            <w:vAlign w:val="center"/>
          </w:tcPr>
          <w:p w14:paraId="2C3A5B88" w14:textId="77777777" w:rsidR="00D12295" w:rsidRPr="00DF5C23" w:rsidRDefault="00D12295" w:rsidP="00D12295">
            <w:pPr>
              <w:spacing w:before="20" w:after="20"/>
              <w:rPr>
                <w:rFonts w:eastAsia="Calibri"/>
                <w:noProof/>
                <w:sz w:val="18"/>
              </w:rPr>
            </w:pPr>
            <w:r w:rsidRPr="00DF5C23">
              <w:rPr>
                <w:rFonts w:eastAsia="Calibri"/>
                <w:noProof/>
                <w:sz w:val="18"/>
              </w:rPr>
              <w:t>Commitments</w:t>
            </w:r>
          </w:p>
        </w:tc>
        <w:tc>
          <w:tcPr>
            <w:tcW w:w="654" w:type="dxa"/>
            <w:gridSpan w:val="2"/>
            <w:vAlign w:val="center"/>
          </w:tcPr>
          <w:p w14:paraId="2C3A5B89" w14:textId="77777777" w:rsidR="00D12295" w:rsidRPr="00DF5C23" w:rsidRDefault="00D12295" w:rsidP="00D12295">
            <w:pPr>
              <w:spacing w:before="20" w:after="20"/>
              <w:jc w:val="center"/>
              <w:rPr>
                <w:rFonts w:eastAsia="Calibri"/>
                <w:noProof/>
                <w:sz w:val="14"/>
              </w:rPr>
            </w:pPr>
            <w:r w:rsidRPr="00DF5C23">
              <w:rPr>
                <w:rFonts w:eastAsia="Calibri"/>
                <w:noProof/>
                <w:sz w:val="14"/>
              </w:rPr>
              <w:t>(1b)</w:t>
            </w:r>
          </w:p>
        </w:tc>
        <w:tc>
          <w:tcPr>
            <w:tcW w:w="868" w:type="dxa"/>
            <w:vAlign w:val="center"/>
          </w:tcPr>
          <w:p w14:paraId="2C3A5B8A" w14:textId="77777777" w:rsidR="00D12295" w:rsidRPr="00DF5C23" w:rsidRDefault="009E22E2" w:rsidP="00D12295">
            <w:pPr>
              <w:spacing w:before="20" w:after="20"/>
              <w:jc w:val="right"/>
              <w:rPr>
                <w:rFonts w:eastAsia="Calibri"/>
                <w:noProof/>
                <w:sz w:val="20"/>
              </w:rPr>
            </w:pPr>
            <w:r w:rsidRPr="00DF5C23">
              <w:rPr>
                <w:noProof/>
                <w:sz w:val="20"/>
              </w:rPr>
              <w:t>0</w:t>
            </w:r>
          </w:p>
        </w:tc>
        <w:tc>
          <w:tcPr>
            <w:tcW w:w="868" w:type="dxa"/>
            <w:vAlign w:val="center"/>
          </w:tcPr>
          <w:p w14:paraId="2C3A5B8B" w14:textId="77777777" w:rsidR="00D12295" w:rsidRPr="00DF5C23" w:rsidRDefault="009E22E2" w:rsidP="00D12295">
            <w:pPr>
              <w:spacing w:before="20" w:after="20"/>
              <w:jc w:val="right"/>
              <w:rPr>
                <w:rFonts w:eastAsia="Calibri"/>
                <w:noProof/>
                <w:sz w:val="20"/>
              </w:rPr>
            </w:pPr>
            <w:r w:rsidRPr="00DF5C23">
              <w:rPr>
                <w:noProof/>
                <w:sz w:val="20"/>
              </w:rPr>
              <w:t>0</w:t>
            </w:r>
          </w:p>
        </w:tc>
        <w:tc>
          <w:tcPr>
            <w:tcW w:w="868" w:type="dxa"/>
            <w:vAlign w:val="center"/>
          </w:tcPr>
          <w:p w14:paraId="2C3A5B8C" w14:textId="77777777" w:rsidR="00D12295" w:rsidRPr="00DF5C23" w:rsidRDefault="009E22E2" w:rsidP="00D12295">
            <w:pPr>
              <w:spacing w:before="20" w:after="20"/>
              <w:jc w:val="right"/>
              <w:rPr>
                <w:rFonts w:eastAsia="Calibri"/>
                <w:noProof/>
                <w:sz w:val="20"/>
              </w:rPr>
            </w:pPr>
            <w:r w:rsidRPr="00DF5C23">
              <w:rPr>
                <w:noProof/>
                <w:sz w:val="20"/>
              </w:rPr>
              <w:t>0,400</w:t>
            </w:r>
          </w:p>
        </w:tc>
        <w:tc>
          <w:tcPr>
            <w:tcW w:w="868" w:type="dxa"/>
            <w:vAlign w:val="center"/>
          </w:tcPr>
          <w:p w14:paraId="2C3A5B8D" w14:textId="77777777" w:rsidR="00D12295" w:rsidRPr="00DF5C23" w:rsidRDefault="009E22E2" w:rsidP="00D12295">
            <w:pPr>
              <w:spacing w:before="20" w:after="20"/>
              <w:jc w:val="right"/>
              <w:rPr>
                <w:rFonts w:eastAsia="Calibri"/>
                <w:noProof/>
                <w:sz w:val="20"/>
              </w:rPr>
            </w:pPr>
            <w:r w:rsidRPr="00DF5C23">
              <w:rPr>
                <w:noProof/>
                <w:sz w:val="20"/>
              </w:rPr>
              <w:t>0,350</w:t>
            </w:r>
          </w:p>
        </w:tc>
        <w:tc>
          <w:tcPr>
            <w:tcW w:w="868" w:type="dxa"/>
            <w:vAlign w:val="center"/>
          </w:tcPr>
          <w:p w14:paraId="2C3A5B8E" w14:textId="77777777" w:rsidR="00D12295" w:rsidRPr="00DF5C23" w:rsidRDefault="009E22E2" w:rsidP="00D12295">
            <w:pPr>
              <w:spacing w:before="20" w:after="20"/>
              <w:jc w:val="right"/>
              <w:rPr>
                <w:rFonts w:eastAsia="Calibri"/>
                <w:noProof/>
                <w:sz w:val="20"/>
              </w:rPr>
            </w:pPr>
            <w:r w:rsidRPr="00DF5C23">
              <w:rPr>
                <w:noProof/>
                <w:sz w:val="20"/>
              </w:rPr>
              <w:t>0,350</w:t>
            </w:r>
          </w:p>
        </w:tc>
        <w:tc>
          <w:tcPr>
            <w:tcW w:w="881" w:type="dxa"/>
            <w:vAlign w:val="center"/>
          </w:tcPr>
          <w:p w14:paraId="2C3A5B8F" w14:textId="77777777" w:rsidR="00D12295" w:rsidRPr="00DF5C23" w:rsidRDefault="009E22E2" w:rsidP="00D12295">
            <w:pPr>
              <w:spacing w:before="20" w:after="20"/>
              <w:jc w:val="right"/>
              <w:rPr>
                <w:rFonts w:eastAsia="Calibri"/>
                <w:noProof/>
                <w:sz w:val="20"/>
              </w:rPr>
            </w:pPr>
            <w:r w:rsidRPr="00DF5C23">
              <w:rPr>
                <w:noProof/>
                <w:sz w:val="20"/>
              </w:rPr>
              <w:t>0,150</w:t>
            </w:r>
          </w:p>
        </w:tc>
        <w:tc>
          <w:tcPr>
            <w:tcW w:w="851" w:type="dxa"/>
          </w:tcPr>
          <w:p w14:paraId="2C3A5B90" w14:textId="77777777" w:rsidR="005F7372" w:rsidRPr="00DF5C23" w:rsidRDefault="005F7372" w:rsidP="00D12295">
            <w:pPr>
              <w:spacing w:before="20" w:after="20"/>
              <w:jc w:val="right"/>
              <w:rPr>
                <w:noProof/>
                <w:sz w:val="20"/>
              </w:rPr>
            </w:pPr>
          </w:p>
        </w:tc>
        <w:tc>
          <w:tcPr>
            <w:tcW w:w="1701" w:type="dxa"/>
            <w:vAlign w:val="center"/>
          </w:tcPr>
          <w:p w14:paraId="2C3A5B91" w14:textId="77777777" w:rsidR="00D12295" w:rsidRPr="00DF5C23" w:rsidRDefault="009E22E2" w:rsidP="00D12295">
            <w:pPr>
              <w:spacing w:before="20" w:after="20"/>
              <w:jc w:val="right"/>
              <w:rPr>
                <w:rFonts w:eastAsia="Calibri"/>
                <w:b/>
                <w:noProof/>
                <w:sz w:val="20"/>
              </w:rPr>
            </w:pPr>
            <w:r w:rsidRPr="00DF5C23">
              <w:rPr>
                <w:noProof/>
                <w:sz w:val="20"/>
              </w:rPr>
              <w:t>1,250</w:t>
            </w:r>
          </w:p>
        </w:tc>
      </w:tr>
      <w:tr w:rsidR="00D12295" w:rsidRPr="00DF5C23" w14:paraId="2C3A5B9E" w14:textId="77777777" w:rsidTr="00EC0E40">
        <w:tc>
          <w:tcPr>
            <w:tcW w:w="3960" w:type="dxa"/>
            <w:vMerge/>
          </w:tcPr>
          <w:p w14:paraId="2C3A5B93" w14:textId="77777777" w:rsidR="00D12295" w:rsidRPr="00DF5C23" w:rsidRDefault="00D12295" w:rsidP="00D12295">
            <w:pPr>
              <w:jc w:val="center"/>
              <w:rPr>
                <w:rFonts w:eastAsia="Calibri"/>
                <w:noProof/>
                <w:sz w:val="20"/>
              </w:rPr>
            </w:pPr>
          </w:p>
        </w:tc>
        <w:tc>
          <w:tcPr>
            <w:tcW w:w="1440" w:type="dxa"/>
            <w:vAlign w:val="center"/>
          </w:tcPr>
          <w:p w14:paraId="2C3A5B94" w14:textId="77777777" w:rsidR="00D12295" w:rsidRPr="00DF5C23" w:rsidRDefault="00D12295" w:rsidP="00D12295">
            <w:pPr>
              <w:spacing w:before="20" w:after="20"/>
              <w:rPr>
                <w:rFonts w:eastAsia="Calibri"/>
                <w:noProof/>
                <w:sz w:val="18"/>
              </w:rPr>
            </w:pPr>
            <w:r w:rsidRPr="00DF5C23">
              <w:rPr>
                <w:rFonts w:eastAsia="Calibri"/>
                <w:noProof/>
                <w:sz w:val="18"/>
              </w:rPr>
              <w:t>Payments</w:t>
            </w:r>
          </w:p>
        </w:tc>
        <w:tc>
          <w:tcPr>
            <w:tcW w:w="654" w:type="dxa"/>
            <w:gridSpan w:val="2"/>
            <w:vAlign w:val="center"/>
          </w:tcPr>
          <w:p w14:paraId="2C3A5B95" w14:textId="77777777" w:rsidR="00D12295" w:rsidRPr="00DF5C23" w:rsidRDefault="00D12295" w:rsidP="00D12295">
            <w:pPr>
              <w:spacing w:before="20" w:after="20"/>
              <w:jc w:val="center"/>
              <w:rPr>
                <w:rFonts w:eastAsia="Calibri"/>
                <w:noProof/>
                <w:sz w:val="14"/>
              </w:rPr>
            </w:pPr>
            <w:r w:rsidRPr="00DF5C23">
              <w:rPr>
                <w:rFonts w:eastAsia="Calibri"/>
                <w:noProof/>
                <w:sz w:val="14"/>
              </w:rPr>
              <w:t>(2b)</w:t>
            </w:r>
          </w:p>
        </w:tc>
        <w:tc>
          <w:tcPr>
            <w:tcW w:w="868" w:type="dxa"/>
            <w:vAlign w:val="center"/>
          </w:tcPr>
          <w:p w14:paraId="2C3A5B96" w14:textId="77777777" w:rsidR="00D12295" w:rsidRPr="00DF5C23" w:rsidRDefault="009E22E2" w:rsidP="00D12295">
            <w:pPr>
              <w:spacing w:before="20" w:after="20"/>
              <w:jc w:val="right"/>
              <w:rPr>
                <w:rFonts w:eastAsia="Calibri"/>
                <w:noProof/>
                <w:sz w:val="20"/>
              </w:rPr>
            </w:pPr>
            <w:r w:rsidRPr="00DF5C23">
              <w:rPr>
                <w:noProof/>
                <w:sz w:val="20"/>
              </w:rPr>
              <w:t>0</w:t>
            </w:r>
          </w:p>
        </w:tc>
        <w:tc>
          <w:tcPr>
            <w:tcW w:w="868" w:type="dxa"/>
            <w:vAlign w:val="center"/>
          </w:tcPr>
          <w:p w14:paraId="2C3A5B97" w14:textId="77777777" w:rsidR="00D12295" w:rsidRPr="00DF5C23" w:rsidRDefault="009E22E2" w:rsidP="00D12295">
            <w:pPr>
              <w:spacing w:before="20" w:after="20"/>
              <w:jc w:val="right"/>
              <w:rPr>
                <w:rFonts w:eastAsia="Calibri"/>
                <w:noProof/>
                <w:sz w:val="20"/>
              </w:rPr>
            </w:pPr>
            <w:r w:rsidRPr="00DF5C23">
              <w:rPr>
                <w:noProof/>
                <w:sz w:val="20"/>
              </w:rPr>
              <w:t>0</w:t>
            </w:r>
          </w:p>
        </w:tc>
        <w:tc>
          <w:tcPr>
            <w:tcW w:w="868" w:type="dxa"/>
            <w:vAlign w:val="center"/>
          </w:tcPr>
          <w:p w14:paraId="2C3A5B98" w14:textId="77777777" w:rsidR="00D12295" w:rsidRPr="00DF5C23" w:rsidRDefault="009E22E2" w:rsidP="00D12295">
            <w:pPr>
              <w:spacing w:before="20" w:after="20"/>
              <w:jc w:val="right"/>
              <w:rPr>
                <w:rFonts w:eastAsia="Calibri"/>
                <w:noProof/>
                <w:sz w:val="20"/>
              </w:rPr>
            </w:pPr>
            <w:r w:rsidRPr="00DF5C23">
              <w:rPr>
                <w:noProof/>
                <w:sz w:val="20"/>
              </w:rPr>
              <w:t>0,280</w:t>
            </w:r>
          </w:p>
        </w:tc>
        <w:tc>
          <w:tcPr>
            <w:tcW w:w="868" w:type="dxa"/>
            <w:vAlign w:val="center"/>
          </w:tcPr>
          <w:p w14:paraId="2C3A5B99" w14:textId="77777777" w:rsidR="00D12295" w:rsidRPr="00DF5C23" w:rsidRDefault="009E22E2" w:rsidP="00D12295">
            <w:pPr>
              <w:spacing w:before="20" w:after="20"/>
              <w:jc w:val="right"/>
              <w:rPr>
                <w:rFonts w:eastAsia="Calibri"/>
                <w:noProof/>
                <w:sz w:val="20"/>
              </w:rPr>
            </w:pPr>
            <w:r w:rsidRPr="00DF5C23">
              <w:rPr>
                <w:noProof/>
                <w:sz w:val="20"/>
              </w:rPr>
              <w:t>0,365</w:t>
            </w:r>
          </w:p>
        </w:tc>
        <w:tc>
          <w:tcPr>
            <w:tcW w:w="868" w:type="dxa"/>
            <w:vAlign w:val="center"/>
          </w:tcPr>
          <w:p w14:paraId="2C3A5B9A" w14:textId="77777777" w:rsidR="00D12295" w:rsidRPr="00DF5C23" w:rsidRDefault="009E22E2" w:rsidP="00D12295">
            <w:pPr>
              <w:spacing w:before="20" w:after="20"/>
              <w:jc w:val="right"/>
              <w:rPr>
                <w:rFonts w:eastAsia="Calibri"/>
                <w:noProof/>
                <w:sz w:val="20"/>
              </w:rPr>
            </w:pPr>
            <w:r w:rsidRPr="00DF5C23">
              <w:rPr>
                <w:noProof/>
                <w:sz w:val="20"/>
              </w:rPr>
              <w:t>0,350</w:t>
            </w:r>
          </w:p>
        </w:tc>
        <w:tc>
          <w:tcPr>
            <w:tcW w:w="881" w:type="dxa"/>
            <w:vAlign w:val="center"/>
          </w:tcPr>
          <w:p w14:paraId="2C3A5B9B" w14:textId="77777777" w:rsidR="00D12295" w:rsidRPr="00DF5C23" w:rsidRDefault="009E22E2" w:rsidP="00D12295">
            <w:pPr>
              <w:spacing w:before="20" w:after="20"/>
              <w:jc w:val="right"/>
              <w:rPr>
                <w:rFonts w:eastAsia="Calibri"/>
                <w:noProof/>
                <w:sz w:val="20"/>
              </w:rPr>
            </w:pPr>
            <w:r w:rsidRPr="00DF5C23">
              <w:rPr>
                <w:noProof/>
                <w:sz w:val="20"/>
              </w:rPr>
              <w:t>0,210</w:t>
            </w:r>
          </w:p>
        </w:tc>
        <w:tc>
          <w:tcPr>
            <w:tcW w:w="851" w:type="dxa"/>
          </w:tcPr>
          <w:p w14:paraId="2C3A5B9C" w14:textId="77777777" w:rsidR="005F7372" w:rsidRPr="00DF5C23" w:rsidRDefault="009E22E2" w:rsidP="00D12295">
            <w:pPr>
              <w:spacing w:before="20" w:after="20"/>
              <w:jc w:val="right"/>
              <w:rPr>
                <w:noProof/>
                <w:sz w:val="20"/>
              </w:rPr>
            </w:pPr>
            <w:r w:rsidRPr="00DF5C23">
              <w:rPr>
                <w:noProof/>
                <w:sz w:val="20"/>
              </w:rPr>
              <w:t>0,45</w:t>
            </w:r>
            <w:r w:rsidR="005D3B78" w:rsidRPr="00DF5C23">
              <w:rPr>
                <w:noProof/>
                <w:sz w:val="20"/>
              </w:rPr>
              <w:t>0</w:t>
            </w:r>
          </w:p>
        </w:tc>
        <w:tc>
          <w:tcPr>
            <w:tcW w:w="1701" w:type="dxa"/>
            <w:vAlign w:val="center"/>
          </w:tcPr>
          <w:p w14:paraId="2C3A5B9D" w14:textId="77777777" w:rsidR="00D12295" w:rsidRPr="00DF5C23" w:rsidRDefault="009E22E2" w:rsidP="00D12295">
            <w:pPr>
              <w:spacing w:before="20" w:after="20"/>
              <w:jc w:val="right"/>
              <w:rPr>
                <w:rFonts w:eastAsia="Calibri"/>
                <w:b/>
                <w:noProof/>
                <w:sz w:val="20"/>
              </w:rPr>
            </w:pPr>
            <w:r w:rsidRPr="00DF5C23">
              <w:rPr>
                <w:noProof/>
                <w:sz w:val="20"/>
              </w:rPr>
              <w:t>1,250</w:t>
            </w:r>
          </w:p>
        </w:tc>
      </w:tr>
      <w:tr w:rsidR="00D12295" w:rsidRPr="00DF5C23" w14:paraId="2C3A5BA9" w14:textId="77777777" w:rsidTr="00EC0E40">
        <w:trPr>
          <w:trHeight w:val="231"/>
        </w:trPr>
        <w:tc>
          <w:tcPr>
            <w:tcW w:w="6054" w:type="dxa"/>
            <w:gridSpan w:val="4"/>
            <w:vAlign w:val="center"/>
          </w:tcPr>
          <w:p w14:paraId="2C3A5B9F" w14:textId="77777777" w:rsidR="00D12295" w:rsidRPr="00DF5C23" w:rsidRDefault="00D12295" w:rsidP="00D12295">
            <w:pPr>
              <w:spacing w:before="20" w:after="20"/>
              <w:rPr>
                <w:rFonts w:eastAsia="Calibri"/>
                <w:noProof/>
              </w:rPr>
            </w:pPr>
            <w:r w:rsidRPr="00DF5C23">
              <w:rPr>
                <w:rFonts w:eastAsia="Calibri"/>
                <w:noProof/>
                <w:sz w:val="21"/>
                <w:szCs w:val="21"/>
              </w:rPr>
              <w:t>Appropriations of an administrative nature financed from the envelope of specific programmes</w:t>
            </w:r>
            <w:r w:rsidR="008B78E1" w:rsidRPr="00DF5C23">
              <w:rPr>
                <w:rStyle w:val="FootnoteReference0"/>
                <w:rFonts w:eastAsia="Calibri"/>
                <w:noProof/>
                <w:sz w:val="21"/>
                <w:szCs w:val="21"/>
              </w:rPr>
              <w:footnoteReference w:id="97"/>
            </w:r>
            <w:r w:rsidRPr="00DF5C23">
              <w:rPr>
                <w:rFonts w:eastAsia="Calibri"/>
                <w:noProof/>
                <w:sz w:val="21"/>
                <w:szCs w:val="21"/>
              </w:rPr>
              <w:t xml:space="preserve"> </w:t>
            </w:r>
          </w:p>
          <w:p w14:paraId="2C3A5BA0" w14:textId="77777777" w:rsidR="00D12295" w:rsidRPr="00DF5C23" w:rsidRDefault="00D12295" w:rsidP="00D12295">
            <w:pPr>
              <w:spacing w:before="0" w:after="0"/>
              <w:rPr>
                <w:rFonts w:eastAsia="Calibri"/>
                <w:noProof/>
              </w:rPr>
            </w:pPr>
          </w:p>
        </w:tc>
        <w:tc>
          <w:tcPr>
            <w:tcW w:w="868" w:type="dxa"/>
            <w:vAlign w:val="center"/>
          </w:tcPr>
          <w:p w14:paraId="2C3A5BA1" w14:textId="77777777" w:rsidR="00D12295" w:rsidRPr="00DF5C23" w:rsidRDefault="00D12295" w:rsidP="00D12295">
            <w:pPr>
              <w:rPr>
                <w:rFonts w:eastAsia="Calibri"/>
                <w:b/>
                <w:noProof/>
                <w:sz w:val="20"/>
              </w:rPr>
            </w:pPr>
          </w:p>
        </w:tc>
        <w:tc>
          <w:tcPr>
            <w:tcW w:w="868" w:type="dxa"/>
            <w:vAlign w:val="center"/>
          </w:tcPr>
          <w:p w14:paraId="2C3A5BA2" w14:textId="77777777" w:rsidR="00D12295" w:rsidRPr="00DF5C23" w:rsidRDefault="00D12295" w:rsidP="00D12295">
            <w:pPr>
              <w:rPr>
                <w:rFonts w:eastAsia="Calibri"/>
                <w:b/>
                <w:noProof/>
                <w:sz w:val="20"/>
              </w:rPr>
            </w:pPr>
          </w:p>
        </w:tc>
        <w:tc>
          <w:tcPr>
            <w:tcW w:w="868" w:type="dxa"/>
            <w:vAlign w:val="center"/>
          </w:tcPr>
          <w:p w14:paraId="2C3A5BA3" w14:textId="77777777" w:rsidR="00D12295" w:rsidRPr="00DF5C23" w:rsidRDefault="00D12295" w:rsidP="00D12295">
            <w:pPr>
              <w:rPr>
                <w:rFonts w:eastAsia="Calibri"/>
                <w:b/>
                <w:noProof/>
                <w:sz w:val="20"/>
              </w:rPr>
            </w:pPr>
          </w:p>
        </w:tc>
        <w:tc>
          <w:tcPr>
            <w:tcW w:w="868" w:type="dxa"/>
            <w:vAlign w:val="center"/>
          </w:tcPr>
          <w:p w14:paraId="2C3A5BA4" w14:textId="77777777" w:rsidR="00D12295" w:rsidRPr="00DF5C23" w:rsidRDefault="00D12295" w:rsidP="00D12295">
            <w:pPr>
              <w:rPr>
                <w:rFonts w:eastAsia="Calibri"/>
                <w:b/>
                <w:noProof/>
                <w:sz w:val="20"/>
              </w:rPr>
            </w:pPr>
          </w:p>
        </w:tc>
        <w:tc>
          <w:tcPr>
            <w:tcW w:w="868" w:type="dxa"/>
            <w:vAlign w:val="center"/>
          </w:tcPr>
          <w:p w14:paraId="2C3A5BA5" w14:textId="77777777" w:rsidR="00D12295" w:rsidRPr="00DF5C23" w:rsidRDefault="00D12295" w:rsidP="00D12295">
            <w:pPr>
              <w:rPr>
                <w:rFonts w:eastAsia="Calibri"/>
                <w:b/>
                <w:noProof/>
                <w:sz w:val="20"/>
              </w:rPr>
            </w:pPr>
          </w:p>
        </w:tc>
        <w:tc>
          <w:tcPr>
            <w:tcW w:w="881" w:type="dxa"/>
            <w:vAlign w:val="center"/>
          </w:tcPr>
          <w:p w14:paraId="2C3A5BA6" w14:textId="77777777" w:rsidR="00D12295" w:rsidRPr="00DF5C23" w:rsidRDefault="00D12295" w:rsidP="00D12295">
            <w:pPr>
              <w:rPr>
                <w:rFonts w:eastAsia="Calibri"/>
                <w:b/>
                <w:noProof/>
                <w:sz w:val="20"/>
              </w:rPr>
            </w:pPr>
          </w:p>
        </w:tc>
        <w:tc>
          <w:tcPr>
            <w:tcW w:w="851" w:type="dxa"/>
          </w:tcPr>
          <w:p w14:paraId="2C3A5BA7" w14:textId="77777777" w:rsidR="005F7372" w:rsidRPr="00DF5C23" w:rsidRDefault="005F7372" w:rsidP="00D12295">
            <w:pPr>
              <w:rPr>
                <w:rFonts w:eastAsia="Calibri"/>
                <w:b/>
                <w:noProof/>
                <w:sz w:val="20"/>
              </w:rPr>
            </w:pPr>
          </w:p>
        </w:tc>
        <w:tc>
          <w:tcPr>
            <w:tcW w:w="1701" w:type="dxa"/>
            <w:vAlign w:val="center"/>
          </w:tcPr>
          <w:p w14:paraId="2C3A5BA8" w14:textId="77777777" w:rsidR="00D12295" w:rsidRPr="00DF5C23" w:rsidRDefault="00D12295" w:rsidP="00D12295">
            <w:pPr>
              <w:rPr>
                <w:rFonts w:eastAsia="Calibri"/>
                <w:b/>
                <w:noProof/>
                <w:sz w:val="20"/>
              </w:rPr>
            </w:pPr>
          </w:p>
        </w:tc>
      </w:tr>
      <w:tr w:rsidR="00D12295" w:rsidRPr="00DF5C23" w14:paraId="2C3A5BB5" w14:textId="77777777" w:rsidTr="00EC0E40">
        <w:trPr>
          <w:trHeight w:val="319"/>
        </w:trPr>
        <w:tc>
          <w:tcPr>
            <w:tcW w:w="3960" w:type="dxa"/>
            <w:vAlign w:val="center"/>
          </w:tcPr>
          <w:p w14:paraId="2C3A5BAA" w14:textId="77777777" w:rsidR="00D12295" w:rsidRPr="00DF5C23" w:rsidRDefault="00D12295" w:rsidP="00D12295">
            <w:pPr>
              <w:spacing w:before="60" w:after="60"/>
              <w:rPr>
                <w:rFonts w:eastAsia="Calibri"/>
                <w:noProof/>
              </w:rPr>
            </w:pPr>
            <w:r w:rsidRPr="00DF5C23">
              <w:rPr>
                <w:rFonts w:eastAsia="Calibri"/>
                <w:noProof/>
                <w:sz w:val="20"/>
              </w:rPr>
              <w:t>Budget line</w:t>
            </w:r>
          </w:p>
        </w:tc>
        <w:tc>
          <w:tcPr>
            <w:tcW w:w="1440" w:type="dxa"/>
            <w:vAlign w:val="center"/>
          </w:tcPr>
          <w:p w14:paraId="2C3A5BAB" w14:textId="77777777" w:rsidR="00D12295" w:rsidRPr="00DF5C23" w:rsidRDefault="00D12295" w:rsidP="00D12295">
            <w:pPr>
              <w:spacing w:before="40" w:after="40"/>
              <w:jc w:val="right"/>
              <w:rPr>
                <w:rFonts w:eastAsia="Calibri"/>
                <w:noProof/>
                <w:sz w:val="18"/>
              </w:rPr>
            </w:pPr>
          </w:p>
        </w:tc>
        <w:tc>
          <w:tcPr>
            <w:tcW w:w="654" w:type="dxa"/>
            <w:gridSpan w:val="2"/>
            <w:vAlign w:val="center"/>
          </w:tcPr>
          <w:p w14:paraId="2C3A5BAC" w14:textId="77777777" w:rsidR="00D12295" w:rsidRPr="00DF5C23" w:rsidRDefault="00D12295" w:rsidP="00D12295">
            <w:pPr>
              <w:spacing w:before="40" w:after="40"/>
              <w:jc w:val="center"/>
              <w:rPr>
                <w:rFonts w:eastAsia="Calibri"/>
                <w:noProof/>
                <w:sz w:val="14"/>
              </w:rPr>
            </w:pPr>
            <w:r w:rsidRPr="00DF5C23">
              <w:rPr>
                <w:rFonts w:eastAsia="Calibri"/>
                <w:noProof/>
                <w:sz w:val="14"/>
              </w:rPr>
              <w:t>(3)</w:t>
            </w:r>
          </w:p>
        </w:tc>
        <w:tc>
          <w:tcPr>
            <w:tcW w:w="868" w:type="dxa"/>
            <w:vAlign w:val="center"/>
          </w:tcPr>
          <w:p w14:paraId="2C3A5BAD" w14:textId="77777777" w:rsidR="00D12295" w:rsidRPr="00DF5C23" w:rsidRDefault="00D12295" w:rsidP="00D12295">
            <w:pPr>
              <w:spacing w:before="40" w:after="40"/>
              <w:jc w:val="right"/>
              <w:rPr>
                <w:rFonts w:eastAsia="Calibri"/>
                <w:b/>
                <w:noProof/>
                <w:sz w:val="20"/>
              </w:rPr>
            </w:pPr>
          </w:p>
        </w:tc>
        <w:tc>
          <w:tcPr>
            <w:tcW w:w="868" w:type="dxa"/>
            <w:vAlign w:val="center"/>
          </w:tcPr>
          <w:p w14:paraId="2C3A5BAE" w14:textId="77777777" w:rsidR="00D12295" w:rsidRPr="00DF5C23" w:rsidRDefault="00D12295" w:rsidP="00D12295">
            <w:pPr>
              <w:spacing w:before="40" w:after="40"/>
              <w:jc w:val="right"/>
              <w:rPr>
                <w:rFonts w:eastAsia="Calibri"/>
                <w:b/>
                <w:noProof/>
                <w:sz w:val="20"/>
              </w:rPr>
            </w:pPr>
          </w:p>
        </w:tc>
        <w:tc>
          <w:tcPr>
            <w:tcW w:w="868" w:type="dxa"/>
            <w:vAlign w:val="center"/>
          </w:tcPr>
          <w:p w14:paraId="2C3A5BAF" w14:textId="77777777" w:rsidR="00D12295" w:rsidRPr="00DF5C23" w:rsidRDefault="00D12295" w:rsidP="00D12295">
            <w:pPr>
              <w:spacing w:before="40" w:after="40"/>
              <w:jc w:val="right"/>
              <w:rPr>
                <w:rFonts w:eastAsia="Calibri"/>
                <w:b/>
                <w:noProof/>
                <w:sz w:val="20"/>
              </w:rPr>
            </w:pPr>
          </w:p>
        </w:tc>
        <w:tc>
          <w:tcPr>
            <w:tcW w:w="868" w:type="dxa"/>
            <w:vAlign w:val="center"/>
          </w:tcPr>
          <w:p w14:paraId="2C3A5BB0" w14:textId="77777777" w:rsidR="00D12295" w:rsidRPr="00DF5C23" w:rsidRDefault="00D12295" w:rsidP="00D12295">
            <w:pPr>
              <w:spacing w:before="40" w:after="40"/>
              <w:jc w:val="right"/>
              <w:rPr>
                <w:rFonts w:eastAsia="Calibri"/>
                <w:b/>
                <w:noProof/>
                <w:sz w:val="20"/>
              </w:rPr>
            </w:pPr>
          </w:p>
        </w:tc>
        <w:tc>
          <w:tcPr>
            <w:tcW w:w="868" w:type="dxa"/>
            <w:vAlign w:val="center"/>
          </w:tcPr>
          <w:p w14:paraId="2C3A5BB1" w14:textId="77777777" w:rsidR="00D12295" w:rsidRPr="00DF5C23" w:rsidRDefault="00D12295" w:rsidP="00D12295">
            <w:pPr>
              <w:spacing w:before="40" w:after="40"/>
              <w:jc w:val="right"/>
              <w:rPr>
                <w:rFonts w:eastAsia="Calibri"/>
                <w:b/>
                <w:noProof/>
                <w:sz w:val="20"/>
              </w:rPr>
            </w:pPr>
          </w:p>
        </w:tc>
        <w:tc>
          <w:tcPr>
            <w:tcW w:w="881" w:type="dxa"/>
            <w:vAlign w:val="center"/>
          </w:tcPr>
          <w:p w14:paraId="2C3A5BB2" w14:textId="77777777" w:rsidR="00D12295" w:rsidRPr="00DF5C23" w:rsidRDefault="00D12295" w:rsidP="00D12295">
            <w:pPr>
              <w:spacing w:before="40" w:after="40"/>
              <w:jc w:val="right"/>
              <w:rPr>
                <w:rFonts w:eastAsia="Calibri"/>
                <w:b/>
                <w:noProof/>
                <w:sz w:val="20"/>
              </w:rPr>
            </w:pPr>
          </w:p>
        </w:tc>
        <w:tc>
          <w:tcPr>
            <w:tcW w:w="851" w:type="dxa"/>
          </w:tcPr>
          <w:p w14:paraId="2C3A5BB3" w14:textId="77777777" w:rsidR="005F7372" w:rsidRPr="00DF5C23" w:rsidRDefault="005F7372" w:rsidP="00D12295">
            <w:pPr>
              <w:spacing w:before="40" w:after="40"/>
              <w:jc w:val="right"/>
              <w:rPr>
                <w:rFonts w:eastAsia="Calibri"/>
                <w:b/>
                <w:noProof/>
                <w:sz w:val="20"/>
              </w:rPr>
            </w:pPr>
          </w:p>
        </w:tc>
        <w:tc>
          <w:tcPr>
            <w:tcW w:w="1701" w:type="dxa"/>
            <w:vAlign w:val="center"/>
          </w:tcPr>
          <w:p w14:paraId="2C3A5BB4" w14:textId="77777777" w:rsidR="00D12295" w:rsidRPr="00DF5C23" w:rsidRDefault="00D12295" w:rsidP="00D12295">
            <w:pPr>
              <w:spacing w:before="40" w:after="40"/>
              <w:jc w:val="right"/>
              <w:rPr>
                <w:rFonts w:eastAsia="Calibri"/>
                <w:b/>
                <w:noProof/>
                <w:sz w:val="20"/>
              </w:rPr>
            </w:pPr>
          </w:p>
        </w:tc>
      </w:tr>
      <w:tr w:rsidR="00D12295" w:rsidRPr="00DF5C23" w14:paraId="2C3A5BC2" w14:textId="77777777" w:rsidTr="00EC0E40">
        <w:tc>
          <w:tcPr>
            <w:tcW w:w="3960" w:type="dxa"/>
            <w:vMerge w:val="restart"/>
            <w:vAlign w:val="center"/>
          </w:tcPr>
          <w:p w14:paraId="2C3A5BB6" w14:textId="77777777" w:rsidR="00D12295" w:rsidRPr="00DF5C23" w:rsidRDefault="00D12295" w:rsidP="00D12295">
            <w:pPr>
              <w:jc w:val="center"/>
              <w:rPr>
                <w:rFonts w:eastAsia="Calibri"/>
                <w:b/>
                <w:noProof/>
              </w:rPr>
            </w:pPr>
            <w:r w:rsidRPr="00DF5C23">
              <w:rPr>
                <w:rFonts w:eastAsia="Calibri"/>
                <w:b/>
                <w:noProof/>
                <w:sz w:val="22"/>
              </w:rPr>
              <w:t>TOTAL appropriations</w:t>
            </w:r>
            <w:r w:rsidRPr="00DF5C23">
              <w:rPr>
                <w:rFonts w:eastAsia="Calibri"/>
                <w:noProof/>
                <w:sz w:val="22"/>
              </w:rPr>
              <w:br/>
            </w:r>
            <w:r w:rsidRPr="00DF5C23">
              <w:rPr>
                <w:rFonts w:eastAsia="Calibri"/>
                <w:b/>
                <w:noProof/>
                <w:sz w:val="22"/>
              </w:rPr>
              <w:t xml:space="preserve">for DG </w:t>
            </w:r>
            <w:r w:rsidRPr="00DF5C23">
              <w:rPr>
                <w:rFonts w:eastAsia="Calibri"/>
                <w:noProof/>
                <w:sz w:val="22"/>
              </w:rPr>
              <w:t>ENV</w:t>
            </w:r>
          </w:p>
        </w:tc>
        <w:tc>
          <w:tcPr>
            <w:tcW w:w="1440" w:type="dxa"/>
            <w:vAlign w:val="center"/>
          </w:tcPr>
          <w:p w14:paraId="2C3A5BB7" w14:textId="77777777" w:rsidR="00D12295" w:rsidRPr="00DF5C23" w:rsidRDefault="00D12295" w:rsidP="00D12295">
            <w:pPr>
              <w:rPr>
                <w:rFonts w:eastAsia="Calibri"/>
                <w:noProof/>
                <w:sz w:val="18"/>
              </w:rPr>
            </w:pPr>
            <w:r w:rsidRPr="00DF5C23">
              <w:rPr>
                <w:rFonts w:eastAsia="Calibri"/>
                <w:noProof/>
                <w:sz w:val="18"/>
              </w:rPr>
              <w:t>Commitments</w:t>
            </w:r>
          </w:p>
        </w:tc>
        <w:tc>
          <w:tcPr>
            <w:tcW w:w="654" w:type="dxa"/>
            <w:gridSpan w:val="2"/>
            <w:vAlign w:val="center"/>
          </w:tcPr>
          <w:p w14:paraId="2C3A5BB8" w14:textId="77777777" w:rsidR="00D12295" w:rsidRPr="00DF5C23" w:rsidRDefault="00D12295" w:rsidP="00D12295">
            <w:pPr>
              <w:jc w:val="center"/>
              <w:rPr>
                <w:rFonts w:eastAsia="Calibri"/>
                <w:noProof/>
                <w:sz w:val="14"/>
              </w:rPr>
            </w:pPr>
            <w:r w:rsidRPr="00DF5C23">
              <w:rPr>
                <w:rFonts w:eastAsia="Calibri"/>
                <w:noProof/>
                <w:sz w:val="14"/>
              </w:rPr>
              <w:t>=1a+1b +3</w:t>
            </w:r>
          </w:p>
        </w:tc>
        <w:tc>
          <w:tcPr>
            <w:tcW w:w="868" w:type="dxa"/>
            <w:vAlign w:val="center"/>
          </w:tcPr>
          <w:p w14:paraId="2C3A5BB9" w14:textId="77777777" w:rsidR="00D12295" w:rsidRPr="00DF5C23" w:rsidRDefault="00D12295" w:rsidP="00D12295">
            <w:pPr>
              <w:spacing w:before="20" w:after="20"/>
              <w:jc w:val="right"/>
              <w:rPr>
                <w:rFonts w:eastAsia="Calibri"/>
                <w:noProof/>
                <w:sz w:val="20"/>
              </w:rPr>
            </w:pPr>
            <w:r w:rsidRPr="00DF5C23">
              <w:rPr>
                <w:rFonts w:ascii="Arial Narrow" w:hAnsi="Arial Narrow" w:cs="Calibri"/>
                <w:noProof/>
                <w:color w:val="000000"/>
                <w:sz w:val="20"/>
                <w:szCs w:val="20"/>
              </w:rPr>
              <w:t>2,276</w:t>
            </w:r>
          </w:p>
        </w:tc>
        <w:tc>
          <w:tcPr>
            <w:tcW w:w="868" w:type="dxa"/>
            <w:vAlign w:val="center"/>
          </w:tcPr>
          <w:p w14:paraId="2C3A5BBA" w14:textId="77777777" w:rsidR="00D12295" w:rsidRPr="00DF5C23" w:rsidRDefault="00D12295" w:rsidP="00D12295">
            <w:pPr>
              <w:spacing w:before="20" w:after="20"/>
              <w:jc w:val="right"/>
              <w:rPr>
                <w:rFonts w:eastAsia="Calibri"/>
                <w:noProof/>
                <w:sz w:val="20"/>
              </w:rPr>
            </w:pPr>
            <w:r w:rsidRPr="00DF5C23">
              <w:rPr>
                <w:rFonts w:ascii="Arial Narrow" w:hAnsi="Arial Narrow" w:cs="Calibri"/>
                <w:noProof/>
                <w:color w:val="000000"/>
                <w:sz w:val="20"/>
                <w:szCs w:val="20"/>
              </w:rPr>
              <w:t>2,948</w:t>
            </w:r>
          </w:p>
        </w:tc>
        <w:tc>
          <w:tcPr>
            <w:tcW w:w="868" w:type="dxa"/>
            <w:vAlign w:val="center"/>
          </w:tcPr>
          <w:p w14:paraId="2C3A5BBB" w14:textId="77777777" w:rsidR="00D12295" w:rsidRPr="00DF5C23" w:rsidRDefault="009E22E2" w:rsidP="00D12295">
            <w:pPr>
              <w:spacing w:before="20" w:after="20"/>
              <w:jc w:val="right"/>
              <w:rPr>
                <w:rFonts w:eastAsia="Calibri"/>
                <w:noProof/>
                <w:sz w:val="20"/>
              </w:rPr>
            </w:pPr>
            <w:r w:rsidRPr="00DF5C23">
              <w:rPr>
                <w:rFonts w:ascii="Arial Narrow" w:hAnsi="Arial Narrow" w:cs="Calibri"/>
                <w:noProof/>
                <w:color w:val="000000"/>
                <w:sz w:val="20"/>
                <w:szCs w:val="20"/>
              </w:rPr>
              <w:t>2,580</w:t>
            </w:r>
          </w:p>
        </w:tc>
        <w:tc>
          <w:tcPr>
            <w:tcW w:w="868" w:type="dxa"/>
            <w:vAlign w:val="center"/>
          </w:tcPr>
          <w:p w14:paraId="2C3A5BBC" w14:textId="77777777" w:rsidR="00D12295" w:rsidRPr="00DF5C23" w:rsidRDefault="009E22E2" w:rsidP="00D12295">
            <w:pPr>
              <w:spacing w:before="20" w:after="20"/>
              <w:jc w:val="right"/>
              <w:rPr>
                <w:rFonts w:eastAsia="Calibri"/>
                <w:noProof/>
                <w:sz w:val="20"/>
              </w:rPr>
            </w:pPr>
            <w:r w:rsidRPr="00DF5C23">
              <w:rPr>
                <w:rFonts w:ascii="Arial Narrow" w:hAnsi="Arial Narrow" w:cs="Calibri"/>
                <w:noProof/>
                <w:color w:val="000000"/>
                <w:sz w:val="20"/>
                <w:szCs w:val="20"/>
              </w:rPr>
              <w:t>3,030</w:t>
            </w:r>
          </w:p>
        </w:tc>
        <w:tc>
          <w:tcPr>
            <w:tcW w:w="868" w:type="dxa"/>
            <w:vAlign w:val="center"/>
          </w:tcPr>
          <w:p w14:paraId="2C3A5BBD" w14:textId="77777777" w:rsidR="00D12295" w:rsidRPr="00DF5C23" w:rsidRDefault="009E22E2" w:rsidP="00D12295">
            <w:pPr>
              <w:spacing w:before="20" w:after="20"/>
              <w:jc w:val="right"/>
              <w:rPr>
                <w:rFonts w:eastAsia="Calibri"/>
                <w:noProof/>
                <w:sz w:val="20"/>
              </w:rPr>
            </w:pPr>
            <w:r w:rsidRPr="00DF5C23">
              <w:rPr>
                <w:rFonts w:ascii="Arial Narrow" w:hAnsi="Arial Narrow" w:cs="Calibri"/>
                <w:noProof/>
                <w:color w:val="000000"/>
                <w:sz w:val="20"/>
                <w:szCs w:val="20"/>
              </w:rPr>
              <w:t>4,030</w:t>
            </w:r>
          </w:p>
        </w:tc>
        <w:tc>
          <w:tcPr>
            <w:tcW w:w="881" w:type="dxa"/>
            <w:vAlign w:val="center"/>
          </w:tcPr>
          <w:p w14:paraId="2C3A5BBE" w14:textId="77777777" w:rsidR="00D12295" w:rsidRPr="00DF5C23" w:rsidRDefault="009E22E2" w:rsidP="00D12295">
            <w:pPr>
              <w:spacing w:before="20" w:after="20"/>
              <w:jc w:val="right"/>
              <w:rPr>
                <w:rFonts w:eastAsia="Calibri"/>
                <w:noProof/>
                <w:sz w:val="20"/>
              </w:rPr>
            </w:pPr>
            <w:r w:rsidRPr="00DF5C23">
              <w:rPr>
                <w:rFonts w:ascii="Arial Narrow" w:hAnsi="Arial Narrow" w:cs="Calibri"/>
                <w:noProof/>
                <w:color w:val="000000"/>
                <w:sz w:val="20"/>
                <w:szCs w:val="20"/>
              </w:rPr>
              <w:t>3,830</w:t>
            </w:r>
          </w:p>
        </w:tc>
        <w:tc>
          <w:tcPr>
            <w:tcW w:w="851" w:type="dxa"/>
          </w:tcPr>
          <w:p w14:paraId="2C3A5BBF" w14:textId="77777777" w:rsidR="005F7372" w:rsidRPr="00DF5C23" w:rsidRDefault="005F7372" w:rsidP="00D12295">
            <w:pPr>
              <w:spacing w:before="20" w:after="20"/>
              <w:jc w:val="right"/>
              <w:rPr>
                <w:rFonts w:ascii="Arial Narrow" w:hAnsi="Arial Narrow" w:cs="Calibri"/>
                <w:noProof/>
                <w:color w:val="000000"/>
                <w:sz w:val="20"/>
                <w:szCs w:val="20"/>
              </w:rPr>
            </w:pPr>
          </w:p>
        </w:tc>
        <w:tc>
          <w:tcPr>
            <w:tcW w:w="1701" w:type="dxa"/>
            <w:vAlign w:val="center"/>
          </w:tcPr>
          <w:p w14:paraId="2C3A5BC0" w14:textId="77777777" w:rsidR="006B4EAB" w:rsidRPr="00DF5C23" w:rsidRDefault="006B4EAB" w:rsidP="006B4EAB">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18,694</w:t>
            </w:r>
          </w:p>
          <w:p w14:paraId="2C3A5BC1" w14:textId="77777777" w:rsidR="00D12295" w:rsidRPr="00DF5C23" w:rsidRDefault="00D12295" w:rsidP="00D12295">
            <w:pPr>
              <w:spacing w:before="20" w:after="20"/>
              <w:jc w:val="right"/>
              <w:rPr>
                <w:rFonts w:eastAsia="Calibri"/>
                <w:b/>
                <w:noProof/>
                <w:sz w:val="20"/>
              </w:rPr>
            </w:pPr>
          </w:p>
        </w:tc>
      </w:tr>
      <w:tr w:rsidR="00D12295" w:rsidRPr="00DF5C23" w14:paraId="2C3A5BD0" w14:textId="77777777" w:rsidTr="00EC0E40">
        <w:tc>
          <w:tcPr>
            <w:tcW w:w="3960" w:type="dxa"/>
            <w:vMerge/>
          </w:tcPr>
          <w:p w14:paraId="2C3A5BC3" w14:textId="77777777" w:rsidR="00D12295" w:rsidRPr="00DF5C23" w:rsidRDefault="00D12295" w:rsidP="00D12295">
            <w:pPr>
              <w:rPr>
                <w:rFonts w:eastAsia="Calibri"/>
                <w:noProof/>
                <w:sz w:val="20"/>
              </w:rPr>
            </w:pPr>
          </w:p>
        </w:tc>
        <w:tc>
          <w:tcPr>
            <w:tcW w:w="1440" w:type="dxa"/>
            <w:vAlign w:val="center"/>
          </w:tcPr>
          <w:p w14:paraId="2C3A5BC4" w14:textId="77777777" w:rsidR="00D12295" w:rsidRPr="00DF5C23" w:rsidRDefault="00D12295" w:rsidP="00D12295">
            <w:pPr>
              <w:rPr>
                <w:rFonts w:eastAsia="Calibri"/>
                <w:noProof/>
                <w:sz w:val="18"/>
              </w:rPr>
            </w:pPr>
            <w:r w:rsidRPr="00DF5C23">
              <w:rPr>
                <w:rFonts w:eastAsia="Calibri"/>
                <w:noProof/>
                <w:sz w:val="18"/>
              </w:rPr>
              <w:t>Payments</w:t>
            </w:r>
          </w:p>
        </w:tc>
        <w:tc>
          <w:tcPr>
            <w:tcW w:w="654" w:type="dxa"/>
            <w:gridSpan w:val="2"/>
            <w:vAlign w:val="center"/>
          </w:tcPr>
          <w:p w14:paraId="2C3A5BC5" w14:textId="77777777" w:rsidR="00D12295" w:rsidRPr="00DF5C23" w:rsidRDefault="00D12295" w:rsidP="00D12295">
            <w:pPr>
              <w:jc w:val="center"/>
              <w:rPr>
                <w:rFonts w:eastAsia="Calibri"/>
                <w:noProof/>
                <w:sz w:val="14"/>
              </w:rPr>
            </w:pPr>
            <w:r w:rsidRPr="00DF5C23">
              <w:rPr>
                <w:rFonts w:eastAsia="Calibri"/>
                <w:noProof/>
                <w:sz w:val="14"/>
              </w:rPr>
              <w:t>=2a+2b</w:t>
            </w:r>
          </w:p>
          <w:p w14:paraId="2C3A5BC6" w14:textId="77777777" w:rsidR="00D12295" w:rsidRPr="00DF5C23" w:rsidRDefault="00D12295" w:rsidP="00D12295">
            <w:pPr>
              <w:jc w:val="center"/>
              <w:rPr>
                <w:rFonts w:eastAsia="Calibri"/>
                <w:noProof/>
                <w:sz w:val="14"/>
              </w:rPr>
            </w:pPr>
            <w:r w:rsidRPr="00DF5C23">
              <w:rPr>
                <w:rFonts w:eastAsia="Calibri"/>
                <w:noProof/>
                <w:sz w:val="14"/>
              </w:rPr>
              <w:t>+3</w:t>
            </w:r>
          </w:p>
        </w:tc>
        <w:tc>
          <w:tcPr>
            <w:tcW w:w="868" w:type="dxa"/>
            <w:vAlign w:val="center"/>
          </w:tcPr>
          <w:p w14:paraId="2C3A5BC7" w14:textId="77777777" w:rsidR="00D12295" w:rsidRPr="00DF5C23" w:rsidRDefault="00D12295" w:rsidP="00D12295">
            <w:pPr>
              <w:spacing w:before="20" w:after="20"/>
              <w:jc w:val="right"/>
              <w:rPr>
                <w:rFonts w:eastAsia="Calibri"/>
                <w:noProof/>
                <w:sz w:val="20"/>
              </w:rPr>
            </w:pPr>
            <w:r w:rsidRPr="00DF5C23">
              <w:rPr>
                <w:rFonts w:ascii="Arial Narrow" w:hAnsi="Arial Narrow" w:cs="Calibri"/>
                <w:noProof/>
                <w:color w:val="000000"/>
                <w:sz w:val="20"/>
                <w:szCs w:val="20"/>
              </w:rPr>
              <w:t>0,683</w:t>
            </w:r>
          </w:p>
        </w:tc>
        <w:tc>
          <w:tcPr>
            <w:tcW w:w="868" w:type="dxa"/>
            <w:vAlign w:val="center"/>
          </w:tcPr>
          <w:p w14:paraId="2C3A5BC8" w14:textId="77777777" w:rsidR="00D12295" w:rsidRPr="00DF5C23" w:rsidRDefault="00D12295" w:rsidP="00D12295">
            <w:pPr>
              <w:spacing w:before="20" w:after="20"/>
              <w:jc w:val="right"/>
              <w:rPr>
                <w:rFonts w:eastAsia="Calibri"/>
                <w:noProof/>
                <w:sz w:val="20"/>
              </w:rPr>
            </w:pPr>
            <w:r w:rsidRPr="00DF5C23">
              <w:rPr>
                <w:rFonts w:ascii="Arial Narrow" w:hAnsi="Arial Narrow" w:cs="Calibri"/>
                <w:noProof/>
                <w:color w:val="000000"/>
                <w:sz w:val="20"/>
                <w:szCs w:val="20"/>
              </w:rPr>
              <w:t>1,567</w:t>
            </w:r>
          </w:p>
        </w:tc>
        <w:tc>
          <w:tcPr>
            <w:tcW w:w="868" w:type="dxa"/>
            <w:vAlign w:val="center"/>
          </w:tcPr>
          <w:p w14:paraId="2C3A5BC9" w14:textId="77777777" w:rsidR="00D12295" w:rsidRPr="00DF5C23" w:rsidRDefault="005D3B78" w:rsidP="00D12295">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2,729</w:t>
            </w:r>
          </w:p>
        </w:tc>
        <w:tc>
          <w:tcPr>
            <w:tcW w:w="868" w:type="dxa"/>
            <w:vAlign w:val="center"/>
          </w:tcPr>
          <w:p w14:paraId="2C3A5BCA" w14:textId="77777777" w:rsidR="00D12295" w:rsidRPr="00DF5C23" w:rsidRDefault="005D3B78" w:rsidP="00D12295">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3,002</w:t>
            </w:r>
          </w:p>
        </w:tc>
        <w:tc>
          <w:tcPr>
            <w:tcW w:w="868" w:type="dxa"/>
            <w:vAlign w:val="center"/>
          </w:tcPr>
          <w:p w14:paraId="2C3A5BCB" w14:textId="77777777" w:rsidR="00D12295" w:rsidRPr="00DF5C23" w:rsidRDefault="006B4EAB" w:rsidP="00D12295">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3,13</w:t>
            </w:r>
            <w:r w:rsidR="005D3B78" w:rsidRPr="00DF5C23">
              <w:rPr>
                <w:rFonts w:ascii="Arial Narrow" w:hAnsi="Arial Narrow" w:cs="Calibri"/>
                <w:noProof/>
                <w:color w:val="000000"/>
                <w:sz w:val="20"/>
                <w:szCs w:val="20"/>
              </w:rPr>
              <w:t>0</w:t>
            </w:r>
          </w:p>
        </w:tc>
        <w:tc>
          <w:tcPr>
            <w:tcW w:w="881" w:type="dxa"/>
            <w:vAlign w:val="center"/>
          </w:tcPr>
          <w:p w14:paraId="2C3A5BCC" w14:textId="77777777" w:rsidR="00D12295" w:rsidRPr="00DF5C23" w:rsidRDefault="006B4EAB" w:rsidP="00D12295">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3,49</w:t>
            </w:r>
            <w:r w:rsidR="005D3B78" w:rsidRPr="00DF5C23">
              <w:rPr>
                <w:rFonts w:ascii="Arial Narrow" w:hAnsi="Arial Narrow" w:cs="Calibri"/>
                <w:noProof/>
                <w:color w:val="000000"/>
                <w:sz w:val="20"/>
                <w:szCs w:val="20"/>
              </w:rPr>
              <w:t>0</w:t>
            </w:r>
          </w:p>
        </w:tc>
        <w:tc>
          <w:tcPr>
            <w:tcW w:w="851" w:type="dxa"/>
          </w:tcPr>
          <w:p w14:paraId="2C3A5BCD" w14:textId="77777777" w:rsidR="005F7372" w:rsidRPr="00DF5C23" w:rsidRDefault="005F7372" w:rsidP="00D12295">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w:t>
            </w:r>
            <w:r w:rsidR="006B4EAB" w:rsidRPr="00DF5C23">
              <w:rPr>
                <w:rFonts w:ascii="Arial Narrow" w:hAnsi="Arial Narrow" w:cs="Calibri"/>
                <w:noProof/>
                <w:color w:val="000000"/>
                <w:sz w:val="20"/>
                <w:szCs w:val="20"/>
              </w:rPr>
              <w:t>093</w:t>
            </w:r>
          </w:p>
        </w:tc>
        <w:tc>
          <w:tcPr>
            <w:tcW w:w="1701" w:type="dxa"/>
            <w:vAlign w:val="center"/>
          </w:tcPr>
          <w:p w14:paraId="2C3A5BCE" w14:textId="77777777" w:rsidR="006B4EAB" w:rsidRPr="00DF5C23" w:rsidRDefault="006B4EAB" w:rsidP="006B4EAB">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18,694</w:t>
            </w:r>
          </w:p>
          <w:p w14:paraId="2C3A5BCF" w14:textId="77777777" w:rsidR="00D12295" w:rsidRPr="00DF5C23" w:rsidRDefault="00D12295" w:rsidP="00D12295">
            <w:pPr>
              <w:spacing w:before="20" w:after="20"/>
              <w:jc w:val="right"/>
              <w:rPr>
                <w:rFonts w:ascii="Arial Narrow" w:hAnsi="Arial Narrow" w:cs="Calibri"/>
                <w:noProof/>
                <w:color w:val="000000"/>
                <w:sz w:val="20"/>
                <w:szCs w:val="20"/>
              </w:rPr>
            </w:pPr>
          </w:p>
        </w:tc>
      </w:tr>
    </w:tbl>
    <w:p w14:paraId="2C3A5BD1" w14:textId="77777777" w:rsidR="00BF1765" w:rsidRPr="00DF5C23" w:rsidRDefault="00BF1765" w:rsidP="00BF1765">
      <w:pPr>
        <w:rPr>
          <w:rFonts w:eastAsia="Calibri"/>
          <w:noProof/>
        </w:rPr>
      </w:pPr>
      <w:r w:rsidRPr="00DF5C23">
        <w:rPr>
          <w:rFonts w:eastAsia="Calibri"/>
          <w:noProof/>
        </w:rPr>
        <w:br/>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81"/>
        <w:gridCol w:w="851"/>
        <w:gridCol w:w="1701"/>
      </w:tblGrid>
      <w:tr w:rsidR="00BF1765" w:rsidRPr="00DF5C23" w14:paraId="2C3A5BDD" w14:textId="77777777" w:rsidTr="00EC0E40">
        <w:tc>
          <w:tcPr>
            <w:tcW w:w="3960" w:type="dxa"/>
            <w:vAlign w:val="center"/>
          </w:tcPr>
          <w:p w14:paraId="2C3A5BD2" w14:textId="77777777" w:rsidR="00BF1765" w:rsidRPr="00DF5C23" w:rsidRDefault="00BF1765" w:rsidP="00BF1765">
            <w:pPr>
              <w:jc w:val="center"/>
              <w:rPr>
                <w:rFonts w:eastAsia="Calibri"/>
                <w:noProof/>
              </w:rPr>
            </w:pPr>
            <w:r w:rsidRPr="00DF5C23">
              <w:rPr>
                <w:rFonts w:eastAsia="Calibri"/>
                <w:noProof/>
                <w:sz w:val="22"/>
              </w:rPr>
              <w:t>DG: ENER</w:t>
            </w:r>
          </w:p>
        </w:tc>
        <w:tc>
          <w:tcPr>
            <w:tcW w:w="1560" w:type="dxa"/>
            <w:gridSpan w:val="2"/>
          </w:tcPr>
          <w:p w14:paraId="2C3A5BD3" w14:textId="77777777" w:rsidR="00BF1765" w:rsidRPr="00DF5C23" w:rsidRDefault="00BF1765" w:rsidP="00BF1765">
            <w:pPr>
              <w:rPr>
                <w:rFonts w:eastAsia="Calibri"/>
                <w:noProof/>
                <w:sz w:val="20"/>
              </w:rPr>
            </w:pPr>
          </w:p>
        </w:tc>
        <w:tc>
          <w:tcPr>
            <w:tcW w:w="534" w:type="dxa"/>
          </w:tcPr>
          <w:p w14:paraId="2C3A5BD4" w14:textId="77777777" w:rsidR="00BF1765" w:rsidRPr="00DF5C23" w:rsidRDefault="00BF1765" w:rsidP="00BF1765">
            <w:pPr>
              <w:jc w:val="center"/>
              <w:rPr>
                <w:rFonts w:eastAsia="Calibri"/>
                <w:noProof/>
                <w:sz w:val="20"/>
              </w:rPr>
            </w:pPr>
          </w:p>
        </w:tc>
        <w:tc>
          <w:tcPr>
            <w:tcW w:w="868" w:type="dxa"/>
            <w:vAlign w:val="center"/>
          </w:tcPr>
          <w:p w14:paraId="2C3A5BD5" w14:textId="77777777" w:rsidR="00BF1765" w:rsidRPr="00DF5C23" w:rsidRDefault="00BF1765" w:rsidP="00BF1765">
            <w:pPr>
              <w:jc w:val="center"/>
              <w:rPr>
                <w:rFonts w:eastAsia="Calibri"/>
                <w:noProof/>
                <w:sz w:val="20"/>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868" w:type="dxa"/>
            <w:vAlign w:val="center"/>
          </w:tcPr>
          <w:p w14:paraId="2C3A5BD6"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868" w:type="dxa"/>
            <w:vAlign w:val="center"/>
          </w:tcPr>
          <w:p w14:paraId="2C3A5BD7"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868" w:type="dxa"/>
            <w:vAlign w:val="center"/>
          </w:tcPr>
          <w:p w14:paraId="2C3A5BD8"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868" w:type="dxa"/>
            <w:vAlign w:val="center"/>
          </w:tcPr>
          <w:p w14:paraId="2C3A5BD9"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881" w:type="dxa"/>
            <w:vAlign w:val="center"/>
          </w:tcPr>
          <w:p w14:paraId="2C3A5BDA"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 xml:space="preserve">2027 </w:t>
            </w:r>
          </w:p>
        </w:tc>
        <w:tc>
          <w:tcPr>
            <w:tcW w:w="851" w:type="dxa"/>
          </w:tcPr>
          <w:p w14:paraId="2C3A5BDB" w14:textId="77777777" w:rsidR="004510A0" w:rsidRPr="00DF5C23" w:rsidRDefault="004510A0" w:rsidP="00BF1765">
            <w:pPr>
              <w:jc w:val="center"/>
              <w:rPr>
                <w:rFonts w:eastAsia="Calibri"/>
                <w:noProof/>
                <w:sz w:val="20"/>
                <w:szCs w:val="20"/>
              </w:rPr>
            </w:pPr>
            <w:r w:rsidRPr="00DF5C23">
              <w:rPr>
                <w:rFonts w:eastAsia="Calibri"/>
                <w:noProof/>
                <w:sz w:val="20"/>
                <w:szCs w:val="20"/>
              </w:rPr>
              <w:t>Post 2027</w:t>
            </w:r>
          </w:p>
        </w:tc>
        <w:tc>
          <w:tcPr>
            <w:tcW w:w="1701" w:type="dxa"/>
            <w:vAlign w:val="center"/>
          </w:tcPr>
          <w:p w14:paraId="2C3A5BDC" w14:textId="77777777" w:rsidR="00BF1765" w:rsidRPr="00DF5C23" w:rsidRDefault="00BF1765" w:rsidP="00BF1765">
            <w:pPr>
              <w:jc w:val="center"/>
              <w:rPr>
                <w:rFonts w:eastAsia="Calibri"/>
                <w:b/>
                <w:noProof/>
                <w:sz w:val="20"/>
              </w:rPr>
            </w:pPr>
            <w:r w:rsidRPr="00DF5C23">
              <w:rPr>
                <w:rFonts w:eastAsia="Calibri"/>
                <w:b/>
                <w:noProof/>
                <w:sz w:val="20"/>
              </w:rPr>
              <w:t>TOTAL</w:t>
            </w:r>
          </w:p>
        </w:tc>
      </w:tr>
      <w:tr w:rsidR="00BF1765" w:rsidRPr="00DF5C23" w14:paraId="2C3A5BE7" w14:textId="77777777" w:rsidTr="00EC0E40">
        <w:trPr>
          <w:trHeight w:val="213"/>
        </w:trPr>
        <w:tc>
          <w:tcPr>
            <w:tcW w:w="6054" w:type="dxa"/>
            <w:gridSpan w:val="4"/>
            <w:vAlign w:val="center"/>
          </w:tcPr>
          <w:p w14:paraId="2C3A5BDE" w14:textId="77777777" w:rsidR="00BF1765" w:rsidRPr="00DF5C23" w:rsidRDefault="00BF1765" w:rsidP="00BF1765">
            <w:pPr>
              <w:spacing w:before="20" w:after="20"/>
              <w:rPr>
                <w:rFonts w:eastAsia="Calibri"/>
                <w:noProof/>
                <w:sz w:val="21"/>
              </w:rPr>
            </w:pPr>
            <w:r w:rsidRPr="00DF5C23">
              <w:rPr>
                <w:rFonts w:eastAsia="Calibri"/>
                <w:noProof/>
                <w:sz w:val="21"/>
              </w:rPr>
              <w:sym w:font="Wingdings" w:char="F09F"/>
            </w:r>
            <w:r w:rsidRPr="00DF5C23">
              <w:rPr>
                <w:rFonts w:eastAsia="Calibri"/>
                <w:noProof/>
                <w:sz w:val="21"/>
              </w:rPr>
              <w:t xml:space="preserve"> Operational appropriations </w:t>
            </w:r>
          </w:p>
        </w:tc>
        <w:tc>
          <w:tcPr>
            <w:tcW w:w="868" w:type="dxa"/>
            <w:vAlign w:val="center"/>
          </w:tcPr>
          <w:p w14:paraId="2C3A5BDF" w14:textId="77777777" w:rsidR="00BF1765" w:rsidRPr="00DF5C23" w:rsidRDefault="00BF1765" w:rsidP="00BF1765">
            <w:pPr>
              <w:rPr>
                <w:rFonts w:eastAsia="Calibri"/>
                <w:noProof/>
                <w:sz w:val="20"/>
              </w:rPr>
            </w:pPr>
          </w:p>
        </w:tc>
        <w:tc>
          <w:tcPr>
            <w:tcW w:w="868" w:type="dxa"/>
            <w:vAlign w:val="center"/>
          </w:tcPr>
          <w:p w14:paraId="2C3A5BE0" w14:textId="77777777" w:rsidR="00BF1765" w:rsidRPr="00DF5C23" w:rsidRDefault="00BF1765" w:rsidP="00BF1765">
            <w:pPr>
              <w:rPr>
                <w:rFonts w:eastAsia="Calibri"/>
                <w:noProof/>
                <w:sz w:val="20"/>
              </w:rPr>
            </w:pPr>
          </w:p>
        </w:tc>
        <w:tc>
          <w:tcPr>
            <w:tcW w:w="868" w:type="dxa"/>
            <w:vAlign w:val="center"/>
          </w:tcPr>
          <w:p w14:paraId="2C3A5BE1" w14:textId="77777777" w:rsidR="00BF1765" w:rsidRPr="00DF5C23" w:rsidRDefault="00BF1765" w:rsidP="00BF1765">
            <w:pPr>
              <w:rPr>
                <w:rFonts w:eastAsia="Calibri"/>
                <w:noProof/>
                <w:sz w:val="20"/>
              </w:rPr>
            </w:pPr>
          </w:p>
        </w:tc>
        <w:tc>
          <w:tcPr>
            <w:tcW w:w="868" w:type="dxa"/>
            <w:vAlign w:val="center"/>
          </w:tcPr>
          <w:p w14:paraId="2C3A5BE2" w14:textId="77777777" w:rsidR="00BF1765" w:rsidRPr="00DF5C23" w:rsidRDefault="00BF1765" w:rsidP="00BF1765">
            <w:pPr>
              <w:rPr>
                <w:rFonts w:eastAsia="Calibri"/>
                <w:noProof/>
                <w:sz w:val="20"/>
              </w:rPr>
            </w:pPr>
          </w:p>
        </w:tc>
        <w:tc>
          <w:tcPr>
            <w:tcW w:w="868" w:type="dxa"/>
            <w:vAlign w:val="center"/>
          </w:tcPr>
          <w:p w14:paraId="2C3A5BE3" w14:textId="77777777" w:rsidR="00BF1765" w:rsidRPr="00DF5C23" w:rsidRDefault="00BF1765" w:rsidP="00BF1765">
            <w:pPr>
              <w:rPr>
                <w:rFonts w:eastAsia="Calibri"/>
                <w:noProof/>
                <w:sz w:val="20"/>
              </w:rPr>
            </w:pPr>
          </w:p>
        </w:tc>
        <w:tc>
          <w:tcPr>
            <w:tcW w:w="881" w:type="dxa"/>
            <w:vAlign w:val="center"/>
          </w:tcPr>
          <w:p w14:paraId="2C3A5BE4" w14:textId="77777777" w:rsidR="00BF1765" w:rsidRPr="00DF5C23" w:rsidRDefault="00BF1765" w:rsidP="00BF1765">
            <w:pPr>
              <w:rPr>
                <w:rFonts w:eastAsia="Calibri"/>
                <w:noProof/>
                <w:sz w:val="20"/>
              </w:rPr>
            </w:pPr>
          </w:p>
        </w:tc>
        <w:tc>
          <w:tcPr>
            <w:tcW w:w="851" w:type="dxa"/>
          </w:tcPr>
          <w:p w14:paraId="2C3A5BE5" w14:textId="77777777" w:rsidR="004510A0" w:rsidRPr="00DF5C23" w:rsidRDefault="004510A0" w:rsidP="00BF1765">
            <w:pPr>
              <w:rPr>
                <w:rFonts w:eastAsia="Calibri"/>
                <w:b/>
                <w:noProof/>
                <w:sz w:val="20"/>
              </w:rPr>
            </w:pPr>
          </w:p>
        </w:tc>
        <w:tc>
          <w:tcPr>
            <w:tcW w:w="1701" w:type="dxa"/>
            <w:vAlign w:val="center"/>
          </w:tcPr>
          <w:p w14:paraId="2C3A5BE6" w14:textId="77777777" w:rsidR="00BF1765" w:rsidRPr="00DF5C23" w:rsidRDefault="00BF1765" w:rsidP="00BF1765">
            <w:pPr>
              <w:rPr>
                <w:rFonts w:eastAsia="Calibri"/>
                <w:b/>
                <w:noProof/>
                <w:sz w:val="20"/>
              </w:rPr>
            </w:pPr>
          </w:p>
        </w:tc>
      </w:tr>
      <w:tr w:rsidR="005C61BF" w:rsidRPr="00DF5C23" w14:paraId="2C3A5BF3" w14:textId="77777777" w:rsidTr="00EC0E40">
        <w:trPr>
          <w:trHeight w:val="277"/>
        </w:trPr>
        <w:tc>
          <w:tcPr>
            <w:tcW w:w="3960" w:type="dxa"/>
            <w:vMerge w:val="restart"/>
            <w:vAlign w:val="center"/>
          </w:tcPr>
          <w:p w14:paraId="2C3A5BE8" w14:textId="77777777" w:rsidR="005C61BF" w:rsidRPr="00DF5C23" w:rsidRDefault="005C61BF" w:rsidP="008B78E1">
            <w:pPr>
              <w:rPr>
                <w:rFonts w:eastAsia="Calibri"/>
                <w:noProof/>
              </w:rPr>
            </w:pPr>
            <w:r w:rsidRPr="00DF5C23">
              <w:rPr>
                <w:rFonts w:eastAsia="Calibri"/>
                <w:noProof/>
                <w:sz w:val="20"/>
                <w:szCs w:val="20"/>
              </w:rPr>
              <w:t>Budget line</w:t>
            </w:r>
            <w:r w:rsidR="008B78E1" w:rsidRPr="00DF5C23">
              <w:rPr>
                <w:rStyle w:val="FootnoteReference0"/>
                <w:rFonts w:eastAsia="Calibri"/>
                <w:noProof/>
                <w:sz w:val="20"/>
                <w:szCs w:val="20"/>
              </w:rPr>
              <w:footnoteReference w:id="98"/>
            </w:r>
            <w:r w:rsidRPr="00DF5C23">
              <w:rPr>
                <w:rFonts w:eastAsia="Calibri"/>
                <w:noProof/>
                <w:sz w:val="20"/>
                <w:szCs w:val="20"/>
              </w:rPr>
              <w:t xml:space="preserve"> </w:t>
            </w:r>
            <w:r w:rsidRPr="00DF5C23">
              <w:rPr>
                <w:rFonts w:eastAsia="Calibri"/>
                <w:noProof/>
                <w:sz w:val="22"/>
              </w:rPr>
              <w:t>09.02.04 LIFE Clean energy transition</w:t>
            </w:r>
          </w:p>
        </w:tc>
        <w:tc>
          <w:tcPr>
            <w:tcW w:w="1440" w:type="dxa"/>
            <w:vAlign w:val="center"/>
          </w:tcPr>
          <w:p w14:paraId="2C3A5BE9" w14:textId="77777777" w:rsidR="005C61BF" w:rsidRPr="00DF5C23" w:rsidRDefault="005C61BF" w:rsidP="005C61BF">
            <w:pPr>
              <w:spacing w:before="20" w:after="20"/>
              <w:rPr>
                <w:rFonts w:eastAsia="Calibri"/>
                <w:noProof/>
                <w:sz w:val="18"/>
              </w:rPr>
            </w:pPr>
            <w:r w:rsidRPr="00DF5C23">
              <w:rPr>
                <w:rFonts w:eastAsia="Calibri"/>
                <w:noProof/>
                <w:sz w:val="18"/>
              </w:rPr>
              <w:t>Commitments</w:t>
            </w:r>
          </w:p>
        </w:tc>
        <w:tc>
          <w:tcPr>
            <w:tcW w:w="654" w:type="dxa"/>
            <w:gridSpan w:val="2"/>
            <w:vAlign w:val="center"/>
          </w:tcPr>
          <w:p w14:paraId="2C3A5BEA" w14:textId="77777777" w:rsidR="005C61BF" w:rsidRPr="00DF5C23" w:rsidRDefault="005C61BF" w:rsidP="005C61BF">
            <w:pPr>
              <w:spacing w:before="20" w:after="20"/>
              <w:jc w:val="center"/>
              <w:rPr>
                <w:rFonts w:eastAsia="Calibri"/>
                <w:noProof/>
                <w:sz w:val="14"/>
              </w:rPr>
            </w:pPr>
            <w:r w:rsidRPr="00DF5C23">
              <w:rPr>
                <w:rFonts w:eastAsia="Calibri"/>
                <w:noProof/>
                <w:sz w:val="14"/>
              </w:rPr>
              <w:t>(1a)</w:t>
            </w:r>
          </w:p>
        </w:tc>
        <w:tc>
          <w:tcPr>
            <w:tcW w:w="868" w:type="dxa"/>
            <w:vAlign w:val="center"/>
          </w:tcPr>
          <w:p w14:paraId="2C3A5BE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1,622</w:t>
            </w:r>
          </w:p>
        </w:tc>
        <w:tc>
          <w:tcPr>
            <w:tcW w:w="868" w:type="dxa"/>
            <w:vAlign w:val="center"/>
          </w:tcPr>
          <w:p w14:paraId="2C3A5BEC"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1,596</w:t>
            </w:r>
          </w:p>
        </w:tc>
        <w:tc>
          <w:tcPr>
            <w:tcW w:w="868" w:type="dxa"/>
            <w:vAlign w:val="center"/>
          </w:tcPr>
          <w:p w14:paraId="2C3A5BED"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4,250</w:t>
            </w:r>
          </w:p>
        </w:tc>
        <w:tc>
          <w:tcPr>
            <w:tcW w:w="868" w:type="dxa"/>
            <w:vAlign w:val="center"/>
          </w:tcPr>
          <w:p w14:paraId="2C3A5BEE"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5,250</w:t>
            </w:r>
          </w:p>
        </w:tc>
        <w:tc>
          <w:tcPr>
            <w:tcW w:w="868" w:type="dxa"/>
            <w:vAlign w:val="center"/>
          </w:tcPr>
          <w:p w14:paraId="2C3A5BEF"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6,250</w:t>
            </w:r>
          </w:p>
        </w:tc>
        <w:tc>
          <w:tcPr>
            <w:tcW w:w="881" w:type="dxa"/>
            <w:vAlign w:val="center"/>
          </w:tcPr>
          <w:p w14:paraId="2C3A5BF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6,250</w:t>
            </w:r>
          </w:p>
        </w:tc>
        <w:tc>
          <w:tcPr>
            <w:tcW w:w="851" w:type="dxa"/>
          </w:tcPr>
          <w:p w14:paraId="2C3A5BF1" w14:textId="77777777" w:rsidR="004510A0" w:rsidRPr="00DF5C23" w:rsidRDefault="004510A0" w:rsidP="005C61BF">
            <w:pPr>
              <w:spacing w:before="20" w:after="20"/>
              <w:jc w:val="right"/>
              <w:rPr>
                <w:rFonts w:ascii="Arial Narrow" w:hAnsi="Arial Narrow" w:cs="Calibri"/>
                <w:noProof/>
                <w:color w:val="000000"/>
                <w:sz w:val="20"/>
                <w:szCs w:val="20"/>
              </w:rPr>
            </w:pPr>
          </w:p>
        </w:tc>
        <w:tc>
          <w:tcPr>
            <w:tcW w:w="1701" w:type="dxa"/>
            <w:vAlign w:val="center"/>
          </w:tcPr>
          <w:p w14:paraId="2C3A5BF2"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25,218</w:t>
            </w:r>
          </w:p>
        </w:tc>
      </w:tr>
      <w:tr w:rsidR="005C61BF" w:rsidRPr="00DF5C23" w14:paraId="2C3A5BFF" w14:textId="77777777" w:rsidTr="00EC0E40">
        <w:tc>
          <w:tcPr>
            <w:tcW w:w="3960" w:type="dxa"/>
            <w:vMerge/>
          </w:tcPr>
          <w:p w14:paraId="2C3A5BF4" w14:textId="77777777" w:rsidR="005C61BF" w:rsidRPr="00DF5C23" w:rsidRDefault="005C61BF" w:rsidP="005C61BF">
            <w:pPr>
              <w:jc w:val="center"/>
              <w:rPr>
                <w:rFonts w:eastAsia="Calibri"/>
                <w:noProof/>
                <w:sz w:val="20"/>
              </w:rPr>
            </w:pPr>
          </w:p>
        </w:tc>
        <w:tc>
          <w:tcPr>
            <w:tcW w:w="1440" w:type="dxa"/>
            <w:vAlign w:val="center"/>
          </w:tcPr>
          <w:p w14:paraId="2C3A5BF5" w14:textId="77777777" w:rsidR="005C61BF" w:rsidRPr="00DF5C23" w:rsidRDefault="005C61BF" w:rsidP="005C61BF">
            <w:pPr>
              <w:spacing w:before="20" w:after="20"/>
              <w:rPr>
                <w:rFonts w:eastAsia="Calibri"/>
                <w:noProof/>
                <w:sz w:val="18"/>
              </w:rPr>
            </w:pPr>
            <w:r w:rsidRPr="00DF5C23">
              <w:rPr>
                <w:rFonts w:eastAsia="Calibri"/>
                <w:noProof/>
                <w:sz w:val="18"/>
              </w:rPr>
              <w:t>Payments</w:t>
            </w:r>
          </w:p>
        </w:tc>
        <w:tc>
          <w:tcPr>
            <w:tcW w:w="654" w:type="dxa"/>
            <w:gridSpan w:val="2"/>
            <w:vAlign w:val="center"/>
          </w:tcPr>
          <w:p w14:paraId="2C3A5BF6" w14:textId="77777777" w:rsidR="005C61BF" w:rsidRPr="00DF5C23" w:rsidRDefault="005C61BF" w:rsidP="005C61BF">
            <w:pPr>
              <w:spacing w:before="20" w:after="20"/>
              <w:jc w:val="center"/>
              <w:rPr>
                <w:rFonts w:eastAsia="Calibri"/>
                <w:noProof/>
                <w:sz w:val="14"/>
              </w:rPr>
            </w:pPr>
            <w:r w:rsidRPr="00DF5C23">
              <w:rPr>
                <w:rFonts w:eastAsia="Calibri"/>
                <w:noProof/>
                <w:sz w:val="14"/>
              </w:rPr>
              <w:t>(2a)</w:t>
            </w:r>
          </w:p>
        </w:tc>
        <w:tc>
          <w:tcPr>
            <w:tcW w:w="868" w:type="dxa"/>
            <w:vAlign w:val="center"/>
          </w:tcPr>
          <w:p w14:paraId="2C3A5BF7"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0,487</w:t>
            </w:r>
          </w:p>
        </w:tc>
        <w:tc>
          <w:tcPr>
            <w:tcW w:w="868" w:type="dxa"/>
            <w:vAlign w:val="center"/>
          </w:tcPr>
          <w:p w14:paraId="2C3A5BF8"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0,965</w:t>
            </w:r>
          </w:p>
        </w:tc>
        <w:tc>
          <w:tcPr>
            <w:tcW w:w="868" w:type="dxa"/>
            <w:vAlign w:val="center"/>
          </w:tcPr>
          <w:p w14:paraId="2C3A5BF9"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2,403</w:t>
            </w:r>
          </w:p>
        </w:tc>
        <w:tc>
          <w:tcPr>
            <w:tcW w:w="868" w:type="dxa"/>
            <w:vAlign w:val="center"/>
          </w:tcPr>
          <w:p w14:paraId="2C3A5BFA"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3,488</w:t>
            </w:r>
          </w:p>
        </w:tc>
        <w:tc>
          <w:tcPr>
            <w:tcW w:w="868" w:type="dxa"/>
            <w:vAlign w:val="center"/>
          </w:tcPr>
          <w:p w14:paraId="2C3A5BFB"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5,150</w:t>
            </w:r>
          </w:p>
        </w:tc>
        <w:tc>
          <w:tcPr>
            <w:tcW w:w="881" w:type="dxa"/>
            <w:vAlign w:val="center"/>
          </w:tcPr>
          <w:p w14:paraId="2C3A5BFC" w14:textId="77777777" w:rsidR="005C61BF" w:rsidRPr="00DF5C23" w:rsidRDefault="004510A0" w:rsidP="005C61BF">
            <w:pPr>
              <w:spacing w:before="20" w:after="20"/>
              <w:jc w:val="right"/>
              <w:rPr>
                <w:rFonts w:eastAsia="Calibri"/>
                <w:noProof/>
                <w:sz w:val="20"/>
              </w:rPr>
            </w:pPr>
            <w:r w:rsidRPr="00DF5C23">
              <w:rPr>
                <w:rFonts w:ascii="Arial Narrow" w:hAnsi="Arial Narrow" w:cs="Calibri"/>
                <w:noProof/>
                <w:color w:val="000000"/>
                <w:sz w:val="20"/>
                <w:szCs w:val="20"/>
              </w:rPr>
              <w:t>5,850</w:t>
            </w:r>
          </w:p>
        </w:tc>
        <w:tc>
          <w:tcPr>
            <w:tcW w:w="851" w:type="dxa"/>
          </w:tcPr>
          <w:p w14:paraId="2C3A5BFD" w14:textId="77777777" w:rsidR="004510A0" w:rsidRPr="00DF5C23" w:rsidRDefault="004510A0"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6,875</w:t>
            </w:r>
          </w:p>
        </w:tc>
        <w:tc>
          <w:tcPr>
            <w:tcW w:w="1701" w:type="dxa"/>
            <w:vAlign w:val="center"/>
          </w:tcPr>
          <w:p w14:paraId="2C3A5BFE"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25,218</w:t>
            </w:r>
          </w:p>
        </w:tc>
      </w:tr>
      <w:tr w:rsidR="005C61BF" w:rsidRPr="00DF5C23" w14:paraId="2C3A5C0B" w14:textId="77777777" w:rsidTr="00EC0E40">
        <w:tc>
          <w:tcPr>
            <w:tcW w:w="3960" w:type="dxa"/>
            <w:vMerge w:val="restart"/>
            <w:vAlign w:val="center"/>
          </w:tcPr>
          <w:p w14:paraId="2C3A5C00" w14:textId="77777777" w:rsidR="005C61BF" w:rsidRPr="00DF5C23" w:rsidRDefault="005C61BF" w:rsidP="005C61BF">
            <w:pPr>
              <w:rPr>
                <w:rFonts w:eastAsia="Calibri"/>
                <w:noProof/>
              </w:rPr>
            </w:pPr>
            <w:r w:rsidRPr="00DF5C23">
              <w:rPr>
                <w:rFonts w:eastAsia="Calibri"/>
                <w:noProof/>
                <w:sz w:val="20"/>
              </w:rPr>
              <w:t>Budget line</w:t>
            </w:r>
          </w:p>
        </w:tc>
        <w:tc>
          <w:tcPr>
            <w:tcW w:w="1440" w:type="dxa"/>
            <w:vAlign w:val="center"/>
          </w:tcPr>
          <w:p w14:paraId="2C3A5C01" w14:textId="77777777" w:rsidR="005C61BF" w:rsidRPr="00DF5C23" w:rsidRDefault="005C61BF" w:rsidP="005C61BF">
            <w:pPr>
              <w:spacing w:before="20" w:after="20"/>
              <w:rPr>
                <w:rFonts w:eastAsia="Calibri"/>
                <w:noProof/>
                <w:sz w:val="18"/>
              </w:rPr>
            </w:pPr>
            <w:r w:rsidRPr="00DF5C23">
              <w:rPr>
                <w:rFonts w:eastAsia="Calibri"/>
                <w:noProof/>
                <w:sz w:val="18"/>
              </w:rPr>
              <w:t>Commitments</w:t>
            </w:r>
          </w:p>
        </w:tc>
        <w:tc>
          <w:tcPr>
            <w:tcW w:w="654" w:type="dxa"/>
            <w:gridSpan w:val="2"/>
            <w:vAlign w:val="center"/>
          </w:tcPr>
          <w:p w14:paraId="2C3A5C02" w14:textId="77777777" w:rsidR="005C61BF" w:rsidRPr="00DF5C23" w:rsidRDefault="005C61BF" w:rsidP="005C61BF">
            <w:pPr>
              <w:spacing w:before="20" w:after="20"/>
              <w:jc w:val="center"/>
              <w:rPr>
                <w:rFonts w:eastAsia="Calibri"/>
                <w:noProof/>
                <w:sz w:val="14"/>
              </w:rPr>
            </w:pPr>
            <w:r w:rsidRPr="00DF5C23">
              <w:rPr>
                <w:rFonts w:eastAsia="Calibri"/>
                <w:noProof/>
                <w:sz w:val="14"/>
              </w:rPr>
              <w:t>(1b)</w:t>
            </w:r>
          </w:p>
        </w:tc>
        <w:tc>
          <w:tcPr>
            <w:tcW w:w="868" w:type="dxa"/>
            <w:vAlign w:val="center"/>
          </w:tcPr>
          <w:p w14:paraId="2C3A5C03" w14:textId="77777777" w:rsidR="005C61BF" w:rsidRPr="00DF5C23" w:rsidRDefault="005C61BF" w:rsidP="005C61BF">
            <w:pPr>
              <w:spacing w:before="20" w:after="20"/>
              <w:jc w:val="right"/>
              <w:rPr>
                <w:rFonts w:eastAsia="Calibri"/>
                <w:noProof/>
                <w:sz w:val="20"/>
              </w:rPr>
            </w:pPr>
          </w:p>
        </w:tc>
        <w:tc>
          <w:tcPr>
            <w:tcW w:w="868" w:type="dxa"/>
            <w:vAlign w:val="center"/>
          </w:tcPr>
          <w:p w14:paraId="2C3A5C04" w14:textId="77777777" w:rsidR="005C61BF" w:rsidRPr="00DF5C23" w:rsidRDefault="005C61BF" w:rsidP="005C61BF">
            <w:pPr>
              <w:spacing w:before="20" w:after="20"/>
              <w:jc w:val="right"/>
              <w:rPr>
                <w:rFonts w:eastAsia="Calibri"/>
                <w:noProof/>
                <w:sz w:val="20"/>
              </w:rPr>
            </w:pPr>
          </w:p>
        </w:tc>
        <w:tc>
          <w:tcPr>
            <w:tcW w:w="868" w:type="dxa"/>
            <w:vAlign w:val="center"/>
          </w:tcPr>
          <w:p w14:paraId="2C3A5C05" w14:textId="77777777" w:rsidR="005C61BF" w:rsidRPr="00DF5C23" w:rsidRDefault="005C61BF" w:rsidP="005C61BF">
            <w:pPr>
              <w:spacing w:before="20" w:after="20"/>
              <w:jc w:val="right"/>
              <w:rPr>
                <w:rFonts w:eastAsia="Calibri"/>
                <w:noProof/>
                <w:sz w:val="20"/>
              </w:rPr>
            </w:pPr>
          </w:p>
        </w:tc>
        <w:tc>
          <w:tcPr>
            <w:tcW w:w="868" w:type="dxa"/>
            <w:vAlign w:val="center"/>
          </w:tcPr>
          <w:p w14:paraId="2C3A5C06" w14:textId="77777777" w:rsidR="005C61BF" w:rsidRPr="00DF5C23" w:rsidRDefault="005C61BF" w:rsidP="005C61BF">
            <w:pPr>
              <w:spacing w:before="20" w:after="20"/>
              <w:jc w:val="right"/>
              <w:rPr>
                <w:rFonts w:eastAsia="Calibri"/>
                <w:noProof/>
                <w:sz w:val="20"/>
              </w:rPr>
            </w:pPr>
          </w:p>
        </w:tc>
        <w:tc>
          <w:tcPr>
            <w:tcW w:w="868" w:type="dxa"/>
            <w:vAlign w:val="center"/>
          </w:tcPr>
          <w:p w14:paraId="2C3A5C07" w14:textId="77777777" w:rsidR="005C61BF" w:rsidRPr="00DF5C23" w:rsidRDefault="005C61BF" w:rsidP="005C61BF">
            <w:pPr>
              <w:spacing w:before="20" w:after="20"/>
              <w:jc w:val="right"/>
              <w:rPr>
                <w:rFonts w:eastAsia="Calibri"/>
                <w:noProof/>
                <w:sz w:val="20"/>
              </w:rPr>
            </w:pPr>
          </w:p>
        </w:tc>
        <w:tc>
          <w:tcPr>
            <w:tcW w:w="881" w:type="dxa"/>
            <w:vAlign w:val="center"/>
          </w:tcPr>
          <w:p w14:paraId="2C3A5C08" w14:textId="77777777" w:rsidR="005C61BF" w:rsidRPr="00DF5C23" w:rsidRDefault="005C61BF" w:rsidP="005C61BF">
            <w:pPr>
              <w:spacing w:before="20" w:after="20"/>
              <w:jc w:val="right"/>
              <w:rPr>
                <w:rFonts w:eastAsia="Calibri"/>
                <w:noProof/>
                <w:sz w:val="20"/>
              </w:rPr>
            </w:pPr>
          </w:p>
        </w:tc>
        <w:tc>
          <w:tcPr>
            <w:tcW w:w="851" w:type="dxa"/>
          </w:tcPr>
          <w:p w14:paraId="2C3A5C09" w14:textId="77777777" w:rsidR="004510A0" w:rsidRPr="00DF5C23" w:rsidRDefault="004510A0" w:rsidP="005C61BF">
            <w:pPr>
              <w:spacing w:before="20" w:after="20"/>
              <w:jc w:val="right"/>
              <w:rPr>
                <w:rFonts w:eastAsia="Calibri"/>
                <w:b/>
                <w:noProof/>
                <w:sz w:val="20"/>
              </w:rPr>
            </w:pPr>
          </w:p>
        </w:tc>
        <w:tc>
          <w:tcPr>
            <w:tcW w:w="1701" w:type="dxa"/>
            <w:vAlign w:val="center"/>
          </w:tcPr>
          <w:p w14:paraId="2C3A5C0A" w14:textId="77777777" w:rsidR="005C61BF" w:rsidRPr="00DF5C23" w:rsidRDefault="005C61BF" w:rsidP="005C61BF">
            <w:pPr>
              <w:spacing w:before="20" w:after="20"/>
              <w:jc w:val="right"/>
              <w:rPr>
                <w:rFonts w:eastAsia="Calibri"/>
                <w:b/>
                <w:noProof/>
                <w:sz w:val="20"/>
              </w:rPr>
            </w:pPr>
          </w:p>
        </w:tc>
      </w:tr>
      <w:tr w:rsidR="005C61BF" w:rsidRPr="00DF5C23" w14:paraId="2C3A5C17" w14:textId="77777777" w:rsidTr="00EC0E40">
        <w:tc>
          <w:tcPr>
            <w:tcW w:w="3960" w:type="dxa"/>
            <w:vMerge/>
          </w:tcPr>
          <w:p w14:paraId="2C3A5C0C" w14:textId="77777777" w:rsidR="005C61BF" w:rsidRPr="00DF5C23" w:rsidRDefault="005C61BF" w:rsidP="005C61BF">
            <w:pPr>
              <w:jc w:val="center"/>
              <w:rPr>
                <w:rFonts w:eastAsia="Calibri"/>
                <w:noProof/>
                <w:sz w:val="20"/>
              </w:rPr>
            </w:pPr>
          </w:p>
        </w:tc>
        <w:tc>
          <w:tcPr>
            <w:tcW w:w="1440" w:type="dxa"/>
            <w:vAlign w:val="center"/>
          </w:tcPr>
          <w:p w14:paraId="2C3A5C0D" w14:textId="77777777" w:rsidR="005C61BF" w:rsidRPr="00DF5C23" w:rsidRDefault="005C61BF" w:rsidP="005C61BF">
            <w:pPr>
              <w:spacing w:before="20" w:after="20"/>
              <w:rPr>
                <w:rFonts w:eastAsia="Calibri"/>
                <w:noProof/>
                <w:sz w:val="18"/>
              </w:rPr>
            </w:pPr>
            <w:r w:rsidRPr="00DF5C23">
              <w:rPr>
                <w:rFonts w:eastAsia="Calibri"/>
                <w:noProof/>
                <w:sz w:val="18"/>
              </w:rPr>
              <w:t>Payments</w:t>
            </w:r>
          </w:p>
        </w:tc>
        <w:tc>
          <w:tcPr>
            <w:tcW w:w="654" w:type="dxa"/>
            <w:gridSpan w:val="2"/>
            <w:vAlign w:val="center"/>
          </w:tcPr>
          <w:p w14:paraId="2C3A5C0E" w14:textId="77777777" w:rsidR="005C61BF" w:rsidRPr="00DF5C23" w:rsidRDefault="005C61BF" w:rsidP="005C61BF">
            <w:pPr>
              <w:spacing w:before="20" w:after="20"/>
              <w:jc w:val="center"/>
              <w:rPr>
                <w:rFonts w:eastAsia="Calibri"/>
                <w:noProof/>
                <w:sz w:val="14"/>
              </w:rPr>
            </w:pPr>
            <w:r w:rsidRPr="00DF5C23">
              <w:rPr>
                <w:rFonts w:eastAsia="Calibri"/>
                <w:noProof/>
                <w:sz w:val="14"/>
              </w:rPr>
              <w:t>(2b)</w:t>
            </w:r>
          </w:p>
        </w:tc>
        <w:tc>
          <w:tcPr>
            <w:tcW w:w="868" w:type="dxa"/>
            <w:vAlign w:val="center"/>
          </w:tcPr>
          <w:p w14:paraId="2C3A5C0F" w14:textId="77777777" w:rsidR="005C61BF" w:rsidRPr="00DF5C23" w:rsidRDefault="005C61BF" w:rsidP="005C61BF">
            <w:pPr>
              <w:spacing w:before="20" w:after="20"/>
              <w:jc w:val="right"/>
              <w:rPr>
                <w:rFonts w:eastAsia="Calibri"/>
                <w:noProof/>
                <w:sz w:val="20"/>
              </w:rPr>
            </w:pPr>
          </w:p>
        </w:tc>
        <w:tc>
          <w:tcPr>
            <w:tcW w:w="868" w:type="dxa"/>
            <w:vAlign w:val="center"/>
          </w:tcPr>
          <w:p w14:paraId="2C3A5C10" w14:textId="77777777" w:rsidR="005C61BF" w:rsidRPr="00DF5C23" w:rsidRDefault="005C61BF" w:rsidP="005C61BF">
            <w:pPr>
              <w:spacing w:before="20" w:after="20"/>
              <w:jc w:val="right"/>
              <w:rPr>
                <w:rFonts w:eastAsia="Calibri"/>
                <w:noProof/>
                <w:sz w:val="20"/>
              </w:rPr>
            </w:pPr>
          </w:p>
        </w:tc>
        <w:tc>
          <w:tcPr>
            <w:tcW w:w="868" w:type="dxa"/>
            <w:vAlign w:val="center"/>
          </w:tcPr>
          <w:p w14:paraId="2C3A5C11" w14:textId="77777777" w:rsidR="005C61BF" w:rsidRPr="00DF5C23" w:rsidRDefault="005C61BF" w:rsidP="005C61BF">
            <w:pPr>
              <w:spacing w:before="20" w:after="20"/>
              <w:jc w:val="right"/>
              <w:rPr>
                <w:rFonts w:eastAsia="Calibri"/>
                <w:noProof/>
                <w:sz w:val="20"/>
              </w:rPr>
            </w:pPr>
          </w:p>
        </w:tc>
        <w:tc>
          <w:tcPr>
            <w:tcW w:w="868" w:type="dxa"/>
            <w:vAlign w:val="center"/>
          </w:tcPr>
          <w:p w14:paraId="2C3A5C12" w14:textId="77777777" w:rsidR="005C61BF" w:rsidRPr="00DF5C23" w:rsidRDefault="005C61BF" w:rsidP="005C61BF">
            <w:pPr>
              <w:spacing w:before="20" w:after="20"/>
              <w:jc w:val="right"/>
              <w:rPr>
                <w:rFonts w:eastAsia="Calibri"/>
                <w:noProof/>
                <w:sz w:val="20"/>
              </w:rPr>
            </w:pPr>
          </w:p>
        </w:tc>
        <w:tc>
          <w:tcPr>
            <w:tcW w:w="868" w:type="dxa"/>
            <w:vAlign w:val="center"/>
          </w:tcPr>
          <w:p w14:paraId="2C3A5C13" w14:textId="77777777" w:rsidR="005C61BF" w:rsidRPr="00DF5C23" w:rsidRDefault="005C61BF" w:rsidP="005C61BF">
            <w:pPr>
              <w:spacing w:before="20" w:after="20"/>
              <w:jc w:val="right"/>
              <w:rPr>
                <w:rFonts w:eastAsia="Calibri"/>
                <w:noProof/>
                <w:sz w:val="20"/>
              </w:rPr>
            </w:pPr>
          </w:p>
        </w:tc>
        <w:tc>
          <w:tcPr>
            <w:tcW w:w="881" w:type="dxa"/>
            <w:vAlign w:val="center"/>
          </w:tcPr>
          <w:p w14:paraId="2C3A5C14" w14:textId="77777777" w:rsidR="005C61BF" w:rsidRPr="00DF5C23" w:rsidRDefault="005C61BF" w:rsidP="005C61BF">
            <w:pPr>
              <w:spacing w:before="20" w:after="20"/>
              <w:jc w:val="right"/>
              <w:rPr>
                <w:rFonts w:eastAsia="Calibri"/>
                <w:noProof/>
                <w:sz w:val="20"/>
              </w:rPr>
            </w:pPr>
          </w:p>
        </w:tc>
        <w:tc>
          <w:tcPr>
            <w:tcW w:w="851" w:type="dxa"/>
          </w:tcPr>
          <w:p w14:paraId="2C3A5C15" w14:textId="77777777" w:rsidR="004510A0" w:rsidRPr="00DF5C23" w:rsidRDefault="004510A0" w:rsidP="005C61BF">
            <w:pPr>
              <w:spacing w:before="20" w:after="20"/>
              <w:jc w:val="right"/>
              <w:rPr>
                <w:rFonts w:eastAsia="Calibri"/>
                <w:b/>
                <w:noProof/>
                <w:sz w:val="20"/>
              </w:rPr>
            </w:pPr>
          </w:p>
        </w:tc>
        <w:tc>
          <w:tcPr>
            <w:tcW w:w="1701" w:type="dxa"/>
            <w:vAlign w:val="center"/>
          </w:tcPr>
          <w:p w14:paraId="2C3A5C16" w14:textId="77777777" w:rsidR="005C61BF" w:rsidRPr="00DF5C23" w:rsidRDefault="005C61BF" w:rsidP="005C61BF">
            <w:pPr>
              <w:spacing w:before="20" w:after="20"/>
              <w:jc w:val="right"/>
              <w:rPr>
                <w:rFonts w:eastAsia="Calibri"/>
                <w:b/>
                <w:noProof/>
                <w:sz w:val="20"/>
              </w:rPr>
            </w:pPr>
          </w:p>
        </w:tc>
      </w:tr>
      <w:tr w:rsidR="005C61BF" w:rsidRPr="00DF5C23" w14:paraId="2C3A5C22" w14:textId="77777777" w:rsidTr="00EC0E40">
        <w:trPr>
          <w:trHeight w:val="231"/>
        </w:trPr>
        <w:tc>
          <w:tcPr>
            <w:tcW w:w="6054" w:type="dxa"/>
            <w:gridSpan w:val="4"/>
            <w:vAlign w:val="center"/>
          </w:tcPr>
          <w:p w14:paraId="2C3A5C18" w14:textId="77777777" w:rsidR="005C61BF" w:rsidRPr="00DF5C23" w:rsidRDefault="005C61BF" w:rsidP="005C61BF">
            <w:pPr>
              <w:spacing w:before="20" w:after="20"/>
              <w:rPr>
                <w:rFonts w:eastAsia="Calibri"/>
                <w:noProof/>
              </w:rPr>
            </w:pPr>
            <w:r w:rsidRPr="00DF5C23">
              <w:rPr>
                <w:rFonts w:eastAsia="Calibri"/>
                <w:noProof/>
                <w:sz w:val="21"/>
                <w:szCs w:val="21"/>
              </w:rPr>
              <w:t>Appropriations of an administrative nature financed from the envelope of specific programmes</w:t>
            </w:r>
            <w:r w:rsidR="008B78E1" w:rsidRPr="00DF5C23">
              <w:rPr>
                <w:rStyle w:val="FootnoteReference0"/>
                <w:rFonts w:eastAsia="Calibri"/>
                <w:noProof/>
                <w:sz w:val="21"/>
                <w:szCs w:val="21"/>
              </w:rPr>
              <w:footnoteReference w:id="99"/>
            </w:r>
            <w:r w:rsidRPr="00DF5C23">
              <w:rPr>
                <w:rFonts w:eastAsia="Calibri"/>
                <w:noProof/>
                <w:sz w:val="21"/>
                <w:szCs w:val="21"/>
              </w:rPr>
              <w:t xml:space="preserve"> </w:t>
            </w:r>
          </w:p>
          <w:p w14:paraId="2C3A5C19" w14:textId="77777777" w:rsidR="005C61BF" w:rsidRPr="00DF5C23" w:rsidRDefault="005C61BF" w:rsidP="005C61BF">
            <w:pPr>
              <w:spacing w:before="0" w:after="0"/>
              <w:rPr>
                <w:rFonts w:eastAsia="Calibri"/>
                <w:noProof/>
              </w:rPr>
            </w:pPr>
          </w:p>
        </w:tc>
        <w:tc>
          <w:tcPr>
            <w:tcW w:w="868" w:type="dxa"/>
            <w:vAlign w:val="center"/>
          </w:tcPr>
          <w:p w14:paraId="2C3A5C1A" w14:textId="77777777" w:rsidR="005C61BF" w:rsidRPr="00DF5C23" w:rsidRDefault="005C61BF" w:rsidP="005C61BF">
            <w:pPr>
              <w:rPr>
                <w:rFonts w:eastAsia="Calibri"/>
                <w:b/>
                <w:noProof/>
                <w:sz w:val="20"/>
              </w:rPr>
            </w:pPr>
          </w:p>
        </w:tc>
        <w:tc>
          <w:tcPr>
            <w:tcW w:w="868" w:type="dxa"/>
            <w:vAlign w:val="center"/>
          </w:tcPr>
          <w:p w14:paraId="2C3A5C1B" w14:textId="77777777" w:rsidR="005C61BF" w:rsidRPr="00DF5C23" w:rsidRDefault="005C61BF" w:rsidP="005C61BF">
            <w:pPr>
              <w:rPr>
                <w:rFonts w:eastAsia="Calibri"/>
                <w:b/>
                <w:noProof/>
                <w:sz w:val="20"/>
              </w:rPr>
            </w:pPr>
          </w:p>
        </w:tc>
        <w:tc>
          <w:tcPr>
            <w:tcW w:w="868" w:type="dxa"/>
            <w:vAlign w:val="center"/>
          </w:tcPr>
          <w:p w14:paraId="2C3A5C1C" w14:textId="77777777" w:rsidR="005C61BF" w:rsidRPr="00DF5C23" w:rsidRDefault="005C61BF" w:rsidP="005C61BF">
            <w:pPr>
              <w:rPr>
                <w:rFonts w:eastAsia="Calibri"/>
                <w:b/>
                <w:noProof/>
                <w:sz w:val="20"/>
              </w:rPr>
            </w:pPr>
          </w:p>
        </w:tc>
        <w:tc>
          <w:tcPr>
            <w:tcW w:w="868" w:type="dxa"/>
            <w:vAlign w:val="center"/>
          </w:tcPr>
          <w:p w14:paraId="2C3A5C1D" w14:textId="77777777" w:rsidR="005C61BF" w:rsidRPr="00DF5C23" w:rsidRDefault="005C61BF" w:rsidP="005C61BF">
            <w:pPr>
              <w:rPr>
                <w:rFonts w:eastAsia="Calibri"/>
                <w:b/>
                <w:noProof/>
                <w:sz w:val="20"/>
              </w:rPr>
            </w:pPr>
          </w:p>
        </w:tc>
        <w:tc>
          <w:tcPr>
            <w:tcW w:w="868" w:type="dxa"/>
            <w:vAlign w:val="center"/>
          </w:tcPr>
          <w:p w14:paraId="2C3A5C1E" w14:textId="77777777" w:rsidR="005C61BF" w:rsidRPr="00DF5C23" w:rsidRDefault="005C61BF" w:rsidP="005C61BF">
            <w:pPr>
              <w:rPr>
                <w:rFonts w:eastAsia="Calibri"/>
                <w:b/>
                <w:noProof/>
                <w:sz w:val="20"/>
              </w:rPr>
            </w:pPr>
          </w:p>
        </w:tc>
        <w:tc>
          <w:tcPr>
            <w:tcW w:w="881" w:type="dxa"/>
            <w:vAlign w:val="center"/>
          </w:tcPr>
          <w:p w14:paraId="2C3A5C1F" w14:textId="77777777" w:rsidR="005C61BF" w:rsidRPr="00DF5C23" w:rsidRDefault="005C61BF" w:rsidP="005C61BF">
            <w:pPr>
              <w:rPr>
                <w:rFonts w:eastAsia="Calibri"/>
                <w:b/>
                <w:noProof/>
                <w:sz w:val="20"/>
              </w:rPr>
            </w:pPr>
          </w:p>
        </w:tc>
        <w:tc>
          <w:tcPr>
            <w:tcW w:w="851" w:type="dxa"/>
          </w:tcPr>
          <w:p w14:paraId="2C3A5C20" w14:textId="77777777" w:rsidR="004510A0" w:rsidRPr="00DF5C23" w:rsidRDefault="004510A0" w:rsidP="005C61BF">
            <w:pPr>
              <w:rPr>
                <w:rFonts w:eastAsia="Calibri"/>
                <w:b/>
                <w:noProof/>
                <w:sz w:val="20"/>
              </w:rPr>
            </w:pPr>
          </w:p>
        </w:tc>
        <w:tc>
          <w:tcPr>
            <w:tcW w:w="1701" w:type="dxa"/>
            <w:vAlign w:val="center"/>
          </w:tcPr>
          <w:p w14:paraId="2C3A5C21" w14:textId="77777777" w:rsidR="005C61BF" w:rsidRPr="00DF5C23" w:rsidRDefault="005C61BF" w:rsidP="005C61BF">
            <w:pPr>
              <w:rPr>
                <w:rFonts w:eastAsia="Calibri"/>
                <w:b/>
                <w:noProof/>
                <w:sz w:val="20"/>
              </w:rPr>
            </w:pPr>
          </w:p>
        </w:tc>
      </w:tr>
      <w:tr w:rsidR="005C61BF" w:rsidRPr="00DF5C23" w14:paraId="2C3A5C2E" w14:textId="77777777" w:rsidTr="00EC0E40">
        <w:trPr>
          <w:trHeight w:val="319"/>
        </w:trPr>
        <w:tc>
          <w:tcPr>
            <w:tcW w:w="3960" w:type="dxa"/>
            <w:vAlign w:val="center"/>
          </w:tcPr>
          <w:p w14:paraId="2C3A5C23" w14:textId="77777777" w:rsidR="005C61BF" w:rsidRPr="00DF5C23" w:rsidRDefault="005C61BF" w:rsidP="005C61BF">
            <w:pPr>
              <w:spacing w:before="60" w:after="60"/>
              <w:rPr>
                <w:rFonts w:eastAsia="Calibri"/>
                <w:noProof/>
              </w:rPr>
            </w:pPr>
            <w:r w:rsidRPr="00DF5C23">
              <w:rPr>
                <w:rFonts w:eastAsia="Calibri"/>
                <w:noProof/>
                <w:sz w:val="20"/>
              </w:rPr>
              <w:t>Budget line</w:t>
            </w:r>
          </w:p>
        </w:tc>
        <w:tc>
          <w:tcPr>
            <w:tcW w:w="1440" w:type="dxa"/>
            <w:vAlign w:val="center"/>
          </w:tcPr>
          <w:p w14:paraId="2C3A5C24" w14:textId="77777777" w:rsidR="005C61BF" w:rsidRPr="00DF5C23" w:rsidRDefault="005C61BF" w:rsidP="005C61BF">
            <w:pPr>
              <w:spacing w:before="40" w:after="40"/>
              <w:jc w:val="right"/>
              <w:rPr>
                <w:rFonts w:eastAsia="Calibri"/>
                <w:noProof/>
                <w:sz w:val="18"/>
              </w:rPr>
            </w:pPr>
          </w:p>
        </w:tc>
        <w:tc>
          <w:tcPr>
            <w:tcW w:w="654" w:type="dxa"/>
            <w:gridSpan w:val="2"/>
            <w:vAlign w:val="center"/>
          </w:tcPr>
          <w:p w14:paraId="2C3A5C25" w14:textId="77777777" w:rsidR="005C61BF" w:rsidRPr="00DF5C23" w:rsidRDefault="005C61BF" w:rsidP="005C61BF">
            <w:pPr>
              <w:spacing w:before="40" w:after="40"/>
              <w:jc w:val="center"/>
              <w:rPr>
                <w:rFonts w:eastAsia="Calibri"/>
                <w:noProof/>
                <w:sz w:val="14"/>
              </w:rPr>
            </w:pPr>
            <w:r w:rsidRPr="00DF5C23">
              <w:rPr>
                <w:rFonts w:eastAsia="Calibri"/>
                <w:noProof/>
                <w:sz w:val="14"/>
              </w:rPr>
              <w:t>(3)</w:t>
            </w:r>
          </w:p>
        </w:tc>
        <w:tc>
          <w:tcPr>
            <w:tcW w:w="868" w:type="dxa"/>
            <w:vAlign w:val="center"/>
          </w:tcPr>
          <w:p w14:paraId="2C3A5C26" w14:textId="77777777" w:rsidR="005C61BF" w:rsidRPr="00DF5C23" w:rsidRDefault="005C61BF" w:rsidP="005C61BF">
            <w:pPr>
              <w:spacing w:before="40" w:after="40"/>
              <w:jc w:val="right"/>
              <w:rPr>
                <w:rFonts w:eastAsia="Calibri"/>
                <w:b/>
                <w:noProof/>
                <w:sz w:val="20"/>
              </w:rPr>
            </w:pPr>
          </w:p>
        </w:tc>
        <w:tc>
          <w:tcPr>
            <w:tcW w:w="868" w:type="dxa"/>
            <w:vAlign w:val="center"/>
          </w:tcPr>
          <w:p w14:paraId="2C3A5C27" w14:textId="77777777" w:rsidR="005C61BF" w:rsidRPr="00DF5C23" w:rsidRDefault="005C61BF" w:rsidP="005C61BF">
            <w:pPr>
              <w:spacing w:before="40" w:after="40"/>
              <w:jc w:val="right"/>
              <w:rPr>
                <w:rFonts w:eastAsia="Calibri"/>
                <w:b/>
                <w:noProof/>
                <w:sz w:val="20"/>
              </w:rPr>
            </w:pPr>
          </w:p>
        </w:tc>
        <w:tc>
          <w:tcPr>
            <w:tcW w:w="868" w:type="dxa"/>
            <w:vAlign w:val="center"/>
          </w:tcPr>
          <w:p w14:paraId="2C3A5C28" w14:textId="77777777" w:rsidR="005C61BF" w:rsidRPr="00DF5C23" w:rsidRDefault="005C61BF" w:rsidP="005C61BF">
            <w:pPr>
              <w:spacing w:before="40" w:after="40"/>
              <w:jc w:val="right"/>
              <w:rPr>
                <w:rFonts w:eastAsia="Calibri"/>
                <w:b/>
                <w:noProof/>
                <w:sz w:val="20"/>
              </w:rPr>
            </w:pPr>
          </w:p>
        </w:tc>
        <w:tc>
          <w:tcPr>
            <w:tcW w:w="868" w:type="dxa"/>
            <w:vAlign w:val="center"/>
          </w:tcPr>
          <w:p w14:paraId="2C3A5C29" w14:textId="77777777" w:rsidR="005C61BF" w:rsidRPr="00DF5C23" w:rsidRDefault="005C61BF" w:rsidP="005C61BF">
            <w:pPr>
              <w:spacing w:before="40" w:after="40"/>
              <w:jc w:val="right"/>
              <w:rPr>
                <w:rFonts w:eastAsia="Calibri"/>
                <w:b/>
                <w:noProof/>
                <w:sz w:val="20"/>
              </w:rPr>
            </w:pPr>
          </w:p>
        </w:tc>
        <w:tc>
          <w:tcPr>
            <w:tcW w:w="868" w:type="dxa"/>
            <w:vAlign w:val="center"/>
          </w:tcPr>
          <w:p w14:paraId="2C3A5C2A" w14:textId="77777777" w:rsidR="005C61BF" w:rsidRPr="00DF5C23" w:rsidRDefault="005C61BF" w:rsidP="005C61BF">
            <w:pPr>
              <w:spacing w:before="40" w:after="40"/>
              <w:jc w:val="right"/>
              <w:rPr>
                <w:rFonts w:eastAsia="Calibri"/>
                <w:b/>
                <w:noProof/>
                <w:sz w:val="20"/>
              </w:rPr>
            </w:pPr>
          </w:p>
        </w:tc>
        <w:tc>
          <w:tcPr>
            <w:tcW w:w="881" w:type="dxa"/>
            <w:vAlign w:val="center"/>
          </w:tcPr>
          <w:p w14:paraId="2C3A5C2B" w14:textId="77777777" w:rsidR="005C61BF" w:rsidRPr="00DF5C23" w:rsidRDefault="005C61BF" w:rsidP="005C61BF">
            <w:pPr>
              <w:spacing w:before="40" w:after="40"/>
              <w:jc w:val="right"/>
              <w:rPr>
                <w:rFonts w:eastAsia="Calibri"/>
                <w:b/>
                <w:noProof/>
                <w:sz w:val="20"/>
              </w:rPr>
            </w:pPr>
          </w:p>
        </w:tc>
        <w:tc>
          <w:tcPr>
            <w:tcW w:w="851" w:type="dxa"/>
          </w:tcPr>
          <w:p w14:paraId="2C3A5C2C" w14:textId="77777777" w:rsidR="004510A0" w:rsidRPr="00DF5C23" w:rsidRDefault="004510A0" w:rsidP="005C61BF">
            <w:pPr>
              <w:spacing w:before="40" w:after="40"/>
              <w:jc w:val="right"/>
              <w:rPr>
                <w:rFonts w:eastAsia="Calibri"/>
                <w:b/>
                <w:noProof/>
                <w:sz w:val="20"/>
              </w:rPr>
            </w:pPr>
          </w:p>
        </w:tc>
        <w:tc>
          <w:tcPr>
            <w:tcW w:w="1701" w:type="dxa"/>
            <w:vAlign w:val="center"/>
          </w:tcPr>
          <w:p w14:paraId="2C3A5C2D" w14:textId="77777777" w:rsidR="005C61BF" w:rsidRPr="00DF5C23" w:rsidRDefault="005C61BF" w:rsidP="005C61BF">
            <w:pPr>
              <w:spacing w:before="40" w:after="40"/>
              <w:jc w:val="right"/>
              <w:rPr>
                <w:rFonts w:eastAsia="Calibri"/>
                <w:b/>
                <w:noProof/>
                <w:sz w:val="20"/>
              </w:rPr>
            </w:pPr>
          </w:p>
        </w:tc>
      </w:tr>
      <w:tr w:rsidR="005C61BF" w:rsidRPr="00DF5C23" w14:paraId="2C3A5C3B" w14:textId="77777777" w:rsidTr="00EC0E40">
        <w:tc>
          <w:tcPr>
            <w:tcW w:w="3960" w:type="dxa"/>
            <w:vMerge w:val="restart"/>
            <w:vAlign w:val="center"/>
          </w:tcPr>
          <w:p w14:paraId="2C3A5C2F" w14:textId="77777777" w:rsidR="005C61BF" w:rsidRPr="00DF5C23" w:rsidRDefault="005C61BF" w:rsidP="005C61BF">
            <w:pPr>
              <w:jc w:val="center"/>
              <w:rPr>
                <w:rFonts w:eastAsia="Calibri"/>
                <w:b/>
                <w:noProof/>
              </w:rPr>
            </w:pPr>
            <w:r w:rsidRPr="00DF5C23">
              <w:rPr>
                <w:rFonts w:eastAsia="Calibri"/>
                <w:b/>
                <w:noProof/>
                <w:sz w:val="22"/>
              </w:rPr>
              <w:t>TOTAL appropriations</w:t>
            </w:r>
            <w:r w:rsidRPr="00DF5C23">
              <w:rPr>
                <w:rFonts w:eastAsia="Calibri"/>
                <w:noProof/>
                <w:sz w:val="22"/>
              </w:rPr>
              <w:br/>
            </w:r>
            <w:r w:rsidRPr="00DF5C23">
              <w:rPr>
                <w:rFonts w:eastAsia="Calibri"/>
                <w:b/>
                <w:noProof/>
                <w:sz w:val="22"/>
              </w:rPr>
              <w:t>for DG ENER</w:t>
            </w:r>
          </w:p>
          <w:p w14:paraId="2C3A5C30" w14:textId="77777777" w:rsidR="005C61BF" w:rsidRPr="00DF5C23" w:rsidRDefault="005C61BF" w:rsidP="005C61BF">
            <w:pPr>
              <w:jc w:val="center"/>
              <w:rPr>
                <w:rFonts w:eastAsia="Calibri"/>
                <w:b/>
                <w:noProof/>
              </w:rPr>
            </w:pPr>
          </w:p>
        </w:tc>
        <w:tc>
          <w:tcPr>
            <w:tcW w:w="1440" w:type="dxa"/>
            <w:vAlign w:val="center"/>
          </w:tcPr>
          <w:p w14:paraId="2C3A5C31" w14:textId="77777777" w:rsidR="005C61BF" w:rsidRPr="00DF5C23" w:rsidRDefault="005C61BF" w:rsidP="005C61BF">
            <w:pPr>
              <w:rPr>
                <w:rFonts w:eastAsia="Calibri"/>
                <w:noProof/>
                <w:sz w:val="18"/>
              </w:rPr>
            </w:pPr>
            <w:r w:rsidRPr="00DF5C23">
              <w:rPr>
                <w:rFonts w:eastAsia="Calibri"/>
                <w:noProof/>
                <w:sz w:val="18"/>
              </w:rPr>
              <w:t>Commitments</w:t>
            </w:r>
          </w:p>
        </w:tc>
        <w:tc>
          <w:tcPr>
            <w:tcW w:w="654" w:type="dxa"/>
            <w:gridSpan w:val="2"/>
            <w:vAlign w:val="center"/>
          </w:tcPr>
          <w:p w14:paraId="2C3A5C32" w14:textId="77777777" w:rsidR="005C61BF" w:rsidRPr="00DF5C23" w:rsidRDefault="005C61BF" w:rsidP="005C61BF">
            <w:pPr>
              <w:jc w:val="center"/>
              <w:rPr>
                <w:rFonts w:eastAsia="Calibri"/>
                <w:noProof/>
                <w:sz w:val="14"/>
              </w:rPr>
            </w:pPr>
            <w:r w:rsidRPr="00DF5C23">
              <w:rPr>
                <w:rFonts w:eastAsia="Calibri"/>
                <w:noProof/>
                <w:sz w:val="14"/>
              </w:rPr>
              <w:t>=1a+1b +3</w:t>
            </w:r>
          </w:p>
        </w:tc>
        <w:tc>
          <w:tcPr>
            <w:tcW w:w="868" w:type="dxa"/>
            <w:vAlign w:val="center"/>
          </w:tcPr>
          <w:p w14:paraId="2C3A5C33"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1,622</w:t>
            </w:r>
          </w:p>
        </w:tc>
        <w:tc>
          <w:tcPr>
            <w:tcW w:w="868" w:type="dxa"/>
            <w:vAlign w:val="center"/>
          </w:tcPr>
          <w:p w14:paraId="2C3A5C34"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1,596</w:t>
            </w:r>
          </w:p>
        </w:tc>
        <w:tc>
          <w:tcPr>
            <w:tcW w:w="868" w:type="dxa"/>
            <w:vAlign w:val="center"/>
          </w:tcPr>
          <w:p w14:paraId="2C3A5C35"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4,250</w:t>
            </w:r>
          </w:p>
        </w:tc>
        <w:tc>
          <w:tcPr>
            <w:tcW w:w="868" w:type="dxa"/>
            <w:vAlign w:val="center"/>
          </w:tcPr>
          <w:p w14:paraId="2C3A5C36"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5,250</w:t>
            </w:r>
          </w:p>
        </w:tc>
        <w:tc>
          <w:tcPr>
            <w:tcW w:w="868" w:type="dxa"/>
            <w:vAlign w:val="center"/>
          </w:tcPr>
          <w:p w14:paraId="2C3A5C37"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6,250</w:t>
            </w:r>
          </w:p>
        </w:tc>
        <w:tc>
          <w:tcPr>
            <w:tcW w:w="881" w:type="dxa"/>
            <w:vAlign w:val="center"/>
          </w:tcPr>
          <w:p w14:paraId="2C3A5C38"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6,250</w:t>
            </w:r>
          </w:p>
        </w:tc>
        <w:tc>
          <w:tcPr>
            <w:tcW w:w="851" w:type="dxa"/>
          </w:tcPr>
          <w:p w14:paraId="2C3A5C39" w14:textId="77777777" w:rsidR="004510A0" w:rsidRPr="00DF5C23" w:rsidRDefault="004510A0" w:rsidP="005C61BF">
            <w:pPr>
              <w:spacing w:before="20" w:after="20"/>
              <w:jc w:val="right"/>
              <w:rPr>
                <w:rFonts w:ascii="Arial Narrow" w:hAnsi="Arial Narrow" w:cs="Calibri"/>
                <w:noProof/>
                <w:color w:val="000000"/>
                <w:sz w:val="20"/>
                <w:szCs w:val="20"/>
              </w:rPr>
            </w:pPr>
          </w:p>
        </w:tc>
        <w:tc>
          <w:tcPr>
            <w:tcW w:w="1701" w:type="dxa"/>
            <w:vAlign w:val="center"/>
          </w:tcPr>
          <w:p w14:paraId="2C3A5C3A"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25,218</w:t>
            </w:r>
          </w:p>
        </w:tc>
      </w:tr>
      <w:tr w:rsidR="005C61BF" w:rsidRPr="00DF5C23" w14:paraId="2C3A5C48" w14:textId="77777777" w:rsidTr="00EC0E40">
        <w:tc>
          <w:tcPr>
            <w:tcW w:w="3960" w:type="dxa"/>
            <w:vMerge/>
            <w:vAlign w:val="center"/>
          </w:tcPr>
          <w:p w14:paraId="2C3A5C3C" w14:textId="77777777" w:rsidR="005C61BF" w:rsidRPr="00DF5C23" w:rsidRDefault="005C61BF" w:rsidP="005C61BF">
            <w:pPr>
              <w:jc w:val="center"/>
              <w:rPr>
                <w:rFonts w:eastAsia="Calibri"/>
                <w:b/>
                <w:noProof/>
                <w:sz w:val="22"/>
              </w:rPr>
            </w:pPr>
          </w:p>
        </w:tc>
        <w:tc>
          <w:tcPr>
            <w:tcW w:w="1440" w:type="dxa"/>
            <w:vAlign w:val="center"/>
          </w:tcPr>
          <w:p w14:paraId="2C3A5C3D" w14:textId="77777777" w:rsidR="005C61BF" w:rsidRPr="00DF5C23" w:rsidRDefault="005C61BF" w:rsidP="005C61BF">
            <w:pPr>
              <w:rPr>
                <w:rFonts w:eastAsia="Calibri"/>
                <w:noProof/>
                <w:sz w:val="18"/>
              </w:rPr>
            </w:pPr>
            <w:r w:rsidRPr="00DF5C23">
              <w:rPr>
                <w:rFonts w:eastAsia="Calibri"/>
                <w:noProof/>
                <w:sz w:val="18"/>
              </w:rPr>
              <w:t>Payments</w:t>
            </w:r>
          </w:p>
        </w:tc>
        <w:tc>
          <w:tcPr>
            <w:tcW w:w="654" w:type="dxa"/>
            <w:gridSpan w:val="2"/>
            <w:vAlign w:val="center"/>
          </w:tcPr>
          <w:p w14:paraId="2C3A5C3E" w14:textId="77777777" w:rsidR="005C61BF" w:rsidRPr="00DF5C23" w:rsidRDefault="005C61BF" w:rsidP="005C61BF">
            <w:pPr>
              <w:jc w:val="center"/>
              <w:rPr>
                <w:rFonts w:eastAsia="Calibri"/>
                <w:noProof/>
                <w:sz w:val="14"/>
              </w:rPr>
            </w:pPr>
            <w:r w:rsidRPr="00DF5C23">
              <w:rPr>
                <w:rFonts w:eastAsia="Calibri"/>
                <w:noProof/>
                <w:sz w:val="14"/>
              </w:rPr>
              <w:t>=2a+2b</w:t>
            </w:r>
          </w:p>
          <w:p w14:paraId="2C3A5C3F" w14:textId="77777777" w:rsidR="005C61BF" w:rsidRPr="00DF5C23" w:rsidRDefault="005C61BF" w:rsidP="005C61BF">
            <w:pPr>
              <w:jc w:val="center"/>
              <w:rPr>
                <w:rFonts w:eastAsia="Calibri"/>
                <w:noProof/>
                <w:sz w:val="14"/>
              </w:rPr>
            </w:pPr>
            <w:r w:rsidRPr="00DF5C23">
              <w:rPr>
                <w:rFonts w:eastAsia="Calibri"/>
                <w:noProof/>
                <w:sz w:val="14"/>
              </w:rPr>
              <w:t>+3</w:t>
            </w:r>
          </w:p>
        </w:tc>
        <w:tc>
          <w:tcPr>
            <w:tcW w:w="868" w:type="dxa"/>
            <w:vAlign w:val="center"/>
          </w:tcPr>
          <w:p w14:paraId="2C3A5C40"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0,487</w:t>
            </w:r>
          </w:p>
        </w:tc>
        <w:tc>
          <w:tcPr>
            <w:tcW w:w="868" w:type="dxa"/>
            <w:vAlign w:val="center"/>
          </w:tcPr>
          <w:p w14:paraId="2C3A5C41"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0,965</w:t>
            </w:r>
          </w:p>
        </w:tc>
        <w:tc>
          <w:tcPr>
            <w:tcW w:w="868" w:type="dxa"/>
            <w:vAlign w:val="center"/>
          </w:tcPr>
          <w:p w14:paraId="2C3A5C42"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2,403</w:t>
            </w:r>
          </w:p>
        </w:tc>
        <w:tc>
          <w:tcPr>
            <w:tcW w:w="868" w:type="dxa"/>
            <w:vAlign w:val="center"/>
          </w:tcPr>
          <w:p w14:paraId="2C3A5C43"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3,488</w:t>
            </w:r>
          </w:p>
        </w:tc>
        <w:tc>
          <w:tcPr>
            <w:tcW w:w="868" w:type="dxa"/>
            <w:vAlign w:val="center"/>
          </w:tcPr>
          <w:p w14:paraId="2C3A5C44" w14:textId="77777777" w:rsidR="005C61BF" w:rsidRPr="00DF5C23" w:rsidRDefault="005C61BF" w:rsidP="005C61BF">
            <w:pPr>
              <w:spacing w:before="20" w:after="20"/>
              <w:jc w:val="right"/>
              <w:rPr>
                <w:rFonts w:eastAsia="Calibri"/>
                <w:noProof/>
                <w:sz w:val="20"/>
              </w:rPr>
            </w:pPr>
            <w:r w:rsidRPr="00DF5C23">
              <w:rPr>
                <w:rFonts w:ascii="Arial Narrow" w:hAnsi="Arial Narrow" w:cs="Calibri"/>
                <w:noProof/>
                <w:color w:val="000000"/>
                <w:sz w:val="20"/>
                <w:szCs w:val="20"/>
              </w:rPr>
              <w:t>5,150</w:t>
            </w:r>
          </w:p>
        </w:tc>
        <w:tc>
          <w:tcPr>
            <w:tcW w:w="881" w:type="dxa"/>
            <w:vAlign w:val="center"/>
          </w:tcPr>
          <w:p w14:paraId="2C3A5C45" w14:textId="77777777" w:rsidR="005C61BF" w:rsidRPr="00DF5C23" w:rsidRDefault="008267AC" w:rsidP="005C61BF">
            <w:pPr>
              <w:spacing w:before="20" w:after="20"/>
              <w:jc w:val="right"/>
              <w:rPr>
                <w:rFonts w:eastAsia="Calibri"/>
                <w:noProof/>
                <w:sz w:val="20"/>
              </w:rPr>
            </w:pPr>
            <w:r w:rsidRPr="00DF5C23">
              <w:rPr>
                <w:rFonts w:ascii="Arial Narrow" w:hAnsi="Arial Narrow" w:cs="Calibri"/>
                <w:noProof/>
                <w:color w:val="000000"/>
                <w:sz w:val="20"/>
                <w:szCs w:val="20"/>
              </w:rPr>
              <w:t>5,850</w:t>
            </w:r>
          </w:p>
        </w:tc>
        <w:tc>
          <w:tcPr>
            <w:tcW w:w="851" w:type="dxa"/>
          </w:tcPr>
          <w:p w14:paraId="2C3A5C46" w14:textId="77777777" w:rsidR="008267AC" w:rsidRPr="00DF5C23" w:rsidRDefault="008267AC"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6,875</w:t>
            </w:r>
          </w:p>
        </w:tc>
        <w:tc>
          <w:tcPr>
            <w:tcW w:w="1701" w:type="dxa"/>
            <w:vAlign w:val="center"/>
          </w:tcPr>
          <w:p w14:paraId="2C3A5C47" w14:textId="77777777" w:rsidR="005C61BF" w:rsidRPr="00DF5C23" w:rsidRDefault="005C61BF" w:rsidP="005C61BF">
            <w:pPr>
              <w:spacing w:before="20" w:after="20"/>
              <w:jc w:val="right"/>
              <w:rPr>
                <w:rFonts w:eastAsia="Calibri"/>
                <w:b/>
                <w:noProof/>
                <w:sz w:val="20"/>
              </w:rPr>
            </w:pPr>
            <w:r w:rsidRPr="00DF5C23">
              <w:rPr>
                <w:rFonts w:ascii="Arial Narrow" w:hAnsi="Arial Narrow" w:cs="Calibri"/>
                <w:noProof/>
                <w:color w:val="000000"/>
                <w:sz w:val="20"/>
                <w:szCs w:val="20"/>
              </w:rPr>
              <w:t>25,218</w:t>
            </w:r>
          </w:p>
        </w:tc>
      </w:tr>
    </w:tbl>
    <w:p w14:paraId="2C3A5C49" w14:textId="77777777" w:rsidR="00BF1765" w:rsidRPr="00DF5C23" w:rsidRDefault="00BF1765" w:rsidP="00BF1765">
      <w:pPr>
        <w:rPr>
          <w:rFonts w:eastAsia="Calibri"/>
          <w:noProof/>
        </w:rPr>
      </w:pPr>
    </w:p>
    <w:p w14:paraId="2C3A5C4A" w14:textId="77777777" w:rsidR="00BF1765" w:rsidRPr="00DF5C23" w:rsidRDefault="00BF1765" w:rsidP="00BF1765">
      <w:pPr>
        <w:rPr>
          <w:rFonts w:eastAsia="Calibri"/>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934"/>
        <w:gridCol w:w="850"/>
        <w:gridCol w:w="851"/>
        <w:gridCol w:w="850"/>
        <w:gridCol w:w="851"/>
        <w:gridCol w:w="1701"/>
      </w:tblGrid>
      <w:tr w:rsidR="005C61BF" w:rsidRPr="00DF5C23" w14:paraId="2C3A5C57" w14:textId="77777777" w:rsidTr="006B4EAB">
        <w:trPr>
          <w:trHeight w:val="277"/>
        </w:trPr>
        <w:tc>
          <w:tcPr>
            <w:tcW w:w="3960" w:type="dxa"/>
            <w:vMerge w:val="restart"/>
            <w:vAlign w:val="center"/>
          </w:tcPr>
          <w:p w14:paraId="2C3A5C4B" w14:textId="77777777" w:rsidR="005C61BF" w:rsidRPr="00DF5C23" w:rsidRDefault="005C61BF" w:rsidP="005C61BF">
            <w:pPr>
              <w:spacing w:before="20" w:after="20"/>
              <w:rPr>
                <w:rFonts w:eastAsia="Calibri"/>
                <w:noProof/>
              </w:rPr>
            </w:pPr>
            <w:r w:rsidRPr="00DF5C23">
              <w:rPr>
                <w:rFonts w:eastAsia="Calibri"/>
                <w:noProof/>
                <w:sz w:val="22"/>
              </w:rPr>
              <w:br w:type="page"/>
            </w:r>
            <w:r w:rsidRPr="00DF5C23">
              <w:rPr>
                <w:rFonts w:eastAsia="Calibri"/>
                <w:noProof/>
                <w:sz w:val="21"/>
              </w:rPr>
              <w:sym w:font="Wingdings" w:char="F09F"/>
            </w:r>
            <w:r w:rsidRPr="00DF5C23">
              <w:rPr>
                <w:rFonts w:eastAsia="Calibri"/>
                <w:noProof/>
                <w:sz w:val="21"/>
              </w:rPr>
              <w:t xml:space="preserve"> TOTAL operational appropriations </w:t>
            </w:r>
          </w:p>
        </w:tc>
        <w:tc>
          <w:tcPr>
            <w:tcW w:w="1440" w:type="dxa"/>
            <w:vAlign w:val="center"/>
          </w:tcPr>
          <w:p w14:paraId="2C3A5C4C"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Commitments</w:t>
            </w:r>
          </w:p>
        </w:tc>
        <w:tc>
          <w:tcPr>
            <w:tcW w:w="654" w:type="dxa"/>
            <w:vAlign w:val="center"/>
          </w:tcPr>
          <w:p w14:paraId="2C3A5C4D"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(4)</w:t>
            </w:r>
          </w:p>
        </w:tc>
        <w:tc>
          <w:tcPr>
            <w:tcW w:w="868" w:type="dxa"/>
          </w:tcPr>
          <w:p w14:paraId="2C3A5C4E"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3,898</w:t>
            </w:r>
          </w:p>
        </w:tc>
        <w:tc>
          <w:tcPr>
            <w:tcW w:w="868" w:type="dxa"/>
          </w:tcPr>
          <w:p w14:paraId="2C3A5C4F"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4,544</w:t>
            </w:r>
          </w:p>
        </w:tc>
        <w:tc>
          <w:tcPr>
            <w:tcW w:w="934" w:type="dxa"/>
          </w:tcPr>
          <w:p w14:paraId="2C3A5C50"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6,830</w:t>
            </w:r>
          </w:p>
        </w:tc>
        <w:tc>
          <w:tcPr>
            <w:tcW w:w="850" w:type="dxa"/>
          </w:tcPr>
          <w:p w14:paraId="2C3A5C51"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8,280</w:t>
            </w:r>
          </w:p>
        </w:tc>
        <w:tc>
          <w:tcPr>
            <w:tcW w:w="851" w:type="dxa"/>
          </w:tcPr>
          <w:p w14:paraId="2C3A5C52"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10,280</w:t>
            </w:r>
          </w:p>
        </w:tc>
        <w:tc>
          <w:tcPr>
            <w:tcW w:w="850" w:type="dxa"/>
          </w:tcPr>
          <w:p w14:paraId="2C3A5C53" w14:textId="77777777" w:rsidR="005C61BF" w:rsidRPr="00DF5C23" w:rsidRDefault="006B4EAB"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10,080</w:t>
            </w:r>
          </w:p>
        </w:tc>
        <w:tc>
          <w:tcPr>
            <w:tcW w:w="851" w:type="dxa"/>
          </w:tcPr>
          <w:p w14:paraId="2C3A5C54" w14:textId="77777777" w:rsidR="008267AC" w:rsidRPr="00DF5C23" w:rsidRDefault="008267AC" w:rsidP="005C61BF">
            <w:pPr>
              <w:spacing w:before="20" w:after="20"/>
              <w:jc w:val="right"/>
              <w:rPr>
                <w:rFonts w:ascii="Arial Narrow" w:hAnsi="Arial Narrow" w:cs="Calibri"/>
                <w:noProof/>
                <w:color w:val="000000"/>
                <w:sz w:val="20"/>
                <w:szCs w:val="20"/>
              </w:rPr>
            </w:pPr>
          </w:p>
        </w:tc>
        <w:tc>
          <w:tcPr>
            <w:tcW w:w="1701" w:type="dxa"/>
            <w:vAlign w:val="bottom"/>
          </w:tcPr>
          <w:p w14:paraId="2C3A5C55" w14:textId="77777777" w:rsidR="006B4EAB" w:rsidRPr="00DF5C23" w:rsidRDefault="006B4EAB" w:rsidP="006B4EAB">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43,912</w:t>
            </w:r>
          </w:p>
          <w:p w14:paraId="2C3A5C56" w14:textId="77777777" w:rsidR="005C61BF" w:rsidRPr="00DF5C23" w:rsidRDefault="005C61BF" w:rsidP="005C61BF">
            <w:pPr>
              <w:spacing w:before="20" w:after="20"/>
              <w:jc w:val="right"/>
              <w:rPr>
                <w:rFonts w:ascii="Arial Narrow" w:hAnsi="Arial Narrow" w:cs="Calibri"/>
                <w:noProof/>
                <w:color w:val="000000"/>
                <w:sz w:val="20"/>
                <w:szCs w:val="20"/>
              </w:rPr>
            </w:pPr>
          </w:p>
        </w:tc>
      </w:tr>
      <w:tr w:rsidR="005C61BF" w:rsidRPr="00DF5C23" w14:paraId="2C3A5C63" w14:textId="77777777" w:rsidTr="00EC0E40">
        <w:tc>
          <w:tcPr>
            <w:tcW w:w="3960" w:type="dxa"/>
            <w:vMerge/>
          </w:tcPr>
          <w:p w14:paraId="2C3A5C58" w14:textId="77777777" w:rsidR="005C61BF" w:rsidRPr="00DF5C23" w:rsidRDefault="005C61BF" w:rsidP="005C61BF">
            <w:pPr>
              <w:jc w:val="center"/>
              <w:rPr>
                <w:rFonts w:eastAsia="Calibri"/>
                <w:noProof/>
                <w:sz w:val="20"/>
              </w:rPr>
            </w:pPr>
          </w:p>
        </w:tc>
        <w:tc>
          <w:tcPr>
            <w:tcW w:w="1440" w:type="dxa"/>
            <w:vAlign w:val="center"/>
          </w:tcPr>
          <w:p w14:paraId="2C3A5C59"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Payments</w:t>
            </w:r>
          </w:p>
        </w:tc>
        <w:tc>
          <w:tcPr>
            <w:tcW w:w="654" w:type="dxa"/>
            <w:vAlign w:val="center"/>
          </w:tcPr>
          <w:p w14:paraId="2C3A5C5A"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(5)</w:t>
            </w:r>
          </w:p>
        </w:tc>
        <w:tc>
          <w:tcPr>
            <w:tcW w:w="868" w:type="dxa"/>
            <w:vAlign w:val="bottom"/>
          </w:tcPr>
          <w:p w14:paraId="2C3A5C5B"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1,170</w:t>
            </w:r>
          </w:p>
        </w:tc>
        <w:tc>
          <w:tcPr>
            <w:tcW w:w="868" w:type="dxa"/>
            <w:vAlign w:val="bottom"/>
          </w:tcPr>
          <w:p w14:paraId="2C3A5C5C"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2,532</w:t>
            </w:r>
          </w:p>
        </w:tc>
        <w:tc>
          <w:tcPr>
            <w:tcW w:w="934" w:type="dxa"/>
            <w:vAlign w:val="bottom"/>
          </w:tcPr>
          <w:p w14:paraId="2C3A5C5D"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5,132</w:t>
            </w:r>
          </w:p>
        </w:tc>
        <w:tc>
          <w:tcPr>
            <w:tcW w:w="850" w:type="dxa"/>
            <w:vAlign w:val="bottom"/>
          </w:tcPr>
          <w:p w14:paraId="2C3A5C5E"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6,490</w:t>
            </w:r>
          </w:p>
        </w:tc>
        <w:tc>
          <w:tcPr>
            <w:tcW w:w="851" w:type="dxa"/>
            <w:vAlign w:val="bottom"/>
          </w:tcPr>
          <w:p w14:paraId="2C3A5C5F"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8,280</w:t>
            </w:r>
          </w:p>
        </w:tc>
        <w:tc>
          <w:tcPr>
            <w:tcW w:w="850" w:type="dxa"/>
            <w:vAlign w:val="bottom"/>
          </w:tcPr>
          <w:p w14:paraId="2C3A5C60"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9,340</w:t>
            </w:r>
          </w:p>
        </w:tc>
        <w:tc>
          <w:tcPr>
            <w:tcW w:w="851" w:type="dxa"/>
            <w:vAlign w:val="bottom"/>
          </w:tcPr>
          <w:p w14:paraId="2C3A5C61" w14:textId="77777777" w:rsidR="008267AC" w:rsidRPr="00DF5C23" w:rsidRDefault="008267AC"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w:t>
            </w:r>
            <w:r w:rsidR="005D3B78" w:rsidRPr="00DF5C23">
              <w:rPr>
                <w:rFonts w:ascii="Arial Narrow" w:hAnsi="Arial Narrow" w:cs="Calibri"/>
                <w:noProof/>
                <w:color w:val="000000"/>
                <w:sz w:val="20"/>
                <w:szCs w:val="20"/>
              </w:rPr>
              <w:t>968</w:t>
            </w:r>
          </w:p>
        </w:tc>
        <w:tc>
          <w:tcPr>
            <w:tcW w:w="1701" w:type="dxa"/>
            <w:vAlign w:val="bottom"/>
          </w:tcPr>
          <w:p w14:paraId="2C3A5C62"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43,912</w:t>
            </w:r>
          </w:p>
        </w:tc>
      </w:tr>
      <w:tr w:rsidR="005C61BF" w:rsidRPr="00DF5C23" w14:paraId="2C3A5C6E" w14:textId="77777777" w:rsidTr="008267AC">
        <w:trPr>
          <w:trHeight w:val="533"/>
        </w:trPr>
        <w:tc>
          <w:tcPr>
            <w:tcW w:w="5400" w:type="dxa"/>
            <w:gridSpan w:val="2"/>
            <w:vAlign w:val="center"/>
          </w:tcPr>
          <w:p w14:paraId="2C3A5C64" w14:textId="77777777" w:rsidR="005C61BF" w:rsidRPr="00DF5C23" w:rsidRDefault="005C61BF" w:rsidP="005C61BF">
            <w:pPr>
              <w:spacing w:beforeLines="20" w:before="48" w:afterLines="20" w:after="48"/>
              <w:rPr>
                <w:rFonts w:eastAsia="Calibri"/>
                <w:noProof/>
              </w:rPr>
            </w:pPr>
            <w:r w:rsidRPr="00DF5C23">
              <w:rPr>
                <w:rFonts w:eastAsia="Calibri"/>
                <w:noProof/>
                <w:sz w:val="21"/>
              </w:rPr>
              <w:sym w:font="Wingdings" w:char="F09F"/>
            </w:r>
            <w:r w:rsidRPr="00DF5C23">
              <w:rPr>
                <w:rFonts w:eastAsia="Calibri"/>
                <w:noProof/>
                <w:sz w:val="21"/>
              </w:rPr>
              <w:t xml:space="preserve"> TOTAL appropriations of an administrative nature financed from the envelope for specific programmes </w:t>
            </w:r>
          </w:p>
        </w:tc>
        <w:tc>
          <w:tcPr>
            <w:tcW w:w="654" w:type="dxa"/>
            <w:vAlign w:val="center"/>
          </w:tcPr>
          <w:p w14:paraId="2C3A5C65"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(6)</w:t>
            </w:r>
          </w:p>
        </w:tc>
        <w:tc>
          <w:tcPr>
            <w:tcW w:w="868" w:type="dxa"/>
            <w:vAlign w:val="center"/>
          </w:tcPr>
          <w:p w14:paraId="2C3A5C66" w14:textId="77777777" w:rsidR="005C61BF" w:rsidRPr="00DF5C23" w:rsidRDefault="005C61BF" w:rsidP="005C61BF">
            <w:pPr>
              <w:spacing w:before="20" w:after="20"/>
              <w:jc w:val="right"/>
              <w:rPr>
                <w:rFonts w:eastAsia="Calibri"/>
                <w:b/>
                <w:noProof/>
                <w:sz w:val="20"/>
              </w:rPr>
            </w:pPr>
          </w:p>
        </w:tc>
        <w:tc>
          <w:tcPr>
            <w:tcW w:w="868" w:type="dxa"/>
            <w:vAlign w:val="center"/>
          </w:tcPr>
          <w:p w14:paraId="2C3A5C67" w14:textId="77777777" w:rsidR="005C61BF" w:rsidRPr="00DF5C23" w:rsidRDefault="005C61BF" w:rsidP="005C61BF">
            <w:pPr>
              <w:spacing w:before="20" w:after="20"/>
              <w:jc w:val="right"/>
              <w:rPr>
                <w:rFonts w:eastAsia="Calibri"/>
                <w:b/>
                <w:noProof/>
                <w:sz w:val="20"/>
              </w:rPr>
            </w:pPr>
          </w:p>
        </w:tc>
        <w:tc>
          <w:tcPr>
            <w:tcW w:w="934" w:type="dxa"/>
            <w:vAlign w:val="center"/>
          </w:tcPr>
          <w:p w14:paraId="2C3A5C68" w14:textId="77777777" w:rsidR="005C61BF" w:rsidRPr="00DF5C23" w:rsidRDefault="005C61BF" w:rsidP="005C61BF">
            <w:pPr>
              <w:spacing w:before="20" w:after="20"/>
              <w:jc w:val="right"/>
              <w:rPr>
                <w:rFonts w:eastAsia="Calibri"/>
                <w:b/>
                <w:noProof/>
                <w:sz w:val="20"/>
              </w:rPr>
            </w:pPr>
          </w:p>
        </w:tc>
        <w:tc>
          <w:tcPr>
            <w:tcW w:w="850" w:type="dxa"/>
            <w:vAlign w:val="center"/>
          </w:tcPr>
          <w:p w14:paraId="2C3A5C69" w14:textId="77777777" w:rsidR="005C61BF" w:rsidRPr="00DF5C23" w:rsidRDefault="005C61BF" w:rsidP="005C61BF">
            <w:pPr>
              <w:spacing w:before="20" w:after="20"/>
              <w:jc w:val="right"/>
              <w:rPr>
                <w:rFonts w:eastAsia="Calibri"/>
                <w:b/>
                <w:noProof/>
                <w:sz w:val="20"/>
              </w:rPr>
            </w:pPr>
          </w:p>
        </w:tc>
        <w:tc>
          <w:tcPr>
            <w:tcW w:w="851" w:type="dxa"/>
            <w:vAlign w:val="center"/>
          </w:tcPr>
          <w:p w14:paraId="2C3A5C6A" w14:textId="77777777" w:rsidR="005C61BF" w:rsidRPr="00DF5C23" w:rsidRDefault="005C61BF" w:rsidP="005C61BF">
            <w:pPr>
              <w:spacing w:before="20" w:after="20"/>
              <w:jc w:val="right"/>
              <w:rPr>
                <w:rFonts w:eastAsia="Calibri"/>
                <w:b/>
                <w:noProof/>
                <w:sz w:val="20"/>
              </w:rPr>
            </w:pPr>
          </w:p>
        </w:tc>
        <w:tc>
          <w:tcPr>
            <w:tcW w:w="850" w:type="dxa"/>
            <w:vAlign w:val="center"/>
          </w:tcPr>
          <w:p w14:paraId="2C3A5C6B" w14:textId="77777777" w:rsidR="005C61BF" w:rsidRPr="00DF5C23" w:rsidRDefault="005C61BF" w:rsidP="005C61BF">
            <w:pPr>
              <w:spacing w:before="20" w:after="20"/>
              <w:jc w:val="right"/>
              <w:rPr>
                <w:rFonts w:eastAsia="Calibri"/>
                <w:b/>
                <w:noProof/>
                <w:sz w:val="20"/>
              </w:rPr>
            </w:pPr>
          </w:p>
        </w:tc>
        <w:tc>
          <w:tcPr>
            <w:tcW w:w="851" w:type="dxa"/>
          </w:tcPr>
          <w:p w14:paraId="2C3A5C6C" w14:textId="77777777" w:rsidR="008267AC" w:rsidRPr="00DF5C23" w:rsidRDefault="008267AC" w:rsidP="005C61BF">
            <w:pPr>
              <w:spacing w:before="20" w:after="20"/>
              <w:jc w:val="right"/>
              <w:rPr>
                <w:rFonts w:eastAsia="Calibri"/>
                <w:b/>
                <w:noProof/>
                <w:sz w:val="20"/>
              </w:rPr>
            </w:pPr>
          </w:p>
        </w:tc>
        <w:tc>
          <w:tcPr>
            <w:tcW w:w="1701" w:type="dxa"/>
            <w:vAlign w:val="center"/>
          </w:tcPr>
          <w:p w14:paraId="2C3A5C6D" w14:textId="77777777" w:rsidR="005C61BF" w:rsidRPr="00DF5C23" w:rsidRDefault="005C61BF" w:rsidP="005C61BF">
            <w:pPr>
              <w:spacing w:before="20" w:after="20"/>
              <w:jc w:val="right"/>
              <w:rPr>
                <w:rFonts w:eastAsia="Calibri"/>
                <w:b/>
                <w:noProof/>
                <w:sz w:val="20"/>
              </w:rPr>
            </w:pPr>
          </w:p>
        </w:tc>
      </w:tr>
      <w:tr w:rsidR="005C61BF" w:rsidRPr="00DF5C23" w14:paraId="2C3A5C7B" w14:textId="77777777" w:rsidTr="005D3B78">
        <w:tc>
          <w:tcPr>
            <w:tcW w:w="3960" w:type="dxa"/>
            <w:vMerge w:val="restart"/>
            <w:shd w:val="thinDiagStripe" w:color="C0C0C0" w:fill="auto"/>
            <w:vAlign w:val="center"/>
          </w:tcPr>
          <w:p w14:paraId="2C3A5C6F" w14:textId="77777777" w:rsidR="005C61BF" w:rsidRPr="00DF5C23" w:rsidRDefault="005C61BF" w:rsidP="005C61BF">
            <w:pPr>
              <w:jc w:val="center"/>
              <w:rPr>
                <w:rFonts w:eastAsia="Calibri"/>
                <w:b/>
                <w:noProof/>
              </w:rPr>
            </w:pPr>
            <w:r w:rsidRPr="00DF5C23">
              <w:rPr>
                <w:rFonts w:eastAsia="Calibri"/>
                <w:b/>
                <w:noProof/>
                <w:sz w:val="22"/>
              </w:rPr>
              <w:t xml:space="preserve">TOTAL appropriations </w:t>
            </w:r>
            <w:r w:rsidRPr="00DF5C23">
              <w:rPr>
                <w:rFonts w:eastAsia="Calibri"/>
                <w:noProof/>
                <w:sz w:val="22"/>
              </w:rPr>
              <w:br/>
            </w:r>
            <w:r w:rsidRPr="00DF5C23">
              <w:rPr>
                <w:rFonts w:eastAsia="Calibri"/>
                <w:b/>
                <w:noProof/>
                <w:sz w:val="22"/>
              </w:rPr>
              <w:t>under HEADING 3</w:t>
            </w:r>
            <w:r w:rsidRPr="00DF5C23">
              <w:rPr>
                <w:rFonts w:eastAsia="Calibri"/>
                <w:noProof/>
                <w:sz w:val="22"/>
              </w:rPr>
              <w:br/>
              <w:t>of the multiannual financial framework</w:t>
            </w:r>
          </w:p>
        </w:tc>
        <w:tc>
          <w:tcPr>
            <w:tcW w:w="1440" w:type="dxa"/>
            <w:vAlign w:val="center"/>
          </w:tcPr>
          <w:p w14:paraId="2C3A5C70" w14:textId="77777777" w:rsidR="005C61BF" w:rsidRPr="00DF5C23" w:rsidRDefault="005C61BF" w:rsidP="005C61BF">
            <w:pPr>
              <w:rPr>
                <w:rFonts w:eastAsia="Calibri"/>
                <w:noProof/>
                <w:sz w:val="18"/>
              </w:rPr>
            </w:pPr>
            <w:r w:rsidRPr="00DF5C23">
              <w:rPr>
                <w:rFonts w:eastAsia="Calibri"/>
                <w:noProof/>
                <w:sz w:val="18"/>
              </w:rPr>
              <w:t>Commitments</w:t>
            </w:r>
          </w:p>
        </w:tc>
        <w:tc>
          <w:tcPr>
            <w:tcW w:w="654" w:type="dxa"/>
            <w:vAlign w:val="center"/>
          </w:tcPr>
          <w:p w14:paraId="2C3A5C71" w14:textId="77777777" w:rsidR="005C61BF" w:rsidRPr="00DF5C23" w:rsidRDefault="005C61BF" w:rsidP="005C61BF">
            <w:pPr>
              <w:jc w:val="center"/>
              <w:rPr>
                <w:rFonts w:eastAsia="Calibri"/>
                <w:noProof/>
                <w:sz w:val="14"/>
              </w:rPr>
            </w:pPr>
            <w:r w:rsidRPr="00DF5C23">
              <w:rPr>
                <w:rFonts w:eastAsia="Calibri"/>
                <w:noProof/>
                <w:sz w:val="14"/>
              </w:rPr>
              <w:t>=4+ 6</w:t>
            </w:r>
          </w:p>
        </w:tc>
        <w:tc>
          <w:tcPr>
            <w:tcW w:w="868" w:type="dxa"/>
          </w:tcPr>
          <w:p w14:paraId="2C3A5C72"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3,898</w:t>
            </w:r>
          </w:p>
        </w:tc>
        <w:tc>
          <w:tcPr>
            <w:tcW w:w="868" w:type="dxa"/>
          </w:tcPr>
          <w:p w14:paraId="2C3A5C73"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4,544</w:t>
            </w:r>
          </w:p>
        </w:tc>
        <w:tc>
          <w:tcPr>
            <w:tcW w:w="934" w:type="dxa"/>
          </w:tcPr>
          <w:p w14:paraId="2C3A5C74"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6,830</w:t>
            </w:r>
          </w:p>
        </w:tc>
        <w:tc>
          <w:tcPr>
            <w:tcW w:w="850" w:type="dxa"/>
          </w:tcPr>
          <w:p w14:paraId="2C3A5C75"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8,280</w:t>
            </w:r>
          </w:p>
        </w:tc>
        <w:tc>
          <w:tcPr>
            <w:tcW w:w="851" w:type="dxa"/>
          </w:tcPr>
          <w:p w14:paraId="2C3A5C76"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10,280</w:t>
            </w:r>
          </w:p>
        </w:tc>
        <w:tc>
          <w:tcPr>
            <w:tcW w:w="850" w:type="dxa"/>
          </w:tcPr>
          <w:p w14:paraId="2C3A5C77" w14:textId="77777777" w:rsidR="005C61BF" w:rsidRPr="00DF5C23" w:rsidRDefault="006B4EAB" w:rsidP="005C61BF">
            <w:pPr>
              <w:spacing w:before="20" w:after="20"/>
              <w:jc w:val="right"/>
              <w:rPr>
                <w:rFonts w:eastAsia="Calibri"/>
                <w:noProof/>
                <w:sz w:val="20"/>
              </w:rPr>
            </w:pPr>
            <w:r w:rsidRPr="00DF5C23">
              <w:rPr>
                <w:rFonts w:ascii="Arial Narrow" w:hAnsi="Arial Narrow" w:cs="Calibri"/>
                <w:noProof/>
                <w:color w:val="000000"/>
                <w:sz w:val="20"/>
                <w:szCs w:val="20"/>
              </w:rPr>
              <w:t>10,080</w:t>
            </w:r>
          </w:p>
        </w:tc>
        <w:tc>
          <w:tcPr>
            <w:tcW w:w="851" w:type="dxa"/>
          </w:tcPr>
          <w:p w14:paraId="2C3A5C78" w14:textId="77777777" w:rsidR="008267AC" w:rsidRPr="00DF5C23" w:rsidRDefault="008267AC" w:rsidP="005C61BF">
            <w:pPr>
              <w:spacing w:before="20" w:after="20"/>
              <w:jc w:val="right"/>
              <w:rPr>
                <w:rFonts w:ascii="Arial Narrow" w:hAnsi="Arial Narrow" w:cs="Calibri"/>
                <w:noProof/>
                <w:color w:val="000000"/>
                <w:sz w:val="20"/>
                <w:szCs w:val="20"/>
              </w:rPr>
            </w:pPr>
          </w:p>
        </w:tc>
        <w:tc>
          <w:tcPr>
            <w:tcW w:w="1701" w:type="dxa"/>
            <w:vAlign w:val="bottom"/>
          </w:tcPr>
          <w:p w14:paraId="2C3A5C79" w14:textId="77777777" w:rsidR="006B4EAB" w:rsidRPr="00DF5C23" w:rsidRDefault="006B4EAB" w:rsidP="006B4EAB">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43,912</w:t>
            </w:r>
          </w:p>
          <w:p w14:paraId="2C3A5C7A" w14:textId="77777777" w:rsidR="005C61BF" w:rsidRPr="00DF5C23" w:rsidRDefault="005C61BF" w:rsidP="005C61BF">
            <w:pPr>
              <w:spacing w:before="20" w:after="20"/>
              <w:jc w:val="right"/>
              <w:rPr>
                <w:rFonts w:eastAsia="Calibri"/>
                <w:b/>
                <w:noProof/>
                <w:sz w:val="20"/>
              </w:rPr>
            </w:pPr>
          </w:p>
        </w:tc>
      </w:tr>
      <w:tr w:rsidR="005C61BF" w:rsidRPr="00DF5C23" w14:paraId="2C3A5C87" w14:textId="77777777" w:rsidTr="005D3B78">
        <w:tc>
          <w:tcPr>
            <w:tcW w:w="3960" w:type="dxa"/>
            <w:vMerge/>
            <w:shd w:val="thinDiagStripe" w:color="C0C0C0" w:fill="auto"/>
          </w:tcPr>
          <w:p w14:paraId="2C3A5C7C" w14:textId="77777777" w:rsidR="005C61BF" w:rsidRPr="00DF5C23" w:rsidRDefault="005C61BF" w:rsidP="005C61BF">
            <w:pPr>
              <w:rPr>
                <w:rFonts w:eastAsia="Calibri"/>
                <w:noProof/>
                <w:sz w:val="20"/>
              </w:rPr>
            </w:pPr>
          </w:p>
        </w:tc>
        <w:tc>
          <w:tcPr>
            <w:tcW w:w="1440" w:type="dxa"/>
            <w:vAlign w:val="center"/>
          </w:tcPr>
          <w:p w14:paraId="2C3A5C7D" w14:textId="77777777" w:rsidR="005C61BF" w:rsidRPr="00DF5C23" w:rsidRDefault="005C61BF" w:rsidP="005C61BF">
            <w:pPr>
              <w:rPr>
                <w:rFonts w:eastAsia="Calibri"/>
                <w:noProof/>
                <w:sz w:val="18"/>
              </w:rPr>
            </w:pPr>
            <w:r w:rsidRPr="00DF5C23">
              <w:rPr>
                <w:rFonts w:eastAsia="Calibri"/>
                <w:noProof/>
                <w:sz w:val="18"/>
              </w:rPr>
              <w:t>Payments</w:t>
            </w:r>
          </w:p>
        </w:tc>
        <w:tc>
          <w:tcPr>
            <w:tcW w:w="654" w:type="dxa"/>
            <w:vAlign w:val="center"/>
          </w:tcPr>
          <w:p w14:paraId="2C3A5C7E" w14:textId="77777777" w:rsidR="005C61BF" w:rsidRPr="00DF5C23" w:rsidRDefault="005C61BF" w:rsidP="005C61BF">
            <w:pPr>
              <w:jc w:val="center"/>
              <w:rPr>
                <w:rFonts w:eastAsia="Calibri"/>
                <w:noProof/>
                <w:sz w:val="14"/>
              </w:rPr>
            </w:pPr>
            <w:r w:rsidRPr="00DF5C23">
              <w:rPr>
                <w:rFonts w:eastAsia="Calibri"/>
                <w:noProof/>
                <w:sz w:val="14"/>
              </w:rPr>
              <w:t>=5+ 6</w:t>
            </w:r>
          </w:p>
        </w:tc>
        <w:tc>
          <w:tcPr>
            <w:tcW w:w="868" w:type="dxa"/>
            <w:vAlign w:val="bottom"/>
          </w:tcPr>
          <w:p w14:paraId="2C3A5C7F"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1,170</w:t>
            </w:r>
          </w:p>
        </w:tc>
        <w:tc>
          <w:tcPr>
            <w:tcW w:w="868" w:type="dxa"/>
            <w:vAlign w:val="bottom"/>
          </w:tcPr>
          <w:p w14:paraId="2C3A5C80"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2,532</w:t>
            </w:r>
          </w:p>
        </w:tc>
        <w:tc>
          <w:tcPr>
            <w:tcW w:w="934" w:type="dxa"/>
            <w:vAlign w:val="bottom"/>
          </w:tcPr>
          <w:p w14:paraId="2C3A5C81"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5,132</w:t>
            </w:r>
          </w:p>
        </w:tc>
        <w:tc>
          <w:tcPr>
            <w:tcW w:w="850" w:type="dxa"/>
            <w:vAlign w:val="bottom"/>
          </w:tcPr>
          <w:p w14:paraId="2C3A5C82"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6,490</w:t>
            </w:r>
          </w:p>
        </w:tc>
        <w:tc>
          <w:tcPr>
            <w:tcW w:w="851" w:type="dxa"/>
            <w:vAlign w:val="bottom"/>
          </w:tcPr>
          <w:p w14:paraId="2C3A5C83"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8,280</w:t>
            </w:r>
          </w:p>
        </w:tc>
        <w:tc>
          <w:tcPr>
            <w:tcW w:w="850" w:type="dxa"/>
            <w:vAlign w:val="bottom"/>
          </w:tcPr>
          <w:p w14:paraId="2C3A5C84"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9,340</w:t>
            </w:r>
          </w:p>
        </w:tc>
        <w:tc>
          <w:tcPr>
            <w:tcW w:w="851" w:type="dxa"/>
            <w:vAlign w:val="bottom"/>
          </w:tcPr>
          <w:p w14:paraId="2C3A5C85" w14:textId="77777777" w:rsidR="008267AC" w:rsidRPr="00DF5C23" w:rsidRDefault="008267AC"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w:t>
            </w:r>
            <w:r w:rsidR="005D3B78" w:rsidRPr="00DF5C23">
              <w:rPr>
                <w:rFonts w:ascii="Arial Narrow" w:hAnsi="Arial Narrow" w:cs="Calibri"/>
                <w:noProof/>
                <w:color w:val="000000"/>
                <w:sz w:val="20"/>
                <w:szCs w:val="20"/>
              </w:rPr>
              <w:t>968</w:t>
            </w:r>
          </w:p>
        </w:tc>
        <w:tc>
          <w:tcPr>
            <w:tcW w:w="1701" w:type="dxa"/>
            <w:vAlign w:val="bottom"/>
          </w:tcPr>
          <w:p w14:paraId="2C3A5C86"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43,912</w:t>
            </w:r>
          </w:p>
        </w:tc>
      </w:tr>
    </w:tbl>
    <w:p w14:paraId="2C3A5C88" w14:textId="77777777" w:rsidR="00BF1765" w:rsidRPr="00DF5C23" w:rsidRDefault="00BF1765" w:rsidP="00BF1765">
      <w:pPr>
        <w:spacing w:after="40"/>
        <w:rPr>
          <w:rFonts w:eastAsia="Calibri"/>
          <w:b/>
          <w:noProof/>
          <w:sz w:val="22"/>
          <w:u w:val="single"/>
        </w:rPr>
      </w:pPr>
    </w:p>
    <w:p w14:paraId="2C3A5C89" w14:textId="77777777" w:rsidR="00BF1765" w:rsidRPr="00DF5C23" w:rsidRDefault="00BF1765" w:rsidP="00BF1765">
      <w:pPr>
        <w:spacing w:after="40"/>
        <w:rPr>
          <w:rFonts w:eastAsia="Calibri"/>
          <w:b/>
          <w:noProof/>
          <w:sz w:val="22"/>
          <w:u w:val="single"/>
        </w:rPr>
      </w:pPr>
      <w:r w:rsidRPr="00DF5C23">
        <w:rPr>
          <w:rFonts w:eastAsia="Calibri"/>
          <w:b/>
          <w:noProof/>
          <w:sz w:val="22"/>
          <w:u w:val="single"/>
        </w:rPr>
        <w:t>If more than one operational heading is affected by the proposal / initiative, repeat the section above:</w:t>
      </w:r>
    </w:p>
    <w:tbl>
      <w:tblPr>
        <w:tblW w:w="1382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951"/>
        <w:gridCol w:w="851"/>
        <w:gridCol w:w="850"/>
        <w:gridCol w:w="851"/>
        <w:gridCol w:w="850"/>
        <w:gridCol w:w="851"/>
        <w:gridCol w:w="1701"/>
      </w:tblGrid>
      <w:tr w:rsidR="005C61BF" w:rsidRPr="00DF5C23" w14:paraId="2C3A5C96" w14:textId="77777777" w:rsidTr="008267AC">
        <w:trPr>
          <w:trHeight w:val="277"/>
        </w:trPr>
        <w:tc>
          <w:tcPr>
            <w:tcW w:w="3960" w:type="dxa"/>
            <w:vMerge w:val="restart"/>
            <w:tcBorders>
              <w:top w:val="single" w:sz="4" w:space="0" w:color="auto"/>
              <w:left w:val="single" w:sz="4" w:space="0" w:color="auto"/>
              <w:bottom w:val="single" w:sz="4" w:space="0" w:color="FF0000"/>
            </w:tcBorders>
            <w:vAlign w:val="center"/>
          </w:tcPr>
          <w:p w14:paraId="2C3A5C8A" w14:textId="77777777" w:rsidR="005C61BF" w:rsidRPr="00DF5C23" w:rsidRDefault="005C61BF" w:rsidP="005C61BF">
            <w:pPr>
              <w:spacing w:before="20" w:after="20"/>
              <w:rPr>
                <w:rFonts w:eastAsia="Calibri"/>
                <w:noProof/>
              </w:rPr>
            </w:pPr>
            <w:r w:rsidRPr="00DF5C23">
              <w:rPr>
                <w:rFonts w:eastAsia="Calibri"/>
                <w:noProof/>
                <w:sz w:val="21"/>
              </w:rPr>
              <w:sym w:font="Wingdings" w:char="F09F"/>
            </w:r>
            <w:r w:rsidRPr="00DF5C23">
              <w:rPr>
                <w:rFonts w:eastAsia="Calibri"/>
                <w:noProof/>
                <w:sz w:val="21"/>
              </w:rPr>
              <w:t xml:space="preserve"> TOTAL operational appropriations (all operational headings)</w:t>
            </w:r>
          </w:p>
        </w:tc>
        <w:tc>
          <w:tcPr>
            <w:tcW w:w="1440" w:type="dxa"/>
            <w:tcBorders>
              <w:top w:val="single" w:sz="4" w:space="0" w:color="auto"/>
            </w:tcBorders>
            <w:vAlign w:val="center"/>
          </w:tcPr>
          <w:p w14:paraId="2C3A5C8B"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Commitments</w:t>
            </w:r>
          </w:p>
        </w:tc>
        <w:tc>
          <w:tcPr>
            <w:tcW w:w="654" w:type="dxa"/>
            <w:tcBorders>
              <w:top w:val="single" w:sz="4" w:space="0" w:color="auto"/>
            </w:tcBorders>
            <w:vAlign w:val="center"/>
          </w:tcPr>
          <w:p w14:paraId="2C3A5C8C"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(4)</w:t>
            </w:r>
          </w:p>
        </w:tc>
        <w:tc>
          <w:tcPr>
            <w:tcW w:w="868" w:type="dxa"/>
            <w:tcBorders>
              <w:top w:val="single" w:sz="4" w:space="0" w:color="auto"/>
            </w:tcBorders>
            <w:vAlign w:val="bottom"/>
          </w:tcPr>
          <w:p w14:paraId="2C3A5C8D"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7,300</w:t>
            </w:r>
          </w:p>
        </w:tc>
        <w:tc>
          <w:tcPr>
            <w:tcW w:w="951" w:type="dxa"/>
            <w:tcBorders>
              <w:top w:val="single" w:sz="4" w:space="0" w:color="auto"/>
            </w:tcBorders>
            <w:vAlign w:val="bottom"/>
          </w:tcPr>
          <w:p w14:paraId="2C3A5C8E"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8,600</w:t>
            </w:r>
          </w:p>
        </w:tc>
        <w:tc>
          <w:tcPr>
            <w:tcW w:w="851" w:type="dxa"/>
            <w:tcBorders>
              <w:top w:val="single" w:sz="4" w:space="0" w:color="auto"/>
            </w:tcBorders>
            <w:vAlign w:val="bottom"/>
          </w:tcPr>
          <w:p w14:paraId="2C3A5C8F"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10,600</w:t>
            </w:r>
          </w:p>
        </w:tc>
        <w:tc>
          <w:tcPr>
            <w:tcW w:w="850" w:type="dxa"/>
            <w:tcBorders>
              <w:top w:val="single" w:sz="4" w:space="0" w:color="auto"/>
            </w:tcBorders>
            <w:vAlign w:val="bottom"/>
          </w:tcPr>
          <w:p w14:paraId="2C3A5C90"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11,650</w:t>
            </w:r>
          </w:p>
        </w:tc>
        <w:tc>
          <w:tcPr>
            <w:tcW w:w="851" w:type="dxa"/>
            <w:tcBorders>
              <w:top w:val="single" w:sz="4" w:space="0" w:color="auto"/>
            </w:tcBorders>
            <w:vAlign w:val="bottom"/>
          </w:tcPr>
          <w:p w14:paraId="2C3A5C91"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14,650</w:t>
            </w:r>
          </w:p>
        </w:tc>
        <w:tc>
          <w:tcPr>
            <w:tcW w:w="850" w:type="dxa"/>
            <w:tcBorders>
              <w:top w:val="single" w:sz="4" w:space="0" w:color="auto"/>
            </w:tcBorders>
            <w:vAlign w:val="bottom"/>
          </w:tcPr>
          <w:p w14:paraId="2C3A5C92"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14,450</w:t>
            </w:r>
          </w:p>
        </w:tc>
        <w:tc>
          <w:tcPr>
            <w:tcW w:w="851" w:type="dxa"/>
            <w:tcBorders>
              <w:top w:val="single" w:sz="4" w:space="0" w:color="auto"/>
            </w:tcBorders>
          </w:tcPr>
          <w:p w14:paraId="2C3A5C93" w14:textId="77777777" w:rsidR="008267AC" w:rsidRPr="00DF5C23" w:rsidRDefault="008267AC" w:rsidP="005C61BF">
            <w:pPr>
              <w:spacing w:before="20" w:after="20"/>
              <w:jc w:val="right"/>
              <w:rPr>
                <w:rFonts w:ascii="Arial Narrow" w:hAnsi="Arial Narrow" w:cs="Calibri"/>
                <w:noProof/>
                <w:color w:val="000000"/>
                <w:sz w:val="20"/>
                <w:szCs w:val="20"/>
              </w:rPr>
            </w:pPr>
          </w:p>
        </w:tc>
        <w:tc>
          <w:tcPr>
            <w:tcW w:w="1701" w:type="dxa"/>
            <w:tcBorders>
              <w:top w:val="single" w:sz="4" w:space="0" w:color="auto"/>
              <w:right w:val="single" w:sz="4" w:space="0" w:color="auto"/>
            </w:tcBorders>
            <w:vAlign w:val="bottom"/>
          </w:tcPr>
          <w:p w14:paraId="2C3A5C94" w14:textId="77777777" w:rsidR="005D3B78" w:rsidRPr="00DF5C23" w:rsidRDefault="005D3B78" w:rsidP="005D3B78">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67,250</w:t>
            </w:r>
          </w:p>
          <w:p w14:paraId="2C3A5C95" w14:textId="77777777" w:rsidR="005C61BF" w:rsidRPr="00DF5C23" w:rsidRDefault="005C61BF" w:rsidP="005C61BF">
            <w:pPr>
              <w:spacing w:before="20" w:after="20"/>
              <w:jc w:val="right"/>
              <w:rPr>
                <w:rFonts w:ascii="Arial Narrow" w:hAnsi="Arial Narrow" w:cs="Calibri"/>
                <w:noProof/>
                <w:color w:val="000000"/>
                <w:sz w:val="20"/>
                <w:szCs w:val="20"/>
              </w:rPr>
            </w:pPr>
          </w:p>
        </w:tc>
      </w:tr>
      <w:tr w:rsidR="005C61BF" w:rsidRPr="00DF5C23" w14:paraId="2C3A5CA3" w14:textId="77777777" w:rsidTr="00EC0E40">
        <w:tc>
          <w:tcPr>
            <w:tcW w:w="3960" w:type="dxa"/>
            <w:vMerge/>
            <w:tcBorders>
              <w:top w:val="single" w:sz="4" w:space="0" w:color="FF0000"/>
              <w:left w:val="single" w:sz="4" w:space="0" w:color="auto"/>
              <w:bottom w:val="single" w:sz="4" w:space="0" w:color="FF0000"/>
            </w:tcBorders>
          </w:tcPr>
          <w:p w14:paraId="2C3A5C97" w14:textId="77777777" w:rsidR="005C61BF" w:rsidRPr="00DF5C23" w:rsidRDefault="005C61BF" w:rsidP="005C61BF">
            <w:pPr>
              <w:jc w:val="center"/>
              <w:rPr>
                <w:rFonts w:eastAsia="Calibri"/>
                <w:noProof/>
                <w:sz w:val="20"/>
              </w:rPr>
            </w:pPr>
          </w:p>
        </w:tc>
        <w:tc>
          <w:tcPr>
            <w:tcW w:w="1440" w:type="dxa"/>
            <w:vAlign w:val="center"/>
          </w:tcPr>
          <w:p w14:paraId="2C3A5C98" w14:textId="77777777" w:rsidR="005C61BF" w:rsidRPr="00DF5C23" w:rsidRDefault="005C61BF" w:rsidP="005C61BF">
            <w:pPr>
              <w:spacing w:beforeLines="20" w:before="48" w:afterLines="20" w:after="48"/>
              <w:rPr>
                <w:rFonts w:eastAsia="Calibri"/>
                <w:noProof/>
                <w:sz w:val="18"/>
              </w:rPr>
            </w:pPr>
            <w:r w:rsidRPr="00DF5C23">
              <w:rPr>
                <w:rFonts w:eastAsia="Calibri"/>
                <w:noProof/>
                <w:sz w:val="18"/>
              </w:rPr>
              <w:t>Payments</w:t>
            </w:r>
          </w:p>
        </w:tc>
        <w:tc>
          <w:tcPr>
            <w:tcW w:w="654" w:type="dxa"/>
            <w:vAlign w:val="center"/>
          </w:tcPr>
          <w:p w14:paraId="2C3A5C99"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(5)</w:t>
            </w:r>
          </w:p>
        </w:tc>
        <w:tc>
          <w:tcPr>
            <w:tcW w:w="868" w:type="dxa"/>
            <w:vAlign w:val="bottom"/>
          </w:tcPr>
          <w:p w14:paraId="2C3A5C9A"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2,191</w:t>
            </w:r>
          </w:p>
        </w:tc>
        <w:tc>
          <w:tcPr>
            <w:tcW w:w="951" w:type="dxa"/>
            <w:vAlign w:val="bottom"/>
          </w:tcPr>
          <w:p w14:paraId="2C3A5C9B"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4,769</w:t>
            </w:r>
          </w:p>
        </w:tc>
        <w:tc>
          <w:tcPr>
            <w:tcW w:w="851" w:type="dxa"/>
            <w:vAlign w:val="bottom"/>
          </w:tcPr>
          <w:p w14:paraId="2C3A5C9C"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8,841</w:t>
            </w:r>
          </w:p>
        </w:tc>
        <w:tc>
          <w:tcPr>
            <w:tcW w:w="850" w:type="dxa"/>
            <w:vAlign w:val="bottom"/>
          </w:tcPr>
          <w:p w14:paraId="2C3A5C9D"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10,254</w:t>
            </w:r>
          </w:p>
        </w:tc>
        <w:tc>
          <w:tcPr>
            <w:tcW w:w="851" w:type="dxa"/>
            <w:vAlign w:val="bottom"/>
          </w:tcPr>
          <w:p w14:paraId="2C3A5C9E"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12,110</w:t>
            </w:r>
          </w:p>
        </w:tc>
        <w:tc>
          <w:tcPr>
            <w:tcW w:w="850" w:type="dxa"/>
            <w:vAlign w:val="bottom"/>
          </w:tcPr>
          <w:p w14:paraId="2C3A5C9F" w14:textId="77777777" w:rsidR="005C61BF" w:rsidRPr="00DF5C23" w:rsidRDefault="005D3B78"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13,310</w:t>
            </w:r>
          </w:p>
        </w:tc>
        <w:tc>
          <w:tcPr>
            <w:tcW w:w="851" w:type="dxa"/>
            <w:vAlign w:val="bottom"/>
          </w:tcPr>
          <w:p w14:paraId="2C3A5CA0" w14:textId="77777777" w:rsidR="008267AC" w:rsidRPr="00DF5C23" w:rsidRDefault="008267AC"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15,</w:t>
            </w:r>
            <w:r w:rsidR="005D3B78" w:rsidRPr="00DF5C23">
              <w:rPr>
                <w:rFonts w:ascii="Arial Narrow" w:hAnsi="Arial Narrow" w:cs="Calibri"/>
                <w:noProof/>
                <w:color w:val="000000"/>
                <w:sz w:val="20"/>
                <w:szCs w:val="20"/>
              </w:rPr>
              <w:t>775</w:t>
            </w:r>
          </w:p>
        </w:tc>
        <w:tc>
          <w:tcPr>
            <w:tcW w:w="1701" w:type="dxa"/>
            <w:tcBorders>
              <w:right w:val="single" w:sz="4" w:space="0" w:color="auto"/>
            </w:tcBorders>
            <w:vAlign w:val="bottom"/>
          </w:tcPr>
          <w:p w14:paraId="2C3A5CA1" w14:textId="77777777" w:rsidR="005D3B78" w:rsidRPr="00DF5C23" w:rsidRDefault="005D3B78" w:rsidP="005D3B78">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67,250</w:t>
            </w:r>
          </w:p>
          <w:p w14:paraId="2C3A5CA2" w14:textId="77777777" w:rsidR="005C61BF" w:rsidRPr="00DF5C23" w:rsidRDefault="005C61BF" w:rsidP="005C61BF">
            <w:pPr>
              <w:spacing w:before="20" w:after="20"/>
              <w:jc w:val="right"/>
              <w:rPr>
                <w:rFonts w:ascii="Arial Narrow" w:hAnsi="Arial Narrow" w:cs="Calibri"/>
                <w:noProof/>
                <w:color w:val="000000"/>
                <w:sz w:val="20"/>
                <w:szCs w:val="20"/>
              </w:rPr>
            </w:pPr>
          </w:p>
        </w:tc>
      </w:tr>
      <w:tr w:rsidR="005C61BF" w:rsidRPr="00DF5C23" w14:paraId="2C3A5CAF" w14:textId="77777777" w:rsidTr="008267A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2C3A5CA4" w14:textId="77777777" w:rsidR="005C61BF" w:rsidRPr="00DF5C23" w:rsidRDefault="005C61BF" w:rsidP="005C61BF">
            <w:pPr>
              <w:spacing w:beforeLines="20" w:before="48" w:afterLines="20" w:after="48"/>
              <w:rPr>
                <w:rFonts w:eastAsia="Calibri"/>
                <w:noProof/>
              </w:rPr>
            </w:pPr>
            <w:r w:rsidRPr="00DF5C23">
              <w:rPr>
                <w:rFonts w:eastAsia="Calibri"/>
                <w:noProof/>
                <w:sz w:val="21"/>
              </w:rPr>
              <w:t xml:space="preserve"> TOTAL appropriations of an administrative nature financed from the envelope for specific programmes (all operational headings)</w:t>
            </w:r>
          </w:p>
        </w:tc>
        <w:tc>
          <w:tcPr>
            <w:tcW w:w="654" w:type="dxa"/>
            <w:vAlign w:val="center"/>
          </w:tcPr>
          <w:p w14:paraId="2C3A5CA5" w14:textId="77777777" w:rsidR="005C61BF" w:rsidRPr="00DF5C23" w:rsidRDefault="005C61BF" w:rsidP="005C61BF">
            <w:pPr>
              <w:rPr>
                <w:rFonts w:eastAsia="Calibri"/>
                <w:noProof/>
              </w:rPr>
            </w:pPr>
          </w:p>
          <w:p w14:paraId="2C3A5CA6" w14:textId="77777777" w:rsidR="005C61BF" w:rsidRPr="00DF5C23" w:rsidRDefault="005C61BF" w:rsidP="005C61BF">
            <w:pPr>
              <w:spacing w:beforeLines="20" w:before="48" w:afterLines="20" w:after="48"/>
              <w:jc w:val="center"/>
              <w:rPr>
                <w:rFonts w:eastAsia="Calibri"/>
                <w:noProof/>
                <w:sz w:val="14"/>
              </w:rPr>
            </w:pPr>
            <w:r w:rsidRPr="00DF5C23">
              <w:rPr>
                <w:rFonts w:eastAsia="Calibri"/>
                <w:noProof/>
                <w:sz w:val="14"/>
              </w:rPr>
              <w:t>(6)</w:t>
            </w:r>
          </w:p>
        </w:tc>
        <w:tc>
          <w:tcPr>
            <w:tcW w:w="868" w:type="dxa"/>
            <w:vAlign w:val="center"/>
          </w:tcPr>
          <w:p w14:paraId="2C3A5CA7" w14:textId="77777777" w:rsidR="005C61BF" w:rsidRPr="00DF5C23" w:rsidRDefault="005C61BF" w:rsidP="005C61BF">
            <w:pPr>
              <w:spacing w:before="20" w:after="20"/>
              <w:jc w:val="right"/>
              <w:rPr>
                <w:rFonts w:eastAsia="Calibri"/>
                <w:noProof/>
              </w:rPr>
            </w:pPr>
          </w:p>
        </w:tc>
        <w:tc>
          <w:tcPr>
            <w:tcW w:w="951" w:type="dxa"/>
            <w:vAlign w:val="center"/>
          </w:tcPr>
          <w:p w14:paraId="2C3A5CA8" w14:textId="77777777" w:rsidR="005C61BF" w:rsidRPr="00DF5C23" w:rsidRDefault="005C61BF" w:rsidP="005C61BF">
            <w:pPr>
              <w:spacing w:before="20" w:after="20"/>
              <w:jc w:val="right"/>
              <w:rPr>
                <w:rFonts w:eastAsia="Calibri"/>
                <w:noProof/>
              </w:rPr>
            </w:pPr>
          </w:p>
        </w:tc>
        <w:tc>
          <w:tcPr>
            <w:tcW w:w="851" w:type="dxa"/>
            <w:vAlign w:val="center"/>
          </w:tcPr>
          <w:p w14:paraId="2C3A5CA9" w14:textId="77777777" w:rsidR="005C61BF" w:rsidRPr="00DF5C23" w:rsidRDefault="005C61BF" w:rsidP="005C61BF">
            <w:pPr>
              <w:spacing w:before="20" w:after="20"/>
              <w:jc w:val="right"/>
              <w:rPr>
                <w:rFonts w:eastAsia="Calibri"/>
                <w:noProof/>
              </w:rPr>
            </w:pPr>
          </w:p>
        </w:tc>
        <w:tc>
          <w:tcPr>
            <w:tcW w:w="850" w:type="dxa"/>
            <w:vAlign w:val="center"/>
          </w:tcPr>
          <w:p w14:paraId="2C3A5CAA" w14:textId="77777777" w:rsidR="005C61BF" w:rsidRPr="00DF5C23" w:rsidRDefault="005C61BF" w:rsidP="005C61BF">
            <w:pPr>
              <w:spacing w:before="20" w:after="20"/>
              <w:jc w:val="right"/>
              <w:rPr>
                <w:rFonts w:eastAsia="Calibri"/>
                <w:noProof/>
              </w:rPr>
            </w:pPr>
          </w:p>
        </w:tc>
        <w:tc>
          <w:tcPr>
            <w:tcW w:w="851" w:type="dxa"/>
            <w:vAlign w:val="center"/>
          </w:tcPr>
          <w:p w14:paraId="2C3A5CAB" w14:textId="77777777" w:rsidR="005C61BF" w:rsidRPr="00DF5C23" w:rsidRDefault="005C61BF" w:rsidP="005C61BF">
            <w:pPr>
              <w:spacing w:before="20" w:after="20"/>
              <w:jc w:val="right"/>
              <w:rPr>
                <w:rFonts w:eastAsia="Calibri"/>
                <w:noProof/>
              </w:rPr>
            </w:pPr>
          </w:p>
        </w:tc>
        <w:tc>
          <w:tcPr>
            <w:tcW w:w="850" w:type="dxa"/>
            <w:vAlign w:val="center"/>
          </w:tcPr>
          <w:p w14:paraId="2C3A5CAC" w14:textId="77777777" w:rsidR="005C61BF" w:rsidRPr="00DF5C23" w:rsidRDefault="005C61BF" w:rsidP="005C61BF">
            <w:pPr>
              <w:spacing w:before="20" w:after="20"/>
              <w:jc w:val="right"/>
              <w:rPr>
                <w:rFonts w:eastAsia="Calibri"/>
                <w:noProof/>
              </w:rPr>
            </w:pPr>
          </w:p>
        </w:tc>
        <w:tc>
          <w:tcPr>
            <w:tcW w:w="851" w:type="dxa"/>
          </w:tcPr>
          <w:p w14:paraId="2C3A5CAD" w14:textId="77777777" w:rsidR="008267AC" w:rsidRPr="00DF5C23" w:rsidRDefault="008267AC" w:rsidP="005C61BF">
            <w:pPr>
              <w:spacing w:before="20" w:after="20"/>
              <w:jc w:val="right"/>
              <w:rPr>
                <w:rFonts w:eastAsia="Calibri"/>
                <w:noProof/>
              </w:rPr>
            </w:pPr>
          </w:p>
        </w:tc>
        <w:tc>
          <w:tcPr>
            <w:tcW w:w="1701" w:type="dxa"/>
            <w:vAlign w:val="center"/>
          </w:tcPr>
          <w:p w14:paraId="2C3A5CAE" w14:textId="77777777" w:rsidR="005C61BF" w:rsidRPr="00DF5C23" w:rsidRDefault="005C61BF" w:rsidP="005C61BF">
            <w:pPr>
              <w:spacing w:before="20" w:after="20"/>
              <w:jc w:val="right"/>
              <w:rPr>
                <w:rFonts w:eastAsia="Calibri"/>
                <w:noProof/>
              </w:rPr>
            </w:pPr>
          </w:p>
        </w:tc>
      </w:tr>
      <w:tr w:rsidR="005C61BF" w:rsidRPr="00DF5C23" w14:paraId="2C3A5CBC" w14:textId="77777777" w:rsidTr="008267A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2C3A5CB0" w14:textId="77777777" w:rsidR="005C61BF" w:rsidRPr="00DF5C23" w:rsidRDefault="005C61BF" w:rsidP="005C61BF">
            <w:pPr>
              <w:jc w:val="center"/>
              <w:rPr>
                <w:rFonts w:eastAsia="Calibri"/>
                <w:b/>
                <w:noProof/>
              </w:rPr>
            </w:pPr>
            <w:r w:rsidRPr="00DF5C23">
              <w:rPr>
                <w:rFonts w:eastAsia="Calibri"/>
                <w:b/>
                <w:noProof/>
                <w:sz w:val="22"/>
              </w:rPr>
              <w:t xml:space="preserve">TOTAL appropriations </w:t>
            </w:r>
            <w:r w:rsidRPr="00DF5C23">
              <w:rPr>
                <w:rFonts w:eastAsia="Calibri"/>
                <w:noProof/>
                <w:sz w:val="22"/>
              </w:rPr>
              <w:br/>
            </w:r>
            <w:r w:rsidRPr="00DF5C23">
              <w:rPr>
                <w:rFonts w:eastAsia="Calibri"/>
                <w:b/>
                <w:noProof/>
                <w:sz w:val="22"/>
              </w:rPr>
              <w:t>under HEADINGS 1 to 6</w:t>
            </w:r>
            <w:r w:rsidRPr="00DF5C23">
              <w:rPr>
                <w:rFonts w:eastAsia="Calibri"/>
                <w:noProof/>
                <w:sz w:val="22"/>
              </w:rPr>
              <w:br/>
              <w:t>of the multiannual financial framework</w:t>
            </w:r>
            <w:r w:rsidRPr="00DF5C23">
              <w:rPr>
                <w:rFonts w:eastAsia="Calibri"/>
                <w:noProof/>
                <w:sz w:val="22"/>
              </w:rPr>
              <w:br/>
            </w:r>
            <w:r w:rsidRPr="00DF5C23">
              <w:rPr>
                <w:rFonts w:eastAsia="Calibri"/>
                <w:noProof/>
                <w:sz w:val="20"/>
              </w:rPr>
              <w:t>(Reference amount)</w:t>
            </w:r>
          </w:p>
        </w:tc>
        <w:tc>
          <w:tcPr>
            <w:tcW w:w="1440" w:type="dxa"/>
            <w:vAlign w:val="center"/>
          </w:tcPr>
          <w:p w14:paraId="2C3A5CB1" w14:textId="77777777" w:rsidR="005C61BF" w:rsidRPr="00DF5C23" w:rsidRDefault="005C61BF" w:rsidP="005C61BF">
            <w:pPr>
              <w:rPr>
                <w:rFonts w:eastAsia="Calibri"/>
                <w:noProof/>
                <w:sz w:val="18"/>
              </w:rPr>
            </w:pPr>
            <w:r w:rsidRPr="00DF5C23">
              <w:rPr>
                <w:rFonts w:eastAsia="Calibri"/>
                <w:noProof/>
                <w:sz w:val="18"/>
              </w:rPr>
              <w:t>Commitments</w:t>
            </w:r>
          </w:p>
        </w:tc>
        <w:tc>
          <w:tcPr>
            <w:tcW w:w="654" w:type="dxa"/>
            <w:vAlign w:val="center"/>
          </w:tcPr>
          <w:p w14:paraId="2C3A5CB2" w14:textId="77777777" w:rsidR="005C61BF" w:rsidRPr="00DF5C23" w:rsidRDefault="005C61BF" w:rsidP="005C61BF">
            <w:pPr>
              <w:jc w:val="center"/>
              <w:rPr>
                <w:rFonts w:eastAsia="Calibri"/>
                <w:noProof/>
                <w:sz w:val="14"/>
              </w:rPr>
            </w:pPr>
            <w:r w:rsidRPr="00DF5C23">
              <w:rPr>
                <w:rFonts w:eastAsia="Calibri"/>
                <w:noProof/>
                <w:sz w:val="14"/>
              </w:rPr>
              <w:t>=4+ 6</w:t>
            </w:r>
          </w:p>
        </w:tc>
        <w:tc>
          <w:tcPr>
            <w:tcW w:w="868" w:type="dxa"/>
            <w:vAlign w:val="bottom"/>
          </w:tcPr>
          <w:p w14:paraId="2C3A5CB3"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7,300</w:t>
            </w:r>
          </w:p>
        </w:tc>
        <w:tc>
          <w:tcPr>
            <w:tcW w:w="951" w:type="dxa"/>
            <w:vAlign w:val="bottom"/>
          </w:tcPr>
          <w:p w14:paraId="2C3A5CB4"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8,600</w:t>
            </w:r>
          </w:p>
        </w:tc>
        <w:tc>
          <w:tcPr>
            <w:tcW w:w="851" w:type="dxa"/>
            <w:vAlign w:val="bottom"/>
          </w:tcPr>
          <w:p w14:paraId="2C3A5CB5"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10,600</w:t>
            </w:r>
          </w:p>
        </w:tc>
        <w:tc>
          <w:tcPr>
            <w:tcW w:w="850" w:type="dxa"/>
            <w:vAlign w:val="bottom"/>
          </w:tcPr>
          <w:p w14:paraId="2C3A5CB6"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11,650</w:t>
            </w:r>
          </w:p>
        </w:tc>
        <w:tc>
          <w:tcPr>
            <w:tcW w:w="851" w:type="dxa"/>
            <w:vAlign w:val="bottom"/>
          </w:tcPr>
          <w:p w14:paraId="2C3A5CB7"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14,650</w:t>
            </w:r>
          </w:p>
        </w:tc>
        <w:tc>
          <w:tcPr>
            <w:tcW w:w="850" w:type="dxa"/>
            <w:vAlign w:val="bottom"/>
          </w:tcPr>
          <w:p w14:paraId="2C3A5CB8"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14,450</w:t>
            </w:r>
          </w:p>
        </w:tc>
        <w:tc>
          <w:tcPr>
            <w:tcW w:w="851" w:type="dxa"/>
          </w:tcPr>
          <w:p w14:paraId="2C3A5CB9" w14:textId="77777777" w:rsidR="008267AC" w:rsidRPr="00DF5C23" w:rsidRDefault="008267AC" w:rsidP="005C61BF">
            <w:pPr>
              <w:spacing w:before="20" w:after="20"/>
              <w:jc w:val="right"/>
              <w:rPr>
                <w:rFonts w:ascii="Arial Narrow" w:hAnsi="Arial Narrow" w:cs="Calibri"/>
                <w:noProof/>
                <w:color w:val="000000"/>
                <w:sz w:val="20"/>
                <w:szCs w:val="20"/>
              </w:rPr>
            </w:pPr>
          </w:p>
        </w:tc>
        <w:tc>
          <w:tcPr>
            <w:tcW w:w="1701" w:type="dxa"/>
            <w:tcBorders>
              <w:right w:val="single" w:sz="4" w:space="0" w:color="auto"/>
            </w:tcBorders>
            <w:vAlign w:val="bottom"/>
          </w:tcPr>
          <w:p w14:paraId="2C3A5CBA" w14:textId="77777777" w:rsidR="005D3B78" w:rsidRPr="00DF5C23" w:rsidRDefault="005D3B78" w:rsidP="005D3B78">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67,250</w:t>
            </w:r>
          </w:p>
          <w:p w14:paraId="2C3A5CBB" w14:textId="77777777" w:rsidR="005C61BF" w:rsidRPr="00DF5C23" w:rsidRDefault="005C61BF" w:rsidP="005C61BF">
            <w:pPr>
              <w:spacing w:before="20" w:after="20"/>
              <w:jc w:val="right"/>
              <w:rPr>
                <w:rFonts w:eastAsia="Calibri"/>
                <w:noProof/>
              </w:rPr>
            </w:pPr>
          </w:p>
        </w:tc>
      </w:tr>
      <w:tr w:rsidR="005C61BF" w:rsidRPr="00DF5C23" w14:paraId="2C3A5CC9" w14:textId="77777777" w:rsidTr="00EC0E40">
        <w:tc>
          <w:tcPr>
            <w:tcW w:w="3960" w:type="dxa"/>
            <w:vMerge/>
            <w:tcBorders>
              <w:top w:val="single" w:sz="4" w:space="0" w:color="FF0000"/>
              <w:left w:val="single" w:sz="4" w:space="0" w:color="auto"/>
              <w:bottom w:val="single" w:sz="4" w:space="0" w:color="auto"/>
            </w:tcBorders>
            <w:shd w:val="thinDiagStripe" w:color="C0C0C0" w:fill="auto"/>
          </w:tcPr>
          <w:p w14:paraId="2C3A5CBD" w14:textId="77777777" w:rsidR="005C61BF" w:rsidRPr="00DF5C23" w:rsidRDefault="005C61BF" w:rsidP="005C61BF">
            <w:pPr>
              <w:rPr>
                <w:rFonts w:eastAsia="Calibri"/>
                <w:noProof/>
                <w:sz w:val="20"/>
              </w:rPr>
            </w:pPr>
          </w:p>
        </w:tc>
        <w:tc>
          <w:tcPr>
            <w:tcW w:w="1440" w:type="dxa"/>
            <w:tcBorders>
              <w:bottom w:val="single" w:sz="4" w:space="0" w:color="auto"/>
            </w:tcBorders>
            <w:vAlign w:val="center"/>
          </w:tcPr>
          <w:p w14:paraId="2C3A5CBE" w14:textId="77777777" w:rsidR="005C61BF" w:rsidRPr="00DF5C23" w:rsidRDefault="005C61BF" w:rsidP="005C61BF">
            <w:pPr>
              <w:rPr>
                <w:rFonts w:eastAsia="Calibri"/>
                <w:noProof/>
                <w:sz w:val="18"/>
              </w:rPr>
            </w:pPr>
            <w:r w:rsidRPr="00DF5C23">
              <w:rPr>
                <w:rFonts w:eastAsia="Calibri"/>
                <w:noProof/>
                <w:sz w:val="18"/>
              </w:rPr>
              <w:t>Payments</w:t>
            </w:r>
          </w:p>
        </w:tc>
        <w:tc>
          <w:tcPr>
            <w:tcW w:w="654" w:type="dxa"/>
            <w:tcBorders>
              <w:bottom w:val="single" w:sz="4" w:space="0" w:color="auto"/>
            </w:tcBorders>
            <w:vAlign w:val="center"/>
          </w:tcPr>
          <w:p w14:paraId="2C3A5CBF" w14:textId="77777777" w:rsidR="005C61BF" w:rsidRPr="00DF5C23" w:rsidRDefault="005C61BF" w:rsidP="005C61BF">
            <w:pPr>
              <w:jc w:val="center"/>
              <w:rPr>
                <w:rFonts w:eastAsia="Calibri"/>
                <w:noProof/>
                <w:sz w:val="14"/>
              </w:rPr>
            </w:pPr>
            <w:r w:rsidRPr="00DF5C23">
              <w:rPr>
                <w:rFonts w:eastAsia="Calibri"/>
                <w:noProof/>
                <w:sz w:val="14"/>
              </w:rPr>
              <w:t>=5+ 6</w:t>
            </w:r>
          </w:p>
        </w:tc>
        <w:tc>
          <w:tcPr>
            <w:tcW w:w="868" w:type="dxa"/>
            <w:tcBorders>
              <w:bottom w:val="single" w:sz="4" w:space="0" w:color="auto"/>
            </w:tcBorders>
            <w:vAlign w:val="bottom"/>
          </w:tcPr>
          <w:p w14:paraId="2C3A5CC0"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2,191</w:t>
            </w:r>
          </w:p>
        </w:tc>
        <w:tc>
          <w:tcPr>
            <w:tcW w:w="951" w:type="dxa"/>
            <w:tcBorders>
              <w:bottom w:val="single" w:sz="4" w:space="0" w:color="auto"/>
            </w:tcBorders>
            <w:vAlign w:val="bottom"/>
          </w:tcPr>
          <w:p w14:paraId="2C3A5CC1"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4,769</w:t>
            </w:r>
          </w:p>
        </w:tc>
        <w:tc>
          <w:tcPr>
            <w:tcW w:w="851" w:type="dxa"/>
            <w:tcBorders>
              <w:bottom w:val="single" w:sz="4" w:space="0" w:color="auto"/>
            </w:tcBorders>
            <w:vAlign w:val="bottom"/>
          </w:tcPr>
          <w:p w14:paraId="2C3A5CC2"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8,841</w:t>
            </w:r>
          </w:p>
        </w:tc>
        <w:tc>
          <w:tcPr>
            <w:tcW w:w="850" w:type="dxa"/>
            <w:tcBorders>
              <w:bottom w:val="single" w:sz="4" w:space="0" w:color="auto"/>
            </w:tcBorders>
            <w:vAlign w:val="bottom"/>
          </w:tcPr>
          <w:p w14:paraId="2C3A5CC3"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10,254</w:t>
            </w:r>
          </w:p>
        </w:tc>
        <w:tc>
          <w:tcPr>
            <w:tcW w:w="851" w:type="dxa"/>
            <w:tcBorders>
              <w:bottom w:val="single" w:sz="4" w:space="0" w:color="auto"/>
            </w:tcBorders>
            <w:vAlign w:val="bottom"/>
          </w:tcPr>
          <w:p w14:paraId="2C3A5CC4"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12,110</w:t>
            </w:r>
          </w:p>
        </w:tc>
        <w:tc>
          <w:tcPr>
            <w:tcW w:w="850" w:type="dxa"/>
            <w:tcBorders>
              <w:bottom w:val="single" w:sz="4" w:space="0" w:color="auto"/>
            </w:tcBorders>
            <w:vAlign w:val="bottom"/>
          </w:tcPr>
          <w:p w14:paraId="2C3A5CC5" w14:textId="77777777" w:rsidR="005C61BF" w:rsidRPr="00DF5C23" w:rsidRDefault="005D3B78" w:rsidP="005C61BF">
            <w:pPr>
              <w:spacing w:before="20" w:after="20"/>
              <w:jc w:val="right"/>
              <w:rPr>
                <w:rFonts w:eastAsia="Calibri"/>
                <w:noProof/>
              </w:rPr>
            </w:pPr>
            <w:r w:rsidRPr="00DF5C23">
              <w:rPr>
                <w:rFonts w:ascii="Arial Narrow" w:hAnsi="Arial Narrow" w:cs="Calibri"/>
                <w:noProof/>
                <w:color w:val="000000"/>
                <w:sz w:val="20"/>
                <w:szCs w:val="20"/>
              </w:rPr>
              <w:t>13,310</w:t>
            </w:r>
          </w:p>
        </w:tc>
        <w:tc>
          <w:tcPr>
            <w:tcW w:w="851" w:type="dxa"/>
            <w:tcBorders>
              <w:bottom w:val="single" w:sz="4" w:space="0" w:color="auto"/>
            </w:tcBorders>
            <w:vAlign w:val="bottom"/>
          </w:tcPr>
          <w:p w14:paraId="2C3A5CC6" w14:textId="77777777" w:rsidR="008267AC" w:rsidRPr="00DF5C23" w:rsidRDefault="008267AC" w:rsidP="005C61BF">
            <w:pPr>
              <w:spacing w:before="20" w:after="20"/>
              <w:jc w:val="right"/>
              <w:rPr>
                <w:rFonts w:ascii="Arial Narrow" w:hAnsi="Arial Narrow" w:cs="Calibri"/>
                <w:noProof/>
                <w:color w:val="000000"/>
                <w:sz w:val="20"/>
                <w:szCs w:val="20"/>
              </w:rPr>
            </w:pPr>
            <w:r w:rsidRPr="00DF5C23">
              <w:rPr>
                <w:rFonts w:ascii="Arial Narrow" w:hAnsi="Arial Narrow" w:cs="Calibri"/>
                <w:noProof/>
                <w:color w:val="000000"/>
                <w:sz w:val="20"/>
                <w:szCs w:val="20"/>
              </w:rPr>
              <w:t>15,</w:t>
            </w:r>
            <w:r w:rsidR="005D3B78" w:rsidRPr="00DF5C23">
              <w:rPr>
                <w:rFonts w:ascii="Arial Narrow" w:hAnsi="Arial Narrow" w:cs="Calibri"/>
                <w:noProof/>
                <w:color w:val="000000"/>
                <w:sz w:val="20"/>
                <w:szCs w:val="20"/>
              </w:rPr>
              <w:t>775</w:t>
            </w:r>
          </w:p>
        </w:tc>
        <w:tc>
          <w:tcPr>
            <w:tcW w:w="1701" w:type="dxa"/>
            <w:tcBorders>
              <w:bottom w:val="single" w:sz="4" w:space="0" w:color="auto"/>
              <w:right w:val="single" w:sz="4" w:space="0" w:color="auto"/>
            </w:tcBorders>
            <w:vAlign w:val="bottom"/>
          </w:tcPr>
          <w:p w14:paraId="2C3A5CC7" w14:textId="77777777" w:rsidR="005D3B78" w:rsidRPr="00DF5C23" w:rsidRDefault="005D3B78" w:rsidP="005D3B78">
            <w:pPr>
              <w:spacing w:before="0" w:after="0"/>
              <w:jc w:val="right"/>
              <w:rPr>
                <w:rFonts w:ascii="Arial Narrow" w:hAnsi="Arial Narrow" w:cs="Calibri"/>
                <w:noProof/>
                <w:color w:val="000000"/>
                <w:sz w:val="20"/>
                <w:szCs w:val="20"/>
              </w:rPr>
            </w:pPr>
            <w:r w:rsidRPr="00DF5C23">
              <w:rPr>
                <w:rFonts w:ascii="Arial Narrow" w:hAnsi="Arial Narrow" w:cs="Calibri"/>
                <w:noProof/>
                <w:color w:val="000000"/>
                <w:sz w:val="20"/>
                <w:szCs w:val="20"/>
              </w:rPr>
              <w:t>67,250</w:t>
            </w:r>
          </w:p>
          <w:p w14:paraId="2C3A5CC8" w14:textId="77777777" w:rsidR="005C61BF" w:rsidRPr="00DF5C23" w:rsidRDefault="005C61BF" w:rsidP="005C61BF">
            <w:pPr>
              <w:spacing w:before="20" w:after="20"/>
              <w:jc w:val="right"/>
              <w:rPr>
                <w:rFonts w:eastAsia="Calibri"/>
                <w:noProof/>
              </w:rPr>
            </w:pPr>
          </w:p>
        </w:tc>
      </w:tr>
    </w:tbl>
    <w:p w14:paraId="2C3A5CCA" w14:textId="77777777" w:rsidR="00BF1765" w:rsidRPr="00DF5C23" w:rsidRDefault="00BF1765" w:rsidP="00BF1765">
      <w:pPr>
        <w:rPr>
          <w:rFonts w:eastAsia="Calibri"/>
          <w:noProof/>
        </w:rPr>
      </w:pPr>
    </w:p>
    <w:p w14:paraId="2C3A5CCB" w14:textId="77777777" w:rsidR="00BF1765" w:rsidRPr="00DF5C23" w:rsidRDefault="00BF1765" w:rsidP="00BF1765">
      <w:pPr>
        <w:spacing w:before="0" w:after="0"/>
        <w:jc w:val="left"/>
        <w:rPr>
          <w:rFonts w:eastAsia="Calibri"/>
          <w:noProof/>
        </w:rPr>
      </w:pPr>
      <w:r w:rsidRPr="00DF5C23">
        <w:rPr>
          <w:rFonts w:eastAsia="Calibri"/>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1765" w:rsidRPr="00DF5C23" w14:paraId="2C3A5CCF" w14:textId="77777777" w:rsidTr="00743354">
        <w:trPr>
          <w:jc w:val="center"/>
        </w:trPr>
        <w:tc>
          <w:tcPr>
            <w:tcW w:w="4744" w:type="dxa"/>
            <w:shd w:val="thinDiagStripe" w:color="C0C0C0" w:fill="auto"/>
            <w:vAlign w:val="center"/>
          </w:tcPr>
          <w:p w14:paraId="2C3A5CCC" w14:textId="77777777" w:rsidR="00BF1765" w:rsidRPr="00DF5C23" w:rsidRDefault="00BF1765" w:rsidP="00BF1765">
            <w:pPr>
              <w:spacing w:before="60" w:after="60"/>
              <w:jc w:val="center"/>
              <w:rPr>
                <w:rFonts w:eastAsia="Calibri"/>
                <w:b/>
                <w:noProof/>
              </w:rPr>
            </w:pPr>
            <w:r w:rsidRPr="00DF5C23">
              <w:rPr>
                <w:rFonts w:eastAsia="Calibri"/>
                <w:noProof/>
                <w:sz w:val="22"/>
              </w:rPr>
              <w:br w:type="page"/>
            </w:r>
            <w:r w:rsidRPr="00DF5C23">
              <w:rPr>
                <w:rFonts w:eastAsia="Calibri"/>
                <w:b/>
                <w:noProof/>
                <w:sz w:val="22"/>
              </w:rPr>
              <w:t xml:space="preserve">Heading of multiannual financial </w:t>
            </w:r>
            <w:r w:rsidRPr="00DF5C23">
              <w:rPr>
                <w:rFonts w:eastAsia="Calibri"/>
                <w:noProof/>
                <w:sz w:val="22"/>
              </w:rPr>
              <w:br/>
            </w:r>
            <w:r w:rsidRPr="00DF5C23">
              <w:rPr>
                <w:rFonts w:eastAsia="Calibri"/>
                <w:b/>
                <w:noProof/>
                <w:sz w:val="22"/>
              </w:rPr>
              <w:t xml:space="preserve">framework </w:t>
            </w:r>
          </w:p>
        </w:tc>
        <w:tc>
          <w:tcPr>
            <w:tcW w:w="1080" w:type="dxa"/>
            <w:shd w:val="thinDiagStripe" w:color="C0C0C0" w:fill="auto"/>
            <w:vAlign w:val="center"/>
          </w:tcPr>
          <w:p w14:paraId="2C3A5CCD" w14:textId="77777777" w:rsidR="00BF1765" w:rsidRPr="00DF5C23" w:rsidRDefault="00BF1765" w:rsidP="00BF1765">
            <w:pPr>
              <w:spacing w:before="60" w:after="60"/>
              <w:jc w:val="center"/>
              <w:rPr>
                <w:rFonts w:eastAsia="Calibri"/>
                <w:noProof/>
              </w:rPr>
            </w:pPr>
            <w:r w:rsidRPr="00DF5C23">
              <w:rPr>
                <w:rFonts w:eastAsia="Calibri"/>
                <w:b/>
                <w:noProof/>
                <w:sz w:val="22"/>
              </w:rPr>
              <w:t>7</w:t>
            </w:r>
          </w:p>
        </w:tc>
        <w:tc>
          <w:tcPr>
            <w:tcW w:w="7817" w:type="dxa"/>
            <w:vAlign w:val="center"/>
          </w:tcPr>
          <w:p w14:paraId="2C3A5CCE" w14:textId="77777777" w:rsidR="00BF1765" w:rsidRPr="00DF5C23" w:rsidRDefault="00BF1765" w:rsidP="00BF1765">
            <w:pPr>
              <w:spacing w:before="60" w:after="60"/>
              <w:rPr>
                <w:rFonts w:eastAsia="Calibri"/>
                <w:noProof/>
              </w:rPr>
            </w:pPr>
            <w:r w:rsidRPr="00DF5C23">
              <w:rPr>
                <w:rFonts w:eastAsia="Calibri"/>
                <w:noProof/>
                <w:sz w:val="22"/>
              </w:rPr>
              <w:t>‘Administrative expenditure’</w:t>
            </w:r>
          </w:p>
        </w:tc>
      </w:tr>
    </w:tbl>
    <w:p w14:paraId="2C3A5CD0" w14:textId="77777777" w:rsidR="00BF1765" w:rsidRPr="00DF5C23" w:rsidRDefault="00BF1765" w:rsidP="00BF1765">
      <w:pPr>
        <w:jc w:val="left"/>
        <w:rPr>
          <w:rFonts w:eastAsia="Calibri"/>
          <w:noProof/>
          <w:sz w:val="20"/>
          <w:szCs w:val="20"/>
        </w:rPr>
      </w:pPr>
      <w:r w:rsidRPr="00DF5C23">
        <w:rPr>
          <w:rFonts w:eastAsia="Calibri"/>
          <w:noProof/>
        </w:rPr>
        <w:t xml:space="preserve">This section should be filled in using the 'budget data of an administrative nature' to be firstly introduced in the </w:t>
      </w:r>
      <w:hyperlink r:id="rId15" w:history="1">
        <w:r w:rsidRPr="00DF5C23">
          <w:rPr>
            <w:rFonts w:eastAsia="Calibri"/>
            <w:noProof/>
            <w:color w:val="0000FF"/>
            <w:u w:val="single"/>
          </w:rPr>
          <w:t>Annex to the Legislative Financial Statement</w:t>
        </w:r>
      </w:hyperlink>
      <w:r w:rsidRPr="00DF5C23">
        <w:rPr>
          <w:rFonts w:eastAsia="Calibri"/>
          <w:noProof/>
        </w:rPr>
        <w:t xml:space="preserve"> (Annex V to the internal rules), which is uploaded to DECIDE for interservice consultation purposes.</w:t>
      </w:r>
    </w:p>
    <w:p w14:paraId="2C3A5CD1" w14:textId="77777777" w:rsidR="00BF1765" w:rsidRPr="00DF5C23" w:rsidRDefault="00BF1765" w:rsidP="00BF1765">
      <w:pPr>
        <w:jc w:val="right"/>
        <w:rPr>
          <w:rFonts w:eastAsia="Calibri"/>
          <w:noProof/>
          <w:sz w:val="20"/>
        </w:rPr>
      </w:pPr>
      <w:r w:rsidRPr="00DF5C23">
        <w:rPr>
          <w:rFonts w:eastAsia="Calibri"/>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448"/>
        <w:gridCol w:w="1418"/>
      </w:tblGrid>
      <w:tr w:rsidR="005C61BF" w:rsidRPr="00DF5C23" w14:paraId="2C3A5CDC" w14:textId="77777777" w:rsidTr="009C47CC">
        <w:tc>
          <w:tcPr>
            <w:tcW w:w="3960" w:type="dxa"/>
            <w:tcBorders>
              <w:top w:val="nil"/>
              <w:left w:val="nil"/>
              <w:right w:val="nil"/>
            </w:tcBorders>
            <w:vAlign w:val="center"/>
          </w:tcPr>
          <w:p w14:paraId="2C3A5CD2" w14:textId="77777777" w:rsidR="005C61BF" w:rsidRPr="00DF5C23" w:rsidRDefault="005C61BF" w:rsidP="009C47CC">
            <w:pPr>
              <w:jc w:val="center"/>
              <w:rPr>
                <w:noProof/>
              </w:rPr>
            </w:pPr>
          </w:p>
        </w:tc>
        <w:tc>
          <w:tcPr>
            <w:tcW w:w="1560" w:type="dxa"/>
            <w:tcBorders>
              <w:top w:val="nil"/>
              <w:left w:val="nil"/>
              <w:right w:val="nil"/>
            </w:tcBorders>
          </w:tcPr>
          <w:p w14:paraId="2C3A5CD3" w14:textId="77777777" w:rsidR="005C61BF" w:rsidRPr="00DF5C23" w:rsidRDefault="005C61BF" w:rsidP="009C47CC">
            <w:pPr>
              <w:rPr>
                <w:noProof/>
                <w:sz w:val="20"/>
              </w:rPr>
            </w:pPr>
          </w:p>
        </w:tc>
        <w:tc>
          <w:tcPr>
            <w:tcW w:w="534" w:type="dxa"/>
            <w:tcBorders>
              <w:top w:val="nil"/>
              <w:left w:val="nil"/>
            </w:tcBorders>
          </w:tcPr>
          <w:p w14:paraId="2C3A5CD4" w14:textId="77777777" w:rsidR="005C61BF" w:rsidRPr="00DF5C23" w:rsidRDefault="005C61BF" w:rsidP="009C47CC">
            <w:pPr>
              <w:jc w:val="center"/>
              <w:rPr>
                <w:noProof/>
                <w:sz w:val="20"/>
              </w:rPr>
            </w:pPr>
          </w:p>
        </w:tc>
        <w:tc>
          <w:tcPr>
            <w:tcW w:w="868" w:type="dxa"/>
            <w:vAlign w:val="center"/>
          </w:tcPr>
          <w:p w14:paraId="2C3A5CD5" w14:textId="77777777" w:rsidR="005C61BF" w:rsidRPr="00DF5C23" w:rsidRDefault="005C61BF" w:rsidP="009C47CC">
            <w:pPr>
              <w:jc w:val="center"/>
              <w:rPr>
                <w:noProof/>
                <w:sz w:val="20"/>
              </w:rPr>
            </w:pPr>
            <w:r w:rsidRPr="00DF5C23">
              <w:rPr>
                <w:noProof/>
                <w:sz w:val="20"/>
                <w:szCs w:val="20"/>
              </w:rPr>
              <w:t>Year</w:t>
            </w:r>
            <w:r w:rsidRPr="00DF5C23">
              <w:rPr>
                <w:noProof/>
                <w:sz w:val="22"/>
              </w:rPr>
              <w:br/>
            </w:r>
            <w:r w:rsidRPr="00DF5C23">
              <w:rPr>
                <w:b/>
                <w:bCs/>
                <w:noProof/>
                <w:sz w:val="20"/>
                <w:szCs w:val="20"/>
              </w:rPr>
              <w:t>2022</w:t>
            </w:r>
          </w:p>
        </w:tc>
        <w:tc>
          <w:tcPr>
            <w:tcW w:w="868" w:type="dxa"/>
            <w:vAlign w:val="center"/>
          </w:tcPr>
          <w:p w14:paraId="2C3A5CD6"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2023</w:t>
            </w:r>
          </w:p>
        </w:tc>
        <w:tc>
          <w:tcPr>
            <w:tcW w:w="868" w:type="dxa"/>
            <w:vAlign w:val="center"/>
          </w:tcPr>
          <w:p w14:paraId="2C3A5CD7"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2024</w:t>
            </w:r>
          </w:p>
        </w:tc>
        <w:tc>
          <w:tcPr>
            <w:tcW w:w="868" w:type="dxa"/>
            <w:vAlign w:val="center"/>
          </w:tcPr>
          <w:p w14:paraId="2C3A5CD8"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2025</w:t>
            </w:r>
          </w:p>
        </w:tc>
        <w:tc>
          <w:tcPr>
            <w:tcW w:w="868" w:type="dxa"/>
            <w:vAlign w:val="center"/>
          </w:tcPr>
          <w:p w14:paraId="2C3A5CD9"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2026</w:t>
            </w:r>
          </w:p>
        </w:tc>
        <w:tc>
          <w:tcPr>
            <w:tcW w:w="1448" w:type="dxa"/>
            <w:vAlign w:val="center"/>
          </w:tcPr>
          <w:p w14:paraId="2C3A5CDA"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 xml:space="preserve">2027 </w:t>
            </w:r>
          </w:p>
        </w:tc>
        <w:tc>
          <w:tcPr>
            <w:tcW w:w="1418" w:type="dxa"/>
            <w:vAlign w:val="center"/>
          </w:tcPr>
          <w:p w14:paraId="2C3A5CDB" w14:textId="77777777" w:rsidR="005C61BF" w:rsidRPr="00DF5C23" w:rsidRDefault="005C61BF" w:rsidP="009C47CC">
            <w:pPr>
              <w:jc w:val="center"/>
              <w:rPr>
                <w:b/>
                <w:noProof/>
                <w:sz w:val="20"/>
              </w:rPr>
            </w:pPr>
            <w:r w:rsidRPr="00DF5C23">
              <w:rPr>
                <w:b/>
                <w:noProof/>
                <w:sz w:val="20"/>
              </w:rPr>
              <w:t>TOTAL</w:t>
            </w:r>
          </w:p>
        </w:tc>
      </w:tr>
      <w:tr w:rsidR="005C61BF" w:rsidRPr="00DF5C23" w14:paraId="2C3A5CDE" w14:textId="77777777" w:rsidTr="009C47CC">
        <w:trPr>
          <w:gridAfter w:val="9"/>
          <w:wAfter w:w="9300" w:type="dxa"/>
        </w:trPr>
        <w:tc>
          <w:tcPr>
            <w:tcW w:w="3960" w:type="dxa"/>
            <w:vAlign w:val="center"/>
          </w:tcPr>
          <w:p w14:paraId="2C3A5CDD" w14:textId="77777777" w:rsidR="005C61BF" w:rsidRPr="00DF5C23" w:rsidRDefault="005C61BF" w:rsidP="009C47CC">
            <w:pPr>
              <w:spacing w:before="60" w:after="60"/>
              <w:jc w:val="center"/>
              <w:rPr>
                <w:noProof/>
              </w:rPr>
            </w:pPr>
            <w:r w:rsidRPr="00DF5C23">
              <w:rPr>
                <w:noProof/>
                <w:sz w:val="22"/>
              </w:rPr>
              <w:t>DG: GROW</w:t>
            </w:r>
          </w:p>
        </w:tc>
      </w:tr>
      <w:tr w:rsidR="005C61BF" w:rsidRPr="00DF5C23" w14:paraId="2C3A5CE7" w14:textId="77777777" w:rsidTr="009C47CC">
        <w:trPr>
          <w:trHeight w:val="313"/>
        </w:trPr>
        <w:tc>
          <w:tcPr>
            <w:tcW w:w="6054" w:type="dxa"/>
            <w:gridSpan w:val="3"/>
            <w:vAlign w:val="center"/>
          </w:tcPr>
          <w:p w14:paraId="2C3A5CDF"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Human resources </w:t>
            </w:r>
          </w:p>
        </w:tc>
        <w:tc>
          <w:tcPr>
            <w:tcW w:w="868" w:type="dxa"/>
            <w:vAlign w:val="bottom"/>
          </w:tcPr>
          <w:p w14:paraId="2C3A5CE0"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0,383</w:t>
            </w:r>
          </w:p>
        </w:tc>
        <w:tc>
          <w:tcPr>
            <w:tcW w:w="868" w:type="dxa"/>
            <w:vAlign w:val="bottom"/>
          </w:tcPr>
          <w:p w14:paraId="2C3A5CE1"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1,740</w:t>
            </w:r>
          </w:p>
        </w:tc>
        <w:tc>
          <w:tcPr>
            <w:tcW w:w="868" w:type="dxa"/>
            <w:vAlign w:val="bottom"/>
          </w:tcPr>
          <w:p w14:paraId="2C3A5CE2"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2,325</w:t>
            </w:r>
          </w:p>
        </w:tc>
        <w:tc>
          <w:tcPr>
            <w:tcW w:w="868" w:type="dxa"/>
            <w:vAlign w:val="bottom"/>
          </w:tcPr>
          <w:p w14:paraId="2C3A5CE3"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2,469</w:t>
            </w:r>
          </w:p>
        </w:tc>
        <w:tc>
          <w:tcPr>
            <w:tcW w:w="868" w:type="dxa"/>
            <w:vAlign w:val="bottom"/>
          </w:tcPr>
          <w:p w14:paraId="2C3A5CE4"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2,541</w:t>
            </w:r>
          </w:p>
        </w:tc>
        <w:tc>
          <w:tcPr>
            <w:tcW w:w="1448" w:type="dxa"/>
            <w:vAlign w:val="bottom"/>
          </w:tcPr>
          <w:p w14:paraId="2C3A5CE5" w14:textId="77777777" w:rsidR="005C61BF" w:rsidRPr="00DF5C23" w:rsidRDefault="000073B9" w:rsidP="009C47CC">
            <w:pPr>
              <w:spacing w:before="20" w:after="20"/>
              <w:jc w:val="right"/>
              <w:rPr>
                <w:noProof/>
                <w:sz w:val="20"/>
              </w:rPr>
            </w:pPr>
            <w:r w:rsidRPr="00DF5C23">
              <w:rPr>
                <w:rFonts w:ascii="Calibri" w:hAnsi="Calibri" w:cs="Calibri"/>
                <w:noProof/>
                <w:color w:val="000000"/>
                <w:sz w:val="22"/>
              </w:rPr>
              <w:t>2,656</w:t>
            </w:r>
          </w:p>
        </w:tc>
        <w:tc>
          <w:tcPr>
            <w:tcW w:w="1418" w:type="dxa"/>
            <w:vAlign w:val="bottom"/>
          </w:tcPr>
          <w:p w14:paraId="2C3A5CE6" w14:textId="77777777" w:rsidR="005C61BF" w:rsidRPr="00DF5C23" w:rsidRDefault="000073B9" w:rsidP="009C47CC">
            <w:pPr>
              <w:spacing w:before="20" w:after="20"/>
              <w:jc w:val="right"/>
              <w:rPr>
                <w:b/>
                <w:noProof/>
                <w:sz w:val="20"/>
              </w:rPr>
            </w:pPr>
            <w:r w:rsidRPr="00DF5C23">
              <w:rPr>
                <w:rFonts w:ascii="Calibri" w:hAnsi="Calibri" w:cs="Calibri"/>
                <w:noProof/>
                <w:color w:val="FF0000"/>
                <w:sz w:val="22"/>
              </w:rPr>
              <w:t>12,113</w:t>
            </w:r>
          </w:p>
        </w:tc>
      </w:tr>
      <w:tr w:rsidR="005C61BF" w:rsidRPr="00DF5C23" w14:paraId="2C3A5CF0" w14:textId="77777777" w:rsidTr="009C47CC">
        <w:trPr>
          <w:trHeight w:val="351"/>
        </w:trPr>
        <w:tc>
          <w:tcPr>
            <w:tcW w:w="6054" w:type="dxa"/>
            <w:gridSpan w:val="3"/>
            <w:vAlign w:val="center"/>
          </w:tcPr>
          <w:p w14:paraId="2C3A5CE8"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Other administrative expenditure </w:t>
            </w:r>
          </w:p>
        </w:tc>
        <w:tc>
          <w:tcPr>
            <w:tcW w:w="868" w:type="dxa"/>
            <w:vAlign w:val="bottom"/>
          </w:tcPr>
          <w:p w14:paraId="2C3A5CE9"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CEA"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CEB"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0,096</w:t>
            </w:r>
          </w:p>
        </w:tc>
        <w:tc>
          <w:tcPr>
            <w:tcW w:w="868" w:type="dxa"/>
            <w:vAlign w:val="bottom"/>
          </w:tcPr>
          <w:p w14:paraId="2C3A5CEC"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868" w:type="dxa"/>
            <w:vAlign w:val="bottom"/>
          </w:tcPr>
          <w:p w14:paraId="2C3A5CED"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1448" w:type="dxa"/>
            <w:vAlign w:val="bottom"/>
          </w:tcPr>
          <w:p w14:paraId="2C3A5CEE"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0,090</w:t>
            </w:r>
          </w:p>
        </w:tc>
        <w:tc>
          <w:tcPr>
            <w:tcW w:w="1418" w:type="dxa"/>
            <w:vAlign w:val="bottom"/>
          </w:tcPr>
          <w:p w14:paraId="2C3A5CEF"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0,390</w:t>
            </w:r>
          </w:p>
        </w:tc>
      </w:tr>
      <w:tr w:rsidR="005C61BF" w:rsidRPr="00DF5C23" w14:paraId="2C3A5CFA" w14:textId="77777777" w:rsidTr="009C47CC">
        <w:tc>
          <w:tcPr>
            <w:tcW w:w="3960" w:type="dxa"/>
            <w:tcBorders>
              <w:bottom w:val="single" w:sz="4" w:space="0" w:color="auto"/>
            </w:tcBorders>
            <w:vAlign w:val="center"/>
          </w:tcPr>
          <w:p w14:paraId="2C3A5CF1" w14:textId="77777777" w:rsidR="005C61BF" w:rsidRPr="00DF5C23" w:rsidRDefault="005C61BF" w:rsidP="009C47CC">
            <w:pPr>
              <w:jc w:val="center"/>
              <w:rPr>
                <w:b/>
                <w:noProof/>
              </w:rPr>
            </w:pPr>
            <w:r w:rsidRPr="00DF5C23">
              <w:rPr>
                <w:b/>
                <w:noProof/>
                <w:sz w:val="22"/>
              </w:rPr>
              <w:t xml:space="preserve">TOTAL DG </w:t>
            </w:r>
            <w:r w:rsidRPr="00DF5C23">
              <w:rPr>
                <w:noProof/>
                <w:sz w:val="22"/>
              </w:rPr>
              <w:t>GROW</w:t>
            </w:r>
          </w:p>
        </w:tc>
        <w:tc>
          <w:tcPr>
            <w:tcW w:w="2094" w:type="dxa"/>
            <w:gridSpan w:val="2"/>
            <w:tcBorders>
              <w:bottom w:val="single" w:sz="4" w:space="0" w:color="auto"/>
            </w:tcBorders>
            <w:vAlign w:val="center"/>
          </w:tcPr>
          <w:p w14:paraId="2C3A5CF2" w14:textId="77777777" w:rsidR="005C61BF" w:rsidRPr="00DF5C23" w:rsidRDefault="005C61BF" w:rsidP="009C47CC">
            <w:pPr>
              <w:rPr>
                <w:noProof/>
                <w:sz w:val="14"/>
              </w:rPr>
            </w:pPr>
            <w:r w:rsidRPr="00DF5C23">
              <w:rPr>
                <w:noProof/>
                <w:sz w:val="18"/>
              </w:rPr>
              <w:t xml:space="preserve">Appropriations </w:t>
            </w:r>
          </w:p>
        </w:tc>
        <w:tc>
          <w:tcPr>
            <w:tcW w:w="868" w:type="dxa"/>
            <w:tcBorders>
              <w:bottom w:val="single" w:sz="4" w:space="0" w:color="auto"/>
            </w:tcBorders>
            <w:vAlign w:val="bottom"/>
          </w:tcPr>
          <w:p w14:paraId="2C3A5CF3" w14:textId="77777777" w:rsidR="005C61BF" w:rsidRPr="00DF5C23" w:rsidRDefault="000073B9" w:rsidP="009C47CC">
            <w:pPr>
              <w:spacing w:before="20" w:after="20"/>
              <w:jc w:val="right"/>
              <w:rPr>
                <w:noProof/>
              </w:rPr>
            </w:pPr>
            <w:r w:rsidRPr="00DF5C23">
              <w:rPr>
                <w:rFonts w:ascii="Calibri" w:hAnsi="Calibri" w:cs="Calibri"/>
                <w:noProof/>
                <w:color w:val="000000"/>
                <w:sz w:val="22"/>
              </w:rPr>
              <w:t>0,388</w:t>
            </w:r>
          </w:p>
        </w:tc>
        <w:tc>
          <w:tcPr>
            <w:tcW w:w="868" w:type="dxa"/>
            <w:tcBorders>
              <w:bottom w:val="single" w:sz="4" w:space="0" w:color="auto"/>
            </w:tcBorders>
            <w:vAlign w:val="bottom"/>
          </w:tcPr>
          <w:p w14:paraId="2C3A5CF4" w14:textId="77777777" w:rsidR="005C61BF" w:rsidRPr="00DF5C23" w:rsidRDefault="000073B9" w:rsidP="009C47CC">
            <w:pPr>
              <w:spacing w:before="20" w:after="20"/>
              <w:jc w:val="right"/>
              <w:rPr>
                <w:noProof/>
              </w:rPr>
            </w:pPr>
            <w:r w:rsidRPr="00DF5C23">
              <w:rPr>
                <w:rFonts w:ascii="Calibri" w:hAnsi="Calibri" w:cs="Calibri"/>
                <w:noProof/>
                <w:color w:val="000000"/>
                <w:sz w:val="22"/>
              </w:rPr>
              <w:t>1,745</w:t>
            </w:r>
          </w:p>
        </w:tc>
        <w:tc>
          <w:tcPr>
            <w:tcW w:w="868" w:type="dxa"/>
            <w:tcBorders>
              <w:bottom w:val="single" w:sz="4" w:space="0" w:color="auto"/>
            </w:tcBorders>
            <w:vAlign w:val="bottom"/>
          </w:tcPr>
          <w:p w14:paraId="2C3A5CF5" w14:textId="77777777" w:rsidR="005C61BF" w:rsidRPr="00DF5C23" w:rsidRDefault="000073B9" w:rsidP="009C47CC">
            <w:pPr>
              <w:spacing w:before="20" w:after="20"/>
              <w:jc w:val="right"/>
              <w:rPr>
                <w:noProof/>
              </w:rPr>
            </w:pPr>
            <w:r w:rsidRPr="00DF5C23">
              <w:rPr>
                <w:rFonts w:ascii="Calibri" w:hAnsi="Calibri" w:cs="Calibri"/>
                <w:noProof/>
                <w:color w:val="000000"/>
                <w:sz w:val="22"/>
              </w:rPr>
              <w:t>2,421</w:t>
            </w:r>
          </w:p>
        </w:tc>
        <w:tc>
          <w:tcPr>
            <w:tcW w:w="868" w:type="dxa"/>
            <w:tcBorders>
              <w:bottom w:val="single" w:sz="4" w:space="0" w:color="auto"/>
            </w:tcBorders>
            <w:vAlign w:val="bottom"/>
          </w:tcPr>
          <w:p w14:paraId="2C3A5CF6" w14:textId="77777777" w:rsidR="005C61BF" w:rsidRPr="00DF5C23" w:rsidRDefault="000073B9" w:rsidP="009C47CC">
            <w:pPr>
              <w:spacing w:before="20" w:after="20"/>
              <w:jc w:val="right"/>
              <w:rPr>
                <w:noProof/>
              </w:rPr>
            </w:pPr>
            <w:r w:rsidRPr="00DF5C23">
              <w:rPr>
                <w:rFonts w:ascii="Calibri" w:hAnsi="Calibri" w:cs="Calibri"/>
                <w:noProof/>
                <w:color w:val="000000"/>
                <w:sz w:val="22"/>
              </w:rPr>
              <w:t>2,566</w:t>
            </w:r>
          </w:p>
        </w:tc>
        <w:tc>
          <w:tcPr>
            <w:tcW w:w="868" w:type="dxa"/>
            <w:tcBorders>
              <w:bottom w:val="single" w:sz="4" w:space="0" w:color="auto"/>
            </w:tcBorders>
            <w:vAlign w:val="bottom"/>
          </w:tcPr>
          <w:p w14:paraId="2C3A5CF7" w14:textId="77777777" w:rsidR="005C61BF" w:rsidRPr="00DF5C23" w:rsidRDefault="000073B9" w:rsidP="009C47CC">
            <w:pPr>
              <w:spacing w:before="20" w:after="20"/>
              <w:jc w:val="right"/>
              <w:rPr>
                <w:noProof/>
              </w:rPr>
            </w:pPr>
            <w:r w:rsidRPr="00DF5C23">
              <w:rPr>
                <w:rFonts w:ascii="Calibri" w:hAnsi="Calibri" w:cs="Calibri"/>
                <w:noProof/>
                <w:color w:val="000000"/>
                <w:sz w:val="22"/>
              </w:rPr>
              <w:t>2,638</w:t>
            </w:r>
          </w:p>
        </w:tc>
        <w:tc>
          <w:tcPr>
            <w:tcW w:w="1448" w:type="dxa"/>
            <w:tcBorders>
              <w:bottom w:val="single" w:sz="4" w:space="0" w:color="auto"/>
            </w:tcBorders>
            <w:vAlign w:val="bottom"/>
          </w:tcPr>
          <w:p w14:paraId="2C3A5CF8" w14:textId="77777777" w:rsidR="005C61BF" w:rsidRPr="00DF5C23" w:rsidRDefault="000073B9" w:rsidP="009C47CC">
            <w:pPr>
              <w:spacing w:before="20" w:after="20"/>
              <w:jc w:val="right"/>
              <w:rPr>
                <w:noProof/>
              </w:rPr>
            </w:pPr>
            <w:r w:rsidRPr="00DF5C23">
              <w:rPr>
                <w:rFonts w:ascii="Calibri" w:hAnsi="Calibri" w:cs="Calibri"/>
                <w:noProof/>
                <w:color w:val="000000"/>
                <w:sz w:val="22"/>
              </w:rPr>
              <w:t>2,746</w:t>
            </w:r>
          </w:p>
        </w:tc>
        <w:tc>
          <w:tcPr>
            <w:tcW w:w="1418" w:type="dxa"/>
            <w:tcBorders>
              <w:bottom w:val="single" w:sz="4" w:space="0" w:color="auto"/>
            </w:tcBorders>
            <w:vAlign w:val="bottom"/>
          </w:tcPr>
          <w:p w14:paraId="2C3A5CF9" w14:textId="77777777" w:rsidR="005C61BF" w:rsidRPr="00DF5C23" w:rsidRDefault="000073B9" w:rsidP="009C47CC">
            <w:pPr>
              <w:spacing w:before="20" w:after="20"/>
              <w:jc w:val="right"/>
              <w:rPr>
                <w:b/>
                <w:noProof/>
                <w:sz w:val="20"/>
              </w:rPr>
            </w:pPr>
            <w:r w:rsidRPr="00DF5C23">
              <w:rPr>
                <w:rFonts w:ascii="Calibri" w:hAnsi="Calibri" w:cs="Calibri"/>
                <w:noProof/>
                <w:color w:val="000000"/>
                <w:sz w:val="22"/>
              </w:rPr>
              <w:t>12,503</w:t>
            </w:r>
          </w:p>
        </w:tc>
      </w:tr>
      <w:tr w:rsidR="005C61BF" w:rsidRPr="00DF5C23" w14:paraId="2C3A5D04" w14:textId="77777777" w:rsidTr="009C47CC">
        <w:tc>
          <w:tcPr>
            <w:tcW w:w="3960" w:type="dxa"/>
            <w:tcBorders>
              <w:left w:val="nil"/>
              <w:bottom w:val="nil"/>
              <w:right w:val="nil"/>
            </w:tcBorders>
            <w:vAlign w:val="center"/>
          </w:tcPr>
          <w:p w14:paraId="2C3A5CFB" w14:textId="77777777" w:rsidR="005C61BF" w:rsidRPr="00DF5C23" w:rsidRDefault="005C61BF" w:rsidP="009C47CC">
            <w:pPr>
              <w:jc w:val="center"/>
              <w:rPr>
                <w:b/>
                <w:noProof/>
                <w:sz w:val="22"/>
              </w:rPr>
            </w:pPr>
          </w:p>
        </w:tc>
        <w:tc>
          <w:tcPr>
            <w:tcW w:w="2094" w:type="dxa"/>
            <w:gridSpan w:val="2"/>
            <w:tcBorders>
              <w:left w:val="nil"/>
              <w:bottom w:val="nil"/>
              <w:right w:val="nil"/>
            </w:tcBorders>
            <w:vAlign w:val="center"/>
          </w:tcPr>
          <w:p w14:paraId="2C3A5CFC" w14:textId="77777777" w:rsidR="005C61BF" w:rsidRPr="00DF5C23" w:rsidRDefault="005C61BF" w:rsidP="009C47CC">
            <w:pPr>
              <w:rPr>
                <w:noProof/>
                <w:sz w:val="18"/>
              </w:rPr>
            </w:pPr>
          </w:p>
        </w:tc>
        <w:tc>
          <w:tcPr>
            <w:tcW w:w="868" w:type="dxa"/>
            <w:tcBorders>
              <w:left w:val="nil"/>
              <w:bottom w:val="single" w:sz="4" w:space="0" w:color="auto"/>
              <w:right w:val="nil"/>
            </w:tcBorders>
            <w:vAlign w:val="center"/>
          </w:tcPr>
          <w:p w14:paraId="2C3A5CFD" w14:textId="77777777" w:rsidR="005C61BF" w:rsidRPr="00DF5C23"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CFE"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CFF"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00"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01" w14:textId="77777777" w:rsidR="005C61BF" w:rsidRPr="00DF5C23"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02" w14:textId="77777777" w:rsidR="005C61BF" w:rsidRPr="00DF5C23"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03" w14:textId="77777777" w:rsidR="005C61BF" w:rsidRPr="00DF5C23" w:rsidRDefault="005C61BF" w:rsidP="009C47CC">
            <w:pPr>
              <w:spacing w:before="20" w:after="20"/>
              <w:jc w:val="right"/>
              <w:rPr>
                <w:b/>
                <w:noProof/>
                <w:sz w:val="20"/>
              </w:rPr>
            </w:pPr>
          </w:p>
        </w:tc>
      </w:tr>
      <w:tr w:rsidR="005C61BF" w:rsidRPr="00DF5C23" w14:paraId="2C3A5D0F" w14:textId="77777777" w:rsidTr="009C47CC">
        <w:tc>
          <w:tcPr>
            <w:tcW w:w="3960" w:type="dxa"/>
            <w:tcBorders>
              <w:top w:val="nil"/>
              <w:left w:val="nil"/>
              <w:right w:val="nil"/>
            </w:tcBorders>
            <w:vAlign w:val="center"/>
          </w:tcPr>
          <w:p w14:paraId="2C3A5D05" w14:textId="77777777" w:rsidR="005C61BF" w:rsidRPr="00DF5C23" w:rsidRDefault="005C61BF" w:rsidP="009C47CC">
            <w:pPr>
              <w:jc w:val="center"/>
              <w:rPr>
                <w:noProof/>
              </w:rPr>
            </w:pPr>
          </w:p>
        </w:tc>
        <w:tc>
          <w:tcPr>
            <w:tcW w:w="1560" w:type="dxa"/>
            <w:tcBorders>
              <w:top w:val="nil"/>
              <w:left w:val="nil"/>
              <w:right w:val="nil"/>
            </w:tcBorders>
          </w:tcPr>
          <w:p w14:paraId="2C3A5D06" w14:textId="77777777" w:rsidR="005C61BF" w:rsidRPr="00DF5C23" w:rsidRDefault="005C61BF" w:rsidP="009C47CC">
            <w:pPr>
              <w:rPr>
                <w:noProof/>
                <w:sz w:val="20"/>
              </w:rPr>
            </w:pPr>
          </w:p>
        </w:tc>
        <w:tc>
          <w:tcPr>
            <w:tcW w:w="534" w:type="dxa"/>
            <w:tcBorders>
              <w:top w:val="nil"/>
              <w:left w:val="nil"/>
            </w:tcBorders>
          </w:tcPr>
          <w:p w14:paraId="2C3A5D07" w14:textId="77777777" w:rsidR="005C61BF" w:rsidRPr="00DF5C23" w:rsidRDefault="005C61BF" w:rsidP="009C47CC">
            <w:pPr>
              <w:jc w:val="center"/>
              <w:rPr>
                <w:noProof/>
                <w:sz w:val="20"/>
              </w:rPr>
            </w:pPr>
          </w:p>
        </w:tc>
        <w:tc>
          <w:tcPr>
            <w:tcW w:w="868" w:type="dxa"/>
            <w:tcBorders>
              <w:top w:val="single" w:sz="4" w:space="0" w:color="auto"/>
            </w:tcBorders>
            <w:vAlign w:val="center"/>
          </w:tcPr>
          <w:p w14:paraId="2C3A5D08" w14:textId="77777777" w:rsidR="005C61BF" w:rsidRPr="00DF5C23" w:rsidRDefault="005C61BF" w:rsidP="009C47CC">
            <w:pPr>
              <w:jc w:val="center"/>
              <w:rPr>
                <w:noProof/>
                <w:sz w:val="20"/>
              </w:rPr>
            </w:pPr>
            <w:r w:rsidRPr="00DF5C23">
              <w:rPr>
                <w:noProof/>
                <w:sz w:val="20"/>
                <w:szCs w:val="20"/>
              </w:rPr>
              <w:t>Year</w:t>
            </w:r>
            <w:r w:rsidRPr="00DF5C23">
              <w:rPr>
                <w:noProof/>
                <w:sz w:val="22"/>
              </w:rPr>
              <w:br/>
            </w:r>
            <w:r w:rsidRPr="00DF5C23">
              <w:rPr>
                <w:b/>
                <w:bCs/>
                <w:noProof/>
                <w:sz w:val="20"/>
                <w:szCs w:val="20"/>
              </w:rPr>
              <w:t>2022</w:t>
            </w:r>
          </w:p>
        </w:tc>
        <w:tc>
          <w:tcPr>
            <w:tcW w:w="868" w:type="dxa"/>
            <w:tcBorders>
              <w:top w:val="single" w:sz="4" w:space="0" w:color="auto"/>
            </w:tcBorders>
            <w:vAlign w:val="center"/>
          </w:tcPr>
          <w:p w14:paraId="2C3A5D09"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2023</w:t>
            </w:r>
          </w:p>
        </w:tc>
        <w:tc>
          <w:tcPr>
            <w:tcW w:w="868" w:type="dxa"/>
            <w:tcBorders>
              <w:top w:val="single" w:sz="4" w:space="0" w:color="auto"/>
            </w:tcBorders>
            <w:vAlign w:val="center"/>
          </w:tcPr>
          <w:p w14:paraId="2C3A5D0A"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2024</w:t>
            </w:r>
          </w:p>
        </w:tc>
        <w:tc>
          <w:tcPr>
            <w:tcW w:w="868" w:type="dxa"/>
            <w:tcBorders>
              <w:top w:val="single" w:sz="4" w:space="0" w:color="auto"/>
            </w:tcBorders>
            <w:vAlign w:val="center"/>
          </w:tcPr>
          <w:p w14:paraId="2C3A5D0B"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2025</w:t>
            </w:r>
          </w:p>
        </w:tc>
        <w:tc>
          <w:tcPr>
            <w:tcW w:w="868" w:type="dxa"/>
            <w:tcBorders>
              <w:top w:val="single" w:sz="4" w:space="0" w:color="auto"/>
            </w:tcBorders>
            <w:vAlign w:val="center"/>
          </w:tcPr>
          <w:p w14:paraId="2C3A5D0C"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2026</w:t>
            </w:r>
          </w:p>
        </w:tc>
        <w:tc>
          <w:tcPr>
            <w:tcW w:w="1448" w:type="dxa"/>
            <w:tcBorders>
              <w:top w:val="single" w:sz="4" w:space="0" w:color="auto"/>
            </w:tcBorders>
            <w:vAlign w:val="center"/>
          </w:tcPr>
          <w:p w14:paraId="2C3A5D0D"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 xml:space="preserve">2027 </w:t>
            </w:r>
          </w:p>
        </w:tc>
        <w:tc>
          <w:tcPr>
            <w:tcW w:w="1418" w:type="dxa"/>
            <w:tcBorders>
              <w:top w:val="single" w:sz="4" w:space="0" w:color="auto"/>
            </w:tcBorders>
            <w:vAlign w:val="center"/>
          </w:tcPr>
          <w:p w14:paraId="2C3A5D0E" w14:textId="77777777" w:rsidR="005C61BF" w:rsidRPr="00DF5C23" w:rsidRDefault="005C61BF" w:rsidP="009C47CC">
            <w:pPr>
              <w:jc w:val="center"/>
              <w:rPr>
                <w:b/>
                <w:noProof/>
                <w:sz w:val="20"/>
              </w:rPr>
            </w:pPr>
            <w:r w:rsidRPr="00DF5C23">
              <w:rPr>
                <w:b/>
                <w:noProof/>
                <w:sz w:val="20"/>
              </w:rPr>
              <w:t>TOTAL</w:t>
            </w:r>
          </w:p>
        </w:tc>
      </w:tr>
      <w:tr w:rsidR="005C61BF" w:rsidRPr="00DF5C23" w14:paraId="2C3A5D11" w14:textId="77777777" w:rsidTr="009C47CC">
        <w:trPr>
          <w:gridAfter w:val="9"/>
          <w:wAfter w:w="9300" w:type="dxa"/>
        </w:trPr>
        <w:tc>
          <w:tcPr>
            <w:tcW w:w="3960" w:type="dxa"/>
            <w:vAlign w:val="center"/>
          </w:tcPr>
          <w:p w14:paraId="2C3A5D10" w14:textId="77777777" w:rsidR="005C61BF" w:rsidRPr="00DF5C23" w:rsidRDefault="005C61BF" w:rsidP="009C47CC">
            <w:pPr>
              <w:spacing w:before="60" w:after="60"/>
              <w:jc w:val="center"/>
              <w:rPr>
                <w:noProof/>
              </w:rPr>
            </w:pPr>
            <w:r w:rsidRPr="00DF5C23">
              <w:rPr>
                <w:noProof/>
                <w:sz w:val="22"/>
              </w:rPr>
              <w:t>DG: ENV</w:t>
            </w:r>
          </w:p>
        </w:tc>
      </w:tr>
      <w:tr w:rsidR="005C61BF" w:rsidRPr="00DF5C23" w14:paraId="2C3A5D1A" w14:textId="77777777" w:rsidTr="009C47CC">
        <w:trPr>
          <w:trHeight w:val="313"/>
        </w:trPr>
        <w:tc>
          <w:tcPr>
            <w:tcW w:w="6054" w:type="dxa"/>
            <w:gridSpan w:val="3"/>
            <w:vAlign w:val="center"/>
          </w:tcPr>
          <w:p w14:paraId="2C3A5D12"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Human resources </w:t>
            </w:r>
          </w:p>
        </w:tc>
        <w:tc>
          <w:tcPr>
            <w:tcW w:w="868" w:type="dxa"/>
            <w:vAlign w:val="bottom"/>
          </w:tcPr>
          <w:p w14:paraId="2C3A5D13"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0,671</w:t>
            </w:r>
          </w:p>
        </w:tc>
        <w:tc>
          <w:tcPr>
            <w:tcW w:w="868" w:type="dxa"/>
            <w:vAlign w:val="bottom"/>
          </w:tcPr>
          <w:p w14:paraId="2C3A5D14"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1,756</w:t>
            </w:r>
          </w:p>
        </w:tc>
        <w:tc>
          <w:tcPr>
            <w:tcW w:w="868" w:type="dxa"/>
            <w:vAlign w:val="bottom"/>
          </w:tcPr>
          <w:p w14:paraId="2C3A5D15"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2,227</w:t>
            </w:r>
          </w:p>
        </w:tc>
        <w:tc>
          <w:tcPr>
            <w:tcW w:w="868" w:type="dxa"/>
            <w:vAlign w:val="bottom"/>
          </w:tcPr>
          <w:p w14:paraId="2C3A5D16"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2,371</w:t>
            </w:r>
          </w:p>
        </w:tc>
        <w:tc>
          <w:tcPr>
            <w:tcW w:w="868" w:type="dxa"/>
            <w:vAlign w:val="bottom"/>
          </w:tcPr>
          <w:p w14:paraId="2C3A5D17"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2,528</w:t>
            </w:r>
          </w:p>
        </w:tc>
        <w:tc>
          <w:tcPr>
            <w:tcW w:w="1448" w:type="dxa"/>
            <w:vAlign w:val="bottom"/>
          </w:tcPr>
          <w:p w14:paraId="2C3A5D18"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2,656</w:t>
            </w:r>
          </w:p>
        </w:tc>
        <w:tc>
          <w:tcPr>
            <w:tcW w:w="1418" w:type="dxa"/>
            <w:vAlign w:val="bottom"/>
          </w:tcPr>
          <w:p w14:paraId="2C3A5D19" w14:textId="77777777" w:rsidR="005C61BF" w:rsidRPr="00DF5C23" w:rsidRDefault="0069019C" w:rsidP="009C47CC">
            <w:pPr>
              <w:spacing w:before="20" w:after="20"/>
              <w:jc w:val="right"/>
              <w:rPr>
                <w:b/>
                <w:noProof/>
                <w:sz w:val="20"/>
              </w:rPr>
            </w:pPr>
            <w:r w:rsidRPr="00DF5C23">
              <w:rPr>
                <w:rFonts w:ascii="Calibri" w:hAnsi="Calibri" w:cs="Calibri"/>
                <w:noProof/>
                <w:color w:val="FF0000"/>
                <w:sz w:val="22"/>
              </w:rPr>
              <w:t>12,208</w:t>
            </w:r>
          </w:p>
        </w:tc>
      </w:tr>
      <w:tr w:rsidR="005C61BF" w:rsidRPr="00DF5C23" w14:paraId="2C3A5D23" w14:textId="77777777" w:rsidTr="009C47CC">
        <w:trPr>
          <w:trHeight w:val="351"/>
        </w:trPr>
        <w:tc>
          <w:tcPr>
            <w:tcW w:w="6054" w:type="dxa"/>
            <w:gridSpan w:val="3"/>
            <w:vAlign w:val="center"/>
          </w:tcPr>
          <w:p w14:paraId="2C3A5D1B"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Other administrative expenditure </w:t>
            </w:r>
          </w:p>
        </w:tc>
        <w:tc>
          <w:tcPr>
            <w:tcW w:w="868" w:type="dxa"/>
            <w:vAlign w:val="bottom"/>
          </w:tcPr>
          <w:p w14:paraId="2C3A5D1C"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D1D"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D1E"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868" w:type="dxa"/>
            <w:vAlign w:val="bottom"/>
          </w:tcPr>
          <w:p w14:paraId="2C3A5D1F"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0,096</w:t>
            </w:r>
          </w:p>
        </w:tc>
        <w:tc>
          <w:tcPr>
            <w:tcW w:w="868" w:type="dxa"/>
            <w:vAlign w:val="bottom"/>
          </w:tcPr>
          <w:p w14:paraId="2C3A5D20"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1448" w:type="dxa"/>
            <w:vAlign w:val="bottom"/>
          </w:tcPr>
          <w:p w14:paraId="2C3A5D21"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0,090</w:t>
            </w:r>
          </w:p>
        </w:tc>
        <w:tc>
          <w:tcPr>
            <w:tcW w:w="1418" w:type="dxa"/>
            <w:vAlign w:val="bottom"/>
          </w:tcPr>
          <w:p w14:paraId="2C3A5D22"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0,390</w:t>
            </w:r>
          </w:p>
        </w:tc>
      </w:tr>
      <w:tr w:rsidR="005C61BF" w:rsidRPr="00DF5C23" w14:paraId="2C3A5D2D" w14:textId="77777777" w:rsidTr="009C47CC">
        <w:tc>
          <w:tcPr>
            <w:tcW w:w="3960" w:type="dxa"/>
            <w:tcBorders>
              <w:bottom w:val="single" w:sz="4" w:space="0" w:color="auto"/>
            </w:tcBorders>
            <w:vAlign w:val="center"/>
          </w:tcPr>
          <w:p w14:paraId="2C3A5D24" w14:textId="77777777" w:rsidR="005C61BF" w:rsidRPr="00DF5C23" w:rsidRDefault="005C61BF" w:rsidP="009C47CC">
            <w:pPr>
              <w:jc w:val="center"/>
              <w:rPr>
                <w:b/>
                <w:noProof/>
              </w:rPr>
            </w:pPr>
            <w:r w:rsidRPr="00DF5C23">
              <w:rPr>
                <w:b/>
                <w:noProof/>
                <w:sz w:val="22"/>
              </w:rPr>
              <w:t xml:space="preserve">TOTAL DG </w:t>
            </w:r>
            <w:r w:rsidRPr="00DF5C23">
              <w:rPr>
                <w:noProof/>
                <w:sz w:val="22"/>
              </w:rPr>
              <w:t>ENV</w:t>
            </w:r>
          </w:p>
        </w:tc>
        <w:tc>
          <w:tcPr>
            <w:tcW w:w="2094" w:type="dxa"/>
            <w:gridSpan w:val="2"/>
            <w:tcBorders>
              <w:bottom w:val="single" w:sz="4" w:space="0" w:color="auto"/>
            </w:tcBorders>
            <w:vAlign w:val="center"/>
          </w:tcPr>
          <w:p w14:paraId="2C3A5D25" w14:textId="77777777" w:rsidR="005C61BF" w:rsidRPr="00DF5C23" w:rsidRDefault="005C61BF" w:rsidP="009C47CC">
            <w:pPr>
              <w:rPr>
                <w:noProof/>
                <w:sz w:val="14"/>
              </w:rPr>
            </w:pPr>
            <w:r w:rsidRPr="00DF5C23">
              <w:rPr>
                <w:noProof/>
                <w:sz w:val="18"/>
              </w:rPr>
              <w:t xml:space="preserve">Appropriations </w:t>
            </w:r>
          </w:p>
        </w:tc>
        <w:tc>
          <w:tcPr>
            <w:tcW w:w="868" w:type="dxa"/>
            <w:tcBorders>
              <w:bottom w:val="single" w:sz="4" w:space="0" w:color="auto"/>
            </w:tcBorders>
            <w:vAlign w:val="bottom"/>
          </w:tcPr>
          <w:p w14:paraId="2C3A5D26" w14:textId="77777777" w:rsidR="005C61BF" w:rsidRPr="00DF5C23" w:rsidRDefault="0069019C" w:rsidP="009C47CC">
            <w:pPr>
              <w:spacing w:before="20" w:after="20"/>
              <w:jc w:val="right"/>
              <w:rPr>
                <w:noProof/>
              </w:rPr>
            </w:pPr>
            <w:r w:rsidRPr="00DF5C23">
              <w:rPr>
                <w:rFonts w:ascii="Calibri" w:hAnsi="Calibri" w:cs="Calibri"/>
                <w:noProof/>
                <w:color w:val="000000"/>
                <w:sz w:val="22"/>
              </w:rPr>
              <w:t>0,676</w:t>
            </w:r>
          </w:p>
        </w:tc>
        <w:tc>
          <w:tcPr>
            <w:tcW w:w="868" w:type="dxa"/>
            <w:tcBorders>
              <w:bottom w:val="single" w:sz="4" w:space="0" w:color="auto"/>
            </w:tcBorders>
            <w:vAlign w:val="bottom"/>
          </w:tcPr>
          <w:p w14:paraId="2C3A5D27" w14:textId="77777777" w:rsidR="005C61BF" w:rsidRPr="00DF5C23" w:rsidRDefault="0069019C" w:rsidP="009C47CC">
            <w:pPr>
              <w:spacing w:before="20" w:after="20"/>
              <w:jc w:val="right"/>
              <w:rPr>
                <w:noProof/>
              </w:rPr>
            </w:pPr>
            <w:r w:rsidRPr="00DF5C23">
              <w:rPr>
                <w:rFonts w:ascii="Calibri" w:hAnsi="Calibri" w:cs="Calibri"/>
                <w:noProof/>
                <w:color w:val="000000"/>
                <w:sz w:val="22"/>
              </w:rPr>
              <w:t>1,761</w:t>
            </w:r>
          </w:p>
        </w:tc>
        <w:tc>
          <w:tcPr>
            <w:tcW w:w="868" w:type="dxa"/>
            <w:tcBorders>
              <w:bottom w:val="single" w:sz="4" w:space="0" w:color="auto"/>
            </w:tcBorders>
            <w:vAlign w:val="bottom"/>
          </w:tcPr>
          <w:p w14:paraId="2C3A5D28" w14:textId="77777777" w:rsidR="005C61BF" w:rsidRPr="00DF5C23" w:rsidRDefault="0069019C" w:rsidP="009C47CC">
            <w:pPr>
              <w:spacing w:before="20" w:after="20"/>
              <w:jc w:val="right"/>
              <w:rPr>
                <w:noProof/>
              </w:rPr>
            </w:pPr>
            <w:r w:rsidRPr="00DF5C23">
              <w:rPr>
                <w:rFonts w:ascii="Calibri" w:hAnsi="Calibri" w:cs="Calibri"/>
                <w:noProof/>
                <w:color w:val="000000"/>
                <w:sz w:val="22"/>
              </w:rPr>
              <w:t>2,324</w:t>
            </w:r>
          </w:p>
        </w:tc>
        <w:tc>
          <w:tcPr>
            <w:tcW w:w="868" w:type="dxa"/>
            <w:tcBorders>
              <w:bottom w:val="single" w:sz="4" w:space="0" w:color="auto"/>
            </w:tcBorders>
            <w:vAlign w:val="bottom"/>
          </w:tcPr>
          <w:p w14:paraId="2C3A5D29" w14:textId="77777777" w:rsidR="005C61BF" w:rsidRPr="00DF5C23" w:rsidRDefault="0069019C" w:rsidP="009C47CC">
            <w:pPr>
              <w:spacing w:before="20" w:after="20"/>
              <w:jc w:val="right"/>
              <w:rPr>
                <w:noProof/>
              </w:rPr>
            </w:pPr>
            <w:r w:rsidRPr="00DF5C23">
              <w:rPr>
                <w:rFonts w:ascii="Calibri" w:hAnsi="Calibri" w:cs="Calibri"/>
                <w:noProof/>
                <w:color w:val="000000"/>
                <w:sz w:val="22"/>
              </w:rPr>
              <w:t>2,467</w:t>
            </w:r>
          </w:p>
        </w:tc>
        <w:tc>
          <w:tcPr>
            <w:tcW w:w="868" w:type="dxa"/>
            <w:tcBorders>
              <w:bottom w:val="single" w:sz="4" w:space="0" w:color="auto"/>
            </w:tcBorders>
            <w:vAlign w:val="bottom"/>
          </w:tcPr>
          <w:p w14:paraId="2C3A5D2A" w14:textId="77777777" w:rsidR="005C61BF" w:rsidRPr="00DF5C23" w:rsidRDefault="0069019C" w:rsidP="009C47CC">
            <w:pPr>
              <w:spacing w:before="20" w:after="20"/>
              <w:jc w:val="right"/>
              <w:rPr>
                <w:noProof/>
              </w:rPr>
            </w:pPr>
            <w:r w:rsidRPr="00DF5C23">
              <w:rPr>
                <w:rFonts w:ascii="Calibri" w:hAnsi="Calibri" w:cs="Calibri"/>
                <w:noProof/>
                <w:color w:val="000000"/>
                <w:sz w:val="22"/>
              </w:rPr>
              <w:t>2,625</w:t>
            </w:r>
          </w:p>
        </w:tc>
        <w:tc>
          <w:tcPr>
            <w:tcW w:w="1448" w:type="dxa"/>
            <w:tcBorders>
              <w:bottom w:val="single" w:sz="4" w:space="0" w:color="auto"/>
            </w:tcBorders>
            <w:vAlign w:val="bottom"/>
          </w:tcPr>
          <w:p w14:paraId="2C3A5D2B" w14:textId="77777777" w:rsidR="005C61BF" w:rsidRPr="00DF5C23" w:rsidRDefault="0069019C" w:rsidP="009C47CC">
            <w:pPr>
              <w:spacing w:before="20" w:after="20"/>
              <w:jc w:val="right"/>
              <w:rPr>
                <w:noProof/>
              </w:rPr>
            </w:pPr>
            <w:r w:rsidRPr="00DF5C23">
              <w:rPr>
                <w:rFonts w:ascii="Calibri" w:hAnsi="Calibri" w:cs="Calibri"/>
                <w:noProof/>
                <w:color w:val="000000"/>
                <w:sz w:val="22"/>
              </w:rPr>
              <w:t>2,746</w:t>
            </w:r>
          </w:p>
        </w:tc>
        <w:tc>
          <w:tcPr>
            <w:tcW w:w="1418" w:type="dxa"/>
            <w:tcBorders>
              <w:bottom w:val="single" w:sz="4" w:space="0" w:color="auto"/>
            </w:tcBorders>
            <w:vAlign w:val="bottom"/>
          </w:tcPr>
          <w:p w14:paraId="2C3A5D2C" w14:textId="77777777" w:rsidR="005C61BF" w:rsidRPr="00DF5C23" w:rsidRDefault="0069019C" w:rsidP="009C47CC">
            <w:pPr>
              <w:spacing w:before="20" w:after="20"/>
              <w:jc w:val="right"/>
              <w:rPr>
                <w:b/>
                <w:noProof/>
                <w:sz w:val="20"/>
              </w:rPr>
            </w:pPr>
            <w:r w:rsidRPr="00DF5C23">
              <w:rPr>
                <w:rFonts w:ascii="Calibri" w:hAnsi="Calibri" w:cs="Calibri"/>
                <w:noProof/>
                <w:color w:val="000000"/>
                <w:sz w:val="22"/>
              </w:rPr>
              <w:t>12,598</w:t>
            </w:r>
          </w:p>
        </w:tc>
      </w:tr>
      <w:tr w:rsidR="005C61BF" w:rsidRPr="00DF5C23" w14:paraId="2C3A5D37" w14:textId="77777777" w:rsidTr="009C47CC">
        <w:tc>
          <w:tcPr>
            <w:tcW w:w="3960" w:type="dxa"/>
            <w:tcBorders>
              <w:left w:val="nil"/>
              <w:bottom w:val="nil"/>
              <w:right w:val="nil"/>
            </w:tcBorders>
            <w:vAlign w:val="center"/>
          </w:tcPr>
          <w:p w14:paraId="2C3A5D2E" w14:textId="77777777" w:rsidR="005C61BF" w:rsidRPr="00DF5C23" w:rsidRDefault="005C61BF" w:rsidP="009C47CC">
            <w:pPr>
              <w:jc w:val="center"/>
              <w:rPr>
                <w:b/>
                <w:noProof/>
                <w:sz w:val="22"/>
              </w:rPr>
            </w:pPr>
          </w:p>
        </w:tc>
        <w:tc>
          <w:tcPr>
            <w:tcW w:w="2094" w:type="dxa"/>
            <w:gridSpan w:val="2"/>
            <w:tcBorders>
              <w:left w:val="nil"/>
              <w:bottom w:val="nil"/>
              <w:right w:val="nil"/>
            </w:tcBorders>
            <w:vAlign w:val="center"/>
          </w:tcPr>
          <w:p w14:paraId="2C3A5D2F" w14:textId="77777777" w:rsidR="005C61BF" w:rsidRPr="00DF5C23" w:rsidRDefault="005C61BF" w:rsidP="009C47CC">
            <w:pPr>
              <w:rPr>
                <w:noProof/>
                <w:sz w:val="18"/>
              </w:rPr>
            </w:pPr>
          </w:p>
        </w:tc>
        <w:tc>
          <w:tcPr>
            <w:tcW w:w="868" w:type="dxa"/>
            <w:tcBorders>
              <w:left w:val="nil"/>
              <w:bottom w:val="single" w:sz="4" w:space="0" w:color="auto"/>
              <w:right w:val="nil"/>
            </w:tcBorders>
            <w:vAlign w:val="center"/>
          </w:tcPr>
          <w:p w14:paraId="2C3A5D30" w14:textId="77777777" w:rsidR="005C61BF" w:rsidRPr="00DF5C23"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D31"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2"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3"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34" w14:textId="77777777" w:rsidR="005C61BF" w:rsidRPr="00DF5C23"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35" w14:textId="77777777" w:rsidR="005C61BF" w:rsidRPr="00DF5C23"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36" w14:textId="77777777" w:rsidR="005C61BF" w:rsidRPr="00DF5C23" w:rsidRDefault="005C61BF" w:rsidP="009C47CC">
            <w:pPr>
              <w:spacing w:before="20" w:after="20"/>
              <w:jc w:val="right"/>
              <w:rPr>
                <w:b/>
                <w:noProof/>
                <w:sz w:val="20"/>
              </w:rPr>
            </w:pPr>
          </w:p>
        </w:tc>
      </w:tr>
      <w:tr w:rsidR="005C61BF" w:rsidRPr="00DF5C23" w14:paraId="2C3A5D42" w14:textId="77777777" w:rsidTr="009C47CC">
        <w:tc>
          <w:tcPr>
            <w:tcW w:w="3960" w:type="dxa"/>
            <w:tcBorders>
              <w:top w:val="nil"/>
              <w:left w:val="nil"/>
              <w:right w:val="nil"/>
            </w:tcBorders>
            <w:vAlign w:val="center"/>
          </w:tcPr>
          <w:p w14:paraId="2C3A5D38" w14:textId="77777777" w:rsidR="005C61BF" w:rsidRPr="00DF5C23" w:rsidRDefault="005C61BF" w:rsidP="009C47CC">
            <w:pPr>
              <w:jc w:val="center"/>
              <w:rPr>
                <w:noProof/>
              </w:rPr>
            </w:pPr>
          </w:p>
        </w:tc>
        <w:tc>
          <w:tcPr>
            <w:tcW w:w="1560" w:type="dxa"/>
            <w:tcBorders>
              <w:top w:val="nil"/>
              <w:left w:val="nil"/>
              <w:right w:val="nil"/>
            </w:tcBorders>
          </w:tcPr>
          <w:p w14:paraId="2C3A5D39" w14:textId="77777777" w:rsidR="005C61BF" w:rsidRPr="00DF5C23" w:rsidRDefault="005C61BF" w:rsidP="009C47CC">
            <w:pPr>
              <w:rPr>
                <w:noProof/>
                <w:sz w:val="20"/>
              </w:rPr>
            </w:pPr>
          </w:p>
        </w:tc>
        <w:tc>
          <w:tcPr>
            <w:tcW w:w="534" w:type="dxa"/>
            <w:tcBorders>
              <w:top w:val="nil"/>
              <w:left w:val="nil"/>
            </w:tcBorders>
          </w:tcPr>
          <w:p w14:paraId="2C3A5D3A" w14:textId="77777777" w:rsidR="005C61BF" w:rsidRPr="00DF5C23" w:rsidRDefault="005C61BF" w:rsidP="009C47CC">
            <w:pPr>
              <w:jc w:val="center"/>
              <w:rPr>
                <w:noProof/>
                <w:sz w:val="20"/>
              </w:rPr>
            </w:pPr>
          </w:p>
        </w:tc>
        <w:tc>
          <w:tcPr>
            <w:tcW w:w="868" w:type="dxa"/>
            <w:tcBorders>
              <w:top w:val="single" w:sz="4" w:space="0" w:color="auto"/>
            </w:tcBorders>
            <w:vAlign w:val="center"/>
          </w:tcPr>
          <w:p w14:paraId="2C3A5D3B" w14:textId="77777777" w:rsidR="005C61BF" w:rsidRPr="00DF5C23" w:rsidRDefault="005C61BF" w:rsidP="009C47CC">
            <w:pPr>
              <w:jc w:val="center"/>
              <w:rPr>
                <w:noProof/>
                <w:sz w:val="20"/>
              </w:rPr>
            </w:pPr>
            <w:r w:rsidRPr="00DF5C23">
              <w:rPr>
                <w:noProof/>
                <w:sz w:val="20"/>
                <w:szCs w:val="20"/>
              </w:rPr>
              <w:t>Year</w:t>
            </w:r>
            <w:r w:rsidRPr="00DF5C23">
              <w:rPr>
                <w:noProof/>
                <w:sz w:val="22"/>
              </w:rPr>
              <w:br/>
            </w:r>
            <w:r w:rsidRPr="00DF5C23">
              <w:rPr>
                <w:b/>
                <w:bCs/>
                <w:noProof/>
                <w:sz w:val="20"/>
                <w:szCs w:val="20"/>
              </w:rPr>
              <w:t>2022</w:t>
            </w:r>
          </w:p>
        </w:tc>
        <w:tc>
          <w:tcPr>
            <w:tcW w:w="868" w:type="dxa"/>
            <w:tcBorders>
              <w:top w:val="single" w:sz="4" w:space="0" w:color="auto"/>
            </w:tcBorders>
            <w:vAlign w:val="center"/>
          </w:tcPr>
          <w:p w14:paraId="2C3A5D3C"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2023</w:t>
            </w:r>
          </w:p>
        </w:tc>
        <w:tc>
          <w:tcPr>
            <w:tcW w:w="868" w:type="dxa"/>
            <w:tcBorders>
              <w:top w:val="single" w:sz="4" w:space="0" w:color="auto"/>
            </w:tcBorders>
            <w:vAlign w:val="center"/>
          </w:tcPr>
          <w:p w14:paraId="2C3A5D3D"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2024</w:t>
            </w:r>
          </w:p>
        </w:tc>
        <w:tc>
          <w:tcPr>
            <w:tcW w:w="868" w:type="dxa"/>
            <w:tcBorders>
              <w:top w:val="single" w:sz="4" w:space="0" w:color="auto"/>
            </w:tcBorders>
            <w:vAlign w:val="center"/>
          </w:tcPr>
          <w:p w14:paraId="2C3A5D3E"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2025</w:t>
            </w:r>
          </w:p>
        </w:tc>
        <w:tc>
          <w:tcPr>
            <w:tcW w:w="868" w:type="dxa"/>
            <w:tcBorders>
              <w:top w:val="single" w:sz="4" w:space="0" w:color="auto"/>
            </w:tcBorders>
            <w:vAlign w:val="center"/>
          </w:tcPr>
          <w:p w14:paraId="2C3A5D3F"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2026</w:t>
            </w:r>
          </w:p>
        </w:tc>
        <w:tc>
          <w:tcPr>
            <w:tcW w:w="1448" w:type="dxa"/>
            <w:tcBorders>
              <w:top w:val="single" w:sz="4" w:space="0" w:color="auto"/>
            </w:tcBorders>
            <w:vAlign w:val="center"/>
          </w:tcPr>
          <w:p w14:paraId="2C3A5D40"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 xml:space="preserve">2027 </w:t>
            </w:r>
          </w:p>
        </w:tc>
        <w:tc>
          <w:tcPr>
            <w:tcW w:w="1418" w:type="dxa"/>
            <w:tcBorders>
              <w:top w:val="single" w:sz="4" w:space="0" w:color="auto"/>
            </w:tcBorders>
            <w:vAlign w:val="center"/>
          </w:tcPr>
          <w:p w14:paraId="2C3A5D41" w14:textId="77777777" w:rsidR="005C61BF" w:rsidRPr="00DF5C23" w:rsidRDefault="005C61BF" w:rsidP="009C47CC">
            <w:pPr>
              <w:jc w:val="center"/>
              <w:rPr>
                <w:b/>
                <w:noProof/>
                <w:sz w:val="20"/>
              </w:rPr>
            </w:pPr>
            <w:r w:rsidRPr="00DF5C23">
              <w:rPr>
                <w:b/>
                <w:noProof/>
                <w:sz w:val="20"/>
              </w:rPr>
              <w:t>TOTAL</w:t>
            </w:r>
          </w:p>
        </w:tc>
      </w:tr>
      <w:tr w:rsidR="005C61BF" w:rsidRPr="00DF5C23" w14:paraId="2C3A5D44" w14:textId="77777777" w:rsidTr="009C47CC">
        <w:trPr>
          <w:gridAfter w:val="9"/>
          <w:wAfter w:w="9300" w:type="dxa"/>
        </w:trPr>
        <w:tc>
          <w:tcPr>
            <w:tcW w:w="3960" w:type="dxa"/>
            <w:vAlign w:val="center"/>
          </w:tcPr>
          <w:p w14:paraId="2C3A5D43" w14:textId="77777777" w:rsidR="005C61BF" w:rsidRPr="00DF5C23" w:rsidRDefault="005C61BF" w:rsidP="009C47CC">
            <w:pPr>
              <w:spacing w:before="60" w:after="60"/>
              <w:jc w:val="center"/>
              <w:rPr>
                <w:noProof/>
              </w:rPr>
            </w:pPr>
            <w:r w:rsidRPr="00DF5C23">
              <w:rPr>
                <w:noProof/>
                <w:sz w:val="22"/>
              </w:rPr>
              <w:t>DG: ENER</w:t>
            </w:r>
          </w:p>
        </w:tc>
      </w:tr>
      <w:tr w:rsidR="005C61BF" w:rsidRPr="00DF5C23" w14:paraId="2C3A5D4D" w14:textId="77777777" w:rsidTr="009C47CC">
        <w:trPr>
          <w:trHeight w:val="313"/>
        </w:trPr>
        <w:tc>
          <w:tcPr>
            <w:tcW w:w="6054" w:type="dxa"/>
            <w:gridSpan w:val="3"/>
            <w:vAlign w:val="center"/>
          </w:tcPr>
          <w:p w14:paraId="2C3A5D45"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Human resources </w:t>
            </w:r>
          </w:p>
        </w:tc>
        <w:tc>
          <w:tcPr>
            <w:tcW w:w="868" w:type="dxa"/>
            <w:vAlign w:val="bottom"/>
          </w:tcPr>
          <w:p w14:paraId="2C3A5D46"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0,713</w:t>
            </w:r>
          </w:p>
        </w:tc>
        <w:tc>
          <w:tcPr>
            <w:tcW w:w="868" w:type="dxa"/>
            <w:vAlign w:val="bottom"/>
          </w:tcPr>
          <w:p w14:paraId="2C3A5D47"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2,070</w:t>
            </w:r>
          </w:p>
        </w:tc>
        <w:tc>
          <w:tcPr>
            <w:tcW w:w="868" w:type="dxa"/>
            <w:vAlign w:val="bottom"/>
          </w:tcPr>
          <w:p w14:paraId="2C3A5D48"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2,214</w:t>
            </w:r>
          </w:p>
        </w:tc>
        <w:tc>
          <w:tcPr>
            <w:tcW w:w="868" w:type="dxa"/>
            <w:vAlign w:val="bottom"/>
          </w:tcPr>
          <w:p w14:paraId="2C3A5D49"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2,214</w:t>
            </w:r>
          </w:p>
        </w:tc>
        <w:tc>
          <w:tcPr>
            <w:tcW w:w="868" w:type="dxa"/>
            <w:vAlign w:val="bottom"/>
          </w:tcPr>
          <w:p w14:paraId="2C3A5D4A"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2,214</w:t>
            </w:r>
          </w:p>
        </w:tc>
        <w:tc>
          <w:tcPr>
            <w:tcW w:w="1448" w:type="dxa"/>
            <w:vAlign w:val="bottom"/>
          </w:tcPr>
          <w:p w14:paraId="2C3A5D4B" w14:textId="77777777" w:rsidR="005C61BF" w:rsidRPr="00DF5C23" w:rsidRDefault="0069019C" w:rsidP="009C47CC">
            <w:pPr>
              <w:spacing w:before="20" w:after="20"/>
              <w:jc w:val="right"/>
              <w:rPr>
                <w:noProof/>
                <w:sz w:val="20"/>
              </w:rPr>
            </w:pPr>
            <w:r w:rsidRPr="00DF5C23">
              <w:rPr>
                <w:rFonts w:ascii="Calibri" w:hAnsi="Calibri" w:cs="Calibri"/>
                <w:noProof/>
                <w:color w:val="000000"/>
                <w:sz w:val="22"/>
              </w:rPr>
              <w:t>2,214</w:t>
            </w:r>
          </w:p>
        </w:tc>
        <w:tc>
          <w:tcPr>
            <w:tcW w:w="1418" w:type="dxa"/>
            <w:vAlign w:val="bottom"/>
          </w:tcPr>
          <w:p w14:paraId="2C3A5D4C" w14:textId="77777777" w:rsidR="005C61BF" w:rsidRPr="00DF5C23" w:rsidRDefault="0069019C" w:rsidP="009C47CC">
            <w:pPr>
              <w:spacing w:before="20" w:after="20"/>
              <w:jc w:val="right"/>
              <w:rPr>
                <w:b/>
                <w:noProof/>
                <w:sz w:val="20"/>
              </w:rPr>
            </w:pPr>
            <w:r w:rsidRPr="00DF5C23">
              <w:rPr>
                <w:rFonts w:ascii="Calibri" w:hAnsi="Calibri" w:cs="Calibri"/>
                <w:noProof/>
                <w:color w:val="FF0000"/>
                <w:sz w:val="22"/>
              </w:rPr>
              <w:t>11,639</w:t>
            </w:r>
          </w:p>
        </w:tc>
      </w:tr>
      <w:tr w:rsidR="005C61BF" w:rsidRPr="00DF5C23" w14:paraId="2C3A5D56" w14:textId="77777777" w:rsidTr="009C47CC">
        <w:trPr>
          <w:trHeight w:val="351"/>
        </w:trPr>
        <w:tc>
          <w:tcPr>
            <w:tcW w:w="6054" w:type="dxa"/>
            <w:gridSpan w:val="3"/>
            <w:vAlign w:val="center"/>
          </w:tcPr>
          <w:p w14:paraId="2C3A5D4E"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Other administrative expenditure </w:t>
            </w:r>
          </w:p>
        </w:tc>
        <w:tc>
          <w:tcPr>
            <w:tcW w:w="868" w:type="dxa"/>
            <w:vAlign w:val="bottom"/>
          </w:tcPr>
          <w:p w14:paraId="2C3A5D4F"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D50"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0,005</w:t>
            </w:r>
          </w:p>
        </w:tc>
        <w:tc>
          <w:tcPr>
            <w:tcW w:w="868" w:type="dxa"/>
            <w:vAlign w:val="bottom"/>
          </w:tcPr>
          <w:p w14:paraId="2C3A5D51"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868" w:type="dxa"/>
            <w:vAlign w:val="bottom"/>
          </w:tcPr>
          <w:p w14:paraId="2C3A5D52"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0,097</w:t>
            </w:r>
          </w:p>
        </w:tc>
        <w:tc>
          <w:tcPr>
            <w:tcW w:w="868" w:type="dxa"/>
            <w:vAlign w:val="bottom"/>
          </w:tcPr>
          <w:p w14:paraId="2C3A5D53"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0,096</w:t>
            </w:r>
          </w:p>
        </w:tc>
        <w:tc>
          <w:tcPr>
            <w:tcW w:w="1448" w:type="dxa"/>
            <w:vAlign w:val="bottom"/>
          </w:tcPr>
          <w:p w14:paraId="2C3A5D54"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0,090</w:t>
            </w:r>
          </w:p>
        </w:tc>
        <w:tc>
          <w:tcPr>
            <w:tcW w:w="1418" w:type="dxa"/>
            <w:vAlign w:val="bottom"/>
          </w:tcPr>
          <w:p w14:paraId="2C3A5D55" w14:textId="77777777" w:rsidR="005C61BF" w:rsidRPr="00DF5C23" w:rsidRDefault="005C61BF" w:rsidP="009C47CC">
            <w:pPr>
              <w:spacing w:before="20" w:after="20"/>
              <w:jc w:val="right"/>
              <w:rPr>
                <w:b/>
                <w:noProof/>
                <w:sz w:val="20"/>
              </w:rPr>
            </w:pPr>
            <w:r w:rsidRPr="00DF5C23">
              <w:rPr>
                <w:rFonts w:ascii="Calibri" w:hAnsi="Calibri" w:cs="Calibri"/>
                <w:noProof/>
                <w:color w:val="000000"/>
                <w:sz w:val="22"/>
              </w:rPr>
              <w:t>0,390</w:t>
            </w:r>
          </w:p>
        </w:tc>
      </w:tr>
      <w:tr w:rsidR="005C61BF" w:rsidRPr="00DF5C23" w14:paraId="2C3A5D60" w14:textId="77777777" w:rsidTr="009C47CC">
        <w:tc>
          <w:tcPr>
            <w:tcW w:w="3960" w:type="dxa"/>
            <w:tcBorders>
              <w:bottom w:val="single" w:sz="4" w:space="0" w:color="auto"/>
            </w:tcBorders>
            <w:vAlign w:val="center"/>
          </w:tcPr>
          <w:p w14:paraId="2C3A5D57" w14:textId="77777777" w:rsidR="005C61BF" w:rsidRPr="00DF5C23" w:rsidRDefault="005C61BF" w:rsidP="009C47CC">
            <w:pPr>
              <w:jc w:val="center"/>
              <w:rPr>
                <w:b/>
                <w:noProof/>
              </w:rPr>
            </w:pPr>
            <w:r w:rsidRPr="00DF5C23">
              <w:rPr>
                <w:b/>
                <w:noProof/>
                <w:sz w:val="22"/>
              </w:rPr>
              <w:t xml:space="preserve">TOTAL DG </w:t>
            </w:r>
            <w:r w:rsidRPr="00DF5C23">
              <w:rPr>
                <w:noProof/>
                <w:sz w:val="22"/>
              </w:rPr>
              <w:t>ENER</w:t>
            </w:r>
          </w:p>
        </w:tc>
        <w:tc>
          <w:tcPr>
            <w:tcW w:w="2094" w:type="dxa"/>
            <w:gridSpan w:val="2"/>
            <w:tcBorders>
              <w:bottom w:val="single" w:sz="4" w:space="0" w:color="auto"/>
            </w:tcBorders>
            <w:vAlign w:val="center"/>
          </w:tcPr>
          <w:p w14:paraId="2C3A5D58" w14:textId="77777777" w:rsidR="005C61BF" w:rsidRPr="00DF5C23" w:rsidRDefault="005C61BF" w:rsidP="009C47CC">
            <w:pPr>
              <w:rPr>
                <w:noProof/>
                <w:sz w:val="14"/>
              </w:rPr>
            </w:pPr>
            <w:r w:rsidRPr="00DF5C23">
              <w:rPr>
                <w:noProof/>
                <w:sz w:val="18"/>
              </w:rPr>
              <w:t xml:space="preserve">Appropriations </w:t>
            </w:r>
          </w:p>
        </w:tc>
        <w:tc>
          <w:tcPr>
            <w:tcW w:w="868" w:type="dxa"/>
            <w:tcBorders>
              <w:bottom w:val="single" w:sz="4" w:space="0" w:color="auto"/>
            </w:tcBorders>
            <w:vAlign w:val="bottom"/>
          </w:tcPr>
          <w:p w14:paraId="2C3A5D59" w14:textId="77777777" w:rsidR="005C61BF" w:rsidRPr="00DF5C23" w:rsidRDefault="0069019C" w:rsidP="009C47CC">
            <w:pPr>
              <w:spacing w:before="60" w:after="60"/>
              <w:jc w:val="right"/>
              <w:rPr>
                <w:noProof/>
              </w:rPr>
            </w:pPr>
            <w:r w:rsidRPr="00DF5C23">
              <w:rPr>
                <w:rFonts w:ascii="Calibri" w:hAnsi="Calibri" w:cs="Calibri"/>
                <w:noProof/>
                <w:color w:val="000000"/>
                <w:sz w:val="22"/>
              </w:rPr>
              <w:t>0,718</w:t>
            </w:r>
          </w:p>
        </w:tc>
        <w:tc>
          <w:tcPr>
            <w:tcW w:w="868" w:type="dxa"/>
            <w:tcBorders>
              <w:bottom w:val="single" w:sz="4" w:space="0" w:color="auto"/>
            </w:tcBorders>
            <w:vAlign w:val="bottom"/>
          </w:tcPr>
          <w:p w14:paraId="2C3A5D5A" w14:textId="77777777" w:rsidR="005C61BF" w:rsidRPr="00DF5C23" w:rsidRDefault="0069019C" w:rsidP="009C47CC">
            <w:pPr>
              <w:spacing w:before="20" w:after="20"/>
              <w:jc w:val="right"/>
              <w:rPr>
                <w:noProof/>
              </w:rPr>
            </w:pPr>
            <w:r w:rsidRPr="00DF5C23">
              <w:rPr>
                <w:rFonts w:ascii="Calibri" w:hAnsi="Calibri" w:cs="Calibri"/>
                <w:noProof/>
                <w:color w:val="000000"/>
                <w:sz w:val="22"/>
              </w:rPr>
              <w:t>2,075</w:t>
            </w:r>
          </w:p>
        </w:tc>
        <w:tc>
          <w:tcPr>
            <w:tcW w:w="868" w:type="dxa"/>
            <w:tcBorders>
              <w:bottom w:val="single" w:sz="4" w:space="0" w:color="auto"/>
            </w:tcBorders>
            <w:vAlign w:val="bottom"/>
          </w:tcPr>
          <w:p w14:paraId="2C3A5D5B" w14:textId="77777777" w:rsidR="005C61BF" w:rsidRPr="00DF5C23" w:rsidRDefault="0069019C" w:rsidP="009C47CC">
            <w:pPr>
              <w:spacing w:before="20" w:after="20"/>
              <w:jc w:val="right"/>
              <w:rPr>
                <w:noProof/>
              </w:rPr>
            </w:pPr>
            <w:r w:rsidRPr="00DF5C23">
              <w:rPr>
                <w:rFonts w:ascii="Calibri" w:hAnsi="Calibri" w:cs="Calibri"/>
                <w:noProof/>
                <w:color w:val="000000"/>
                <w:sz w:val="22"/>
              </w:rPr>
              <w:t>2,311</w:t>
            </w:r>
          </w:p>
        </w:tc>
        <w:tc>
          <w:tcPr>
            <w:tcW w:w="868" w:type="dxa"/>
            <w:tcBorders>
              <w:bottom w:val="single" w:sz="4" w:space="0" w:color="auto"/>
            </w:tcBorders>
            <w:vAlign w:val="bottom"/>
          </w:tcPr>
          <w:p w14:paraId="2C3A5D5C" w14:textId="77777777" w:rsidR="005C61BF" w:rsidRPr="00DF5C23" w:rsidRDefault="0069019C" w:rsidP="009C47CC">
            <w:pPr>
              <w:spacing w:before="20" w:after="20"/>
              <w:jc w:val="right"/>
              <w:rPr>
                <w:noProof/>
              </w:rPr>
            </w:pPr>
            <w:r w:rsidRPr="00DF5C23">
              <w:rPr>
                <w:rFonts w:ascii="Calibri" w:hAnsi="Calibri" w:cs="Calibri"/>
                <w:noProof/>
                <w:color w:val="000000"/>
                <w:sz w:val="22"/>
              </w:rPr>
              <w:t>2,311</w:t>
            </w:r>
          </w:p>
        </w:tc>
        <w:tc>
          <w:tcPr>
            <w:tcW w:w="868" w:type="dxa"/>
            <w:tcBorders>
              <w:bottom w:val="single" w:sz="4" w:space="0" w:color="auto"/>
            </w:tcBorders>
            <w:vAlign w:val="bottom"/>
          </w:tcPr>
          <w:p w14:paraId="2C3A5D5D" w14:textId="77777777" w:rsidR="005C61BF" w:rsidRPr="00DF5C23" w:rsidRDefault="0069019C" w:rsidP="009C47CC">
            <w:pPr>
              <w:spacing w:before="20" w:after="20"/>
              <w:jc w:val="right"/>
              <w:rPr>
                <w:noProof/>
              </w:rPr>
            </w:pPr>
            <w:r w:rsidRPr="00DF5C23">
              <w:rPr>
                <w:rFonts w:ascii="Calibri" w:hAnsi="Calibri" w:cs="Calibri"/>
                <w:noProof/>
                <w:color w:val="000000"/>
                <w:sz w:val="22"/>
              </w:rPr>
              <w:t>2,310</w:t>
            </w:r>
          </w:p>
        </w:tc>
        <w:tc>
          <w:tcPr>
            <w:tcW w:w="1448" w:type="dxa"/>
            <w:tcBorders>
              <w:bottom w:val="single" w:sz="4" w:space="0" w:color="auto"/>
            </w:tcBorders>
            <w:vAlign w:val="bottom"/>
          </w:tcPr>
          <w:p w14:paraId="2C3A5D5E" w14:textId="77777777" w:rsidR="005C61BF" w:rsidRPr="00DF5C23" w:rsidRDefault="0069019C" w:rsidP="009C47CC">
            <w:pPr>
              <w:spacing w:before="20" w:after="20"/>
              <w:jc w:val="right"/>
              <w:rPr>
                <w:noProof/>
              </w:rPr>
            </w:pPr>
            <w:r w:rsidRPr="00DF5C23">
              <w:rPr>
                <w:rFonts w:ascii="Calibri" w:hAnsi="Calibri" w:cs="Calibri"/>
                <w:noProof/>
                <w:color w:val="000000"/>
                <w:sz w:val="22"/>
              </w:rPr>
              <w:t>2,304</w:t>
            </w:r>
          </w:p>
        </w:tc>
        <w:tc>
          <w:tcPr>
            <w:tcW w:w="1418" w:type="dxa"/>
            <w:tcBorders>
              <w:bottom w:val="single" w:sz="4" w:space="0" w:color="auto"/>
            </w:tcBorders>
            <w:vAlign w:val="bottom"/>
          </w:tcPr>
          <w:p w14:paraId="2C3A5D5F" w14:textId="77777777" w:rsidR="005C61BF" w:rsidRPr="00DF5C23" w:rsidRDefault="0069019C" w:rsidP="009C47CC">
            <w:pPr>
              <w:spacing w:before="20" w:after="20"/>
              <w:jc w:val="right"/>
              <w:rPr>
                <w:b/>
                <w:noProof/>
                <w:sz w:val="20"/>
              </w:rPr>
            </w:pPr>
            <w:r w:rsidRPr="00DF5C23">
              <w:rPr>
                <w:rFonts w:ascii="Calibri" w:hAnsi="Calibri" w:cs="Calibri"/>
                <w:noProof/>
                <w:color w:val="000000"/>
                <w:sz w:val="22"/>
              </w:rPr>
              <w:t>12,029</w:t>
            </w:r>
          </w:p>
        </w:tc>
      </w:tr>
      <w:tr w:rsidR="005C61BF" w:rsidRPr="00DF5C23" w14:paraId="2C3A5D6A" w14:textId="77777777" w:rsidTr="009C47CC">
        <w:tc>
          <w:tcPr>
            <w:tcW w:w="3960" w:type="dxa"/>
            <w:tcBorders>
              <w:left w:val="nil"/>
              <w:bottom w:val="nil"/>
              <w:right w:val="nil"/>
            </w:tcBorders>
            <w:vAlign w:val="center"/>
          </w:tcPr>
          <w:p w14:paraId="2C3A5D61" w14:textId="77777777" w:rsidR="005C61BF" w:rsidRPr="00DF5C23" w:rsidRDefault="005C61BF" w:rsidP="009C47CC">
            <w:pPr>
              <w:jc w:val="center"/>
              <w:rPr>
                <w:b/>
                <w:noProof/>
                <w:sz w:val="22"/>
              </w:rPr>
            </w:pPr>
          </w:p>
        </w:tc>
        <w:tc>
          <w:tcPr>
            <w:tcW w:w="2094" w:type="dxa"/>
            <w:gridSpan w:val="2"/>
            <w:tcBorders>
              <w:left w:val="nil"/>
              <w:bottom w:val="nil"/>
              <w:right w:val="nil"/>
            </w:tcBorders>
            <w:vAlign w:val="center"/>
          </w:tcPr>
          <w:p w14:paraId="2C3A5D62" w14:textId="77777777" w:rsidR="005C61BF" w:rsidRPr="00DF5C23" w:rsidRDefault="005C61BF" w:rsidP="009C47CC">
            <w:pPr>
              <w:rPr>
                <w:noProof/>
                <w:sz w:val="18"/>
              </w:rPr>
            </w:pPr>
          </w:p>
        </w:tc>
        <w:tc>
          <w:tcPr>
            <w:tcW w:w="868" w:type="dxa"/>
            <w:tcBorders>
              <w:left w:val="nil"/>
              <w:bottom w:val="single" w:sz="4" w:space="0" w:color="auto"/>
              <w:right w:val="nil"/>
            </w:tcBorders>
            <w:vAlign w:val="center"/>
          </w:tcPr>
          <w:p w14:paraId="2C3A5D63" w14:textId="77777777" w:rsidR="005C61BF" w:rsidRPr="00DF5C23" w:rsidRDefault="005C61BF" w:rsidP="009C47CC">
            <w:pPr>
              <w:spacing w:before="60" w:after="60"/>
              <w:jc w:val="right"/>
              <w:rPr>
                <w:noProof/>
                <w:sz w:val="20"/>
              </w:rPr>
            </w:pPr>
          </w:p>
        </w:tc>
        <w:tc>
          <w:tcPr>
            <w:tcW w:w="868" w:type="dxa"/>
            <w:tcBorders>
              <w:left w:val="nil"/>
              <w:bottom w:val="single" w:sz="4" w:space="0" w:color="auto"/>
              <w:right w:val="nil"/>
            </w:tcBorders>
            <w:vAlign w:val="center"/>
          </w:tcPr>
          <w:p w14:paraId="2C3A5D64"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5"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6" w14:textId="77777777" w:rsidR="005C61BF" w:rsidRPr="00DF5C23" w:rsidRDefault="005C61BF" w:rsidP="009C47CC">
            <w:pPr>
              <w:spacing w:before="20" w:after="20"/>
              <w:jc w:val="right"/>
              <w:rPr>
                <w:noProof/>
                <w:sz w:val="20"/>
              </w:rPr>
            </w:pPr>
          </w:p>
        </w:tc>
        <w:tc>
          <w:tcPr>
            <w:tcW w:w="868" w:type="dxa"/>
            <w:tcBorders>
              <w:left w:val="nil"/>
              <w:bottom w:val="single" w:sz="4" w:space="0" w:color="auto"/>
              <w:right w:val="nil"/>
            </w:tcBorders>
            <w:vAlign w:val="center"/>
          </w:tcPr>
          <w:p w14:paraId="2C3A5D67" w14:textId="77777777" w:rsidR="005C61BF" w:rsidRPr="00DF5C23" w:rsidRDefault="005C61BF" w:rsidP="009C47CC">
            <w:pPr>
              <w:spacing w:before="20" w:after="20"/>
              <w:jc w:val="right"/>
              <w:rPr>
                <w:noProof/>
                <w:sz w:val="20"/>
              </w:rPr>
            </w:pPr>
          </w:p>
        </w:tc>
        <w:tc>
          <w:tcPr>
            <w:tcW w:w="1448" w:type="dxa"/>
            <w:tcBorders>
              <w:left w:val="nil"/>
              <w:bottom w:val="single" w:sz="4" w:space="0" w:color="auto"/>
              <w:right w:val="nil"/>
            </w:tcBorders>
            <w:vAlign w:val="center"/>
          </w:tcPr>
          <w:p w14:paraId="2C3A5D68" w14:textId="77777777" w:rsidR="005C61BF" w:rsidRPr="00DF5C23" w:rsidRDefault="005C61BF" w:rsidP="009C47CC">
            <w:pPr>
              <w:spacing w:before="20" w:after="20"/>
              <w:jc w:val="right"/>
              <w:rPr>
                <w:noProof/>
                <w:sz w:val="20"/>
              </w:rPr>
            </w:pPr>
          </w:p>
        </w:tc>
        <w:tc>
          <w:tcPr>
            <w:tcW w:w="1418" w:type="dxa"/>
            <w:tcBorders>
              <w:left w:val="nil"/>
              <w:bottom w:val="single" w:sz="4" w:space="0" w:color="auto"/>
            </w:tcBorders>
            <w:vAlign w:val="center"/>
          </w:tcPr>
          <w:p w14:paraId="2C3A5D69" w14:textId="77777777" w:rsidR="005C61BF" w:rsidRPr="00DF5C23" w:rsidRDefault="005C61BF" w:rsidP="009C47CC">
            <w:pPr>
              <w:spacing w:before="20" w:after="20"/>
              <w:jc w:val="right"/>
              <w:rPr>
                <w:b/>
                <w:noProof/>
                <w:sz w:val="20"/>
              </w:rPr>
            </w:pPr>
          </w:p>
        </w:tc>
      </w:tr>
      <w:tr w:rsidR="005C61BF" w:rsidRPr="00DF5C23" w14:paraId="2C3A5D75" w14:textId="77777777" w:rsidTr="009C47CC">
        <w:tc>
          <w:tcPr>
            <w:tcW w:w="3960" w:type="dxa"/>
            <w:tcBorders>
              <w:top w:val="nil"/>
              <w:left w:val="nil"/>
              <w:right w:val="nil"/>
            </w:tcBorders>
            <w:vAlign w:val="center"/>
          </w:tcPr>
          <w:p w14:paraId="2C3A5D6B" w14:textId="77777777" w:rsidR="005C61BF" w:rsidRPr="00DF5C23" w:rsidRDefault="005C61BF" w:rsidP="009C47CC">
            <w:pPr>
              <w:jc w:val="center"/>
              <w:rPr>
                <w:noProof/>
              </w:rPr>
            </w:pPr>
          </w:p>
        </w:tc>
        <w:tc>
          <w:tcPr>
            <w:tcW w:w="1560" w:type="dxa"/>
            <w:tcBorders>
              <w:top w:val="nil"/>
              <w:left w:val="nil"/>
              <w:right w:val="nil"/>
            </w:tcBorders>
          </w:tcPr>
          <w:p w14:paraId="2C3A5D6C" w14:textId="77777777" w:rsidR="005C61BF" w:rsidRPr="00DF5C23" w:rsidRDefault="005C61BF" w:rsidP="009C47CC">
            <w:pPr>
              <w:rPr>
                <w:noProof/>
                <w:sz w:val="20"/>
              </w:rPr>
            </w:pPr>
          </w:p>
        </w:tc>
        <w:tc>
          <w:tcPr>
            <w:tcW w:w="534" w:type="dxa"/>
            <w:tcBorders>
              <w:top w:val="nil"/>
              <w:left w:val="nil"/>
            </w:tcBorders>
          </w:tcPr>
          <w:p w14:paraId="2C3A5D6D" w14:textId="77777777" w:rsidR="005C61BF" w:rsidRPr="00DF5C23" w:rsidRDefault="005C61BF" w:rsidP="009C47CC">
            <w:pPr>
              <w:jc w:val="center"/>
              <w:rPr>
                <w:noProof/>
                <w:sz w:val="20"/>
              </w:rPr>
            </w:pPr>
          </w:p>
        </w:tc>
        <w:tc>
          <w:tcPr>
            <w:tcW w:w="868" w:type="dxa"/>
            <w:tcBorders>
              <w:top w:val="single" w:sz="4" w:space="0" w:color="auto"/>
            </w:tcBorders>
            <w:vAlign w:val="center"/>
          </w:tcPr>
          <w:p w14:paraId="2C3A5D6E" w14:textId="77777777" w:rsidR="005C61BF" w:rsidRPr="00DF5C23" w:rsidRDefault="005C61BF" w:rsidP="009C47CC">
            <w:pPr>
              <w:jc w:val="center"/>
              <w:rPr>
                <w:noProof/>
                <w:sz w:val="20"/>
              </w:rPr>
            </w:pPr>
            <w:r w:rsidRPr="00DF5C23">
              <w:rPr>
                <w:noProof/>
                <w:sz w:val="20"/>
                <w:szCs w:val="20"/>
              </w:rPr>
              <w:t>Year</w:t>
            </w:r>
            <w:r w:rsidRPr="00DF5C23">
              <w:rPr>
                <w:noProof/>
                <w:sz w:val="22"/>
              </w:rPr>
              <w:br/>
            </w:r>
            <w:r w:rsidRPr="00DF5C23">
              <w:rPr>
                <w:b/>
                <w:bCs/>
                <w:noProof/>
                <w:sz w:val="20"/>
                <w:szCs w:val="20"/>
              </w:rPr>
              <w:t>2022</w:t>
            </w:r>
          </w:p>
        </w:tc>
        <w:tc>
          <w:tcPr>
            <w:tcW w:w="868" w:type="dxa"/>
            <w:tcBorders>
              <w:top w:val="single" w:sz="4" w:space="0" w:color="auto"/>
            </w:tcBorders>
            <w:vAlign w:val="center"/>
          </w:tcPr>
          <w:p w14:paraId="2C3A5D6F"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2023</w:t>
            </w:r>
          </w:p>
        </w:tc>
        <w:tc>
          <w:tcPr>
            <w:tcW w:w="868" w:type="dxa"/>
            <w:tcBorders>
              <w:top w:val="single" w:sz="4" w:space="0" w:color="auto"/>
            </w:tcBorders>
            <w:vAlign w:val="center"/>
          </w:tcPr>
          <w:p w14:paraId="2C3A5D70"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2024</w:t>
            </w:r>
          </w:p>
        </w:tc>
        <w:tc>
          <w:tcPr>
            <w:tcW w:w="868" w:type="dxa"/>
            <w:tcBorders>
              <w:top w:val="single" w:sz="4" w:space="0" w:color="auto"/>
            </w:tcBorders>
            <w:vAlign w:val="center"/>
          </w:tcPr>
          <w:p w14:paraId="2C3A5D71" w14:textId="77777777" w:rsidR="005C61BF" w:rsidRPr="00DF5C23" w:rsidRDefault="005C61BF" w:rsidP="009C47CC">
            <w:pPr>
              <w:jc w:val="center"/>
              <w:rPr>
                <w:noProof/>
                <w:sz w:val="20"/>
              </w:rPr>
            </w:pPr>
            <w:r w:rsidRPr="00DF5C23">
              <w:rPr>
                <w:noProof/>
                <w:sz w:val="20"/>
              </w:rPr>
              <w:t>Year</w:t>
            </w:r>
            <w:r w:rsidRPr="00DF5C23">
              <w:rPr>
                <w:noProof/>
                <w:sz w:val="22"/>
              </w:rPr>
              <w:br/>
            </w:r>
            <w:r w:rsidRPr="00DF5C23">
              <w:rPr>
                <w:b/>
                <w:noProof/>
                <w:sz w:val="20"/>
              </w:rPr>
              <w:t>2025</w:t>
            </w:r>
          </w:p>
        </w:tc>
        <w:tc>
          <w:tcPr>
            <w:tcW w:w="868" w:type="dxa"/>
            <w:tcBorders>
              <w:top w:val="single" w:sz="4" w:space="0" w:color="auto"/>
            </w:tcBorders>
            <w:vAlign w:val="center"/>
          </w:tcPr>
          <w:p w14:paraId="2C3A5D72"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2026</w:t>
            </w:r>
          </w:p>
        </w:tc>
        <w:tc>
          <w:tcPr>
            <w:tcW w:w="1448" w:type="dxa"/>
            <w:tcBorders>
              <w:top w:val="single" w:sz="4" w:space="0" w:color="auto"/>
            </w:tcBorders>
            <w:vAlign w:val="center"/>
          </w:tcPr>
          <w:p w14:paraId="2C3A5D73" w14:textId="77777777" w:rsidR="005C61BF" w:rsidRPr="00DF5C23" w:rsidRDefault="005C61BF" w:rsidP="009C47CC">
            <w:pPr>
              <w:jc w:val="center"/>
              <w:rPr>
                <w:b/>
                <w:noProof/>
                <w:sz w:val="18"/>
              </w:rPr>
            </w:pPr>
            <w:r w:rsidRPr="00DF5C23">
              <w:rPr>
                <w:noProof/>
                <w:sz w:val="20"/>
              </w:rPr>
              <w:t>Year</w:t>
            </w:r>
            <w:r w:rsidRPr="00DF5C23">
              <w:rPr>
                <w:noProof/>
                <w:sz w:val="22"/>
              </w:rPr>
              <w:br/>
            </w:r>
            <w:r w:rsidRPr="00DF5C23">
              <w:rPr>
                <w:b/>
                <w:noProof/>
                <w:sz w:val="20"/>
              </w:rPr>
              <w:t xml:space="preserve">2027 </w:t>
            </w:r>
          </w:p>
        </w:tc>
        <w:tc>
          <w:tcPr>
            <w:tcW w:w="1418" w:type="dxa"/>
            <w:tcBorders>
              <w:top w:val="single" w:sz="4" w:space="0" w:color="auto"/>
            </w:tcBorders>
            <w:vAlign w:val="center"/>
          </w:tcPr>
          <w:p w14:paraId="2C3A5D74" w14:textId="77777777" w:rsidR="005C61BF" w:rsidRPr="00DF5C23" w:rsidRDefault="005C61BF" w:rsidP="009C47CC">
            <w:pPr>
              <w:jc w:val="center"/>
              <w:rPr>
                <w:b/>
                <w:noProof/>
                <w:sz w:val="20"/>
              </w:rPr>
            </w:pPr>
            <w:r w:rsidRPr="00DF5C23">
              <w:rPr>
                <w:b/>
                <w:noProof/>
                <w:sz w:val="20"/>
              </w:rPr>
              <w:t>TOTAL</w:t>
            </w:r>
          </w:p>
        </w:tc>
      </w:tr>
      <w:tr w:rsidR="005C61BF" w:rsidRPr="00DF5C23" w14:paraId="2C3A5D77" w14:textId="77777777" w:rsidTr="009C47CC">
        <w:trPr>
          <w:gridAfter w:val="9"/>
          <w:wAfter w:w="9300" w:type="dxa"/>
        </w:trPr>
        <w:tc>
          <w:tcPr>
            <w:tcW w:w="3960" w:type="dxa"/>
            <w:vAlign w:val="center"/>
          </w:tcPr>
          <w:p w14:paraId="2C3A5D76" w14:textId="77777777" w:rsidR="005C61BF" w:rsidRPr="00DF5C23" w:rsidRDefault="005C61BF" w:rsidP="009C47CC">
            <w:pPr>
              <w:spacing w:before="60" w:after="60"/>
              <w:jc w:val="center"/>
              <w:rPr>
                <w:noProof/>
              </w:rPr>
            </w:pPr>
            <w:r w:rsidRPr="00DF5C23">
              <w:rPr>
                <w:noProof/>
                <w:sz w:val="22"/>
              </w:rPr>
              <w:t>DG: TAXUD</w:t>
            </w:r>
          </w:p>
        </w:tc>
      </w:tr>
      <w:tr w:rsidR="005C61BF" w:rsidRPr="00DF5C23" w14:paraId="2C3A5D80" w14:textId="77777777" w:rsidTr="009C47CC">
        <w:trPr>
          <w:trHeight w:val="313"/>
        </w:trPr>
        <w:tc>
          <w:tcPr>
            <w:tcW w:w="6054" w:type="dxa"/>
            <w:gridSpan w:val="3"/>
            <w:vAlign w:val="center"/>
          </w:tcPr>
          <w:p w14:paraId="2C3A5D78"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Human resources </w:t>
            </w:r>
          </w:p>
        </w:tc>
        <w:tc>
          <w:tcPr>
            <w:tcW w:w="868" w:type="dxa"/>
            <w:vAlign w:val="bottom"/>
          </w:tcPr>
          <w:p w14:paraId="2C3A5D79"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0,000</w:t>
            </w:r>
          </w:p>
        </w:tc>
        <w:tc>
          <w:tcPr>
            <w:tcW w:w="868" w:type="dxa"/>
            <w:vAlign w:val="bottom"/>
          </w:tcPr>
          <w:p w14:paraId="2C3A5D7A"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0,236</w:t>
            </w:r>
          </w:p>
        </w:tc>
        <w:tc>
          <w:tcPr>
            <w:tcW w:w="868" w:type="dxa"/>
            <w:vAlign w:val="bottom"/>
          </w:tcPr>
          <w:p w14:paraId="2C3A5D7B"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868" w:type="dxa"/>
            <w:vAlign w:val="bottom"/>
          </w:tcPr>
          <w:p w14:paraId="2C3A5D7C"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868" w:type="dxa"/>
            <w:vAlign w:val="bottom"/>
          </w:tcPr>
          <w:p w14:paraId="2C3A5D7D"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1448" w:type="dxa"/>
            <w:vAlign w:val="bottom"/>
          </w:tcPr>
          <w:p w14:paraId="2C3A5D7E"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1418" w:type="dxa"/>
            <w:vAlign w:val="bottom"/>
          </w:tcPr>
          <w:p w14:paraId="2C3A5D7F"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sz w:val="22"/>
              </w:rPr>
              <w:t>1,492</w:t>
            </w:r>
          </w:p>
        </w:tc>
      </w:tr>
      <w:tr w:rsidR="005C61BF" w:rsidRPr="00DF5C23" w14:paraId="2C3A5D89" w14:textId="77777777" w:rsidTr="009C47CC">
        <w:trPr>
          <w:trHeight w:val="351"/>
        </w:trPr>
        <w:tc>
          <w:tcPr>
            <w:tcW w:w="6054" w:type="dxa"/>
            <w:gridSpan w:val="3"/>
            <w:vAlign w:val="center"/>
          </w:tcPr>
          <w:p w14:paraId="2C3A5D81" w14:textId="77777777" w:rsidR="005C61BF" w:rsidRPr="00DF5C23" w:rsidRDefault="005C61BF" w:rsidP="009C47CC">
            <w:pPr>
              <w:spacing w:before="20" w:after="20"/>
              <w:rPr>
                <w:noProof/>
              </w:rPr>
            </w:pPr>
            <w:r w:rsidRPr="00DF5C23">
              <w:rPr>
                <w:noProof/>
                <w:sz w:val="22"/>
              </w:rPr>
              <w:sym w:font="Wingdings" w:char="F09F"/>
            </w:r>
            <w:r w:rsidRPr="00DF5C23">
              <w:rPr>
                <w:noProof/>
                <w:sz w:val="22"/>
              </w:rPr>
              <w:t xml:space="preserve"> Other administrative expenditure </w:t>
            </w:r>
          </w:p>
        </w:tc>
        <w:tc>
          <w:tcPr>
            <w:tcW w:w="868" w:type="dxa"/>
            <w:vAlign w:val="center"/>
          </w:tcPr>
          <w:p w14:paraId="2C3A5D82"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868" w:type="dxa"/>
            <w:vAlign w:val="center"/>
          </w:tcPr>
          <w:p w14:paraId="2C3A5D83"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868" w:type="dxa"/>
            <w:vAlign w:val="center"/>
          </w:tcPr>
          <w:p w14:paraId="2C3A5D84"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868" w:type="dxa"/>
            <w:vAlign w:val="center"/>
          </w:tcPr>
          <w:p w14:paraId="2C3A5D85"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868" w:type="dxa"/>
            <w:vAlign w:val="center"/>
          </w:tcPr>
          <w:p w14:paraId="2C3A5D86"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1448" w:type="dxa"/>
            <w:vAlign w:val="center"/>
          </w:tcPr>
          <w:p w14:paraId="2C3A5D87"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c>
          <w:tcPr>
            <w:tcW w:w="1418" w:type="dxa"/>
            <w:vAlign w:val="center"/>
          </w:tcPr>
          <w:p w14:paraId="2C3A5D88"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w:t>
            </w:r>
          </w:p>
        </w:tc>
      </w:tr>
      <w:tr w:rsidR="005C61BF" w:rsidRPr="00DF5C23" w14:paraId="2C3A5D93" w14:textId="77777777" w:rsidTr="009C47CC">
        <w:tc>
          <w:tcPr>
            <w:tcW w:w="3960" w:type="dxa"/>
            <w:vAlign w:val="center"/>
          </w:tcPr>
          <w:p w14:paraId="2C3A5D8A" w14:textId="77777777" w:rsidR="005C61BF" w:rsidRPr="00DF5C23" w:rsidRDefault="005C61BF" w:rsidP="009C47CC">
            <w:pPr>
              <w:jc w:val="center"/>
              <w:rPr>
                <w:b/>
                <w:noProof/>
              </w:rPr>
            </w:pPr>
            <w:r w:rsidRPr="00DF5C23">
              <w:rPr>
                <w:b/>
                <w:noProof/>
                <w:sz w:val="22"/>
              </w:rPr>
              <w:t xml:space="preserve">TOTAL DG </w:t>
            </w:r>
            <w:r w:rsidRPr="00DF5C23">
              <w:rPr>
                <w:noProof/>
                <w:sz w:val="22"/>
              </w:rPr>
              <w:t>TAXUD</w:t>
            </w:r>
          </w:p>
        </w:tc>
        <w:tc>
          <w:tcPr>
            <w:tcW w:w="2094" w:type="dxa"/>
            <w:gridSpan w:val="2"/>
            <w:vAlign w:val="center"/>
          </w:tcPr>
          <w:p w14:paraId="2C3A5D8B" w14:textId="77777777" w:rsidR="005C61BF" w:rsidRPr="00DF5C23" w:rsidRDefault="005C61BF" w:rsidP="009C47CC">
            <w:pPr>
              <w:rPr>
                <w:noProof/>
                <w:sz w:val="14"/>
              </w:rPr>
            </w:pPr>
            <w:r w:rsidRPr="00DF5C23">
              <w:rPr>
                <w:noProof/>
                <w:sz w:val="18"/>
              </w:rPr>
              <w:t xml:space="preserve">Appropriations </w:t>
            </w:r>
          </w:p>
        </w:tc>
        <w:tc>
          <w:tcPr>
            <w:tcW w:w="868" w:type="dxa"/>
            <w:vAlign w:val="bottom"/>
          </w:tcPr>
          <w:p w14:paraId="2C3A5D8C"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0,000</w:t>
            </w:r>
          </w:p>
        </w:tc>
        <w:tc>
          <w:tcPr>
            <w:tcW w:w="868" w:type="dxa"/>
            <w:vAlign w:val="bottom"/>
          </w:tcPr>
          <w:p w14:paraId="2C3A5D8D"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0,236</w:t>
            </w:r>
          </w:p>
        </w:tc>
        <w:tc>
          <w:tcPr>
            <w:tcW w:w="868" w:type="dxa"/>
            <w:vAlign w:val="bottom"/>
          </w:tcPr>
          <w:p w14:paraId="2C3A5D8E"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868" w:type="dxa"/>
            <w:vAlign w:val="bottom"/>
          </w:tcPr>
          <w:p w14:paraId="2C3A5D8F"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868" w:type="dxa"/>
            <w:vAlign w:val="bottom"/>
          </w:tcPr>
          <w:p w14:paraId="2C3A5D90"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1448" w:type="dxa"/>
            <w:vAlign w:val="bottom"/>
          </w:tcPr>
          <w:p w14:paraId="2C3A5D91"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color w:val="000000"/>
                <w:sz w:val="22"/>
              </w:rPr>
              <w:t>0,314</w:t>
            </w:r>
          </w:p>
        </w:tc>
        <w:tc>
          <w:tcPr>
            <w:tcW w:w="1418" w:type="dxa"/>
            <w:vAlign w:val="bottom"/>
          </w:tcPr>
          <w:p w14:paraId="2C3A5D92" w14:textId="77777777" w:rsidR="005C61BF" w:rsidRPr="00DF5C23" w:rsidRDefault="005C61BF" w:rsidP="009C47CC">
            <w:pPr>
              <w:spacing w:before="20" w:after="20"/>
              <w:jc w:val="right"/>
              <w:rPr>
                <w:rFonts w:ascii="Calibri" w:hAnsi="Calibri" w:cs="Calibri"/>
                <w:noProof/>
                <w:color w:val="000000"/>
                <w:sz w:val="22"/>
              </w:rPr>
            </w:pPr>
            <w:r w:rsidRPr="00DF5C23">
              <w:rPr>
                <w:rFonts w:ascii="Calibri" w:hAnsi="Calibri" w:cs="Calibri"/>
                <w:noProof/>
                <w:sz w:val="22"/>
              </w:rPr>
              <w:t>1,492</w:t>
            </w:r>
          </w:p>
        </w:tc>
      </w:tr>
    </w:tbl>
    <w:p w14:paraId="2C3A5D94" w14:textId="77777777" w:rsidR="00BF1765" w:rsidRPr="00DF5C23" w:rsidRDefault="00BF1765" w:rsidP="00BF1765">
      <w:pPr>
        <w:rPr>
          <w:rFonts w:eastAsia="Calibr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448"/>
        <w:gridCol w:w="1418"/>
      </w:tblGrid>
      <w:tr w:rsidR="005C61BF" w:rsidRPr="00DF5C23" w14:paraId="2C3A5D9E" w14:textId="77777777" w:rsidTr="00A63641">
        <w:tc>
          <w:tcPr>
            <w:tcW w:w="3960" w:type="dxa"/>
            <w:shd w:val="thinDiagStripe" w:color="C0C0C0" w:fill="auto"/>
            <w:vAlign w:val="center"/>
          </w:tcPr>
          <w:p w14:paraId="2C3A5D95" w14:textId="77777777" w:rsidR="005C61BF" w:rsidRPr="00DF5C23" w:rsidRDefault="005C61BF" w:rsidP="005C61BF">
            <w:pPr>
              <w:jc w:val="center"/>
              <w:rPr>
                <w:rFonts w:eastAsia="Calibri"/>
                <w:b/>
                <w:noProof/>
              </w:rPr>
            </w:pPr>
            <w:r w:rsidRPr="00DF5C23">
              <w:rPr>
                <w:rFonts w:eastAsia="Calibri"/>
                <w:b/>
                <w:noProof/>
                <w:sz w:val="22"/>
              </w:rPr>
              <w:t>TOTAL appropriations</w:t>
            </w:r>
            <w:r w:rsidRPr="00DF5C23">
              <w:rPr>
                <w:rFonts w:eastAsia="Calibri"/>
                <w:noProof/>
                <w:sz w:val="22"/>
              </w:rPr>
              <w:br/>
            </w:r>
            <w:r w:rsidRPr="00DF5C23">
              <w:rPr>
                <w:rFonts w:eastAsia="Calibri"/>
                <w:b/>
                <w:noProof/>
                <w:sz w:val="22"/>
              </w:rPr>
              <w:t>under HEADING 7</w:t>
            </w:r>
            <w:r w:rsidRPr="00DF5C23">
              <w:rPr>
                <w:rFonts w:eastAsia="Calibri"/>
                <w:noProof/>
                <w:sz w:val="22"/>
              </w:rPr>
              <w:br/>
              <w:t>of the multiannual financial framework</w:t>
            </w:r>
            <w:r w:rsidRPr="00DF5C23">
              <w:rPr>
                <w:rFonts w:eastAsia="Calibri"/>
                <w:b/>
                <w:noProof/>
                <w:sz w:val="22"/>
              </w:rPr>
              <w:t xml:space="preserve"> </w:t>
            </w:r>
          </w:p>
        </w:tc>
        <w:tc>
          <w:tcPr>
            <w:tcW w:w="2094" w:type="dxa"/>
            <w:vAlign w:val="center"/>
          </w:tcPr>
          <w:p w14:paraId="2C3A5D96" w14:textId="77777777" w:rsidR="005C61BF" w:rsidRPr="00DF5C23" w:rsidRDefault="005C61BF" w:rsidP="005C61BF">
            <w:pPr>
              <w:spacing w:before="40" w:after="40"/>
              <w:rPr>
                <w:rFonts w:eastAsia="Calibri"/>
                <w:noProof/>
              </w:rPr>
            </w:pPr>
            <w:r w:rsidRPr="00DF5C23">
              <w:rPr>
                <w:rFonts w:eastAsia="Calibri"/>
                <w:noProof/>
                <w:sz w:val="18"/>
              </w:rPr>
              <w:t>(Total commitments = Total payments)</w:t>
            </w:r>
          </w:p>
        </w:tc>
        <w:tc>
          <w:tcPr>
            <w:tcW w:w="868" w:type="dxa"/>
            <w:vAlign w:val="bottom"/>
          </w:tcPr>
          <w:p w14:paraId="2C3A5D97"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1,781</w:t>
            </w:r>
          </w:p>
        </w:tc>
        <w:tc>
          <w:tcPr>
            <w:tcW w:w="868" w:type="dxa"/>
            <w:vAlign w:val="bottom"/>
          </w:tcPr>
          <w:p w14:paraId="2C3A5D98"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5,816</w:t>
            </w:r>
          </w:p>
        </w:tc>
        <w:tc>
          <w:tcPr>
            <w:tcW w:w="868" w:type="dxa"/>
            <w:vAlign w:val="bottom"/>
          </w:tcPr>
          <w:p w14:paraId="2C3A5D99"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7,370</w:t>
            </w:r>
          </w:p>
        </w:tc>
        <w:tc>
          <w:tcPr>
            <w:tcW w:w="868" w:type="dxa"/>
            <w:vAlign w:val="bottom"/>
          </w:tcPr>
          <w:p w14:paraId="2C3A5D9A"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7,658</w:t>
            </w:r>
          </w:p>
        </w:tc>
        <w:tc>
          <w:tcPr>
            <w:tcW w:w="868" w:type="dxa"/>
            <w:vAlign w:val="bottom"/>
          </w:tcPr>
          <w:p w14:paraId="2C3A5D9B"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7,887</w:t>
            </w:r>
          </w:p>
        </w:tc>
        <w:tc>
          <w:tcPr>
            <w:tcW w:w="1448" w:type="dxa"/>
            <w:vAlign w:val="bottom"/>
          </w:tcPr>
          <w:p w14:paraId="2C3A5D9C"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8,109</w:t>
            </w:r>
          </w:p>
        </w:tc>
        <w:tc>
          <w:tcPr>
            <w:tcW w:w="1418" w:type="dxa"/>
            <w:vAlign w:val="bottom"/>
          </w:tcPr>
          <w:p w14:paraId="2C3A5D9D" w14:textId="77777777" w:rsidR="005C61BF" w:rsidRPr="00DF5C23" w:rsidRDefault="0069019C" w:rsidP="005C61BF">
            <w:pPr>
              <w:spacing w:before="20" w:after="20"/>
              <w:jc w:val="right"/>
              <w:rPr>
                <w:rFonts w:ascii="Calibri" w:eastAsia="Calibri" w:hAnsi="Calibri" w:cs="Calibri"/>
                <w:noProof/>
                <w:color w:val="000000"/>
                <w:sz w:val="22"/>
              </w:rPr>
            </w:pPr>
            <w:r w:rsidRPr="00DF5C23">
              <w:rPr>
                <w:rFonts w:ascii="Calibri" w:hAnsi="Calibri" w:cs="Calibri"/>
                <w:noProof/>
                <w:color w:val="000000"/>
                <w:sz w:val="22"/>
              </w:rPr>
              <w:t>38,621</w:t>
            </w:r>
          </w:p>
        </w:tc>
      </w:tr>
    </w:tbl>
    <w:p w14:paraId="2C3A5D9F" w14:textId="77777777" w:rsidR="00BF1765" w:rsidRPr="00DF5C23" w:rsidRDefault="00BF1765" w:rsidP="00BF1765">
      <w:pPr>
        <w:jc w:val="right"/>
        <w:rPr>
          <w:rFonts w:eastAsia="Calibri"/>
          <w:noProof/>
          <w:sz w:val="20"/>
        </w:rPr>
      </w:pPr>
      <w:r w:rsidRPr="00DF5C23">
        <w:rPr>
          <w:rFonts w:eastAsia="Calibri"/>
          <w:noProof/>
          <w:sz w:val="20"/>
        </w:rPr>
        <w:t>EUR million (to three decimal places)</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892"/>
        <w:gridCol w:w="951"/>
        <w:gridCol w:w="992"/>
        <w:gridCol w:w="993"/>
        <w:gridCol w:w="992"/>
        <w:gridCol w:w="992"/>
        <w:gridCol w:w="992"/>
        <w:gridCol w:w="1134"/>
      </w:tblGrid>
      <w:tr w:rsidR="00BF1765" w:rsidRPr="00DF5C23" w14:paraId="2C3A5DAB" w14:textId="77777777" w:rsidTr="00EC0E40">
        <w:tc>
          <w:tcPr>
            <w:tcW w:w="3960" w:type="dxa"/>
            <w:tcBorders>
              <w:top w:val="nil"/>
              <w:left w:val="nil"/>
              <w:right w:val="nil"/>
            </w:tcBorders>
            <w:vAlign w:val="center"/>
          </w:tcPr>
          <w:p w14:paraId="2C3A5DA0" w14:textId="77777777" w:rsidR="00BF1765" w:rsidRPr="00DF5C23" w:rsidRDefault="00BF1765" w:rsidP="00BF1765">
            <w:pPr>
              <w:jc w:val="center"/>
              <w:rPr>
                <w:rFonts w:eastAsia="Calibri"/>
                <w:noProof/>
              </w:rPr>
            </w:pPr>
          </w:p>
        </w:tc>
        <w:tc>
          <w:tcPr>
            <w:tcW w:w="1560" w:type="dxa"/>
            <w:tcBorders>
              <w:top w:val="nil"/>
              <w:left w:val="nil"/>
              <w:right w:val="nil"/>
            </w:tcBorders>
          </w:tcPr>
          <w:p w14:paraId="2C3A5DA1" w14:textId="77777777" w:rsidR="00BF1765" w:rsidRPr="00DF5C23" w:rsidRDefault="00BF1765" w:rsidP="00BF1765">
            <w:pPr>
              <w:rPr>
                <w:rFonts w:eastAsia="Calibri"/>
                <w:noProof/>
                <w:sz w:val="20"/>
              </w:rPr>
            </w:pPr>
          </w:p>
        </w:tc>
        <w:tc>
          <w:tcPr>
            <w:tcW w:w="510" w:type="dxa"/>
            <w:tcBorders>
              <w:top w:val="nil"/>
              <w:left w:val="nil"/>
            </w:tcBorders>
          </w:tcPr>
          <w:p w14:paraId="2C3A5DA2" w14:textId="77777777" w:rsidR="00BF1765" w:rsidRPr="00DF5C23" w:rsidRDefault="00BF1765" w:rsidP="00BF1765">
            <w:pPr>
              <w:jc w:val="center"/>
              <w:rPr>
                <w:rFonts w:eastAsia="Calibri"/>
                <w:noProof/>
                <w:sz w:val="20"/>
              </w:rPr>
            </w:pPr>
          </w:p>
        </w:tc>
        <w:tc>
          <w:tcPr>
            <w:tcW w:w="892" w:type="dxa"/>
            <w:vAlign w:val="center"/>
          </w:tcPr>
          <w:p w14:paraId="2C3A5DA3" w14:textId="77777777" w:rsidR="00BF1765" w:rsidRPr="00DF5C23" w:rsidRDefault="00BF1765" w:rsidP="00BF1765">
            <w:pPr>
              <w:jc w:val="center"/>
              <w:rPr>
                <w:rFonts w:eastAsia="Calibri"/>
                <w:noProof/>
                <w:sz w:val="20"/>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951" w:type="dxa"/>
            <w:vAlign w:val="center"/>
          </w:tcPr>
          <w:p w14:paraId="2C3A5DA4"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992" w:type="dxa"/>
            <w:vAlign w:val="center"/>
          </w:tcPr>
          <w:p w14:paraId="2C3A5DA5"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993" w:type="dxa"/>
            <w:vAlign w:val="center"/>
          </w:tcPr>
          <w:p w14:paraId="2C3A5DA6"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992" w:type="dxa"/>
            <w:vAlign w:val="center"/>
          </w:tcPr>
          <w:p w14:paraId="2C3A5DA7"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992" w:type="dxa"/>
            <w:vAlign w:val="center"/>
          </w:tcPr>
          <w:p w14:paraId="2C3A5DA8" w14:textId="77777777" w:rsidR="00BF1765" w:rsidRPr="00DF5C23" w:rsidRDefault="00BF1765" w:rsidP="00BF1765">
            <w:pPr>
              <w:jc w:val="center"/>
              <w:rPr>
                <w:rFonts w:eastAsia="Calibri"/>
                <w:b/>
                <w:noProof/>
                <w:sz w:val="18"/>
              </w:rPr>
            </w:pPr>
            <w:r w:rsidRPr="00DF5C23">
              <w:rPr>
                <w:rFonts w:eastAsia="Calibri"/>
                <w:noProof/>
                <w:sz w:val="20"/>
              </w:rPr>
              <w:t>Year</w:t>
            </w:r>
            <w:r w:rsidRPr="00DF5C23">
              <w:rPr>
                <w:rFonts w:eastAsia="Calibri"/>
                <w:noProof/>
                <w:sz w:val="22"/>
              </w:rPr>
              <w:br/>
            </w:r>
            <w:r w:rsidRPr="00DF5C23">
              <w:rPr>
                <w:rFonts w:eastAsia="Calibri"/>
                <w:b/>
                <w:noProof/>
                <w:sz w:val="20"/>
              </w:rPr>
              <w:t xml:space="preserve">2027 </w:t>
            </w:r>
          </w:p>
        </w:tc>
        <w:tc>
          <w:tcPr>
            <w:tcW w:w="992" w:type="dxa"/>
          </w:tcPr>
          <w:p w14:paraId="2C3A5DA9" w14:textId="77777777" w:rsidR="00A63641" w:rsidRPr="00DF5C23" w:rsidRDefault="00A63641" w:rsidP="00BF1765">
            <w:pPr>
              <w:jc w:val="center"/>
              <w:rPr>
                <w:rFonts w:eastAsia="Calibri"/>
                <w:noProof/>
                <w:sz w:val="20"/>
                <w:szCs w:val="20"/>
              </w:rPr>
            </w:pPr>
            <w:r w:rsidRPr="00DF5C23">
              <w:rPr>
                <w:rFonts w:eastAsia="Calibri"/>
                <w:noProof/>
                <w:sz w:val="20"/>
                <w:szCs w:val="20"/>
              </w:rPr>
              <w:t>Post 2027</w:t>
            </w:r>
          </w:p>
        </w:tc>
        <w:tc>
          <w:tcPr>
            <w:tcW w:w="1134" w:type="dxa"/>
            <w:vAlign w:val="center"/>
          </w:tcPr>
          <w:p w14:paraId="2C3A5DAA" w14:textId="77777777" w:rsidR="00BF1765" w:rsidRPr="00DF5C23" w:rsidRDefault="00BF1765" w:rsidP="00BF1765">
            <w:pPr>
              <w:jc w:val="center"/>
              <w:rPr>
                <w:rFonts w:eastAsia="Calibri"/>
                <w:b/>
                <w:noProof/>
                <w:sz w:val="20"/>
              </w:rPr>
            </w:pPr>
            <w:r w:rsidRPr="00DF5C23">
              <w:rPr>
                <w:rFonts w:eastAsia="Calibri"/>
                <w:b/>
                <w:noProof/>
                <w:sz w:val="20"/>
              </w:rPr>
              <w:t>TOTAL</w:t>
            </w:r>
          </w:p>
        </w:tc>
      </w:tr>
      <w:tr w:rsidR="005C61BF" w:rsidRPr="00DF5C23" w14:paraId="2C3A5DB7" w14:textId="77777777" w:rsidTr="00EC0E40">
        <w:tc>
          <w:tcPr>
            <w:tcW w:w="3960" w:type="dxa"/>
            <w:vMerge w:val="restart"/>
            <w:shd w:val="clear" w:color="auto" w:fill="C0C0C0"/>
            <w:vAlign w:val="center"/>
          </w:tcPr>
          <w:p w14:paraId="2C3A5DAC" w14:textId="77777777" w:rsidR="005C61BF" w:rsidRPr="00DF5C23" w:rsidRDefault="005C61BF" w:rsidP="005C61BF">
            <w:pPr>
              <w:jc w:val="center"/>
              <w:rPr>
                <w:rFonts w:eastAsia="Calibri"/>
                <w:b/>
                <w:noProof/>
              </w:rPr>
            </w:pPr>
            <w:r w:rsidRPr="00DF5C23">
              <w:rPr>
                <w:rFonts w:eastAsia="Calibri"/>
                <w:b/>
                <w:noProof/>
                <w:sz w:val="22"/>
              </w:rPr>
              <w:t xml:space="preserve">TOTAL appropriations </w:t>
            </w:r>
            <w:r w:rsidRPr="00DF5C23">
              <w:rPr>
                <w:rFonts w:eastAsia="Calibri"/>
                <w:noProof/>
                <w:sz w:val="22"/>
              </w:rPr>
              <w:br/>
            </w:r>
            <w:r w:rsidRPr="00DF5C23">
              <w:rPr>
                <w:rFonts w:eastAsia="Calibri"/>
                <w:b/>
                <w:noProof/>
                <w:sz w:val="22"/>
              </w:rPr>
              <w:t>under HEADINGS 1 to 7</w:t>
            </w:r>
            <w:r w:rsidRPr="00DF5C23">
              <w:rPr>
                <w:rFonts w:eastAsia="Calibri"/>
                <w:noProof/>
                <w:sz w:val="22"/>
              </w:rPr>
              <w:br/>
              <w:t>of the multiannual financial framework</w:t>
            </w:r>
            <w:r w:rsidRPr="00DF5C23">
              <w:rPr>
                <w:rFonts w:eastAsia="Calibri"/>
                <w:b/>
                <w:noProof/>
                <w:sz w:val="22"/>
              </w:rPr>
              <w:t xml:space="preserve"> </w:t>
            </w:r>
          </w:p>
        </w:tc>
        <w:tc>
          <w:tcPr>
            <w:tcW w:w="2070" w:type="dxa"/>
            <w:gridSpan w:val="2"/>
            <w:vAlign w:val="center"/>
          </w:tcPr>
          <w:p w14:paraId="2C3A5DAD" w14:textId="77777777" w:rsidR="005C61BF" w:rsidRPr="00DF5C23" w:rsidRDefault="005C61BF" w:rsidP="005C61BF">
            <w:pPr>
              <w:rPr>
                <w:rFonts w:eastAsia="Calibri"/>
                <w:noProof/>
                <w:sz w:val="14"/>
              </w:rPr>
            </w:pPr>
            <w:r w:rsidRPr="00DF5C23">
              <w:rPr>
                <w:rFonts w:eastAsia="Calibri"/>
                <w:noProof/>
                <w:sz w:val="18"/>
              </w:rPr>
              <w:t>Commitments</w:t>
            </w:r>
          </w:p>
        </w:tc>
        <w:tc>
          <w:tcPr>
            <w:tcW w:w="892" w:type="dxa"/>
            <w:vAlign w:val="bottom"/>
          </w:tcPr>
          <w:p w14:paraId="2C3A5DAE"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9,081</w:t>
            </w:r>
          </w:p>
        </w:tc>
        <w:tc>
          <w:tcPr>
            <w:tcW w:w="951" w:type="dxa"/>
            <w:vAlign w:val="bottom"/>
          </w:tcPr>
          <w:p w14:paraId="2C3A5DAF"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14,416</w:t>
            </w:r>
          </w:p>
        </w:tc>
        <w:tc>
          <w:tcPr>
            <w:tcW w:w="992" w:type="dxa"/>
            <w:vAlign w:val="bottom"/>
          </w:tcPr>
          <w:p w14:paraId="2C3A5DB0"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17,</w:t>
            </w:r>
            <w:r w:rsidR="00401706" w:rsidRPr="00DF5C23">
              <w:rPr>
                <w:rFonts w:ascii="Calibri" w:hAnsi="Calibri" w:cs="Calibri"/>
                <w:noProof/>
                <w:color w:val="000000"/>
                <w:sz w:val="22"/>
              </w:rPr>
              <w:t>970</w:t>
            </w:r>
          </w:p>
        </w:tc>
        <w:tc>
          <w:tcPr>
            <w:tcW w:w="993" w:type="dxa"/>
            <w:vAlign w:val="bottom"/>
          </w:tcPr>
          <w:p w14:paraId="2C3A5DB1" w14:textId="77777777" w:rsidR="005C61BF" w:rsidRPr="00DF5C23" w:rsidRDefault="00401706" w:rsidP="005C61BF">
            <w:pPr>
              <w:spacing w:before="60" w:after="60"/>
              <w:jc w:val="right"/>
              <w:rPr>
                <w:rFonts w:eastAsia="Calibri"/>
                <w:noProof/>
                <w:sz w:val="20"/>
              </w:rPr>
            </w:pPr>
            <w:r w:rsidRPr="00DF5C23">
              <w:rPr>
                <w:rFonts w:ascii="Calibri" w:hAnsi="Calibri" w:cs="Calibri"/>
                <w:noProof/>
                <w:color w:val="000000"/>
                <w:sz w:val="22"/>
              </w:rPr>
              <w:t>19,308</w:t>
            </w:r>
          </w:p>
        </w:tc>
        <w:tc>
          <w:tcPr>
            <w:tcW w:w="992" w:type="dxa"/>
            <w:vAlign w:val="bottom"/>
          </w:tcPr>
          <w:p w14:paraId="2C3A5DB2"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22,</w:t>
            </w:r>
            <w:r w:rsidR="00401706" w:rsidRPr="00DF5C23">
              <w:rPr>
                <w:rFonts w:ascii="Calibri" w:hAnsi="Calibri" w:cs="Calibri"/>
                <w:noProof/>
                <w:color w:val="000000"/>
                <w:sz w:val="22"/>
              </w:rPr>
              <w:t>537</w:t>
            </w:r>
          </w:p>
        </w:tc>
        <w:tc>
          <w:tcPr>
            <w:tcW w:w="992" w:type="dxa"/>
            <w:vAlign w:val="bottom"/>
          </w:tcPr>
          <w:p w14:paraId="2C3A5DB3"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22,</w:t>
            </w:r>
            <w:r w:rsidR="00401706" w:rsidRPr="00DF5C23">
              <w:rPr>
                <w:rFonts w:ascii="Calibri" w:hAnsi="Calibri" w:cs="Calibri"/>
                <w:noProof/>
                <w:color w:val="000000"/>
                <w:sz w:val="22"/>
              </w:rPr>
              <w:t>559</w:t>
            </w:r>
          </w:p>
        </w:tc>
        <w:tc>
          <w:tcPr>
            <w:tcW w:w="992" w:type="dxa"/>
          </w:tcPr>
          <w:p w14:paraId="2C3A5DB4" w14:textId="77777777" w:rsidR="00D217AB" w:rsidRPr="00DF5C23" w:rsidRDefault="00D217AB" w:rsidP="00D217AB">
            <w:pPr>
              <w:spacing w:before="20" w:after="20"/>
              <w:jc w:val="right"/>
              <w:rPr>
                <w:rFonts w:ascii="Calibri" w:hAnsi="Calibri" w:cs="Calibri"/>
                <w:noProof/>
                <w:color w:val="000000"/>
                <w:sz w:val="22"/>
              </w:rPr>
            </w:pPr>
          </w:p>
        </w:tc>
        <w:tc>
          <w:tcPr>
            <w:tcW w:w="1134" w:type="dxa"/>
            <w:vAlign w:val="bottom"/>
          </w:tcPr>
          <w:p w14:paraId="2C3A5DB5" w14:textId="77777777" w:rsidR="00401706" w:rsidRPr="00DF5C23" w:rsidRDefault="00401706" w:rsidP="00401706">
            <w:pPr>
              <w:spacing w:before="0" w:after="0"/>
              <w:jc w:val="right"/>
              <w:rPr>
                <w:rFonts w:ascii="Calibri" w:hAnsi="Calibri" w:cs="Calibri"/>
                <w:noProof/>
                <w:color w:val="000000"/>
                <w:sz w:val="22"/>
              </w:rPr>
            </w:pPr>
            <w:r w:rsidRPr="00DF5C23">
              <w:rPr>
                <w:rFonts w:ascii="Calibri" w:hAnsi="Calibri" w:cs="Calibri"/>
                <w:noProof/>
                <w:color w:val="000000"/>
                <w:sz w:val="22"/>
              </w:rPr>
              <w:t>105,871</w:t>
            </w:r>
          </w:p>
          <w:p w14:paraId="2C3A5DB6" w14:textId="77777777" w:rsidR="005C61BF" w:rsidRPr="00DF5C23" w:rsidRDefault="005C61BF" w:rsidP="005C61BF">
            <w:pPr>
              <w:spacing w:before="20" w:after="20"/>
              <w:jc w:val="right"/>
              <w:rPr>
                <w:rFonts w:eastAsia="Calibri"/>
                <w:b/>
                <w:noProof/>
                <w:sz w:val="20"/>
              </w:rPr>
            </w:pPr>
          </w:p>
        </w:tc>
      </w:tr>
      <w:tr w:rsidR="005C61BF" w:rsidRPr="00DF5C23" w14:paraId="2C3A5DC2" w14:textId="77777777" w:rsidTr="00EC0E40">
        <w:tc>
          <w:tcPr>
            <w:tcW w:w="3960" w:type="dxa"/>
            <w:vMerge/>
            <w:shd w:val="clear" w:color="auto" w:fill="C0C0C0"/>
          </w:tcPr>
          <w:p w14:paraId="2C3A5DB8" w14:textId="77777777" w:rsidR="005C61BF" w:rsidRPr="00DF5C23" w:rsidRDefault="005C61BF" w:rsidP="005C61BF">
            <w:pPr>
              <w:rPr>
                <w:rFonts w:eastAsia="Calibri"/>
                <w:noProof/>
                <w:sz w:val="20"/>
              </w:rPr>
            </w:pPr>
          </w:p>
        </w:tc>
        <w:tc>
          <w:tcPr>
            <w:tcW w:w="2070" w:type="dxa"/>
            <w:gridSpan w:val="2"/>
            <w:vAlign w:val="center"/>
          </w:tcPr>
          <w:p w14:paraId="2C3A5DB9" w14:textId="77777777" w:rsidR="005C61BF" w:rsidRPr="00DF5C23" w:rsidRDefault="005C61BF" w:rsidP="005C61BF">
            <w:pPr>
              <w:rPr>
                <w:rFonts w:eastAsia="Calibri"/>
                <w:noProof/>
                <w:sz w:val="14"/>
              </w:rPr>
            </w:pPr>
            <w:r w:rsidRPr="00DF5C23">
              <w:rPr>
                <w:rFonts w:eastAsia="Calibri"/>
                <w:noProof/>
                <w:sz w:val="18"/>
              </w:rPr>
              <w:t>Payments</w:t>
            </w:r>
          </w:p>
        </w:tc>
        <w:tc>
          <w:tcPr>
            <w:tcW w:w="892" w:type="dxa"/>
            <w:vAlign w:val="bottom"/>
          </w:tcPr>
          <w:p w14:paraId="2C3A5DBA"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3,</w:t>
            </w:r>
            <w:r w:rsidR="00401706" w:rsidRPr="00DF5C23">
              <w:rPr>
                <w:rFonts w:ascii="Calibri" w:hAnsi="Calibri" w:cs="Calibri"/>
                <w:noProof/>
                <w:color w:val="000000"/>
                <w:sz w:val="22"/>
              </w:rPr>
              <w:t>972</w:t>
            </w:r>
          </w:p>
        </w:tc>
        <w:tc>
          <w:tcPr>
            <w:tcW w:w="951" w:type="dxa"/>
            <w:vAlign w:val="bottom"/>
          </w:tcPr>
          <w:p w14:paraId="2C3A5DBB"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10,</w:t>
            </w:r>
            <w:r w:rsidR="00401706" w:rsidRPr="00DF5C23">
              <w:rPr>
                <w:rFonts w:ascii="Calibri" w:hAnsi="Calibri" w:cs="Calibri"/>
                <w:noProof/>
                <w:color w:val="000000"/>
                <w:sz w:val="22"/>
              </w:rPr>
              <w:t>585</w:t>
            </w:r>
          </w:p>
        </w:tc>
        <w:tc>
          <w:tcPr>
            <w:tcW w:w="992" w:type="dxa"/>
            <w:vAlign w:val="bottom"/>
          </w:tcPr>
          <w:p w14:paraId="2C3A5DBC" w14:textId="77777777" w:rsidR="005C61BF" w:rsidRPr="00DF5C23" w:rsidRDefault="00401706" w:rsidP="005C61BF">
            <w:pPr>
              <w:spacing w:before="60" w:after="60"/>
              <w:jc w:val="right"/>
              <w:rPr>
                <w:rFonts w:eastAsia="Calibri"/>
                <w:noProof/>
                <w:sz w:val="20"/>
              </w:rPr>
            </w:pPr>
            <w:r w:rsidRPr="00DF5C23">
              <w:rPr>
                <w:rFonts w:ascii="Calibri" w:hAnsi="Calibri" w:cs="Calibri"/>
                <w:noProof/>
                <w:color w:val="000000"/>
                <w:sz w:val="22"/>
              </w:rPr>
              <w:t>16,211</w:t>
            </w:r>
          </w:p>
        </w:tc>
        <w:tc>
          <w:tcPr>
            <w:tcW w:w="993" w:type="dxa"/>
            <w:vAlign w:val="bottom"/>
          </w:tcPr>
          <w:p w14:paraId="2C3A5DBD"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17,</w:t>
            </w:r>
            <w:r w:rsidR="00401706" w:rsidRPr="00DF5C23">
              <w:rPr>
                <w:rFonts w:ascii="Calibri" w:hAnsi="Calibri" w:cs="Calibri"/>
                <w:noProof/>
                <w:color w:val="000000"/>
                <w:sz w:val="22"/>
              </w:rPr>
              <w:t>912</w:t>
            </w:r>
          </w:p>
        </w:tc>
        <w:tc>
          <w:tcPr>
            <w:tcW w:w="992" w:type="dxa"/>
            <w:vAlign w:val="bottom"/>
          </w:tcPr>
          <w:p w14:paraId="2C3A5DBE"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19,</w:t>
            </w:r>
            <w:r w:rsidR="00401706" w:rsidRPr="00DF5C23">
              <w:rPr>
                <w:rFonts w:ascii="Calibri" w:hAnsi="Calibri" w:cs="Calibri"/>
                <w:noProof/>
                <w:color w:val="000000"/>
                <w:sz w:val="22"/>
              </w:rPr>
              <w:t>997</w:t>
            </w:r>
          </w:p>
        </w:tc>
        <w:tc>
          <w:tcPr>
            <w:tcW w:w="992" w:type="dxa"/>
            <w:vAlign w:val="bottom"/>
          </w:tcPr>
          <w:p w14:paraId="2C3A5DBF" w14:textId="77777777" w:rsidR="005C61BF" w:rsidRPr="00DF5C23" w:rsidRDefault="00D217AB" w:rsidP="005C61BF">
            <w:pPr>
              <w:spacing w:before="60" w:after="60"/>
              <w:jc w:val="right"/>
              <w:rPr>
                <w:rFonts w:eastAsia="Calibri"/>
                <w:noProof/>
                <w:sz w:val="20"/>
              </w:rPr>
            </w:pPr>
            <w:r w:rsidRPr="00DF5C23">
              <w:rPr>
                <w:rFonts w:ascii="Calibri" w:hAnsi="Calibri" w:cs="Calibri"/>
                <w:noProof/>
                <w:color w:val="000000"/>
                <w:sz w:val="22"/>
              </w:rPr>
              <w:t>21,</w:t>
            </w:r>
            <w:r w:rsidR="00401706" w:rsidRPr="00DF5C23">
              <w:rPr>
                <w:rFonts w:ascii="Calibri" w:hAnsi="Calibri" w:cs="Calibri"/>
                <w:noProof/>
                <w:color w:val="000000"/>
                <w:sz w:val="22"/>
              </w:rPr>
              <w:t>419</w:t>
            </w:r>
          </w:p>
        </w:tc>
        <w:tc>
          <w:tcPr>
            <w:tcW w:w="992" w:type="dxa"/>
            <w:vAlign w:val="bottom"/>
          </w:tcPr>
          <w:p w14:paraId="2C3A5DC0" w14:textId="77777777" w:rsidR="00D217AB" w:rsidRPr="00DF5C23" w:rsidRDefault="00D217AB" w:rsidP="00D217AB">
            <w:pPr>
              <w:spacing w:before="20" w:after="20"/>
              <w:jc w:val="right"/>
              <w:rPr>
                <w:rFonts w:ascii="Calibri" w:hAnsi="Calibri" w:cs="Calibri"/>
                <w:noProof/>
                <w:color w:val="000000"/>
                <w:sz w:val="22"/>
              </w:rPr>
            </w:pPr>
            <w:r w:rsidRPr="00DF5C23">
              <w:rPr>
                <w:rFonts w:ascii="Calibri" w:hAnsi="Calibri" w:cs="Calibri"/>
                <w:noProof/>
                <w:color w:val="000000"/>
                <w:sz w:val="22"/>
              </w:rPr>
              <w:t>15,</w:t>
            </w:r>
            <w:r w:rsidR="00401706" w:rsidRPr="00DF5C23">
              <w:rPr>
                <w:rFonts w:ascii="Calibri" w:hAnsi="Calibri" w:cs="Calibri"/>
                <w:noProof/>
                <w:color w:val="000000"/>
                <w:sz w:val="22"/>
              </w:rPr>
              <w:t>775</w:t>
            </w:r>
          </w:p>
        </w:tc>
        <w:tc>
          <w:tcPr>
            <w:tcW w:w="1134" w:type="dxa"/>
            <w:vAlign w:val="bottom"/>
          </w:tcPr>
          <w:p w14:paraId="2C3A5DC1" w14:textId="77777777" w:rsidR="005C61BF" w:rsidRPr="00DF5C23" w:rsidRDefault="00401706" w:rsidP="005C61BF">
            <w:pPr>
              <w:spacing w:before="20" w:after="20"/>
              <w:jc w:val="right"/>
              <w:rPr>
                <w:rFonts w:eastAsia="Calibri"/>
                <w:b/>
                <w:noProof/>
                <w:sz w:val="20"/>
              </w:rPr>
            </w:pPr>
            <w:r w:rsidRPr="00DF5C23">
              <w:rPr>
                <w:rFonts w:ascii="Calibri" w:hAnsi="Calibri" w:cs="Calibri"/>
                <w:noProof/>
                <w:color w:val="000000"/>
                <w:sz w:val="22"/>
              </w:rPr>
              <w:t>105,871</w:t>
            </w:r>
          </w:p>
        </w:tc>
      </w:tr>
    </w:tbl>
    <w:p w14:paraId="2C3A5DC3" w14:textId="77777777" w:rsidR="00BF1765" w:rsidRPr="00DF5C23" w:rsidRDefault="00BF1765" w:rsidP="00BF1765">
      <w:pPr>
        <w:rPr>
          <w:rFonts w:eastAsia="Calibri"/>
          <w:noProof/>
        </w:rPr>
      </w:pPr>
    </w:p>
    <w:p w14:paraId="2C3A5DC4" w14:textId="4A8589F6" w:rsidR="003102BB" w:rsidRPr="00DF5C23" w:rsidRDefault="004F5E59" w:rsidP="004F5E59">
      <w:pPr>
        <w:pStyle w:val="ManualHeading3"/>
        <w:rPr>
          <w:bCs/>
          <w:noProof/>
          <w:szCs w:val="24"/>
        </w:rPr>
      </w:pPr>
      <w:bookmarkStart w:id="58" w:name="_Toc514938054"/>
      <w:bookmarkStart w:id="59" w:name="_Toc520485053"/>
      <w:r w:rsidRPr="004F5E59">
        <w:t>3.2.2.</w:t>
      </w:r>
      <w:r w:rsidRPr="004F5E59">
        <w:tab/>
      </w:r>
      <w:r w:rsidR="003102BB" w:rsidRPr="00DF5C23">
        <w:rPr>
          <w:noProof/>
        </w:rPr>
        <w:t>Estimated output funded with operational appropriations</w:t>
      </w:r>
      <w:bookmarkEnd w:id="58"/>
      <w:bookmarkEnd w:id="59"/>
      <w:r w:rsidR="003102BB" w:rsidRPr="00DF5C23">
        <w:rPr>
          <w:noProof/>
        </w:rPr>
        <w:t xml:space="preserve"> </w:t>
      </w:r>
    </w:p>
    <w:p w14:paraId="2C3A5DC5"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1418" w:hanging="568"/>
        <w:rPr>
          <w:rFonts w:eastAsia="Calibri"/>
          <w:noProof/>
        </w:rPr>
      </w:pPr>
      <w:r w:rsidRPr="00DF5C23">
        <w:rPr>
          <w:rFonts w:eastAsia="Calibri"/>
          <w:noProof/>
        </w:rPr>
        <w:t>Specific objectives:</w:t>
      </w:r>
    </w:p>
    <w:p w14:paraId="2C3A5DC6"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1418" w:hanging="568"/>
        <w:rPr>
          <w:rFonts w:eastAsia="Calibri"/>
          <w:noProof/>
        </w:rPr>
      </w:pPr>
      <w:r w:rsidRPr="00DF5C23">
        <w:rPr>
          <w:rFonts w:eastAsia="Calibri"/>
          <w:noProof/>
        </w:rPr>
        <w:t>No 1: Improve products environmental sustainability and access to sustainability information along the supply chain</w:t>
      </w:r>
    </w:p>
    <w:p w14:paraId="2C3A5DC7"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No 2: Incentivise more sustainable products and business models to improve value retention</w:t>
      </w:r>
    </w:p>
    <w:p w14:paraId="2C3A5DC8"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r w:rsidRPr="00DF5C23">
        <w:rPr>
          <w:rFonts w:eastAsia="Calibri"/>
          <w:noProof/>
        </w:rPr>
        <w:t>No 3:</w:t>
      </w:r>
      <w:r w:rsidRPr="00DF5C23">
        <w:rPr>
          <w:rFonts w:eastAsia="Calibri"/>
          <w:noProof/>
        </w:rPr>
        <w:tab/>
        <w:t>Improve application of sustainable product legislative framework</w:t>
      </w:r>
    </w:p>
    <w:p w14:paraId="2C3A5DC9" w14:textId="77777777" w:rsidR="00BF1765" w:rsidRPr="00DF5C23" w:rsidRDefault="00BF1765" w:rsidP="00BF1765">
      <w:pPr>
        <w:jc w:val="right"/>
        <w:rPr>
          <w:rFonts w:eastAsia="Calibri"/>
          <w:noProof/>
          <w:sz w:val="20"/>
        </w:rPr>
      </w:pPr>
    </w:p>
    <w:p w14:paraId="2C3A5DCA" w14:textId="77777777" w:rsidR="00BF1765" w:rsidRPr="00DF5C23" w:rsidRDefault="00BF1765" w:rsidP="00BF1765">
      <w:pPr>
        <w:jc w:val="right"/>
        <w:rPr>
          <w:rFonts w:eastAsia="Calibri"/>
          <w:noProof/>
          <w:sz w:val="20"/>
        </w:rPr>
      </w:pPr>
      <w:r w:rsidRPr="00DF5C23">
        <w:rPr>
          <w:rFonts w:eastAsia="Calibri"/>
          <w:noProof/>
          <w:sz w:val="20"/>
        </w:rPr>
        <w:t>Commitment appropriations in EUR million (to three decimal places)</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969"/>
        <w:gridCol w:w="700"/>
        <w:gridCol w:w="503"/>
        <w:gridCol w:w="720"/>
        <w:gridCol w:w="540"/>
        <w:gridCol w:w="720"/>
        <w:gridCol w:w="720"/>
        <w:gridCol w:w="720"/>
        <w:gridCol w:w="900"/>
        <w:gridCol w:w="29"/>
        <w:gridCol w:w="691"/>
        <w:gridCol w:w="540"/>
        <w:gridCol w:w="753"/>
        <w:gridCol w:w="426"/>
        <w:gridCol w:w="850"/>
        <w:gridCol w:w="567"/>
        <w:gridCol w:w="851"/>
        <w:gridCol w:w="338"/>
        <w:gridCol w:w="236"/>
      </w:tblGrid>
      <w:tr w:rsidR="005C61BF" w:rsidRPr="00DF5C23" w14:paraId="2C3A5DD7" w14:textId="77777777" w:rsidTr="009C47CC">
        <w:trPr>
          <w:gridAfter w:val="2"/>
          <w:wAfter w:w="574" w:type="dxa"/>
          <w:jc w:val="center"/>
        </w:trPr>
        <w:tc>
          <w:tcPr>
            <w:tcW w:w="1171" w:type="dxa"/>
            <w:vMerge w:val="restart"/>
            <w:vAlign w:val="center"/>
          </w:tcPr>
          <w:p w14:paraId="2C3A5DCB" w14:textId="77777777" w:rsidR="005C61BF" w:rsidRPr="00DF5C23" w:rsidRDefault="005C61BF" w:rsidP="009C47CC">
            <w:pPr>
              <w:ind w:right="-29"/>
              <w:jc w:val="center"/>
              <w:rPr>
                <w:b/>
                <w:noProof/>
                <w:sz w:val="18"/>
                <w:szCs w:val="18"/>
              </w:rPr>
            </w:pPr>
            <w:r w:rsidRPr="00DF5C23">
              <w:rPr>
                <w:b/>
                <w:noProof/>
                <w:sz w:val="18"/>
              </w:rPr>
              <w:t xml:space="preserve">Indicate objectives and outputs </w:t>
            </w:r>
          </w:p>
          <w:p w14:paraId="2C3A5DCC" w14:textId="77777777" w:rsidR="005C61BF" w:rsidRPr="00DF5C23" w:rsidRDefault="005C61BF" w:rsidP="009C47CC">
            <w:pPr>
              <w:ind w:right="-29"/>
              <w:jc w:val="center"/>
              <w:rPr>
                <w:b/>
                <w:noProof/>
                <w:sz w:val="18"/>
                <w:szCs w:val="18"/>
              </w:rPr>
            </w:pPr>
          </w:p>
          <w:p w14:paraId="2C3A5DCD" w14:textId="77777777" w:rsidR="005C61BF" w:rsidRPr="00DF5C23" w:rsidRDefault="005C61BF" w:rsidP="009C47CC">
            <w:pPr>
              <w:ind w:right="-29"/>
              <w:jc w:val="center"/>
              <w:rPr>
                <w:noProof/>
                <w:sz w:val="18"/>
                <w:szCs w:val="18"/>
              </w:rPr>
            </w:pPr>
            <w:r w:rsidRPr="00DF5C23">
              <w:rPr>
                <w:noProof/>
                <w:sz w:val="18"/>
              </w:rPr>
              <w:sym w:font="Wingdings" w:char="F0F2"/>
            </w:r>
          </w:p>
        </w:tc>
        <w:tc>
          <w:tcPr>
            <w:tcW w:w="969" w:type="dxa"/>
            <w:vAlign w:val="center"/>
          </w:tcPr>
          <w:p w14:paraId="2C3A5DCE" w14:textId="77777777" w:rsidR="005C61BF" w:rsidRPr="00DF5C23" w:rsidRDefault="005C61BF" w:rsidP="009C47CC">
            <w:pPr>
              <w:ind w:right="-29"/>
              <w:jc w:val="center"/>
              <w:rPr>
                <w:noProof/>
                <w:sz w:val="18"/>
                <w:szCs w:val="18"/>
              </w:rPr>
            </w:pPr>
          </w:p>
        </w:tc>
        <w:tc>
          <w:tcPr>
            <w:tcW w:w="700" w:type="dxa"/>
            <w:vAlign w:val="center"/>
          </w:tcPr>
          <w:p w14:paraId="2C3A5DCF" w14:textId="77777777" w:rsidR="005C61BF" w:rsidRPr="00DF5C23" w:rsidRDefault="005C61BF" w:rsidP="009C47CC">
            <w:pPr>
              <w:ind w:right="-29"/>
              <w:jc w:val="center"/>
              <w:rPr>
                <w:noProof/>
                <w:sz w:val="18"/>
                <w:szCs w:val="18"/>
              </w:rPr>
            </w:pPr>
          </w:p>
        </w:tc>
        <w:tc>
          <w:tcPr>
            <w:tcW w:w="1223" w:type="dxa"/>
            <w:gridSpan w:val="2"/>
            <w:tcBorders>
              <w:left w:val="nil"/>
            </w:tcBorders>
            <w:vAlign w:val="center"/>
          </w:tcPr>
          <w:p w14:paraId="2C3A5DD0" w14:textId="77777777" w:rsidR="005C61BF" w:rsidRPr="00DF5C23" w:rsidRDefault="005C61BF" w:rsidP="009C47CC">
            <w:pPr>
              <w:ind w:right="-29"/>
              <w:jc w:val="center"/>
              <w:rPr>
                <w:noProof/>
                <w:sz w:val="18"/>
                <w:szCs w:val="18"/>
              </w:rPr>
            </w:pPr>
            <w:r w:rsidRPr="00DF5C23">
              <w:rPr>
                <w:noProof/>
                <w:sz w:val="20"/>
                <w:szCs w:val="20"/>
              </w:rPr>
              <w:t>Year</w:t>
            </w:r>
            <w:r w:rsidRPr="00DF5C23">
              <w:rPr>
                <w:noProof/>
                <w:sz w:val="22"/>
              </w:rPr>
              <w:br/>
            </w:r>
            <w:r w:rsidRPr="00DF5C23">
              <w:rPr>
                <w:b/>
                <w:bCs/>
                <w:noProof/>
                <w:sz w:val="20"/>
                <w:szCs w:val="20"/>
              </w:rPr>
              <w:t>2022</w:t>
            </w:r>
          </w:p>
        </w:tc>
        <w:tc>
          <w:tcPr>
            <w:tcW w:w="1260" w:type="dxa"/>
            <w:gridSpan w:val="2"/>
            <w:vAlign w:val="center"/>
          </w:tcPr>
          <w:p w14:paraId="2C3A5DD1" w14:textId="77777777" w:rsidR="005C61BF" w:rsidRPr="00DF5C23" w:rsidRDefault="005C61BF" w:rsidP="009C47CC">
            <w:pPr>
              <w:ind w:right="-29"/>
              <w:jc w:val="center"/>
              <w:rPr>
                <w:noProof/>
                <w:sz w:val="18"/>
                <w:szCs w:val="18"/>
              </w:rPr>
            </w:pPr>
            <w:r w:rsidRPr="00DF5C23">
              <w:rPr>
                <w:noProof/>
                <w:sz w:val="20"/>
              </w:rPr>
              <w:t>Year</w:t>
            </w:r>
            <w:r w:rsidRPr="00DF5C23">
              <w:rPr>
                <w:noProof/>
                <w:sz w:val="22"/>
              </w:rPr>
              <w:br/>
            </w:r>
            <w:r w:rsidRPr="00DF5C23">
              <w:rPr>
                <w:b/>
                <w:noProof/>
                <w:sz w:val="20"/>
              </w:rPr>
              <w:t>2023</w:t>
            </w:r>
          </w:p>
        </w:tc>
        <w:tc>
          <w:tcPr>
            <w:tcW w:w="1440" w:type="dxa"/>
            <w:gridSpan w:val="2"/>
            <w:vAlign w:val="center"/>
          </w:tcPr>
          <w:p w14:paraId="2C3A5DD2" w14:textId="77777777" w:rsidR="005C61BF" w:rsidRPr="00DF5C23" w:rsidRDefault="005C61BF" w:rsidP="009C47CC">
            <w:pPr>
              <w:ind w:right="-29"/>
              <w:jc w:val="center"/>
              <w:rPr>
                <w:noProof/>
                <w:sz w:val="18"/>
                <w:szCs w:val="18"/>
              </w:rPr>
            </w:pPr>
            <w:r w:rsidRPr="00DF5C23">
              <w:rPr>
                <w:noProof/>
                <w:sz w:val="20"/>
              </w:rPr>
              <w:t>Year</w:t>
            </w:r>
            <w:r w:rsidRPr="00DF5C23">
              <w:rPr>
                <w:noProof/>
                <w:sz w:val="22"/>
              </w:rPr>
              <w:br/>
            </w:r>
            <w:r w:rsidRPr="00DF5C23">
              <w:rPr>
                <w:b/>
                <w:noProof/>
                <w:sz w:val="20"/>
              </w:rPr>
              <w:t>2024</w:t>
            </w:r>
          </w:p>
        </w:tc>
        <w:tc>
          <w:tcPr>
            <w:tcW w:w="1620" w:type="dxa"/>
            <w:gridSpan w:val="3"/>
            <w:vAlign w:val="center"/>
          </w:tcPr>
          <w:p w14:paraId="2C3A5DD3" w14:textId="77777777" w:rsidR="005C61BF" w:rsidRPr="00DF5C23" w:rsidRDefault="005C61BF" w:rsidP="009C47CC">
            <w:pPr>
              <w:ind w:right="-29"/>
              <w:jc w:val="center"/>
              <w:rPr>
                <w:noProof/>
                <w:sz w:val="18"/>
                <w:szCs w:val="18"/>
              </w:rPr>
            </w:pPr>
            <w:r w:rsidRPr="00DF5C23">
              <w:rPr>
                <w:noProof/>
                <w:sz w:val="20"/>
              </w:rPr>
              <w:t>Year</w:t>
            </w:r>
            <w:r w:rsidRPr="00DF5C23">
              <w:rPr>
                <w:noProof/>
                <w:sz w:val="22"/>
              </w:rPr>
              <w:br/>
            </w:r>
            <w:r w:rsidRPr="00DF5C23">
              <w:rPr>
                <w:b/>
                <w:noProof/>
                <w:sz w:val="20"/>
              </w:rPr>
              <w:t>2025</w:t>
            </w:r>
          </w:p>
        </w:tc>
        <w:tc>
          <w:tcPr>
            <w:tcW w:w="1293" w:type="dxa"/>
            <w:gridSpan w:val="2"/>
            <w:vAlign w:val="center"/>
          </w:tcPr>
          <w:p w14:paraId="2C3A5DD4" w14:textId="77777777" w:rsidR="005C61BF" w:rsidRPr="00DF5C23" w:rsidRDefault="005C61BF" w:rsidP="009C47CC">
            <w:pPr>
              <w:jc w:val="center"/>
              <w:rPr>
                <w:noProof/>
                <w:sz w:val="18"/>
                <w:szCs w:val="18"/>
              </w:rPr>
            </w:pPr>
            <w:r w:rsidRPr="00DF5C23">
              <w:rPr>
                <w:noProof/>
                <w:sz w:val="20"/>
              </w:rPr>
              <w:t>Year</w:t>
            </w:r>
            <w:r w:rsidRPr="00DF5C23">
              <w:rPr>
                <w:noProof/>
                <w:sz w:val="22"/>
              </w:rPr>
              <w:br/>
            </w:r>
            <w:r w:rsidRPr="00DF5C23">
              <w:rPr>
                <w:b/>
                <w:noProof/>
                <w:sz w:val="20"/>
              </w:rPr>
              <w:t>2026</w:t>
            </w:r>
          </w:p>
        </w:tc>
        <w:tc>
          <w:tcPr>
            <w:tcW w:w="1276" w:type="dxa"/>
            <w:gridSpan w:val="2"/>
            <w:vAlign w:val="center"/>
          </w:tcPr>
          <w:p w14:paraId="2C3A5DD5" w14:textId="77777777" w:rsidR="005C61BF" w:rsidRPr="00DF5C23" w:rsidRDefault="005C61BF" w:rsidP="009C47CC">
            <w:pPr>
              <w:jc w:val="center"/>
              <w:rPr>
                <w:noProof/>
                <w:sz w:val="18"/>
                <w:szCs w:val="18"/>
              </w:rPr>
            </w:pPr>
            <w:r w:rsidRPr="00DF5C23">
              <w:rPr>
                <w:noProof/>
                <w:sz w:val="20"/>
              </w:rPr>
              <w:t>Year</w:t>
            </w:r>
            <w:r w:rsidRPr="00DF5C23">
              <w:rPr>
                <w:noProof/>
                <w:sz w:val="22"/>
              </w:rPr>
              <w:br/>
            </w:r>
            <w:r w:rsidRPr="00DF5C23">
              <w:rPr>
                <w:b/>
                <w:noProof/>
                <w:sz w:val="20"/>
              </w:rPr>
              <w:t>2027 and following</w:t>
            </w:r>
          </w:p>
        </w:tc>
        <w:tc>
          <w:tcPr>
            <w:tcW w:w="1418" w:type="dxa"/>
            <w:gridSpan w:val="2"/>
            <w:tcBorders>
              <w:left w:val="nil"/>
              <w:bottom w:val="nil"/>
            </w:tcBorders>
            <w:vAlign w:val="center"/>
          </w:tcPr>
          <w:p w14:paraId="2C3A5DD6" w14:textId="77777777" w:rsidR="005C61BF" w:rsidRPr="00DF5C23" w:rsidRDefault="005C61BF" w:rsidP="009C47CC">
            <w:pPr>
              <w:ind w:right="-29"/>
              <w:jc w:val="center"/>
              <w:rPr>
                <w:noProof/>
                <w:sz w:val="18"/>
                <w:szCs w:val="18"/>
              </w:rPr>
            </w:pPr>
            <w:r w:rsidRPr="00DF5C23">
              <w:rPr>
                <w:b/>
                <w:noProof/>
                <w:sz w:val="18"/>
              </w:rPr>
              <w:t>TOTAL</w:t>
            </w:r>
          </w:p>
        </w:tc>
      </w:tr>
      <w:tr w:rsidR="005C61BF" w:rsidRPr="00DF5C23" w14:paraId="2C3A5DDA" w14:textId="77777777" w:rsidTr="009C47CC">
        <w:trPr>
          <w:gridAfter w:val="2"/>
          <w:wAfter w:w="574" w:type="dxa"/>
          <w:jc w:val="center"/>
        </w:trPr>
        <w:tc>
          <w:tcPr>
            <w:tcW w:w="1171" w:type="dxa"/>
            <w:vMerge/>
            <w:vAlign w:val="center"/>
          </w:tcPr>
          <w:p w14:paraId="2C3A5DD8" w14:textId="77777777" w:rsidR="005C61BF" w:rsidRPr="00DF5C23" w:rsidRDefault="005C61BF" w:rsidP="009C47CC">
            <w:pPr>
              <w:ind w:right="-29"/>
              <w:jc w:val="center"/>
              <w:rPr>
                <w:noProof/>
                <w:sz w:val="18"/>
                <w:szCs w:val="18"/>
              </w:rPr>
            </w:pPr>
          </w:p>
        </w:tc>
        <w:tc>
          <w:tcPr>
            <w:tcW w:w="11199" w:type="dxa"/>
            <w:gridSpan w:val="17"/>
            <w:vAlign w:val="center"/>
          </w:tcPr>
          <w:p w14:paraId="2C3A5DD9" w14:textId="77777777" w:rsidR="005C61BF" w:rsidRPr="00DF5C23" w:rsidRDefault="005C61BF" w:rsidP="009C47CC">
            <w:pPr>
              <w:spacing w:before="60" w:after="60"/>
              <w:ind w:right="-29"/>
              <w:jc w:val="center"/>
              <w:rPr>
                <w:noProof/>
                <w:sz w:val="18"/>
                <w:szCs w:val="18"/>
              </w:rPr>
            </w:pPr>
            <w:r w:rsidRPr="00DF5C23">
              <w:rPr>
                <w:b/>
                <w:noProof/>
                <w:sz w:val="18"/>
              </w:rPr>
              <w:t>OUTPUTS</w:t>
            </w:r>
          </w:p>
        </w:tc>
      </w:tr>
      <w:tr w:rsidR="005C61BF" w:rsidRPr="00DF5C23" w14:paraId="2C3A5DED" w14:textId="77777777" w:rsidTr="009C47CC">
        <w:trPr>
          <w:gridAfter w:val="2"/>
          <w:wAfter w:w="574" w:type="dxa"/>
          <w:cantSplit/>
          <w:trHeight w:val="1134"/>
          <w:jc w:val="center"/>
        </w:trPr>
        <w:tc>
          <w:tcPr>
            <w:tcW w:w="1171" w:type="dxa"/>
            <w:vMerge/>
            <w:vAlign w:val="center"/>
          </w:tcPr>
          <w:p w14:paraId="2C3A5DDB" w14:textId="77777777" w:rsidR="005C61BF" w:rsidRPr="00DF5C23" w:rsidRDefault="005C61BF" w:rsidP="009C47CC">
            <w:pPr>
              <w:rPr>
                <w:noProof/>
                <w:sz w:val="18"/>
                <w:szCs w:val="18"/>
              </w:rPr>
            </w:pPr>
          </w:p>
        </w:tc>
        <w:tc>
          <w:tcPr>
            <w:tcW w:w="969" w:type="dxa"/>
            <w:vAlign w:val="center"/>
          </w:tcPr>
          <w:p w14:paraId="2C3A5DDC" w14:textId="77777777" w:rsidR="005C61BF" w:rsidRPr="00DF5C23" w:rsidRDefault="005C61BF" w:rsidP="009C47CC">
            <w:pPr>
              <w:jc w:val="center"/>
              <w:rPr>
                <w:noProof/>
                <w:sz w:val="18"/>
                <w:szCs w:val="18"/>
              </w:rPr>
            </w:pPr>
            <w:r w:rsidRPr="00DF5C23">
              <w:rPr>
                <w:noProof/>
                <w:sz w:val="18"/>
                <w:szCs w:val="18"/>
              </w:rPr>
              <w:t>Type</w:t>
            </w:r>
            <w:r w:rsidR="008B78E1" w:rsidRPr="00DF5C23">
              <w:rPr>
                <w:rStyle w:val="FootnoteReference0"/>
                <w:noProof/>
                <w:sz w:val="18"/>
                <w:szCs w:val="18"/>
              </w:rPr>
              <w:footnoteReference w:id="100"/>
            </w:r>
          </w:p>
          <w:p w14:paraId="2C3A5DDD" w14:textId="77777777" w:rsidR="005C61BF" w:rsidRPr="00DF5C23" w:rsidRDefault="005C61BF" w:rsidP="009C47CC">
            <w:pPr>
              <w:spacing w:before="0" w:after="0"/>
              <w:jc w:val="center"/>
              <w:rPr>
                <w:noProof/>
                <w:sz w:val="18"/>
                <w:szCs w:val="18"/>
              </w:rPr>
            </w:pPr>
          </w:p>
        </w:tc>
        <w:tc>
          <w:tcPr>
            <w:tcW w:w="700" w:type="dxa"/>
            <w:vAlign w:val="center"/>
          </w:tcPr>
          <w:p w14:paraId="2C3A5DDE" w14:textId="77777777" w:rsidR="005C61BF" w:rsidRPr="00DF5C23" w:rsidRDefault="005C61BF" w:rsidP="009C47CC">
            <w:pPr>
              <w:jc w:val="center"/>
              <w:rPr>
                <w:noProof/>
                <w:sz w:val="18"/>
                <w:szCs w:val="18"/>
              </w:rPr>
            </w:pPr>
            <w:r w:rsidRPr="00DF5C23">
              <w:rPr>
                <w:noProof/>
                <w:sz w:val="18"/>
              </w:rPr>
              <w:t>Average cost</w:t>
            </w:r>
          </w:p>
        </w:tc>
        <w:tc>
          <w:tcPr>
            <w:tcW w:w="503" w:type="dxa"/>
            <w:tcBorders>
              <w:left w:val="nil"/>
              <w:right w:val="dashSmallGap" w:sz="4" w:space="0" w:color="auto"/>
            </w:tcBorders>
            <w:shd w:val="clear" w:color="auto" w:fill="auto"/>
            <w:textDirection w:val="btLr"/>
            <w:vAlign w:val="center"/>
          </w:tcPr>
          <w:p w14:paraId="2C3A5DDF" w14:textId="77777777" w:rsidR="005C61BF" w:rsidRPr="00DF5C23" w:rsidRDefault="005C61BF" w:rsidP="009C47CC">
            <w:pPr>
              <w:ind w:left="113" w:right="113"/>
              <w:jc w:val="center"/>
              <w:rPr>
                <w:noProof/>
                <w:sz w:val="18"/>
                <w:szCs w:val="18"/>
              </w:rPr>
            </w:pPr>
            <w:r w:rsidRPr="00DF5C23">
              <w:rPr>
                <w:noProof/>
                <w:sz w:val="18"/>
              </w:rPr>
              <w:t>No</w:t>
            </w:r>
          </w:p>
        </w:tc>
        <w:tc>
          <w:tcPr>
            <w:tcW w:w="720" w:type="dxa"/>
            <w:tcBorders>
              <w:left w:val="dashSmallGap" w:sz="4" w:space="0" w:color="auto"/>
            </w:tcBorders>
            <w:shd w:val="clear" w:color="auto" w:fill="auto"/>
            <w:vAlign w:val="center"/>
          </w:tcPr>
          <w:p w14:paraId="2C3A5DE0" w14:textId="77777777" w:rsidR="005C61BF" w:rsidRPr="00DF5C23" w:rsidRDefault="005C61BF" w:rsidP="009C47CC">
            <w:pPr>
              <w:jc w:val="center"/>
              <w:rPr>
                <w:noProof/>
                <w:sz w:val="18"/>
                <w:szCs w:val="18"/>
              </w:rPr>
            </w:pPr>
            <w:r w:rsidRPr="00DF5C23">
              <w:rPr>
                <w:noProof/>
                <w:sz w:val="18"/>
              </w:rPr>
              <w:t>Cost</w:t>
            </w:r>
          </w:p>
        </w:tc>
        <w:tc>
          <w:tcPr>
            <w:tcW w:w="540" w:type="dxa"/>
            <w:tcBorders>
              <w:right w:val="dashSmallGap" w:sz="4" w:space="0" w:color="auto"/>
            </w:tcBorders>
            <w:shd w:val="clear" w:color="auto" w:fill="auto"/>
            <w:textDirection w:val="btLr"/>
            <w:vAlign w:val="center"/>
          </w:tcPr>
          <w:p w14:paraId="2C3A5DE1" w14:textId="77777777" w:rsidR="005C61BF" w:rsidRPr="00DF5C23" w:rsidRDefault="005C61BF" w:rsidP="009C47CC">
            <w:pPr>
              <w:ind w:left="113" w:right="113"/>
              <w:jc w:val="center"/>
              <w:rPr>
                <w:noProof/>
                <w:sz w:val="18"/>
                <w:szCs w:val="18"/>
              </w:rPr>
            </w:pPr>
            <w:r w:rsidRPr="00DF5C23">
              <w:rPr>
                <w:noProof/>
                <w:sz w:val="18"/>
              </w:rPr>
              <w:t>No</w:t>
            </w:r>
          </w:p>
        </w:tc>
        <w:tc>
          <w:tcPr>
            <w:tcW w:w="720" w:type="dxa"/>
            <w:tcBorders>
              <w:left w:val="dashSmallGap" w:sz="4" w:space="0" w:color="auto"/>
            </w:tcBorders>
            <w:shd w:val="clear" w:color="auto" w:fill="auto"/>
            <w:vAlign w:val="center"/>
          </w:tcPr>
          <w:p w14:paraId="2C3A5DE2" w14:textId="77777777" w:rsidR="005C61BF" w:rsidRPr="00DF5C23" w:rsidRDefault="005C61BF" w:rsidP="009C47CC">
            <w:pPr>
              <w:jc w:val="center"/>
              <w:rPr>
                <w:noProof/>
                <w:sz w:val="18"/>
                <w:szCs w:val="18"/>
              </w:rPr>
            </w:pPr>
            <w:r w:rsidRPr="00DF5C23">
              <w:rPr>
                <w:noProof/>
                <w:sz w:val="18"/>
              </w:rPr>
              <w:t>Cost</w:t>
            </w:r>
          </w:p>
        </w:tc>
        <w:tc>
          <w:tcPr>
            <w:tcW w:w="720" w:type="dxa"/>
            <w:tcBorders>
              <w:right w:val="dashSmallGap" w:sz="4" w:space="0" w:color="auto"/>
            </w:tcBorders>
            <w:shd w:val="clear" w:color="auto" w:fill="auto"/>
            <w:textDirection w:val="btLr"/>
            <w:vAlign w:val="center"/>
          </w:tcPr>
          <w:p w14:paraId="2C3A5DE3" w14:textId="77777777" w:rsidR="005C61BF" w:rsidRPr="00DF5C23" w:rsidRDefault="005C61BF" w:rsidP="009C47CC">
            <w:pPr>
              <w:ind w:left="113" w:right="113"/>
              <w:jc w:val="center"/>
              <w:rPr>
                <w:noProof/>
                <w:sz w:val="18"/>
                <w:szCs w:val="18"/>
              </w:rPr>
            </w:pPr>
            <w:r w:rsidRPr="00DF5C23">
              <w:rPr>
                <w:noProof/>
                <w:sz w:val="18"/>
              </w:rPr>
              <w:t>No</w:t>
            </w:r>
          </w:p>
        </w:tc>
        <w:tc>
          <w:tcPr>
            <w:tcW w:w="720" w:type="dxa"/>
            <w:tcBorders>
              <w:left w:val="dashSmallGap" w:sz="4" w:space="0" w:color="auto"/>
            </w:tcBorders>
            <w:shd w:val="clear" w:color="auto" w:fill="auto"/>
            <w:vAlign w:val="center"/>
          </w:tcPr>
          <w:p w14:paraId="2C3A5DE4" w14:textId="77777777" w:rsidR="005C61BF" w:rsidRPr="00DF5C23" w:rsidRDefault="005C61BF" w:rsidP="009C47CC">
            <w:pPr>
              <w:jc w:val="center"/>
              <w:rPr>
                <w:noProof/>
                <w:sz w:val="18"/>
                <w:szCs w:val="18"/>
              </w:rPr>
            </w:pPr>
            <w:r w:rsidRPr="00DF5C23">
              <w:rPr>
                <w:noProof/>
                <w:sz w:val="18"/>
              </w:rPr>
              <w:t>Cost</w:t>
            </w:r>
          </w:p>
        </w:tc>
        <w:tc>
          <w:tcPr>
            <w:tcW w:w="900" w:type="dxa"/>
            <w:tcBorders>
              <w:right w:val="dashSmallGap" w:sz="4" w:space="0" w:color="auto"/>
            </w:tcBorders>
            <w:shd w:val="clear" w:color="auto" w:fill="auto"/>
            <w:textDirection w:val="btLr"/>
            <w:vAlign w:val="center"/>
          </w:tcPr>
          <w:p w14:paraId="2C3A5DE5" w14:textId="77777777" w:rsidR="005C61BF" w:rsidRPr="00DF5C23" w:rsidRDefault="005C61BF" w:rsidP="009C47CC">
            <w:pPr>
              <w:ind w:left="113" w:right="113"/>
              <w:jc w:val="center"/>
              <w:rPr>
                <w:noProof/>
                <w:sz w:val="18"/>
                <w:szCs w:val="18"/>
              </w:rPr>
            </w:pPr>
            <w:r w:rsidRPr="00DF5C23">
              <w:rPr>
                <w:noProof/>
                <w:sz w:val="18"/>
              </w:rPr>
              <w:t>No</w:t>
            </w:r>
          </w:p>
        </w:tc>
        <w:tc>
          <w:tcPr>
            <w:tcW w:w="720" w:type="dxa"/>
            <w:gridSpan w:val="2"/>
            <w:tcBorders>
              <w:left w:val="dashSmallGap" w:sz="4" w:space="0" w:color="auto"/>
            </w:tcBorders>
            <w:shd w:val="clear" w:color="auto" w:fill="auto"/>
            <w:vAlign w:val="center"/>
          </w:tcPr>
          <w:p w14:paraId="2C3A5DE6" w14:textId="77777777" w:rsidR="005C61BF" w:rsidRPr="00DF5C23" w:rsidRDefault="005C61BF" w:rsidP="009C47CC">
            <w:pPr>
              <w:jc w:val="center"/>
              <w:rPr>
                <w:noProof/>
                <w:sz w:val="18"/>
                <w:szCs w:val="18"/>
              </w:rPr>
            </w:pPr>
            <w:r w:rsidRPr="00DF5C23">
              <w:rPr>
                <w:noProof/>
                <w:sz w:val="18"/>
              </w:rPr>
              <w:t>Cost</w:t>
            </w:r>
          </w:p>
        </w:tc>
        <w:tc>
          <w:tcPr>
            <w:tcW w:w="540" w:type="dxa"/>
            <w:tcBorders>
              <w:right w:val="dashSmallGap" w:sz="4" w:space="0" w:color="auto"/>
            </w:tcBorders>
            <w:shd w:val="clear" w:color="auto" w:fill="auto"/>
            <w:textDirection w:val="btLr"/>
            <w:vAlign w:val="center"/>
          </w:tcPr>
          <w:p w14:paraId="2C3A5DE7" w14:textId="77777777" w:rsidR="005C61BF" w:rsidRPr="00DF5C23" w:rsidRDefault="005C61BF" w:rsidP="009C47CC">
            <w:pPr>
              <w:ind w:left="113" w:right="113"/>
              <w:jc w:val="center"/>
              <w:rPr>
                <w:noProof/>
                <w:sz w:val="18"/>
                <w:szCs w:val="18"/>
              </w:rPr>
            </w:pPr>
            <w:r w:rsidRPr="00DF5C23">
              <w:rPr>
                <w:noProof/>
                <w:sz w:val="18"/>
              </w:rPr>
              <w:t>No</w:t>
            </w:r>
          </w:p>
        </w:tc>
        <w:tc>
          <w:tcPr>
            <w:tcW w:w="753" w:type="dxa"/>
            <w:tcBorders>
              <w:left w:val="dashSmallGap" w:sz="4" w:space="0" w:color="auto"/>
            </w:tcBorders>
            <w:shd w:val="clear" w:color="auto" w:fill="auto"/>
            <w:vAlign w:val="center"/>
          </w:tcPr>
          <w:p w14:paraId="2C3A5DE8" w14:textId="77777777" w:rsidR="005C61BF" w:rsidRPr="00DF5C23" w:rsidRDefault="005C61BF" w:rsidP="009C47CC">
            <w:pPr>
              <w:jc w:val="center"/>
              <w:rPr>
                <w:noProof/>
                <w:sz w:val="18"/>
                <w:szCs w:val="18"/>
              </w:rPr>
            </w:pPr>
            <w:r w:rsidRPr="00DF5C23">
              <w:rPr>
                <w:noProof/>
                <w:sz w:val="18"/>
              </w:rPr>
              <w:t>Cost</w:t>
            </w:r>
          </w:p>
        </w:tc>
        <w:tc>
          <w:tcPr>
            <w:tcW w:w="426" w:type="dxa"/>
            <w:tcBorders>
              <w:right w:val="dashSmallGap" w:sz="4" w:space="0" w:color="auto"/>
            </w:tcBorders>
            <w:shd w:val="clear" w:color="auto" w:fill="auto"/>
            <w:textDirection w:val="btLr"/>
            <w:vAlign w:val="center"/>
          </w:tcPr>
          <w:p w14:paraId="2C3A5DE9" w14:textId="77777777" w:rsidR="005C61BF" w:rsidRPr="00DF5C23" w:rsidRDefault="005C61BF" w:rsidP="009C47CC">
            <w:pPr>
              <w:ind w:left="113" w:right="113"/>
              <w:jc w:val="center"/>
              <w:rPr>
                <w:noProof/>
                <w:sz w:val="18"/>
                <w:szCs w:val="18"/>
              </w:rPr>
            </w:pPr>
            <w:r w:rsidRPr="00DF5C23">
              <w:rPr>
                <w:noProof/>
                <w:sz w:val="18"/>
              </w:rPr>
              <w:t>No</w:t>
            </w:r>
          </w:p>
        </w:tc>
        <w:tc>
          <w:tcPr>
            <w:tcW w:w="850" w:type="dxa"/>
            <w:tcBorders>
              <w:left w:val="dashSmallGap" w:sz="4" w:space="0" w:color="auto"/>
            </w:tcBorders>
            <w:shd w:val="clear" w:color="auto" w:fill="auto"/>
            <w:vAlign w:val="center"/>
          </w:tcPr>
          <w:p w14:paraId="2C3A5DEA" w14:textId="77777777" w:rsidR="005C61BF" w:rsidRPr="00DF5C23" w:rsidRDefault="005C61BF" w:rsidP="009C47CC">
            <w:pPr>
              <w:jc w:val="center"/>
              <w:rPr>
                <w:noProof/>
                <w:sz w:val="18"/>
                <w:szCs w:val="18"/>
              </w:rPr>
            </w:pPr>
            <w:r w:rsidRPr="00DF5C23">
              <w:rPr>
                <w:noProof/>
                <w:sz w:val="18"/>
              </w:rPr>
              <w:t>Cost</w:t>
            </w:r>
          </w:p>
        </w:tc>
        <w:tc>
          <w:tcPr>
            <w:tcW w:w="567" w:type="dxa"/>
            <w:tcBorders>
              <w:right w:val="dashSmallGap" w:sz="4" w:space="0" w:color="auto"/>
            </w:tcBorders>
            <w:shd w:val="clear" w:color="auto" w:fill="auto"/>
            <w:textDirection w:val="btLr"/>
            <w:vAlign w:val="center"/>
          </w:tcPr>
          <w:p w14:paraId="2C3A5DEB" w14:textId="77777777" w:rsidR="005C61BF" w:rsidRPr="00DF5C23" w:rsidRDefault="005C61BF" w:rsidP="009C47CC">
            <w:pPr>
              <w:ind w:left="113" w:right="113"/>
              <w:jc w:val="center"/>
              <w:rPr>
                <w:noProof/>
                <w:sz w:val="18"/>
                <w:szCs w:val="18"/>
              </w:rPr>
            </w:pPr>
            <w:r w:rsidRPr="00DF5C23">
              <w:rPr>
                <w:noProof/>
                <w:sz w:val="18"/>
              </w:rPr>
              <w:t>No</w:t>
            </w:r>
          </w:p>
        </w:tc>
        <w:tc>
          <w:tcPr>
            <w:tcW w:w="851" w:type="dxa"/>
            <w:tcBorders>
              <w:left w:val="dashSmallGap" w:sz="4" w:space="0" w:color="auto"/>
            </w:tcBorders>
            <w:shd w:val="clear" w:color="auto" w:fill="auto"/>
            <w:vAlign w:val="center"/>
          </w:tcPr>
          <w:p w14:paraId="2C3A5DEC" w14:textId="77777777" w:rsidR="005C61BF" w:rsidRPr="00DF5C23" w:rsidRDefault="005C61BF" w:rsidP="009C47CC">
            <w:pPr>
              <w:jc w:val="center"/>
              <w:rPr>
                <w:noProof/>
                <w:sz w:val="18"/>
                <w:szCs w:val="18"/>
              </w:rPr>
            </w:pPr>
            <w:r w:rsidRPr="00DF5C23">
              <w:rPr>
                <w:noProof/>
                <w:sz w:val="18"/>
              </w:rPr>
              <w:t>Cost</w:t>
            </w:r>
          </w:p>
        </w:tc>
      </w:tr>
      <w:tr w:rsidR="005C61BF" w:rsidRPr="00DF5C23" w14:paraId="2C3A5DF2" w14:textId="77777777" w:rsidTr="009C47CC">
        <w:trPr>
          <w:jc w:val="center"/>
        </w:trPr>
        <w:tc>
          <w:tcPr>
            <w:tcW w:w="2840" w:type="dxa"/>
            <w:gridSpan w:val="3"/>
            <w:vAlign w:val="center"/>
          </w:tcPr>
          <w:p w14:paraId="2C3A5DEE" w14:textId="77777777" w:rsidR="005C61BF" w:rsidRPr="00DF5C23" w:rsidRDefault="005C61BF" w:rsidP="008B78E1">
            <w:pPr>
              <w:spacing w:before="60" w:after="60"/>
              <w:ind w:right="-29"/>
              <w:jc w:val="center"/>
              <w:rPr>
                <w:noProof/>
                <w:sz w:val="18"/>
                <w:szCs w:val="18"/>
              </w:rPr>
            </w:pPr>
            <w:r w:rsidRPr="00DF5C23">
              <w:rPr>
                <w:noProof/>
                <w:sz w:val="18"/>
                <w:szCs w:val="18"/>
              </w:rPr>
              <w:t>SPECIFIC OBJECTIVE No 1</w:t>
            </w:r>
            <w:r w:rsidR="008B78E1" w:rsidRPr="00DF5C23">
              <w:rPr>
                <w:rStyle w:val="FootnoteReference0"/>
                <w:noProof/>
                <w:sz w:val="18"/>
                <w:szCs w:val="18"/>
              </w:rPr>
              <w:footnoteReference w:id="101"/>
            </w:r>
          </w:p>
        </w:tc>
        <w:tc>
          <w:tcPr>
            <w:tcW w:w="9530" w:type="dxa"/>
            <w:gridSpan w:val="15"/>
            <w:tcBorders>
              <w:top w:val="nil"/>
              <w:left w:val="nil"/>
              <w:bottom w:val="nil"/>
              <w:right w:val="nil"/>
            </w:tcBorders>
          </w:tcPr>
          <w:p w14:paraId="2C3A5DEF" w14:textId="77777777" w:rsidR="005C61BF" w:rsidRPr="00DF5C23" w:rsidRDefault="005C61BF" w:rsidP="009C47CC">
            <w:pPr>
              <w:spacing w:before="60" w:after="60"/>
              <w:ind w:right="-29"/>
              <w:jc w:val="left"/>
              <w:rPr>
                <w:noProof/>
                <w:sz w:val="18"/>
                <w:szCs w:val="18"/>
              </w:rPr>
            </w:pPr>
            <w:r w:rsidRPr="00DF5C23">
              <w:rPr>
                <w:noProof/>
                <w:sz w:val="18"/>
                <w:szCs w:val="18"/>
              </w:rPr>
              <w:t>Improve products environmental sustainability and access to sustainability information along the supply chain</w:t>
            </w:r>
          </w:p>
        </w:tc>
        <w:tc>
          <w:tcPr>
            <w:tcW w:w="338" w:type="dxa"/>
            <w:tcBorders>
              <w:top w:val="nil"/>
              <w:left w:val="nil"/>
              <w:bottom w:val="nil"/>
              <w:right w:val="nil"/>
            </w:tcBorders>
          </w:tcPr>
          <w:p w14:paraId="2C3A5DF0" w14:textId="77777777" w:rsidR="005C61BF" w:rsidRPr="00DF5C23" w:rsidRDefault="005C61BF" w:rsidP="009C47CC">
            <w:pPr>
              <w:spacing w:before="60" w:after="60"/>
              <w:ind w:right="-29"/>
              <w:jc w:val="center"/>
              <w:rPr>
                <w:noProof/>
                <w:sz w:val="18"/>
                <w:szCs w:val="18"/>
              </w:rPr>
            </w:pPr>
          </w:p>
        </w:tc>
        <w:tc>
          <w:tcPr>
            <w:tcW w:w="236" w:type="dxa"/>
            <w:tcBorders>
              <w:top w:val="nil"/>
              <w:left w:val="nil"/>
              <w:bottom w:val="nil"/>
              <w:right w:val="nil"/>
            </w:tcBorders>
          </w:tcPr>
          <w:p w14:paraId="2C3A5DF1" w14:textId="77777777" w:rsidR="005C61BF" w:rsidRPr="00DF5C23" w:rsidRDefault="005C61BF" w:rsidP="009C47CC">
            <w:pPr>
              <w:spacing w:before="60" w:after="60"/>
              <w:ind w:right="-29"/>
              <w:jc w:val="center"/>
              <w:rPr>
                <w:noProof/>
                <w:sz w:val="18"/>
                <w:szCs w:val="18"/>
              </w:rPr>
            </w:pPr>
          </w:p>
        </w:tc>
      </w:tr>
      <w:tr w:rsidR="005C61BF" w:rsidRPr="00DF5C23" w14:paraId="2C3A5E04" w14:textId="77777777" w:rsidTr="009C47CC">
        <w:trPr>
          <w:gridAfter w:val="2"/>
          <w:wAfter w:w="574" w:type="dxa"/>
          <w:trHeight w:val="369"/>
          <w:jc w:val="center"/>
        </w:trPr>
        <w:tc>
          <w:tcPr>
            <w:tcW w:w="1171" w:type="dxa"/>
          </w:tcPr>
          <w:p w14:paraId="2C3A5DF3" w14:textId="77777777" w:rsidR="005C61BF" w:rsidRPr="00DF5C23" w:rsidRDefault="005C61BF" w:rsidP="009C47CC">
            <w:pPr>
              <w:ind w:right="-29"/>
              <w:jc w:val="center"/>
              <w:rPr>
                <w:noProof/>
                <w:sz w:val="18"/>
                <w:szCs w:val="18"/>
              </w:rPr>
            </w:pPr>
            <w:r w:rsidRPr="00DF5C23">
              <w:rPr>
                <w:noProof/>
                <w:sz w:val="18"/>
              </w:rPr>
              <w:t>- Output</w:t>
            </w:r>
          </w:p>
        </w:tc>
        <w:tc>
          <w:tcPr>
            <w:tcW w:w="969" w:type="dxa"/>
          </w:tcPr>
          <w:p w14:paraId="2C3A5DF4" w14:textId="77777777" w:rsidR="005C61BF" w:rsidRPr="00DF5C23" w:rsidRDefault="005C61BF" w:rsidP="009C47CC">
            <w:pPr>
              <w:ind w:right="-29"/>
              <w:jc w:val="center"/>
              <w:rPr>
                <w:noProof/>
                <w:sz w:val="18"/>
                <w:szCs w:val="18"/>
              </w:rPr>
            </w:pPr>
            <w:r w:rsidRPr="00DF5C23">
              <w:rPr>
                <w:noProof/>
                <w:sz w:val="16"/>
                <w:szCs w:val="18"/>
              </w:rPr>
              <w:t>Delegated acts (reviews)</w:t>
            </w:r>
          </w:p>
        </w:tc>
        <w:tc>
          <w:tcPr>
            <w:tcW w:w="700" w:type="dxa"/>
          </w:tcPr>
          <w:p w14:paraId="2C3A5DF5" w14:textId="77777777" w:rsidR="005C61BF" w:rsidRPr="00DF5C23" w:rsidRDefault="005C61BF" w:rsidP="009C47CC">
            <w:pPr>
              <w:ind w:right="-29"/>
              <w:jc w:val="center"/>
              <w:rPr>
                <w:noProof/>
                <w:sz w:val="18"/>
                <w:szCs w:val="18"/>
              </w:rPr>
            </w:pPr>
            <w:r w:rsidRPr="00DF5C23">
              <w:rPr>
                <w:noProof/>
                <w:sz w:val="18"/>
                <w:szCs w:val="18"/>
              </w:rPr>
              <w:t>0,300</w:t>
            </w:r>
          </w:p>
        </w:tc>
        <w:tc>
          <w:tcPr>
            <w:tcW w:w="503" w:type="dxa"/>
            <w:tcBorders>
              <w:right w:val="dashSmallGap" w:sz="4" w:space="0" w:color="auto"/>
            </w:tcBorders>
          </w:tcPr>
          <w:p w14:paraId="2C3A5DF6"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left w:val="dashSmallGap" w:sz="4" w:space="0" w:color="auto"/>
            </w:tcBorders>
          </w:tcPr>
          <w:p w14:paraId="2C3A5DF7" w14:textId="77777777" w:rsidR="005C61BF" w:rsidRPr="00DF5C23" w:rsidRDefault="005C61BF" w:rsidP="009C47CC">
            <w:pPr>
              <w:ind w:right="-29"/>
              <w:jc w:val="center"/>
              <w:rPr>
                <w:noProof/>
                <w:sz w:val="18"/>
                <w:szCs w:val="18"/>
              </w:rPr>
            </w:pPr>
          </w:p>
        </w:tc>
        <w:tc>
          <w:tcPr>
            <w:tcW w:w="540" w:type="dxa"/>
            <w:tcBorders>
              <w:right w:val="dashSmallGap" w:sz="4" w:space="0" w:color="auto"/>
            </w:tcBorders>
          </w:tcPr>
          <w:p w14:paraId="2C3A5DF8"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left w:val="dashSmallGap" w:sz="4" w:space="0" w:color="auto"/>
            </w:tcBorders>
          </w:tcPr>
          <w:p w14:paraId="2C3A5DF9" w14:textId="77777777" w:rsidR="005C61BF" w:rsidRPr="00DF5C23" w:rsidRDefault="005C61BF" w:rsidP="009C47CC">
            <w:pPr>
              <w:ind w:right="-29"/>
              <w:jc w:val="center"/>
              <w:rPr>
                <w:noProof/>
                <w:sz w:val="18"/>
                <w:szCs w:val="18"/>
              </w:rPr>
            </w:pPr>
          </w:p>
        </w:tc>
        <w:tc>
          <w:tcPr>
            <w:tcW w:w="720" w:type="dxa"/>
            <w:tcBorders>
              <w:right w:val="dashSmallGap" w:sz="4" w:space="0" w:color="auto"/>
            </w:tcBorders>
          </w:tcPr>
          <w:p w14:paraId="2C3A5DFA" w14:textId="77777777" w:rsidR="005C61BF" w:rsidRPr="00DF5C23" w:rsidRDefault="005C61BF" w:rsidP="009C47CC">
            <w:pPr>
              <w:ind w:right="-29"/>
              <w:jc w:val="center"/>
              <w:rPr>
                <w:noProof/>
                <w:sz w:val="18"/>
                <w:szCs w:val="18"/>
              </w:rPr>
            </w:pPr>
            <w:r w:rsidRPr="00DF5C23">
              <w:rPr>
                <w:noProof/>
                <w:sz w:val="18"/>
                <w:szCs w:val="18"/>
              </w:rPr>
              <w:t>7</w:t>
            </w:r>
          </w:p>
        </w:tc>
        <w:tc>
          <w:tcPr>
            <w:tcW w:w="720" w:type="dxa"/>
            <w:tcBorders>
              <w:left w:val="dashSmallGap" w:sz="4" w:space="0" w:color="auto"/>
            </w:tcBorders>
          </w:tcPr>
          <w:p w14:paraId="2C3A5DFB" w14:textId="77777777" w:rsidR="005C61BF" w:rsidRPr="00DF5C23" w:rsidRDefault="005C61BF" w:rsidP="009C47CC">
            <w:pPr>
              <w:ind w:right="-29"/>
              <w:jc w:val="center"/>
              <w:rPr>
                <w:noProof/>
                <w:sz w:val="18"/>
                <w:szCs w:val="18"/>
              </w:rPr>
            </w:pPr>
            <w:r w:rsidRPr="00DF5C23">
              <w:rPr>
                <w:noProof/>
                <w:sz w:val="18"/>
                <w:szCs w:val="18"/>
              </w:rPr>
              <w:t>2,100</w:t>
            </w:r>
          </w:p>
        </w:tc>
        <w:tc>
          <w:tcPr>
            <w:tcW w:w="900" w:type="dxa"/>
            <w:tcBorders>
              <w:right w:val="dashSmallGap" w:sz="4" w:space="0" w:color="auto"/>
            </w:tcBorders>
          </w:tcPr>
          <w:p w14:paraId="2C3A5DFC" w14:textId="77777777" w:rsidR="005C61BF" w:rsidRPr="00DF5C23" w:rsidRDefault="005C61BF" w:rsidP="009C47CC">
            <w:pPr>
              <w:ind w:right="-29"/>
              <w:jc w:val="center"/>
              <w:rPr>
                <w:noProof/>
                <w:sz w:val="18"/>
                <w:szCs w:val="18"/>
              </w:rPr>
            </w:pPr>
            <w:r w:rsidRPr="00DF5C23">
              <w:rPr>
                <w:noProof/>
                <w:sz w:val="18"/>
                <w:szCs w:val="18"/>
              </w:rPr>
              <w:t>6</w:t>
            </w:r>
          </w:p>
        </w:tc>
        <w:tc>
          <w:tcPr>
            <w:tcW w:w="720" w:type="dxa"/>
            <w:gridSpan w:val="2"/>
            <w:tcBorders>
              <w:left w:val="dashSmallGap" w:sz="4" w:space="0" w:color="auto"/>
            </w:tcBorders>
          </w:tcPr>
          <w:p w14:paraId="2C3A5DFD" w14:textId="77777777" w:rsidR="005C61BF" w:rsidRPr="00DF5C23" w:rsidRDefault="005C61BF" w:rsidP="009C47CC">
            <w:pPr>
              <w:ind w:right="-29"/>
              <w:jc w:val="center"/>
              <w:rPr>
                <w:noProof/>
                <w:sz w:val="18"/>
                <w:szCs w:val="18"/>
              </w:rPr>
            </w:pPr>
            <w:r w:rsidRPr="00DF5C23">
              <w:rPr>
                <w:noProof/>
                <w:sz w:val="18"/>
                <w:szCs w:val="18"/>
              </w:rPr>
              <w:t>1,800</w:t>
            </w:r>
          </w:p>
        </w:tc>
        <w:tc>
          <w:tcPr>
            <w:tcW w:w="540" w:type="dxa"/>
            <w:tcBorders>
              <w:right w:val="dashSmallGap" w:sz="4" w:space="0" w:color="auto"/>
            </w:tcBorders>
          </w:tcPr>
          <w:p w14:paraId="2C3A5DFE" w14:textId="77777777" w:rsidR="005C61BF" w:rsidRPr="00DF5C23" w:rsidRDefault="005C61BF" w:rsidP="009C47CC">
            <w:pPr>
              <w:ind w:right="-29"/>
              <w:jc w:val="center"/>
              <w:rPr>
                <w:noProof/>
                <w:sz w:val="18"/>
                <w:szCs w:val="18"/>
              </w:rPr>
            </w:pPr>
            <w:r w:rsidRPr="00DF5C23">
              <w:rPr>
                <w:noProof/>
                <w:sz w:val="18"/>
                <w:szCs w:val="18"/>
              </w:rPr>
              <w:t>5</w:t>
            </w:r>
          </w:p>
        </w:tc>
        <w:tc>
          <w:tcPr>
            <w:tcW w:w="753" w:type="dxa"/>
            <w:tcBorders>
              <w:left w:val="dashSmallGap" w:sz="4" w:space="0" w:color="auto"/>
            </w:tcBorders>
          </w:tcPr>
          <w:p w14:paraId="2C3A5DFF" w14:textId="77777777" w:rsidR="005C61BF" w:rsidRPr="00DF5C23" w:rsidRDefault="005C61BF" w:rsidP="009C47CC">
            <w:pPr>
              <w:ind w:right="-29"/>
              <w:jc w:val="center"/>
              <w:rPr>
                <w:noProof/>
                <w:sz w:val="18"/>
                <w:szCs w:val="18"/>
              </w:rPr>
            </w:pPr>
            <w:r w:rsidRPr="00DF5C23">
              <w:rPr>
                <w:noProof/>
                <w:sz w:val="18"/>
                <w:szCs w:val="18"/>
              </w:rPr>
              <w:t>1,500</w:t>
            </w:r>
          </w:p>
        </w:tc>
        <w:tc>
          <w:tcPr>
            <w:tcW w:w="426" w:type="dxa"/>
            <w:tcBorders>
              <w:right w:val="dashSmallGap" w:sz="4" w:space="0" w:color="auto"/>
            </w:tcBorders>
          </w:tcPr>
          <w:p w14:paraId="2C3A5E00" w14:textId="77777777" w:rsidR="005C61BF" w:rsidRPr="00DF5C23" w:rsidRDefault="005C61BF" w:rsidP="009C47CC">
            <w:pPr>
              <w:ind w:right="-29"/>
              <w:jc w:val="center"/>
              <w:rPr>
                <w:noProof/>
                <w:sz w:val="18"/>
                <w:szCs w:val="18"/>
              </w:rPr>
            </w:pPr>
            <w:r w:rsidRPr="00DF5C23">
              <w:rPr>
                <w:noProof/>
                <w:sz w:val="18"/>
                <w:szCs w:val="18"/>
              </w:rPr>
              <w:t>5</w:t>
            </w:r>
          </w:p>
        </w:tc>
        <w:tc>
          <w:tcPr>
            <w:tcW w:w="850" w:type="dxa"/>
            <w:tcBorders>
              <w:left w:val="dashSmallGap" w:sz="4" w:space="0" w:color="auto"/>
            </w:tcBorders>
          </w:tcPr>
          <w:p w14:paraId="2C3A5E01" w14:textId="77777777" w:rsidR="005C61BF" w:rsidRPr="00DF5C23" w:rsidRDefault="005C61BF" w:rsidP="009C47CC">
            <w:pPr>
              <w:ind w:right="-29"/>
              <w:jc w:val="center"/>
              <w:rPr>
                <w:noProof/>
                <w:sz w:val="18"/>
                <w:szCs w:val="18"/>
              </w:rPr>
            </w:pPr>
            <w:r w:rsidRPr="00DF5C23">
              <w:rPr>
                <w:noProof/>
                <w:sz w:val="18"/>
                <w:szCs w:val="18"/>
              </w:rPr>
              <w:t>1,500</w:t>
            </w:r>
          </w:p>
        </w:tc>
        <w:tc>
          <w:tcPr>
            <w:tcW w:w="567" w:type="dxa"/>
            <w:tcBorders>
              <w:right w:val="dashSmallGap" w:sz="4" w:space="0" w:color="auto"/>
            </w:tcBorders>
          </w:tcPr>
          <w:p w14:paraId="2C3A5E02" w14:textId="77777777" w:rsidR="005C61BF" w:rsidRPr="00DF5C23" w:rsidRDefault="005C61BF" w:rsidP="009C47CC">
            <w:pPr>
              <w:ind w:right="-29"/>
              <w:jc w:val="center"/>
              <w:rPr>
                <w:noProof/>
                <w:sz w:val="18"/>
                <w:szCs w:val="18"/>
              </w:rPr>
            </w:pPr>
            <w:r w:rsidRPr="00DF5C23">
              <w:rPr>
                <w:noProof/>
                <w:sz w:val="18"/>
                <w:szCs w:val="18"/>
              </w:rPr>
              <w:t>23</w:t>
            </w:r>
          </w:p>
        </w:tc>
        <w:tc>
          <w:tcPr>
            <w:tcW w:w="851" w:type="dxa"/>
            <w:tcBorders>
              <w:left w:val="dashSmallGap" w:sz="4" w:space="0" w:color="auto"/>
            </w:tcBorders>
          </w:tcPr>
          <w:p w14:paraId="2C3A5E03" w14:textId="77777777" w:rsidR="005C61BF" w:rsidRPr="00DF5C23" w:rsidRDefault="005C61BF" w:rsidP="009C47CC">
            <w:pPr>
              <w:ind w:right="-29"/>
              <w:jc w:val="center"/>
              <w:rPr>
                <w:noProof/>
                <w:sz w:val="18"/>
                <w:szCs w:val="18"/>
              </w:rPr>
            </w:pPr>
            <w:r w:rsidRPr="00DF5C23">
              <w:rPr>
                <w:noProof/>
                <w:sz w:val="18"/>
                <w:szCs w:val="18"/>
              </w:rPr>
              <w:t>6,900</w:t>
            </w:r>
          </w:p>
        </w:tc>
      </w:tr>
      <w:tr w:rsidR="005C61BF" w:rsidRPr="00DF5C23" w14:paraId="2C3A5E16" w14:textId="77777777" w:rsidTr="009C47CC">
        <w:trPr>
          <w:gridAfter w:val="2"/>
          <w:wAfter w:w="574" w:type="dxa"/>
          <w:trHeight w:hRule="exact" w:val="847"/>
          <w:jc w:val="center"/>
        </w:trPr>
        <w:tc>
          <w:tcPr>
            <w:tcW w:w="1171" w:type="dxa"/>
          </w:tcPr>
          <w:p w14:paraId="2C3A5E05" w14:textId="77777777" w:rsidR="005C61BF" w:rsidRPr="00DF5C23" w:rsidRDefault="005C61BF" w:rsidP="009C47CC">
            <w:pPr>
              <w:ind w:right="-29"/>
              <w:jc w:val="center"/>
              <w:rPr>
                <w:noProof/>
                <w:sz w:val="18"/>
                <w:szCs w:val="18"/>
              </w:rPr>
            </w:pPr>
            <w:r w:rsidRPr="00DF5C23">
              <w:rPr>
                <w:noProof/>
                <w:sz w:val="18"/>
              </w:rPr>
              <w:t>- Output</w:t>
            </w:r>
          </w:p>
        </w:tc>
        <w:tc>
          <w:tcPr>
            <w:tcW w:w="969" w:type="dxa"/>
          </w:tcPr>
          <w:p w14:paraId="2C3A5E06" w14:textId="77777777" w:rsidR="005C61BF" w:rsidRPr="00DF5C23" w:rsidRDefault="005C61BF" w:rsidP="009C47CC">
            <w:pPr>
              <w:ind w:right="-29"/>
              <w:jc w:val="center"/>
              <w:rPr>
                <w:noProof/>
                <w:sz w:val="18"/>
                <w:szCs w:val="18"/>
              </w:rPr>
            </w:pPr>
            <w:r w:rsidRPr="00DF5C23">
              <w:rPr>
                <w:noProof/>
                <w:sz w:val="16"/>
                <w:szCs w:val="18"/>
              </w:rPr>
              <w:t xml:space="preserve">Delegated </w:t>
            </w:r>
            <w:r w:rsidRPr="00DF5C23">
              <w:rPr>
                <w:noProof/>
                <w:sz w:val="18"/>
                <w:szCs w:val="18"/>
              </w:rPr>
              <w:t>acts (new products)</w:t>
            </w:r>
          </w:p>
        </w:tc>
        <w:tc>
          <w:tcPr>
            <w:tcW w:w="700" w:type="dxa"/>
          </w:tcPr>
          <w:p w14:paraId="2C3A5E07" w14:textId="77777777" w:rsidR="005C61BF" w:rsidRPr="00DF5C23" w:rsidRDefault="005C61BF" w:rsidP="009C47CC">
            <w:pPr>
              <w:ind w:right="-29"/>
              <w:jc w:val="center"/>
              <w:rPr>
                <w:noProof/>
                <w:sz w:val="18"/>
                <w:szCs w:val="18"/>
              </w:rPr>
            </w:pPr>
            <w:r w:rsidRPr="00DF5C23">
              <w:rPr>
                <w:noProof/>
                <w:sz w:val="18"/>
                <w:szCs w:val="18"/>
              </w:rPr>
              <w:t>0,800</w:t>
            </w:r>
          </w:p>
        </w:tc>
        <w:tc>
          <w:tcPr>
            <w:tcW w:w="503" w:type="dxa"/>
            <w:tcBorders>
              <w:right w:val="dashSmallGap" w:sz="4" w:space="0" w:color="auto"/>
            </w:tcBorders>
          </w:tcPr>
          <w:p w14:paraId="2C3A5E08"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left w:val="dashSmallGap" w:sz="4" w:space="0" w:color="auto"/>
            </w:tcBorders>
          </w:tcPr>
          <w:p w14:paraId="2C3A5E09" w14:textId="77777777" w:rsidR="005C61BF" w:rsidRPr="00DF5C23" w:rsidRDefault="005C61BF" w:rsidP="009C47CC">
            <w:pPr>
              <w:ind w:right="-29"/>
              <w:jc w:val="center"/>
              <w:rPr>
                <w:noProof/>
                <w:sz w:val="18"/>
                <w:szCs w:val="18"/>
              </w:rPr>
            </w:pPr>
          </w:p>
        </w:tc>
        <w:tc>
          <w:tcPr>
            <w:tcW w:w="540" w:type="dxa"/>
            <w:tcBorders>
              <w:right w:val="dashSmallGap" w:sz="4" w:space="0" w:color="auto"/>
            </w:tcBorders>
          </w:tcPr>
          <w:p w14:paraId="2C3A5E0A"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left w:val="dashSmallGap" w:sz="4" w:space="0" w:color="auto"/>
            </w:tcBorders>
          </w:tcPr>
          <w:p w14:paraId="2C3A5E0B" w14:textId="77777777" w:rsidR="005C61BF" w:rsidRPr="00DF5C23" w:rsidRDefault="005C61BF" w:rsidP="009C47CC">
            <w:pPr>
              <w:ind w:right="-29"/>
              <w:jc w:val="center"/>
              <w:rPr>
                <w:noProof/>
                <w:sz w:val="18"/>
                <w:szCs w:val="18"/>
              </w:rPr>
            </w:pPr>
          </w:p>
        </w:tc>
        <w:tc>
          <w:tcPr>
            <w:tcW w:w="720" w:type="dxa"/>
            <w:tcBorders>
              <w:right w:val="dashSmallGap" w:sz="4" w:space="0" w:color="auto"/>
            </w:tcBorders>
          </w:tcPr>
          <w:p w14:paraId="2C3A5E0C" w14:textId="77777777" w:rsidR="005C61BF" w:rsidRPr="00DF5C23" w:rsidRDefault="005C61BF" w:rsidP="009C47CC">
            <w:pPr>
              <w:ind w:right="-29"/>
              <w:jc w:val="center"/>
              <w:rPr>
                <w:noProof/>
                <w:sz w:val="18"/>
                <w:szCs w:val="18"/>
              </w:rPr>
            </w:pPr>
            <w:r w:rsidRPr="00DF5C23">
              <w:rPr>
                <w:noProof/>
                <w:sz w:val="18"/>
                <w:szCs w:val="18"/>
              </w:rPr>
              <w:t>4</w:t>
            </w:r>
          </w:p>
        </w:tc>
        <w:tc>
          <w:tcPr>
            <w:tcW w:w="720" w:type="dxa"/>
            <w:tcBorders>
              <w:left w:val="dashSmallGap" w:sz="4" w:space="0" w:color="auto"/>
            </w:tcBorders>
          </w:tcPr>
          <w:p w14:paraId="2C3A5E0D" w14:textId="77777777" w:rsidR="005C61BF" w:rsidRPr="00DF5C23" w:rsidRDefault="005C61BF" w:rsidP="009C47CC">
            <w:pPr>
              <w:ind w:right="-29"/>
              <w:jc w:val="center"/>
              <w:rPr>
                <w:noProof/>
                <w:sz w:val="18"/>
                <w:szCs w:val="18"/>
              </w:rPr>
            </w:pPr>
            <w:r w:rsidRPr="00DF5C23">
              <w:rPr>
                <w:noProof/>
                <w:sz w:val="18"/>
                <w:szCs w:val="18"/>
              </w:rPr>
              <w:t>3,200</w:t>
            </w:r>
          </w:p>
        </w:tc>
        <w:tc>
          <w:tcPr>
            <w:tcW w:w="900" w:type="dxa"/>
            <w:tcBorders>
              <w:right w:val="dashSmallGap" w:sz="4" w:space="0" w:color="auto"/>
            </w:tcBorders>
          </w:tcPr>
          <w:p w14:paraId="2C3A5E0E" w14:textId="77777777" w:rsidR="005C61BF" w:rsidRPr="00DF5C23" w:rsidRDefault="005C61BF" w:rsidP="009C47CC">
            <w:pPr>
              <w:ind w:right="-29"/>
              <w:jc w:val="center"/>
              <w:rPr>
                <w:noProof/>
                <w:sz w:val="18"/>
                <w:szCs w:val="18"/>
              </w:rPr>
            </w:pPr>
            <w:r w:rsidRPr="00DF5C23">
              <w:rPr>
                <w:noProof/>
                <w:sz w:val="18"/>
                <w:szCs w:val="18"/>
              </w:rPr>
              <w:t>6</w:t>
            </w:r>
          </w:p>
        </w:tc>
        <w:tc>
          <w:tcPr>
            <w:tcW w:w="720" w:type="dxa"/>
            <w:gridSpan w:val="2"/>
            <w:tcBorders>
              <w:left w:val="dashSmallGap" w:sz="4" w:space="0" w:color="auto"/>
            </w:tcBorders>
          </w:tcPr>
          <w:p w14:paraId="2C3A5E0F" w14:textId="77777777" w:rsidR="005C61BF" w:rsidRPr="00DF5C23" w:rsidRDefault="005C61BF" w:rsidP="009C47CC">
            <w:pPr>
              <w:ind w:right="-29"/>
              <w:jc w:val="center"/>
              <w:rPr>
                <w:noProof/>
                <w:sz w:val="18"/>
                <w:szCs w:val="18"/>
              </w:rPr>
            </w:pPr>
            <w:r w:rsidRPr="00DF5C23">
              <w:rPr>
                <w:noProof/>
                <w:sz w:val="18"/>
                <w:szCs w:val="18"/>
              </w:rPr>
              <w:t>4,800</w:t>
            </w:r>
          </w:p>
        </w:tc>
        <w:tc>
          <w:tcPr>
            <w:tcW w:w="540" w:type="dxa"/>
            <w:tcBorders>
              <w:right w:val="dashSmallGap" w:sz="4" w:space="0" w:color="auto"/>
            </w:tcBorders>
          </w:tcPr>
          <w:p w14:paraId="2C3A5E10" w14:textId="77777777" w:rsidR="005C61BF" w:rsidRPr="00DF5C23" w:rsidRDefault="005C61BF" w:rsidP="009C47CC">
            <w:pPr>
              <w:ind w:right="-29"/>
              <w:jc w:val="center"/>
              <w:rPr>
                <w:noProof/>
                <w:sz w:val="18"/>
                <w:szCs w:val="18"/>
              </w:rPr>
            </w:pPr>
            <w:r w:rsidRPr="00DF5C23">
              <w:rPr>
                <w:noProof/>
                <w:sz w:val="18"/>
                <w:szCs w:val="18"/>
              </w:rPr>
              <w:t>4</w:t>
            </w:r>
          </w:p>
        </w:tc>
        <w:tc>
          <w:tcPr>
            <w:tcW w:w="753" w:type="dxa"/>
            <w:tcBorders>
              <w:left w:val="dashSmallGap" w:sz="4" w:space="0" w:color="auto"/>
            </w:tcBorders>
          </w:tcPr>
          <w:p w14:paraId="2C3A5E11" w14:textId="77777777" w:rsidR="005C61BF" w:rsidRPr="00DF5C23" w:rsidRDefault="005C61BF" w:rsidP="009C47CC">
            <w:pPr>
              <w:ind w:right="-29"/>
              <w:jc w:val="center"/>
              <w:rPr>
                <w:noProof/>
                <w:sz w:val="18"/>
                <w:szCs w:val="18"/>
              </w:rPr>
            </w:pPr>
            <w:r w:rsidRPr="00DF5C23">
              <w:rPr>
                <w:noProof/>
                <w:sz w:val="18"/>
                <w:szCs w:val="18"/>
              </w:rPr>
              <w:t>3,200</w:t>
            </w:r>
          </w:p>
        </w:tc>
        <w:tc>
          <w:tcPr>
            <w:tcW w:w="426" w:type="dxa"/>
            <w:tcBorders>
              <w:right w:val="dashSmallGap" w:sz="4" w:space="0" w:color="auto"/>
            </w:tcBorders>
          </w:tcPr>
          <w:p w14:paraId="2C3A5E12" w14:textId="77777777" w:rsidR="005C61BF" w:rsidRPr="00DF5C23" w:rsidRDefault="005C61BF" w:rsidP="009C47CC">
            <w:pPr>
              <w:ind w:right="-29"/>
              <w:jc w:val="center"/>
              <w:rPr>
                <w:noProof/>
                <w:sz w:val="18"/>
                <w:szCs w:val="18"/>
              </w:rPr>
            </w:pPr>
            <w:r w:rsidRPr="00DF5C23">
              <w:rPr>
                <w:noProof/>
                <w:sz w:val="18"/>
                <w:szCs w:val="18"/>
              </w:rPr>
              <w:t>12</w:t>
            </w:r>
          </w:p>
        </w:tc>
        <w:tc>
          <w:tcPr>
            <w:tcW w:w="850" w:type="dxa"/>
            <w:tcBorders>
              <w:left w:val="dashSmallGap" w:sz="4" w:space="0" w:color="auto"/>
            </w:tcBorders>
          </w:tcPr>
          <w:p w14:paraId="2C3A5E13" w14:textId="77777777" w:rsidR="005C61BF" w:rsidRPr="00DF5C23" w:rsidRDefault="005C61BF" w:rsidP="009C47CC">
            <w:pPr>
              <w:ind w:right="-29"/>
              <w:jc w:val="center"/>
              <w:rPr>
                <w:noProof/>
                <w:sz w:val="18"/>
                <w:szCs w:val="18"/>
              </w:rPr>
            </w:pPr>
            <w:r w:rsidRPr="00DF5C23">
              <w:rPr>
                <w:noProof/>
                <w:sz w:val="18"/>
                <w:szCs w:val="18"/>
              </w:rPr>
              <w:t>9,600</w:t>
            </w:r>
          </w:p>
        </w:tc>
        <w:tc>
          <w:tcPr>
            <w:tcW w:w="567" w:type="dxa"/>
            <w:tcBorders>
              <w:right w:val="dashSmallGap" w:sz="4" w:space="0" w:color="auto"/>
            </w:tcBorders>
          </w:tcPr>
          <w:p w14:paraId="2C3A5E14" w14:textId="77777777" w:rsidR="005C61BF" w:rsidRPr="00DF5C23" w:rsidRDefault="005C61BF" w:rsidP="009C47CC">
            <w:pPr>
              <w:ind w:right="-29"/>
              <w:jc w:val="center"/>
              <w:rPr>
                <w:noProof/>
                <w:sz w:val="18"/>
                <w:szCs w:val="18"/>
              </w:rPr>
            </w:pPr>
            <w:r w:rsidRPr="00DF5C23">
              <w:rPr>
                <w:noProof/>
                <w:sz w:val="18"/>
                <w:szCs w:val="18"/>
              </w:rPr>
              <w:t>26</w:t>
            </w:r>
          </w:p>
        </w:tc>
        <w:tc>
          <w:tcPr>
            <w:tcW w:w="851" w:type="dxa"/>
            <w:tcBorders>
              <w:left w:val="dashSmallGap" w:sz="4" w:space="0" w:color="auto"/>
            </w:tcBorders>
          </w:tcPr>
          <w:p w14:paraId="2C3A5E15" w14:textId="77777777" w:rsidR="005C61BF" w:rsidRPr="00DF5C23" w:rsidRDefault="005C61BF" w:rsidP="009C47CC">
            <w:pPr>
              <w:ind w:right="-29"/>
              <w:jc w:val="center"/>
              <w:rPr>
                <w:noProof/>
                <w:sz w:val="18"/>
                <w:szCs w:val="18"/>
              </w:rPr>
            </w:pPr>
            <w:r w:rsidRPr="00DF5C23">
              <w:rPr>
                <w:noProof/>
                <w:sz w:val="18"/>
                <w:szCs w:val="18"/>
              </w:rPr>
              <w:t>20,800</w:t>
            </w:r>
          </w:p>
        </w:tc>
      </w:tr>
      <w:tr w:rsidR="005C61BF" w:rsidRPr="00DF5C23" w14:paraId="2C3A5E28" w14:textId="77777777" w:rsidTr="009C47CC">
        <w:trPr>
          <w:gridAfter w:val="2"/>
          <w:wAfter w:w="574" w:type="dxa"/>
          <w:trHeight w:hRule="exact" w:val="1270"/>
          <w:jc w:val="center"/>
        </w:trPr>
        <w:tc>
          <w:tcPr>
            <w:tcW w:w="1171" w:type="dxa"/>
          </w:tcPr>
          <w:p w14:paraId="2C3A5E17" w14:textId="77777777" w:rsidR="005C61BF" w:rsidRPr="00DF5C23" w:rsidRDefault="005C61BF" w:rsidP="009C47CC">
            <w:pPr>
              <w:ind w:right="-29"/>
              <w:jc w:val="center"/>
              <w:rPr>
                <w:noProof/>
                <w:sz w:val="18"/>
                <w:szCs w:val="18"/>
              </w:rPr>
            </w:pPr>
            <w:r w:rsidRPr="00DF5C23">
              <w:rPr>
                <w:noProof/>
                <w:sz w:val="18"/>
              </w:rPr>
              <w:t>- Output</w:t>
            </w:r>
          </w:p>
        </w:tc>
        <w:tc>
          <w:tcPr>
            <w:tcW w:w="969" w:type="dxa"/>
          </w:tcPr>
          <w:p w14:paraId="2C3A5E18" w14:textId="77777777" w:rsidR="005C61BF" w:rsidRPr="00DF5C23" w:rsidRDefault="005C61BF" w:rsidP="009C47CC">
            <w:pPr>
              <w:spacing w:before="0" w:after="0"/>
              <w:ind w:right="-28"/>
              <w:jc w:val="center"/>
              <w:rPr>
                <w:noProof/>
                <w:sz w:val="18"/>
                <w:szCs w:val="18"/>
              </w:rPr>
            </w:pPr>
            <w:r w:rsidRPr="00DF5C23">
              <w:rPr>
                <w:noProof/>
                <w:sz w:val="18"/>
                <w:szCs w:val="18"/>
              </w:rPr>
              <w:t>Implementing acts (market surveillance, unsold goods)</w:t>
            </w:r>
          </w:p>
        </w:tc>
        <w:tc>
          <w:tcPr>
            <w:tcW w:w="700" w:type="dxa"/>
          </w:tcPr>
          <w:p w14:paraId="2C3A5E19" w14:textId="77777777" w:rsidR="005C61BF" w:rsidRPr="00DF5C23" w:rsidRDefault="005C61BF" w:rsidP="009C47CC">
            <w:pPr>
              <w:ind w:right="-29"/>
              <w:jc w:val="center"/>
              <w:rPr>
                <w:noProof/>
                <w:sz w:val="18"/>
                <w:szCs w:val="18"/>
              </w:rPr>
            </w:pPr>
            <w:r w:rsidRPr="00DF5C23">
              <w:rPr>
                <w:noProof/>
                <w:sz w:val="18"/>
                <w:szCs w:val="18"/>
              </w:rPr>
              <w:t>1,000</w:t>
            </w:r>
          </w:p>
        </w:tc>
        <w:tc>
          <w:tcPr>
            <w:tcW w:w="503" w:type="dxa"/>
          </w:tcPr>
          <w:p w14:paraId="2C3A5E1A"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1B" w14:textId="77777777" w:rsidR="005C61BF" w:rsidRPr="00DF5C23" w:rsidRDefault="005C61BF" w:rsidP="009C47CC">
            <w:pPr>
              <w:ind w:right="-29"/>
              <w:jc w:val="center"/>
              <w:rPr>
                <w:noProof/>
                <w:sz w:val="18"/>
                <w:szCs w:val="18"/>
              </w:rPr>
            </w:pPr>
          </w:p>
        </w:tc>
        <w:tc>
          <w:tcPr>
            <w:tcW w:w="540" w:type="dxa"/>
          </w:tcPr>
          <w:p w14:paraId="2C3A5E1C"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1D" w14:textId="77777777" w:rsidR="005C61BF" w:rsidRPr="00DF5C23" w:rsidRDefault="005C61BF" w:rsidP="009C47CC">
            <w:pPr>
              <w:ind w:right="-29"/>
              <w:jc w:val="center"/>
              <w:rPr>
                <w:noProof/>
                <w:sz w:val="18"/>
                <w:szCs w:val="18"/>
              </w:rPr>
            </w:pPr>
          </w:p>
        </w:tc>
        <w:tc>
          <w:tcPr>
            <w:tcW w:w="720" w:type="dxa"/>
          </w:tcPr>
          <w:p w14:paraId="2C3A5E1E" w14:textId="77777777" w:rsidR="005C61BF" w:rsidRPr="00DF5C23" w:rsidRDefault="005C61BF" w:rsidP="009C47CC">
            <w:pPr>
              <w:ind w:right="-29"/>
              <w:jc w:val="center"/>
              <w:rPr>
                <w:noProof/>
                <w:sz w:val="18"/>
                <w:szCs w:val="18"/>
              </w:rPr>
            </w:pPr>
            <w:r w:rsidRPr="00DF5C23">
              <w:rPr>
                <w:noProof/>
                <w:sz w:val="18"/>
                <w:szCs w:val="18"/>
              </w:rPr>
              <w:t>1</w:t>
            </w:r>
          </w:p>
        </w:tc>
        <w:tc>
          <w:tcPr>
            <w:tcW w:w="720" w:type="dxa"/>
          </w:tcPr>
          <w:p w14:paraId="2C3A5E1F" w14:textId="77777777" w:rsidR="005C61BF" w:rsidRPr="00DF5C23" w:rsidRDefault="005C61BF" w:rsidP="009C47CC">
            <w:pPr>
              <w:ind w:right="-29"/>
              <w:jc w:val="center"/>
              <w:rPr>
                <w:noProof/>
                <w:sz w:val="18"/>
                <w:szCs w:val="18"/>
              </w:rPr>
            </w:pPr>
            <w:r w:rsidRPr="00DF5C23">
              <w:rPr>
                <w:noProof/>
                <w:sz w:val="18"/>
                <w:szCs w:val="18"/>
              </w:rPr>
              <w:t>1,000</w:t>
            </w:r>
          </w:p>
        </w:tc>
        <w:tc>
          <w:tcPr>
            <w:tcW w:w="900" w:type="dxa"/>
          </w:tcPr>
          <w:p w14:paraId="2C3A5E20" w14:textId="77777777" w:rsidR="005C61BF" w:rsidRPr="00DF5C23" w:rsidRDefault="005C61BF" w:rsidP="009C47CC">
            <w:pPr>
              <w:ind w:right="-29"/>
              <w:jc w:val="center"/>
              <w:rPr>
                <w:noProof/>
                <w:sz w:val="18"/>
                <w:szCs w:val="18"/>
              </w:rPr>
            </w:pPr>
            <w:r w:rsidRPr="00DF5C23">
              <w:rPr>
                <w:noProof/>
                <w:sz w:val="18"/>
                <w:szCs w:val="18"/>
              </w:rPr>
              <w:t>1</w:t>
            </w:r>
          </w:p>
        </w:tc>
        <w:tc>
          <w:tcPr>
            <w:tcW w:w="720" w:type="dxa"/>
            <w:gridSpan w:val="2"/>
          </w:tcPr>
          <w:p w14:paraId="2C3A5E21" w14:textId="77777777" w:rsidR="005C61BF" w:rsidRPr="00DF5C23" w:rsidRDefault="005C61BF" w:rsidP="009C47CC">
            <w:pPr>
              <w:ind w:right="-29"/>
              <w:jc w:val="center"/>
              <w:rPr>
                <w:noProof/>
                <w:sz w:val="18"/>
                <w:szCs w:val="18"/>
              </w:rPr>
            </w:pPr>
            <w:r w:rsidRPr="00DF5C23">
              <w:rPr>
                <w:noProof/>
                <w:sz w:val="18"/>
                <w:szCs w:val="18"/>
              </w:rPr>
              <w:t>1,000</w:t>
            </w:r>
          </w:p>
        </w:tc>
        <w:tc>
          <w:tcPr>
            <w:tcW w:w="540" w:type="dxa"/>
          </w:tcPr>
          <w:p w14:paraId="2C3A5E22" w14:textId="77777777" w:rsidR="005C61BF" w:rsidRPr="00DF5C23" w:rsidRDefault="005C61BF" w:rsidP="009C47CC">
            <w:pPr>
              <w:ind w:right="-29"/>
              <w:jc w:val="center"/>
              <w:rPr>
                <w:noProof/>
                <w:sz w:val="18"/>
                <w:szCs w:val="18"/>
              </w:rPr>
            </w:pPr>
            <w:r w:rsidRPr="00DF5C23">
              <w:rPr>
                <w:noProof/>
                <w:sz w:val="18"/>
                <w:szCs w:val="18"/>
              </w:rPr>
              <w:t>1</w:t>
            </w:r>
          </w:p>
        </w:tc>
        <w:tc>
          <w:tcPr>
            <w:tcW w:w="753" w:type="dxa"/>
          </w:tcPr>
          <w:p w14:paraId="2C3A5E23" w14:textId="77777777" w:rsidR="005C61BF" w:rsidRPr="00DF5C23" w:rsidRDefault="005C61BF" w:rsidP="009C47CC">
            <w:pPr>
              <w:ind w:right="-29"/>
              <w:jc w:val="center"/>
              <w:rPr>
                <w:noProof/>
                <w:sz w:val="18"/>
                <w:szCs w:val="18"/>
              </w:rPr>
            </w:pPr>
            <w:r w:rsidRPr="00DF5C23">
              <w:rPr>
                <w:noProof/>
                <w:sz w:val="18"/>
                <w:szCs w:val="18"/>
              </w:rPr>
              <w:t>1,000</w:t>
            </w:r>
          </w:p>
        </w:tc>
        <w:tc>
          <w:tcPr>
            <w:tcW w:w="426" w:type="dxa"/>
          </w:tcPr>
          <w:p w14:paraId="2C3A5E24" w14:textId="77777777" w:rsidR="005C61BF" w:rsidRPr="00DF5C23" w:rsidRDefault="005C61BF" w:rsidP="009C47CC">
            <w:pPr>
              <w:ind w:right="-29"/>
              <w:jc w:val="center"/>
              <w:rPr>
                <w:noProof/>
                <w:sz w:val="18"/>
                <w:szCs w:val="18"/>
              </w:rPr>
            </w:pPr>
          </w:p>
        </w:tc>
        <w:tc>
          <w:tcPr>
            <w:tcW w:w="850" w:type="dxa"/>
          </w:tcPr>
          <w:p w14:paraId="2C3A5E25" w14:textId="77777777" w:rsidR="005C61BF" w:rsidRPr="00DF5C23" w:rsidRDefault="005C61BF" w:rsidP="009C47CC">
            <w:pPr>
              <w:ind w:right="-29"/>
              <w:jc w:val="center"/>
              <w:rPr>
                <w:noProof/>
                <w:sz w:val="18"/>
                <w:szCs w:val="18"/>
              </w:rPr>
            </w:pPr>
          </w:p>
        </w:tc>
        <w:tc>
          <w:tcPr>
            <w:tcW w:w="567" w:type="dxa"/>
          </w:tcPr>
          <w:p w14:paraId="2C3A5E26" w14:textId="77777777" w:rsidR="005C61BF" w:rsidRPr="00DF5C23" w:rsidRDefault="005C61BF" w:rsidP="009C47CC">
            <w:pPr>
              <w:ind w:right="-29"/>
              <w:jc w:val="center"/>
              <w:rPr>
                <w:noProof/>
                <w:sz w:val="18"/>
                <w:szCs w:val="18"/>
              </w:rPr>
            </w:pPr>
            <w:r w:rsidRPr="00DF5C23">
              <w:rPr>
                <w:noProof/>
                <w:sz w:val="18"/>
                <w:szCs w:val="18"/>
              </w:rPr>
              <w:t>3</w:t>
            </w:r>
          </w:p>
        </w:tc>
        <w:tc>
          <w:tcPr>
            <w:tcW w:w="851" w:type="dxa"/>
          </w:tcPr>
          <w:p w14:paraId="2C3A5E27" w14:textId="77777777" w:rsidR="005C61BF" w:rsidRPr="00DF5C23" w:rsidRDefault="005C61BF" w:rsidP="009C47CC">
            <w:pPr>
              <w:ind w:right="-29"/>
              <w:jc w:val="center"/>
              <w:rPr>
                <w:noProof/>
                <w:sz w:val="18"/>
                <w:szCs w:val="18"/>
              </w:rPr>
            </w:pPr>
            <w:r w:rsidRPr="00DF5C23">
              <w:rPr>
                <w:noProof/>
                <w:sz w:val="18"/>
                <w:szCs w:val="18"/>
              </w:rPr>
              <w:t>3,000</w:t>
            </w:r>
          </w:p>
        </w:tc>
      </w:tr>
      <w:tr w:rsidR="005C61BF" w:rsidRPr="00DF5C23" w14:paraId="2C3A5E38" w14:textId="77777777" w:rsidTr="009C47CC">
        <w:trPr>
          <w:gridAfter w:val="2"/>
          <w:wAfter w:w="574" w:type="dxa"/>
          <w:trHeight w:val="77"/>
          <w:jc w:val="center"/>
        </w:trPr>
        <w:tc>
          <w:tcPr>
            <w:tcW w:w="2840" w:type="dxa"/>
            <w:gridSpan w:val="3"/>
            <w:tcBorders>
              <w:bottom w:val="single" w:sz="12" w:space="0" w:color="auto"/>
            </w:tcBorders>
            <w:vAlign w:val="center"/>
          </w:tcPr>
          <w:p w14:paraId="2C3A5E29" w14:textId="77777777" w:rsidR="005C61BF" w:rsidRPr="00DF5C23" w:rsidRDefault="005C61BF" w:rsidP="009C47CC">
            <w:pPr>
              <w:ind w:right="-29"/>
              <w:jc w:val="center"/>
              <w:rPr>
                <w:noProof/>
                <w:sz w:val="18"/>
                <w:szCs w:val="18"/>
              </w:rPr>
            </w:pPr>
            <w:r w:rsidRPr="00DF5C23">
              <w:rPr>
                <w:noProof/>
                <w:sz w:val="18"/>
              </w:rPr>
              <w:t>Subtotal for specific objective No 1</w:t>
            </w:r>
          </w:p>
        </w:tc>
        <w:tc>
          <w:tcPr>
            <w:tcW w:w="503" w:type="dxa"/>
            <w:tcBorders>
              <w:bottom w:val="single" w:sz="12" w:space="0" w:color="auto"/>
            </w:tcBorders>
          </w:tcPr>
          <w:p w14:paraId="2C3A5E2A"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2B" w14:textId="77777777" w:rsidR="005C61BF" w:rsidRPr="00DF5C23" w:rsidRDefault="005C61BF" w:rsidP="009C47CC">
            <w:pPr>
              <w:ind w:right="-29"/>
              <w:jc w:val="center"/>
              <w:rPr>
                <w:noProof/>
                <w:sz w:val="18"/>
                <w:szCs w:val="18"/>
              </w:rPr>
            </w:pPr>
          </w:p>
        </w:tc>
        <w:tc>
          <w:tcPr>
            <w:tcW w:w="540" w:type="dxa"/>
            <w:tcBorders>
              <w:bottom w:val="single" w:sz="12" w:space="0" w:color="auto"/>
            </w:tcBorders>
          </w:tcPr>
          <w:p w14:paraId="2C3A5E2C"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2D" w14:textId="77777777" w:rsidR="005C61BF" w:rsidRPr="00DF5C23" w:rsidRDefault="005C61BF" w:rsidP="009C47CC">
            <w:pPr>
              <w:ind w:right="-29"/>
              <w:jc w:val="center"/>
              <w:rPr>
                <w:noProof/>
                <w:sz w:val="18"/>
                <w:szCs w:val="18"/>
              </w:rPr>
            </w:pPr>
          </w:p>
        </w:tc>
        <w:tc>
          <w:tcPr>
            <w:tcW w:w="720" w:type="dxa"/>
            <w:tcBorders>
              <w:bottom w:val="single" w:sz="12" w:space="0" w:color="auto"/>
            </w:tcBorders>
          </w:tcPr>
          <w:p w14:paraId="2C3A5E2E" w14:textId="77777777" w:rsidR="005C61BF" w:rsidRPr="00DF5C23" w:rsidRDefault="005C61BF" w:rsidP="009C47CC">
            <w:pPr>
              <w:ind w:right="-29"/>
              <w:jc w:val="center"/>
              <w:rPr>
                <w:noProof/>
                <w:sz w:val="18"/>
                <w:szCs w:val="18"/>
              </w:rPr>
            </w:pPr>
            <w:r w:rsidRPr="00DF5C23">
              <w:rPr>
                <w:noProof/>
                <w:sz w:val="18"/>
                <w:szCs w:val="18"/>
              </w:rPr>
              <w:t>12</w:t>
            </w:r>
          </w:p>
        </w:tc>
        <w:tc>
          <w:tcPr>
            <w:tcW w:w="720" w:type="dxa"/>
            <w:tcBorders>
              <w:bottom w:val="single" w:sz="12" w:space="0" w:color="auto"/>
            </w:tcBorders>
          </w:tcPr>
          <w:p w14:paraId="2C3A5E2F" w14:textId="77777777" w:rsidR="005C61BF" w:rsidRPr="00DF5C23" w:rsidRDefault="005C61BF" w:rsidP="009C47CC">
            <w:pPr>
              <w:ind w:right="-29"/>
              <w:jc w:val="center"/>
              <w:rPr>
                <w:noProof/>
                <w:sz w:val="18"/>
                <w:szCs w:val="18"/>
              </w:rPr>
            </w:pPr>
            <w:r w:rsidRPr="00DF5C23">
              <w:rPr>
                <w:noProof/>
                <w:sz w:val="18"/>
                <w:szCs w:val="18"/>
              </w:rPr>
              <w:t>6,300</w:t>
            </w:r>
          </w:p>
        </w:tc>
        <w:tc>
          <w:tcPr>
            <w:tcW w:w="900" w:type="dxa"/>
            <w:tcBorders>
              <w:bottom w:val="single" w:sz="12" w:space="0" w:color="auto"/>
            </w:tcBorders>
          </w:tcPr>
          <w:p w14:paraId="2C3A5E30" w14:textId="77777777" w:rsidR="005C61BF" w:rsidRPr="00DF5C23" w:rsidRDefault="005C61BF" w:rsidP="009C47CC">
            <w:pPr>
              <w:ind w:right="-29"/>
              <w:jc w:val="center"/>
              <w:rPr>
                <w:noProof/>
                <w:sz w:val="18"/>
                <w:szCs w:val="18"/>
              </w:rPr>
            </w:pPr>
            <w:r w:rsidRPr="00DF5C23">
              <w:rPr>
                <w:noProof/>
                <w:sz w:val="18"/>
                <w:szCs w:val="18"/>
              </w:rPr>
              <w:t>13</w:t>
            </w:r>
          </w:p>
        </w:tc>
        <w:tc>
          <w:tcPr>
            <w:tcW w:w="720" w:type="dxa"/>
            <w:gridSpan w:val="2"/>
            <w:tcBorders>
              <w:bottom w:val="single" w:sz="12" w:space="0" w:color="auto"/>
            </w:tcBorders>
          </w:tcPr>
          <w:p w14:paraId="2C3A5E31" w14:textId="77777777" w:rsidR="005C61BF" w:rsidRPr="00DF5C23" w:rsidRDefault="005C61BF" w:rsidP="009C47CC">
            <w:pPr>
              <w:ind w:right="-29"/>
              <w:jc w:val="center"/>
              <w:rPr>
                <w:noProof/>
                <w:sz w:val="18"/>
                <w:szCs w:val="18"/>
              </w:rPr>
            </w:pPr>
            <w:r w:rsidRPr="00DF5C23">
              <w:rPr>
                <w:noProof/>
                <w:sz w:val="18"/>
                <w:szCs w:val="18"/>
              </w:rPr>
              <w:t>7,600</w:t>
            </w:r>
          </w:p>
        </w:tc>
        <w:tc>
          <w:tcPr>
            <w:tcW w:w="540" w:type="dxa"/>
            <w:tcBorders>
              <w:bottom w:val="single" w:sz="12" w:space="0" w:color="auto"/>
            </w:tcBorders>
          </w:tcPr>
          <w:p w14:paraId="2C3A5E32" w14:textId="77777777" w:rsidR="005C61BF" w:rsidRPr="00DF5C23" w:rsidRDefault="005C61BF" w:rsidP="009C47CC">
            <w:pPr>
              <w:ind w:right="-29"/>
              <w:jc w:val="center"/>
              <w:rPr>
                <w:noProof/>
                <w:sz w:val="18"/>
                <w:szCs w:val="18"/>
              </w:rPr>
            </w:pPr>
            <w:r w:rsidRPr="00DF5C23">
              <w:rPr>
                <w:noProof/>
                <w:sz w:val="18"/>
                <w:szCs w:val="18"/>
              </w:rPr>
              <w:t>10</w:t>
            </w:r>
          </w:p>
        </w:tc>
        <w:tc>
          <w:tcPr>
            <w:tcW w:w="753" w:type="dxa"/>
            <w:tcBorders>
              <w:bottom w:val="single" w:sz="12" w:space="0" w:color="auto"/>
            </w:tcBorders>
          </w:tcPr>
          <w:p w14:paraId="2C3A5E33" w14:textId="77777777" w:rsidR="005C61BF" w:rsidRPr="00DF5C23" w:rsidRDefault="005C61BF" w:rsidP="009C47CC">
            <w:pPr>
              <w:ind w:right="-29"/>
              <w:jc w:val="center"/>
              <w:rPr>
                <w:noProof/>
                <w:sz w:val="18"/>
                <w:szCs w:val="18"/>
              </w:rPr>
            </w:pPr>
            <w:r w:rsidRPr="00DF5C23">
              <w:rPr>
                <w:noProof/>
                <w:sz w:val="18"/>
                <w:szCs w:val="18"/>
              </w:rPr>
              <w:t>5,700</w:t>
            </w:r>
          </w:p>
        </w:tc>
        <w:tc>
          <w:tcPr>
            <w:tcW w:w="426" w:type="dxa"/>
            <w:tcBorders>
              <w:bottom w:val="single" w:sz="12" w:space="0" w:color="auto"/>
            </w:tcBorders>
          </w:tcPr>
          <w:p w14:paraId="2C3A5E34" w14:textId="77777777" w:rsidR="005C61BF" w:rsidRPr="00DF5C23" w:rsidRDefault="005C61BF" w:rsidP="009C47CC">
            <w:pPr>
              <w:ind w:right="-29"/>
              <w:jc w:val="center"/>
              <w:rPr>
                <w:noProof/>
                <w:sz w:val="18"/>
                <w:szCs w:val="18"/>
              </w:rPr>
            </w:pPr>
            <w:r w:rsidRPr="00DF5C23">
              <w:rPr>
                <w:noProof/>
                <w:sz w:val="18"/>
                <w:szCs w:val="18"/>
              </w:rPr>
              <w:t>17</w:t>
            </w:r>
          </w:p>
        </w:tc>
        <w:tc>
          <w:tcPr>
            <w:tcW w:w="850" w:type="dxa"/>
            <w:tcBorders>
              <w:bottom w:val="single" w:sz="12" w:space="0" w:color="auto"/>
            </w:tcBorders>
          </w:tcPr>
          <w:p w14:paraId="2C3A5E35" w14:textId="77777777" w:rsidR="005C61BF" w:rsidRPr="00DF5C23" w:rsidRDefault="005C61BF" w:rsidP="009C47CC">
            <w:pPr>
              <w:ind w:right="-29"/>
              <w:jc w:val="center"/>
              <w:rPr>
                <w:noProof/>
                <w:sz w:val="18"/>
                <w:szCs w:val="18"/>
              </w:rPr>
            </w:pPr>
            <w:r w:rsidRPr="00DF5C23">
              <w:rPr>
                <w:noProof/>
                <w:sz w:val="18"/>
                <w:szCs w:val="18"/>
              </w:rPr>
              <w:t>11,100</w:t>
            </w:r>
          </w:p>
        </w:tc>
        <w:tc>
          <w:tcPr>
            <w:tcW w:w="567" w:type="dxa"/>
            <w:tcBorders>
              <w:bottom w:val="single" w:sz="12" w:space="0" w:color="auto"/>
            </w:tcBorders>
          </w:tcPr>
          <w:p w14:paraId="2C3A5E36" w14:textId="77777777" w:rsidR="005C61BF" w:rsidRPr="00DF5C23" w:rsidRDefault="005C61BF" w:rsidP="009C47CC">
            <w:pPr>
              <w:ind w:right="-29"/>
              <w:jc w:val="center"/>
              <w:rPr>
                <w:noProof/>
                <w:sz w:val="18"/>
                <w:szCs w:val="18"/>
              </w:rPr>
            </w:pPr>
            <w:r w:rsidRPr="00DF5C23">
              <w:rPr>
                <w:noProof/>
                <w:sz w:val="18"/>
                <w:szCs w:val="18"/>
              </w:rPr>
              <w:t>52</w:t>
            </w:r>
          </w:p>
        </w:tc>
        <w:tc>
          <w:tcPr>
            <w:tcW w:w="851" w:type="dxa"/>
            <w:tcBorders>
              <w:bottom w:val="single" w:sz="12" w:space="0" w:color="auto"/>
            </w:tcBorders>
          </w:tcPr>
          <w:p w14:paraId="2C3A5E37" w14:textId="77777777" w:rsidR="005C61BF" w:rsidRPr="00DF5C23" w:rsidRDefault="005C61BF" w:rsidP="009C47CC">
            <w:pPr>
              <w:ind w:right="-29"/>
              <w:jc w:val="center"/>
              <w:rPr>
                <w:noProof/>
                <w:sz w:val="18"/>
                <w:szCs w:val="18"/>
              </w:rPr>
            </w:pPr>
            <w:r w:rsidRPr="00DF5C23">
              <w:rPr>
                <w:noProof/>
                <w:sz w:val="18"/>
                <w:szCs w:val="18"/>
              </w:rPr>
              <w:t>30,700</w:t>
            </w:r>
          </w:p>
        </w:tc>
      </w:tr>
      <w:tr w:rsidR="005C61BF" w:rsidRPr="00DF5C23" w14:paraId="2C3A5E3B" w14:textId="77777777" w:rsidTr="009C47CC">
        <w:trPr>
          <w:gridAfter w:val="2"/>
          <w:wAfter w:w="574" w:type="dxa"/>
          <w:jc w:val="center"/>
        </w:trPr>
        <w:tc>
          <w:tcPr>
            <w:tcW w:w="2840" w:type="dxa"/>
            <w:gridSpan w:val="3"/>
            <w:vAlign w:val="center"/>
          </w:tcPr>
          <w:p w14:paraId="2C3A5E39" w14:textId="77777777" w:rsidR="005C61BF" w:rsidRPr="00DF5C23" w:rsidRDefault="005C61BF" w:rsidP="009C47CC">
            <w:pPr>
              <w:spacing w:before="60" w:after="60"/>
              <w:ind w:right="-29"/>
              <w:jc w:val="left"/>
              <w:rPr>
                <w:noProof/>
                <w:sz w:val="18"/>
                <w:szCs w:val="18"/>
              </w:rPr>
            </w:pPr>
            <w:r w:rsidRPr="00DF5C23">
              <w:rPr>
                <w:noProof/>
                <w:sz w:val="18"/>
              </w:rPr>
              <w:t>SPECIFIC OBJECTIVE No 2</w:t>
            </w:r>
          </w:p>
        </w:tc>
        <w:tc>
          <w:tcPr>
            <w:tcW w:w="9530" w:type="dxa"/>
            <w:gridSpan w:val="15"/>
            <w:tcBorders>
              <w:top w:val="nil"/>
              <w:left w:val="nil"/>
              <w:bottom w:val="nil"/>
              <w:right w:val="nil"/>
            </w:tcBorders>
          </w:tcPr>
          <w:p w14:paraId="2C3A5E3A" w14:textId="77777777" w:rsidR="005C61BF" w:rsidRPr="00DF5C23" w:rsidRDefault="005C61BF" w:rsidP="009C47CC">
            <w:pPr>
              <w:spacing w:before="60" w:after="60"/>
              <w:ind w:right="-29"/>
              <w:jc w:val="left"/>
              <w:rPr>
                <w:noProof/>
                <w:sz w:val="18"/>
                <w:szCs w:val="18"/>
              </w:rPr>
            </w:pPr>
            <w:r w:rsidRPr="00DF5C23">
              <w:rPr>
                <w:noProof/>
                <w:sz w:val="18"/>
                <w:szCs w:val="18"/>
              </w:rPr>
              <w:t>Incentivise more sustainable products and business models to improve value retention</w:t>
            </w:r>
          </w:p>
        </w:tc>
      </w:tr>
      <w:tr w:rsidR="005C61BF" w:rsidRPr="00DF5C23" w14:paraId="2C3A5E4D" w14:textId="77777777" w:rsidTr="009C47CC">
        <w:trPr>
          <w:gridAfter w:val="2"/>
          <w:wAfter w:w="574" w:type="dxa"/>
          <w:trHeight w:hRule="exact" w:val="1100"/>
          <w:jc w:val="center"/>
        </w:trPr>
        <w:tc>
          <w:tcPr>
            <w:tcW w:w="1171" w:type="dxa"/>
          </w:tcPr>
          <w:p w14:paraId="2C3A5E3C" w14:textId="77777777" w:rsidR="005C61BF" w:rsidRPr="00DF5C23" w:rsidRDefault="005C61BF" w:rsidP="009C47CC">
            <w:pPr>
              <w:ind w:right="-29"/>
              <w:jc w:val="center"/>
              <w:rPr>
                <w:noProof/>
                <w:sz w:val="18"/>
                <w:szCs w:val="18"/>
              </w:rPr>
            </w:pPr>
            <w:r w:rsidRPr="00DF5C23">
              <w:rPr>
                <w:noProof/>
                <w:sz w:val="18"/>
              </w:rPr>
              <w:t>- Output</w:t>
            </w:r>
          </w:p>
        </w:tc>
        <w:tc>
          <w:tcPr>
            <w:tcW w:w="969" w:type="dxa"/>
          </w:tcPr>
          <w:p w14:paraId="2C3A5E3D" w14:textId="77777777" w:rsidR="005C61BF" w:rsidRPr="00DF5C23" w:rsidRDefault="005C61BF" w:rsidP="0052414F">
            <w:pPr>
              <w:ind w:right="-29"/>
              <w:jc w:val="center"/>
              <w:rPr>
                <w:noProof/>
                <w:sz w:val="18"/>
                <w:szCs w:val="18"/>
              </w:rPr>
            </w:pPr>
            <w:r w:rsidRPr="00DF5C23">
              <w:rPr>
                <w:noProof/>
                <w:sz w:val="18"/>
                <w:szCs w:val="18"/>
              </w:rPr>
              <w:t>Support to Circular Business Hub</w:t>
            </w:r>
            <w:r w:rsidR="0052414F" w:rsidRPr="00DF5C23">
              <w:rPr>
                <w:rStyle w:val="FootnoteReference0"/>
                <w:noProof/>
                <w:sz w:val="18"/>
                <w:szCs w:val="18"/>
              </w:rPr>
              <w:footnoteReference w:id="102"/>
            </w:r>
          </w:p>
        </w:tc>
        <w:tc>
          <w:tcPr>
            <w:tcW w:w="700" w:type="dxa"/>
          </w:tcPr>
          <w:p w14:paraId="2C3A5E3E" w14:textId="77777777" w:rsidR="005C61BF" w:rsidRPr="00DF5C23" w:rsidRDefault="005C61BF" w:rsidP="009C47CC">
            <w:pPr>
              <w:ind w:right="-29"/>
              <w:jc w:val="center"/>
              <w:rPr>
                <w:noProof/>
                <w:sz w:val="18"/>
                <w:szCs w:val="18"/>
              </w:rPr>
            </w:pPr>
            <w:r w:rsidRPr="00DF5C23">
              <w:rPr>
                <w:noProof/>
                <w:sz w:val="18"/>
                <w:szCs w:val="18"/>
              </w:rPr>
              <w:t>0,500 per year</w:t>
            </w:r>
          </w:p>
        </w:tc>
        <w:tc>
          <w:tcPr>
            <w:tcW w:w="503" w:type="dxa"/>
          </w:tcPr>
          <w:p w14:paraId="2C3A5E3F"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40" w14:textId="77777777" w:rsidR="005C61BF" w:rsidRPr="00DF5C23" w:rsidRDefault="005C61BF" w:rsidP="009C47CC">
            <w:pPr>
              <w:ind w:right="-29"/>
              <w:jc w:val="center"/>
              <w:rPr>
                <w:noProof/>
                <w:sz w:val="18"/>
                <w:szCs w:val="18"/>
              </w:rPr>
            </w:pPr>
            <w:r w:rsidRPr="00DF5C23">
              <w:rPr>
                <w:noProof/>
                <w:sz w:val="18"/>
                <w:szCs w:val="18"/>
              </w:rPr>
              <w:t>-</w:t>
            </w:r>
          </w:p>
        </w:tc>
        <w:tc>
          <w:tcPr>
            <w:tcW w:w="540" w:type="dxa"/>
          </w:tcPr>
          <w:p w14:paraId="2C3A5E41"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42"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43" w14:textId="77777777" w:rsidR="005C61BF" w:rsidRPr="00DF5C23" w:rsidRDefault="005C61BF" w:rsidP="009C47CC">
            <w:pPr>
              <w:ind w:right="-29"/>
              <w:jc w:val="center"/>
              <w:rPr>
                <w:noProof/>
                <w:sz w:val="18"/>
                <w:szCs w:val="18"/>
              </w:rPr>
            </w:pPr>
            <w:r w:rsidRPr="00DF5C23">
              <w:rPr>
                <w:noProof/>
                <w:sz w:val="18"/>
                <w:szCs w:val="18"/>
              </w:rPr>
              <w:t>1</w:t>
            </w:r>
          </w:p>
        </w:tc>
        <w:tc>
          <w:tcPr>
            <w:tcW w:w="720" w:type="dxa"/>
          </w:tcPr>
          <w:p w14:paraId="2C3A5E44" w14:textId="77777777" w:rsidR="005C61BF" w:rsidRPr="00DF5C23" w:rsidRDefault="005C61BF" w:rsidP="009C47CC">
            <w:pPr>
              <w:ind w:right="-29"/>
              <w:jc w:val="center"/>
              <w:rPr>
                <w:noProof/>
                <w:sz w:val="18"/>
                <w:szCs w:val="18"/>
              </w:rPr>
            </w:pPr>
            <w:r w:rsidRPr="00DF5C23">
              <w:rPr>
                <w:noProof/>
                <w:sz w:val="18"/>
                <w:szCs w:val="18"/>
              </w:rPr>
              <w:t>0,500</w:t>
            </w:r>
          </w:p>
        </w:tc>
        <w:tc>
          <w:tcPr>
            <w:tcW w:w="900" w:type="dxa"/>
          </w:tcPr>
          <w:p w14:paraId="2C3A5E45" w14:textId="77777777" w:rsidR="005C61BF" w:rsidRPr="00DF5C23" w:rsidRDefault="005C61BF" w:rsidP="009C47CC">
            <w:pPr>
              <w:ind w:right="-29"/>
              <w:jc w:val="center"/>
              <w:rPr>
                <w:noProof/>
                <w:sz w:val="18"/>
                <w:szCs w:val="18"/>
              </w:rPr>
            </w:pPr>
            <w:r w:rsidRPr="00DF5C23">
              <w:rPr>
                <w:noProof/>
                <w:sz w:val="18"/>
                <w:szCs w:val="18"/>
              </w:rPr>
              <w:t>1</w:t>
            </w:r>
          </w:p>
        </w:tc>
        <w:tc>
          <w:tcPr>
            <w:tcW w:w="720" w:type="dxa"/>
            <w:gridSpan w:val="2"/>
          </w:tcPr>
          <w:p w14:paraId="2C3A5E46" w14:textId="77777777" w:rsidR="005C61BF" w:rsidRPr="00DF5C23" w:rsidRDefault="005C61BF" w:rsidP="009C47CC">
            <w:pPr>
              <w:ind w:right="-29"/>
              <w:jc w:val="center"/>
              <w:rPr>
                <w:noProof/>
                <w:sz w:val="18"/>
                <w:szCs w:val="18"/>
              </w:rPr>
            </w:pPr>
            <w:r w:rsidRPr="00DF5C23">
              <w:rPr>
                <w:noProof/>
                <w:sz w:val="18"/>
                <w:szCs w:val="18"/>
              </w:rPr>
              <w:t>0,500</w:t>
            </w:r>
          </w:p>
        </w:tc>
        <w:tc>
          <w:tcPr>
            <w:tcW w:w="540" w:type="dxa"/>
          </w:tcPr>
          <w:p w14:paraId="2C3A5E47" w14:textId="77777777" w:rsidR="005C61BF" w:rsidRPr="00DF5C23" w:rsidRDefault="005C61BF" w:rsidP="009C47CC">
            <w:pPr>
              <w:ind w:right="-29"/>
              <w:jc w:val="center"/>
              <w:rPr>
                <w:noProof/>
                <w:sz w:val="18"/>
                <w:szCs w:val="18"/>
              </w:rPr>
            </w:pPr>
            <w:r w:rsidRPr="00DF5C23">
              <w:rPr>
                <w:noProof/>
                <w:sz w:val="18"/>
                <w:szCs w:val="18"/>
              </w:rPr>
              <w:t>1</w:t>
            </w:r>
          </w:p>
        </w:tc>
        <w:tc>
          <w:tcPr>
            <w:tcW w:w="753" w:type="dxa"/>
          </w:tcPr>
          <w:p w14:paraId="2C3A5E48" w14:textId="77777777" w:rsidR="005C61BF" w:rsidRPr="00DF5C23" w:rsidRDefault="005C61BF" w:rsidP="009C47CC">
            <w:pPr>
              <w:ind w:right="-29"/>
              <w:jc w:val="center"/>
              <w:rPr>
                <w:noProof/>
                <w:sz w:val="18"/>
                <w:szCs w:val="18"/>
              </w:rPr>
            </w:pPr>
            <w:r w:rsidRPr="00DF5C23">
              <w:rPr>
                <w:noProof/>
                <w:sz w:val="18"/>
                <w:szCs w:val="18"/>
              </w:rPr>
              <w:t>0,500</w:t>
            </w:r>
          </w:p>
        </w:tc>
        <w:tc>
          <w:tcPr>
            <w:tcW w:w="426" w:type="dxa"/>
          </w:tcPr>
          <w:p w14:paraId="2C3A5E49" w14:textId="77777777" w:rsidR="005C61BF" w:rsidRPr="00DF5C23" w:rsidRDefault="005C61BF" w:rsidP="009C47CC">
            <w:pPr>
              <w:ind w:right="-29"/>
              <w:jc w:val="center"/>
              <w:rPr>
                <w:noProof/>
                <w:sz w:val="18"/>
                <w:szCs w:val="18"/>
              </w:rPr>
            </w:pPr>
            <w:r w:rsidRPr="00DF5C23">
              <w:rPr>
                <w:noProof/>
                <w:sz w:val="18"/>
                <w:szCs w:val="18"/>
              </w:rPr>
              <w:t>1</w:t>
            </w:r>
          </w:p>
        </w:tc>
        <w:tc>
          <w:tcPr>
            <w:tcW w:w="850" w:type="dxa"/>
          </w:tcPr>
          <w:p w14:paraId="2C3A5E4A" w14:textId="77777777" w:rsidR="005C61BF" w:rsidRPr="00DF5C23" w:rsidRDefault="005C61BF" w:rsidP="009C47CC">
            <w:pPr>
              <w:ind w:right="-29"/>
              <w:jc w:val="center"/>
              <w:rPr>
                <w:noProof/>
                <w:sz w:val="18"/>
                <w:szCs w:val="18"/>
              </w:rPr>
            </w:pPr>
            <w:r w:rsidRPr="00DF5C23">
              <w:rPr>
                <w:noProof/>
                <w:sz w:val="18"/>
                <w:szCs w:val="18"/>
              </w:rPr>
              <w:t>0,500</w:t>
            </w:r>
          </w:p>
        </w:tc>
        <w:tc>
          <w:tcPr>
            <w:tcW w:w="567" w:type="dxa"/>
          </w:tcPr>
          <w:p w14:paraId="2C3A5E4B" w14:textId="77777777" w:rsidR="005C61BF" w:rsidRPr="00DF5C23" w:rsidRDefault="005C61BF" w:rsidP="009C47CC">
            <w:pPr>
              <w:ind w:right="-29"/>
              <w:jc w:val="center"/>
              <w:rPr>
                <w:noProof/>
                <w:sz w:val="18"/>
                <w:szCs w:val="18"/>
              </w:rPr>
            </w:pPr>
            <w:r w:rsidRPr="00DF5C23">
              <w:rPr>
                <w:noProof/>
                <w:sz w:val="18"/>
                <w:szCs w:val="18"/>
              </w:rPr>
              <w:t>4</w:t>
            </w:r>
          </w:p>
        </w:tc>
        <w:tc>
          <w:tcPr>
            <w:tcW w:w="851" w:type="dxa"/>
          </w:tcPr>
          <w:p w14:paraId="2C3A5E4C" w14:textId="77777777" w:rsidR="005C61BF" w:rsidRPr="00DF5C23" w:rsidRDefault="005C61BF" w:rsidP="009C47CC">
            <w:pPr>
              <w:ind w:right="-29"/>
              <w:jc w:val="center"/>
              <w:rPr>
                <w:noProof/>
                <w:sz w:val="18"/>
                <w:szCs w:val="18"/>
              </w:rPr>
            </w:pPr>
            <w:r w:rsidRPr="00DF5C23">
              <w:rPr>
                <w:noProof/>
                <w:sz w:val="18"/>
                <w:szCs w:val="18"/>
              </w:rPr>
              <w:t>2,000</w:t>
            </w:r>
          </w:p>
        </w:tc>
      </w:tr>
      <w:tr w:rsidR="005C61BF" w:rsidRPr="00DF5C23" w14:paraId="2C3A5E5D" w14:textId="77777777" w:rsidTr="009C47CC">
        <w:trPr>
          <w:gridAfter w:val="2"/>
          <w:wAfter w:w="574" w:type="dxa"/>
          <w:jc w:val="center"/>
        </w:trPr>
        <w:tc>
          <w:tcPr>
            <w:tcW w:w="2840" w:type="dxa"/>
            <w:gridSpan w:val="3"/>
            <w:tcBorders>
              <w:bottom w:val="single" w:sz="12" w:space="0" w:color="auto"/>
            </w:tcBorders>
            <w:vAlign w:val="center"/>
          </w:tcPr>
          <w:p w14:paraId="2C3A5E4E" w14:textId="77777777" w:rsidR="005C61BF" w:rsidRPr="00DF5C23" w:rsidRDefault="005C61BF" w:rsidP="009C47CC">
            <w:pPr>
              <w:jc w:val="center"/>
              <w:rPr>
                <w:noProof/>
                <w:sz w:val="18"/>
                <w:szCs w:val="18"/>
              </w:rPr>
            </w:pPr>
            <w:r w:rsidRPr="00DF5C23">
              <w:rPr>
                <w:noProof/>
                <w:sz w:val="18"/>
              </w:rPr>
              <w:t>Subtotal for specific objective No 2</w:t>
            </w:r>
          </w:p>
        </w:tc>
        <w:tc>
          <w:tcPr>
            <w:tcW w:w="503" w:type="dxa"/>
            <w:tcBorders>
              <w:bottom w:val="single" w:sz="12" w:space="0" w:color="auto"/>
            </w:tcBorders>
          </w:tcPr>
          <w:p w14:paraId="2C3A5E4F"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50" w14:textId="77777777" w:rsidR="005C61BF" w:rsidRPr="00DF5C23" w:rsidRDefault="005C61BF" w:rsidP="009C47CC">
            <w:pPr>
              <w:ind w:right="-29"/>
              <w:jc w:val="center"/>
              <w:rPr>
                <w:noProof/>
                <w:sz w:val="18"/>
                <w:szCs w:val="18"/>
              </w:rPr>
            </w:pPr>
            <w:r w:rsidRPr="00DF5C23">
              <w:rPr>
                <w:noProof/>
                <w:sz w:val="18"/>
                <w:szCs w:val="18"/>
              </w:rPr>
              <w:t>-</w:t>
            </w:r>
          </w:p>
        </w:tc>
        <w:tc>
          <w:tcPr>
            <w:tcW w:w="540" w:type="dxa"/>
            <w:tcBorders>
              <w:bottom w:val="single" w:sz="12" w:space="0" w:color="auto"/>
            </w:tcBorders>
          </w:tcPr>
          <w:p w14:paraId="2C3A5E51"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52"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53" w14:textId="77777777" w:rsidR="005C61BF" w:rsidRPr="00DF5C23" w:rsidRDefault="005C61BF" w:rsidP="009C47CC">
            <w:pPr>
              <w:ind w:right="-29"/>
              <w:jc w:val="center"/>
              <w:rPr>
                <w:noProof/>
                <w:sz w:val="18"/>
                <w:szCs w:val="18"/>
              </w:rPr>
            </w:pPr>
            <w:r w:rsidRPr="00DF5C23">
              <w:rPr>
                <w:noProof/>
                <w:sz w:val="18"/>
                <w:szCs w:val="18"/>
              </w:rPr>
              <w:t>1</w:t>
            </w:r>
          </w:p>
        </w:tc>
        <w:tc>
          <w:tcPr>
            <w:tcW w:w="720" w:type="dxa"/>
            <w:tcBorders>
              <w:bottom w:val="single" w:sz="12" w:space="0" w:color="auto"/>
            </w:tcBorders>
          </w:tcPr>
          <w:p w14:paraId="2C3A5E54" w14:textId="77777777" w:rsidR="005C61BF" w:rsidRPr="00DF5C23" w:rsidRDefault="005C61BF" w:rsidP="009C47CC">
            <w:pPr>
              <w:ind w:right="-29"/>
              <w:jc w:val="center"/>
              <w:rPr>
                <w:noProof/>
                <w:sz w:val="18"/>
                <w:szCs w:val="18"/>
              </w:rPr>
            </w:pPr>
            <w:r w:rsidRPr="00DF5C23">
              <w:rPr>
                <w:noProof/>
                <w:sz w:val="18"/>
                <w:szCs w:val="18"/>
              </w:rPr>
              <w:t>0,500</w:t>
            </w:r>
          </w:p>
        </w:tc>
        <w:tc>
          <w:tcPr>
            <w:tcW w:w="929" w:type="dxa"/>
            <w:gridSpan w:val="2"/>
            <w:tcBorders>
              <w:bottom w:val="single" w:sz="12" w:space="0" w:color="auto"/>
            </w:tcBorders>
          </w:tcPr>
          <w:p w14:paraId="2C3A5E55" w14:textId="77777777" w:rsidR="005C61BF" w:rsidRPr="00DF5C23" w:rsidRDefault="005C61BF" w:rsidP="009C47CC">
            <w:pPr>
              <w:ind w:right="-29"/>
              <w:jc w:val="center"/>
              <w:rPr>
                <w:noProof/>
                <w:sz w:val="18"/>
                <w:szCs w:val="18"/>
              </w:rPr>
            </w:pPr>
            <w:r w:rsidRPr="00DF5C23">
              <w:rPr>
                <w:noProof/>
                <w:sz w:val="18"/>
                <w:szCs w:val="18"/>
              </w:rPr>
              <w:t>1</w:t>
            </w:r>
          </w:p>
        </w:tc>
        <w:tc>
          <w:tcPr>
            <w:tcW w:w="691" w:type="dxa"/>
            <w:tcBorders>
              <w:bottom w:val="single" w:sz="12" w:space="0" w:color="auto"/>
            </w:tcBorders>
          </w:tcPr>
          <w:p w14:paraId="2C3A5E56" w14:textId="77777777" w:rsidR="005C61BF" w:rsidRPr="00DF5C23" w:rsidRDefault="005C61BF" w:rsidP="009C47CC">
            <w:pPr>
              <w:ind w:right="-29"/>
              <w:jc w:val="center"/>
              <w:rPr>
                <w:noProof/>
                <w:sz w:val="18"/>
                <w:szCs w:val="18"/>
              </w:rPr>
            </w:pPr>
            <w:r w:rsidRPr="00DF5C23">
              <w:rPr>
                <w:noProof/>
                <w:sz w:val="18"/>
                <w:szCs w:val="18"/>
              </w:rPr>
              <w:t>0,500</w:t>
            </w:r>
          </w:p>
        </w:tc>
        <w:tc>
          <w:tcPr>
            <w:tcW w:w="540" w:type="dxa"/>
            <w:tcBorders>
              <w:bottom w:val="single" w:sz="12" w:space="0" w:color="auto"/>
            </w:tcBorders>
          </w:tcPr>
          <w:p w14:paraId="2C3A5E57" w14:textId="77777777" w:rsidR="005C61BF" w:rsidRPr="00DF5C23" w:rsidRDefault="005C61BF" w:rsidP="009C47CC">
            <w:pPr>
              <w:ind w:right="-29"/>
              <w:jc w:val="center"/>
              <w:rPr>
                <w:noProof/>
                <w:sz w:val="18"/>
                <w:szCs w:val="18"/>
              </w:rPr>
            </w:pPr>
            <w:r w:rsidRPr="00DF5C23">
              <w:rPr>
                <w:noProof/>
                <w:sz w:val="18"/>
                <w:szCs w:val="18"/>
              </w:rPr>
              <w:t>1</w:t>
            </w:r>
          </w:p>
        </w:tc>
        <w:tc>
          <w:tcPr>
            <w:tcW w:w="753" w:type="dxa"/>
            <w:tcBorders>
              <w:bottom w:val="single" w:sz="12" w:space="0" w:color="auto"/>
            </w:tcBorders>
          </w:tcPr>
          <w:p w14:paraId="2C3A5E58" w14:textId="77777777" w:rsidR="005C61BF" w:rsidRPr="00DF5C23" w:rsidRDefault="005C61BF" w:rsidP="009C47CC">
            <w:pPr>
              <w:ind w:right="-29"/>
              <w:jc w:val="center"/>
              <w:rPr>
                <w:noProof/>
                <w:sz w:val="18"/>
                <w:szCs w:val="18"/>
              </w:rPr>
            </w:pPr>
            <w:r w:rsidRPr="00DF5C23">
              <w:rPr>
                <w:noProof/>
                <w:sz w:val="18"/>
                <w:szCs w:val="18"/>
              </w:rPr>
              <w:t>0,500</w:t>
            </w:r>
          </w:p>
        </w:tc>
        <w:tc>
          <w:tcPr>
            <w:tcW w:w="426" w:type="dxa"/>
            <w:tcBorders>
              <w:bottom w:val="single" w:sz="12" w:space="0" w:color="auto"/>
            </w:tcBorders>
          </w:tcPr>
          <w:p w14:paraId="2C3A5E59" w14:textId="77777777" w:rsidR="005C61BF" w:rsidRPr="00DF5C23" w:rsidRDefault="005C61BF" w:rsidP="009C47CC">
            <w:pPr>
              <w:ind w:right="-29"/>
              <w:jc w:val="center"/>
              <w:rPr>
                <w:noProof/>
                <w:sz w:val="18"/>
                <w:szCs w:val="18"/>
              </w:rPr>
            </w:pPr>
            <w:r w:rsidRPr="00DF5C23">
              <w:rPr>
                <w:noProof/>
                <w:sz w:val="18"/>
                <w:szCs w:val="18"/>
              </w:rPr>
              <w:t>1</w:t>
            </w:r>
          </w:p>
        </w:tc>
        <w:tc>
          <w:tcPr>
            <w:tcW w:w="850" w:type="dxa"/>
            <w:tcBorders>
              <w:bottom w:val="single" w:sz="12" w:space="0" w:color="auto"/>
            </w:tcBorders>
          </w:tcPr>
          <w:p w14:paraId="2C3A5E5A" w14:textId="77777777" w:rsidR="005C61BF" w:rsidRPr="00DF5C23" w:rsidRDefault="005C61BF" w:rsidP="009C47CC">
            <w:pPr>
              <w:ind w:right="-29"/>
              <w:jc w:val="center"/>
              <w:rPr>
                <w:noProof/>
                <w:sz w:val="18"/>
                <w:szCs w:val="18"/>
              </w:rPr>
            </w:pPr>
            <w:r w:rsidRPr="00DF5C23">
              <w:rPr>
                <w:noProof/>
                <w:sz w:val="18"/>
                <w:szCs w:val="18"/>
              </w:rPr>
              <w:t>0,500</w:t>
            </w:r>
          </w:p>
        </w:tc>
        <w:tc>
          <w:tcPr>
            <w:tcW w:w="567" w:type="dxa"/>
            <w:tcBorders>
              <w:bottom w:val="single" w:sz="12" w:space="0" w:color="auto"/>
            </w:tcBorders>
          </w:tcPr>
          <w:p w14:paraId="2C3A5E5B" w14:textId="77777777" w:rsidR="005C61BF" w:rsidRPr="00DF5C23" w:rsidRDefault="005C61BF" w:rsidP="009C47CC">
            <w:pPr>
              <w:ind w:right="-29"/>
              <w:jc w:val="center"/>
              <w:rPr>
                <w:noProof/>
                <w:sz w:val="18"/>
                <w:szCs w:val="18"/>
              </w:rPr>
            </w:pPr>
            <w:r w:rsidRPr="00DF5C23">
              <w:rPr>
                <w:noProof/>
                <w:sz w:val="18"/>
                <w:szCs w:val="18"/>
              </w:rPr>
              <w:t>4</w:t>
            </w:r>
          </w:p>
        </w:tc>
        <w:tc>
          <w:tcPr>
            <w:tcW w:w="851" w:type="dxa"/>
            <w:tcBorders>
              <w:bottom w:val="single" w:sz="12" w:space="0" w:color="auto"/>
            </w:tcBorders>
          </w:tcPr>
          <w:p w14:paraId="2C3A5E5C" w14:textId="77777777" w:rsidR="005C61BF" w:rsidRPr="00DF5C23" w:rsidRDefault="005C61BF" w:rsidP="009C47CC">
            <w:pPr>
              <w:ind w:right="-29"/>
              <w:jc w:val="center"/>
              <w:rPr>
                <w:noProof/>
                <w:sz w:val="18"/>
                <w:szCs w:val="18"/>
              </w:rPr>
            </w:pPr>
            <w:r w:rsidRPr="00DF5C23">
              <w:rPr>
                <w:noProof/>
                <w:sz w:val="18"/>
                <w:szCs w:val="18"/>
              </w:rPr>
              <w:t>2,000</w:t>
            </w:r>
          </w:p>
        </w:tc>
      </w:tr>
      <w:tr w:rsidR="005C61BF" w:rsidRPr="00DF5C23" w14:paraId="2C3A5E60" w14:textId="77777777" w:rsidTr="009C47CC">
        <w:trPr>
          <w:gridAfter w:val="2"/>
          <w:wAfter w:w="574" w:type="dxa"/>
          <w:jc w:val="center"/>
        </w:trPr>
        <w:tc>
          <w:tcPr>
            <w:tcW w:w="2840" w:type="dxa"/>
            <w:gridSpan w:val="3"/>
            <w:vAlign w:val="center"/>
          </w:tcPr>
          <w:p w14:paraId="2C3A5E5E" w14:textId="77777777" w:rsidR="005C61BF" w:rsidRPr="00DF5C23" w:rsidRDefault="005C61BF" w:rsidP="009C47CC">
            <w:pPr>
              <w:spacing w:before="60" w:after="60"/>
              <w:ind w:right="-29"/>
              <w:rPr>
                <w:noProof/>
                <w:sz w:val="18"/>
                <w:szCs w:val="18"/>
              </w:rPr>
            </w:pPr>
            <w:r w:rsidRPr="00DF5C23">
              <w:rPr>
                <w:noProof/>
                <w:sz w:val="18"/>
              </w:rPr>
              <w:t>SPECIFIC OBJECTIVE No 3</w:t>
            </w:r>
          </w:p>
        </w:tc>
        <w:tc>
          <w:tcPr>
            <w:tcW w:w="9530" w:type="dxa"/>
            <w:gridSpan w:val="15"/>
            <w:tcBorders>
              <w:top w:val="nil"/>
              <w:left w:val="nil"/>
              <w:bottom w:val="nil"/>
              <w:right w:val="nil"/>
            </w:tcBorders>
          </w:tcPr>
          <w:p w14:paraId="2C3A5E5F" w14:textId="77777777" w:rsidR="005C61BF" w:rsidRPr="00DF5C23" w:rsidRDefault="005C61BF" w:rsidP="009C47CC">
            <w:pPr>
              <w:spacing w:before="60" w:after="60"/>
              <w:ind w:right="-29"/>
              <w:jc w:val="left"/>
              <w:rPr>
                <w:noProof/>
                <w:sz w:val="18"/>
                <w:szCs w:val="18"/>
              </w:rPr>
            </w:pPr>
            <w:r w:rsidRPr="00DF5C23">
              <w:rPr>
                <w:noProof/>
                <w:sz w:val="18"/>
                <w:szCs w:val="18"/>
              </w:rPr>
              <w:t>Improve application of sustainable product legislative framework</w:t>
            </w:r>
          </w:p>
        </w:tc>
      </w:tr>
      <w:tr w:rsidR="005C61BF" w:rsidRPr="00DF5C23" w14:paraId="2C3A5E72" w14:textId="77777777" w:rsidTr="009C47CC">
        <w:trPr>
          <w:gridAfter w:val="2"/>
          <w:wAfter w:w="574" w:type="dxa"/>
          <w:trHeight w:hRule="exact" w:val="1311"/>
          <w:jc w:val="center"/>
        </w:trPr>
        <w:tc>
          <w:tcPr>
            <w:tcW w:w="1171" w:type="dxa"/>
          </w:tcPr>
          <w:p w14:paraId="2C3A5E61" w14:textId="77777777" w:rsidR="005C61BF" w:rsidRPr="00DF5C23" w:rsidRDefault="005C61BF" w:rsidP="009C47CC">
            <w:pPr>
              <w:ind w:right="-29"/>
              <w:jc w:val="center"/>
              <w:rPr>
                <w:noProof/>
                <w:sz w:val="18"/>
                <w:szCs w:val="18"/>
              </w:rPr>
            </w:pPr>
            <w:r w:rsidRPr="00DF5C23">
              <w:rPr>
                <w:noProof/>
                <w:sz w:val="18"/>
              </w:rPr>
              <w:t>- Output</w:t>
            </w:r>
          </w:p>
        </w:tc>
        <w:tc>
          <w:tcPr>
            <w:tcW w:w="969" w:type="dxa"/>
          </w:tcPr>
          <w:p w14:paraId="2C3A5E62" w14:textId="77777777" w:rsidR="005C61BF" w:rsidRPr="00DF5C23" w:rsidRDefault="005C61BF" w:rsidP="009C47CC">
            <w:pPr>
              <w:ind w:right="-29"/>
              <w:jc w:val="center"/>
              <w:rPr>
                <w:noProof/>
                <w:sz w:val="18"/>
                <w:szCs w:val="18"/>
              </w:rPr>
            </w:pPr>
            <w:r w:rsidRPr="00DF5C23">
              <w:rPr>
                <w:noProof/>
                <w:sz w:val="18"/>
                <w:szCs w:val="18"/>
              </w:rPr>
              <w:t>Projects supporting market surveillance</w:t>
            </w:r>
          </w:p>
        </w:tc>
        <w:tc>
          <w:tcPr>
            <w:tcW w:w="700" w:type="dxa"/>
          </w:tcPr>
          <w:p w14:paraId="2C3A5E63" w14:textId="77777777" w:rsidR="005C61BF" w:rsidRPr="00DF5C23" w:rsidRDefault="005C61BF" w:rsidP="009C47CC">
            <w:pPr>
              <w:ind w:right="-29"/>
              <w:jc w:val="center"/>
              <w:rPr>
                <w:noProof/>
                <w:sz w:val="18"/>
                <w:szCs w:val="18"/>
              </w:rPr>
            </w:pPr>
            <w:r w:rsidRPr="00DF5C23">
              <w:rPr>
                <w:noProof/>
                <w:sz w:val="18"/>
                <w:szCs w:val="18"/>
              </w:rPr>
              <w:t>1,000 per project</w:t>
            </w:r>
          </w:p>
        </w:tc>
        <w:tc>
          <w:tcPr>
            <w:tcW w:w="503" w:type="dxa"/>
          </w:tcPr>
          <w:p w14:paraId="2C3A5E64"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65" w14:textId="77777777" w:rsidR="005C61BF" w:rsidRPr="00DF5C23" w:rsidRDefault="005C61BF" w:rsidP="009C47CC">
            <w:pPr>
              <w:ind w:right="-29"/>
              <w:jc w:val="center"/>
              <w:rPr>
                <w:noProof/>
                <w:sz w:val="18"/>
                <w:szCs w:val="18"/>
              </w:rPr>
            </w:pPr>
            <w:r w:rsidRPr="00DF5C23">
              <w:rPr>
                <w:noProof/>
                <w:sz w:val="18"/>
                <w:szCs w:val="18"/>
              </w:rPr>
              <w:t>-</w:t>
            </w:r>
          </w:p>
        </w:tc>
        <w:tc>
          <w:tcPr>
            <w:tcW w:w="540" w:type="dxa"/>
          </w:tcPr>
          <w:p w14:paraId="2C3A5E66"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67"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Pr>
          <w:p w14:paraId="2C3A5E68" w14:textId="77777777" w:rsidR="005C61BF" w:rsidRPr="00DF5C23" w:rsidRDefault="005C61BF" w:rsidP="009C47CC">
            <w:pPr>
              <w:ind w:right="-29"/>
              <w:jc w:val="center"/>
              <w:rPr>
                <w:noProof/>
                <w:sz w:val="18"/>
                <w:szCs w:val="18"/>
              </w:rPr>
            </w:pPr>
            <w:r w:rsidRPr="00DF5C23">
              <w:rPr>
                <w:noProof/>
                <w:sz w:val="18"/>
                <w:szCs w:val="18"/>
              </w:rPr>
              <w:t>3</w:t>
            </w:r>
          </w:p>
        </w:tc>
        <w:tc>
          <w:tcPr>
            <w:tcW w:w="720" w:type="dxa"/>
          </w:tcPr>
          <w:p w14:paraId="2C3A5E69" w14:textId="77777777" w:rsidR="005C61BF" w:rsidRPr="00DF5C23" w:rsidRDefault="005C61BF" w:rsidP="009C47CC">
            <w:pPr>
              <w:ind w:right="-29"/>
              <w:jc w:val="center"/>
              <w:rPr>
                <w:noProof/>
                <w:sz w:val="18"/>
                <w:szCs w:val="18"/>
              </w:rPr>
            </w:pPr>
            <w:r w:rsidRPr="00DF5C23">
              <w:rPr>
                <w:noProof/>
                <w:sz w:val="18"/>
                <w:szCs w:val="18"/>
              </w:rPr>
              <w:t>3,000</w:t>
            </w:r>
          </w:p>
        </w:tc>
        <w:tc>
          <w:tcPr>
            <w:tcW w:w="900" w:type="dxa"/>
          </w:tcPr>
          <w:p w14:paraId="2C3A5E6A" w14:textId="77777777" w:rsidR="005C61BF" w:rsidRPr="00DF5C23" w:rsidRDefault="005C61BF" w:rsidP="009C47CC">
            <w:pPr>
              <w:ind w:right="-29"/>
              <w:jc w:val="center"/>
              <w:rPr>
                <w:noProof/>
                <w:sz w:val="18"/>
                <w:szCs w:val="18"/>
              </w:rPr>
            </w:pPr>
            <w:r w:rsidRPr="00DF5C23">
              <w:rPr>
                <w:noProof/>
                <w:sz w:val="18"/>
                <w:szCs w:val="18"/>
              </w:rPr>
              <w:t>6</w:t>
            </w:r>
          </w:p>
        </w:tc>
        <w:tc>
          <w:tcPr>
            <w:tcW w:w="720" w:type="dxa"/>
            <w:gridSpan w:val="2"/>
          </w:tcPr>
          <w:p w14:paraId="2C3A5E6B" w14:textId="77777777" w:rsidR="005C61BF" w:rsidRPr="00DF5C23" w:rsidRDefault="005C61BF" w:rsidP="009C47CC">
            <w:pPr>
              <w:ind w:right="-29"/>
              <w:jc w:val="center"/>
              <w:rPr>
                <w:noProof/>
                <w:sz w:val="18"/>
                <w:szCs w:val="18"/>
              </w:rPr>
            </w:pPr>
            <w:r w:rsidRPr="00DF5C23">
              <w:rPr>
                <w:noProof/>
                <w:sz w:val="18"/>
                <w:szCs w:val="18"/>
              </w:rPr>
              <w:t>6,000</w:t>
            </w:r>
          </w:p>
        </w:tc>
        <w:tc>
          <w:tcPr>
            <w:tcW w:w="540" w:type="dxa"/>
          </w:tcPr>
          <w:p w14:paraId="2C3A5E6C" w14:textId="77777777" w:rsidR="005C61BF" w:rsidRPr="00DF5C23" w:rsidRDefault="005C61BF" w:rsidP="009C47CC">
            <w:pPr>
              <w:ind w:right="-29"/>
              <w:jc w:val="center"/>
              <w:rPr>
                <w:noProof/>
                <w:sz w:val="18"/>
                <w:szCs w:val="18"/>
              </w:rPr>
            </w:pPr>
            <w:r w:rsidRPr="00DF5C23">
              <w:rPr>
                <w:noProof/>
                <w:sz w:val="18"/>
                <w:szCs w:val="18"/>
              </w:rPr>
              <w:t>9</w:t>
            </w:r>
          </w:p>
        </w:tc>
        <w:tc>
          <w:tcPr>
            <w:tcW w:w="753" w:type="dxa"/>
          </w:tcPr>
          <w:p w14:paraId="2C3A5E6D" w14:textId="77777777" w:rsidR="005C61BF" w:rsidRPr="00DF5C23" w:rsidRDefault="005C61BF" w:rsidP="009C47CC">
            <w:pPr>
              <w:ind w:right="-29"/>
              <w:jc w:val="center"/>
              <w:rPr>
                <w:noProof/>
                <w:sz w:val="18"/>
                <w:szCs w:val="18"/>
              </w:rPr>
            </w:pPr>
            <w:r w:rsidRPr="00DF5C23">
              <w:rPr>
                <w:noProof/>
                <w:sz w:val="18"/>
                <w:szCs w:val="18"/>
              </w:rPr>
              <w:t>9,000</w:t>
            </w:r>
          </w:p>
        </w:tc>
        <w:tc>
          <w:tcPr>
            <w:tcW w:w="426" w:type="dxa"/>
          </w:tcPr>
          <w:p w14:paraId="2C3A5E6E" w14:textId="77777777" w:rsidR="005C61BF" w:rsidRPr="00DF5C23" w:rsidRDefault="005C61BF" w:rsidP="009C47CC">
            <w:pPr>
              <w:ind w:right="-29"/>
              <w:jc w:val="center"/>
              <w:rPr>
                <w:noProof/>
                <w:sz w:val="18"/>
                <w:szCs w:val="18"/>
              </w:rPr>
            </w:pPr>
            <w:r w:rsidRPr="00DF5C23">
              <w:rPr>
                <w:noProof/>
                <w:sz w:val="18"/>
                <w:szCs w:val="18"/>
              </w:rPr>
              <w:t>9</w:t>
            </w:r>
          </w:p>
        </w:tc>
        <w:tc>
          <w:tcPr>
            <w:tcW w:w="850" w:type="dxa"/>
          </w:tcPr>
          <w:p w14:paraId="2C3A5E6F" w14:textId="77777777" w:rsidR="005C61BF" w:rsidRPr="00DF5C23" w:rsidRDefault="005C61BF" w:rsidP="009C47CC">
            <w:pPr>
              <w:ind w:right="-29"/>
              <w:jc w:val="center"/>
              <w:rPr>
                <w:noProof/>
                <w:sz w:val="18"/>
                <w:szCs w:val="18"/>
              </w:rPr>
            </w:pPr>
            <w:r w:rsidRPr="00DF5C23">
              <w:rPr>
                <w:noProof/>
                <w:sz w:val="18"/>
                <w:szCs w:val="18"/>
              </w:rPr>
              <w:t>9,000</w:t>
            </w:r>
          </w:p>
        </w:tc>
        <w:tc>
          <w:tcPr>
            <w:tcW w:w="567" w:type="dxa"/>
          </w:tcPr>
          <w:p w14:paraId="2C3A5E70" w14:textId="77777777" w:rsidR="005C61BF" w:rsidRPr="00DF5C23" w:rsidRDefault="005C61BF" w:rsidP="009C47CC">
            <w:pPr>
              <w:ind w:right="-29"/>
              <w:jc w:val="center"/>
              <w:rPr>
                <w:noProof/>
                <w:sz w:val="18"/>
                <w:szCs w:val="18"/>
              </w:rPr>
            </w:pPr>
            <w:r w:rsidRPr="00DF5C23">
              <w:rPr>
                <w:noProof/>
                <w:sz w:val="18"/>
                <w:szCs w:val="18"/>
              </w:rPr>
              <w:t>27</w:t>
            </w:r>
          </w:p>
        </w:tc>
        <w:tc>
          <w:tcPr>
            <w:tcW w:w="851" w:type="dxa"/>
          </w:tcPr>
          <w:p w14:paraId="2C3A5E71" w14:textId="77777777" w:rsidR="005C61BF" w:rsidRPr="00DF5C23" w:rsidRDefault="005C61BF" w:rsidP="009C47CC">
            <w:pPr>
              <w:ind w:right="-29"/>
              <w:jc w:val="center"/>
              <w:rPr>
                <w:noProof/>
                <w:sz w:val="18"/>
                <w:szCs w:val="18"/>
              </w:rPr>
            </w:pPr>
            <w:r w:rsidRPr="00DF5C23">
              <w:rPr>
                <w:noProof/>
                <w:sz w:val="18"/>
                <w:szCs w:val="18"/>
              </w:rPr>
              <w:t>27,000</w:t>
            </w:r>
          </w:p>
        </w:tc>
      </w:tr>
      <w:tr w:rsidR="005C61BF" w:rsidRPr="00DF5C23" w14:paraId="2C3A5E82" w14:textId="77777777" w:rsidTr="009C47CC">
        <w:trPr>
          <w:gridAfter w:val="2"/>
          <w:wAfter w:w="574" w:type="dxa"/>
          <w:jc w:val="center"/>
        </w:trPr>
        <w:tc>
          <w:tcPr>
            <w:tcW w:w="2840" w:type="dxa"/>
            <w:gridSpan w:val="3"/>
            <w:tcBorders>
              <w:bottom w:val="single" w:sz="12" w:space="0" w:color="auto"/>
            </w:tcBorders>
            <w:vAlign w:val="center"/>
          </w:tcPr>
          <w:p w14:paraId="2C3A5E73" w14:textId="77777777" w:rsidR="005C61BF" w:rsidRPr="00DF5C23" w:rsidRDefault="005C61BF" w:rsidP="009C47CC">
            <w:pPr>
              <w:jc w:val="center"/>
              <w:rPr>
                <w:noProof/>
                <w:sz w:val="18"/>
                <w:szCs w:val="18"/>
              </w:rPr>
            </w:pPr>
            <w:r w:rsidRPr="00DF5C23">
              <w:rPr>
                <w:noProof/>
                <w:sz w:val="18"/>
              </w:rPr>
              <w:t>Subtotal for specific objective No 3</w:t>
            </w:r>
          </w:p>
        </w:tc>
        <w:tc>
          <w:tcPr>
            <w:tcW w:w="503" w:type="dxa"/>
            <w:tcBorders>
              <w:bottom w:val="single" w:sz="12" w:space="0" w:color="auto"/>
            </w:tcBorders>
          </w:tcPr>
          <w:p w14:paraId="2C3A5E74"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75" w14:textId="77777777" w:rsidR="005C61BF" w:rsidRPr="00DF5C23" w:rsidRDefault="005C61BF" w:rsidP="009C47CC">
            <w:pPr>
              <w:ind w:right="-29"/>
              <w:jc w:val="center"/>
              <w:rPr>
                <w:noProof/>
                <w:sz w:val="18"/>
                <w:szCs w:val="18"/>
              </w:rPr>
            </w:pPr>
            <w:r w:rsidRPr="00DF5C23">
              <w:rPr>
                <w:noProof/>
                <w:sz w:val="18"/>
                <w:szCs w:val="18"/>
              </w:rPr>
              <w:t>-</w:t>
            </w:r>
          </w:p>
        </w:tc>
        <w:tc>
          <w:tcPr>
            <w:tcW w:w="540" w:type="dxa"/>
            <w:tcBorders>
              <w:bottom w:val="single" w:sz="12" w:space="0" w:color="auto"/>
            </w:tcBorders>
          </w:tcPr>
          <w:p w14:paraId="2C3A5E76"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77" w14:textId="77777777" w:rsidR="005C61BF" w:rsidRPr="00DF5C23" w:rsidRDefault="005C61BF" w:rsidP="009C47CC">
            <w:pPr>
              <w:ind w:right="-29"/>
              <w:jc w:val="center"/>
              <w:rPr>
                <w:noProof/>
                <w:sz w:val="18"/>
                <w:szCs w:val="18"/>
              </w:rPr>
            </w:pPr>
            <w:r w:rsidRPr="00DF5C23">
              <w:rPr>
                <w:noProof/>
                <w:sz w:val="18"/>
                <w:szCs w:val="18"/>
              </w:rPr>
              <w:t>-</w:t>
            </w:r>
          </w:p>
        </w:tc>
        <w:tc>
          <w:tcPr>
            <w:tcW w:w="720" w:type="dxa"/>
            <w:tcBorders>
              <w:bottom w:val="single" w:sz="12" w:space="0" w:color="auto"/>
            </w:tcBorders>
          </w:tcPr>
          <w:p w14:paraId="2C3A5E78" w14:textId="77777777" w:rsidR="005C61BF" w:rsidRPr="00DF5C23" w:rsidRDefault="005C61BF" w:rsidP="009C47CC">
            <w:pPr>
              <w:ind w:right="-29"/>
              <w:jc w:val="center"/>
              <w:rPr>
                <w:noProof/>
                <w:sz w:val="18"/>
                <w:szCs w:val="18"/>
              </w:rPr>
            </w:pPr>
            <w:r w:rsidRPr="00DF5C23">
              <w:rPr>
                <w:noProof/>
                <w:sz w:val="18"/>
                <w:szCs w:val="18"/>
              </w:rPr>
              <w:t>3</w:t>
            </w:r>
          </w:p>
        </w:tc>
        <w:tc>
          <w:tcPr>
            <w:tcW w:w="720" w:type="dxa"/>
            <w:tcBorders>
              <w:bottom w:val="single" w:sz="12" w:space="0" w:color="auto"/>
            </w:tcBorders>
          </w:tcPr>
          <w:p w14:paraId="2C3A5E79" w14:textId="77777777" w:rsidR="005C61BF" w:rsidRPr="00DF5C23" w:rsidRDefault="005C61BF" w:rsidP="009C47CC">
            <w:pPr>
              <w:ind w:right="-29"/>
              <w:jc w:val="center"/>
              <w:rPr>
                <w:noProof/>
                <w:sz w:val="18"/>
                <w:szCs w:val="18"/>
              </w:rPr>
            </w:pPr>
            <w:r w:rsidRPr="00DF5C23">
              <w:rPr>
                <w:noProof/>
                <w:sz w:val="18"/>
                <w:szCs w:val="18"/>
              </w:rPr>
              <w:t>3,000</w:t>
            </w:r>
          </w:p>
        </w:tc>
        <w:tc>
          <w:tcPr>
            <w:tcW w:w="929" w:type="dxa"/>
            <w:gridSpan w:val="2"/>
            <w:tcBorders>
              <w:bottom w:val="single" w:sz="12" w:space="0" w:color="auto"/>
            </w:tcBorders>
          </w:tcPr>
          <w:p w14:paraId="2C3A5E7A" w14:textId="77777777" w:rsidR="005C61BF" w:rsidRPr="00DF5C23" w:rsidRDefault="005C61BF" w:rsidP="009C47CC">
            <w:pPr>
              <w:ind w:right="-29"/>
              <w:jc w:val="center"/>
              <w:rPr>
                <w:noProof/>
                <w:sz w:val="18"/>
                <w:szCs w:val="18"/>
              </w:rPr>
            </w:pPr>
            <w:r w:rsidRPr="00DF5C23">
              <w:rPr>
                <w:noProof/>
                <w:sz w:val="18"/>
                <w:szCs w:val="18"/>
              </w:rPr>
              <w:t>6</w:t>
            </w:r>
          </w:p>
        </w:tc>
        <w:tc>
          <w:tcPr>
            <w:tcW w:w="691" w:type="dxa"/>
            <w:tcBorders>
              <w:bottom w:val="single" w:sz="12" w:space="0" w:color="auto"/>
            </w:tcBorders>
          </w:tcPr>
          <w:p w14:paraId="2C3A5E7B" w14:textId="77777777" w:rsidR="005C61BF" w:rsidRPr="00DF5C23" w:rsidRDefault="005C61BF" w:rsidP="009C47CC">
            <w:pPr>
              <w:ind w:right="-29"/>
              <w:jc w:val="center"/>
              <w:rPr>
                <w:noProof/>
                <w:sz w:val="18"/>
                <w:szCs w:val="18"/>
              </w:rPr>
            </w:pPr>
            <w:r w:rsidRPr="00DF5C23">
              <w:rPr>
                <w:noProof/>
                <w:sz w:val="18"/>
                <w:szCs w:val="18"/>
              </w:rPr>
              <w:t>6,000</w:t>
            </w:r>
          </w:p>
        </w:tc>
        <w:tc>
          <w:tcPr>
            <w:tcW w:w="540" w:type="dxa"/>
            <w:tcBorders>
              <w:bottom w:val="single" w:sz="12" w:space="0" w:color="auto"/>
            </w:tcBorders>
          </w:tcPr>
          <w:p w14:paraId="2C3A5E7C" w14:textId="77777777" w:rsidR="005C61BF" w:rsidRPr="00DF5C23" w:rsidRDefault="005C61BF" w:rsidP="009C47CC">
            <w:pPr>
              <w:ind w:right="-29"/>
              <w:jc w:val="center"/>
              <w:rPr>
                <w:noProof/>
                <w:sz w:val="18"/>
                <w:szCs w:val="18"/>
              </w:rPr>
            </w:pPr>
            <w:r w:rsidRPr="00DF5C23">
              <w:rPr>
                <w:noProof/>
                <w:sz w:val="18"/>
                <w:szCs w:val="18"/>
              </w:rPr>
              <w:t>9</w:t>
            </w:r>
          </w:p>
        </w:tc>
        <w:tc>
          <w:tcPr>
            <w:tcW w:w="753" w:type="dxa"/>
            <w:tcBorders>
              <w:bottom w:val="single" w:sz="12" w:space="0" w:color="auto"/>
            </w:tcBorders>
          </w:tcPr>
          <w:p w14:paraId="2C3A5E7D" w14:textId="77777777" w:rsidR="005C61BF" w:rsidRPr="00DF5C23" w:rsidRDefault="005C61BF" w:rsidP="009C47CC">
            <w:pPr>
              <w:ind w:right="-29"/>
              <w:jc w:val="center"/>
              <w:rPr>
                <w:noProof/>
                <w:sz w:val="18"/>
                <w:szCs w:val="18"/>
              </w:rPr>
            </w:pPr>
            <w:r w:rsidRPr="00DF5C23">
              <w:rPr>
                <w:noProof/>
                <w:sz w:val="18"/>
                <w:szCs w:val="18"/>
              </w:rPr>
              <w:t>9,000</w:t>
            </w:r>
          </w:p>
        </w:tc>
        <w:tc>
          <w:tcPr>
            <w:tcW w:w="426" w:type="dxa"/>
            <w:tcBorders>
              <w:bottom w:val="single" w:sz="12" w:space="0" w:color="auto"/>
            </w:tcBorders>
          </w:tcPr>
          <w:p w14:paraId="2C3A5E7E" w14:textId="77777777" w:rsidR="005C61BF" w:rsidRPr="00DF5C23" w:rsidRDefault="005C61BF" w:rsidP="009C47CC">
            <w:pPr>
              <w:ind w:right="-29"/>
              <w:jc w:val="center"/>
              <w:rPr>
                <w:noProof/>
                <w:sz w:val="18"/>
                <w:szCs w:val="18"/>
              </w:rPr>
            </w:pPr>
            <w:r w:rsidRPr="00DF5C23">
              <w:rPr>
                <w:noProof/>
                <w:sz w:val="18"/>
                <w:szCs w:val="18"/>
              </w:rPr>
              <w:t>9</w:t>
            </w:r>
          </w:p>
        </w:tc>
        <w:tc>
          <w:tcPr>
            <w:tcW w:w="850" w:type="dxa"/>
            <w:tcBorders>
              <w:bottom w:val="single" w:sz="12" w:space="0" w:color="auto"/>
            </w:tcBorders>
          </w:tcPr>
          <w:p w14:paraId="2C3A5E7F" w14:textId="77777777" w:rsidR="005C61BF" w:rsidRPr="00DF5C23" w:rsidRDefault="005C61BF" w:rsidP="009C47CC">
            <w:pPr>
              <w:ind w:right="-29"/>
              <w:jc w:val="center"/>
              <w:rPr>
                <w:noProof/>
                <w:sz w:val="18"/>
                <w:szCs w:val="18"/>
              </w:rPr>
            </w:pPr>
            <w:r w:rsidRPr="00DF5C23">
              <w:rPr>
                <w:noProof/>
                <w:sz w:val="18"/>
                <w:szCs w:val="18"/>
              </w:rPr>
              <w:t>9,000</w:t>
            </w:r>
          </w:p>
        </w:tc>
        <w:tc>
          <w:tcPr>
            <w:tcW w:w="567" w:type="dxa"/>
            <w:tcBorders>
              <w:bottom w:val="single" w:sz="12" w:space="0" w:color="auto"/>
            </w:tcBorders>
          </w:tcPr>
          <w:p w14:paraId="2C3A5E80" w14:textId="77777777" w:rsidR="005C61BF" w:rsidRPr="00DF5C23" w:rsidRDefault="005C61BF" w:rsidP="009C47CC">
            <w:pPr>
              <w:ind w:right="-29"/>
              <w:jc w:val="center"/>
              <w:rPr>
                <w:noProof/>
                <w:sz w:val="18"/>
                <w:szCs w:val="18"/>
              </w:rPr>
            </w:pPr>
            <w:r w:rsidRPr="00DF5C23">
              <w:rPr>
                <w:noProof/>
                <w:sz w:val="18"/>
                <w:szCs w:val="18"/>
              </w:rPr>
              <w:t>27</w:t>
            </w:r>
          </w:p>
        </w:tc>
        <w:tc>
          <w:tcPr>
            <w:tcW w:w="851" w:type="dxa"/>
            <w:tcBorders>
              <w:bottom w:val="single" w:sz="12" w:space="0" w:color="auto"/>
            </w:tcBorders>
          </w:tcPr>
          <w:p w14:paraId="2C3A5E81" w14:textId="77777777" w:rsidR="005C61BF" w:rsidRPr="00DF5C23" w:rsidRDefault="005C61BF" w:rsidP="009C47CC">
            <w:pPr>
              <w:ind w:right="-29"/>
              <w:jc w:val="center"/>
              <w:rPr>
                <w:noProof/>
                <w:sz w:val="18"/>
                <w:szCs w:val="18"/>
              </w:rPr>
            </w:pPr>
            <w:r w:rsidRPr="00DF5C23">
              <w:rPr>
                <w:noProof/>
                <w:sz w:val="18"/>
                <w:szCs w:val="18"/>
              </w:rPr>
              <w:t>27,000</w:t>
            </w:r>
          </w:p>
        </w:tc>
      </w:tr>
      <w:tr w:rsidR="005C61BF" w:rsidRPr="00DF5C23" w14:paraId="2C3A5E92" w14:textId="77777777" w:rsidTr="009C47CC">
        <w:trPr>
          <w:gridAfter w:val="2"/>
          <w:wAfter w:w="574" w:type="dxa"/>
          <w:jc w:val="center"/>
        </w:trPr>
        <w:tc>
          <w:tcPr>
            <w:tcW w:w="2840" w:type="dxa"/>
            <w:gridSpan w:val="3"/>
            <w:tcBorders>
              <w:top w:val="single" w:sz="12" w:space="0" w:color="auto"/>
              <w:left w:val="single" w:sz="12" w:space="0" w:color="auto"/>
              <w:bottom w:val="single" w:sz="12" w:space="0" w:color="auto"/>
            </w:tcBorders>
            <w:vAlign w:val="center"/>
          </w:tcPr>
          <w:p w14:paraId="2C3A5E83" w14:textId="77777777" w:rsidR="005C61BF" w:rsidRPr="00DF5C23" w:rsidRDefault="005C61BF" w:rsidP="009C47CC">
            <w:pPr>
              <w:ind w:right="-29"/>
              <w:jc w:val="center"/>
              <w:rPr>
                <w:noProof/>
                <w:sz w:val="18"/>
                <w:szCs w:val="18"/>
              </w:rPr>
            </w:pPr>
            <w:r w:rsidRPr="00DF5C23">
              <w:rPr>
                <w:b/>
                <w:noProof/>
                <w:sz w:val="18"/>
              </w:rPr>
              <w:t>TOTALS</w:t>
            </w:r>
          </w:p>
        </w:tc>
        <w:tc>
          <w:tcPr>
            <w:tcW w:w="503" w:type="dxa"/>
            <w:tcBorders>
              <w:top w:val="single" w:sz="12" w:space="0" w:color="auto"/>
              <w:bottom w:val="single" w:sz="12" w:space="0" w:color="auto"/>
            </w:tcBorders>
          </w:tcPr>
          <w:p w14:paraId="2C3A5E84" w14:textId="77777777" w:rsidR="005C61BF" w:rsidRPr="00DF5C23" w:rsidRDefault="005C61BF" w:rsidP="009C47CC">
            <w:pPr>
              <w:spacing w:before="180" w:after="180"/>
              <w:ind w:right="-29"/>
              <w:jc w:val="center"/>
              <w:rPr>
                <w:noProof/>
                <w:sz w:val="18"/>
                <w:szCs w:val="18"/>
              </w:rPr>
            </w:pPr>
            <w:r w:rsidRPr="00DF5C23">
              <w:rPr>
                <w:noProof/>
                <w:sz w:val="18"/>
                <w:szCs w:val="18"/>
              </w:rPr>
              <w:t>-</w:t>
            </w:r>
          </w:p>
        </w:tc>
        <w:tc>
          <w:tcPr>
            <w:tcW w:w="720" w:type="dxa"/>
            <w:tcBorders>
              <w:top w:val="single" w:sz="12" w:space="0" w:color="auto"/>
              <w:bottom w:val="single" w:sz="12" w:space="0" w:color="auto"/>
            </w:tcBorders>
          </w:tcPr>
          <w:p w14:paraId="2C3A5E85" w14:textId="77777777" w:rsidR="005C61BF" w:rsidRPr="00DF5C23" w:rsidRDefault="005C61BF" w:rsidP="009C47CC">
            <w:pPr>
              <w:spacing w:before="180" w:after="180"/>
              <w:ind w:right="-29"/>
              <w:jc w:val="center"/>
              <w:rPr>
                <w:noProof/>
                <w:sz w:val="18"/>
                <w:szCs w:val="18"/>
              </w:rPr>
            </w:pPr>
            <w:r w:rsidRPr="00DF5C23">
              <w:rPr>
                <w:noProof/>
                <w:sz w:val="18"/>
                <w:szCs w:val="18"/>
              </w:rPr>
              <w:t>-</w:t>
            </w:r>
          </w:p>
        </w:tc>
        <w:tc>
          <w:tcPr>
            <w:tcW w:w="540" w:type="dxa"/>
            <w:tcBorders>
              <w:top w:val="single" w:sz="12" w:space="0" w:color="auto"/>
              <w:bottom w:val="single" w:sz="12" w:space="0" w:color="auto"/>
            </w:tcBorders>
          </w:tcPr>
          <w:p w14:paraId="2C3A5E86" w14:textId="77777777" w:rsidR="005C61BF" w:rsidRPr="00DF5C23" w:rsidRDefault="005C61BF" w:rsidP="009C47CC">
            <w:pPr>
              <w:spacing w:before="180" w:after="180"/>
              <w:ind w:right="-29"/>
              <w:jc w:val="center"/>
              <w:rPr>
                <w:noProof/>
                <w:sz w:val="18"/>
                <w:szCs w:val="18"/>
              </w:rPr>
            </w:pPr>
            <w:r w:rsidRPr="00DF5C23">
              <w:rPr>
                <w:noProof/>
                <w:sz w:val="18"/>
                <w:szCs w:val="18"/>
              </w:rPr>
              <w:t>-</w:t>
            </w:r>
          </w:p>
        </w:tc>
        <w:tc>
          <w:tcPr>
            <w:tcW w:w="720" w:type="dxa"/>
            <w:tcBorders>
              <w:top w:val="single" w:sz="12" w:space="0" w:color="auto"/>
              <w:bottom w:val="single" w:sz="12" w:space="0" w:color="auto"/>
            </w:tcBorders>
          </w:tcPr>
          <w:p w14:paraId="2C3A5E87" w14:textId="77777777" w:rsidR="005C61BF" w:rsidRPr="00DF5C23" w:rsidRDefault="005C61BF" w:rsidP="009C47CC">
            <w:pPr>
              <w:spacing w:before="180" w:after="180"/>
              <w:ind w:right="-29"/>
              <w:jc w:val="center"/>
              <w:rPr>
                <w:noProof/>
                <w:sz w:val="18"/>
                <w:szCs w:val="18"/>
              </w:rPr>
            </w:pPr>
            <w:r w:rsidRPr="00DF5C23">
              <w:rPr>
                <w:noProof/>
                <w:sz w:val="18"/>
                <w:szCs w:val="18"/>
              </w:rPr>
              <w:t>-</w:t>
            </w:r>
          </w:p>
        </w:tc>
        <w:tc>
          <w:tcPr>
            <w:tcW w:w="720" w:type="dxa"/>
            <w:tcBorders>
              <w:top w:val="single" w:sz="12" w:space="0" w:color="auto"/>
              <w:bottom w:val="single" w:sz="12" w:space="0" w:color="auto"/>
            </w:tcBorders>
          </w:tcPr>
          <w:p w14:paraId="2C3A5E88" w14:textId="77777777" w:rsidR="005C61BF" w:rsidRPr="00DF5C23" w:rsidRDefault="005C61BF" w:rsidP="009C47CC">
            <w:pPr>
              <w:spacing w:before="180" w:after="180"/>
              <w:ind w:right="-29"/>
              <w:jc w:val="center"/>
              <w:rPr>
                <w:noProof/>
                <w:sz w:val="18"/>
                <w:szCs w:val="18"/>
              </w:rPr>
            </w:pPr>
            <w:r w:rsidRPr="00DF5C23">
              <w:rPr>
                <w:noProof/>
                <w:sz w:val="18"/>
                <w:szCs w:val="18"/>
              </w:rPr>
              <w:t>16</w:t>
            </w:r>
          </w:p>
        </w:tc>
        <w:tc>
          <w:tcPr>
            <w:tcW w:w="720" w:type="dxa"/>
            <w:tcBorders>
              <w:top w:val="single" w:sz="12" w:space="0" w:color="auto"/>
              <w:bottom w:val="single" w:sz="12" w:space="0" w:color="auto"/>
            </w:tcBorders>
          </w:tcPr>
          <w:p w14:paraId="2C3A5E89" w14:textId="77777777" w:rsidR="005C61BF" w:rsidRPr="00DF5C23" w:rsidRDefault="005C61BF" w:rsidP="009C47CC">
            <w:pPr>
              <w:spacing w:before="180" w:after="180"/>
              <w:ind w:right="-29"/>
              <w:jc w:val="center"/>
              <w:rPr>
                <w:noProof/>
                <w:sz w:val="18"/>
                <w:szCs w:val="18"/>
              </w:rPr>
            </w:pPr>
            <w:r w:rsidRPr="00DF5C23">
              <w:rPr>
                <w:noProof/>
                <w:sz w:val="18"/>
                <w:szCs w:val="18"/>
              </w:rPr>
              <w:t>9,800</w:t>
            </w:r>
          </w:p>
        </w:tc>
        <w:tc>
          <w:tcPr>
            <w:tcW w:w="900" w:type="dxa"/>
            <w:tcBorders>
              <w:top w:val="single" w:sz="12" w:space="0" w:color="auto"/>
              <w:bottom w:val="single" w:sz="12" w:space="0" w:color="auto"/>
            </w:tcBorders>
          </w:tcPr>
          <w:p w14:paraId="2C3A5E8A" w14:textId="77777777" w:rsidR="005C61BF" w:rsidRPr="00DF5C23" w:rsidRDefault="005C61BF" w:rsidP="009C47CC">
            <w:pPr>
              <w:spacing w:before="180" w:after="180"/>
              <w:ind w:right="-29"/>
              <w:jc w:val="center"/>
              <w:rPr>
                <w:noProof/>
                <w:sz w:val="18"/>
                <w:szCs w:val="18"/>
              </w:rPr>
            </w:pPr>
            <w:r w:rsidRPr="00DF5C23">
              <w:rPr>
                <w:noProof/>
                <w:sz w:val="18"/>
                <w:szCs w:val="18"/>
              </w:rPr>
              <w:t>20</w:t>
            </w:r>
          </w:p>
        </w:tc>
        <w:tc>
          <w:tcPr>
            <w:tcW w:w="720" w:type="dxa"/>
            <w:gridSpan w:val="2"/>
            <w:tcBorders>
              <w:top w:val="single" w:sz="12" w:space="0" w:color="auto"/>
              <w:bottom w:val="single" w:sz="12" w:space="0" w:color="auto"/>
            </w:tcBorders>
          </w:tcPr>
          <w:p w14:paraId="2C3A5E8B" w14:textId="77777777" w:rsidR="005C61BF" w:rsidRPr="00DF5C23" w:rsidRDefault="005C61BF" w:rsidP="009C47CC">
            <w:pPr>
              <w:spacing w:before="180" w:after="180"/>
              <w:ind w:right="-29"/>
              <w:jc w:val="center"/>
              <w:rPr>
                <w:noProof/>
                <w:sz w:val="18"/>
                <w:szCs w:val="18"/>
              </w:rPr>
            </w:pPr>
            <w:r w:rsidRPr="00DF5C23">
              <w:rPr>
                <w:noProof/>
                <w:sz w:val="18"/>
                <w:szCs w:val="18"/>
              </w:rPr>
              <w:t>14,100</w:t>
            </w:r>
          </w:p>
        </w:tc>
        <w:tc>
          <w:tcPr>
            <w:tcW w:w="540" w:type="dxa"/>
            <w:tcBorders>
              <w:top w:val="single" w:sz="12" w:space="0" w:color="auto"/>
              <w:bottom w:val="single" w:sz="12" w:space="0" w:color="auto"/>
            </w:tcBorders>
          </w:tcPr>
          <w:p w14:paraId="2C3A5E8C" w14:textId="77777777" w:rsidR="005C61BF" w:rsidRPr="00DF5C23" w:rsidRDefault="005C61BF" w:rsidP="009C47CC">
            <w:pPr>
              <w:spacing w:before="180" w:after="180"/>
              <w:ind w:right="-29"/>
              <w:jc w:val="center"/>
              <w:rPr>
                <w:noProof/>
                <w:sz w:val="18"/>
                <w:szCs w:val="18"/>
              </w:rPr>
            </w:pPr>
            <w:r w:rsidRPr="00DF5C23">
              <w:rPr>
                <w:noProof/>
                <w:sz w:val="18"/>
                <w:szCs w:val="18"/>
              </w:rPr>
              <w:t>20</w:t>
            </w:r>
          </w:p>
        </w:tc>
        <w:tc>
          <w:tcPr>
            <w:tcW w:w="753" w:type="dxa"/>
            <w:tcBorders>
              <w:top w:val="single" w:sz="12" w:space="0" w:color="auto"/>
              <w:bottom w:val="single" w:sz="12" w:space="0" w:color="auto"/>
            </w:tcBorders>
          </w:tcPr>
          <w:p w14:paraId="2C3A5E8D" w14:textId="77777777" w:rsidR="005C61BF" w:rsidRPr="00DF5C23" w:rsidRDefault="005C61BF" w:rsidP="009C47CC">
            <w:pPr>
              <w:spacing w:before="180" w:after="180"/>
              <w:ind w:right="-29"/>
              <w:jc w:val="center"/>
              <w:rPr>
                <w:noProof/>
                <w:sz w:val="18"/>
                <w:szCs w:val="18"/>
              </w:rPr>
            </w:pPr>
            <w:r w:rsidRPr="00DF5C23">
              <w:rPr>
                <w:noProof/>
                <w:sz w:val="18"/>
                <w:szCs w:val="18"/>
              </w:rPr>
              <w:t>15,200</w:t>
            </w:r>
          </w:p>
        </w:tc>
        <w:tc>
          <w:tcPr>
            <w:tcW w:w="426" w:type="dxa"/>
            <w:tcBorders>
              <w:top w:val="single" w:sz="12" w:space="0" w:color="auto"/>
              <w:bottom w:val="single" w:sz="12" w:space="0" w:color="auto"/>
            </w:tcBorders>
          </w:tcPr>
          <w:p w14:paraId="2C3A5E8E" w14:textId="77777777" w:rsidR="005C61BF" w:rsidRPr="00DF5C23" w:rsidRDefault="005C61BF" w:rsidP="009C47CC">
            <w:pPr>
              <w:spacing w:before="180" w:after="180"/>
              <w:ind w:right="-29"/>
              <w:jc w:val="center"/>
              <w:rPr>
                <w:noProof/>
                <w:sz w:val="18"/>
                <w:szCs w:val="18"/>
              </w:rPr>
            </w:pPr>
            <w:r w:rsidRPr="00DF5C23">
              <w:rPr>
                <w:noProof/>
                <w:sz w:val="18"/>
                <w:szCs w:val="18"/>
              </w:rPr>
              <w:t>27</w:t>
            </w:r>
          </w:p>
        </w:tc>
        <w:tc>
          <w:tcPr>
            <w:tcW w:w="850" w:type="dxa"/>
            <w:tcBorders>
              <w:top w:val="single" w:sz="12" w:space="0" w:color="auto"/>
              <w:bottom w:val="single" w:sz="12" w:space="0" w:color="auto"/>
            </w:tcBorders>
          </w:tcPr>
          <w:p w14:paraId="2C3A5E8F" w14:textId="77777777" w:rsidR="005C61BF" w:rsidRPr="00DF5C23" w:rsidRDefault="005C61BF" w:rsidP="009C47CC">
            <w:pPr>
              <w:spacing w:before="180" w:after="180"/>
              <w:ind w:right="-29"/>
              <w:jc w:val="center"/>
              <w:rPr>
                <w:noProof/>
                <w:sz w:val="18"/>
                <w:szCs w:val="18"/>
              </w:rPr>
            </w:pPr>
            <w:r w:rsidRPr="00DF5C23">
              <w:rPr>
                <w:noProof/>
                <w:sz w:val="18"/>
                <w:szCs w:val="18"/>
              </w:rPr>
              <w:t>20,600</w:t>
            </w:r>
          </w:p>
        </w:tc>
        <w:tc>
          <w:tcPr>
            <w:tcW w:w="567" w:type="dxa"/>
            <w:tcBorders>
              <w:top w:val="single" w:sz="12" w:space="0" w:color="auto"/>
              <w:bottom w:val="single" w:sz="12" w:space="0" w:color="auto"/>
            </w:tcBorders>
          </w:tcPr>
          <w:p w14:paraId="2C3A5E90" w14:textId="77777777" w:rsidR="005C61BF" w:rsidRPr="00DF5C23" w:rsidRDefault="005C61BF" w:rsidP="009C47CC">
            <w:pPr>
              <w:spacing w:before="180" w:after="180"/>
              <w:ind w:right="-29"/>
              <w:jc w:val="center"/>
              <w:rPr>
                <w:noProof/>
                <w:sz w:val="18"/>
                <w:szCs w:val="18"/>
              </w:rPr>
            </w:pPr>
            <w:r w:rsidRPr="00DF5C23">
              <w:rPr>
                <w:noProof/>
                <w:sz w:val="18"/>
                <w:szCs w:val="18"/>
              </w:rPr>
              <w:t>83</w:t>
            </w:r>
          </w:p>
        </w:tc>
        <w:tc>
          <w:tcPr>
            <w:tcW w:w="851" w:type="dxa"/>
            <w:tcBorders>
              <w:top w:val="single" w:sz="12" w:space="0" w:color="auto"/>
              <w:bottom w:val="single" w:sz="12" w:space="0" w:color="auto"/>
            </w:tcBorders>
          </w:tcPr>
          <w:p w14:paraId="2C3A5E91" w14:textId="77777777" w:rsidR="005C61BF" w:rsidRPr="00DF5C23" w:rsidRDefault="005C61BF" w:rsidP="009C47CC">
            <w:pPr>
              <w:spacing w:before="180" w:after="180"/>
              <w:ind w:right="-29"/>
              <w:jc w:val="center"/>
              <w:rPr>
                <w:noProof/>
                <w:sz w:val="18"/>
                <w:szCs w:val="18"/>
              </w:rPr>
            </w:pPr>
            <w:r w:rsidRPr="00DF5C23">
              <w:rPr>
                <w:noProof/>
                <w:sz w:val="18"/>
                <w:szCs w:val="18"/>
              </w:rPr>
              <w:t>59,700</w:t>
            </w:r>
          </w:p>
        </w:tc>
      </w:tr>
    </w:tbl>
    <w:p w14:paraId="2C3A5E93" w14:textId="77777777" w:rsidR="00BF1765" w:rsidRPr="00DF5C23" w:rsidRDefault="00BF1765" w:rsidP="00BF1765">
      <w:pPr>
        <w:rPr>
          <w:rFonts w:eastAsia="Calibri"/>
          <w:noProof/>
        </w:rPr>
        <w:sectPr w:rsidR="00BF1765" w:rsidRPr="00DF5C23" w:rsidSect="008B42B0">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2C3A5E94" w14:textId="4F494FC1" w:rsidR="003102BB" w:rsidRPr="00DF5C23" w:rsidRDefault="004F5E59" w:rsidP="004F5E59">
      <w:pPr>
        <w:pStyle w:val="ManualHeading3"/>
        <w:rPr>
          <w:bCs/>
          <w:noProof/>
          <w:szCs w:val="24"/>
        </w:rPr>
      </w:pPr>
      <w:bookmarkStart w:id="60" w:name="_Toc514938055"/>
      <w:bookmarkStart w:id="61" w:name="_Toc520485054"/>
      <w:r w:rsidRPr="004F5E59">
        <w:t>3.2.3.</w:t>
      </w:r>
      <w:r w:rsidRPr="004F5E59">
        <w:tab/>
      </w:r>
      <w:r w:rsidR="003102BB" w:rsidRPr="00DF5C23">
        <w:rPr>
          <w:noProof/>
        </w:rPr>
        <w:t>Summary of estimated impact on administrative appropriations</w:t>
      </w:r>
      <w:bookmarkEnd w:id="60"/>
      <w:bookmarkEnd w:id="61"/>
      <w:r w:rsidR="003102BB" w:rsidRPr="00DF5C23">
        <w:rPr>
          <w:noProof/>
        </w:rPr>
        <w:t xml:space="preserve"> </w:t>
      </w:r>
    </w:p>
    <w:p w14:paraId="2C3A5E95"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 xml:space="preserve">The proposal/initiative does not require the use of appropriations of an administrative nature </w:t>
      </w:r>
    </w:p>
    <w:p w14:paraId="2C3A5E96"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ab/>
        <w:t>The proposal/initiative requires the use of appropriations of an administrative nature, as explained below:</w:t>
      </w:r>
    </w:p>
    <w:p w14:paraId="2C3A5E97" w14:textId="77777777" w:rsidR="00BF1765" w:rsidRPr="00DF5C23" w:rsidRDefault="00BF1765" w:rsidP="00BF1765">
      <w:pPr>
        <w:jc w:val="right"/>
        <w:rPr>
          <w:rFonts w:eastAsia="Calibri"/>
          <w:noProof/>
          <w:sz w:val="20"/>
        </w:rPr>
      </w:pPr>
      <w:r w:rsidRPr="00DF5C23">
        <w:rPr>
          <w:rFonts w:eastAsia="Calibri"/>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DF5C23" w14:paraId="2C3A5EA0" w14:textId="77777777" w:rsidTr="00743354">
        <w:trPr>
          <w:trHeight w:val="585"/>
        </w:trPr>
        <w:tc>
          <w:tcPr>
            <w:tcW w:w="1980" w:type="dxa"/>
          </w:tcPr>
          <w:p w14:paraId="2C3A5E98" w14:textId="77777777" w:rsidR="00BF1765" w:rsidRPr="00DF5C23" w:rsidRDefault="00BF1765" w:rsidP="00BF1765">
            <w:pPr>
              <w:spacing w:before="60" w:after="60" w:line="200" w:lineRule="exact"/>
              <w:rPr>
                <w:rFonts w:eastAsia="Calibri"/>
                <w:noProof/>
                <w:sz w:val="16"/>
                <w:szCs w:val="16"/>
              </w:rPr>
            </w:pPr>
          </w:p>
        </w:tc>
        <w:tc>
          <w:tcPr>
            <w:tcW w:w="1080" w:type="dxa"/>
            <w:vAlign w:val="center"/>
          </w:tcPr>
          <w:p w14:paraId="2C3A5E99" w14:textId="77777777" w:rsidR="00BF1765" w:rsidRPr="00DF5C23" w:rsidRDefault="00BF1765" w:rsidP="00BF1765">
            <w:pPr>
              <w:spacing w:before="60" w:after="60" w:line="200" w:lineRule="exact"/>
              <w:jc w:val="center"/>
              <w:rPr>
                <w:rFonts w:eastAsia="Calibri"/>
                <w:noProof/>
                <w:sz w:val="16"/>
                <w:szCs w:val="16"/>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1080" w:type="dxa"/>
            <w:vAlign w:val="center"/>
          </w:tcPr>
          <w:p w14:paraId="2C3A5E9A" w14:textId="77777777" w:rsidR="00BF1765" w:rsidRPr="00DF5C23" w:rsidRDefault="00BF1765" w:rsidP="00BF1765">
            <w:pPr>
              <w:spacing w:before="60" w:after="60" w:line="200" w:lineRule="exact"/>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1080" w:type="dxa"/>
            <w:vAlign w:val="center"/>
          </w:tcPr>
          <w:p w14:paraId="2C3A5E9B" w14:textId="77777777" w:rsidR="00BF1765" w:rsidRPr="00DF5C23" w:rsidRDefault="00BF1765" w:rsidP="00BF1765">
            <w:pPr>
              <w:spacing w:before="60" w:after="60" w:line="200" w:lineRule="exact"/>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1080" w:type="dxa"/>
            <w:vAlign w:val="center"/>
          </w:tcPr>
          <w:p w14:paraId="2C3A5E9C" w14:textId="77777777" w:rsidR="00BF1765" w:rsidRPr="00DF5C23" w:rsidRDefault="00BF1765" w:rsidP="00BF1765">
            <w:pPr>
              <w:spacing w:before="60" w:after="60" w:line="200" w:lineRule="exact"/>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1080" w:type="dxa"/>
            <w:vAlign w:val="center"/>
          </w:tcPr>
          <w:p w14:paraId="2C3A5E9D" w14:textId="77777777" w:rsidR="00BF1765" w:rsidRPr="00DF5C23" w:rsidRDefault="00BF1765" w:rsidP="00BF1765">
            <w:pPr>
              <w:spacing w:line="200" w:lineRule="exact"/>
              <w:jc w:val="center"/>
              <w:rPr>
                <w:rFonts w:eastAsia="Calibri"/>
                <w:b/>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1080" w:type="dxa"/>
            <w:vAlign w:val="center"/>
          </w:tcPr>
          <w:p w14:paraId="2C3A5E9E" w14:textId="77777777" w:rsidR="00BF1765" w:rsidRPr="00DF5C23" w:rsidRDefault="00BF1765" w:rsidP="00BF1765">
            <w:pPr>
              <w:spacing w:line="200" w:lineRule="exact"/>
              <w:jc w:val="center"/>
              <w:rPr>
                <w:rFonts w:eastAsia="Calibri"/>
                <w:b/>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 xml:space="preserve">2027 </w:t>
            </w:r>
          </w:p>
        </w:tc>
        <w:tc>
          <w:tcPr>
            <w:tcW w:w="1080" w:type="dxa"/>
            <w:vAlign w:val="center"/>
          </w:tcPr>
          <w:p w14:paraId="2C3A5E9F" w14:textId="77777777" w:rsidR="00BF1765" w:rsidRPr="00DF5C23" w:rsidRDefault="00BF1765" w:rsidP="00BF1765">
            <w:pPr>
              <w:spacing w:before="60" w:after="60" w:line="200" w:lineRule="exact"/>
              <w:jc w:val="center"/>
              <w:rPr>
                <w:rFonts w:eastAsia="Calibri"/>
                <w:b/>
                <w:noProof/>
                <w:sz w:val="16"/>
                <w:szCs w:val="16"/>
              </w:rPr>
            </w:pPr>
            <w:r w:rsidRPr="00DF5C23">
              <w:rPr>
                <w:rFonts w:eastAsia="Calibri"/>
                <w:b/>
                <w:noProof/>
                <w:sz w:val="16"/>
              </w:rPr>
              <w:t>TOTAL</w:t>
            </w:r>
          </w:p>
        </w:tc>
      </w:tr>
    </w:tbl>
    <w:p w14:paraId="2C3A5EA1" w14:textId="77777777" w:rsidR="00BF1765" w:rsidRPr="00DF5C23" w:rsidRDefault="00BF1765" w:rsidP="00BF1765">
      <w:pPr>
        <w:spacing w:line="200" w:lineRule="exact"/>
        <w:rPr>
          <w:rFonts w:eastAsia="Calibri"/>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DF5C23" w14:paraId="2C3A5EAA" w14:textId="77777777" w:rsidTr="00743354">
        <w:trPr>
          <w:trHeight w:val="585"/>
        </w:trPr>
        <w:tc>
          <w:tcPr>
            <w:tcW w:w="1980" w:type="dxa"/>
            <w:shd w:val="clear" w:color="auto" w:fill="CCCCCC"/>
            <w:vAlign w:val="center"/>
          </w:tcPr>
          <w:p w14:paraId="2C3A5EA2" w14:textId="77777777" w:rsidR="00BF1765" w:rsidRPr="00DF5C23" w:rsidRDefault="00BF1765" w:rsidP="00BF1765">
            <w:pPr>
              <w:spacing w:before="60" w:after="60" w:line="200" w:lineRule="exact"/>
              <w:jc w:val="center"/>
              <w:rPr>
                <w:rFonts w:eastAsia="Calibri"/>
                <w:b/>
                <w:noProof/>
                <w:sz w:val="16"/>
                <w:szCs w:val="16"/>
              </w:rPr>
            </w:pPr>
            <w:r w:rsidRPr="00DF5C23">
              <w:rPr>
                <w:rFonts w:eastAsia="Calibri"/>
                <w:b/>
                <w:noProof/>
                <w:sz w:val="16"/>
              </w:rPr>
              <w:t>HEADING 7</w:t>
            </w:r>
            <w:r w:rsidRPr="00DF5C23">
              <w:rPr>
                <w:rFonts w:eastAsia="Calibri"/>
                <w:noProof/>
                <w:sz w:val="22"/>
              </w:rPr>
              <w:br/>
            </w:r>
            <w:r w:rsidRPr="00DF5C23">
              <w:rPr>
                <w:rFonts w:eastAsia="Calibri"/>
                <w:b/>
                <w:noProof/>
                <w:sz w:val="16"/>
              </w:rPr>
              <w:t>of the multiannual financial framework</w:t>
            </w:r>
          </w:p>
        </w:tc>
        <w:tc>
          <w:tcPr>
            <w:tcW w:w="1080" w:type="dxa"/>
            <w:vAlign w:val="center"/>
          </w:tcPr>
          <w:p w14:paraId="2C3A5EA3"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4"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5"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6"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7"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8"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A9" w14:textId="77777777" w:rsidR="00BF1765" w:rsidRPr="00DF5C23" w:rsidRDefault="00BF1765" w:rsidP="00BF1765">
            <w:pPr>
              <w:spacing w:before="60" w:after="60" w:line="200" w:lineRule="exact"/>
              <w:jc w:val="right"/>
              <w:rPr>
                <w:rFonts w:eastAsia="Calibri"/>
                <w:b/>
                <w:noProof/>
                <w:sz w:val="16"/>
                <w:szCs w:val="16"/>
              </w:rPr>
            </w:pPr>
          </w:p>
        </w:tc>
      </w:tr>
      <w:tr w:rsidR="005C61BF" w:rsidRPr="00DF5C23" w14:paraId="2C3A5EB3" w14:textId="77777777" w:rsidTr="00EC0E40">
        <w:trPr>
          <w:trHeight w:val="585"/>
        </w:trPr>
        <w:tc>
          <w:tcPr>
            <w:tcW w:w="1980" w:type="dxa"/>
            <w:vAlign w:val="center"/>
          </w:tcPr>
          <w:p w14:paraId="2C3A5EAB" w14:textId="77777777" w:rsidR="005C61BF" w:rsidRPr="00DF5C23" w:rsidRDefault="005C61BF" w:rsidP="005C61BF">
            <w:pPr>
              <w:spacing w:before="60" w:after="60" w:line="200" w:lineRule="exact"/>
              <w:ind w:left="72"/>
              <w:jc w:val="left"/>
              <w:rPr>
                <w:rFonts w:eastAsia="Calibri"/>
                <w:noProof/>
                <w:sz w:val="16"/>
                <w:szCs w:val="16"/>
              </w:rPr>
            </w:pPr>
            <w:r w:rsidRPr="00DF5C23">
              <w:rPr>
                <w:rFonts w:eastAsia="Calibri"/>
                <w:noProof/>
                <w:sz w:val="16"/>
              </w:rPr>
              <w:t xml:space="preserve">Human resources </w:t>
            </w:r>
          </w:p>
        </w:tc>
        <w:tc>
          <w:tcPr>
            <w:tcW w:w="1080" w:type="dxa"/>
            <w:vAlign w:val="center"/>
          </w:tcPr>
          <w:p w14:paraId="2C3A5EAC"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1,766</w:t>
            </w:r>
          </w:p>
        </w:tc>
        <w:tc>
          <w:tcPr>
            <w:tcW w:w="1080" w:type="dxa"/>
            <w:vAlign w:val="center"/>
          </w:tcPr>
          <w:p w14:paraId="2C3A5EAD"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5,801</w:t>
            </w:r>
          </w:p>
        </w:tc>
        <w:tc>
          <w:tcPr>
            <w:tcW w:w="1080" w:type="dxa"/>
            <w:vAlign w:val="center"/>
          </w:tcPr>
          <w:p w14:paraId="2C3A5EAE"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7,080</w:t>
            </w:r>
          </w:p>
        </w:tc>
        <w:tc>
          <w:tcPr>
            <w:tcW w:w="1080" w:type="dxa"/>
            <w:vAlign w:val="center"/>
          </w:tcPr>
          <w:p w14:paraId="2C3A5EAF"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7,368</w:t>
            </w:r>
          </w:p>
        </w:tc>
        <w:tc>
          <w:tcPr>
            <w:tcW w:w="1080" w:type="dxa"/>
            <w:vAlign w:val="center"/>
          </w:tcPr>
          <w:p w14:paraId="2C3A5EB0"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7,597</w:t>
            </w:r>
          </w:p>
        </w:tc>
        <w:tc>
          <w:tcPr>
            <w:tcW w:w="1080" w:type="dxa"/>
            <w:vAlign w:val="center"/>
          </w:tcPr>
          <w:p w14:paraId="2C3A5EB1"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7,839</w:t>
            </w:r>
          </w:p>
        </w:tc>
        <w:tc>
          <w:tcPr>
            <w:tcW w:w="1080" w:type="dxa"/>
            <w:vAlign w:val="bottom"/>
          </w:tcPr>
          <w:p w14:paraId="2C3A5EB2" w14:textId="77777777" w:rsidR="005C61BF" w:rsidRPr="00DF5C23" w:rsidRDefault="009D31CB" w:rsidP="005C61BF">
            <w:pPr>
              <w:spacing w:before="60" w:after="60" w:line="200" w:lineRule="exact"/>
              <w:jc w:val="right"/>
              <w:rPr>
                <w:rFonts w:eastAsia="Calibri"/>
                <w:b/>
                <w:noProof/>
                <w:sz w:val="16"/>
                <w:szCs w:val="16"/>
              </w:rPr>
            </w:pPr>
            <w:r w:rsidRPr="00DF5C23">
              <w:rPr>
                <w:rFonts w:ascii="Calibri" w:hAnsi="Calibri" w:cs="Calibri"/>
                <w:noProof/>
                <w:color w:val="000000"/>
                <w:sz w:val="22"/>
              </w:rPr>
              <w:t>37,451</w:t>
            </w:r>
          </w:p>
        </w:tc>
      </w:tr>
      <w:tr w:rsidR="005C61BF" w:rsidRPr="00DF5C23" w14:paraId="2C3A5EBC" w14:textId="77777777" w:rsidTr="00743354">
        <w:trPr>
          <w:trHeight w:val="585"/>
        </w:trPr>
        <w:tc>
          <w:tcPr>
            <w:tcW w:w="1980" w:type="dxa"/>
            <w:vAlign w:val="center"/>
          </w:tcPr>
          <w:p w14:paraId="2C3A5EB4" w14:textId="77777777" w:rsidR="005C61BF" w:rsidRPr="00DF5C23" w:rsidRDefault="005C61BF" w:rsidP="005C61BF">
            <w:pPr>
              <w:spacing w:before="60" w:after="60" w:line="200" w:lineRule="exact"/>
              <w:ind w:left="72"/>
              <w:jc w:val="left"/>
              <w:rPr>
                <w:rFonts w:eastAsia="Calibri"/>
                <w:noProof/>
                <w:sz w:val="16"/>
                <w:szCs w:val="16"/>
              </w:rPr>
            </w:pPr>
            <w:r w:rsidRPr="00DF5C23">
              <w:rPr>
                <w:rFonts w:eastAsia="Calibri"/>
                <w:noProof/>
                <w:sz w:val="16"/>
              </w:rPr>
              <w:t xml:space="preserve">Other administrative expenditure </w:t>
            </w:r>
          </w:p>
        </w:tc>
        <w:tc>
          <w:tcPr>
            <w:tcW w:w="1080" w:type="dxa"/>
            <w:vAlign w:val="center"/>
          </w:tcPr>
          <w:p w14:paraId="2C3A5EB5"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0,015</w:t>
            </w:r>
          </w:p>
        </w:tc>
        <w:tc>
          <w:tcPr>
            <w:tcW w:w="1080" w:type="dxa"/>
            <w:vAlign w:val="center"/>
          </w:tcPr>
          <w:p w14:paraId="2C3A5EB6"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0,015</w:t>
            </w:r>
          </w:p>
        </w:tc>
        <w:tc>
          <w:tcPr>
            <w:tcW w:w="1080" w:type="dxa"/>
            <w:vAlign w:val="center"/>
          </w:tcPr>
          <w:p w14:paraId="2C3A5EB7"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0,290</w:t>
            </w:r>
          </w:p>
        </w:tc>
        <w:tc>
          <w:tcPr>
            <w:tcW w:w="1080" w:type="dxa"/>
            <w:vAlign w:val="center"/>
          </w:tcPr>
          <w:p w14:paraId="2C3A5EB8"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0,290</w:t>
            </w:r>
          </w:p>
        </w:tc>
        <w:tc>
          <w:tcPr>
            <w:tcW w:w="1080" w:type="dxa"/>
            <w:vAlign w:val="center"/>
          </w:tcPr>
          <w:p w14:paraId="2C3A5EB9"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0,290</w:t>
            </w:r>
          </w:p>
        </w:tc>
        <w:tc>
          <w:tcPr>
            <w:tcW w:w="1080" w:type="dxa"/>
            <w:vAlign w:val="center"/>
          </w:tcPr>
          <w:p w14:paraId="2C3A5EBA" w14:textId="77777777" w:rsidR="005C61BF" w:rsidRPr="00DF5C23" w:rsidRDefault="005C61BF" w:rsidP="005C61BF">
            <w:pPr>
              <w:spacing w:before="60" w:after="60" w:line="200" w:lineRule="exact"/>
              <w:jc w:val="right"/>
              <w:rPr>
                <w:rFonts w:eastAsia="Calibri"/>
                <w:noProof/>
                <w:sz w:val="16"/>
                <w:szCs w:val="16"/>
              </w:rPr>
            </w:pPr>
            <w:r w:rsidRPr="00DF5C23">
              <w:rPr>
                <w:noProof/>
                <w:color w:val="000000"/>
                <w:sz w:val="20"/>
                <w:szCs w:val="20"/>
              </w:rPr>
              <w:t>0,270</w:t>
            </w:r>
          </w:p>
        </w:tc>
        <w:tc>
          <w:tcPr>
            <w:tcW w:w="1080" w:type="dxa"/>
            <w:vAlign w:val="center"/>
          </w:tcPr>
          <w:p w14:paraId="2C3A5EBB" w14:textId="77777777" w:rsidR="005C61BF" w:rsidRPr="00DF5C23" w:rsidRDefault="005C61BF" w:rsidP="005C61BF">
            <w:pPr>
              <w:spacing w:before="60" w:after="60" w:line="200" w:lineRule="exact"/>
              <w:jc w:val="right"/>
              <w:rPr>
                <w:rFonts w:eastAsia="Calibri"/>
                <w:b/>
                <w:noProof/>
                <w:sz w:val="16"/>
                <w:szCs w:val="16"/>
              </w:rPr>
            </w:pPr>
            <w:r w:rsidRPr="00DF5C23">
              <w:rPr>
                <w:rFonts w:ascii="Calibri" w:hAnsi="Calibri" w:cs="Calibri"/>
                <w:noProof/>
                <w:color w:val="000000"/>
                <w:sz w:val="22"/>
              </w:rPr>
              <w:t>1,170</w:t>
            </w:r>
          </w:p>
        </w:tc>
      </w:tr>
      <w:tr w:rsidR="005C61BF" w:rsidRPr="00DF5C23" w14:paraId="2C3A5EC5" w14:textId="77777777" w:rsidTr="00EC0E40">
        <w:trPr>
          <w:trHeight w:val="585"/>
        </w:trPr>
        <w:tc>
          <w:tcPr>
            <w:tcW w:w="1980" w:type="dxa"/>
            <w:shd w:val="clear" w:color="auto" w:fill="CCCCCC"/>
            <w:vAlign w:val="center"/>
          </w:tcPr>
          <w:p w14:paraId="2C3A5EBD" w14:textId="77777777" w:rsidR="005C61BF" w:rsidRPr="00DF5C23" w:rsidRDefault="005C61BF" w:rsidP="005C61BF">
            <w:pPr>
              <w:spacing w:before="60" w:after="60" w:line="200" w:lineRule="exact"/>
              <w:jc w:val="center"/>
              <w:rPr>
                <w:rFonts w:eastAsia="Calibri"/>
                <w:b/>
                <w:noProof/>
                <w:sz w:val="16"/>
                <w:szCs w:val="16"/>
              </w:rPr>
            </w:pPr>
            <w:r w:rsidRPr="00DF5C23">
              <w:rPr>
                <w:rFonts w:eastAsia="Calibri"/>
                <w:b/>
                <w:noProof/>
                <w:sz w:val="16"/>
              </w:rPr>
              <w:t>Subtotal HEADING 7</w:t>
            </w:r>
            <w:r w:rsidRPr="00DF5C23">
              <w:rPr>
                <w:rFonts w:eastAsia="Calibri"/>
                <w:noProof/>
                <w:sz w:val="22"/>
              </w:rPr>
              <w:br/>
            </w:r>
            <w:r w:rsidRPr="00DF5C23">
              <w:rPr>
                <w:rFonts w:eastAsia="Calibri"/>
                <w:b/>
                <w:noProof/>
                <w:sz w:val="16"/>
              </w:rPr>
              <w:t xml:space="preserve">of the multiannual financial framework </w:t>
            </w:r>
          </w:p>
        </w:tc>
        <w:tc>
          <w:tcPr>
            <w:tcW w:w="1080" w:type="dxa"/>
            <w:vAlign w:val="center"/>
          </w:tcPr>
          <w:p w14:paraId="2C3A5EBE"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1,781</w:t>
            </w:r>
          </w:p>
        </w:tc>
        <w:tc>
          <w:tcPr>
            <w:tcW w:w="1080" w:type="dxa"/>
            <w:vAlign w:val="center"/>
          </w:tcPr>
          <w:p w14:paraId="2C3A5EBF"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5,816</w:t>
            </w:r>
          </w:p>
        </w:tc>
        <w:tc>
          <w:tcPr>
            <w:tcW w:w="1080" w:type="dxa"/>
            <w:vAlign w:val="center"/>
          </w:tcPr>
          <w:p w14:paraId="2C3A5EC0"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7,370</w:t>
            </w:r>
          </w:p>
        </w:tc>
        <w:tc>
          <w:tcPr>
            <w:tcW w:w="1080" w:type="dxa"/>
            <w:vAlign w:val="center"/>
          </w:tcPr>
          <w:p w14:paraId="2C3A5EC1"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7,658</w:t>
            </w:r>
          </w:p>
        </w:tc>
        <w:tc>
          <w:tcPr>
            <w:tcW w:w="1080" w:type="dxa"/>
            <w:vAlign w:val="center"/>
          </w:tcPr>
          <w:p w14:paraId="2C3A5EC2"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7,887</w:t>
            </w:r>
          </w:p>
        </w:tc>
        <w:tc>
          <w:tcPr>
            <w:tcW w:w="1080" w:type="dxa"/>
            <w:vAlign w:val="center"/>
          </w:tcPr>
          <w:p w14:paraId="2C3A5EC3" w14:textId="77777777" w:rsidR="005C61BF" w:rsidRPr="00DF5C23" w:rsidRDefault="009D31CB" w:rsidP="005C61BF">
            <w:pPr>
              <w:spacing w:before="60" w:after="60" w:line="200" w:lineRule="exact"/>
              <w:jc w:val="right"/>
              <w:rPr>
                <w:rFonts w:eastAsia="Calibri"/>
                <w:noProof/>
                <w:sz w:val="16"/>
                <w:szCs w:val="16"/>
              </w:rPr>
            </w:pPr>
            <w:r w:rsidRPr="00DF5C23">
              <w:rPr>
                <w:noProof/>
                <w:color w:val="000000"/>
                <w:sz w:val="20"/>
                <w:szCs w:val="20"/>
              </w:rPr>
              <w:t>8,109</w:t>
            </w:r>
          </w:p>
        </w:tc>
        <w:tc>
          <w:tcPr>
            <w:tcW w:w="1080" w:type="dxa"/>
            <w:vAlign w:val="bottom"/>
          </w:tcPr>
          <w:p w14:paraId="2C3A5EC4" w14:textId="77777777" w:rsidR="005C61BF" w:rsidRPr="00DF5C23" w:rsidRDefault="009D31CB" w:rsidP="005C61BF">
            <w:pPr>
              <w:spacing w:before="60" w:after="60" w:line="200" w:lineRule="exact"/>
              <w:jc w:val="right"/>
              <w:rPr>
                <w:rFonts w:eastAsia="Calibri"/>
                <w:b/>
                <w:noProof/>
                <w:sz w:val="16"/>
                <w:szCs w:val="16"/>
              </w:rPr>
            </w:pPr>
            <w:r w:rsidRPr="00DF5C23">
              <w:rPr>
                <w:rFonts w:ascii="Calibri" w:hAnsi="Calibri" w:cs="Calibri"/>
                <w:noProof/>
                <w:color w:val="000000"/>
                <w:sz w:val="22"/>
              </w:rPr>
              <w:t>38,621</w:t>
            </w:r>
          </w:p>
        </w:tc>
      </w:tr>
    </w:tbl>
    <w:p w14:paraId="2C3A5EC6" w14:textId="77777777" w:rsidR="00BF1765" w:rsidRPr="00DF5C23" w:rsidRDefault="00BF1765" w:rsidP="00BF1765">
      <w:pPr>
        <w:spacing w:line="200" w:lineRule="exact"/>
        <w:rPr>
          <w:rFonts w:eastAsia="Calibri"/>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BF1765" w:rsidRPr="00DF5C23" w14:paraId="2C3A5ED0" w14:textId="77777777" w:rsidTr="00743354">
        <w:trPr>
          <w:trHeight w:val="585"/>
        </w:trPr>
        <w:tc>
          <w:tcPr>
            <w:tcW w:w="1980" w:type="dxa"/>
            <w:shd w:val="clear" w:color="auto" w:fill="CCCCCC"/>
            <w:vAlign w:val="center"/>
          </w:tcPr>
          <w:p w14:paraId="2C3A5EC7" w14:textId="77777777" w:rsidR="00BF1765" w:rsidRPr="00DF5C23" w:rsidRDefault="00BF1765" w:rsidP="00BF1765">
            <w:pPr>
              <w:spacing w:before="60" w:after="60" w:line="200" w:lineRule="exact"/>
              <w:jc w:val="center"/>
              <w:rPr>
                <w:rFonts w:eastAsia="Calibri"/>
                <w:noProof/>
                <w:sz w:val="16"/>
                <w:szCs w:val="16"/>
              </w:rPr>
            </w:pPr>
            <w:r w:rsidRPr="00DF5C23">
              <w:rPr>
                <w:rFonts w:eastAsia="Calibri"/>
                <w:b/>
                <w:bCs/>
                <w:noProof/>
                <w:sz w:val="16"/>
                <w:szCs w:val="16"/>
              </w:rPr>
              <w:t>Outside HEADING 7</w:t>
            </w:r>
            <w:r w:rsidR="008B78E1" w:rsidRPr="00DF5C23">
              <w:rPr>
                <w:rStyle w:val="FootnoteReference0"/>
                <w:rFonts w:eastAsia="Calibri"/>
                <w:b/>
                <w:bCs/>
                <w:noProof/>
                <w:sz w:val="16"/>
                <w:szCs w:val="16"/>
              </w:rPr>
              <w:footnoteReference w:id="103"/>
            </w:r>
            <w:r w:rsidRPr="00DF5C23">
              <w:rPr>
                <w:rFonts w:eastAsia="Calibri"/>
                <w:b/>
                <w:bCs/>
                <w:noProof/>
                <w:sz w:val="16"/>
                <w:szCs w:val="16"/>
              </w:rPr>
              <w:t xml:space="preserve"> </w:t>
            </w:r>
            <w:r w:rsidRPr="00DF5C23">
              <w:rPr>
                <w:rFonts w:eastAsia="Calibri"/>
                <w:noProof/>
                <w:sz w:val="22"/>
              </w:rPr>
              <w:br/>
            </w:r>
            <w:r w:rsidRPr="00DF5C23">
              <w:rPr>
                <w:rFonts w:eastAsia="Calibri"/>
                <w:b/>
                <w:bCs/>
                <w:noProof/>
                <w:sz w:val="16"/>
                <w:szCs w:val="16"/>
              </w:rPr>
              <w:t xml:space="preserve">of the multiannual financial framework </w:t>
            </w:r>
          </w:p>
          <w:p w14:paraId="2C3A5EC8" w14:textId="77777777" w:rsidR="00BF1765" w:rsidRPr="00DF5C23" w:rsidRDefault="00BF1765" w:rsidP="00BF1765">
            <w:pPr>
              <w:spacing w:before="0" w:after="0" w:line="200" w:lineRule="exact"/>
              <w:jc w:val="center"/>
              <w:rPr>
                <w:rFonts w:eastAsia="Calibri"/>
                <w:b/>
                <w:noProof/>
                <w:sz w:val="16"/>
                <w:szCs w:val="16"/>
              </w:rPr>
            </w:pPr>
          </w:p>
        </w:tc>
        <w:tc>
          <w:tcPr>
            <w:tcW w:w="1080" w:type="dxa"/>
            <w:vAlign w:val="center"/>
          </w:tcPr>
          <w:p w14:paraId="2C3A5EC9"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A"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B"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C"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D"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E"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CF" w14:textId="77777777" w:rsidR="00BF1765" w:rsidRPr="00DF5C23" w:rsidRDefault="00BF1765" w:rsidP="00BF1765">
            <w:pPr>
              <w:spacing w:before="60" w:after="60" w:line="200" w:lineRule="exact"/>
              <w:jc w:val="right"/>
              <w:rPr>
                <w:rFonts w:eastAsia="Calibri"/>
                <w:b/>
                <w:noProof/>
                <w:sz w:val="16"/>
                <w:szCs w:val="16"/>
              </w:rPr>
            </w:pPr>
          </w:p>
        </w:tc>
      </w:tr>
      <w:tr w:rsidR="00BF1765" w:rsidRPr="00DF5C23" w14:paraId="2C3A5ED9" w14:textId="77777777" w:rsidTr="00743354">
        <w:trPr>
          <w:trHeight w:val="585"/>
        </w:trPr>
        <w:tc>
          <w:tcPr>
            <w:tcW w:w="1980" w:type="dxa"/>
            <w:vAlign w:val="center"/>
          </w:tcPr>
          <w:p w14:paraId="2C3A5ED1" w14:textId="77777777" w:rsidR="00BF1765" w:rsidRPr="00DF5C23" w:rsidRDefault="00BF1765" w:rsidP="00BF1765">
            <w:pPr>
              <w:spacing w:before="60" w:after="60" w:line="200" w:lineRule="exact"/>
              <w:ind w:left="72"/>
              <w:jc w:val="left"/>
              <w:rPr>
                <w:rFonts w:eastAsia="Calibri"/>
                <w:noProof/>
                <w:sz w:val="16"/>
                <w:szCs w:val="16"/>
              </w:rPr>
            </w:pPr>
            <w:r w:rsidRPr="00DF5C23">
              <w:rPr>
                <w:rFonts w:eastAsia="Calibri"/>
                <w:noProof/>
                <w:sz w:val="16"/>
              </w:rPr>
              <w:t xml:space="preserve">Human resources </w:t>
            </w:r>
          </w:p>
        </w:tc>
        <w:tc>
          <w:tcPr>
            <w:tcW w:w="1080" w:type="dxa"/>
            <w:vAlign w:val="center"/>
          </w:tcPr>
          <w:p w14:paraId="2C3A5ED2"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3"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4"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5"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6"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7"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8" w14:textId="77777777" w:rsidR="00BF1765" w:rsidRPr="00DF5C23" w:rsidRDefault="00BF1765" w:rsidP="00BF1765">
            <w:pPr>
              <w:spacing w:before="60" w:after="60" w:line="200" w:lineRule="exact"/>
              <w:jc w:val="right"/>
              <w:rPr>
                <w:rFonts w:eastAsia="Calibri"/>
                <w:b/>
                <w:noProof/>
                <w:sz w:val="16"/>
                <w:szCs w:val="16"/>
              </w:rPr>
            </w:pPr>
          </w:p>
        </w:tc>
      </w:tr>
      <w:tr w:rsidR="00BF1765" w:rsidRPr="00DF5C23" w14:paraId="2C3A5EE2" w14:textId="77777777" w:rsidTr="00743354">
        <w:trPr>
          <w:trHeight w:val="585"/>
        </w:trPr>
        <w:tc>
          <w:tcPr>
            <w:tcW w:w="1980" w:type="dxa"/>
            <w:vAlign w:val="center"/>
          </w:tcPr>
          <w:p w14:paraId="2C3A5EDA" w14:textId="77777777" w:rsidR="00BF1765" w:rsidRPr="00DF5C23" w:rsidRDefault="00BF1765" w:rsidP="00BF1765">
            <w:pPr>
              <w:spacing w:before="60" w:after="60" w:line="200" w:lineRule="exact"/>
              <w:ind w:left="72"/>
              <w:jc w:val="left"/>
              <w:rPr>
                <w:rFonts w:eastAsia="Calibri"/>
                <w:noProof/>
                <w:sz w:val="16"/>
                <w:szCs w:val="16"/>
              </w:rPr>
            </w:pPr>
            <w:r w:rsidRPr="00DF5C23">
              <w:rPr>
                <w:rFonts w:eastAsia="Calibri"/>
                <w:noProof/>
                <w:sz w:val="16"/>
              </w:rPr>
              <w:t xml:space="preserve">Other expenditure </w:t>
            </w:r>
            <w:r w:rsidRPr="00DF5C23">
              <w:rPr>
                <w:rFonts w:eastAsia="Calibri"/>
                <w:noProof/>
                <w:sz w:val="22"/>
              </w:rPr>
              <w:br/>
            </w:r>
            <w:r w:rsidRPr="00DF5C23">
              <w:rPr>
                <w:rFonts w:eastAsia="Calibri"/>
                <w:noProof/>
                <w:sz w:val="16"/>
              </w:rPr>
              <w:t>of an administrative nature</w:t>
            </w:r>
          </w:p>
        </w:tc>
        <w:tc>
          <w:tcPr>
            <w:tcW w:w="1080" w:type="dxa"/>
            <w:vAlign w:val="center"/>
          </w:tcPr>
          <w:p w14:paraId="2C3A5EDB"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C"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D"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E"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DF"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0"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1" w14:textId="77777777" w:rsidR="00BF1765" w:rsidRPr="00DF5C23" w:rsidRDefault="00BF1765" w:rsidP="00BF1765">
            <w:pPr>
              <w:spacing w:before="60" w:after="60" w:line="200" w:lineRule="exact"/>
              <w:jc w:val="right"/>
              <w:rPr>
                <w:rFonts w:eastAsia="Calibri"/>
                <w:b/>
                <w:noProof/>
                <w:sz w:val="16"/>
                <w:szCs w:val="16"/>
              </w:rPr>
            </w:pPr>
          </w:p>
        </w:tc>
      </w:tr>
      <w:tr w:rsidR="00BF1765" w:rsidRPr="00DF5C23" w14:paraId="2C3A5EEB" w14:textId="77777777" w:rsidTr="00743354">
        <w:trPr>
          <w:trHeight w:val="585"/>
        </w:trPr>
        <w:tc>
          <w:tcPr>
            <w:tcW w:w="1980" w:type="dxa"/>
            <w:shd w:val="clear" w:color="auto" w:fill="CCCCCC"/>
            <w:vAlign w:val="center"/>
          </w:tcPr>
          <w:p w14:paraId="2C3A5EE3" w14:textId="77777777" w:rsidR="00BF1765" w:rsidRPr="00DF5C23" w:rsidRDefault="00BF1765" w:rsidP="00BF1765">
            <w:pPr>
              <w:spacing w:before="60" w:after="60" w:line="200" w:lineRule="exact"/>
              <w:jc w:val="center"/>
              <w:rPr>
                <w:rFonts w:eastAsia="Calibri"/>
                <w:b/>
                <w:noProof/>
                <w:sz w:val="16"/>
                <w:szCs w:val="16"/>
              </w:rPr>
            </w:pPr>
            <w:r w:rsidRPr="00DF5C23">
              <w:rPr>
                <w:rFonts w:eastAsia="Calibri"/>
                <w:b/>
                <w:noProof/>
                <w:sz w:val="16"/>
              </w:rPr>
              <w:t xml:space="preserve">Subtotal </w:t>
            </w:r>
            <w:r w:rsidRPr="00DF5C23">
              <w:rPr>
                <w:rFonts w:eastAsia="Calibri"/>
                <w:noProof/>
                <w:sz w:val="22"/>
              </w:rPr>
              <w:br/>
            </w:r>
            <w:r w:rsidRPr="00DF5C23">
              <w:rPr>
                <w:rFonts w:eastAsia="Calibri"/>
                <w:b/>
                <w:noProof/>
                <w:sz w:val="16"/>
              </w:rPr>
              <w:t>outside HEADING 7</w:t>
            </w:r>
            <w:r w:rsidRPr="00DF5C23">
              <w:rPr>
                <w:rFonts w:eastAsia="Calibri"/>
                <w:noProof/>
                <w:sz w:val="22"/>
              </w:rPr>
              <w:br/>
            </w:r>
            <w:r w:rsidRPr="00DF5C23">
              <w:rPr>
                <w:rFonts w:eastAsia="Calibri"/>
                <w:b/>
                <w:noProof/>
                <w:sz w:val="16"/>
              </w:rPr>
              <w:t xml:space="preserve">of the multiannual financial framework </w:t>
            </w:r>
          </w:p>
        </w:tc>
        <w:tc>
          <w:tcPr>
            <w:tcW w:w="1080" w:type="dxa"/>
            <w:vAlign w:val="center"/>
          </w:tcPr>
          <w:p w14:paraId="2C3A5EE4"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5"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6"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7"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8"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9" w14:textId="77777777" w:rsidR="00BF1765" w:rsidRPr="00DF5C23" w:rsidRDefault="00BF1765" w:rsidP="00BF1765">
            <w:pPr>
              <w:spacing w:before="60" w:after="60" w:line="200" w:lineRule="exact"/>
              <w:jc w:val="right"/>
              <w:rPr>
                <w:rFonts w:eastAsia="Calibri"/>
                <w:noProof/>
                <w:sz w:val="16"/>
                <w:szCs w:val="16"/>
              </w:rPr>
            </w:pPr>
          </w:p>
        </w:tc>
        <w:tc>
          <w:tcPr>
            <w:tcW w:w="1080" w:type="dxa"/>
            <w:vAlign w:val="center"/>
          </w:tcPr>
          <w:p w14:paraId="2C3A5EEA" w14:textId="77777777" w:rsidR="00BF1765" w:rsidRPr="00DF5C23" w:rsidRDefault="00BF1765" w:rsidP="00BF1765">
            <w:pPr>
              <w:spacing w:before="60" w:after="60" w:line="200" w:lineRule="exact"/>
              <w:jc w:val="right"/>
              <w:rPr>
                <w:rFonts w:eastAsia="Calibri"/>
                <w:b/>
                <w:noProof/>
                <w:sz w:val="16"/>
                <w:szCs w:val="16"/>
              </w:rPr>
            </w:pPr>
          </w:p>
        </w:tc>
      </w:tr>
    </w:tbl>
    <w:p w14:paraId="2C3A5EEC" w14:textId="77777777" w:rsidR="00BF1765" w:rsidRPr="00DF5C23" w:rsidRDefault="00BF1765" w:rsidP="00BF1765">
      <w:pPr>
        <w:spacing w:line="200" w:lineRule="exact"/>
        <w:rPr>
          <w:rFonts w:eastAsia="Calibri"/>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5C61BF" w:rsidRPr="00DF5C23" w14:paraId="2C3A5EF5" w14:textId="77777777" w:rsidTr="00EC0E4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C3A5EED" w14:textId="77777777" w:rsidR="005C61BF" w:rsidRPr="00DF5C23" w:rsidRDefault="005C61BF" w:rsidP="005C61BF">
            <w:pPr>
              <w:spacing w:before="60" w:after="60" w:line="200" w:lineRule="exact"/>
              <w:jc w:val="center"/>
              <w:rPr>
                <w:rFonts w:eastAsia="Calibri"/>
                <w:noProof/>
                <w:sz w:val="16"/>
                <w:szCs w:val="16"/>
              </w:rPr>
            </w:pPr>
            <w:r w:rsidRPr="00DF5C23">
              <w:rPr>
                <w:rFonts w:eastAsia="Calibri"/>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2C3A5EEE"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1,781</w:t>
            </w:r>
          </w:p>
        </w:tc>
        <w:tc>
          <w:tcPr>
            <w:tcW w:w="1080" w:type="dxa"/>
            <w:tcBorders>
              <w:top w:val="single" w:sz="12" w:space="0" w:color="auto"/>
              <w:left w:val="single" w:sz="2" w:space="0" w:color="auto"/>
              <w:bottom w:val="single" w:sz="12" w:space="0" w:color="auto"/>
              <w:right w:val="single" w:sz="2" w:space="0" w:color="auto"/>
            </w:tcBorders>
            <w:vAlign w:val="center"/>
          </w:tcPr>
          <w:p w14:paraId="2C3A5EEF"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5,816</w:t>
            </w:r>
          </w:p>
        </w:tc>
        <w:tc>
          <w:tcPr>
            <w:tcW w:w="1080" w:type="dxa"/>
            <w:tcBorders>
              <w:top w:val="single" w:sz="12" w:space="0" w:color="auto"/>
              <w:left w:val="single" w:sz="2" w:space="0" w:color="auto"/>
              <w:bottom w:val="single" w:sz="12" w:space="0" w:color="auto"/>
              <w:right w:val="single" w:sz="2" w:space="0" w:color="auto"/>
            </w:tcBorders>
            <w:vAlign w:val="center"/>
          </w:tcPr>
          <w:p w14:paraId="2C3A5EF0"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7,370</w:t>
            </w:r>
          </w:p>
        </w:tc>
        <w:tc>
          <w:tcPr>
            <w:tcW w:w="1080" w:type="dxa"/>
            <w:tcBorders>
              <w:top w:val="single" w:sz="12" w:space="0" w:color="auto"/>
              <w:left w:val="single" w:sz="2" w:space="0" w:color="auto"/>
              <w:bottom w:val="single" w:sz="12" w:space="0" w:color="auto"/>
              <w:right w:val="single" w:sz="2" w:space="0" w:color="auto"/>
            </w:tcBorders>
            <w:vAlign w:val="center"/>
          </w:tcPr>
          <w:p w14:paraId="2C3A5EF1"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7,658</w:t>
            </w:r>
          </w:p>
        </w:tc>
        <w:tc>
          <w:tcPr>
            <w:tcW w:w="1080" w:type="dxa"/>
            <w:tcBorders>
              <w:top w:val="single" w:sz="12" w:space="0" w:color="auto"/>
              <w:left w:val="single" w:sz="2" w:space="0" w:color="auto"/>
              <w:bottom w:val="single" w:sz="12" w:space="0" w:color="auto"/>
              <w:right w:val="single" w:sz="2" w:space="0" w:color="auto"/>
            </w:tcBorders>
            <w:vAlign w:val="center"/>
          </w:tcPr>
          <w:p w14:paraId="2C3A5EF2"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7,887</w:t>
            </w:r>
          </w:p>
        </w:tc>
        <w:tc>
          <w:tcPr>
            <w:tcW w:w="1080" w:type="dxa"/>
            <w:tcBorders>
              <w:top w:val="single" w:sz="12" w:space="0" w:color="auto"/>
              <w:left w:val="single" w:sz="2" w:space="0" w:color="auto"/>
              <w:bottom w:val="single" w:sz="12" w:space="0" w:color="auto"/>
              <w:right w:val="single" w:sz="2" w:space="0" w:color="auto"/>
            </w:tcBorders>
            <w:vAlign w:val="center"/>
          </w:tcPr>
          <w:p w14:paraId="2C3A5EF3" w14:textId="77777777" w:rsidR="005C61BF" w:rsidRPr="00DF5C23" w:rsidRDefault="009D31CB" w:rsidP="005C61BF">
            <w:pPr>
              <w:spacing w:before="60" w:after="60" w:line="200" w:lineRule="exact"/>
              <w:jc w:val="right"/>
              <w:rPr>
                <w:rFonts w:eastAsia="Calibri"/>
                <w:b/>
                <w:noProof/>
                <w:sz w:val="16"/>
                <w:szCs w:val="16"/>
              </w:rPr>
            </w:pPr>
            <w:r w:rsidRPr="00DF5C23">
              <w:rPr>
                <w:noProof/>
                <w:color w:val="000000"/>
                <w:sz w:val="20"/>
                <w:szCs w:val="20"/>
              </w:rPr>
              <w:t>8,109</w:t>
            </w:r>
          </w:p>
        </w:tc>
        <w:tc>
          <w:tcPr>
            <w:tcW w:w="1080" w:type="dxa"/>
            <w:tcBorders>
              <w:top w:val="single" w:sz="12" w:space="0" w:color="auto"/>
              <w:left w:val="single" w:sz="2" w:space="0" w:color="auto"/>
              <w:bottom w:val="single" w:sz="12" w:space="0" w:color="auto"/>
              <w:right w:val="single" w:sz="12" w:space="0" w:color="auto"/>
            </w:tcBorders>
            <w:vAlign w:val="bottom"/>
          </w:tcPr>
          <w:p w14:paraId="2C3A5EF4" w14:textId="77777777" w:rsidR="005C61BF" w:rsidRPr="00DF5C23" w:rsidRDefault="009D31CB" w:rsidP="005C61BF">
            <w:pPr>
              <w:spacing w:before="60" w:after="60" w:line="200" w:lineRule="exact"/>
              <w:jc w:val="right"/>
              <w:rPr>
                <w:rFonts w:eastAsia="Calibri"/>
                <w:b/>
                <w:noProof/>
                <w:sz w:val="16"/>
                <w:szCs w:val="16"/>
              </w:rPr>
            </w:pPr>
            <w:r w:rsidRPr="00DF5C23">
              <w:rPr>
                <w:rFonts w:ascii="Calibri" w:hAnsi="Calibri" w:cs="Calibri"/>
                <w:noProof/>
                <w:color w:val="000000"/>
                <w:sz w:val="22"/>
              </w:rPr>
              <w:t>38,621</w:t>
            </w:r>
          </w:p>
        </w:tc>
      </w:tr>
    </w:tbl>
    <w:p w14:paraId="2C3A5EF6" w14:textId="77777777" w:rsidR="00BF1765" w:rsidRPr="00DF5C23" w:rsidRDefault="00BF1765" w:rsidP="00BF1765">
      <w:pPr>
        <w:rPr>
          <w:rFonts w:eastAsia="Calibri"/>
          <w:noProof/>
          <w:sz w:val="18"/>
        </w:rPr>
      </w:pPr>
      <w:r w:rsidRPr="00DF5C23">
        <w:rPr>
          <w:rFonts w:eastAsia="Calibri"/>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2C3A5EF7" w14:textId="77777777" w:rsidR="00BF1765" w:rsidRPr="00DF5C23" w:rsidRDefault="00BF1765" w:rsidP="00BF1765">
      <w:pPr>
        <w:rPr>
          <w:rFonts w:eastAsia="Calibri"/>
          <w:noProof/>
          <w:sz w:val="18"/>
        </w:rPr>
        <w:sectPr w:rsidR="00BF1765" w:rsidRPr="00DF5C23" w:rsidSect="008B42B0">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sidRPr="00DF5C23">
        <w:rPr>
          <w:rFonts w:eastAsia="Calibri"/>
          <w:noProof/>
          <w:sz w:val="18"/>
        </w:rPr>
        <w:t xml:space="preserve"> </w:t>
      </w:r>
    </w:p>
    <w:p w14:paraId="2C3A5EF8" w14:textId="575E149B" w:rsidR="003102BB" w:rsidRPr="00DF5C23" w:rsidRDefault="004F5E59" w:rsidP="004F5E59">
      <w:pPr>
        <w:pStyle w:val="ManualHeading4"/>
        <w:rPr>
          <w:bCs/>
          <w:noProof/>
          <w:szCs w:val="24"/>
        </w:rPr>
      </w:pPr>
      <w:r w:rsidRPr="004F5E59">
        <w:t>3.2.3.1.</w:t>
      </w:r>
      <w:r w:rsidRPr="004F5E59">
        <w:tab/>
      </w:r>
      <w:r w:rsidR="003102BB" w:rsidRPr="00DF5C23">
        <w:rPr>
          <w:noProof/>
        </w:rPr>
        <w:t xml:space="preserve">Estimated requirements of human resources </w:t>
      </w:r>
    </w:p>
    <w:p w14:paraId="2C3A5EF9"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 xml:space="preserve">The proposal/initiative does not require the use of human resources. </w:t>
      </w:r>
    </w:p>
    <w:p w14:paraId="2C3A5EFA"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ab/>
        <w:t>The proposal/initiative requires the use of human resources, as explained below:</w:t>
      </w:r>
    </w:p>
    <w:p w14:paraId="2C3A5EFB" w14:textId="77777777" w:rsidR="00BF1765" w:rsidRPr="00DF5C23" w:rsidRDefault="00BF1765" w:rsidP="00BF1765">
      <w:pPr>
        <w:spacing w:after="60"/>
        <w:jc w:val="right"/>
        <w:rPr>
          <w:rFonts w:eastAsia="Calibri"/>
          <w:i/>
          <w:noProof/>
          <w:sz w:val="20"/>
        </w:rPr>
      </w:pPr>
      <w:r w:rsidRPr="00DF5C23">
        <w:rPr>
          <w:rFonts w:eastAsia="Calibri"/>
          <w:i/>
          <w:noProof/>
          <w:sz w:val="20"/>
        </w:rPr>
        <w:t>Estimate to be expressed in full time equivalent units</w:t>
      </w: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53"/>
        <w:gridCol w:w="2355"/>
        <w:gridCol w:w="726"/>
        <w:gridCol w:w="726"/>
        <w:gridCol w:w="726"/>
        <w:gridCol w:w="726"/>
        <w:gridCol w:w="726"/>
        <w:gridCol w:w="1046"/>
        <w:gridCol w:w="81"/>
      </w:tblGrid>
      <w:tr w:rsidR="00BF1765" w:rsidRPr="00DF5C23" w14:paraId="2C3A5F03" w14:textId="77777777" w:rsidTr="00401706">
        <w:trPr>
          <w:gridBefore w:val="1"/>
          <w:gridAfter w:val="1"/>
          <w:wBefore w:w="15" w:type="dxa"/>
          <w:wAfter w:w="82" w:type="dxa"/>
          <w:trHeight w:val="289"/>
          <w:jc w:val="center"/>
        </w:trPr>
        <w:tc>
          <w:tcPr>
            <w:tcW w:w="4754" w:type="dxa"/>
            <w:gridSpan w:val="2"/>
            <w:shd w:val="clear" w:color="auto" w:fill="auto"/>
          </w:tcPr>
          <w:p w14:paraId="2C3A5EFC" w14:textId="77777777" w:rsidR="00BF1765" w:rsidRPr="00DF5C23" w:rsidRDefault="00BF1765" w:rsidP="00BF1765">
            <w:pPr>
              <w:spacing w:before="40" w:after="40"/>
              <w:jc w:val="center"/>
              <w:rPr>
                <w:rFonts w:eastAsia="Calibri"/>
                <w:i/>
                <w:noProof/>
                <w:sz w:val="16"/>
                <w:szCs w:val="16"/>
              </w:rPr>
            </w:pPr>
          </w:p>
        </w:tc>
        <w:tc>
          <w:tcPr>
            <w:tcW w:w="731" w:type="dxa"/>
            <w:shd w:val="clear" w:color="auto" w:fill="auto"/>
            <w:vAlign w:val="center"/>
          </w:tcPr>
          <w:p w14:paraId="2C3A5EFD" w14:textId="77777777" w:rsidR="00BF1765" w:rsidRPr="00DF5C23" w:rsidRDefault="00BF1765" w:rsidP="00BF1765">
            <w:pPr>
              <w:spacing w:before="20" w:after="20"/>
              <w:jc w:val="center"/>
              <w:rPr>
                <w:rFonts w:eastAsia="Calibri"/>
                <w:noProof/>
                <w:sz w:val="16"/>
                <w:szCs w:val="16"/>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2022</w:t>
            </w:r>
          </w:p>
        </w:tc>
        <w:tc>
          <w:tcPr>
            <w:tcW w:w="731" w:type="dxa"/>
            <w:shd w:val="clear" w:color="auto" w:fill="auto"/>
            <w:vAlign w:val="center"/>
          </w:tcPr>
          <w:p w14:paraId="2C3A5EFE" w14:textId="77777777" w:rsidR="00BF1765" w:rsidRPr="00DF5C23" w:rsidRDefault="00BF1765" w:rsidP="00BF1765">
            <w:pPr>
              <w:spacing w:before="20" w:after="20"/>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2023</w:t>
            </w:r>
          </w:p>
        </w:tc>
        <w:tc>
          <w:tcPr>
            <w:tcW w:w="731" w:type="dxa"/>
            <w:shd w:val="clear" w:color="auto" w:fill="auto"/>
            <w:vAlign w:val="center"/>
          </w:tcPr>
          <w:p w14:paraId="2C3A5EFF" w14:textId="77777777" w:rsidR="00BF1765" w:rsidRPr="00DF5C23" w:rsidRDefault="00BF1765" w:rsidP="00BF1765">
            <w:pPr>
              <w:spacing w:before="20" w:after="20"/>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2024</w:t>
            </w:r>
          </w:p>
        </w:tc>
        <w:tc>
          <w:tcPr>
            <w:tcW w:w="731" w:type="dxa"/>
            <w:shd w:val="clear" w:color="auto" w:fill="auto"/>
            <w:vAlign w:val="center"/>
          </w:tcPr>
          <w:p w14:paraId="2C3A5F00" w14:textId="77777777" w:rsidR="00BF1765" w:rsidRPr="00DF5C23" w:rsidRDefault="00BF1765" w:rsidP="00BF1765">
            <w:pPr>
              <w:spacing w:before="20" w:after="20"/>
              <w:jc w:val="center"/>
              <w:rPr>
                <w:rFonts w:eastAsia="Calibri"/>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2025</w:t>
            </w:r>
          </w:p>
        </w:tc>
        <w:tc>
          <w:tcPr>
            <w:tcW w:w="731" w:type="dxa"/>
            <w:shd w:val="clear" w:color="auto" w:fill="auto"/>
            <w:vAlign w:val="center"/>
          </w:tcPr>
          <w:p w14:paraId="2C3A5F01" w14:textId="77777777" w:rsidR="00BF1765" w:rsidRPr="00DF5C23" w:rsidRDefault="00BF1765" w:rsidP="00BF1765">
            <w:pPr>
              <w:jc w:val="center"/>
              <w:rPr>
                <w:rFonts w:eastAsia="Calibri"/>
                <w:b/>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2026</w:t>
            </w:r>
          </w:p>
        </w:tc>
        <w:tc>
          <w:tcPr>
            <w:tcW w:w="1055" w:type="dxa"/>
            <w:shd w:val="clear" w:color="auto" w:fill="auto"/>
            <w:vAlign w:val="center"/>
          </w:tcPr>
          <w:p w14:paraId="2C3A5F02" w14:textId="77777777" w:rsidR="00BF1765" w:rsidRPr="00DF5C23" w:rsidRDefault="00BF1765" w:rsidP="00BF1765">
            <w:pPr>
              <w:jc w:val="center"/>
              <w:rPr>
                <w:rFonts w:eastAsia="Calibri"/>
                <w:b/>
                <w:noProof/>
                <w:sz w:val="16"/>
                <w:szCs w:val="16"/>
              </w:rPr>
            </w:pPr>
            <w:r w:rsidRPr="00DF5C23">
              <w:rPr>
                <w:rFonts w:eastAsia="Calibri"/>
                <w:noProof/>
                <w:sz w:val="20"/>
              </w:rPr>
              <w:t>Year</w:t>
            </w:r>
            <w:r w:rsidRPr="00DF5C23">
              <w:rPr>
                <w:rFonts w:eastAsia="Calibri"/>
                <w:noProof/>
                <w:sz w:val="22"/>
              </w:rPr>
              <w:br/>
            </w:r>
            <w:r w:rsidRPr="00DF5C23">
              <w:rPr>
                <w:rFonts w:eastAsia="Calibri"/>
                <w:b/>
                <w:noProof/>
                <w:sz w:val="20"/>
              </w:rPr>
              <w:t>2027 and following</w:t>
            </w:r>
          </w:p>
        </w:tc>
      </w:tr>
      <w:tr w:rsidR="00BF1765" w:rsidRPr="00DF5C23" w14:paraId="2C3A5F05" w14:textId="77777777" w:rsidTr="00401706">
        <w:trPr>
          <w:gridBefore w:val="1"/>
          <w:gridAfter w:val="1"/>
          <w:wBefore w:w="15" w:type="dxa"/>
          <w:wAfter w:w="82" w:type="dxa"/>
          <w:trHeight w:val="289"/>
          <w:jc w:val="center"/>
        </w:trPr>
        <w:tc>
          <w:tcPr>
            <w:tcW w:w="9464" w:type="dxa"/>
            <w:gridSpan w:val="8"/>
            <w:shd w:val="clear" w:color="auto" w:fill="auto"/>
          </w:tcPr>
          <w:p w14:paraId="2C3A5F04" w14:textId="77777777" w:rsidR="00BF1765" w:rsidRPr="00DF5C23" w:rsidRDefault="00BF1765" w:rsidP="00BF1765">
            <w:pPr>
              <w:jc w:val="left"/>
              <w:rPr>
                <w:rFonts w:eastAsia="Calibri"/>
                <w:noProof/>
                <w:sz w:val="16"/>
                <w:szCs w:val="16"/>
              </w:rPr>
            </w:pPr>
            <w:r w:rsidRPr="00DF5C23">
              <w:rPr>
                <w:rFonts w:eastAsia="Calibri"/>
                <w:b/>
                <w:noProof/>
                <w:sz w:val="16"/>
              </w:rPr>
              <w:sym w:font="Wingdings" w:char="F09F"/>
            </w:r>
            <w:r w:rsidRPr="00DF5C23">
              <w:rPr>
                <w:rFonts w:eastAsia="Calibri"/>
                <w:b/>
                <w:noProof/>
                <w:sz w:val="16"/>
              </w:rPr>
              <w:t xml:space="preserve"> Establishment plan posts (officials and temporary staff)</w:t>
            </w:r>
          </w:p>
        </w:tc>
      </w:tr>
      <w:tr w:rsidR="005C61BF" w:rsidRPr="00DF5C23" w14:paraId="2C3A5F0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06" w14:textId="77777777" w:rsidR="005C61BF" w:rsidRPr="00DF5C23" w:rsidRDefault="005C61BF" w:rsidP="005C61BF">
            <w:pPr>
              <w:spacing w:beforeLines="20" w:before="48" w:afterLines="20" w:after="48"/>
              <w:ind w:left="134"/>
              <w:jc w:val="left"/>
              <w:rPr>
                <w:rFonts w:eastAsia="Calibri"/>
                <w:b/>
                <w:noProof/>
                <w:sz w:val="16"/>
                <w:szCs w:val="16"/>
              </w:rPr>
            </w:pPr>
            <w:r w:rsidRPr="00DF5C23">
              <w:rPr>
                <w:rFonts w:eastAsia="Calibri"/>
                <w:noProof/>
                <w:sz w:val="16"/>
              </w:rPr>
              <w:t>20 01 02 01</w:t>
            </w:r>
            <w:r w:rsidRPr="00DF5C23">
              <w:rPr>
                <w:rFonts w:ascii="Arial Narrow" w:eastAsia="Calibri" w:hAnsi="Arial Narrow"/>
                <w:noProof/>
                <w:color w:val="000000"/>
                <w:sz w:val="20"/>
                <w:szCs w:val="20"/>
              </w:rPr>
              <w:t xml:space="preserve"> </w:t>
            </w:r>
            <w:r w:rsidRPr="00DF5C23">
              <w:rPr>
                <w:rFonts w:eastAsia="Calibri"/>
                <w:noProof/>
                <w:sz w:val="16"/>
              </w:rPr>
              <w:t>(Headquarters and Commission’s Representation Offices)</w:t>
            </w:r>
          </w:p>
        </w:tc>
        <w:tc>
          <w:tcPr>
            <w:tcW w:w="731" w:type="dxa"/>
            <w:shd w:val="clear" w:color="auto" w:fill="auto"/>
            <w:vAlign w:val="bottom"/>
          </w:tcPr>
          <w:p w14:paraId="2C3A5F07" w14:textId="77777777" w:rsidR="005C61BF" w:rsidRPr="00DF5C23" w:rsidRDefault="00292785"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8</w:t>
            </w:r>
          </w:p>
        </w:tc>
        <w:tc>
          <w:tcPr>
            <w:tcW w:w="731" w:type="dxa"/>
            <w:shd w:val="clear" w:color="auto" w:fill="auto"/>
            <w:vAlign w:val="bottom"/>
          </w:tcPr>
          <w:p w14:paraId="2C3A5F08" w14:textId="77777777" w:rsidR="005C61BF" w:rsidRPr="00DF5C23" w:rsidRDefault="005C61BF"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2</w:t>
            </w:r>
            <w:r w:rsidR="00EC252F" w:rsidRPr="00DF5C23">
              <w:rPr>
                <w:rFonts w:ascii="Calibri" w:hAnsi="Calibri" w:cs="Calibri"/>
                <w:noProof/>
                <w:color w:val="000000"/>
                <w:sz w:val="22"/>
              </w:rPr>
              <w:t>8</w:t>
            </w:r>
            <w:r w:rsidRPr="00DF5C23">
              <w:rPr>
                <w:rFonts w:ascii="Calibri" w:hAnsi="Calibri" w:cs="Calibri"/>
                <w:noProof/>
                <w:color w:val="000000"/>
                <w:sz w:val="22"/>
              </w:rPr>
              <w:t>,5</w:t>
            </w:r>
          </w:p>
        </w:tc>
        <w:tc>
          <w:tcPr>
            <w:tcW w:w="731" w:type="dxa"/>
            <w:shd w:val="clear" w:color="auto" w:fill="auto"/>
            <w:vAlign w:val="bottom"/>
          </w:tcPr>
          <w:p w14:paraId="2C3A5F09" w14:textId="77777777" w:rsidR="005C61BF" w:rsidRPr="00DF5C23" w:rsidRDefault="005C61BF"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3</w:t>
            </w:r>
            <w:r w:rsidR="00EC252F" w:rsidRPr="00DF5C23">
              <w:rPr>
                <w:rFonts w:ascii="Calibri" w:hAnsi="Calibri" w:cs="Calibri"/>
                <w:noProof/>
                <w:color w:val="000000"/>
                <w:sz w:val="22"/>
              </w:rPr>
              <w:t>8</w:t>
            </w:r>
          </w:p>
        </w:tc>
        <w:tc>
          <w:tcPr>
            <w:tcW w:w="731" w:type="dxa"/>
            <w:shd w:val="clear" w:color="auto" w:fill="auto"/>
            <w:vAlign w:val="bottom"/>
          </w:tcPr>
          <w:p w14:paraId="2C3A5F0A" w14:textId="77777777" w:rsidR="005C61BF" w:rsidRPr="00DF5C23" w:rsidRDefault="005C61BF"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4</w:t>
            </w:r>
            <w:r w:rsidR="00EC252F" w:rsidRPr="00DF5C23">
              <w:rPr>
                <w:rFonts w:ascii="Calibri" w:hAnsi="Calibri" w:cs="Calibri"/>
                <w:noProof/>
                <w:color w:val="000000"/>
                <w:sz w:val="22"/>
              </w:rPr>
              <w:t>2</w:t>
            </w:r>
          </w:p>
        </w:tc>
        <w:tc>
          <w:tcPr>
            <w:tcW w:w="731" w:type="dxa"/>
            <w:shd w:val="clear" w:color="auto" w:fill="auto"/>
            <w:vAlign w:val="bottom"/>
          </w:tcPr>
          <w:p w14:paraId="2C3A5F0B" w14:textId="77777777" w:rsidR="005C61BF" w:rsidRPr="00DF5C23" w:rsidRDefault="005C61BF"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4</w:t>
            </w:r>
            <w:r w:rsidR="00EC252F" w:rsidRPr="00DF5C23">
              <w:rPr>
                <w:rFonts w:ascii="Calibri" w:hAnsi="Calibri" w:cs="Calibri"/>
                <w:noProof/>
                <w:color w:val="000000"/>
                <w:sz w:val="22"/>
              </w:rPr>
              <w:t>4</w:t>
            </w:r>
          </w:p>
        </w:tc>
        <w:tc>
          <w:tcPr>
            <w:tcW w:w="1055" w:type="dxa"/>
            <w:shd w:val="clear" w:color="auto" w:fill="auto"/>
            <w:vAlign w:val="bottom"/>
          </w:tcPr>
          <w:p w14:paraId="2C3A5F0C" w14:textId="77777777" w:rsidR="005C61BF" w:rsidRPr="00DF5C23" w:rsidRDefault="005C61BF" w:rsidP="005C61BF">
            <w:pPr>
              <w:spacing w:beforeLines="20" w:before="48" w:afterLines="20" w:after="48"/>
              <w:jc w:val="center"/>
              <w:rPr>
                <w:rFonts w:eastAsia="Calibri"/>
                <w:noProof/>
                <w:sz w:val="16"/>
                <w:szCs w:val="16"/>
              </w:rPr>
            </w:pPr>
            <w:r w:rsidRPr="00DF5C23">
              <w:rPr>
                <w:rFonts w:ascii="Calibri" w:hAnsi="Calibri" w:cs="Calibri"/>
                <w:noProof/>
                <w:color w:val="000000"/>
                <w:sz w:val="22"/>
              </w:rPr>
              <w:t>45</w:t>
            </w:r>
          </w:p>
        </w:tc>
      </w:tr>
      <w:tr w:rsidR="00292785" w:rsidRPr="00DF5C23" w14:paraId="2C3A5F15" w14:textId="77777777" w:rsidTr="00401706">
        <w:trPr>
          <w:gridAfter w:val="1"/>
          <w:wAfter w:w="82" w:type="dxa"/>
          <w:trHeight w:val="289"/>
          <w:jc w:val="center"/>
        </w:trPr>
        <w:tc>
          <w:tcPr>
            <w:tcW w:w="4769" w:type="dxa"/>
            <w:gridSpan w:val="3"/>
            <w:shd w:val="clear" w:color="auto" w:fill="auto"/>
            <w:vAlign w:val="center"/>
          </w:tcPr>
          <w:p w14:paraId="2C3A5F0E" w14:textId="77777777" w:rsidR="00292785" w:rsidRPr="00DF5C23" w:rsidRDefault="00292785" w:rsidP="00292785">
            <w:pPr>
              <w:spacing w:beforeLines="20" w:before="48" w:afterLines="20" w:after="48"/>
              <w:ind w:left="134"/>
              <w:jc w:val="right"/>
              <w:rPr>
                <w:rFonts w:eastAsia="Calibri"/>
                <w:noProof/>
                <w:sz w:val="16"/>
                <w:szCs w:val="16"/>
              </w:rPr>
            </w:pPr>
            <w:r w:rsidRPr="00DF5C23">
              <w:rPr>
                <w:rFonts w:eastAsia="Calibri"/>
                <w:noProof/>
                <w:sz w:val="16"/>
                <w:szCs w:val="16"/>
              </w:rPr>
              <w:t>incl. DG GROW</w:t>
            </w:r>
          </w:p>
        </w:tc>
        <w:tc>
          <w:tcPr>
            <w:tcW w:w="731" w:type="dxa"/>
            <w:shd w:val="clear" w:color="auto" w:fill="auto"/>
            <w:vAlign w:val="bottom"/>
          </w:tcPr>
          <w:p w14:paraId="2C3A5F0F"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0</w:t>
            </w:r>
          </w:p>
        </w:tc>
        <w:tc>
          <w:tcPr>
            <w:tcW w:w="731" w:type="dxa"/>
            <w:shd w:val="clear" w:color="auto" w:fill="auto"/>
            <w:vAlign w:val="bottom"/>
          </w:tcPr>
          <w:p w14:paraId="2C3A5F10"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7</w:t>
            </w:r>
          </w:p>
        </w:tc>
        <w:tc>
          <w:tcPr>
            <w:tcW w:w="731" w:type="dxa"/>
            <w:shd w:val="clear" w:color="auto" w:fill="auto"/>
            <w:vAlign w:val="bottom"/>
          </w:tcPr>
          <w:p w14:paraId="2C3A5F11"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11</w:t>
            </w:r>
          </w:p>
        </w:tc>
        <w:tc>
          <w:tcPr>
            <w:tcW w:w="731" w:type="dxa"/>
            <w:shd w:val="clear" w:color="auto" w:fill="auto"/>
            <w:vAlign w:val="bottom"/>
          </w:tcPr>
          <w:p w14:paraId="2C3A5F12"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13</w:t>
            </w:r>
          </w:p>
        </w:tc>
        <w:tc>
          <w:tcPr>
            <w:tcW w:w="731" w:type="dxa"/>
            <w:shd w:val="clear" w:color="auto" w:fill="auto"/>
            <w:vAlign w:val="bottom"/>
          </w:tcPr>
          <w:p w14:paraId="2C3A5F13"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14</w:t>
            </w:r>
          </w:p>
        </w:tc>
        <w:tc>
          <w:tcPr>
            <w:tcW w:w="1055" w:type="dxa"/>
            <w:shd w:val="clear" w:color="auto" w:fill="auto"/>
            <w:vAlign w:val="bottom"/>
          </w:tcPr>
          <w:p w14:paraId="2C3A5F14"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15</w:t>
            </w:r>
          </w:p>
        </w:tc>
      </w:tr>
      <w:tr w:rsidR="00292785" w:rsidRPr="00DF5C23" w14:paraId="2C3A5F1D" w14:textId="77777777" w:rsidTr="00401706">
        <w:trPr>
          <w:gridAfter w:val="1"/>
          <w:wAfter w:w="82" w:type="dxa"/>
          <w:trHeight w:val="289"/>
          <w:jc w:val="center"/>
        </w:trPr>
        <w:tc>
          <w:tcPr>
            <w:tcW w:w="4769" w:type="dxa"/>
            <w:gridSpan w:val="3"/>
            <w:shd w:val="clear" w:color="auto" w:fill="auto"/>
            <w:vAlign w:val="center"/>
          </w:tcPr>
          <w:p w14:paraId="2C3A5F16" w14:textId="77777777" w:rsidR="00292785" w:rsidRPr="00DF5C23" w:rsidRDefault="00292785" w:rsidP="00292785">
            <w:pPr>
              <w:spacing w:beforeLines="20" w:before="48" w:afterLines="20" w:after="48"/>
              <w:ind w:left="134"/>
              <w:jc w:val="right"/>
              <w:rPr>
                <w:rFonts w:eastAsia="Calibri"/>
                <w:noProof/>
                <w:sz w:val="16"/>
                <w:szCs w:val="16"/>
              </w:rPr>
            </w:pPr>
            <w:r w:rsidRPr="00DF5C23">
              <w:rPr>
                <w:rFonts w:eastAsia="Calibri"/>
                <w:noProof/>
                <w:sz w:val="16"/>
                <w:szCs w:val="16"/>
              </w:rPr>
              <w:t>DG ENV</w:t>
            </w:r>
          </w:p>
        </w:tc>
        <w:tc>
          <w:tcPr>
            <w:tcW w:w="731" w:type="dxa"/>
            <w:shd w:val="clear" w:color="auto" w:fill="auto"/>
            <w:vAlign w:val="bottom"/>
          </w:tcPr>
          <w:p w14:paraId="2C3A5F17"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731" w:type="dxa"/>
            <w:shd w:val="clear" w:color="auto" w:fill="auto"/>
            <w:vAlign w:val="bottom"/>
          </w:tcPr>
          <w:p w14:paraId="2C3A5F18"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9</w:t>
            </w:r>
          </w:p>
        </w:tc>
        <w:tc>
          <w:tcPr>
            <w:tcW w:w="731" w:type="dxa"/>
            <w:shd w:val="clear" w:color="auto" w:fill="auto"/>
            <w:vAlign w:val="bottom"/>
          </w:tcPr>
          <w:p w14:paraId="2C3A5F19"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12</w:t>
            </w:r>
          </w:p>
        </w:tc>
        <w:tc>
          <w:tcPr>
            <w:tcW w:w="731" w:type="dxa"/>
            <w:shd w:val="clear" w:color="auto" w:fill="auto"/>
            <w:vAlign w:val="bottom"/>
          </w:tcPr>
          <w:p w14:paraId="2C3A5F1A"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14</w:t>
            </w:r>
          </w:p>
        </w:tc>
        <w:tc>
          <w:tcPr>
            <w:tcW w:w="731" w:type="dxa"/>
            <w:shd w:val="clear" w:color="auto" w:fill="auto"/>
            <w:vAlign w:val="bottom"/>
          </w:tcPr>
          <w:p w14:paraId="2C3A5F1B"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15</w:t>
            </w:r>
          </w:p>
        </w:tc>
        <w:tc>
          <w:tcPr>
            <w:tcW w:w="1055" w:type="dxa"/>
            <w:shd w:val="clear" w:color="auto" w:fill="auto"/>
            <w:vAlign w:val="bottom"/>
          </w:tcPr>
          <w:p w14:paraId="2C3A5F1C"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15</w:t>
            </w:r>
          </w:p>
        </w:tc>
      </w:tr>
      <w:tr w:rsidR="00292785" w:rsidRPr="00DF5C23" w14:paraId="2C3A5F25" w14:textId="77777777" w:rsidTr="00401706">
        <w:trPr>
          <w:gridAfter w:val="1"/>
          <w:wAfter w:w="82" w:type="dxa"/>
          <w:trHeight w:val="289"/>
          <w:jc w:val="center"/>
        </w:trPr>
        <w:tc>
          <w:tcPr>
            <w:tcW w:w="4769" w:type="dxa"/>
            <w:gridSpan w:val="3"/>
            <w:shd w:val="clear" w:color="auto" w:fill="auto"/>
            <w:vAlign w:val="center"/>
          </w:tcPr>
          <w:p w14:paraId="2C3A5F1E" w14:textId="77777777" w:rsidR="00292785" w:rsidRPr="00DF5C23" w:rsidRDefault="00292785" w:rsidP="00292785">
            <w:pPr>
              <w:spacing w:beforeLines="20" w:before="48" w:afterLines="20" w:after="48"/>
              <w:ind w:left="134"/>
              <w:jc w:val="right"/>
              <w:rPr>
                <w:rFonts w:eastAsia="Calibri"/>
                <w:noProof/>
                <w:sz w:val="16"/>
                <w:szCs w:val="16"/>
              </w:rPr>
            </w:pPr>
            <w:r w:rsidRPr="00DF5C23">
              <w:rPr>
                <w:rFonts w:eastAsia="Calibri"/>
                <w:noProof/>
                <w:sz w:val="16"/>
                <w:szCs w:val="16"/>
              </w:rPr>
              <w:t>DG ENER</w:t>
            </w:r>
          </w:p>
        </w:tc>
        <w:tc>
          <w:tcPr>
            <w:tcW w:w="731" w:type="dxa"/>
            <w:shd w:val="clear" w:color="auto" w:fill="auto"/>
            <w:vAlign w:val="bottom"/>
          </w:tcPr>
          <w:p w14:paraId="2C3A5F1F"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731" w:type="dxa"/>
            <w:shd w:val="clear" w:color="auto" w:fill="auto"/>
            <w:vAlign w:val="bottom"/>
          </w:tcPr>
          <w:p w14:paraId="2C3A5F20"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11</w:t>
            </w:r>
          </w:p>
        </w:tc>
        <w:tc>
          <w:tcPr>
            <w:tcW w:w="731" w:type="dxa"/>
            <w:shd w:val="clear" w:color="auto" w:fill="auto"/>
            <w:vAlign w:val="bottom"/>
          </w:tcPr>
          <w:p w14:paraId="2C3A5F21"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13</w:t>
            </w:r>
          </w:p>
        </w:tc>
        <w:tc>
          <w:tcPr>
            <w:tcW w:w="731" w:type="dxa"/>
            <w:shd w:val="clear" w:color="auto" w:fill="auto"/>
            <w:vAlign w:val="bottom"/>
          </w:tcPr>
          <w:p w14:paraId="2C3A5F22"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13</w:t>
            </w:r>
          </w:p>
        </w:tc>
        <w:tc>
          <w:tcPr>
            <w:tcW w:w="731" w:type="dxa"/>
            <w:shd w:val="clear" w:color="auto" w:fill="auto"/>
            <w:vAlign w:val="bottom"/>
          </w:tcPr>
          <w:p w14:paraId="2C3A5F23"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13</w:t>
            </w:r>
          </w:p>
        </w:tc>
        <w:tc>
          <w:tcPr>
            <w:tcW w:w="1055" w:type="dxa"/>
            <w:shd w:val="clear" w:color="auto" w:fill="auto"/>
            <w:vAlign w:val="bottom"/>
          </w:tcPr>
          <w:p w14:paraId="2C3A5F24"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13</w:t>
            </w:r>
          </w:p>
        </w:tc>
      </w:tr>
      <w:tr w:rsidR="00292785" w:rsidRPr="00DF5C23" w14:paraId="2C3A5F2D" w14:textId="77777777" w:rsidTr="00401706">
        <w:trPr>
          <w:gridAfter w:val="1"/>
          <w:wAfter w:w="82" w:type="dxa"/>
          <w:trHeight w:val="289"/>
          <w:jc w:val="center"/>
        </w:trPr>
        <w:tc>
          <w:tcPr>
            <w:tcW w:w="4769" w:type="dxa"/>
            <w:gridSpan w:val="3"/>
            <w:shd w:val="clear" w:color="auto" w:fill="auto"/>
            <w:vAlign w:val="center"/>
          </w:tcPr>
          <w:p w14:paraId="2C3A5F26" w14:textId="77777777" w:rsidR="00292785" w:rsidRPr="00DF5C23" w:rsidRDefault="00292785" w:rsidP="00292785">
            <w:pPr>
              <w:spacing w:beforeLines="20" w:before="48" w:afterLines="20" w:after="48"/>
              <w:ind w:left="134"/>
              <w:jc w:val="right"/>
              <w:rPr>
                <w:rFonts w:eastAsia="Calibri"/>
                <w:noProof/>
                <w:sz w:val="16"/>
                <w:szCs w:val="16"/>
              </w:rPr>
            </w:pPr>
            <w:r w:rsidRPr="00DF5C23">
              <w:rPr>
                <w:rFonts w:eastAsia="Calibri"/>
                <w:noProof/>
                <w:sz w:val="16"/>
                <w:szCs w:val="16"/>
              </w:rPr>
              <w:t>DG TAXUD</w:t>
            </w:r>
          </w:p>
        </w:tc>
        <w:tc>
          <w:tcPr>
            <w:tcW w:w="731" w:type="dxa"/>
            <w:shd w:val="clear" w:color="auto" w:fill="auto"/>
            <w:vAlign w:val="bottom"/>
          </w:tcPr>
          <w:p w14:paraId="2C3A5F27"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0</w:t>
            </w:r>
          </w:p>
        </w:tc>
        <w:tc>
          <w:tcPr>
            <w:tcW w:w="731" w:type="dxa"/>
            <w:shd w:val="clear" w:color="auto" w:fill="auto"/>
            <w:vAlign w:val="bottom"/>
          </w:tcPr>
          <w:p w14:paraId="2C3A5F28"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1,5</w:t>
            </w:r>
          </w:p>
        </w:tc>
        <w:tc>
          <w:tcPr>
            <w:tcW w:w="731" w:type="dxa"/>
            <w:shd w:val="clear" w:color="auto" w:fill="auto"/>
            <w:vAlign w:val="bottom"/>
          </w:tcPr>
          <w:p w14:paraId="2C3A5F29"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731" w:type="dxa"/>
            <w:shd w:val="clear" w:color="auto" w:fill="auto"/>
            <w:vAlign w:val="bottom"/>
          </w:tcPr>
          <w:p w14:paraId="2C3A5F2A"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731" w:type="dxa"/>
            <w:shd w:val="clear" w:color="auto" w:fill="auto"/>
            <w:vAlign w:val="bottom"/>
          </w:tcPr>
          <w:p w14:paraId="2C3A5F2B"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1055" w:type="dxa"/>
            <w:shd w:val="clear" w:color="auto" w:fill="auto"/>
            <w:vAlign w:val="bottom"/>
          </w:tcPr>
          <w:p w14:paraId="2C3A5F2C" w14:textId="77777777" w:rsidR="00292785" w:rsidRPr="00DF5C23" w:rsidRDefault="00EC252F" w:rsidP="005C61B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r>
      <w:tr w:rsidR="00BF1765" w:rsidRPr="00DF5C23" w14:paraId="2C3A5F35"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2E" w14:textId="77777777" w:rsidR="00BF1765" w:rsidRPr="00DF5C23" w:rsidRDefault="00BF1765" w:rsidP="00BF1765">
            <w:pPr>
              <w:spacing w:beforeLines="20" w:before="48" w:afterLines="20" w:after="48"/>
              <w:ind w:left="134"/>
              <w:jc w:val="left"/>
              <w:rPr>
                <w:rFonts w:eastAsia="Calibri"/>
                <w:noProof/>
                <w:sz w:val="16"/>
              </w:rPr>
            </w:pPr>
            <w:r w:rsidRPr="00DF5C23">
              <w:rPr>
                <w:rFonts w:eastAsia="Calibri"/>
                <w:noProof/>
                <w:sz w:val="16"/>
              </w:rPr>
              <w:t>20 01 02 03 (Delegations)</w:t>
            </w:r>
          </w:p>
        </w:tc>
        <w:tc>
          <w:tcPr>
            <w:tcW w:w="731" w:type="dxa"/>
            <w:shd w:val="clear" w:color="auto" w:fill="auto"/>
            <w:vAlign w:val="center"/>
          </w:tcPr>
          <w:p w14:paraId="2C3A5F2F"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0"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1"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2"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3"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34"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3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36" w14:textId="77777777" w:rsidR="00BF1765" w:rsidRPr="00DF5C23" w:rsidRDefault="00BF1765" w:rsidP="00BF1765">
            <w:pPr>
              <w:spacing w:beforeLines="20" w:before="48" w:afterLines="20" w:after="48"/>
              <w:ind w:left="134"/>
              <w:jc w:val="left"/>
              <w:rPr>
                <w:rFonts w:eastAsia="Calibri"/>
                <w:noProof/>
                <w:sz w:val="16"/>
                <w:szCs w:val="16"/>
              </w:rPr>
            </w:pPr>
            <w:r w:rsidRPr="00DF5C23">
              <w:rPr>
                <w:rFonts w:eastAsia="Calibri"/>
                <w:noProof/>
                <w:sz w:val="16"/>
              </w:rPr>
              <w:t>01 01 01 01</w:t>
            </w:r>
            <w:r w:rsidRPr="00DF5C23">
              <w:rPr>
                <w:rFonts w:ascii="Arial Narrow" w:eastAsia="Calibri" w:hAnsi="Arial Narrow"/>
                <w:noProof/>
                <w:color w:val="000000"/>
                <w:sz w:val="20"/>
                <w:szCs w:val="20"/>
              </w:rPr>
              <w:t xml:space="preserve"> </w:t>
            </w:r>
            <w:r w:rsidRPr="00DF5C23">
              <w:rPr>
                <w:rFonts w:eastAsia="Calibri"/>
                <w:noProof/>
                <w:sz w:val="16"/>
              </w:rPr>
              <w:t xml:space="preserve"> (Indirect research)</w:t>
            </w:r>
          </w:p>
        </w:tc>
        <w:tc>
          <w:tcPr>
            <w:tcW w:w="731" w:type="dxa"/>
            <w:shd w:val="clear" w:color="auto" w:fill="auto"/>
            <w:vAlign w:val="center"/>
          </w:tcPr>
          <w:p w14:paraId="2C3A5F37"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8"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9"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A"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3B"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3C"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45"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3E" w14:textId="77777777" w:rsidR="00BF1765" w:rsidRPr="00DF5C23" w:rsidRDefault="00BF1765" w:rsidP="00BF1765">
            <w:pPr>
              <w:spacing w:beforeLines="20" w:before="48" w:afterLines="20" w:after="48"/>
              <w:ind w:left="134"/>
              <w:jc w:val="left"/>
              <w:rPr>
                <w:rFonts w:eastAsia="Calibri"/>
                <w:noProof/>
                <w:sz w:val="16"/>
                <w:szCs w:val="16"/>
              </w:rPr>
            </w:pPr>
            <w:r w:rsidRPr="00DF5C23">
              <w:rPr>
                <w:rFonts w:eastAsia="Calibri"/>
                <w:noProof/>
                <w:sz w:val="16"/>
              </w:rPr>
              <w:t xml:space="preserve"> 01 01 01 11 (Direct research)</w:t>
            </w:r>
          </w:p>
        </w:tc>
        <w:tc>
          <w:tcPr>
            <w:tcW w:w="731" w:type="dxa"/>
            <w:shd w:val="clear" w:color="auto" w:fill="auto"/>
            <w:vAlign w:val="center"/>
          </w:tcPr>
          <w:p w14:paraId="2C3A5F3F"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0"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1"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2"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3"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44"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4D"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46" w14:textId="77777777" w:rsidR="00BF1765" w:rsidRPr="00DF5C23" w:rsidRDefault="00BF1765" w:rsidP="00BF1765">
            <w:pPr>
              <w:spacing w:beforeLines="20" w:before="48" w:afterLines="20" w:after="48"/>
              <w:ind w:left="134"/>
              <w:jc w:val="left"/>
              <w:rPr>
                <w:rFonts w:eastAsia="Calibri"/>
                <w:noProof/>
                <w:sz w:val="16"/>
              </w:rPr>
            </w:pPr>
            <w:r w:rsidRPr="00DF5C23">
              <w:rPr>
                <w:rFonts w:eastAsia="Calibri"/>
                <w:noProof/>
                <w:sz w:val="16"/>
              </w:rPr>
              <w:t>Other budget lines (specify)</w:t>
            </w:r>
          </w:p>
        </w:tc>
        <w:tc>
          <w:tcPr>
            <w:tcW w:w="731" w:type="dxa"/>
            <w:shd w:val="clear" w:color="auto" w:fill="auto"/>
            <w:vAlign w:val="center"/>
          </w:tcPr>
          <w:p w14:paraId="2C3A5F47"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8"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9"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A"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4B"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4C"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50" w14:textId="77777777" w:rsidTr="00401706">
        <w:trPr>
          <w:gridAfter w:val="1"/>
          <w:wAfter w:w="82" w:type="dxa"/>
          <w:trHeight w:val="248"/>
          <w:jc w:val="center"/>
        </w:trPr>
        <w:tc>
          <w:tcPr>
            <w:tcW w:w="9479" w:type="dxa"/>
            <w:gridSpan w:val="9"/>
            <w:shd w:val="clear" w:color="auto" w:fill="auto"/>
            <w:vAlign w:val="center"/>
          </w:tcPr>
          <w:p w14:paraId="2C3A5F4E" w14:textId="77777777" w:rsidR="00BF1765" w:rsidRPr="00DF5C23" w:rsidRDefault="00BF1765" w:rsidP="00BF1765">
            <w:pPr>
              <w:spacing w:before="60" w:after="60"/>
              <w:jc w:val="left"/>
              <w:rPr>
                <w:rFonts w:eastAsia="Calibri"/>
                <w:b/>
                <w:noProof/>
                <w:sz w:val="16"/>
                <w:szCs w:val="16"/>
              </w:rPr>
            </w:pPr>
            <w:r w:rsidRPr="00DF5C23">
              <w:rPr>
                <w:rFonts w:eastAsia="Calibri"/>
                <w:b/>
                <w:noProof/>
                <w:sz w:val="16"/>
              </w:rPr>
              <w:sym w:font="Wingdings" w:char="F09F"/>
            </w:r>
            <w:r w:rsidRPr="00DF5C23">
              <w:rPr>
                <w:rFonts w:eastAsia="Calibri"/>
                <w:b/>
                <w:bCs/>
                <w:noProof/>
                <w:sz w:val="16"/>
                <w:szCs w:val="16"/>
              </w:rPr>
              <w:t xml:space="preserve"> External staff (in Full Time Equivalent unit: FTE)</w:t>
            </w:r>
            <w:r w:rsidR="008B78E1" w:rsidRPr="00DF5C23">
              <w:rPr>
                <w:rStyle w:val="FootnoteReference0"/>
                <w:rFonts w:eastAsia="Calibri"/>
                <w:b/>
                <w:bCs/>
                <w:noProof/>
                <w:sz w:val="16"/>
                <w:szCs w:val="16"/>
              </w:rPr>
              <w:footnoteReference w:id="104"/>
            </w:r>
            <w:r w:rsidR="008B78E1" w:rsidRPr="00DF5C23">
              <w:rPr>
                <w:rStyle w:val="CommentReference"/>
                <w:rFonts w:eastAsia="Times New Roman"/>
                <w:noProof/>
                <w:lang w:eastAsia="en-GB"/>
              </w:rPr>
              <w:t xml:space="preserve"> </w:t>
            </w:r>
            <w:r w:rsidR="004C3D41" w:rsidRPr="00DF5C23">
              <w:rPr>
                <w:rFonts w:eastAsia="Calibri"/>
                <w:b/>
                <w:bCs/>
                <w:noProof/>
                <w:sz w:val="16"/>
                <w:szCs w:val="16"/>
              </w:rPr>
              <w:t xml:space="preserve"> </w:t>
            </w:r>
          </w:p>
          <w:p w14:paraId="2C3A5F4F" w14:textId="77777777" w:rsidR="00BF1765" w:rsidRPr="00DF5C23" w:rsidRDefault="00BF1765" w:rsidP="00BF1765">
            <w:pPr>
              <w:spacing w:before="0" w:after="0"/>
              <w:jc w:val="left"/>
              <w:rPr>
                <w:rFonts w:eastAsia="Calibri"/>
                <w:noProof/>
                <w:sz w:val="16"/>
                <w:szCs w:val="16"/>
              </w:rPr>
            </w:pPr>
          </w:p>
        </w:tc>
      </w:tr>
      <w:tr w:rsidR="005C61BF" w:rsidRPr="00DF5C23" w14:paraId="2C3A5F58"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51" w14:textId="77777777" w:rsidR="005C61BF" w:rsidRPr="00DF5C23" w:rsidRDefault="005C61BF" w:rsidP="005C61BF">
            <w:pPr>
              <w:spacing w:beforeLines="20" w:before="48" w:afterLines="20" w:after="48"/>
              <w:ind w:left="136"/>
              <w:jc w:val="left"/>
              <w:rPr>
                <w:rFonts w:eastAsia="Calibri"/>
                <w:b/>
                <w:noProof/>
                <w:sz w:val="16"/>
                <w:szCs w:val="16"/>
              </w:rPr>
            </w:pPr>
            <w:r w:rsidRPr="00DF5C23">
              <w:rPr>
                <w:rFonts w:eastAsia="Calibri"/>
                <w:noProof/>
                <w:sz w:val="16"/>
              </w:rPr>
              <w:t>20 02 01</w:t>
            </w:r>
            <w:r w:rsidRPr="00DF5C23">
              <w:rPr>
                <w:rFonts w:ascii="Arial Narrow" w:eastAsia="Calibri" w:hAnsi="Arial Narrow"/>
                <w:noProof/>
                <w:color w:val="000000"/>
                <w:sz w:val="20"/>
                <w:szCs w:val="20"/>
              </w:rPr>
              <w:t xml:space="preserve"> </w:t>
            </w:r>
            <w:r w:rsidRPr="00DF5C23">
              <w:rPr>
                <w:rFonts w:eastAsia="Calibri"/>
                <w:noProof/>
                <w:sz w:val="16"/>
              </w:rPr>
              <w:t>(AC, END, INT from the ‘global envelope’)</w:t>
            </w:r>
          </w:p>
        </w:tc>
        <w:tc>
          <w:tcPr>
            <w:tcW w:w="731" w:type="dxa"/>
            <w:shd w:val="clear" w:color="auto" w:fill="auto"/>
            <w:vAlign w:val="bottom"/>
          </w:tcPr>
          <w:p w14:paraId="2C3A5F52" w14:textId="77777777" w:rsidR="005C61BF" w:rsidRPr="00DF5C23" w:rsidRDefault="00292785"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6</w:t>
            </w:r>
          </w:p>
        </w:tc>
        <w:tc>
          <w:tcPr>
            <w:tcW w:w="731" w:type="dxa"/>
            <w:shd w:val="clear" w:color="auto" w:fill="auto"/>
            <w:vAlign w:val="bottom"/>
          </w:tcPr>
          <w:p w14:paraId="2C3A5F53" w14:textId="77777777" w:rsidR="005C61BF" w:rsidRPr="00DF5C23" w:rsidRDefault="005C61BF"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1</w:t>
            </w:r>
            <w:r w:rsidR="00EC252F" w:rsidRPr="00DF5C23">
              <w:rPr>
                <w:rFonts w:ascii="Calibri" w:hAnsi="Calibri" w:cs="Calibri"/>
                <w:noProof/>
                <w:color w:val="000000"/>
                <w:sz w:val="22"/>
              </w:rPr>
              <w:t>5</w:t>
            </w:r>
            <w:r w:rsidRPr="00DF5C23">
              <w:rPr>
                <w:rFonts w:ascii="Calibri" w:hAnsi="Calibri" w:cs="Calibri"/>
                <w:noProof/>
                <w:color w:val="000000"/>
                <w:sz w:val="22"/>
              </w:rPr>
              <w:t>,5</w:t>
            </w:r>
          </w:p>
        </w:tc>
        <w:tc>
          <w:tcPr>
            <w:tcW w:w="731" w:type="dxa"/>
            <w:shd w:val="clear" w:color="auto" w:fill="auto"/>
            <w:vAlign w:val="bottom"/>
          </w:tcPr>
          <w:p w14:paraId="2C3A5F54" w14:textId="77777777" w:rsidR="005C61BF" w:rsidRPr="00DF5C23" w:rsidRDefault="005C61BF"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1</w:t>
            </w:r>
            <w:r w:rsidR="00EC252F" w:rsidRPr="00DF5C23">
              <w:rPr>
                <w:rFonts w:ascii="Calibri" w:hAnsi="Calibri" w:cs="Calibri"/>
                <w:noProof/>
                <w:color w:val="000000"/>
                <w:sz w:val="22"/>
              </w:rPr>
              <w:t>3</w:t>
            </w:r>
            <w:r w:rsidRPr="00DF5C23">
              <w:rPr>
                <w:rFonts w:ascii="Calibri" w:hAnsi="Calibri" w:cs="Calibri"/>
                <w:noProof/>
                <w:color w:val="000000"/>
                <w:sz w:val="22"/>
              </w:rPr>
              <w:t>,0</w:t>
            </w:r>
          </w:p>
        </w:tc>
        <w:tc>
          <w:tcPr>
            <w:tcW w:w="731" w:type="dxa"/>
            <w:shd w:val="clear" w:color="auto" w:fill="auto"/>
            <w:vAlign w:val="bottom"/>
          </w:tcPr>
          <w:p w14:paraId="2C3A5F55" w14:textId="77777777" w:rsidR="005C61BF" w:rsidRPr="00DF5C23" w:rsidRDefault="00EC252F"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9</w:t>
            </w:r>
            <w:r w:rsidR="005C61BF" w:rsidRPr="00DF5C23">
              <w:rPr>
                <w:rFonts w:ascii="Calibri" w:hAnsi="Calibri" w:cs="Calibri"/>
                <w:noProof/>
                <w:color w:val="000000"/>
                <w:sz w:val="22"/>
              </w:rPr>
              <w:t>,0</w:t>
            </w:r>
          </w:p>
        </w:tc>
        <w:tc>
          <w:tcPr>
            <w:tcW w:w="731" w:type="dxa"/>
            <w:shd w:val="clear" w:color="auto" w:fill="auto"/>
            <w:vAlign w:val="bottom"/>
          </w:tcPr>
          <w:p w14:paraId="2C3A5F56" w14:textId="77777777" w:rsidR="005C61BF" w:rsidRPr="00DF5C23" w:rsidRDefault="00EC252F"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8</w:t>
            </w:r>
            <w:r w:rsidR="005C61BF" w:rsidRPr="00DF5C23">
              <w:rPr>
                <w:rFonts w:ascii="Calibri" w:hAnsi="Calibri" w:cs="Calibri"/>
                <w:noProof/>
                <w:color w:val="000000"/>
                <w:sz w:val="22"/>
              </w:rPr>
              <w:t>,0</w:t>
            </w:r>
          </w:p>
        </w:tc>
        <w:tc>
          <w:tcPr>
            <w:tcW w:w="1055" w:type="dxa"/>
            <w:shd w:val="clear" w:color="auto" w:fill="auto"/>
            <w:vAlign w:val="bottom"/>
          </w:tcPr>
          <w:p w14:paraId="2C3A5F57" w14:textId="77777777" w:rsidR="005C61BF" w:rsidRPr="00DF5C23" w:rsidRDefault="005C61BF" w:rsidP="005C61BF">
            <w:pPr>
              <w:spacing w:beforeLines="20" w:before="48" w:afterLines="20" w:after="48"/>
              <w:jc w:val="center"/>
              <w:rPr>
                <w:rFonts w:ascii="Calibri" w:eastAsia="Calibri" w:hAnsi="Calibri" w:cs="Calibri"/>
                <w:noProof/>
                <w:color w:val="000000"/>
                <w:sz w:val="22"/>
              </w:rPr>
            </w:pPr>
            <w:r w:rsidRPr="00DF5C23">
              <w:rPr>
                <w:rFonts w:ascii="Calibri" w:hAnsi="Calibri" w:cs="Calibri"/>
                <w:noProof/>
                <w:color w:val="000000"/>
                <w:sz w:val="22"/>
              </w:rPr>
              <w:t>9,0</w:t>
            </w:r>
          </w:p>
        </w:tc>
      </w:tr>
      <w:tr w:rsidR="00EC252F" w:rsidRPr="00DF5C23" w14:paraId="2C3A5F60" w14:textId="77777777" w:rsidTr="00401706">
        <w:trPr>
          <w:gridAfter w:val="1"/>
          <w:wAfter w:w="82" w:type="dxa"/>
          <w:trHeight w:val="289"/>
          <w:jc w:val="center"/>
        </w:trPr>
        <w:tc>
          <w:tcPr>
            <w:tcW w:w="4769" w:type="dxa"/>
            <w:gridSpan w:val="3"/>
            <w:shd w:val="clear" w:color="auto" w:fill="auto"/>
            <w:vAlign w:val="center"/>
          </w:tcPr>
          <w:p w14:paraId="2C3A5F59" w14:textId="77777777" w:rsidR="00EC252F" w:rsidRPr="00DF5C23" w:rsidRDefault="00EC252F" w:rsidP="00EC252F">
            <w:pPr>
              <w:spacing w:beforeLines="20" w:before="48" w:afterLines="20" w:after="48"/>
              <w:ind w:left="136"/>
              <w:jc w:val="right"/>
              <w:rPr>
                <w:rFonts w:eastAsia="Calibri"/>
                <w:noProof/>
                <w:sz w:val="16"/>
                <w:szCs w:val="16"/>
              </w:rPr>
            </w:pPr>
            <w:r w:rsidRPr="00DF5C23">
              <w:rPr>
                <w:rFonts w:eastAsia="Calibri"/>
                <w:noProof/>
                <w:sz w:val="16"/>
                <w:szCs w:val="16"/>
              </w:rPr>
              <w:t>incl. DG GROW</w:t>
            </w:r>
          </w:p>
        </w:tc>
        <w:tc>
          <w:tcPr>
            <w:tcW w:w="731" w:type="dxa"/>
            <w:shd w:val="clear" w:color="auto" w:fill="auto"/>
            <w:vAlign w:val="bottom"/>
          </w:tcPr>
          <w:p w14:paraId="2C3A5F5A"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4,5</w:t>
            </w:r>
          </w:p>
        </w:tc>
        <w:tc>
          <w:tcPr>
            <w:tcW w:w="731" w:type="dxa"/>
            <w:shd w:val="clear" w:color="auto" w:fill="auto"/>
            <w:vAlign w:val="bottom"/>
          </w:tcPr>
          <w:p w14:paraId="2C3A5F5B"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7,5</w:t>
            </w:r>
          </w:p>
        </w:tc>
        <w:tc>
          <w:tcPr>
            <w:tcW w:w="731" w:type="dxa"/>
            <w:shd w:val="clear" w:color="auto" w:fill="auto"/>
            <w:vAlign w:val="bottom"/>
          </w:tcPr>
          <w:p w14:paraId="2C3A5F5C"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7</w:t>
            </w:r>
          </w:p>
        </w:tc>
        <w:tc>
          <w:tcPr>
            <w:tcW w:w="731" w:type="dxa"/>
            <w:shd w:val="clear" w:color="auto" w:fill="auto"/>
            <w:vAlign w:val="bottom"/>
          </w:tcPr>
          <w:p w14:paraId="2C3A5F5D"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5</w:t>
            </w:r>
          </w:p>
        </w:tc>
        <w:tc>
          <w:tcPr>
            <w:tcW w:w="731" w:type="dxa"/>
            <w:shd w:val="clear" w:color="auto" w:fill="auto"/>
            <w:vAlign w:val="bottom"/>
          </w:tcPr>
          <w:p w14:paraId="2C3A5F5E"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1055" w:type="dxa"/>
            <w:shd w:val="clear" w:color="auto" w:fill="auto"/>
            <w:vAlign w:val="bottom"/>
          </w:tcPr>
          <w:p w14:paraId="2C3A5F5F"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3,5</w:t>
            </w:r>
          </w:p>
        </w:tc>
      </w:tr>
      <w:tr w:rsidR="00EC252F" w:rsidRPr="00DF5C23" w14:paraId="2C3A5F68" w14:textId="77777777" w:rsidTr="00401706">
        <w:trPr>
          <w:gridAfter w:val="1"/>
          <w:wAfter w:w="82" w:type="dxa"/>
          <w:trHeight w:val="289"/>
          <w:jc w:val="center"/>
        </w:trPr>
        <w:tc>
          <w:tcPr>
            <w:tcW w:w="4769" w:type="dxa"/>
            <w:gridSpan w:val="3"/>
            <w:shd w:val="clear" w:color="auto" w:fill="auto"/>
            <w:vAlign w:val="center"/>
          </w:tcPr>
          <w:p w14:paraId="2C3A5F61" w14:textId="77777777" w:rsidR="00EC252F" w:rsidRPr="00DF5C23" w:rsidRDefault="00EC252F" w:rsidP="00EC252F">
            <w:pPr>
              <w:spacing w:beforeLines="20" w:before="48" w:afterLines="20" w:after="48"/>
              <w:ind w:left="136"/>
              <w:jc w:val="right"/>
              <w:rPr>
                <w:rFonts w:eastAsia="Calibri"/>
                <w:noProof/>
                <w:sz w:val="16"/>
                <w:szCs w:val="16"/>
              </w:rPr>
            </w:pPr>
            <w:r w:rsidRPr="00DF5C23">
              <w:rPr>
                <w:rFonts w:eastAsia="Calibri"/>
                <w:noProof/>
                <w:sz w:val="16"/>
                <w:szCs w:val="16"/>
              </w:rPr>
              <w:t>DG ENV</w:t>
            </w:r>
          </w:p>
        </w:tc>
        <w:tc>
          <w:tcPr>
            <w:tcW w:w="731" w:type="dxa"/>
            <w:shd w:val="clear" w:color="auto" w:fill="auto"/>
            <w:vAlign w:val="bottom"/>
          </w:tcPr>
          <w:p w14:paraId="2C3A5F62"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0,5</w:t>
            </w:r>
          </w:p>
        </w:tc>
        <w:tc>
          <w:tcPr>
            <w:tcW w:w="731" w:type="dxa"/>
            <w:shd w:val="clear" w:color="auto" w:fill="auto"/>
            <w:vAlign w:val="bottom"/>
          </w:tcPr>
          <w:p w14:paraId="2C3A5F63"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731" w:type="dxa"/>
            <w:shd w:val="clear" w:color="auto" w:fill="auto"/>
            <w:vAlign w:val="bottom"/>
          </w:tcPr>
          <w:p w14:paraId="2C3A5F64"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731" w:type="dxa"/>
            <w:shd w:val="clear" w:color="auto" w:fill="auto"/>
            <w:vAlign w:val="bottom"/>
          </w:tcPr>
          <w:p w14:paraId="2C3A5F65"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731" w:type="dxa"/>
            <w:shd w:val="clear" w:color="auto" w:fill="auto"/>
            <w:vAlign w:val="bottom"/>
          </w:tcPr>
          <w:p w14:paraId="2C3A5F66"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1055" w:type="dxa"/>
            <w:shd w:val="clear" w:color="auto" w:fill="auto"/>
            <w:vAlign w:val="bottom"/>
          </w:tcPr>
          <w:p w14:paraId="2C3A5F67"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3,5</w:t>
            </w:r>
          </w:p>
        </w:tc>
      </w:tr>
      <w:tr w:rsidR="00EC252F" w:rsidRPr="00DF5C23" w14:paraId="2C3A5F70" w14:textId="77777777" w:rsidTr="00401706">
        <w:trPr>
          <w:gridAfter w:val="1"/>
          <w:wAfter w:w="82" w:type="dxa"/>
          <w:trHeight w:val="289"/>
          <w:jc w:val="center"/>
        </w:trPr>
        <w:tc>
          <w:tcPr>
            <w:tcW w:w="4769" w:type="dxa"/>
            <w:gridSpan w:val="3"/>
            <w:shd w:val="clear" w:color="auto" w:fill="auto"/>
            <w:vAlign w:val="center"/>
          </w:tcPr>
          <w:p w14:paraId="2C3A5F69" w14:textId="77777777" w:rsidR="00EC252F" w:rsidRPr="00DF5C23" w:rsidRDefault="00EC252F" w:rsidP="00EC252F">
            <w:pPr>
              <w:spacing w:beforeLines="20" w:before="48" w:afterLines="20" w:after="48"/>
              <w:ind w:left="136"/>
              <w:jc w:val="right"/>
              <w:rPr>
                <w:rFonts w:eastAsia="Calibri"/>
                <w:noProof/>
                <w:sz w:val="16"/>
                <w:szCs w:val="16"/>
              </w:rPr>
            </w:pPr>
            <w:r w:rsidRPr="00DF5C23">
              <w:rPr>
                <w:rFonts w:eastAsia="Calibri"/>
                <w:noProof/>
                <w:sz w:val="16"/>
                <w:szCs w:val="16"/>
              </w:rPr>
              <w:t>DG ENER</w:t>
            </w:r>
          </w:p>
        </w:tc>
        <w:tc>
          <w:tcPr>
            <w:tcW w:w="731" w:type="dxa"/>
            <w:shd w:val="clear" w:color="auto" w:fill="auto"/>
            <w:vAlign w:val="bottom"/>
          </w:tcPr>
          <w:p w14:paraId="2C3A5F6A"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1</w:t>
            </w:r>
          </w:p>
        </w:tc>
        <w:tc>
          <w:tcPr>
            <w:tcW w:w="731" w:type="dxa"/>
            <w:shd w:val="clear" w:color="auto" w:fill="auto"/>
            <w:vAlign w:val="bottom"/>
          </w:tcPr>
          <w:p w14:paraId="2C3A5F6B"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4</w:t>
            </w:r>
          </w:p>
        </w:tc>
        <w:tc>
          <w:tcPr>
            <w:tcW w:w="731" w:type="dxa"/>
            <w:shd w:val="clear" w:color="auto" w:fill="auto"/>
            <w:vAlign w:val="bottom"/>
          </w:tcPr>
          <w:p w14:paraId="2C3A5F6C"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731" w:type="dxa"/>
            <w:shd w:val="clear" w:color="auto" w:fill="auto"/>
            <w:vAlign w:val="bottom"/>
          </w:tcPr>
          <w:p w14:paraId="2C3A5F6D"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731" w:type="dxa"/>
            <w:shd w:val="clear" w:color="auto" w:fill="auto"/>
            <w:vAlign w:val="bottom"/>
          </w:tcPr>
          <w:p w14:paraId="2C3A5F6E"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c>
          <w:tcPr>
            <w:tcW w:w="1055" w:type="dxa"/>
            <w:shd w:val="clear" w:color="auto" w:fill="auto"/>
            <w:vAlign w:val="bottom"/>
          </w:tcPr>
          <w:p w14:paraId="2C3A5F6F" w14:textId="77777777" w:rsidR="00EC252F" w:rsidRPr="00DF5C23" w:rsidRDefault="00EC252F" w:rsidP="00EC252F">
            <w:pPr>
              <w:spacing w:beforeLines="20" w:before="48" w:afterLines="20" w:after="48"/>
              <w:jc w:val="center"/>
              <w:rPr>
                <w:rFonts w:ascii="Calibri" w:hAnsi="Calibri" w:cs="Calibri"/>
                <w:noProof/>
                <w:color w:val="000000"/>
                <w:sz w:val="22"/>
              </w:rPr>
            </w:pPr>
            <w:r w:rsidRPr="00DF5C23">
              <w:rPr>
                <w:rFonts w:ascii="Calibri" w:hAnsi="Calibri" w:cs="Calibri"/>
                <w:noProof/>
                <w:color w:val="000000"/>
                <w:sz w:val="22"/>
              </w:rPr>
              <w:t>2</w:t>
            </w:r>
          </w:p>
        </w:tc>
      </w:tr>
      <w:tr w:rsidR="00BF1765" w:rsidRPr="00DF5C23" w14:paraId="2C3A5F78"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71" w14:textId="77777777" w:rsidR="00BF1765" w:rsidRPr="00DF5C23" w:rsidRDefault="00BF1765" w:rsidP="00BF1765">
            <w:pPr>
              <w:spacing w:beforeLines="20" w:before="48" w:afterLines="20" w:after="48"/>
              <w:ind w:left="136"/>
              <w:jc w:val="left"/>
              <w:rPr>
                <w:rFonts w:eastAsia="Calibri"/>
                <w:noProof/>
                <w:sz w:val="16"/>
              </w:rPr>
            </w:pPr>
            <w:r w:rsidRPr="00DF5C23">
              <w:rPr>
                <w:rFonts w:eastAsia="Calibri"/>
                <w:noProof/>
                <w:sz w:val="16"/>
              </w:rPr>
              <w:t>20 02 03 (AC, AL, END, INT and JPD in the delegations)</w:t>
            </w:r>
          </w:p>
        </w:tc>
        <w:tc>
          <w:tcPr>
            <w:tcW w:w="731" w:type="dxa"/>
            <w:shd w:val="clear" w:color="auto" w:fill="auto"/>
            <w:vAlign w:val="center"/>
          </w:tcPr>
          <w:p w14:paraId="2C3A5F72"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3"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4"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5"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6"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77"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83" w14:textId="77777777" w:rsidTr="00EC0E40">
        <w:trPr>
          <w:gridBefore w:val="1"/>
          <w:wBefore w:w="15" w:type="dxa"/>
          <w:trHeight w:val="289"/>
          <w:jc w:val="center"/>
        </w:trPr>
        <w:tc>
          <w:tcPr>
            <w:tcW w:w="2376" w:type="dxa"/>
            <w:vMerge w:val="restart"/>
            <w:shd w:val="clear" w:color="auto" w:fill="auto"/>
            <w:vAlign w:val="center"/>
          </w:tcPr>
          <w:p w14:paraId="2C3A5F79" w14:textId="77777777" w:rsidR="00BF1765" w:rsidRPr="00DF5C23" w:rsidRDefault="00BF1765" w:rsidP="00BF1765">
            <w:pPr>
              <w:spacing w:beforeLines="20" w:before="48" w:afterLines="20" w:after="48"/>
              <w:ind w:left="136"/>
              <w:jc w:val="left"/>
              <w:rPr>
                <w:rFonts w:eastAsia="Calibri"/>
                <w:b/>
                <w:noProof/>
                <w:sz w:val="16"/>
                <w:szCs w:val="16"/>
              </w:rPr>
            </w:pPr>
            <w:r w:rsidRPr="00DF5C23">
              <w:rPr>
                <w:rFonts w:eastAsia="Calibri"/>
                <w:b/>
                <w:bCs/>
                <w:noProof/>
                <w:sz w:val="16"/>
                <w:szCs w:val="16"/>
              </w:rPr>
              <w:t>XX</w:t>
            </w:r>
            <w:r w:rsidRPr="00DF5C23">
              <w:rPr>
                <w:rFonts w:eastAsia="Calibri"/>
                <w:noProof/>
                <w:sz w:val="16"/>
                <w:szCs w:val="16"/>
              </w:rPr>
              <w:t xml:space="preserve"> 01  xx </w:t>
            </w:r>
            <w:r w:rsidRPr="00DF5C23">
              <w:rPr>
                <w:rFonts w:eastAsia="Calibri"/>
                <w:b/>
                <w:bCs/>
                <w:noProof/>
                <w:sz w:val="16"/>
                <w:szCs w:val="16"/>
              </w:rPr>
              <w:t xml:space="preserve">yy zz </w:t>
            </w:r>
            <w:r w:rsidRPr="00DF5C23">
              <w:rPr>
                <w:rFonts w:eastAsia="Calibri"/>
                <w:b/>
                <w:bCs/>
                <w:i/>
                <w:iCs/>
                <w:noProof/>
                <w:sz w:val="16"/>
                <w:szCs w:val="16"/>
              </w:rPr>
              <w:t xml:space="preserve"> </w:t>
            </w:r>
            <w:r w:rsidR="004C3D41" w:rsidRPr="00DF5C23">
              <w:rPr>
                <w:rStyle w:val="FootnoteReference0"/>
                <w:rFonts w:eastAsia="Calibri"/>
                <w:b/>
                <w:bCs/>
                <w:i/>
                <w:iCs/>
                <w:noProof/>
                <w:sz w:val="16"/>
                <w:szCs w:val="16"/>
              </w:rPr>
              <w:footnoteReference w:id="105"/>
            </w:r>
          </w:p>
          <w:p w14:paraId="2C3A5F7A" w14:textId="77777777" w:rsidR="00BF1765" w:rsidRPr="00DF5C23" w:rsidRDefault="00BF1765" w:rsidP="00BF1765">
            <w:pPr>
              <w:spacing w:beforeLines="20" w:before="48" w:afterLines="20" w:after="48"/>
              <w:ind w:left="136"/>
              <w:jc w:val="left"/>
              <w:rPr>
                <w:rFonts w:eastAsia="Calibri"/>
                <w:b/>
                <w:noProof/>
                <w:sz w:val="16"/>
                <w:szCs w:val="16"/>
              </w:rPr>
            </w:pPr>
          </w:p>
        </w:tc>
        <w:tc>
          <w:tcPr>
            <w:tcW w:w="2378" w:type="dxa"/>
            <w:shd w:val="clear" w:color="auto" w:fill="auto"/>
            <w:vAlign w:val="center"/>
          </w:tcPr>
          <w:p w14:paraId="2C3A5F7B" w14:textId="77777777" w:rsidR="00BF1765" w:rsidRPr="00DF5C23" w:rsidRDefault="00BF1765" w:rsidP="00BF1765">
            <w:pPr>
              <w:spacing w:beforeLines="20" w:before="48" w:afterLines="20" w:after="48"/>
              <w:ind w:left="136"/>
              <w:jc w:val="left"/>
              <w:rPr>
                <w:rFonts w:eastAsia="Calibri"/>
                <w:b/>
                <w:noProof/>
                <w:sz w:val="16"/>
                <w:szCs w:val="16"/>
              </w:rPr>
            </w:pPr>
            <w:r w:rsidRPr="00DF5C23">
              <w:rPr>
                <w:rFonts w:eastAsia="Calibri"/>
                <w:noProof/>
                <w:sz w:val="16"/>
              </w:rPr>
              <w:t>- at Headquarters</w:t>
            </w:r>
          </w:p>
          <w:p w14:paraId="2C3A5F7C" w14:textId="77777777" w:rsidR="00BF1765" w:rsidRPr="00DF5C23" w:rsidRDefault="00BF1765" w:rsidP="00BF1765">
            <w:pPr>
              <w:spacing w:beforeLines="20" w:before="48" w:afterLines="20" w:after="48"/>
              <w:ind w:left="136"/>
              <w:jc w:val="left"/>
              <w:rPr>
                <w:rFonts w:eastAsia="Calibri"/>
                <w:b/>
                <w:noProof/>
                <w:sz w:val="16"/>
                <w:szCs w:val="16"/>
              </w:rPr>
            </w:pPr>
          </w:p>
        </w:tc>
        <w:tc>
          <w:tcPr>
            <w:tcW w:w="731" w:type="dxa"/>
            <w:shd w:val="clear" w:color="auto" w:fill="auto"/>
            <w:vAlign w:val="center"/>
          </w:tcPr>
          <w:p w14:paraId="2C3A5F7D" w14:textId="77777777" w:rsidR="00BF1765" w:rsidRPr="00DF5C23" w:rsidRDefault="00BF1765" w:rsidP="00BF1765">
            <w:pPr>
              <w:spacing w:beforeLines="20" w:before="48" w:afterLines="20" w:after="48"/>
              <w:rPr>
                <w:rFonts w:eastAsia="Calibri"/>
                <w:noProof/>
                <w:sz w:val="16"/>
                <w:szCs w:val="16"/>
              </w:rPr>
            </w:pPr>
          </w:p>
        </w:tc>
        <w:tc>
          <w:tcPr>
            <w:tcW w:w="731" w:type="dxa"/>
            <w:shd w:val="clear" w:color="auto" w:fill="auto"/>
            <w:vAlign w:val="center"/>
          </w:tcPr>
          <w:p w14:paraId="2C3A5F7E"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7F"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0"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1" w14:textId="77777777" w:rsidR="00BF1765" w:rsidRPr="00DF5C23" w:rsidRDefault="00BF1765" w:rsidP="00BF1765">
            <w:pPr>
              <w:spacing w:beforeLines="20" w:before="48" w:afterLines="20" w:after="48"/>
              <w:jc w:val="center"/>
              <w:rPr>
                <w:rFonts w:eastAsia="Calibri"/>
                <w:noProof/>
                <w:sz w:val="16"/>
                <w:szCs w:val="16"/>
              </w:rPr>
            </w:pPr>
          </w:p>
        </w:tc>
        <w:tc>
          <w:tcPr>
            <w:tcW w:w="1137" w:type="dxa"/>
            <w:gridSpan w:val="2"/>
            <w:shd w:val="clear" w:color="auto" w:fill="auto"/>
            <w:vAlign w:val="center"/>
          </w:tcPr>
          <w:p w14:paraId="2C3A5F82"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8C" w14:textId="77777777" w:rsidTr="00EC0E40">
        <w:trPr>
          <w:gridBefore w:val="1"/>
          <w:wBefore w:w="15" w:type="dxa"/>
          <w:trHeight w:val="289"/>
          <w:jc w:val="center"/>
        </w:trPr>
        <w:tc>
          <w:tcPr>
            <w:tcW w:w="2376" w:type="dxa"/>
            <w:vMerge/>
            <w:shd w:val="clear" w:color="auto" w:fill="auto"/>
            <w:vAlign w:val="center"/>
          </w:tcPr>
          <w:p w14:paraId="2C3A5F84" w14:textId="77777777" w:rsidR="00BF1765" w:rsidRPr="00DF5C23" w:rsidRDefault="00BF1765" w:rsidP="00BF1765">
            <w:pPr>
              <w:spacing w:beforeLines="20" w:before="48" w:afterLines="20" w:after="48"/>
              <w:ind w:left="136"/>
              <w:jc w:val="left"/>
              <w:rPr>
                <w:rFonts w:eastAsia="Calibri"/>
                <w:b/>
                <w:noProof/>
                <w:sz w:val="16"/>
                <w:szCs w:val="16"/>
              </w:rPr>
            </w:pPr>
          </w:p>
        </w:tc>
        <w:tc>
          <w:tcPr>
            <w:tcW w:w="2378" w:type="dxa"/>
            <w:shd w:val="clear" w:color="auto" w:fill="auto"/>
            <w:vAlign w:val="center"/>
          </w:tcPr>
          <w:p w14:paraId="2C3A5F85" w14:textId="77777777" w:rsidR="00BF1765" w:rsidRPr="00DF5C23" w:rsidRDefault="00BF1765" w:rsidP="00BF1765">
            <w:pPr>
              <w:spacing w:beforeLines="20" w:before="48" w:afterLines="20" w:after="48"/>
              <w:ind w:left="136"/>
              <w:jc w:val="left"/>
              <w:rPr>
                <w:rFonts w:eastAsia="Calibri"/>
                <w:b/>
                <w:noProof/>
                <w:sz w:val="16"/>
                <w:szCs w:val="16"/>
              </w:rPr>
            </w:pPr>
            <w:r w:rsidRPr="00DF5C23">
              <w:rPr>
                <w:rFonts w:eastAsia="Calibri"/>
                <w:noProof/>
                <w:sz w:val="16"/>
              </w:rPr>
              <w:t xml:space="preserve">- in Delegations </w:t>
            </w:r>
          </w:p>
        </w:tc>
        <w:tc>
          <w:tcPr>
            <w:tcW w:w="731" w:type="dxa"/>
            <w:shd w:val="clear" w:color="auto" w:fill="auto"/>
            <w:vAlign w:val="center"/>
          </w:tcPr>
          <w:p w14:paraId="2C3A5F86" w14:textId="77777777" w:rsidR="00BF1765" w:rsidRPr="00DF5C23" w:rsidRDefault="00BF1765" w:rsidP="00BF1765">
            <w:pPr>
              <w:spacing w:beforeLines="20" w:before="48" w:afterLines="20" w:after="48"/>
              <w:rPr>
                <w:rFonts w:eastAsia="Calibri"/>
                <w:noProof/>
                <w:sz w:val="16"/>
                <w:szCs w:val="16"/>
              </w:rPr>
            </w:pPr>
          </w:p>
        </w:tc>
        <w:tc>
          <w:tcPr>
            <w:tcW w:w="731" w:type="dxa"/>
            <w:shd w:val="clear" w:color="auto" w:fill="auto"/>
            <w:vAlign w:val="center"/>
          </w:tcPr>
          <w:p w14:paraId="2C3A5F87"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8"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9"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A" w14:textId="77777777" w:rsidR="00BF1765" w:rsidRPr="00DF5C23" w:rsidRDefault="00BF1765" w:rsidP="00BF1765">
            <w:pPr>
              <w:spacing w:beforeLines="20" w:before="48" w:afterLines="20" w:after="48"/>
              <w:jc w:val="center"/>
              <w:rPr>
                <w:rFonts w:eastAsia="Calibri"/>
                <w:noProof/>
                <w:sz w:val="16"/>
                <w:szCs w:val="16"/>
              </w:rPr>
            </w:pPr>
          </w:p>
        </w:tc>
        <w:tc>
          <w:tcPr>
            <w:tcW w:w="1137" w:type="dxa"/>
            <w:gridSpan w:val="2"/>
            <w:shd w:val="clear" w:color="auto" w:fill="auto"/>
            <w:vAlign w:val="center"/>
          </w:tcPr>
          <w:p w14:paraId="2C3A5F8B"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94"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8D" w14:textId="77777777" w:rsidR="00BF1765" w:rsidRPr="00DF5C23" w:rsidRDefault="00BF1765" w:rsidP="00BF1765">
            <w:pPr>
              <w:spacing w:beforeLines="20" w:before="48" w:afterLines="20" w:after="48"/>
              <w:ind w:left="136"/>
              <w:jc w:val="left"/>
              <w:rPr>
                <w:rFonts w:eastAsia="Calibri"/>
                <w:noProof/>
                <w:sz w:val="16"/>
                <w:szCs w:val="16"/>
              </w:rPr>
            </w:pPr>
            <w:r w:rsidRPr="00DF5C23">
              <w:rPr>
                <w:rFonts w:eastAsia="Calibri"/>
                <w:noProof/>
                <w:sz w:val="16"/>
              </w:rPr>
              <w:t>01 01 01 02</w:t>
            </w:r>
            <w:r w:rsidRPr="00DF5C23">
              <w:rPr>
                <w:rFonts w:ascii="Arial Narrow" w:eastAsia="Calibri" w:hAnsi="Arial Narrow"/>
                <w:noProof/>
                <w:color w:val="000000"/>
                <w:sz w:val="20"/>
                <w:szCs w:val="20"/>
              </w:rPr>
              <w:t xml:space="preserve"> </w:t>
            </w:r>
            <w:r w:rsidRPr="00DF5C23">
              <w:rPr>
                <w:rFonts w:eastAsia="Calibri"/>
                <w:noProof/>
                <w:sz w:val="16"/>
                <w:szCs w:val="16"/>
              </w:rPr>
              <w:t>(AC, END, INT - Indirect research)</w:t>
            </w:r>
          </w:p>
        </w:tc>
        <w:tc>
          <w:tcPr>
            <w:tcW w:w="731" w:type="dxa"/>
            <w:shd w:val="clear" w:color="auto" w:fill="auto"/>
            <w:vAlign w:val="center"/>
          </w:tcPr>
          <w:p w14:paraId="2C3A5F8E"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8F"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0"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1"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2"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93"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9C"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95" w14:textId="77777777" w:rsidR="00BF1765" w:rsidRPr="00DF5C23" w:rsidRDefault="00BF1765" w:rsidP="00BF1765">
            <w:pPr>
              <w:spacing w:beforeLines="20" w:before="48" w:afterLines="20" w:after="48"/>
              <w:ind w:left="136"/>
              <w:jc w:val="left"/>
              <w:rPr>
                <w:rFonts w:eastAsia="Calibri"/>
                <w:noProof/>
                <w:color w:val="FF0000"/>
                <w:sz w:val="16"/>
                <w:szCs w:val="16"/>
              </w:rPr>
            </w:pPr>
            <w:r w:rsidRPr="00DF5C23">
              <w:rPr>
                <w:rFonts w:eastAsia="Calibri"/>
                <w:noProof/>
                <w:sz w:val="16"/>
              </w:rPr>
              <w:t xml:space="preserve"> 01 01 01 12 (AC, END, INT - Direct research)</w:t>
            </w:r>
          </w:p>
        </w:tc>
        <w:tc>
          <w:tcPr>
            <w:tcW w:w="731" w:type="dxa"/>
            <w:shd w:val="clear" w:color="auto" w:fill="auto"/>
            <w:vAlign w:val="center"/>
          </w:tcPr>
          <w:p w14:paraId="2C3A5F96"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7"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8"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9"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A"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9B" w14:textId="77777777" w:rsidR="00BF1765" w:rsidRPr="00DF5C23" w:rsidRDefault="00BF1765" w:rsidP="00BF1765">
            <w:pPr>
              <w:spacing w:beforeLines="20" w:before="48" w:afterLines="20" w:after="48"/>
              <w:jc w:val="center"/>
              <w:rPr>
                <w:rFonts w:eastAsia="Calibri"/>
                <w:noProof/>
                <w:sz w:val="16"/>
                <w:szCs w:val="16"/>
              </w:rPr>
            </w:pPr>
          </w:p>
        </w:tc>
      </w:tr>
      <w:tr w:rsidR="00BF1765" w:rsidRPr="00DF5C23" w14:paraId="2C3A5FA4" w14:textId="77777777" w:rsidTr="00401706">
        <w:trPr>
          <w:gridBefore w:val="1"/>
          <w:gridAfter w:val="1"/>
          <w:wBefore w:w="15" w:type="dxa"/>
          <w:wAfter w:w="82" w:type="dxa"/>
          <w:trHeight w:val="289"/>
          <w:jc w:val="center"/>
        </w:trPr>
        <w:tc>
          <w:tcPr>
            <w:tcW w:w="4754" w:type="dxa"/>
            <w:gridSpan w:val="2"/>
            <w:shd w:val="clear" w:color="auto" w:fill="auto"/>
            <w:vAlign w:val="center"/>
          </w:tcPr>
          <w:p w14:paraId="2C3A5F9D" w14:textId="77777777" w:rsidR="00BF1765" w:rsidRPr="00DF5C23" w:rsidRDefault="00BF1765" w:rsidP="00BF1765">
            <w:pPr>
              <w:spacing w:beforeLines="20" w:before="48" w:afterLines="20" w:after="48"/>
              <w:ind w:left="136"/>
              <w:jc w:val="left"/>
              <w:rPr>
                <w:rFonts w:eastAsia="Calibri"/>
                <w:noProof/>
                <w:sz w:val="16"/>
              </w:rPr>
            </w:pPr>
            <w:r w:rsidRPr="00DF5C23">
              <w:rPr>
                <w:rFonts w:eastAsia="Calibri"/>
                <w:noProof/>
                <w:sz w:val="16"/>
              </w:rPr>
              <w:t>Other budget lines (specify)</w:t>
            </w:r>
          </w:p>
        </w:tc>
        <w:tc>
          <w:tcPr>
            <w:tcW w:w="731" w:type="dxa"/>
            <w:shd w:val="clear" w:color="auto" w:fill="auto"/>
            <w:vAlign w:val="center"/>
          </w:tcPr>
          <w:p w14:paraId="2C3A5F9E"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9F"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0"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1" w14:textId="77777777" w:rsidR="00BF1765" w:rsidRPr="00DF5C23" w:rsidRDefault="00BF1765" w:rsidP="00BF1765">
            <w:pPr>
              <w:spacing w:beforeLines="20" w:before="48" w:afterLines="20" w:after="48"/>
              <w:jc w:val="center"/>
              <w:rPr>
                <w:rFonts w:eastAsia="Calibri"/>
                <w:noProof/>
                <w:sz w:val="16"/>
                <w:szCs w:val="16"/>
              </w:rPr>
            </w:pPr>
          </w:p>
        </w:tc>
        <w:tc>
          <w:tcPr>
            <w:tcW w:w="731" w:type="dxa"/>
            <w:shd w:val="clear" w:color="auto" w:fill="auto"/>
            <w:vAlign w:val="center"/>
          </w:tcPr>
          <w:p w14:paraId="2C3A5FA2" w14:textId="77777777" w:rsidR="00BF1765" w:rsidRPr="00DF5C23" w:rsidRDefault="00BF1765" w:rsidP="00BF1765">
            <w:pPr>
              <w:spacing w:beforeLines="20" w:before="48" w:afterLines="20" w:after="48"/>
              <w:jc w:val="center"/>
              <w:rPr>
                <w:rFonts w:eastAsia="Calibri"/>
                <w:noProof/>
                <w:sz w:val="16"/>
                <w:szCs w:val="16"/>
              </w:rPr>
            </w:pPr>
          </w:p>
        </w:tc>
        <w:tc>
          <w:tcPr>
            <w:tcW w:w="1055" w:type="dxa"/>
            <w:shd w:val="clear" w:color="auto" w:fill="auto"/>
            <w:vAlign w:val="center"/>
          </w:tcPr>
          <w:p w14:paraId="2C3A5FA3" w14:textId="77777777" w:rsidR="00BF1765" w:rsidRPr="00DF5C23" w:rsidRDefault="00BF1765" w:rsidP="00BF1765">
            <w:pPr>
              <w:spacing w:beforeLines="20" w:before="48" w:afterLines="20" w:after="48"/>
              <w:jc w:val="center"/>
              <w:rPr>
                <w:rFonts w:eastAsia="Calibri"/>
                <w:noProof/>
                <w:sz w:val="16"/>
                <w:szCs w:val="16"/>
              </w:rPr>
            </w:pPr>
          </w:p>
        </w:tc>
      </w:tr>
      <w:tr w:rsidR="005C61BF" w:rsidRPr="00DF5C23" w14:paraId="2C3A5FAC" w14:textId="77777777" w:rsidTr="00401706">
        <w:trPr>
          <w:gridBefore w:val="1"/>
          <w:gridAfter w:val="1"/>
          <w:wBefore w:w="15" w:type="dxa"/>
          <w:wAfter w:w="82" w:type="dxa"/>
          <w:trHeight w:val="289"/>
          <w:jc w:val="center"/>
        </w:trPr>
        <w:tc>
          <w:tcPr>
            <w:tcW w:w="4754" w:type="dxa"/>
            <w:gridSpan w:val="2"/>
            <w:tcBorders>
              <w:top w:val="double" w:sz="4" w:space="0" w:color="auto"/>
            </w:tcBorders>
            <w:shd w:val="clear" w:color="auto" w:fill="auto"/>
            <w:vAlign w:val="center"/>
          </w:tcPr>
          <w:p w14:paraId="2C3A5FA5" w14:textId="77777777" w:rsidR="005C61BF" w:rsidRPr="00DF5C23" w:rsidRDefault="005C61BF" w:rsidP="005C61BF">
            <w:pPr>
              <w:spacing w:beforeLines="20" w:before="48" w:afterLines="20" w:after="48"/>
              <w:ind w:left="136"/>
              <w:jc w:val="left"/>
              <w:rPr>
                <w:rFonts w:eastAsia="Calibri"/>
                <w:noProof/>
                <w:sz w:val="16"/>
                <w:szCs w:val="16"/>
              </w:rPr>
            </w:pPr>
            <w:r w:rsidRPr="00DF5C23">
              <w:rPr>
                <w:rFonts w:eastAsia="Calibri"/>
                <w:b/>
                <w:noProof/>
                <w:sz w:val="16"/>
              </w:rPr>
              <w:t>TOTAL</w:t>
            </w:r>
          </w:p>
        </w:tc>
        <w:tc>
          <w:tcPr>
            <w:tcW w:w="731" w:type="dxa"/>
            <w:tcBorders>
              <w:top w:val="double" w:sz="4" w:space="0" w:color="auto"/>
            </w:tcBorders>
            <w:shd w:val="clear" w:color="auto" w:fill="auto"/>
            <w:vAlign w:val="bottom"/>
          </w:tcPr>
          <w:p w14:paraId="2C3A5FA6" w14:textId="77777777" w:rsidR="005C61BF" w:rsidRPr="00DF5C23" w:rsidRDefault="00EC252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14</w:t>
            </w:r>
          </w:p>
        </w:tc>
        <w:tc>
          <w:tcPr>
            <w:tcW w:w="731" w:type="dxa"/>
            <w:tcBorders>
              <w:top w:val="double" w:sz="4" w:space="0" w:color="auto"/>
            </w:tcBorders>
            <w:shd w:val="clear" w:color="auto" w:fill="auto"/>
            <w:vAlign w:val="bottom"/>
          </w:tcPr>
          <w:p w14:paraId="2C3A5FA7" w14:textId="77777777" w:rsidR="005C61BF" w:rsidRPr="00DF5C23" w:rsidRDefault="005C61B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44,0</w:t>
            </w:r>
          </w:p>
        </w:tc>
        <w:tc>
          <w:tcPr>
            <w:tcW w:w="731" w:type="dxa"/>
            <w:tcBorders>
              <w:top w:val="double" w:sz="4" w:space="0" w:color="auto"/>
            </w:tcBorders>
            <w:shd w:val="clear" w:color="auto" w:fill="auto"/>
            <w:vAlign w:val="bottom"/>
          </w:tcPr>
          <w:p w14:paraId="2C3A5FA8" w14:textId="77777777" w:rsidR="005C61BF" w:rsidRPr="00DF5C23" w:rsidRDefault="005C61B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51,0</w:t>
            </w:r>
          </w:p>
        </w:tc>
        <w:tc>
          <w:tcPr>
            <w:tcW w:w="731" w:type="dxa"/>
            <w:tcBorders>
              <w:top w:val="double" w:sz="4" w:space="0" w:color="auto"/>
            </w:tcBorders>
            <w:shd w:val="clear" w:color="auto" w:fill="auto"/>
            <w:vAlign w:val="bottom"/>
          </w:tcPr>
          <w:p w14:paraId="2C3A5FA9" w14:textId="77777777" w:rsidR="005C61BF" w:rsidRPr="00DF5C23" w:rsidRDefault="005C61B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51,0</w:t>
            </w:r>
          </w:p>
        </w:tc>
        <w:tc>
          <w:tcPr>
            <w:tcW w:w="731" w:type="dxa"/>
            <w:tcBorders>
              <w:top w:val="double" w:sz="4" w:space="0" w:color="auto"/>
            </w:tcBorders>
            <w:shd w:val="clear" w:color="auto" w:fill="auto"/>
            <w:vAlign w:val="bottom"/>
          </w:tcPr>
          <w:p w14:paraId="2C3A5FAA" w14:textId="77777777" w:rsidR="005C61BF" w:rsidRPr="00DF5C23" w:rsidRDefault="005C61B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52,0</w:t>
            </w:r>
          </w:p>
        </w:tc>
        <w:tc>
          <w:tcPr>
            <w:tcW w:w="1055" w:type="dxa"/>
            <w:tcBorders>
              <w:top w:val="double" w:sz="4" w:space="0" w:color="auto"/>
            </w:tcBorders>
            <w:shd w:val="clear" w:color="auto" w:fill="auto"/>
            <w:vAlign w:val="bottom"/>
          </w:tcPr>
          <w:p w14:paraId="2C3A5FAB" w14:textId="77777777" w:rsidR="005C61BF" w:rsidRPr="00DF5C23" w:rsidRDefault="005C61BF" w:rsidP="005C61BF">
            <w:pPr>
              <w:spacing w:beforeLines="20" w:before="48" w:afterLines="20" w:after="48"/>
              <w:jc w:val="center"/>
              <w:rPr>
                <w:rFonts w:eastAsia="Calibri"/>
                <w:b/>
                <w:noProof/>
                <w:sz w:val="16"/>
                <w:szCs w:val="16"/>
              </w:rPr>
            </w:pPr>
            <w:r w:rsidRPr="00DF5C23">
              <w:rPr>
                <w:rFonts w:ascii="Calibri" w:hAnsi="Calibri" w:cs="Calibri"/>
                <w:noProof/>
                <w:color w:val="000000"/>
                <w:sz w:val="22"/>
              </w:rPr>
              <w:t>54,0</w:t>
            </w:r>
          </w:p>
        </w:tc>
      </w:tr>
    </w:tbl>
    <w:p w14:paraId="2C3A5FAD" w14:textId="77777777" w:rsidR="00BF1765" w:rsidRPr="00DF5C23" w:rsidRDefault="00BF1765" w:rsidP="00BF1765">
      <w:pPr>
        <w:spacing w:before="60" w:after="60"/>
        <w:ind w:left="851"/>
        <w:rPr>
          <w:rFonts w:eastAsia="Calibri"/>
          <w:noProof/>
          <w:sz w:val="18"/>
          <w:szCs w:val="18"/>
        </w:rPr>
      </w:pPr>
      <w:r w:rsidRPr="00DF5C23">
        <w:rPr>
          <w:rFonts w:eastAsia="Calibri"/>
          <w:b/>
          <w:noProof/>
          <w:sz w:val="18"/>
          <w:szCs w:val="18"/>
        </w:rPr>
        <w:t>XX</w:t>
      </w:r>
      <w:r w:rsidRPr="00DF5C23">
        <w:rPr>
          <w:rFonts w:eastAsia="Calibri"/>
          <w:noProof/>
          <w:sz w:val="18"/>
          <w:szCs w:val="18"/>
        </w:rPr>
        <w:t xml:space="preserve"> is the policy area or budget title concerned.</w:t>
      </w:r>
    </w:p>
    <w:p w14:paraId="2C3A5FAE" w14:textId="77777777" w:rsidR="00BF1765" w:rsidRPr="00DF5C23" w:rsidRDefault="00BF1765" w:rsidP="00BF1765">
      <w:pPr>
        <w:ind w:left="850"/>
        <w:rPr>
          <w:rFonts w:eastAsia="Calibri"/>
          <w:noProof/>
          <w:sz w:val="18"/>
          <w:szCs w:val="18"/>
        </w:rPr>
      </w:pPr>
      <w:r w:rsidRPr="00DF5C23">
        <w:rPr>
          <w:rFonts w:eastAsia="Calibri"/>
          <w:noProof/>
          <w:sz w:val="18"/>
          <w:szCs w:val="18"/>
        </w:rPr>
        <w:t xml:space="preserve">The human resources required will be met by staff from the DG who are already assigned to management of the action and/or have been redeployed within the DG, together </w:t>
      </w:r>
      <w:r w:rsidR="00292785" w:rsidRPr="00DF5C23">
        <w:rPr>
          <w:rFonts w:eastAsia="Calibri"/>
          <w:noProof/>
          <w:sz w:val="18"/>
          <w:szCs w:val="18"/>
        </w:rPr>
        <w:t xml:space="preserve">if necessary </w:t>
      </w:r>
      <w:r w:rsidRPr="00DF5C23">
        <w:rPr>
          <w:rFonts w:eastAsia="Calibri"/>
          <w:noProof/>
          <w:sz w:val="18"/>
          <w:szCs w:val="18"/>
        </w:rPr>
        <w:t xml:space="preserve">with </w:t>
      </w:r>
      <w:r w:rsidR="009D31CB" w:rsidRPr="00DF5C23">
        <w:rPr>
          <w:rFonts w:eastAsia="Calibri"/>
          <w:noProof/>
          <w:sz w:val="18"/>
          <w:szCs w:val="18"/>
        </w:rPr>
        <w:t xml:space="preserve">any </w:t>
      </w:r>
      <w:r w:rsidRPr="00DF5C23">
        <w:rPr>
          <w:rFonts w:eastAsia="Calibri"/>
          <w:noProof/>
          <w:sz w:val="18"/>
          <w:szCs w:val="18"/>
        </w:rPr>
        <w:t>additional allocations to be granted to the managing DGs under the annual allocation procedure and in the light of budgetary constraints.</w:t>
      </w:r>
    </w:p>
    <w:p w14:paraId="2C3A5FAF" w14:textId="77777777" w:rsidR="00BF1765" w:rsidRPr="00DF5C23" w:rsidRDefault="00BF1765" w:rsidP="00BF1765">
      <w:pPr>
        <w:rPr>
          <w:rFonts w:eastAsia="Calibri"/>
          <w:noProof/>
          <w:sz w:val="20"/>
        </w:rPr>
      </w:pPr>
      <w:r w:rsidRPr="00DF5C23">
        <w:rPr>
          <w:rFonts w:eastAsia="Calibri"/>
          <w:noProof/>
          <w:sz w:val="20"/>
        </w:rPr>
        <w:t>Description of tasks to be carried out:</w:t>
      </w:r>
    </w:p>
    <w:tbl>
      <w:tblPr>
        <w:tblW w:w="9896"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656"/>
      </w:tblGrid>
      <w:tr w:rsidR="00BF1765" w:rsidRPr="00DF5C23" w14:paraId="2C3A5FBC" w14:textId="77777777" w:rsidTr="00743354">
        <w:tc>
          <w:tcPr>
            <w:tcW w:w="3240" w:type="dxa"/>
          </w:tcPr>
          <w:p w14:paraId="2C3A5FB0" w14:textId="77777777" w:rsidR="00BF1765" w:rsidRPr="00DF5C23" w:rsidRDefault="00BF1765" w:rsidP="00BF1765">
            <w:pPr>
              <w:rPr>
                <w:rFonts w:eastAsia="Calibri"/>
                <w:noProof/>
                <w:sz w:val="20"/>
              </w:rPr>
            </w:pPr>
            <w:r w:rsidRPr="00DF5C23">
              <w:rPr>
                <w:rFonts w:eastAsia="Calibri"/>
                <w:noProof/>
                <w:sz w:val="20"/>
              </w:rPr>
              <w:t>Officials and temporary staff</w:t>
            </w:r>
          </w:p>
        </w:tc>
        <w:tc>
          <w:tcPr>
            <w:tcW w:w="6656" w:type="dxa"/>
          </w:tcPr>
          <w:p w14:paraId="2C3A5FB1" w14:textId="77777777" w:rsidR="00BF1765" w:rsidRPr="00DF5C23" w:rsidRDefault="00BF1765" w:rsidP="00BF1765">
            <w:pPr>
              <w:spacing w:before="100" w:beforeAutospacing="1" w:after="100" w:afterAutospacing="1"/>
              <w:jc w:val="left"/>
              <w:rPr>
                <w:rFonts w:eastAsia="Times New Roman"/>
                <w:noProof/>
                <w:szCs w:val="24"/>
                <w:u w:val="single"/>
                <w:lang w:eastAsia="en-GB"/>
              </w:rPr>
            </w:pPr>
            <w:r w:rsidRPr="00DF5C23">
              <w:rPr>
                <w:rFonts w:eastAsia="Times New Roman"/>
                <w:noProof/>
                <w:szCs w:val="24"/>
                <w:u w:val="single"/>
                <w:lang w:eastAsia="en-GB"/>
              </w:rPr>
              <w:t>For desk officers:</w:t>
            </w:r>
          </w:p>
          <w:p w14:paraId="2C3A5FB2"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Preparation of external contracts to support preparatory studies, impact assessment, assessment of harmonised standards (terms of reference or AA, evaluation, monitoring)</w:t>
            </w:r>
          </w:p>
          <w:p w14:paraId="2C3A5FB3"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Supervision of preparatory, review studies or other studies in preparation of the working plan, implementing acts, delegated acts</w:t>
            </w:r>
          </w:p>
          <w:p w14:paraId="2C3A5FB4"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 xml:space="preserve">consultation of the </w:t>
            </w:r>
            <w:r w:rsidR="00DD43D3" w:rsidRPr="00DF5C23">
              <w:rPr>
                <w:rFonts w:eastAsia="Times New Roman"/>
                <w:noProof/>
                <w:szCs w:val="24"/>
                <w:lang w:eastAsia="en-GB"/>
              </w:rPr>
              <w:t xml:space="preserve">Ecodesign </w:t>
            </w:r>
            <w:r w:rsidRPr="00DF5C23">
              <w:rPr>
                <w:rFonts w:eastAsia="Times New Roman"/>
                <w:noProof/>
                <w:szCs w:val="24"/>
                <w:lang w:eastAsia="en-GB"/>
              </w:rPr>
              <w:t xml:space="preserve">Forum, consultation of WTO, internal adoption procedure, </w:t>
            </w:r>
          </w:p>
          <w:p w14:paraId="2C3A5FB5"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 xml:space="preserve">follow-up to delegated acts including standardisation mandate, monitoring and publication of harmonised standards, </w:t>
            </w:r>
          </w:p>
          <w:p w14:paraId="2C3A5FB6"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guidance to industry in implementation and to market surveillance authorities in surveillance activities</w:t>
            </w:r>
          </w:p>
          <w:p w14:paraId="2C3A5FB7" w14:textId="77777777" w:rsidR="00BF1765" w:rsidRPr="00DF5C23" w:rsidRDefault="00BF1765" w:rsidP="00BF1765">
            <w:pPr>
              <w:rPr>
                <w:rFonts w:eastAsia="Times New Roman"/>
                <w:noProof/>
                <w:szCs w:val="24"/>
                <w:lang w:eastAsia="en-GB"/>
              </w:rPr>
            </w:pPr>
            <w:r w:rsidRPr="00DF5C23">
              <w:rPr>
                <w:rFonts w:eastAsia="Times New Roman"/>
                <w:noProof/>
                <w:szCs w:val="24"/>
                <w:lang w:eastAsia="en-GB"/>
              </w:rPr>
              <w:t>contribution to horizontal tasks including evaluation of results, presentation of the legislation to stakeholders, preparation of briefings, correspondence…</w:t>
            </w:r>
          </w:p>
          <w:p w14:paraId="2C3A5FB8" w14:textId="77777777" w:rsidR="00BF1765" w:rsidRPr="00DF5C23" w:rsidRDefault="00BF1765" w:rsidP="00BF1765">
            <w:pPr>
              <w:rPr>
                <w:rFonts w:eastAsia="Times New Roman"/>
                <w:noProof/>
                <w:szCs w:val="24"/>
                <w:u w:val="single"/>
                <w:lang w:eastAsia="en-GB"/>
              </w:rPr>
            </w:pPr>
            <w:r w:rsidRPr="00DF5C23">
              <w:rPr>
                <w:rFonts w:eastAsia="Times New Roman"/>
                <w:noProof/>
                <w:szCs w:val="24"/>
                <w:u w:val="single"/>
                <w:lang w:eastAsia="en-GB"/>
              </w:rPr>
              <w:t>for assistants:</w:t>
            </w:r>
          </w:p>
          <w:p w14:paraId="2C3A5FB9"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 xml:space="preserve">organisation of meetings (agendas, invitations, administrative follow-up, minutes, registry of expert groups) </w:t>
            </w:r>
          </w:p>
          <w:p w14:paraId="2C3A5FBA"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decision procedures (Decide entries, calls for evidence, committees, preparation of documents including legal editing, requests for translation and publication)</w:t>
            </w:r>
          </w:p>
          <w:p w14:paraId="2C3A5FBB"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financial procedures (preparation of management plan, of calls for tender or service orders or AAs, evaluations, requests for commitments and payments, reporting)</w:t>
            </w:r>
          </w:p>
        </w:tc>
      </w:tr>
      <w:tr w:rsidR="00BF1765" w:rsidRPr="00DF5C23" w14:paraId="2C3A5FC3" w14:textId="77777777" w:rsidTr="00743354">
        <w:tc>
          <w:tcPr>
            <w:tcW w:w="3240" w:type="dxa"/>
          </w:tcPr>
          <w:p w14:paraId="2C3A5FBD" w14:textId="77777777" w:rsidR="00BF1765" w:rsidRPr="00DF5C23" w:rsidRDefault="00BF1765" w:rsidP="00BF1765">
            <w:pPr>
              <w:spacing w:before="60" w:after="60"/>
              <w:rPr>
                <w:rFonts w:eastAsia="Calibri"/>
                <w:noProof/>
                <w:sz w:val="20"/>
              </w:rPr>
            </w:pPr>
            <w:r w:rsidRPr="00DF5C23">
              <w:rPr>
                <w:rFonts w:eastAsia="Calibri"/>
                <w:noProof/>
                <w:sz w:val="20"/>
              </w:rPr>
              <w:t>External staff</w:t>
            </w:r>
          </w:p>
        </w:tc>
        <w:tc>
          <w:tcPr>
            <w:tcW w:w="6656" w:type="dxa"/>
          </w:tcPr>
          <w:p w14:paraId="2C3A5FBE"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Supervision of preparatory, review studies or other studies in preparation of the working plan, implementing acts, delegated acts</w:t>
            </w:r>
          </w:p>
          <w:p w14:paraId="2C3A5FBF"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 xml:space="preserve">consultation of the </w:t>
            </w:r>
            <w:r w:rsidR="00DD43D3" w:rsidRPr="00DF5C23">
              <w:rPr>
                <w:rFonts w:eastAsia="Times New Roman"/>
                <w:noProof/>
                <w:szCs w:val="24"/>
                <w:lang w:eastAsia="en-GB"/>
              </w:rPr>
              <w:t xml:space="preserve">Ecodesign </w:t>
            </w:r>
            <w:r w:rsidRPr="00DF5C23">
              <w:rPr>
                <w:rFonts w:eastAsia="Times New Roman"/>
                <w:noProof/>
                <w:szCs w:val="24"/>
                <w:lang w:eastAsia="en-GB"/>
              </w:rPr>
              <w:t xml:space="preserve">Forum, consultation of WTO, </w:t>
            </w:r>
          </w:p>
          <w:p w14:paraId="2C3A5FC0"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 xml:space="preserve">follow-up to delegated acts including standardisation mandate, monitoring and publication of harmonised standards, </w:t>
            </w:r>
          </w:p>
          <w:p w14:paraId="2C3A5FC1" w14:textId="77777777" w:rsidR="00BF1765" w:rsidRPr="00DF5C23" w:rsidRDefault="00BF1765" w:rsidP="00BF1765">
            <w:pPr>
              <w:spacing w:before="100" w:beforeAutospacing="1" w:after="100" w:afterAutospacing="1"/>
              <w:jc w:val="left"/>
              <w:rPr>
                <w:rFonts w:eastAsia="Times New Roman"/>
                <w:noProof/>
                <w:szCs w:val="24"/>
                <w:lang w:eastAsia="en-GB"/>
              </w:rPr>
            </w:pPr>
            <w:r w:rsidRPr="00DF5C23">
              <w:rPr>
                <w:rFonts w:eastAsia="Times New Roman"/>
                <w:noProof/>
                <w:szCs w:val="24"/>
                <w:lang w:eastAsia="en-GB"/>
              </w:rPr>
              <w:t>guidance to industry in implementation and to market surveillance authorities in surveillance activities</w:t>
            </w:r>
          </w:p>
          <w:p w14:paraId="2C3A5FC2" w14:textId="77777777" w:rsidR="00BF1765" w:rsidRPr="00DF5C23" w:rsidRDefault="00BF1765" w:rsidP="00BF1765">
            <w:pPr>
              <w:rPr>
                <w:rFonts w:eastAsia="Calibri"/>
                <w:noProof/>
                <w:sz w:val="20"/>
              </w:rPr>
            </w:pPr>
            <w:r w:rsidRPr="00DF5C23">
              <w:rPr>
                <w:rFonts w:eastAsia="Times New Roman"/>
                <w:noProof/>
                <w:szCs w:val="24"/>
                <w:lang w:eastAsia="en-GB"/>
              </w:rPr>
              <w:t>contribution to horizontal tasks including evaluation of results, presentation of the legislation to stakeholders, correspondence…</w:t>
            </w:r>
          </w:p>
        </w:tc>
      </w:tr>
    </w:tbl>
    <w:p w14:paraId="2C3A5FC4" w14:textId="77777777" w:rsidR="00BF1765" w:rsidRPr="00DF5C23" w:rsidRDefault="00BF1765" w:rsidP="00BF1765">
      <w:pPr>
        <w:rPr>
          <w:rFonts w:eastAsia="Calibri"/>
          <w:noProof/>
        </w:rPr>
        <w:sectPr w:rsidR="00BF1765" w:rsidRPr="00DF5C23" w:rsidSect="008B42B0">
          <w:pgSz w:w="11907" w:h="16840"/>
          <w:pgMar w:top="1134" w:right="1418" w:bottom="1134" w:left="1418" w:header="709" w:footer="709" w:gutter="0"/>
          <w:cols w:space="708"/>
          <w:docGrid w:linePitch="360"/>
        </w:sectPr>
      </w:pPr>
    </w:p>
    <w:p w14:paraId="2C3A5FC5" w14:textId="7F14ADD7" w:rsidR="003102BB" w:rsidRPr="00DF5C23" w:rsidRDefault="004F5E59" w:rsidP="004F5E59">
      <w:pPr>
        <w:pStyle w:val="ManualHeading3"/>
        <w:rPr>
          <w:noProof/>
        </w:rPr>
      </w:pPr>
      <w:bookmarkStart w:id="62" w:name="_Toc514938056"/>
      <w:bookmarkStart w:id="63" w:name="_Toc520485055"/>
      <w:r w:rsidRPr="004F5E59">
        <w:t>3.2.4.</w:t>
      </w:r>
      <w:r w:rsidRPr="004F5E59">
        <w:tab/>
      </w:r>
      <w:r w:rsidR="003102BB" w:rsidRPr="00DF5C23">
        <w:rPr>
          <w:noProof/>
        </w:rPr>
        <w:t>Compatibility with the current multiannual financial framework</w:t>
      </w:r>
      <w:bookmarkEnd w:id="62"/>
      <w:bookmarkEnd w:id="63"/>
      <w:r w:rsidR="003102BB" w:rsidRPr="00DF5C23">
        <w:rPr>
          <w:noProof/>
        </w:rPr>
        <w:t xml:space="preserve"> </w:t>
      </w:r>
    </w:p>
    <w:p w14:paraId="2C3A5FC6" w14:textId="77777777" w:rsidR="00BF1765" w:rsidRPr="00DF5C23" w:rsidRDefault="00BF1765" w:rsidP="00BF1765">
      <w:pPr>
        <w:ind w:left="850"/>
        <w:rPr>
          <w:rFonts w:eastAsia="Calibri"/>
          <w:noProof/>
        </w:rPr>
      </w:pPr>
      <w:r w:rsidRPr="00DF5C23">
        <w:rPr>
          <w:rFonts w:eastAsia="Calibri"/>
          <w:noProof/>
        </w:rPr>
        <w:t>The proposal/initiative:</w:t>
      </w:r>
    </w:p>
    <w:p w14:paraId="2C3A5FC7"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can be fully financed through redeployment within the relevant heading of the Multiannual Financial Framework (MFF).</w:t>
      </w:r>
    </w:p>
    <w:p w14:paraId="2C3A5FC8"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szCs w:val="20"/>
        </w:rPr>
      </w:pPr>
      <w:r w:rsidRPr="00DF5C23">
        <w:rPr>
          <w:rFonts w:eastAsia="Calibri"/>
          <w:noProof/>
          <w:sz w:val="20"/>
          <w:szCs w:val="20"/>
        </w:rPr>
        <w:t xml:space="preserve">The studies, procurement or projects supporting the implementation of the legislation will be funded by existing programmes and </w:t>
      </w:r>
      <w:r w:rsidR="00A23369" w:rsidRPr="00DF5C23">
        <w:rPr>
          <w:rFonts w:eastAsia="Calibri"/>
          <w:noProof/>
          <w:sz w:val="20"/>
          <w:szCs w:val="20"/>
        </w:rPr>
        <w:t xml:space="preserve">existing budgetary envelopes </w:t>
      </w:r>
      <w:r w:rsidRPr="00DF5C23">
        <w:rPr>
          <w:rFonts w:eastAsia="Calibri"/>
          <w:noProof/>
          <w:sz w:val="20"/>
          <w:szCs w:val="20"/>
        </w:rPr>
        <w:t>supporting policy implementation, under Headings 1 and 3 of the MFF. No reprogrammation is needed. Budget needs will be integrated into annual management plans and follow standard procedures.</w:t>
      </w:r>
    </w:p>
    <w:p w14:paraId="2C3A5FC9"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DF5C23">
        <w:rPr>
          <w:rFonts w:eastAsia="Calibri"/>
          <w:noProof/>
          <w:sz w:val="20"/>
        </w:rPr>
        <w:t>The budget lines concerned are those supporting already the implementation of the Ecodesign Directive in the DGs concerned:</w:t>
      </w:r>
    </w:p>
    <w:p w14:paraId="2C3A5FCA"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szCs w:val="20"/>
        </w:rPr>
      </w:pPr>
      <w:r w:rsidRPr="00DF5C23">
        <w:rPr>
          <w:rFonts w:eastAsia="Calibri"/>
          <w:noProof/>
          <w:sz w:val="20"/>
          <w:szCs w:val="20"/>
        </w:rPr>
        <w:t>03.02.01.01 - Operation and development of the internal market of goods and services for DG GROW</w:t>
      </w:r>
    </w:p>
    <w:p w14:paraId="2C3A5FCB"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DF5C23">
        <w:rPr>
          <w:rFonts w:eastAsia="Calibri"/>
          <w:noProof/>
          <w:sz w:val="20"/>
        </w:rPr>
        <w:t>09.02.02 LIFE Circular economy and quality of life for DG ENV</w:t>
      </w:r>
    </w:p>
    <w:p w14:paraId="2C3A5FCC"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DF5C23">
        <w:rPr>
          <w:rFonts w:eastAsia="Calibri"/>
          <w:noProof/>
          <w:sz w:val="20"/>
        </w:rPr>
        <w:t>09.02.04 LIFE Clean energy transition for DG ENER</w:t>
      </w:r>
    </w:p>
    <w:p w14:paraId="2C3A5FCD"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requires use of the unallocated margin under the relevant heading of the MFF and/or use of the special instruments as defined in the MFF Regulation.</w:t>
      </w:r>
    </w:p>
    <w:p w14:paraId="2C3A5FCE"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DF5C23">
        <w:rPr>
          <w:rFonts w:eastAsia="Calibri"/>
          <w:noProof/>
          <w:sz w:val="20"/>
        </w:rPr>
        <w:t>Explain what is required, specifying the headings and budget lines concerned, the corresponding amounts, and the instruments proposed to be used.</w:t>
      </w:r>
    </w:p>
    <w:p w14:paraId="2C3A5FCF"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requires a revision of the MFF.</w:t>
      </w:r>
    </w:p>
    <w:p w14:paraId="2C3A5FD0"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sz w:val="20"/>
        </w:rPr>
      </w:pPr>
      <w:r w:rsidRPr="00DF5C23">
        <w:rPr>
          <w:rFonts w:eastAsia="Calibri"/>
          <w:noProof/>
          <w:sz w:val="20"/>
        </w:rPr>
        <w:t>Explain what is required, specifying the headings and budget lines concerned and the corresponding amounts.</w:t>
      </w:r>
    </w:p>
    <w:p w14:paraId="2C3A5FD1" w14:textId="2974C0C9" w:rsidR="00BF1765" w:rsidRPr="00DF5C23" w:rsidRDefault="004F5E59" w:rsidP="004F5E59">
      <w:pPr>
        <w:pStyle w:val="ManualHeading3"/>
        <w:rPr>
          <w:noProof/>
        </w:rPr>
      </w:pPr>
      <w:bookmarkStart w:id="64" w:name="_Toc514938058"/>
      <w:bookmarkStart w:id="65" w:name="_Toc520485056"/>
      <w:r w:rsidRPr="004F5E59">
        <w:t>3.2.5.</w:t>
      </w:r>
      <w:r w:rsidRPr="004F5E59">
        <w:tab/>
      </w:r>
      <w:r w:rsidR="00BF1765" w:rsidRPr="00DF5C23">
        <w:rPr>
          <w:noProof/>
        </w:rPr>
        <w:t>Third-party contributions</w:t>
      </w:r>
      <w:bookmarkEnd w:id="64"/>
      <w:bookmarkEnd w:id="65"/>
      <w:r w:rsidR="00BF1765" w:rsidRPr="00DF5C23">
        <w:rPr>
          <w:noProof/>
        </w:rPr>
        <w:t xml:space="preserve"> </w:t>
      </w:r>
    </w:p>
    <w:p w14:paraId="2C3A5FD2" w14:textId="77777777" w:rsidR="00BF1765" w:rsidRPr="00DF5C23" w:rsidRDefault="00BF1765" w:rsidP="00BF1765">
      <w:pPr>
        <w:ind w:left="850"/>
        <w:rPr>
          <w:rFonts w:eastAsia="Calibri"/>
          <w:noProof/>
        </w:rPr>
      </w:pPr>
      <w:r w:rsidRPr="00DF5C23">
        <w:rPr>
          <w:rFonts w:eastAsia="Calibri"/>
          <w:noProof/>
        </w:rPr>
        <w:t>The proposal/initiative:</w:t>
      </w:r>
    </w:p>
    <w:p w14:paraId="2C3A5FD3"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ab/>
        <w:t>does not provide for co-financing by third parties</w:t>
      </w:r>
    </w:p>
    <w:p w14:paraId="2C3A5FD4"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provides for the co-financing by third parties estimated below:</w:t>
      </w:r>
    </w:p>
    <w:p w14:paraId="2C3A5FD5" w14:textId="77777777" w:rsidR="00BF1765" w:rsidRPr="00DF5C23" w:rsidRDefault="00BF1765" w:rsidP="00BF1765">
      <w:pPr>
        <w:jc w:val="right"/>
        <w:rPr>
          <w:rFonts w:eastAsia="Calibri"/>
          <w:noProof/>
          <w:sz w:val="20"/>
        </w:rPr>
      </w:pPr>
      <w:r w:rsidRPr="00DF5C23">
        <w:rPr>
          <w:rFonts w:eastAsia="Calibri"/>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F1765" w:rsidRPr="00DF5C23" w14:paraId="2C3A5FDD" w14:textId="77777777" w:rsidTr="00743354">
        <w:trPr>
          <w:cantSplit/>
        </w:trPr>
        <w:tc>
          <w:tcPr>
            <w:tcW w:w="2340" w:type="dxa"/>
          </w:tcPr>
          <w:p w14:paraId="2C3A5FD6" w14:textId="77777777" w:rsidR="00BF1765" w:rsidRPr="00DF5C23" w:rsidRDefault="00BF1765" w:rsidP="00BF1765">
            <w:pPr>
              <w:spacing w:before="60" w:after="60"/>
              <w:rPr>
                <w:rFonts w:eastAsia="Calibri"/>
                <w:noProof/>
                <w:sz w:val="20"/>
              </w:rPr>
            </w:pPr>
          </w:p>
        </w:tc>
        <w:tc>
          <w:tcPr>
            <w:tcW w:w="964" w:type="dxa"/>
            <w:vAlign w:val="center"/>
          </w:tcPr>
          <w:p w14:paraId="2C3A5FD7" w14:textId="77777777" w:rsidR="00BF1765" w:rsidRPr="00DF5C23" w:rsidRDefault="00BF1765" w:rsidP="004C3D41">
            <w:pPr>
              <w:jc w:val="center"/>
              <w:rPr>
                <w:rFonts w:eastAsia="Calibri"/>
                <w:noProof/>
                <w:sz w:val="20"/>
              </w:rPr>
            </w:pPr>
            <w:r w:rsidRPr="00DF5C23">
              <w:rPr>
                <w:rFonts w:eastAsia="Calibri"/>
                <w:noProof/>
                <w:sz w:val="20"/>
                <w:szCs w:val="20"/>
              </w:rPr>
              <w:t>Year</w:t>
            </w:r>
            <w:r w:rsidRPr="00DF5C23">
              <w:rPr>
                <w:rFonts w:eastAsia="Calibri"/>
                <w:noProof/>
                <w:sz w:val="22"/>
              </w:rPr>
              <w:br/>
            </w:r>
            <w:r w:rsidRPr="00DF5C23">
              <w:rPr>
                <w:rFonts w:eastAsia="Calibri"/>
                <w:b/>
                <w:bCs/>
                <w:noProof/>
                <w:sz w:val="20"/>
                <w:szCs w:val="20"/>
              </w:rPr>
              <w:t>N</w:t>
            </w:r>
            <w:r w:rsidR="004C3D41" w:rsidRPr="00DF5C23">
              <w:rPr>
                <w:rStyle w:val="FootnoteReference0"/>
                <w:rFonts w:eastAsia="Calibri"/>
                <w:b/>
                <w:bCs/>
                <w:noProof/>
                <w:sz w:val="20"/>
                <w:szCs w:val="20"/>
              </w:rPr>
              <w:footnoteReference w:id="106"/>
            </w:r>
          </w:p>
        </w:tc>
        <w:tc>
          <w:tcPr>
            <w:tcW w:w="964" w:type="dxa"/>
            <w:vAlign w:val="center"/>
          </w:tcPr>
          <w:p w14:paraId="2C3A5FD8"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N+1</w:t>
            </w:r>
          </w:p>
        </w:tc>
        <w:tc>
          <w:tcPr>
            <w:tcW w:w="964" w:type="dxa"/>
            <w:vAlign w:val="center"/>
          </w:tcPr>
          <w:p w14:paraId="2C3A5FD9"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N+2</w:t>
            </w:r>
          </w:p>
        </w:tc>
        <w:tc>
          <w:tcPr>
            <w:tcW w:w="964" w:type="dxa"/>
            <w:vAlign w:val="center"/>
          </w:tcPr>
          <w:p w14:paraId="2C3A5FDA" w14:textId="77777777" w:rsidR="00BF1765" w:rsidRPr="00DF5C23" w:rsidRDefault="00BF1765" w:rsidP="00BF1765">
            <w:pPr>
              <w:jc w:val="center"/>
              <w:rPr>
                <w:rFonts w:eastAsia="Calibri"/>
                <w:noProof/>
                <w:sz w:val="20"/>
              </w:rPr>
            </w:pPr>
            <w:r w:rsidRPr="00DF5C23">
              <w:rPr>
                <w:rFonts w:eastAsia="Calibri"/>
                <w:noProof/>
                <w:sz w:val="20"/>
              </w:rPr>
              <w:t>Year</w:t>
            </w:r>
            <w:r w:rsidRPr="00DF5C23">
              <w:rPr>
                <w:rFonts w:eastAsia="Calibri"/>
                <w:noProof/>
                <w:sz w:val="22"/>
              </w:rPr>
              <w:br/>
            </w:r>
            <w:r w:rsidRPr="00DF5C23">
              <w:rPr>
                <w:rFonts w:eastAsia="Calibri"/>
                <w:b/>
                <w:noProof/>
                <w:sz w:val="20"/>
              </w:rPr>
              <w:t>N+3</w:t>
            </w:r>
          </w:p>
        </w:tc>
        <w:tc>
          <w:tcPr>
            <w:tcW w:w="2892" w:type="dxa"/>
            <w:gridSpan w:val="3"/>
            <w:vAlign w:val="center"/>
          </w:tcPr>
          <w:p w14:paraId="2C3A5FDB" w14:textId="77777777" w:rsidR="00BF1765" w:rsidRPr="00DF5C23" w:rsidRDefault="00BF1765" w:rsidP="00BF1765">
            <w:pPr>
              <w:jc w:val="center"/>
              <w:rPr>
                <w:rFonts w:eastAsia="Calibri"/>
                <w:b/>
                <w:noProof/>
                <w:sz w:val="20"/>
              </w:rPr>
            </w:pPr>
            <w:r w:rsidRPr="00DF5C23">
              <w:rPr>
                <w:rFonts w:eastAsia="Calibri"/>
                <w:noProof/>
                <w:sz w:val="20"/>
              </w:rPr>
              <w:t>Enter as many years as necessary to show the duration of the impact (see point 1.6)</w:t>
            </w:r>
          </w:p>
        </w:tc>
        <w:tc>
          <w:tcPr>
            <w:tcW w:w="1158" w:type="dxa"/>
            <w:vAlign w:val="center"/>
          </w:tcPr>
          <w:p w14:paraId="2C3A5FDC" w14:textId="77777777" w:rsidR="00BF1765" w:rsidRPr="00DF5C23" w:rsidRDefault="00BF1765" w:rsidP="00BF1765">
            <w:pPr>
              <w:spacing w:before="60" w:after="60"/>
              <w:jc w:val="center"/>
              <w:rPr>
                <w:rFonts w:eastAsia="Calibri"/>
                <w:noProof/>
                <w:sz w:val="20"/>
              </w:rPr>
            </w:pPr>
            <w:r w:rsidRPr="00DF5C23">
              <w:rPr>
                <w:rFonts w:eastAsia="Calibri"/>
                <w:noProof/>
                <w:sz w:val="20"/>
              </w:rPr>
              <w:t>Total</w:t>
            </w:r>
          </w:p>
        </w:tc>
      </w:tr>
      <w:tr w:rsidR="00BF1765" w:rsidRPr="00DF5C23" w14:paraId="2C3A5FE7" w14:textId="77777777" w:rsidTr="00743354">
        <w:trPr>
          <w:cantSplit/>
        </w:trPr>
        <w:tc>
          <w:tcPr>
            <w:tcW w:w="2340" w:type="dxa"/>
          </w:tcPr>
          <w:p w14:paraId="2C3A5FDE" w14:textId="77777777" w:rsidR="00BF1765" w:rsidRPr="00DF5C23" w:rsidRDefault="00BF1765" w:rsidP="00BF1765">
            <w:pPr>
              <w:rPr>
                <w:rFonts w:eastAsia="Calibri"/>
                <w:noProof/>
              </w:rPr>
            </w:pPr>
            <w:r w:rsidRPr="00DF5C23">
              <w:rPr>
                <w:rFonts w:eastAsia="Calibri"/>
                <w:noProof/>
                <w:sz w:val="20"/>
              </w:rPr>
              <w:t>Specify the co-financing body</w:t>
            </w:r>
            <w:r w:rsidRPr="00DF5C23">
              <w:rPr>
                <w:rFonts w:eastAsia="Calibri"/>
                <w:i/>
                <w:noProof/>
                <w:sz w:val="20"/>
              </w:rPr>
              <w:t xml:space="preserve"> </w:t>
            </w:r>
          </w:p>
        </w:tc>
        <w:tc>
          <w:tcPr>
            <w:tcW w:w="964" w:type="dxa"/>
            <w:vAlign w:val="center"/>
          </w:tcPr>
          <w:p w14:paraId="2C3A5FDF" w14:textId="77777777" w:rsidR="00BF1765" w:rsidRPr="00DF5C23" w:rsidRDefault="00BF1765" w:rsidP="00BF1765">
            <w:pPr>
              <w:spacing w:before="60" w:after="60"/>
              <w:jc w:val="center"/>
              <w:rPr>
                <w:rFonts w:eastAsia="Calibri"/>
                <w:noProof/>
                <w:sz w:val="20"/>
              </w:rPr>
            </w:pPr>
          </w:p>
        </w:tc>
        <w:tc>
          <w:tcPr>
            <w:tcW w:w="964" w:type="dxa"/>
            <w:vAlign w:val="center"/>
          </w:tcPr>
          <w:p w14:paraId="2C3A5FE0" w14:textId="77777777" w:rsidR="00BF1765" w:rsidRPr="00DF5C23" w:rsidRDefault="00BF1765" w:rsidP="00BF1765">
            <w:pPr>
              <w:spacing w:before="60" w:after="60"/>
              <w:jc w:val="center"/>
              <w:rPr>
                <w:rFonts w:eastAsia="Calibri"/>
                <w:noProof/>
                <w:sz w:val="20"/>
              </w:rPr>
            </w:pPr>
          </w:p>
        </w:tc>
        <w:tc>
          <w:tcPr>
            <w:tcW w:w="964" w:type="dxa"/>
            <w:vAlign w:val="center"/>
          </w:tcPr>
          <w:p w14:paraId="2C3A5FE1" w14:textId="77777777" w:rsidR="00BF1765" w:rsidRPr="00DF5C23" w:rsidRDefault="00BF1765" w:rsidP="00BF1765">
            <w:pPr>
              <w:spacing w:before="60" w:after="60"/>
              <w:jc w:val="center"/>
              <w:rPr>
                <w:rFonts w:eastAsia="Calibri"/>
                <w:noProof/>
                <w:sz w:val="20"/>
              </w:rPr>
            </w:pPr>
          </w:p>
        </w:tc>
        <w:tc>
          <w:tcPr>
            <w:tcW w:w="964" w:type="dxa"/>
            <w:vAlign w:val="center"/>
          </w:tcPr>
          <w:p w14:paraId="2C3A5FE2" w14:textId="77777777" w:rsidR="00BF1765" w:rsidRPr="00DF5C23" w:rsidRDefault="00BF1765" w:rsidP="00BF1765">
            <w:pPr>
              <w:spacing w:before="60" w:after="60"/>
              <w:jc w:val="center"/>
              <w:rPr>
                <w:rFonts w:eastAsia="Calibri"/>
                <w:noProof/>
                <w:sz w:val="20"/>
              </w:rPr>
            </w:pPr>
          </w:p>
        </w:tc>
        <w:tc>
          <w:tcPr>
            <w:tcW w:w="964" w:type="dxa"/>
            <w:vAlign w:val="center"/>
          </w:tcPr>
          <w:p w14:paraId="2C3A5FE3" w14:textId="77777777" w:rsidR="00BF1765" w:rsidRPr="00DF5C23" w:rsidRDefault="00BF1765" w:rsidP="00BF1765">
            <w:pPr>
              <w:spacing w:before="60" w:after="60"/>
              <w:jc w:val="center"/>
              <w:rPr>
                <w:rFonts w:eastAsia="Calibri"/>
                <w:noProof/>
                <w:sz w:val="20"/>
              </w:rPr>
            </w:pPr>
          </w:p>
        </w:tc>
        <w:tc>
          <w:tcPr>
            <w:tcW w:w="964" w:type="dxa"/>
            <w:vAlign w:val="center"/>
          </w:tcPr>
          <w:p w14:paraId="2C3A5FE4" w14:textId="77777777" w:rsidR="00BF1765" w:rsidRPr="00DF5C23" w:rsidRDefault="00BF1765" w:rsidP="00BF1765">
            <w:pPr>
              <w:spacing w:before="60" w:after="60"/>
              <w:jc w:val="center"/>
              <w:rPr>
                <w:rFonts w:eastAsia="Calibri"/>
                <w:noProof/>
                <w:sz w:val="20"/>
              </w:rPr>
            </w:pPr>
          </w:p>
        </w:tc>
        <w:tc>
          <w:tcPr>
            <w:tcW w:w="964" w:type="dxa"/>
            <w:vAlign w:val="center"/>
          </w:tcPr>
          <w:p w14:paraId="2C3A5FE5" w14:textId="77777777" w:rsidR="00BF1765" w:rsidRPr="00DF5C23" w:rsidRDefault="00BF1765" w:rsidP="00BF1765">
            <w:pPr>
              <w:spacing w:before="60" w:after="60"/>
              <w:jc w:val="center"/>
              <w:rPr>
                <w:rFonts w:eastAsia="Calibri"/>
                <w:noProof/>
                <w:sz w:val="20"/>
              </w:rPr>
            </w:pPr>
          </w:p>
        </w:tc>
        <w:tc>
          <w:tcPr>
            <w:tcW w:w="1158" w:type="dxa"/>
            <w:vAlign w:val="center"/>
          </w:tcPr>
          <w:p w14:paraId="2C3A5FE6" w14:textId="77777777" w:rsidR="00BF1765" w:rsidRPr="00DF5C23" w:rsidRDefault="00BF1765" w:rsidP="00BF1765">
            <w:pPr>
              <w:spacing w:before="60" w:after="60"/>
              <w:jc w:val="center"/>
              <w:rPr>
                <w:rFonts w:eastAsia="Calibri"/>
                <w:noProof/>
                <w:sz w:val="20"/>
              </w:rPr>
            </w:pPr>
          </w:p>
        </w:tc>
      </w:tr>
      <w:tr w:rsidR="00BF1765" w:rsidRPr="00DF5C23" w14:paraId="2C3A5FF1" w14:textId="77777777" w:rsidTr="00743354">
        <w:trPr>
          <w:cantSplit/>
        </w:trPr>
        <w:tc>
          <w:tcPr>
            <w:tcW w:w="2340" w:type="dxa"/>
          </w:tcPr>
          <w:p w14:paraId="2C3A5FE8" w14:textId="77777777" w:rsidR="00BF1765" w:rsidRPr="00DF5C23" w:rsidRDefault="00BF1765" w:rsidP="00BF1765">
            <w:pPr>
              <w:spacing w:before="60" w:after="60"/>
              <w:jc w:val="left"/>
              <w:rPr>
                <w:rFonts w:eastAsia="Calibri"/>
                <w:noProof/>
                <w:sz w:val="20"/>
              </w:rPr>
            </w:pPr>
            <w:r w:rsidRPr="00DF5C23">
              <w:rPr>
                <w:rFonts w:eastAsia="Calibri"/>
                <w:noProof/>
                <w:sz w:val="20"/>
              </w:rPr>
              <w:t xml:space="preserve">TOTAL appropriations co-financed </w:t>
            </w:r>
          </w:p>
        </w:tc>
        <w:tc>
          <w:tcPr>
            <w:tcW w:w="964" w:type="dxa"/>
            <w:vAlign w:val="center"/>
          </w:tcPr>
          <w:p w14:paraId="2C3A5FE9" w14:textId="77777777" w:rsidR="00BF1765" w:rsidRPr="00DF5C23" w:rsidRDefault="00BF1765" w:rsidP="00BF1765">
            <w:pPr>
              <w:spacing w:before="60" w:after="60"/>
              <w:jc w:val="center"/>
              <w:rPr>
                <w:rFonts w:eastAsia="Calibri"/>
                <w:noProof/>
                <w:sz w:val="20"/>
              </w:rPr>
            </w:pPr>
          </w:p>
        </w:tc>
        <w:tc>
          <w:tcPr>
            <w:tcW w:w="964" w:type="dxa"/>
            <w:vAlign w:val="center"/>
          </w:tcPr>
          <w:p w14:paraId="2C3A5FEA" w14:textId="77777777" w:rsidR="00BF1765" w:rsidRPr="00DF5C23" w:rsidRDefault="00BF1765" w:rsidP="00BF1765">
            <w:pPr>
              <w:spacing w:before="60" w:after="60"/>
              <w:jc w:val="center"/>
              <w:rPr>
                <w:rFonts w:eastAsia="Calibri"/>
                <w:noProof/>
                <w:sz w:val="20"/>
              </w:rPr>
            </w:pPr>
          </w:p>
        </w:tc>
        <w:tc>
          <w:tcPr>
            <w:tcW w:w="964" w:type="dxa"/>
            <w:vAlign w:val="center"/>
          </w:tcPr>
          <w:p w14:paraId="2C3A5FEB" w14:textId="77777777" w:rsidR="00BF1765" w:rsidRPr="00DF5C23" w:rsidRDefault="00BF1765" w:rsidP="00BF1765">
            <w:pPr>
              <w:spacing w:before="60" w:after="60"/>
              <w:jc w:val="center"/>
              <w:rPr>
                <w:rFonts w:eastAsia="Calibri"/>
                <w:noProof/>
                <w:sz w:val="20"/>
              </w:rPr>
            </w:pPr>
          </w:p>
        </w:tc>
        <w:tc>
          <w:tcPr>
            <w:tcW w:w="964" w:type="dxa"/>
            <w:vAlign w:val="center"/>
          </w:tcPr>
          <w:p w14:paraId="2C3A5FEC" w14:textId="77777777" w:rsidR="00BF1765" w:rsidRPr="00DF5C23" w:rsidRDefault="00BF1765" w:rsidP="00BF1765">
            <w:pPr>
              <w:spacing w:before="60" w:after="60"/>
              <w:jc w:val="center"/>
              <w:rPr>
                <w:rFonts w:eastAsia="Calibri"/>
                <w:noProof/>
                <w:sz w:val="20"/>
              </w:rPr>
            </w:pPr>
          </w:p>
        </w:tc>
        <w:tc>
          <w:tcPr>
            <w:tcW w:w="964" w:type="dxa"/>
            <w:vAlign w:val="center"/>
          </w:tcPr>
          <w:p w14:paraId="2C3A5FED" w14:textId="77777777" w:rsidR="00BF1765" w:rsidRPr="00DF5C23" w:rsidRDefault="00BF1765" w:rsidP="00BF1765">
            <w:pPr>
              <w:spacing w:before="60" w:after="60"/>
              <w:jc w:val="center"/>
              <w:rPr>
                <w:rFonts w:eastAsia="Calibri"/>
                <w:noProof/>
                <w:sz w:val="20"/>
              </w:rPr>
            </w:pPr>
          </w:p>
        </w:tc>
        <w:tc>
          <w:tcPr>
            <w:tcW w:w="964" w:type="dxa"/>
            <w:vAlign w:val="center"/>
          </w:tcPr>
          <w:p w14:paraId="2C3A5FEE" w14:textId="77777777" w:rsidR="00BF1765" w:rsidRPr="00DF5C23" w:rsidRDefault="00BF1765" w:rsidP="00BF1765">
            <w:pPr>
              <w:spacing w:before="60" w:after="60"/>
              <w:jc w:val="center"/>
              <w:rPr>
                <w:rFonts w:eastAsia="Calibri"/>
                <w:noProof/>
                <w:sz w:val="20"/>
              </w:rPr>
            </w:pPr>
          </w:p>
        </w:tc>
        <w:tc>
          <w:tcPr>
            <w:tcW w:w="964" w:type="dxa"/>
            <w:vAlign w:val="center"/>
          </w:tcPr>
          <w:p w14:paraId="2C3A5FEF" w14:textId="77777777" w:rsidR="00BF1765" w:rsidRPr="00DF5C23" w:rsidRDefault="00BF1765" w:rsidP="00BF1765">
            <w:pPr>
              <w:spacing w:before="60" w:after="60"/>
              <w:jc w:val="center"/>
              <w:rPr>
                <w:rFonts w:eastAsia="Calibri"/>
                <w:noProof/>
                <w:sz w:val="20"/>
              </w:rPr>
            </w:pPr>
          </w:p>
        </w:tc>
        <w:tc>
          <w:tcPr>
            <w:tcW w:w="1158" w:type="dxa"/>
            <w:vAlign w:val="center"/>
          </w:tcPr>
          <w:p w14:paraId="2C3A5FF0" w14:textId="77777777" w:rsidR="00BF1765" w:rsidRPr="00DF5C23" w:rsidRDefault="00BF1765" w:rsidP="00BF1765">
            <w:pPr>
              <w:spacing w:before="60" w:after="60"/>
              <w:jc w:val="center"/>
              <w:rPr>
                <w:rFonts w:eastAsia="Calibri"/>
                <w:noProof/>
                <w:sz w:val="20"/>
              </w:rPr>
            </w:pPr>
          </w:p>
        </w:tc>
      </w:tr>
    </w:tbl>
    <w:p w14:paraId="2C3A5FF2" w14:textId="77777777" w:rsidR="00BF1765" w:rsidRPr="00DF5C23" w:rsidRDefault="00BF1765" w:rsidP="00BF1765">
      <w:pPr>
        <w:rPr>
          <w:rFonts w:eastAsia="Calibri"/>
          <w:noProof/>
        </w:rPr>
      </w:pPr>
    </w:p>
    <w:p w14:paraId="2C3A5FF3" w14:textId="34472C21" w:rsidR="003102BB" w:rsidRPr="00DF5C23" w:rsidRDefault="00BF1765" w:rsidP="004F5E59">
      <w:pPr>
        <w:pStyle w:val="ManualHeading2"/>
        <w:rPr>
          <w:bCs/>
          <w:noProof/>
          <w:szCs w:val="24"/>
        </w:rPr>
      </w:pPr>
      <w:r w:rsidRPr="00DF5C23">
        <w:rPr>
          <w:rFonts w:eastAsia="Times New Roman"/>
          <w:noProof/>
        </w:rPr>
        <w:br w:type="page"/>
      </w:r>
      <w:bookmarkStart w:id="66" w:name="_Toc514938059"/>
      <w:bookmarkStart w:id="67" w:name="_Toc520485057"/>
      <w:r w:rsidR="004F5E59" w:rsidRPr="004F5E59">
        <w:t>3.3.</w:t>
      </w:r>
      <w:r w:rsidR="004F5E59" w:rsidRPr="004F5E59">
        <w:tab/>
      </w:r>
      <w:r w:rsidR="003102BB" w:rsidRPr="00DF5C23">
        <w:rPr>
          <w:noProof/>
        </w:rPr>
        <w:t>Estimated impact on revenue</w:t>
      </w:r>
      <w:bookmarkEnd w:id="66"/>
      <w:bookmarkEnd w:id="67"/>
      <w:r w:rsidR="003102BB" w:rsidRPr="00DF5C23">
        <w:rPr>
          <w:noProof/>
        </w:rPr>
        <w:t xml:space="preserve"> </w:t>
      </w:r>
    </w:p>
    <w:p w14:paraId="2C3A5FF4" w14:textId="77777777" w:rsidR="00BF1765" w:rsidRPr="00DF5C23" w:rsidRDefault="00BF1765" w:rsidP="003102BB">
      <w:pPr>
        <w:pStyle w:val="Bullet1"/>
        <w:rPr>
          <w:noProof/>
          <w:lang w:eastAsia="de-DE"/>
        </w:rPr>
      </w:pPr>
      <w:r w:rsidRPr="00DF5C23">
        <w:rPr>
          <w:noProof/>
          <w:lang w:eastAsia="de-DE"/>
        </w:rPr>
        <w:sym w:font="Wingdings" w:char="F0FE"/>
      </w:r>
      <w:r w:rsidRPr="00DF5C23">
        <w:rPr>
          <w:noProof/>
          <w:lang w:eastAsia="de-DE"/>
        </w:rPr>
        <w:tab/>
        <w:t>The proposal/initiative has no financial impact on revenue.</w:t>
      </w:r>
    </w:p>
    <w:p w14:paraId="2C3A5FF5" w14:textId="77777777" w:rsidR="00BF1765" w:rsidRPr="00DF5C23" w:rsidRDefault="00BF1765" w:rsidP="003102BB">
      <w:pPr>
        <w:pStyle w:val="Bullet1"/>
        <w:rPr>
          <w:noProof/>
          <w:lang w:eastAsia="de-DE"/>
        </w:rPr>
      </w:pPr>
      <w:r w:rsidRPr="00DF5C23">
        <w:rPr>
          <w:noProof/>
          <w:lang w:eastAsia="de-DE"/>
        </w:rPr>
        <w:sym w:font="Wingdings" w:char="F0A8"/>
      </w:r>
      <w:r w:rsidRPr="00DF5C23">
        <w:rPr>
          <w:noProof/>
          <w:lang w:eastAsia="de-DE"/>
        </w:rPr>
        <w:tab/>
        <w:t>The proposal/initiative has the following financial impact:</w:t>
      </w:r>
    </w:p>
    <w:p w14:paraId="2C3A5FF6" w14:textId="77777777" w:rsidR="00BF1765" w:rsidRPr="00DF5C23" w:rsidRDefault="00BF1765" w:rsidP="00431D9B">
      <w:pPr>
        <w:pStyle w:val="Bullet2"/>
        <w:numPr>
          <w:ilvl w:val="0"/>
          <w:numId w:val="94"/>
        </w:numPr>
        <w:rPr>
          <w:noProof/>
          <w:lang w:eastAsia="de-DE"/>
        </w:rPr>
      </w:pPr>
      <w:r w:rsidRPr="00DF5C23">
        <w:rPr>
          <w:noProof/>
          <w:lang w:eastAsia="de-DE"/>
        </w:rPr>
        <w:sym w:font="Wingdings" w:char="F0A8"/>
      </w:r>
      <w:r w:rsidRPr="00DF5C23">
        <w:rPr>
          <w:noProof/>
          <w:lang w:eastAsia="de-DE"/>
        </w:rPr>
        <w:tab/>
        <w:t xml:space="preserve">on own resources </w:t>
      </w:r>
    </w:p>
    <w:p w14:paraId="2C3A5FF7" w14:textId="77777777" w:rsidR="00BF1765" w:rsidRPr="00DF5C23" w:rsidRDefault="00BF1765" w:rsidP="003102BB">
      <w:pPr>
        <w:pStyle w:val="Bullet2"/>
        <w:rPr>
          <w:noProof/>
          <w:lang w:eastAsia="de-DE"/>
        </w:rPr>
      </w:pPr>
      <w:r w:rsidRPr="00DF5C23">
        <w:rPr>
          <w:noProof/>
          <w:lang w:eastAsia="de-DE"/>
        </w:rPr>
        <w:sym w:font="Wingdings" w:char="F0A8"/>
      </w:r>
      <w:r w:rsidRPr="00DF5C23">
        <w:rPr>
          <w:noProof/>
          <w:lang w:eastAsia="de-DE"/>
        </w:rPr>
        <w:tab/>
        <w:t>on other revenue</w:t>
      </w:r>
    </w:p>
    <w:p w14:paraId="2C3A5FF8" w14:textId="77777777" w:rsidR="00BF1765" w:rsidRPr="00DF5C23" w:rsidRDefault="00BF1765" w:rsidP="003102BB">
      <w:pPr>
        <w:pStyle w:val="Bullet2"/>
        <w:rPr>
          <w:noProof/>
          <w:lang w:eastAsia="de-DE"/>
        </w:rPr>
      </w:pPr>
      <w:r w:rsidRPr="00DF5C23">
        <w:rPr>
          <w:noProof/>
          <w:lang w:eastAsia="de-DE"/>
        </w:rPr>
        <w:t xml:space="preserve">please indicate, if the revenue is assigned to expenditure lines </w:t>
      </w:r>
      <w:r w:rsidRPr="00DF5C23">
        <w:rPr>
          <w:noProof/>
          <w:lang w:eastAsia="de-DE"/>
        </w:rPr>
        <w:sym w:font="Wingdings" w:char="F0A8"/>
      </w:r>
      <w:r w:rsidRPr="00DF5C23">
        <w:rPr>
          <w:noProof/>
          <w:lang w:eastAsia="de-DE"/>
        </w:rPr>
        <w:tab/>
      </w:r>
    </w:p>
    <w:p w14:paraId="2C3A5FF9" w14:textId="77777777" w:rsidR="00BF1765" w:rsidRPr="00DF5C23" w:rsidRDefault="00BF1765" w:rsidP="00BF1765">
      <w:pPr>
        <w:ind w:left="4320"/>
        <w:rPr>
          <w:rFonts w:eastAsia="Calibri"/>
          <w:i/>
          <w:noProof/>
          <w:sz w:val="20"/>
        </w:rPr>
      </w:pPr>
      <w:r w:rsidRPr="00DF5C23">
        <w:rPr>
          <w:rFonts w:eastAsia="Calibri"/>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F1765" w:rsidRPr="00DF5C23" w14:paraId="2C3A5FFD" w14:textId="77777777" w:rsidTr="00743354">
        <w:trPr>
          <w:trHeight w:val="388"/>
        </w:trPr>
        <w:tc>
          <w:tcPr>
            <w:tcW w:w="2144" w:type="dxa"/>
            <w:vMerge w:val="restart"/>
            <w:vAlign w:val="center"/>
          </w:tcPr>
          <w:p w14:paraId="2C3A5FFA" w14:textId="77777777" w:rsidR="00BF1765" w:rsidRPr="00DF5C23" w:rsidRDefault="00BF1765" w:rsidP="00BF1765">
            <w:pPr>
              <w:spacing w:before="40" w:after="40"/>
              <w:rPr>
                <w:rFonts w:eastAsia="Calibri"/>
                <w:noProof/>
                <w:sz w:val="18"/>
              </w:rPr>
            </w:pPr>
            <w:r w:rsidRPr="00DF5C23">
              <w:rPr>
                <w:rFonts w:eastAsia="Calibri"/>
                <w:noProof/>
                <w:sz w:val="18"/>
              </w:rPr>
              <w:t>Budget revenue line:</w:t>
            </w:r>
          </w:p>
        </w:tc>
        <w:tc>
          <w:tcPr>
            <w:tcW w:w="1325" w:type="dxa"/>
            <w:vMerge w:val="restart"/>
            <w:vAlign w:val="center"/>
          </w:tcPr>
          <w:p w14:paraId="2C3A5FFB" w14:textId="77777777" w:rsidR="00BF1765" w:rsidRPr="00DF5C23" w:rsidRDefault="00BF1765" w:rsidP="00BF1765">
            <w:pPr>
              <w:jc w:val="center"/>
              <w:rPr>
                <w:rFonts w:eastAsia="Calibri"/>
                <w:noProof/>
                <w:sz w:val="18"/>
              </w:rPr>
            </w:pPr>
            <w:r w:rsidRPr="00DF5C23">
              <w:rPr>
                <w:rFonts w:eastAsia="Calibri"/>
                <w:noProof/>
                <w:sz w:val="18"/>
              </w:rPr>
              <w:t>Appropriations available for the current financial year</w:t>
            </w:r>
          </w:p>
        </w:tc>
        <w:tc>
          <w:tcPr>
            <w:tcW w:w="7151" w:type="dxa"/>
            <w:gridSpan w:val="7"/>
            <w:vAlign w:val="center"/>
          </w:tcPr>
          <w:p w14:paraId="2C3A5FFC" w14:textId="77777777" w:rsidR="00BF1765" w:rsidRPr="00DF5C23" w:rsidRDefault="00BF1765" w:rsidP="004C3D41">
            <w:pPr>
              <w:jc w:val="center"/>
              <w:rPr>
                <w:rFonts w:eastAsia="Calibri"/>
                <w:noProof/>
                <w:sz w:val="18"/>
              </w:rPr>
            </w:pPr>
            <w:r w:rsidRPr="00DF5C23">
              <w:rPr>
                <w:rFonts w:eastAsia="Calibri"/>
                <w:noProof/>
                <w:sz w:val="18"/>
                <w:szCs w:val="18"/>
              </w:rPr>
              <w:t>Impact of the proposal/initiative</w:t>
            </w:r>
            <w:r w:rsidR="004C3D41" w:rsidRPr="00DF5C23">
              <w:rPr>
                <w:rStyle w:val="FootnoteReference0"/>
                <w:rFonts w:eastAsia="Calibri"/>
                <w:noProof/>
                <w:sz w:val="18"/>
                <w:szCs w:val="18"/>
              </w:rPr>
              <w:footnoteReference w:id="107"/>
            </w:r>
          </w:p>
        </w:tc>
      </w:tr>
      <w:tr w:rsidR="00BF1765" w:rsidRPr="00DF5C23" w14:paraId="2C3A6005" w14:textId="77777777" w:rsidTr="00743354">
        <w:trPr>
          <w:trHeight w:val="388"/>
        </w:trPr>
        <w:tc>
          <w:tcPr>
            <w:tcW w:w="2144" w:type="dxa"/>
            <w:vMerge/>
          </w:tcPr>
          <w:p w14:paraId="2C3A5FFE" w14:textId="77777777" w:rsidR="00BF1765" w:rsidRPr="00DF5C23" w:rsidRDefault="00BF1765" w:rsidP="00BF1765">
            <w:pPr>
              <w:spacing w:before="40" w:after="40"/>
              <w:rPr>
                <w:rFonts w:eastAsia="Calibri"/>
                <w:noProof/>
                <w:sz w:val="18"/>
              </w:rPr>
            </w:pPr>
          </w:p>
        </w:tc>
        <w:tc>
          <w:tcPr>
            <w:tcW w:w="1325" w:type="dxa"/>
            <w:vMerge/>
          </w:tcPr>
          <w:p w14:paraId="2C3A5FFF" w14:textId="77777777" w:rsidR="00BF1765" w:rsidRPr="00DF5C23" w:rsidRDefault="00BF1765" w:rsidP="00BF1765">
            <w:pPr>
              <w:spacing w:beforeLines="40" w:before="96" w:afterLines="40" w:after="96"/>
              <w:rPr>
                <w:rFonts w:eastAsia="Calibri"/>
                <w:i/>
                <w:noProof/>
                <w:sz w:val="18"/>
              </w:rPr>
            </w:pPr>
          </w:p>
        </w:tc>
        <w:tc>
          <w:tcPr>
            <w:tcW w:w="1031" w:type="dxa"/>
            <w:vAlign w:val="center"/>
          </w:tcPr>
          <w:p w14:paraId="2C3A6000" w14:textId="77777777" w:rsidR="00BF1765" w:rsidRPr="00DF5C23" w:rsidRDefault="00BF1765" w:rsidP="00BF1765">
            <w:pPr>
              <w:jc w:val="center"/>
              <w:rPr>
                <w:rFonts w:eastAsia="Calibri"/>
                <w:noProof/>
                <w:sz w:val="18"/>
              </w:rPr>
            </w:pPr>
            <w:r w:rsidRPr="00DF5C23">
              <w:rPr>
                <w:rFonts w:eastAsia="Calibri"/>
                <w:noProof/>
                <w:sz w:val="18"/>
              </w:rPr>
              <w:t>Year</w:t>
            </w:r>
            <w:r w:rsidRPr="00DF5C23">
              <w:rPr>
                <w:rFonts w:eastAsia="Calibri"/>
                <w:noProof/>
                <w:sz w:val="22"/>
              </w:rPr>
              <w:br/>
            </w:r>
            <w:r w:rsidRPr="00DF5C23">
              <w:rPr>
                <w:rFonts w:eastAsia="Calibri"/>
                <w:b/>
                <w:noProof/>
                <w:sz w:val="18"/>
              </w:rPr>
              <w:t>N</w:t>
            </w:r>
          </w:p>
        </w:tc>
        <w:tc>
          <w:tcPr>
            <w:tcW w:w="900" w:type="dxa"/>
            <w:vAlign w:val="center"/>
          </w:tcPr>
          <w:p w14:paraId="2C3A6001" w14:textId="77777777" w:rsidR="00BF1765" w:rsidRPr="00DF5C23" w:rsidRDefault="00BF1765" w:rsidP="00BF1765">
            <w:pPr>
              <w:jc w:val="center"/>
              <w:rPr>
                <w:rFonts w:eastAsia="Calibri"/>
                <w:noProof/>
                <w:sz w:val="18"/>
              </w:rPr>
            </w:pPr>
            <w:r w:rsidRPr="00DF5C23">
              <w:rPr>
                <w:rFonts w:eastAsia="Calibri"/>
                <w:noProof/>
                <w:sz w:val="18"/>
              </w:rPr>
              <w:t>Year</w:t>
            </w:r>
            <w:r w:rsidRPr="00DF5C23">
              <w:rPr>
                <w:rFonts w:eastAsia="Calibri"/>
                <w:noProof/>
                <w:sz w:val="22"/>
              </w:rPr>
              <w:br/>
            </w:r>
            <w:r w:rsidRPr="00DF5C23">
              <w:rPr>
                <w:rFonts w:eastAsia="Calibri"/>
                <w:b/>
                <w:noProof/>
                <w:sz w:val="18"/>
              </w:rPr>
              <w:t>N+1</w:t>
            </w:r>
          </w:p>
        </w:tc>
        <w:tc>
          <w:tcPr>
            <w:tcW w:w="900" w:type="dxa"/>
            <w:vAlign w:val="center"/>
          </w:tcPr>
          <w:p w14:paraId="2C3A6002" w14:textId="77777777" w:rsidR="00BF1765" w:rsidRPr="00DF5C23" w:rsidRDefault="00BF1765" w:rsidP="00BF1765">
            <w:pPr>
              <w:jc w:val="center"/>
              <w:rPr>
                <w:rFonts w:eastAsia="Calibri"/>
                <w:noProof/>
                <w:sz w:val="18"/>
              </w:rPr>
            </w:pPr>
            <w:r w:rsidRPr="00DF5C23">
              <w:rPr>
                <w:rFonts w:eastAsia="Calibri"/>
                <w:noProof/>
                <w:sz w:val="18"/>
              </w:rPr>
              <w:t>Year</w:t>
            </w:r>
            <w:r w:rsidRPr="00DF5C23">
              <w:rPr>
                <w:rFonts w:eastAsia="Calibri"/>
                <w:noProof/>
                <w:sz w:val="22"/>
              </w:rPr>
              <w:br/>
            </w:r>
            <w:r w:rsidRPr="00DF5C23">
              <w:rPr>
                <w:rFonts w:eastAsia="Calibri"/>
                <w:b/>
                <w:noProof/>
                <w:sz w:val="18"/>
              </w:rPr>
              <w:t>N+2</w:t>
            </w:r>
          </w:p>
        </w:tc>
        <w:tc>
          <w:tcPr>
            <w:tcW w:w="1080" w:type="dxa"/>
            <w:vAlign w:val="center"/>
          </w:tcPr>
          <w:p w14:paraId="2C3A6003" w14:textId="77777777" w:rsidR="00BF1765" w:rsidRPr="00DF5C23" w:rsidRDefault="00BF1765" w:rsidP="00BF1765">
            <w:pPr>
              <w:jc w:val="center"/>
              <w:rPr>
                <w:rFonts w:eastAsia="Calibri"/>
                <w:noProof/>
                <w:sz w:val="18"/>
              </w:rPr>
            </w:pPr>
            <w:r w:rsidRPr="00DF5C23">
              <w:rPr>
                <w:rFonts w:eastAsia="Calibri"/>
                <w:noProof/>
                <w:sz w:val="18"/>
              </w:rPr>
              <w:t>Year</w:t>
            </w:r>
            <w:r w:rsidRPr="00DF5C23">
              <w:rPr>
                <w:rFonts w:eastAsia="Calibri"/>
                <w:noProof/>
                <w:sz w:val="22"/>
              </w:rPr>
              <w:br/>
            </w:r>
            <w:r w:rsidRPr="00DF5C23">
              <w:rPr>
                <w:rFonts w:eastAsia="Calibri"/>
                <w:b/>
                <w:noProof/>
                <w:sz w:val="18"/>
              </w:rPr>
              <w:t>N+3</w:t>
            </w:r>
          </w:p>
        </w:tc>
        <w:tc>
          <w:tcPr>
            <w:tcW w:w="3240" w:type="dxa"/>
            <w:gridSpan w:val="3"/>
            <w:vAlign w:val="center"/>
          </w:tcPr>
          <w:p w14:paraId="2C3A6004" w14:textId="77777777" w:rsidR="00BF1765" w:rsidRPr="00DF5C23" w:rsidRDefault="00BF1765" w:rsidP="00BF1765">
            <w:pPr>
              <w:jc w:val="center"/>
              <w:rPr>
                <w:rFonts w:eastAsia="Calibri"/>
                <w:b/>
                <w:noProof/>
                <w:sz w:val="18"/>
              </w:rPr>
            </w:pPr>
            <w:r w:rsidRPr="00DF5C23">
              <w:rPr>
                <w:rFonts w:eastAsia="Calibri"/>
                <w:noProof/>
                <w:sz w:val="18"/>
              </w:rPr>
              <w:t>Enter as many years as necessary to show the duration of the impact (see point 1.6)</w:t>
            </w:r>
          </w:p>
        </w:tc>
      </w:tr>
      <w:tr w:rsidR="00BF1765" w:rsidRPr="00DF5C23" w14:paraId="2C3A600F" w14:textId="77777777" w:rsidTr="00743354">
        <w:trPr>
          <w:trHeight w:val="388"/>
        </w:trPr>
        <w:tc>
          <w:tcPr>
            <w:tcW w:w="2144" w:type="dxa"/>
            <w:vAlign w:val="center"/>
          </w:tcPr>
          <w:p w14:paraId="2C3A6006" w14:textId="77777777" w:rsidR="00BF1765" w:rsidRPr="00DF5C23" w:rsidRDefault="00BF1765" w:rsidP="00BF1765">
            <w:pPr>
              <w:spacing w:before="40" w:after="40"/>
              <w:rPr>
                <w:rFonts w:eastAsia="Calibri"/>
                <w:noProof/>
                <w:sz w:val="18"/>
              </w:rPr>
            </w:pPr>
            <w:r w:rsidRPr="00DF5C23">
              <w:rPr>
                <w:rFonts w:eastAsia="Calibri"/>
                <w:noProof/>
                <w:sz w:val="18"/>
              </w:rPr>
              <w:t>Article ………….</w:t>
            </w:r>
          </w:p>
        </w:tc>
        <w:tc>
          <w:tcPr>
            <w:tcW w:w="1325" w:type="dxa"/>
          </w:tcPr>
          <w:p w14:paraId="2C3A6007" w14:textId="77777777" w:rsidR="00BF1765" w:rsidRPr="00DF5C23" w:rsidRDefault="00BF1765" w:rsidP="00BF1765">
            <w:pPr>
              <w:spacing w:beforeLines="40" w:before="96" w:afterLines="40" w:after="96"/>
              <w:jc w:val="center"/>
              <w:rPr>
                <w:rFonts w:eastAsia="Calibri"/>
                <w:i/>
                <w:noProof/>
                <w:sz w:val="18"/>
              </w:rPr>
            </w:pPr>
          </w:p>
        </w:tc>
        <w:tc>
          <w:tcPr>
            <w:tcW w:w="1031" w:type="dxa"/>
          </w:tcPr>
          <w:p w14:paraId="2C3A6008" w14:textId="77777777" w:rsidR="00BF1765" w:rsidRPr="00DF5C23" w:rsidRDefault="00BF1765" w:rsidP="00BF1765">
            <w:pPr>
              <w:spacing w:beforeLines="40" w:before="96" w:afterLines="40" w:after="96"/>
              <w:jc w:val="center"/>
              <w:rPr>
                <w:rFonts w:eastAsia="Calibri"/>
                <w:noProof/>
                <w:sz w:val="18"/>
              </w:rPr>
            </w:pPr>
          </w:p>
        </w:tc>
        <w:tc>
          <w:tcPr>
            <w:tcW w:w="900" w:type="dxa"/>
          </w:tcPr>
          <w:p w14:paraId="2C3A6009" w14:textId="77777777" w:rsidR="00BF1765" w:rsidRPr="00DF5C23" w:rsidRDefault="00BF1765" w:rsidP="00BF1765">
            <w:pPr>
              <w:spacing w:beforeLines="40" w:before="96" w:afterLines="40" w:after="96"/>
              <w:jc w:val="center"/>
              <w:rPr>
                <w:rFonts w:eastAsia="Calibri"/>
                <w:noProof/>
                <w:sz w:val="18"/>
              </w:rPr>
            </w:pPr>
          </w:p>
        </w:tc>
        <w:tc>
          <w:tcPr>
            <w:tcW w:w="900" w:type="dxa"/>
          </w:tcPr>
          <w:p w14:paraId="2C3A600A" w14:textId="77777777" w:rsidR="00BF1765" w:rsidRPr="00DF5C23" w:rsidRDefault="00BF1765" w:rsidP="00BF1765">
            <w:pPr>
              <w:spacing w:beforeLines="40" w:before="96" w:afterLines="40" w:after="96"/>
              <w:jc w:val="center"/>
              <w:rPr>
                <w:rFonts w:eastAsia="Calibri"/>
                <w:noProof/>
                <w:sz w:val="18"/>
              </w:rPr>
            </w:pPr>
          </w:p>
        </w:tc>
        <w:tc>
          <w:tcPr>
            <w:tcW w:w="1080" w:type="dxa"/>
          </w:tcPr>
          <w:p w14:paraId="2C3A600B" w14:textId="77777777" w:rsidR="00BF1765" w:rsidRPr="00DF5C23" w:rsidRDefault="00BF1765" w:rsidP="00BF1765">
            <w:pPr>
              <w:spacing w:beforeLines="40" w:before="96" w:afterLines="40" w:after="96"/>
              <w:jc w:val="center"/>
              <w:rPr>
                <w:rFonts w:eastAsia="Calibri"/>
                <w:noProof/>
                <w:sz w:val="18"/>
              </w:rPr>
            </w:pPr>
          </w:p>
        </w:tc>
        <w:tc>
          <w:tcPr>
            <w:tcW w:w="1080" w:type="dxa"/>
          </w:tcPr>
          <w:p w14:paraId="2C3A600C" w14:textId="77777777" w:rsidR="00BF1765" w:rsidRPr="00DF5C23" w:rsidRDefault="00BF1765" w:rsidP="00BF1765">
            <w:pPr>
              <w:spacing w:beforeLines="40" w:before="96" w:afterLines="40" w:after="96"/>
              <w:jc w:val="center"/>
              <w:rPr>
                <w:rFonts w:eastAsia="Calibri"/>
                <w:noProof/>
                <w:sz w:val="18"/>
              </w:rPr>
            </w:pPr>
          </w:p>
        </w:tc>
        <w:tc>
          <w:tcPr>
            <w:tcW w:w="1080" w:type="dxa"/>
          </w:tcPr>
          <w:p w14:paraId="2C3A600D" w14:textId="77777777" w:rsidR="00BF1765" w:rsidRPr="00DF5C23" w:rsidRDefault="00BF1765" w:rsidP="00BF1765">
            <w:pPr>
              <w:spacing w:beforeLines="40" w:before="96" w:afterLines="40" w:after="96"/>
              <w:jc w:val="center"/>
              <w:rPr>
                <w:rFonts w:eastAsia="Calibri"/>
                <w:noProof/>
                <w:sz w:val="18"/>
              </w:rPr>
            </w:pPr>
          </w:p>
        </w:tc>
        <w:tc>
          <w:tcPr>
            <w:tcW w:w="1080" w:type="dxa"/>
          </w:tcPr>
          <w:p w14:paraId="2C3A600E" w14:textId="77777777" w:rsidR="00BF1765" w:rsidRPr="00DF5C23" w:rsidRDefault="00BF1765" w:rsidP="00BF1765">
            <w:pPr>
              <w:spacing w:beforeLines="40" w:before="96" w:afterLines="40" w:after="96"/>
              <w:jc w:val="center"/>
              <w:rPr>
                <w:rFonts w:eastAsia="Calibri"/>
                <w:noProof/>
                <w:sz w:val="18"/>
              </w:rPr>
            </w:pPr>
          </w:p>
        </w:tc>
      </w:tr>
    </w:tbl>
    <w:p w14:paraId="2C3A6010" w14:textId="77777777" w:rsidR="00BF1765" w:rsidRPr="00DF5C23" w:rsidRDefault="00BF1765" w:rsidP="00BF1765">
      <w:pPr>
        <w:ind w:left="850"/>
        <w:rPr>
          <w:rFonts w:eastAsia="Calibri"/>
          <w:noProof/>
          <w:sz w:val="20"/>
        </w:rPr>
      </w:pPr>
      <w:r w:rsidRPr="00DF5C23">
        <w:rPr>
          <w:rFonts w:eastAsia="Calibri"/>
          <w:noProof/>
          <w:sz w:val="20"/>
        </w:rPr>
        <w:t>For assigned revenue, specify the budget expenditure line(s) affected.</w:t>
      </w:r>
    </w:p>
    <w:p w14:paraId="2C3A6011" w14:textId="77777777" w:rsidR="00BF1765" w:rsidRPr="00DF5C23"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6012" w14:textId="77777777" w:rsidR="00BF1765" w:rsidRPr="00BF1765" w:rsidRDefault="00BF1765" w:rsidP="00BF1765">
      <w:pPr>
        <w:ind w:left="850"/>
        <w:rPr>
          <w:rFonts w:eastAsia="Calibri"/>
          <w:noProof/>
          <w:sz w:val="20"/>
        </w:rPr>
      </w:pPr>
      <w:r w:rsidRPr="00DF5C23">
        <w:rPr>
          <w:rFonts w:eastAsia="Calibri"/>
          <w:noProof/>
          <w:sz w:val="20"/>
        </w:rPr>
        <w:t>Other remarks (e.g. method/formula used for calculating the impact on revenue or any other information).</w:t>
      </w:r>
    </w:p>
    <w:p w14:paraId="2C3A6013" w14:textId="77777777" w:rsidR="00BF1765" w:rsidRPr="00BF1765" w:rsidRDefault="00BF1765" w:rsidP="00BF1765">
      <w:pPr>
        <w:pBdr>
          <w:top w:val="single" w:sz="4" w:space="1" w:color="auto"/>
          <w:left w:val="single" w:sz="4" w:space="4" w:color="auto"/>
          <w:bottom w:val="single" w:sz="4" w:space="1" w:color="auto"/>
          <w:right w:val="single" w:sz="4" w:space="4" w:color="auto"/>
        </w:pBdr>
        <w:ind w:left="850"/>
        <w:rPr>
          <w:rFonts w:eastAsia="Calibri"/>
          <w:noProof/>
        </w:rPr>
      </w:pPr>
    </w:p>
    <w:p w14:paraId="2C3A6014" w14:textId="77777777" w:rsidR="00BF1765" w:rsidRPr="00BF1765" w:rsidRDefault="00BF1765" w:rsidP="00BF1765">
      <w:pPr>
        <w:rPr>
          <w:rFonts w:eastAsia="Calibri"/>
          <w:noProof/>
        </w:rPr>
      </w:pPr>
    </w:p>
    <w:p w14:paraId="2C3A6015" w14:textId="77777777" w:rsidR="005879E3" w:rsidRDefault="005879E3" w:rsidP="00BF1765">
      <w:pPr>
        <w:jc w:val="center"/>
        <w:rPr>
          <w:noProof/>
        </w:rPr>
      </w:pPr>
    </w:p>
    <w:sectPr w:rsidR="005879E3" w:rsidSect="008B42B0">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FF3" w16cex:dateUtc="2022-03-11T09:16:00Z"/>
  <w16cex:commentExtensible w16cex:durableId="25D5A053" w16cex:dateUtc="2022-03-1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737EF" w16cid:durableId="25D42ECD"/>
  <w16cid:commentId w16cid:paraId="1F257728" w16cid:durableId="25D42ECE"/>
  <w16cid:commentId w16cid:paraId="23C4DEEF" w16cid:durableId="25D42ECF"/>
  <w16cid:commentId w16cid:paraId="17A216F0" w16cid:durableId="25D42ED0"/>
  <w16cid:commentId w16cid:paraId="47587367" w16cid:durableId="25D42ED1"/>
  <w16cid:commentId w16cid:paraId="00A49124" w16cid:durableId="25D42ED2"/>
  <w16cid:commentId w16cid:paraId="00383D31" w16cid:durableId="25D59C4F"/>
  <w16cid:commentId w16cid:paraId="0E057D6D" w16cid:durableId="25D42ED3"/>
  <w16cid:commentId w16cid:paraId="7A9BF78F" w16cid:durableId="25D59C51"/>
  <w16cid:commentId w16cid:paraId="734BF1AA" w16cid:durableId="25D42ED4"/>
  <w16cid:commentId w16cid:paraId="0D4F94E0" w16cid:durableId="25D42ED5"/>
  <w16cid:commentId w16cid:paraId="0972706C" w16cid:durableId="25D42ED6"/>
  <w16cid:commentId w16cid:paraId="44BFBCFD" w16cid:durableId="25D42ED7"/>
  <w16cid:commentId w16cid:paraId="6148A8B3" w16cid:durableId="25D42ED8"/>
  <w16cid:commentId w16cid:paraId="4F116268" w16cid:durableId="25D42ED9"/>
  <w16cid:commentId w16cid:paraId="7CA69819" w16cid:durableId="25D42EDA"/>
  <w16cid:commentId w16cid:paraId="1085073E" w16cid:durableId="25D42EDB"/>
  <w16cid:commentId w16cid:paraId="7D6B63D2" w16cid:durableId="25D42EDC"/>
  <w16cid:commentId w16cid:paraId="55B67E2C" w16cid:durableId="25D42EDD"/>
  <w16cid:commentId w16cid:paraId="35DDDCF5" w16cid:durableId="25D42EDE"/>
  <w16cid:commentId w16cid:paraId="744A3E55" w16cid:durableId="25D42EDF"/>
  <w16cid:commentId w16cid:paraId="78E9DEF9" w16cid:durableId="25D59C5E"/>
  <w16cid:commentId w16cid:paraId="0903C65F" w16cid:durableId="25D59C5F"/>
  <w16cid:commentId w16cid:paraId="3D5C21E0" w16cid:durableId="25D42EE0"/>
  <w16cid:commentId w16cid:paraId="4232993F" w16cid:durableId="25D42EE1"/>
  <w16cid:commentId w16cid:paraId="618E0F6C" w16cid:durableId="25D42EE2"/>
  <w16cid:commentId w16cid:paraId="1CAACB3C" w16cid:durableId="25D42EE3"/>
  <w16cid:commentId w16cid:paraId="79C7AEB4" w16cid:durableId="25D59C64"/>
  <w16cid:commentId w16cid:paraId="381AB189" w16cid:durableId="25D42EE5"/>
  <w16cid:commentId w16cid:paraId="6F9CEA6A" w16cid:durableId="25D42EE6"/>
  <w16cid:commentId w16cid:paraId="123C3F6F" w16cid:durableId="25D42EE7"/>
  <w16cid:commentId w16cid:paraId="7D147201" w16cid:durableId="25D42EE8"/>
  <w16cid:commentId w16cid:paraId="1D69F4D4" w16cid:durableId="25D42EE9"/>
  <w16cid:commentId w16cid:paraId="2AE193ED" w16cid:durableId="25D42EEA"/>
  <w16cid:commentId w16cid:paraId="64FAA100" w16cid:durableId="25D42EEB"/>
  <w16cid:commentId w16cid:paraId="49AFB909" w16cid:durableId="25D59C6C"/>
  <w16cid:commentId w16cid:paraId="5DEBF16B" w16cid:durableId="25D59C6D"/>
  <w16cid:commentId w16cid:paraId="1A2E4940" w16cid:durableId="25D59C6E"/>
  <w16cid:commentId w16cid:paraId="0F3FA144" w16cid:durableId="25D59C6F"/>
  <w16cid:commentId w16cid:paraId="2D871259" w16cid:durableId="25D59C70"/>
  <w16cid:commentId w16cid:paraId="20207E32" w16cid:durableId="25D59C71"/>
  <w16cid:commentId w16cid:paraId="0315A09E" w16cid:durableId="25D59C72"/>
  <w16cid:commentId w16cid:paraId="39C128FF" w16cid:durableId="25D59C73"/>
  <w16cid:commentId w16cid:paraId="634AC110" w16cid:durableId="25D59C74"/>
  <w16cid:commentId w16cid:paraId="0CD24441" w16cid:durableId="25D42EEC"/>
  <w16cid:commentId w16cid:paraId="1F1CFE6C" w16cid:durableId="25D59C76"/>
  <w16cid:commentId w16cid:paraId="537AC2F7" w16cid:durableId="25D42EED"/>
  <w16cid:commentId w16cid:paraId="6DF74F10" w16cid:durableId="25D59C78"/>
  <w16cid:commentId w16cid:paraId="3352D4EF" w16cid:durableId="25D42EEE"/>
  <w16cid:commentId w16cid:paraId="7E0D9FF2" w16cid:durableId="25D42EEF"/>
  <w16cid:commentId w16cid:paraId="4E47E6B8" w16cid:durableId="25D42EF0"/>
  <w16cid:commentId w16cid:paraId="71585D08" w16cid:durableId="25D42EF2"/>
  <w16cid:commentId w16cid:paraId="07553F28" w16cid:durableId="25D42EF3"/>
  <w16cid:commentId w16cid:paraId="390F9B7B" w16cid:durableId="25D42EF4"/>
  <w16cid:commentId w16cid:paraId="6C49A1E1" w16cid:durableId="25D42EF5"/>
  <w16cid:commentId w16cid:paraId="214A0F69" w16cid:durableId="25D42EF6"/>
  <w16cid:commentId w16cid:paraId="13D70DC4" w16cid:durableId="25D42EF7"/>
  <w16cid:commentId w16cid:paraId="05FC1AD5" w16cid:durableId="25D42EF8"/>
  <w16cid:commentId w16cid:paraId="1D5AF18D" w16cid:durableId="25D42EF9"/>
  <w16cid:commentId w16cid:paraId="4D8A123F" w16cid:durableId="25D42EFA"/>
  <w16cid:commentId w16cid:paraId="06F3E3CC" w16cid:durableId="25D42EFB"/>
  <w16cid:commentId w16cid:paraId="1CFC44F0" w16cid:durableId="25D42EFC"/>
  <w16cid:commentId w16cid:paraId="180A32A6" w16cid:durableId="25D59C87"/>
  <w16cid:commentId w16cid:paraId="39ED5733" w16cid:durableId="25D59C88"/>
  <w16cid:commentId w16cid:paraId="0382FE10" w16cid:durableId="25D59C89"/>
  <w16cid:commentId w16cid:paraId="5359583F" w16cid:durableId="25D59C8A"/>
  <w16cid:commentId w16cid:paraId="3760D145" w16cid:durableId="25D42EFD"/>
  <w16cid:commentId w16cid:paraId="1A9AF9DE" w16cid:durableId="25D42EFE"/>
  <w16cid:commentId w16cid:paraId="5E3227A2" w16cid:durableId="25D42EFF"/>
  <w16cid:commentId w16cid:paraId="299F2A5F" w16cid:durableId="25D42F00"/>
  <w16cid:commentId w16cid:paraId="6F7C49E6" w16cid:durableId="25D42F01"/>
  <w16cid:commentId w16cid:paraId="5D8DDD0D" w16cid:durableId="25D42F02"/>
  <w16cid:commentId w16cid:paraId="52F59534" w16cid:durableId="25D59C91"/>
  <w16cid:commentId w16cid:paraId="02A3819D" w16cid:durableId="25D59C92"/>
  <w16cid:commentId w16cid:paraId="648B6A3E" w16cid:durableId="25D42F03"/>
  <w16cid:commentId w16cid:paraId="4DEEED1C" w16cid:durableId="25D42F05"/>
  <w16cid:commentId w16cid:paraId="5377A8AF" w16cid:durableId="25D42F06"/>
  <w16cid:commentId w16cid:paraId="10702A55" w16cid:durableId="25D42F07"/>
  <w16cid:commentId w16cid:paraId="209D5296" w16cid:durableId="25D59C97"/>
  <w16cid:commentId w16cid:paraId="03984B2D" w16cid:durableId="25D42F09"/>
  <w16cid:commentId w16cid:paraId="06D8DA08" w16cid:durableId="25D42F0A"/>
  <w16cid:commentId w16cid:paraId="6BA06ED8" w16cid:durableId="25D42F0B"/>
  <w16cid:commentId w16cid:paraId="019B4D86" w16cid:durableId="25D59C9B"/>
  <w16cid:commentId w16cid:paraId="70ACB1AB" w16cid:durableId="25D59C9C"/>
  <w16cid:commentId w16cid:paraId="3A131B80" w16cid:durableId="25D59C9D"/>
  <w16cid:commentId w16cid:paraId="6C5CA78A" w16cid:durableId="25D59C9E"/>
  <w16cid:commentId w16cid:paraId="39944D7F" w16cid:durableId="25D59C9F"/>
  <w16cid:commentId w16cid:paraId="0ABC3207" w16cid:durableId="25D59CA0"/>
  <w16cid:commentId w16cid:paraId="72A4422B" w16cid:durableId="25D59CA1"/>
  <w16cid:commentId w16cid:paraId="6DEEC5C9" w16cid:durableId="25D59CA2"/>
  <w16cid:commentId w16cid:paraId="1049611A" w16cid:durableId="25D42F0C"/>
  <w16cid:commentId w16cid:paraId="49AB3B33" w16cid:durableId="25D42F0D"/>
  <w16cid:commentId w16cid:paraId="3EDB9D97" w16cid:durableId="25D42F0E"/>
  <w16cid:commentId w16cid:paraId="4189CBBD" w16cid:durableId="25D42F0F"/>
  <w16cid:commentId w16cid:paraId="703E4B67" w16cid:durableId="25D42F10"/>
  <w16cid:commentId w16cid:paraId="743A25A9" w16cid:durableId="25D42F11"/>
  <w16cid:commentId w16cid:paraId="79EA3C27" w16cid:durableId="25D42F12"/>
  <w16cid:commentId w16cid:paraId="2A12990F" w16cid:durableId="25D42F13"/>
  <w16cid:commentId w16cid:paraId="35B7D1D9" w16cid:durableId="25D42F14"/>
  <w16cid:commentId w16cid:paraId="30284730" w16cid:durableId="25D59CAC"/>
  <w16cid:commentId w16cid:paraId="6712EF79" w16cid:durableId="25D42F15"/>
  <w16cid:commentId w16cid:paraId="2AB251DC" w16cid:durableId="25D42F1A"/>
  <w16cid:commentId w16cid:paraId="42234585" w16cid:durableId="25D59CAF"/>
  <w16cid:commentId w16cid:paraId="55FE4DF5" w16cid:durableId="25D42F1B"/>
  <w16cid:commentId w16cid:paraId="6679BCA2" w16cid:durableId="25D59CB1"/>
  <w16cid:commentId w16cid:paraId="447E3572" w16cid:durableId="25D59CB2"/>
  <w16cid:commentId w16cid:paraId="7271BADB" w16cid:durableId="25D42F1C"/>
  <w16cid:commentId w16cid:paraId="5165CB12" w16cid:durableId="25D42F1D"/>
  <w16cid:commentId w16cid:paraId="0794904B" w16cid:durableId="25D42F1E"/>
  <w16cid:commentId w16cid:paraId="0FCA43C4" w16cid:durableId="25D42F1F"/>
  <w16cid:commentId w16cid:paraId="265405BF" w16cid:durableId="25D42F20"/>
  <w16cid:commentId w16cid:paraId="1505214D" w16cid:durableId="25D42F21"/>
  <w16cid:commentId w16cid:paraId="47C4B937" w16cid:durableId="25D59CB9"/>
  <w16cid:commentId w16cid:paraId="0ED40453" w16cid:durableId="25D42F22"/>
  <w16cid:commentId w16cid:paraId="48842241" w16cid:durableId="25D59CBB"/>
  <w16cid:commentId w16cid:paraId="5DEF9CFB" w16cid:durableId="25D42F23"/>
  <w16cid:commentId w16cid:paraId="172F7F39" w16cid:durableId="25D42F24"/>
  <w16cid:commentId w16cid:paraId="3ABF5B1D" w16cid:durableId="25D42F25"/>
  <w16cid:commentId w16cid:paraId="18756B5A" w16cid:durableId="25D42F26"/>
  <w16cid:commentId w16cid:paraId="0476A287" w16cid:durableId="25D42F27"/>
  <w16cid:commentId w16cid:paraId="6EA93644" w16cid:durableId="25D42F28"/>
  <w16cid:commentId w16cid:paraId="665736C5" w16cid:durableId="25D42F29"/>
  <w16cid:commentId w16cid:paraId="7E9EFA59" w16cid:durableId="25D42F2A"/>
  <w16cid:commentId w16cid:paraId="626A25EA" w16cid:durableId="25D42F2B"/>
  <w16cid:commentId w16cid:paraId="4D6F7BCC" w16cid:durableId="25D59CC5"/>
  <w16cid:commentId w16cid:paraId="136EEC8A" w16cid:durableId="25D42F2C"/>
  <w16cid:commentId w16cid:paraId="37A29E11" w16cid:durableId="25D42F2D"/>
  <w16cid:commentId w16cid:paraId="2427D99B" w16cid:durableId="25D59CC8"/>
  <w16cid:commentId w16cid:paraId="43120C2A" w16cid:durableId="25D42F2E"/>
  <w16cid:commentId w16cid:paraId="02C22574" w16cid:durableId="25D42F2F"/>
  <w16cid:commentId w16cid:paraId="54DDB812" w16cid:durableId="25D59CCB"/>
  <w16cid:commentId w16cid:paraId="22BA1258" w16cid:durableId="25D42F30"/>
  <w16cid:commentId w16cid:paraId="21780FDC" w16cid:durableId="25D42F31"/>
  <w16cid:commentId w16cid:paraId="78FCBC59" w16cid:durableId="25D42F32"/>
  <w16cid:commentId w16cid:paraId="7345D2B6" w16cid:durableId="25D42F33"/>
  <w16cid:commentId w16cid:paraId="3C2F0C2D" w16cid:durableId="25D59CD0"/>
  <w16cid:commentId w16cid:paraId="0CC10BA0" w16cid:durableId="25D59FF3"/>
  <w16cid:commentId w16cid:paraId="4EA6FEB2" w16cid:durableId="25D59CD1"/>
  <w16cid:commentId w16cid:paraId="017C92AA" w16cid:durableId="25D5A053"/>
  <w16cid:commentId w16cid:paraId="7357CC82" w16cid:durableId="25D42F34"/>
  <w16cid:commentId w16cid:paraId="1520C8B8" w16cid:durableId="25D59CD3"/>
  <w16cid:commentId w16cid:paraId="25C0E87A" w16cid:durableId="25D59CD4"/>
  <w16cid:commentId w16cid:paraId="74A35B8C" w16cid:durableId="25D59CD5"/>
  <w16cid:commentId w16cid:paraId="0F86717A" w16cid:durableId="25D42F35"/>
  <w16cid:commentId w16cid:paraId="7A34A823" w16cid:durableId="25D42F36"/>
  <w16cid:commentId w16cid:paraId="48D6EB7A" w16cid:durableId="25D42F37"/>
  <w16cid:commentId w16cid:paraId="1073FD0D" w16cid:durableId="25D42F38"/>
  <w16cid:commentId w16cid:paraId="73EF6114" w16cid:durableId="25D42F39"/>
  <w16cid:commentId w16cid:paraId="67D7FE25" w16cid:durableId="25D59CDB"/>
  <w16cid:commentId w16cid:paraId="4F4DAA82" w16cid:durableId="25D42F3A"/>
  <w16cid:commentId w16cid:paraId="00FC2E32" w16cid:durableId="25D59CDD"/>
  <w16cid:commentId w16cid:paraId="3D6D1B2D" w16cid:durableId="25D42F3B"/>
  <w16cid:commentId w16cid:paraId="1A0B2B97" w16cid:durableId="25D59CDF"/>
  <w16cid:commentId w16cid:paraId="6B661A23" w16cid:durableId="25D59CE0"/>
  <w16cid:commentId w16cid:paraId="7B9FA275" w16cid:durableId="25D59CE1"/>
  <w16cid:commentId w16cid:paraId="4494DF58" w16cid:durableId="25D59CE2"/>
  <w16cid:commentId w16cid:paraId="37542550" w16cid:durableId="25D59CE3"/>
  <w16cid:commentId w16cid:paraId="74EFEB0F" w16cid:durableId="25D59CE4"/>
  <w16cid:commentId w16cid:paraId="6BEA3845" w16cid:durableId="25D59CE5"/>
  <w16cid:commentId w16cid:paraId="74670180" w16cid:durableId="25D59CE6"/>
  <w16cid:commentId w16cid:paraId="74C2449C" w16cid:durableId="25D59CE7"/>
  <w16cid:commentId w16cid:paraId="77A870D6" w16cid:durableId="25D59CE8"/>
  <w16cid:commentId w16cid:paraId="3C44ED51" w16cid:durableId="25D59CE9"/>
  <w16cid:commentId w16cid:paraId="56777BB8" w16cid:durableId="25D59CEA"/>
  <w16cid:commentId w16cid:paraId="3EE016DA" w16cid:durableId="25D59CEB"/>
  <w16cid:commentId w16cid:paraId="38B7A0D6" w16cid:durableId="25D59CEC"/>
  <w16cid:commentId w16cid:paraId="498D5C0B" w16cid:durableId="25D42F49"/>
  <w16cid:commentId w16cid:paraId="6EAD5FC8" w16cid:durableId="25D59CEE"/>
  <w16cid:commentId w16cid:paraId="6C0DF5DF" w16cid:durableId="25D59CEF"/>
  <w16cid:commentId w16cid:paraId="549C344B" w16cid:durableId="25D59CF0"/>
  <w16cid:commentId w16cid:paraId="078F1012" w16cid:durableId="25D59CF1"/>
  <w16cid:commentId w16cid:paraId="16682875" w16cid:durableId="25D59CF2"/>
  <w16cid:commentId w16cid:paraId="34E4C089" w16cid:durableId="25D59CF3"/>
  <w16cid:commentId w16cid:paraId="424BB2AE" w16cid:durableId="25D59CF4"/>
  <w16cid:commentId w16cid:paraId="6D1294A6" w16cid:durableId="25D59CF5"/>
  <w16cid:commentId w16cid:paraId="5A031D16" w16cid:durableId="25D59CF6"/>
  <w16cid:commentId w16cid:paraId="447FACA9" w16cid:durableId="25D59CF7"/>
  <w16cid:commentId w16cid:paraId="465458F5" w16cid:durableId="25D59CF8"/>
  <w16cid:commentId w16cid:paraId="41311FEF" w16cid:durableId="25D59CF9"/>
  <w16cid:commentId w16cid:paraId="49BB01F9" w16cid:durableId="25D59CFA"/>
  <w16cid:commentId w16cid:paraId="1BCE44B3" w16cid:durableId="25D59CFB"/>
  <w16cid:commentId w16cid:paraId="38AC43CD" w16cid:durableId="25D59CFC"/>
  <w16cid:commentId w16cid:paraId="11033A0E" w16cid:durableId="25D59CFD"/>
  <w16cid:commentId w16cid:paraId="60AEB185" w16cid:durableId="25D59CFE"/>
  <w16cid:commentId w16cid:paraId="64BFF3B4" w16cid:durableId="25D59CFF"/>
  <w16cid:commentId w16cid:paraId="0B0B6738" w16cid:durableId="25D59D00"/>
  <w16cid:commentId w16cid:paraId="7156B68D" w16cid:durableId="25D42F4A"/>
  <w16cid:commentId w16cid:paraId="2F249D07" w16cid:durableId="25D42F4B"/>
  <w16cid:commentId w16cid:paraId="474F8734" w16cid:durableId="25D42F4C"/>
  <w16cid:commentId w16cid:paraId="75C43104" w16cid:durableId="25D42F4D"/>
  <w16cid:commentId w16cid:paraId="6A758E01" w16cid:durableId="25D42F4E"/>
  <w16cid:commentId w16cid:paraId="55E02E7C" w16cid:durableId="25D42F4F"/>
  <w16cid:commentId w16cid:paraId="3B878A51" w16cid:durableId="25D42F50"/>
  <w16cid:commentId w16cid:paraId="373E53E6" w16cid:durableId="25D59D08"/>
  <w16cid:commentId w16cid:paraId="2BC85798" w16cid:durableId="25D42F51"/>
  <w16cid:commentId w16cid:paraId="78A0AD96" w16cid:durableId="25D42F52"/>
  <w16cid:commentId w16cid:paraId="7B27B4D5" w16cid:durableId="25D42F53"/>
  <w16cid:commentId w16cid:paraId="6C1664BA" w16cid:durableId="25D42F54"/>
  <w16cid:commentId w16cid:paraId="4FFEF11E" w16cid:durableId="25D42F55"/>
  <w16cid:commentId w16cid:paraId="2AD2DFD3" w16cid:durableId="25D42F56"/>
  <w16cid:commentId w16cid:paraId="76C49DFC" w16cid:durableId="25D42F58"/>
  <w16cid:commentId w16cid:paraId="3F4958C8" w16cid:durableId="25D42F59"/>
  <w16cid:commentId w16cid:paraId="7925DDA2" w16cid:durableId="25D42F5A"/>
  <w16cid:commentId w16cid:paraId="2309E057" w16cid:durableId="25D42F5B"/>
  <w16cid:commentId w16cid:paraId="5ACF5F56" w16cid:durableId="25D59D13"/>
  <w16cid:commentId w16cid:paraId="65D55737" w16cid:durableId="25D59D14"/>
  <w16cid:commentId w16cid:paraId="07C7DA74" w16cid:durableId="25D42F5C"/>
  <w16cid:commentId w16cid:paraId="65A32617" w16cid:durableId="25D42F5D"/>
  <w16cid:commentId w16cid:paraId="3EF92B94" w16cid:durableId="25D42F5E"/>
  <w16cid:commentId w16cid:paraId="038851A1" w16cid:durableId="25D42F5F"/>
  <w16cid:commentId w16cid:paraId="6EA8AD20" w16cid:durableId="25D42F60"/>
  <w16cid:commentId w16cid:paraId="78C1DA5E" w16cid:durableId="25D42F61"/>
  <w16cid:commentId w16cid:paraId="6C2FFB2C" w16cid:durableId="25D42F62"/>
  <w16cid:commentId w16cid:paraId="01B240F4" w16cid:durableId="25D42F63"/>
  <w16cid:commentId w16cid:paraId="2CE4C24F" w16cid:durableId="25D42F64"/>
  <w16cid:commentId w16cid:paraId="19B5D08A" w16cid:durableId="25D59D1E"/>
  <w16cid:commentId w16cid:paraId="49B075CF" w16cid:durableId="25D59D1F"/>
  <w16cid:commentId w16cid:paraId="2C6A3A58" w16cid:durableId="25D59D20"/>
  <w16cid:commentId w16cid:paraId="77CC9EDB" w16cid:durableId="25D42F65"/>
  <w16cid:commentId w16cid:paraId="7247106A" w16cid:durableId="25D42F66"/>
  <w16cid:commentId w16cid:paraId="019CA275" w16cid:durableId="25D42F67"/>
  <w16cid:commentId w16cid:paraId="3AE2E3FD" w16cid:durableId="25D59D24"/>
  <w16cid:commentId w16cid:paraId="27FE8C0B" w16cid:durableId="25D42F68"/>
  <w16cid:commentId w16cid:paraId="06A80077" w16cid:durableId="25D42F69"/>
  <w16cid:commentId w16cid:paraId="3454ABDC" w16cid:durableId="25D59D27"/>
  <w16cid:commentId w16cid:paraId="3DC4B288" w16cid:durableId="25D42F6A"/>
  <w16cid:commentId w16cid:paraId="5C68AAB0" w16cid:durableId="25D59D29"/>
  <w16cid:commentId w16cid:paraId="64798BE6" w16cid:durableId="25D42F6C"/>
  <w16cid:commentId w16cid:paraId="21BF63AF" w16cid:durableId="25D42F6D"/>
  <w16cid:commentId w16cid:paraId="2A290B9B" w16cid:durableId="25D42F6E"/>
  <w16cid:commentId w16cid:paraId="240A7AEE" w16cid:durableId="25D42F6F"/>
  <w16cid:commentId w16cid:paraId="247AFC6C" w16cid:durableId="25D42F70"/>
  <w16cid:commentId w16cid:paraId="2C9AC3D3" w16cid:durableId="25D42F71"/>
  <w16cid:commentId w16cid:paraId="596E2EFE" w16cid:durableId="25D59D30"/>
  <w16cid:commentId w16cid:paraId="1F35221B" w16cid:durableId="25D59D31"/>
  <w16cid:commentId w16cid:paraId="4C20D944" w16cid:durableId="25D59D32"/>
  <w16cid:commentId w16cid:paraId="12A5653D" w16cid:durableId="25D42F72"/>
  <w16cid:commentId w16cid:paraId="6E2984BD" w16cid:durableId="25D42F73"/>
  <w16cid:commentId w16cid:paraId="2D3A33B9" w16cid:durableId="25D42F74"/>
  <w16cid:commentId w16cid:paraId="2CDF1DB8" w16cid:durableId="25D42F75"/>
  <w16cid:commentId w16cid:paraId="0683E9B3" w16cid:durableId="25D42F76"/>
  <w16cid:commentId w16cid:paraId="30515BD6" w16cid:durableId="25D42F77"/>
  <w16cid:commentId w16cid:paraId="05056483" w16cid:durableId="25D42F78"/>
  <w16cid:commentId w16cid:paraId="2277403F" w16cid:durableId="25D42F79"/>
  <w16cid:commentId w16cid:paraId="79037B73" w16cid:durableId="25D42F7A"/>
  <w16cid:commentId w16cid:paraId="374A816C" w16cid:durableId="25D42F7B"/>
  <w16cid:commentId w16cid:paraId="772139B3" w16cid:durableId="25D42F7C"/>
  <w16cid:commentId w16cid:paraId="00D49446" w16cid:durableId="25D42F7D"/>
  <w16cid:commentId w16cid:paraId="5C8B824D" w16cid:durableId="25D42F7E"/>
  <w16cid:commentId w16cid:paraId="241EBCE3" w16cid:durableId="25D42F7F"/>
  <w16cid:commentId w16cid:paraId="05A0B38C" w16cid:durableId="25D42F80"/>
  <w16cid:commentId w16cid:paraId="023E04DF" w16cid:durableId="25D42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59B2" w14:textId="77777777" w:rsidR="004D3B6A" w:rsidRDefault="004D3B6A" w:rsidP="005879E3">
      <w:pPr>
        <w:spacing w:before="0" w:after="0"/>
      </w:pPr>
      <w:r>
        <w:separator/>
      </w:r>
    </w:p>
  </w:endnote>
  <w:endnote w:type="continuationSeparator" w:id="0">
    <w:p w14:paraId="42B5EF96" w14:textId="77777777" w:rsidR="004D3B6A" w:rsidRDefault="004D3B6A" w:rsidP="005879E3">
      <w:pPr>
        <w:spacing w:before="0" w:after="0"/>
      </w:pPr>
      <w:r>
        <w:continuationSeparator/>
      </w:r>
    </w:p>
  </w:endnote>
  <w:endnote w:type="continuationNotice" w:id="1">
    <w:p w14:paraId="38F7B673" w14:textId="77777777" w:rsidR="004D3B6A" w:rsidRDefault="004D3B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70E" w14:textId="0FBFE47A" w:rsidR="004D3B6A" w:rsidRPr="008B42B0" w:rsidRDefault="008B42B0" w:rsidP="008B42B0">
    <w:pPr>
      <w:pStyle w:val="Footer"/>
      <w:rPr>
        <w:rFonts w:ascii="Arial" w:hAnsi="Arial" w:cs="Arial"/>
        <w:b/>
        <w:sz w:val="48"/>
      </w:rPr>
    </w:pPr>
    <w:r w:rsidRPr="008B42B0">
      <w:rPr>
        <w:rFonts w:ascii="Arial" w:hAnsi="Arial" w:cs="Arial"/>
        <w:b/>
        <w:sz w:val="48"/>
      </w:rPr>
      <w:t>EN</w:t>
    </w:r>
    <w:r w:rsidRPr="008B42B0">
      <w:rPr>
        <w:rFonts w:ascii="Arial" w:hAnsi="Arial" w:cs="Arial"/>
        <w:b/>
        <w:sz w:val="48"/>
      </w:rPr>
      <w:tab/>
    </w:r>
    <w:r w:rsidRPr="008B42B0">
      <w:rPr>
        <w:rFonts w:ascii="Arial" w:hAnsi="Arial" w:cs="Arial"/>
        <w:b/>
        <w:sz w:val="48"/>
      </w:rPr>
      <w:tab/>
    </w:r>
    <w:r w:rsidRPr="008B42B0">
      <w:tab/>
    </w:r>
    <w:r w:rsidRPr="008B42B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AD0E" w14:textId="532BFB18" w:rsidR="008B42B0" w:rsidRPr="008B42B0" w:rsidRDefault="008B42B0" w:rsidP="008B42B0">
    <w:pPr>
      <w:pStyle w:val="Footer"/>
      <w:rPr>
        <w:rFonts w:ascii="Arial" w:hAnsi="Arial" w:cs="Arial"/>
        <w:b/>
        <w:sz w:val="48"/>
      </w:rPr>
    </w:pPr>
    <w:r w:rsidRPr="008B42B0">
      <w:rPr>
        <w:rFonts w:ascii="Arial" w:hAnsi="Arial" w:cs="Arial"/>
        <w:b/>
        <w:sz w:val="48"/>
      </w:rPr>
      <w:t>EN</w:t>
    </w:r>
    <w:r w:rsidRPr="008B42B0">
      <w:rPr>
        <w:rFonts w:ascii="Arial" w:hAnsi="Arial" w:cs="Arial"/>
        <w:b/>
        <w:sz w:val="48"/>
      </w:rPr>
      <w:tab/>
    </w:r>
    <w:r>
      <w:fldChar w:fldCharType="begin"/>
    </w:r>
    <w:r>
      <w:instrText xml:space="preserve"> PAGE  \* MERGEFORMAT </w:instrText>
    </w:r>
    <w:r>
      <w:fldChar w:fldCharType="separate"/>
    </w:r>
    <w:r w:rsidR="007302C4">
      <w:rPr>
        <w:noProof/>
      </w:rPr>
      <w:t>94</w:t>
    </w:r>
    <w:r>
      <w:fldChar w:fldCharType="end"/>
    </w:r>
    <w:r>
      <w:tab/>
    </w:r>
    <w:r w:rsidRPr="008B42B0">
      <w:tab/>
    </w:r>
    <w:r w:rsidRPr="008B42B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7412" w14:textId="77777777" w:rsidR="008B42B0" w:rsidRPr="008B42B0" w:rsidRDefault="008B42B0" w:rsidP="008B4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0F69" w14:textId="1C1E02CD" w:rsidR="008B42B0" w:rsidRPr="008B42B0" w:rsidRDefault="008B42B0" w:rsidP="008B42B0">
    <w:pPr>
      <w:pStyle w:val="FooterLandscape"/>
      <w:rPr>
        <w:rFonts w:ascii="Arial" w:hAnsi="Arial" w:cs="Arial"/>
        <w:b/>
        <w:sz w:val="48"/>
      </w:rPr>
    </w:pPr>
    <w:r w:rsidRPr="008B42B0">
      <w:rPr>
        <w:rFonts w:ascii="Arial" w:hAnsi="Arial" w:cs="Arial"/>
        <w:b/>
        <w:sz w:val="48"/>
      </w:rPr>
      <w:t>EN</w:t>
    </w:r>
    <w:r w:rsidRPr="008B42B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B42B0">
      <w:tab/>
    </w:r>
    <w:r w:rsidRPr="008B42B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EC38" w14:textId="77777777" w:rsidR="008B42B0" w:rsidRPr="008B42B0" w:rsidRDefault="008B42B0" w:rsidP="008B42B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7E2C" w14:textId="1BB067C7" w:rsidR="008B42B0" w:rsidRPr="008B42B0" w:rsidRDefault="008B42B0" w:rsidP="008B42B0">
    <w:pPr>
      <w:pStyle w:val="Footer"/>
      <w:rPr>
        <w:rFonts w:ascii="Arial" w:hAnsi="Arial" w:cs="Arial"/>
        <w:b/>
        <w:sz w:val="48"/>
      </w:rPr>
    </w:pPr>
    <w:r w:rsidRPr="008B42B0">
      <w:rPr>
        <w:rFonts w:ascii="Arial" w:hAnsi="Arial" w:cs="Arial"/>
        <w:b/>
        <w:sz w:val="48"/>
      </w:rPr>
      <w:t>EN</w:t>
    </w:r>
    <w:r w:rsidRPr="008B42B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B42B0">
      <w:tab/>
    </w:r>
    <w:r w:rsidRPr="008B42B0">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E9F9" w14:textId="77777777" w:rsidR="008B42B0" w:rsidRPr="008B42B0" w:rsidRDefault="008B42B0" w:rsidP="008B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6973" w14:textId="77777777" w:rsidR="004D3B6A" w:rsidRDefault="004D3B6A" w:rsidP="005879E3">
      <w:pPr>
        <w:spacing w:before="0" w:after="0"/>
      </w:pPr>
      <w:r>
        <w:separator/>
      </w:r>
    </w:p>
  </w:footnote>
  <w:footnote w:type="continuationSeparator" w:id="0">
    <w:p w14:paraId="0FC9C8F1" w14:textId="77777777" w:rsidR="004D3B6A" w:rsidRDefault="004D3B6A" w:rsidP="005879E3">
      <w:pPr>
        <w:spacing w:before="0" w:after="0"/>
      </w:pPr>
      <w:r>
        <w:continuationSeparator/>
      </w:r>
    </w:p>
  </w:footnote>
  <w:footnote w:type="continuationNotice" w:id="1">
    <w:p w14:paraId="532A7917" w14:textId="77777777" w:rsidR="004D3B6A" w:rsidRDefault="004D3B6A">
      <w:pPr>
        <w:spacing w:before="0" w:after="0"/>
      </w:pPr>
    </w:p>
  </w:footnote>
  <w:footnote w:id="2">
    <w:p w14:paraId="2C3A602D" w14:textId="77777777" w:rsidR="004D3B6A" w:rsidRPr="00461A97" w:rsidRDefault="004D3B6A">
      <w:pPr>
        <w:pStyle w:val="FootnoteText"/>
      </w:pPr>
      <w:r>
        <w:rPr>
          <w:rStyle w:val="FootnoteReference0"/>
        </w:rPr>
        <w:footnoteRef/>
      </w:r>
      <w:r w:rsidRPr="00461A97">
        <w:tab/>
      </w:r>
      <w:r>
        <w:t>As foreseen in Article 46 of Regulation (EU) No 952/2013 on the Union Customs Code.</w:t>
      </w:r>
    </w:p>
  </w:footnote>
  <w:footnote w:id="3">
    <w:p w14:paraId="2C3A602E" w14:textId="77777777" w:rsidR="004D3B6A" w:rsidRPr="005F569C" w:rsidRDefault="004D3B6A" w:rsidP="00A270B2">
      <w:pPr>
        <w:pStyle w:val="FootnoteText"/>
      </w:pPr>
      <w:r w:rsidRPr="005F569C">
        <w:rPr>
          <w:rStyle w:val="FootnoteReference0"/>
        </w:rPr>
        <w:footnoteRef/>
      </w:r>
      <w:r w:rsidRPr="005F569C">
        <w:tab/>
      </w:r>
      <w:r w:rsidRPr="005F569C">
        <w:rPr>
          <w:lang w:val="en-IE"/>
        </w:rPr>
        <w:t xml:space="preserve">COM(2020) 98 </w:t>
      </w:r>
      <w:r>
        <w:rPr>
          <w:lang w:val="en-IE"/>
        </w:rPr>
        <w:t>final.</w:t>
      </w:r>
    </w:p>
  </w:footnote>
  <w:footnote w:id="4">
    <w:p w14:paraId="2C3A602F" w14:textId="77777777" w:rsidR="004D3B6A" w:rsidRPr="00461A97" w:rsidRDefault="004D3B6A">
      <w:pPr>
        <w:pStyle w:val="FootnoteText"/>
      </w:pPr>
      <w:r>
        <w:rPr>
          <w:rStyle w:val="FootnoteReference0"/>
        </w:rPr>
        <w:footnoteRef/>
      </w:r>
      <w:r w:rsidRPr="00461A97">
        <w:tab/>
      </w:r>
      <w:r>
        <w:t>COM(2022) 141 final.</w:t>
      </w:r>
    </w:p>
  </w:footnote>
  <w:footnote w:id="5">
    <w:p w14:paraId="2C3A6030" w14:textId="77777777" w:rsidR="004D3B6A" w:rsidRPr="00461A97" w:rsidRDefault="004D3B6A">
      <w:pPr>
        <w:pStyle w:val="FootnoteText"/>
      </w:pPr>
      <w:r>
        <w:rPr>
          <w:rStyle w:val="FootnoteReference0"/>
        </w:rPr>
        <w:footnoteRef/>
      </w:r>
      <w:r w:rsidRPr="00461A97">
        <w:tab/>
      </w:r>
      <w:r>
        <w:t>COM(2022) 144 final.</w:t>
      </w:r>
    </w:p>
  </w:footnote>
  <w:footnote w:id="6">
    <w:p w14:paraId="2C3A6031" w14:textId="77777777" w:rsidR="004D3B6A" w:rsidRPr="00461A97" w:rsidRDefault="004D3B6A">
      <w:pPr>
        <w:pStyle w:val="FootnoteText"/>
      </w:pPr>
      <w:r>
        <w:rPr>
          <w:rStyle w:val="FootnoteReference0"/>
        </w:rPr>
        <w:footnoteRef/>
      </w:r>
      <w:r w:rsidRPr="00461A97">
        <w:tab/>
      </w:r>
      <w:r>
        <w:t>COM(2022) 143 final.</w:t>
      </w:r>
    </w:p>
  </w:footnote>
  <w:footnote w:id="7">
    <w:p w14:paraId="2C3A6032" w14:textId="77777777" w:rsidR="004D3B6A" w:rsidRDefault="004D3B6A" w:rsidP="00B11644">
      <w:pPr>
        <w:pStyle w:val="FootnoteText"/>
      </w:pPr>
      <w:r>
        <w:rPr>
          <w:rStyle w:val="FootnoteReference0"/>
        </w:rPr>
        <w:footnoteRef/>
      </w:r>
      <w:r>
        <w:tab/>
        <w:t>Regulation (EU) No 305/2011 of the European Parliament and of the Council of 9 March 2011 laying down harmonised conditions for the marketing of construction products and repealing Council Directive 89/106/EEC (OJ L 88, 4.4.2011, p. 5).</w:t>
      </w:r>
    </w:p>
  </w:footnote>
  <w:footnote w:id="8">
    <w:p w14:paraId="2C3A6033" w14:textId="77777777" w:rsidR="004D3B6A" w:rsidRPr="005F569C" w:rsidRDefault="004D3B6A">
      <w:pPr>
        <w:pStyle w:val="FootnoteText"/>
      </w:pPr>
      <w:r w:rsidRPr="005F569C">
        <w:rPr>
          <w:rStyle w:val="FootnoteReference0"/>
        </w:rPr>
        <w:footnoteRef/>
      </w:r>
      <w:r w:rsidRPr="005F569C">
        <w:tab/>
      </w:r>
      <w:r w:rsidRPr="005F569C">
        <w:rPr>
          <w:lang w:val="en-IE"/>
        </w:rPr>
        <w:t>COM(2019) 640 final</w:t>
      </w:r>
      <w:r>
        <w:rPr>
          <w:lang w:val="en-IE"/>
        </w:rPr>
        <w:t>.</w:t>
      </w:r>
    </w:p>
  </w:footnote>
  <w:footnote w:id="9">
    <w:p w14:paraId="2C3A6034" w14:textId="77777777" w:rsidR="004D3B6A" w:rsidRPr="005F569C" w:rsidRDefault="004D3B6A">
      <w:pPr>
        <w:pStyle w:val="FootnoteText"/>
      </w:pPr>
      <w:r w:rsidRPr="005F569C">
        <w:rPr>
          <w:rStyle w:val="FootnoteReference0"/>
        </w:rPr>
        <w:footnoteRef/>
      </w:r>
      <w:r w:rsidRPr="005F569C">
        <w:tab/>
      </w:r>
      <w:r w:rsidRPr="005F569C">
        <w:rPr>
          <w:lang w:val="en-IE"/>
        </w:rPr>
        <w:t>COM(2020) 102 final</w:t>
      </w:r>
      <w:r>
        <w:rPr>
          <w:lang w:val="en-IE"/>
        </w:rPr>
        <w:t>.</w:t>
      </w:r>
    </w:p>
  </w:footnote>
  <w:footnote w:id="10">
    <w:p w14:paraId="2C3A6035" w14:textId="77777777" w:rsidR="004D3B6A" w:rsidRPr="005F569C" w:rsidRDefault="004D3B6A" w:rsidP="006C7D06">
      <w:pPr>
        <w:pStyle w:val="FootnoteText"/>
      </w:pPr>
      <w:r w:rsidRPr="005F569C">
        <w:rPr>
          <w:rStyle w:val="FootnoteReference0"/>
        </w:rPr>
        <w:footnoteRef/>
      </w:r>
      <w:r w:rsidRPr="005F569C">
        <w:tab/>
        <w:t>COM(2021) 350 final</w:t>
      </w:r>
      <w:r>
        <w:t>.</w:t>
      </w:r>
    </w:p>
  </w:footnote>
  <w:footnote w:id="11">
    <w:p w14:paraId="2C3A6036" w14:textId="77777777" w:rsidR="004D3B6A" w:rsidRPr="00461A97" w:rsidRDefault="004D3B6A">
      <w:pPr>
        <w:pStyle w:val="FootnoteText"/>
      </w:pPr>
      <w:r>
        <w:rPr>
          <w:rStyle w:val="FootnoteReference0"/>
        </w:rPr>
        <w:footnoteRef/>
      </w:r>
      <w:r w:rsidRPr="00461A97">
        <w:tab/>
      </w:r>
      <w:r>
        <w:rPr>
          <w:lang w:val="en-IE"/>
        </w:rPr>
        <w:t xml:space="preserve">Also in synergy with actions under </w:t>
      </w:r>
      <w:r w:rsidRPr="00577CAB">
        <w:rPr>
          <w:lang w:val="en-IE"/>
        </w:rPr>
        <w:t>the Zero Pollution Action Plan,</w:t>
      </w:r>
      <w:r>
        <w:rPr>
          <w:lang w:val="en-IE"/>
        </w:rPr>
        <w:t xml:space="preserve"> </w:t>
      </w:r>
      <w:r w:rsidRPr="00577CAB">
        <w:rPr>
          <w:lang w:val="en-IE"/>
        </w:rPr>
        <w:t>COM(2021) 400 final</w:t>
      </w:r>
      <w:r>
        <w:rPr>
          <w:lang w:val="en-IE"/>
        </w:rPr>
        <w:t>.</w:t>
      </w:r>
    </w:p>
  </w:footnote>
  <w:footnote w:id="12">
    <w:p w14:paraId="2C3A6037" w14:textId="77777777" w:rsidR="004D3B6A" w:rsidRPr="00BA4E97" w:rsidRDefault="004D3B6A" w:rsidP="005878C6">
      <w:pPr>
        <w:pStyle w:val="FootnoteText"/>
      </w:pPr>
      <w:r>
        <w:rPr>
          <w:rStyle w:val="FootnoteReference0"/>
        </w:rPr>
        <w:footnoteRef/>
      </w:r>
      <w:r w:rsidRPr="00BA4E97">
        <w:tab/>
      </w:r>
      <w:r>
        <w:t>Set out in Commission Recommendation (EU) 2021/2279 of 15 December 2021 on the use of the Environmental Footprint methods to measure and communicate the life cycle environmental performance of products and organisations.</w:t>
      </w:r>
    </w:p>
  </w:footnote>
  <w:footnote w:id="13">
    <w:p w14:paraId="2C3A6038" w14:textId="77777777" w:rsidR="004D3B6A" w:rsidRPr="00461A97" w:rsidRDefault="004D3B6A">
      <w:pPr>
        <w:pStyle w:val="FootnoteText"/>
      </w:pPr>
      <w:r>
        <w:rPr>
          <w:rStyle w:val="FootnoteReference0"/>
        </w:rPr>
        <w:footnoteRef/>
      </w:r>
      <w:r w:rsidRPr="00461A97">
        <w:tab/>
      </w:r>
      <w:r w:rsidRPr="00E20EDA">
        <w:rPr>
          <w:lang w:val="en-IE"/>
        </w:rPr>
        <w:t>COM(2022) 71 final</w:t>
      </w:r>
      <w:r>
        <w:rPr>
          <w:lang w:val="en-IE"/>
        </w:rPr>
        <w:t>.</w:t>
      </w:r>
    </w:p>
  </w:footnote>
  <w:footnote w:id="14">
    <w:p w14:paraId="2C3A6039" w14:textId="77777777" w:rsidR="004D3B6A" w:rsidRPr="00461A97" w:rsidRDefault="004D3B6A">
      <w:pPr>
        <w:pStyle w:val="FootnoteText"/>
      </w:pPr>
      <w:r>
        <w:rPr>
          <w:rStyle w:val="FootnoteReference0"/>
        </w:rPr>
        <w:footnoteRef/>
      </w:r>
      <w:r w:rsidRPr="00461A97">
        <w:tab/>
      </w:r>
      <w:r>
        <w:rPr>
          <w:lang w:val="en-IE"/>
        </w:rPr>
        <w:t xml:space="preserve">Such as </w:t>
      </w:r>
      <w:r w:rsidRPr="00184DBD">
        <w:rPr>
          <w:lang w:val="en-IE"/>
        </w:rPr>
        <w:t xml:space="preserve">the </w:t>
      </w:r>
      <w:r w:rsidRPr="00184DBD">
        <w:t>Fit for 55 package</w:t>
      </w:r>
      <w:r>
        <w:t xml:space="preserve">: </w:t>
      </w:r>
      <w:hyperlink r:id="rId1" w:history="1">
        <w:r w:rsidRPr="00C80B49">
          <w:rPr>
            <w:rStyle w:val="Hyperlink"/>
          </w:rPr>
          <w:t>https://ec.europa.eu/commission/presscorner/detail/en/IP_21_3541</w:t>
        </w:r>
      </w:hyperlink>
    </w:p>
  </w:footnote>
  <w:footnote w:id="15">
    <w:p w14:paraId="2C3A603A" w14:textId="77777777" w:rsidR="004D3B6A" w:rsidRPr="00892551" w:rsidRDefault="004D3B6A">
      <w:pPr>
        <w:pStyle w:val="FootnoteText"/>
      </w:pPr>
      <w:r>
        <w:rPr>
          <w:rStyle w:val="FootnoteReference0"/>
        </w:rPr>
        <w:footnoteRef/>
      </w:r>
      <w:r w:rsidRPr="00892551">
        <w:tab/>
      </w:r>
      <w:r w:rsidRPr="005F569C">
        <w:t>SWD(2019) 92 final</w:t>
      </w:r>
      <w:r>
        <w:t>.</w:t>
      </w:r>
    </w:p>
  </w:footnote>
  <w:footnote w:id="16">
    <w:p w14:paraId="2C3A603B" w14:textId="77777777" w:rsidR="004D3B6A" w:rsidRPr="005F569C" w:rsidRDefault="004D3B6A" w:rsidP="006C7D06">
      <w:pPr>
        <w:pStyle w:val="FootnoteText"/>
      </w:pPr>
      <w:r w:rsidRPr="005F569C">
        <w:rPr>
          <w:rStyle w:val="FootnoteReference0"/>
        </w:rPr>
        <w:footnoteRef/>
      </w:r>
      <w:r w:rsidRPr="005F569C">
        <w:tab/>
      </w:r>
      <w:hyperlink r:id="rId2" w:history="1">
        <w:r w:rsidRPr="005F569C">
          <w:rPr>
            <w:rStyle w:val="Hyperlink"/>
            <w:lang w:val="en-US"/>
          </w:rPr>
          <w:t>Evaluation of the Ecodesign Directive (2009/125/EC)</w:t>
        </w:r>
      </w:hyperlink>
      <w:r w:rsidRPr="005F569C">
        <w:rPr>
          <w:lang w:val="en-US"/>
        </w:rPr>
        <w:t xml:space="preserve">, Centre for Strategy and Evaluation Services (CSES), 2012; </w:t>
      </w:r>
      <w:hyperlink r:id="rId3" w:history="1">
        <w:r w:rsidRPr="005F569C">
          <w:rPr>
            <w:rStyle w:val="Hyperlink"/>
            <w:lang w:val="en-US"/>
          </w:rPr>
          <w:t>Evaluation of the Energy Labelling Directive and specific aspects of the Ecodesign Directive</w:t>
        </w:r>
      </w:hyperlink>
      <w:r w:rsidRPr="005F569C">
        <w:rPr>
          <w:lang w:val="en-US"/>
        </w:rPr>
        <w:t xml:space="preserve">, Ecofys, June 2014; </w:t>
      </w:r>
      <w:hyperlink r:id="rId4" w:history="1">
        <w:r w:rsidRPr="005F569C">
          <w:rPr>
            <w:rStyle w:val="Hyperlink"/>
            <w:lang w:val="en-US"/>
          </w:rPr>
          <w:t>EU action on Ecodesign and Energy Labelling: important contribution to greater energy efficiency reduced by significant delays and non-compliance</w:t>
        </w:r>
      </w:hyperlink>
      <w:r w:rsidRPr="005F569C">
        <w:rPr>
          <w:rStyle w:val="Hyperlink"/>
        </w:rPr>
        <w:t xml:space="preserve">, </w:t>
      </w:r>
      <w:r w:rsidRPr="005F569C">
        <w:rPr>
          <w:rStyle w:val="Hyperlink"/>
          <w:lang w:val="en-US"/>
        </w:rPr>
        <w:t>European Court of Auditors</w:t>
      </w:r>
      <w:r w:rsidRPr="005F569C">
        <w:rPr>
          <w:rStyle w:val="Hyperlink"/>
        </w:rPr>
        <w:t xml:space="preserve">, </w:t>
      </w:r>
      <w:r w:rsidRPr="005F569C">
        <w:rPr>
          <w:lang w:val="en-US"/>
        </w:rPr>
        <w:t>Special Report 01/2020.</w:t>
      </w:r>
    </w:p>
  </w:footnote>
  <w:footnote w:id="17">
    <w:p w14:paraId="2C3A603C" w14:textId="77777777" w:rsidR="004D3B6A" w:rsidRPr="005F569C" w:rsidRDefault="004D3B6A" w:rsidP="006C7D06">
      <w:pPr>
        <w:pStyle w:val="FootnoteText"/>
      </w:pPr>
      <w:r w:rsidRPr="005F569C">
        <w:rPr>
          <w:rStyle w:val="FootnoteReference0"/>
        </w:rPr>
        <w:footnoteRef/>
      </w:r>
      <w:r w:rsidRPr="005F569C">
        <w:tab/>
      </w:r>
      <w:hyperlink r:id="rId5" w:history="1">
        <w:r w:rsidRPr="005F569C">
          <w:rPr>
            <w:rStyle w:val="Hyperlink"/>
            <w:lang w:val="en-US"/>
          </w:rPr>
          <w:t xml:space="preserve">Communication on the </w:t>
        </w:r>
        <w:r w:rsidRPr="005F569C">
          <w:rPr>
            <w:rStyle w:val="Hyperlink"/>
          </w:rPr>
          <w:t>Sustainable Consumption and Production and Sustainable Industrial Policy Action Plan</w:t>
        </w:r>
      </w:hyperlink>
    </w:p>
  </w:footnote>
  <w:footnote w:id="18">
    <w:p w14:paraId="2C3A603D" w14:textId="7B5A13AE" w:rsidR="004D3B6A" w:rsidRPr="009E54A0" w:rsidRDefault="004D3B6A" w:rsidP="006C7D06">
      <w:pPr>
        <w:pStyle w:val="FootnoteText"/>
      </w:pPr>
      <w:r w:rsidRPr="005F569C">
        <w:rPr>
          <w:rStyle w:val="FootnoteReference0"/>
        </w:rPr>
        <w:footnoteRef/>
      </w:r>
      <w:r w:rsidRPr="009E54A0">
        <w:tab/>
      </w:r>
      <w:hyperlink r:id="rId6" w:history="1">
        <w:r>
          <w:rPr>
            <w:rStyle w:val="Hyperlink"/>
          </w:rPr>
          <w:t>Evaluation of the Ecodesign Directive</w:t>
        </w:r>
      </w:hyperlink>
      <w:r>
        <w:t xml:space="preserve"> </w:t>
      </w:r>
      <w:r w:rsidRPr="009E54A0">
        <w:t>p.19.</w:t>
      </w:r>
    </w:p>
  </w:footnote>
  <w:footnote w:id="19">
    <w:p w14:paraId="2C3A603E" w14:textId="77777777" w:rsidR="004D3B6A" w:rsidRPr="009E54A0" w:rsidRDefault="004D3B6A" w:rsidP="006C7D06">
      <w:pPr>
        <w:pStyle w:val="FootnoteText"/>
      </w:pPr>
      <w:r w:rsidRPr="005F569C">
        <w:rPr>
          <w:rStyle w:val="FootnoteReference0"/>
        </w:rPr>
        <w:footnoteRef/>
      </w:r>
      <w:r w:rsidRPr="009E54A0">
        <w:tab/>
      </w:r>
      <w:hyperlink r:id="rId7" w:history="1">
        <w:r w:rsidRPr="009E54A0">
          <w:rPr>
            <w:rStyle w:val="Hyperlink"/>
          </w:rPr>
          <w:t>https://ec.europa.eu/info/law/better-regulation/have-your-say/initiatives/12567-Sustainable-products-initiative_en</w:t>
        </w:r>
      </w:hyperlink>
    </w:p>
  </w:footnote>
  <w:footnote w:id="20">
    <w:p w14:paraId="2C3A603F" w14:textId="77777777" w:rsidR="004D3B6A" w:rsidRPr="00CB2DB1" w:rsidRDefault="004D3B6A">
      <w:pPr>
        <w:pStyle w:val="FootnoteText"/>
      </w:pPr>
      <w:r>
        <w:rPr>
          <w:rStyle w:val="FootnoteReference0"/>
        </w:rPr>
        <w:footnoteRef/>
      </w:r>
      <w:r w:rsidRPr="00CB2DB1">
        <w:tab/>
      </w:r>
      <w:r w:rsidRPr="00E20EDA">
        <w:rPr>
          <w:lang w:val="en-IE"/>
        </w:rPr>
        <w:t>COM(2022) 71 final</w:t>
      </w:r>
      <w:r>
        <w:rPr>
          <w:lang w:val="en-IE"/>
        </w:rPr>
        <w:t>.</w:t>
      </w:r>
    </w:p>
  </w:footnote>
  <w:footnote w:id="21">
    <w:p w14:paraId="2C3A6040" w14:textId="77777777" w:rsidR="004D3B6A" w:rsidRPr="00322485" w:rsidRDefault="004D3B6A" w:rsidP="008344BB">
      <w:pPr>
        <w:pStyle w:val="FootnoteText"/>
      </w:pPr>
      <w:r>
        <w:rPr>
          <w:rStyle w:val="FootnoteReference0"/>
        </w:rPr>
        <w:footnoteRef/>
      </w:r>
      <w:r w:rsidRPr="00322485">
        <w:tab/>
      </w:r>
      <w:r w:rsidRPr="00E202D7">
        <w:rPr>
          <w:lang w:val="en-US"/>
        </w:rPr>
        <w:t>OJ L123, 12.5. 2016, p. 1.</w:t>
      </w:r>
    </w:p>
  </w:footnote>
  <w:footnote w:id="22">
    <w:p w14:paraId="2C3A6041" w14:textId="77777777" w:rsidR="004D3B6A" w:rsidRPr="00CB2DB1" w:rsidRDefault="004D3B6A">
      <w:pPr>
        <w:pStyle w:val="FootnoteText"/>
      </w:pPr>
      <w:r>
        <w:rPr>
          <w:rStyle w:val="FootnoteReference0"/>
        </w:rPr>
        <w:footnoteRef/>
      </w:r>
      <w:r w:rsidRPr="00CB2DB1">
        <w:tab/>
      </w:r>
      <w:hyperlink r:id="rId8" w:history="1">
        <w:r w:rsidRPr="00CB2DB1">
          <w:rPr>
            <w:rStyle w:val="Hyperlink"/>
          </w:rPr>
          <w:t>https://ec.europa.eu/info/sites/default/files/final_opinion_2021_sbgr2_10_ecodesign.pdf</w:t>
        </w:r>
      </w:hyperlink>
    </w:p>
  </w:footnote>
  <w:footnote w:id="23">
    <w:p w14:paraId="2C3A6042" w14:textId="77777777" w:rsidR="004D3B6A" w:rsidRPr="00F45629" w:rsidRDefault="004D3B6A">
      <w:pPr>
        <w:pStyle w:val="FootnoteText"/>
      </w:pPr>
      <w:r>
        <w:rPr>
          <w:rStyle w:val="FootnoteReference0"/>
        </w:rPr>
        <w:footnoteRef/>
      </w:r>
      <w:r w:rsidRPr="00F45629">
        <w:tab/>
      </w:r>
      <w:r w:rsidRPr="00E14B7D">
        <w:t>The Hub will support the uptake of circular business models, channel information and services including awareness raising, cooperation, training and exchanges of best practices. It will build upon the expertise and service offer of existing EU actions, notably the European Circular Economy Stakeholder Platform, Enterprise Europe Network Sustainability Advisors and the network of European green tech clusters.</w:t>
      </w:r>
    </w:p>
  </w:footnote>
  <w:footnote w:id="24">
    <w:p w14:paraId="2C3A6043" w14:textId="77777777" w:rsidR="004D3B6A" w:rsidRPr="00085A32" w:rsidRDefault="004D3B6A" w:rsidP="009A606A">
      <w:pPr>
        <w:pStyle w:val="FootnoteText"/>
      </w:pPr>
      <w:r>
        <w:rPr>
          <w:rStyle w:val="FootnoteReference0"/>
        </w:rPr>
        <w:footnoteRef/>
      </w:r>
      <w:r w:rsidRPr="006F432E">
        <w:tab/>
        <w:t xml:space="preserve">Directive 2009/125/EC of the European Parliament and of the Council of 21 October 2009 establishing a framework for the setting of ecodesign requirements for energy-related products (Text with EEA relevance) </w:t>
      </w:r>
      <w:r>
        <w:t>(</w:t>
      </w:r>
      <w:r w:rsidRPr="006F432E">
        <w:t>OJ L 285, 31.10.2009, p. 10</w:t>
      </w:r>
      <w:r>
        <w:t>).</w:t>
      </w:r>
    </w:p>
  </w:footnote>
  <w:footnote w:id="25">
    <w:p w14:paraId="2C3A6044" w14:textId="75D680A2" w:rsidR="004D3B6A" w:rsidRPr="003328E7" w:rsidRDefault="004D3B6A">
      <w:pPr>
        <w:pStyle w:val="FootnoteText"/>
      </w:pPr>
      <w:r>
        <w:rPr>
          <w:rStyle w:val="FootnoteReference0"/>
        </w:rPr>
        <w:footnoteRef/>
      </w:r>
      <w:r w:rsidRPr="003328E7">
        <w:tab/>
      </w:r>
      <w:r>
        <w:t>OJ C ,, p. .</w:t>
      </w:r>
    </w:p>
  </w:footnote>
  <w:footnote w:id="26">
    <w:p w14:paraId="2C3A6045" w14:textId="77777777" w:rsidR="004D3B6A" w:rsidRPr="00BA4E97" w:rsidRDefault="004D3B6A">
      <w:pPr>
        <w:pStyle w:val="FootnoteText"/>
      </w:pPr>
      <w:r>
        <w:rPr>
          <w:rStyle w:val="FootnoteReference0"/>
        </w:rPr>
        <w:footnoteRef/>
      </w:r>
      <w:r w:rsidRPr="00BA4E97">
        <w:tab/>
      </w:r>
      <w:r>
        <w:t xml:space="preserve">Communication from the Commission to the European Parliament, the European Council, the Council, the European Economic and Social Committee and the Committee of the Regions </w:t>
      </w:r>
      <w:r>
        <w:rPr>
          <w:i/>
        </w:rPr>
        <w:t>T</w:t>
      </w:r>
      <w:r w:rsidRPr="00A4330D">
        <w:rPr>
          <w:i/>
        </w:rPr>
        <w:t>he European Green Deal</w:t>
      </w:r>
      <w:r>
        <w:t xml:space="preserve"> COM(2019)640 final.</w:t>
      </w:r>
    </w:p>
  </w:footnote>
  <w:footnote w:id="27">
    <w:p w14:paraId="2C3A6046" w14:textId="77777777" w:rsidR="004D3B6A" w:rsidRPr="00BA4E97" w:rsidRDefault="004D3B6A">
      <w:pPr>
        <w:pStyle w:val="FootnoteText"/>
      </w:pPr>
      <w:r>
        <w:rPr>
          <w:rStyle w:val="FootnoteReference0"/>
        </w:rPr>
        <w:footnoteRef/>
      </w:r>
      <w:r w:rsidRPr="00BA4E97">
        <w:tab/>
      </w:r>
      <w:r>
        <w:t xml:space="preserve">Communication from the Commission to the European Parliament, the European Council, the Council, the European Economic and Social Committee and the Committee of the Regions </w:t>
      </w:r>
      <w:r w:rsidRPr="001B6FFB">
        <w:rPr>
          <w:i/>
        </w:rPr>
        <w:t>A new Circular Economy Action Plan For a cleaner and more competitive Europe</w:t>
      </w:r>
      <w:r>
        <w:t xml:space="preserve"> COM(2020)98 final.</w:t>
      </w:r>
    </w:p>
  </w:footnote>
  <w:footnote w:id="28">
    <w:p w14:paraId="2C3A6047" w14:textId="77777777" w:rsidR="004D3B6A" w:rsidRPr="00BA4E97" w:rsidRDefault="004D3B6A" w:rsidP="00417A57">
      <w:pPr>
        <w:pStyle w:val="FootnoteText"/>
      </w:pPr>
      <w:r>
        <w:rPr>
          <w:rStyle w:val="FootnoteReference0"/>
        </w:rPr>
        <w:footnoteRef/>
      </w:r>
      <w:r w:rsidRPr="00BA4E97">
        <w:tab/>
      </w:r>
      <w:r w:rsidRPr="00440D19">
        <w:t xml:space="preserve">Communication from the Commission to the European Parliament, the European Council, the Council, the European </w:t>
      </w:r>
      <w:r>
        <w:t>E</w:t>
      </w:r>
      <w:r w:rsidRPr="00440D19">
        <w:t>conomic an</w:t>
      </w:r>
      <w:r>
        <w:t>d S</w:t>
      </w:r>
      <w:r w:rsidRPr="00440D19">
        <w:t xml:space="preserve">ocial Committee and the Committee of the Regions </w:t>
      </w:r>
      <w:r w:rsidRPr="00A4330D">
        <w:rPr>
          <w:i/>
        </w:rPr>
        <w:t>A New Industrial Strategy for Europe</w:t>
      </w:r>
      <w:r>
        <w:t xml:space="preserve"> COM(2020)102 final.</w:t>
      </w:r>
    </w:p>
  </w:footnote>
  <w:footnote w:id="29">
    <w:p w14:paraId="2C3A6048" w14:textId="77777777" w:rsidR="004D3B6A" w:rsidRPr="00085A32" w:rsidRDefault="004D3B6A" w:rsidP="00417A57">
      <w:pPr>
        <w:pStyle w:val="FootnoteText"/>
      </w:pPr>
      <w:r>
        <w:rPr>
          <w:rStyle w:val="FootnoteReference0"/>
        </w:rPr>
        <w:footnoteRef/>
      </w:r>
      <w:r w:rsidRPr="00725380">
        <w:tab/>
      </w:r>
      <w:r w:rsidRPr="00440D19">
        <w:t xml:space="preserve">Communication from the Commission to the European Parliament, the European Council, the Council, the European </w:t>
      </w:r>
      <w:r>
        <w:t>E</w:t>
      </w:r>
      <w:r w:rsidRPr="00440D19">
        <w:t>conomic an</w:t>
      </w:r>
      <w:r>
        <w:t>d S</w:t>
      </w:r>
      <w:r w:rsidRPr="00440D19">
        <w:t xml:space="preserve">ocial Committee and the Committee of the Regions </w:t>
      </w:r>
      <w:r w:rsidRPr="00085A32">
        <w:rPr>
          <w:i/>
        </w:rPr>
        <w:t>Updating the 2020 New Industrial Strategy: Building a stronger Single Market for Europe’s recovery</w:t>
      </w:r>
      <w:r>
        <w:t xml:space="preserve"> COM(2021)</w:t>
      </w:r>
      <w:r w:rsidRPr="00085A32">
        <w:t>350 final</w:t>
      </w:r>
    </w:p>
  </w:footnote>
  <w:footnote w:id="30">
    <w:p w14:paraId="2C3A6049" w14:textId="77777777" w:rsidR="004D3B6A" w:rsidRPr="00085A32" w:rsidRDefault="004D3B6A" w:rsidP="000C4BED">
      <w:pPr>
        <w:pStyle w:val="FootnoteText"/>
      </w:pPr>
      <w:r>
        <w:rPr>
          <w:rStyle w:val="FootnoteReference0"/>
        </w:rPr>
        <w:footnoteRef/>
      </w:r>
      <w:r w:rsidRPr="00A073D2">
        <w:tab/>
        <w:t xml:space="preserve">Directive 2009/125/EC of the European Parliament and of the Council of 21 October 2009 establishing a framework for the setting of ecodesign requirements for energy-related products (Text with EEA relevance) </w:t>
      </w:r>
      <w:r>
        <w:t>(</w:t>
      </w:r>
      <w:r w:rsidRPr="00085A32">
        <w:t>OJ L 285, 31.10.2009, p. 10</w:t>
      </w:r>
      <w:r>
        <w:t>).</w:t>
      </w:r>
    </w:p>
  </w:footnote>
  <w:footnote w:id="31">
    <w:p w14:paraId="2C3A604A" w14:textId="77777777" w:rsidR="004D3B6A" w:rsidRPr="00253723" w:rsidRDefault="004D3B6A">
      <w:pPr>
        <w:pStyle w:val="FootnoteText"/>
      </w:pPr>
      <w:r>
        <w:rPr>
          <w:rStyle w:val="FootnoteReference0"/>
        </w:rPr>
        <w:footnoteRef/>
      </w:r>
      <w:r w:rsidRPr="001A0511">
        <w:rPr>
          <w:lang w:val="en-IE"/>
        </w:rPr>
        <w:tab/>
      </w:r>
      <w:r w:rsidRPr="2CC8E316">
        <w:t>P9_TA(2020)0318</w:t>
      </w:r>
      <w:r>
        <w:t>.</w:t>
      </w:r>
    </w:p>
  </w:footnote>
  <w:footnote w:id="32">
    <w:p w14:paraId="2C3A604B" w14:textId="77777777" w:rsidR="004D3B6A" w:rsidRPr="00575C73" w:rsidRDefault="004D3B6A">
      <w:pPr>
        <w:pStyle w:val="FootnoteText"/>
      </w:pPr>
      <w:r>
        <w:rPr>
          <w:rStyle w:val="FootnoteReference0"/>
        </w:rPr>
        <w:footnoteRef/>
      </w:r>
      <w:r w:rsidRPr="00575C73">
        <w:tab/>
      </w:r>
      <w:hyperlink r:id="rId9" w:history="1">
        <w:r>
          <w:rPr>
            <w:rStyle w:val="Hyperlink"/>
          </w:rPr>
          <w:t>P9_TA(2021)0040</w:t>
        </w:r>
      </w:hyperlink>
      <w:r>
        <w:rPr>
          <w:rStyle w:val="Hyperlink"/>
        </w:rPr>
        <w:t>.</w:t>
      </w:r>
    </w:p>
  </w:footnote>
  <w:footnote w:id="33">
    <w:p w14:paraId="2C3A604C" w14:textId="77777777" w:rsidR="004D3B6A" w:rsidRPr="00253723" w:rsidRDefault="004D3B6A">
      <w:pPr>
        <w:pStyle w:val="FootnoteText"/>
      </w:pPr>
      <w:r>
        <w:rPr>
          <w:rStyle w:val="FootnoteReference0"/>
        </w:rPr>
        <w:footnoteRef/>
      </w:r>
      <w:r w:rsidRPr="00253723">
        <w:tab/>
      </w:r>
      <w:r w:rsidRPr="008A1AFF">
        <w:t>13852/20</w:t>
      </w:r>
      <w:r>
        <w:t>.</w:t>
      </w:r>
    </w:p>
  </w:footnote>
  <w:footnote w:id="34">
    <w:p w14:paraId="2C3A604D" w14:textId="77777777" w:rsidR="004D3B6A" w:rsidRPr="00253723" w:rsidRDefault="004D3B6A" w:rsidP="00181EDA">
      <w:pPr>
        <w:pStyle w:val="FootnoteText"/>
      </w:pPr>
      <w:r>
        <w:rPr>
          <w:rStyle w:val="FootnoteReference0"/>
        </w:rPr>
        <w:footnoteRef/>
      </w:r>
      <w:r w:rsidRPr="00253723">
        <w:tab/>
      </w:r>
      <w:r>
        <w:t>Council Decision (EU) 2016/1841 of 5 October 2016 on the conclusion, on behalf of the European Union, of the Paris Agreement adopted under the United Nations Framework Convention on Climate Change (</w:t>
      </w:r>
      <w:r w:rsidRPr="00A93203">
        <w:t>OJ L 282, 19.10.2016, p. 1</w:t>
      </w:r>
      <w:r>
        <w:t>).</w:t>
      </w:r>
    </w:p>
  </w:footnote>
  <w:footnote w:id="35">
    <w:p w14:paraId="2C3A604E" w14:textId="77777777" w:rsidR="004D3B6A" w:rsidRPr="00253723" w:rsidRDefault="004D3B6A">
      <w:pPr>
        <w:pStyle w:val="FootnoteText"/>
      </w:pPr>
      <w:r>
        <w:rPr>
          <w:rStyle w:val="FootnoteReference0"/>
        </w:rPr>
        <w:footnoteRef/>
      </w:r>
      <w:r w:rsidRPr="00253723">
        <w:tab/>
      </w:r>
      <w:r>
        <w:t>Regulation (EU) 2021/1119 of the European Parliament and of the Council of 30 June 2021 establishing the framework for achieving climate neutrality and amending Regulations (EC) No 401/2009 and (EU) 2018/1999 (‘European Climate Law’)</w:t>
      </w:r>
      <w:r w:rsidDel="00466B56">
        <w:t xml:space="preserve"> </w:t>
      </w:r>
      <w:r>
        <w:t xml:space="preserve"> (</w:t>
      </w:r>
      <w:r w:rsidRPr="00466B56">
        <w:t>OJ L 243, 9.7.2021, p. 1</w:t>
      </w:r>
      <w:r w:rsidRPr="00466B56" w:rsidDel="00466B56">
        <w:t xml:space="preserve"> </w:t>
      </w:r>
      <w:r>
        <w:t>).</w:t>
      </w:r>
    </w:p>
  </w:footnote>
  <w:footnote w:id="36">
    <w:p w14:paraId="2C3A604F" w14:textId="77777777" w:rsidR="004D3B6A" w:rsidRPr="00E86581" w:rsidRDefault="004D3B6A">
      <w:pPr>
        <w:pStyle w:val="FootnoteText"/>
      </w:pPr>
      <w:r>
        <w:rPr>
          <w:rStyle w:val="FootnoteReference0"/>
        </w:rPr>
        <w:footnoteRef/>
      </w:r>
      <w:r w:rsidRPr="00E86581">
        <w:tab/>
      </w:r>
      <w:hyperlink r:id="rId10" w:history="1">
        <w:r w:rsidRPr="00C80B49">
          <w:rPr>
            <w:rStyle w:val="Hyperlink"/>
          </w:rPr>
          <w:t>https://ec.europa.eu/commission/presscorner/detail/en/IP_21_3541</w:t>
        </w:r>
      </w:hyperlink>
      <w:r>
        <w:t xml:space="preserve"> </w:t>
      </w:r>
    </w:p>
  </w:footnote>
  <w:footnote w:id="37">
    <w:p w14:paraId="2C3A6050" w14:textId="77777777" w:rsidR="004D3B6A" w:rsidRPr="006F613E" w:rsidRDefault="004D3B6A" w:rsidP="006F613E">
      <w:pPr>
        <w:pStyle w:val="FootnoteText"/>
      </w:pPr>
      <w:r>
        <w:rPr>
          <w:rStyle w:val="FootnoteReference0"/>
        </w:rPr>
        <w:footnoteRef/>
      </w:r>
      <w:r w:rsidRPr="006F613E">
        <w:tab/>
        <w:t xml:space="preserve">Directive (EU) 2018/2002 of the European Parliament and of the Council of 11 December 2018 amending Directive 2012/27/EU on energy efficiency </w:t>
      </w:r>
      <w:r>
        <w:t>(</w:t>
      </w:r>
      <w:r w:rsidRPr="006F613E">
        <w:t>OJ L 328, 21.12.2018, p. 210</w:t>
      </w:r>
      <w:r>
        <w:t>).</w:t>
      </w:r>
    </w:p>
  </w:footnote>
  <w:footnote w:id="38">
    <w:p w14:paraId="2C3A6051" w14:textId="77777777" w:rsidR="004D3B6A" w:rsidRPr="00BA4E97" w:rsidRDefault="004D3B6A" w:rsidP="000C4BED">
      <w:pPr>
        <w:pStyle w:val="FootnoteText"/>
      </w:pPr>
      <w:r>
        <w:rPr>
          <w:rStyle w:val="FootnoteReference0"/>
        </w:rPr>
        <w:footnoteRef/>
      </w:r>
      <w:r w:rsidRPr="00BA4E97">
        <w:tab/>
      </w:r>
      <w:r>
        <w:t>According to the impact assessment accompanying the Climate Target Plan (</w:t>
      </w:r>
      <w:r w:rsidRPr="00A4330D">
        <w:rPr>
          <w:i/>
        </w:rPr>
        <w:t>Stepping up Europe’s 2030 climate ambition – Investing in a climate-neutral future for the benefit of our people</w:t>
      </w:r>
      <w:r>
        <w:t>, COM/2020/562 final) and to the [Energy Efficiency Directive proposal]</w:t>
      </w:r>
    </w:p>
  </w:footnote>
  <w:footnote w:id="39">
    <w:p w14:paraId="2C3A6052" w14:textId="77777777" w:rsidR="004D3B6A" w:rsidRPr="006F613E" w:rsidRDefault="004D3B6A">
      <w:pPr>
        <w:pStyle w:val="FootnoteText"/>
      </w:pPr>
      <w:r>
        <w:rPr>
          <w:rStyle w:val="FootnoteReference0"/>
        </w:rPr>
        <w:footnoteRef/>
      </w:r>
      <w:r w:rsidRPr="006F613E">
        <w:tab/>
      </w:r>
      <w:r>
        <w:t>Decision (EU) 2022/…. of the European Parliament and of the Council of …</w:t>
      </w:r>
      <w:r w:rsidRPr="00E86581">
        <w:t xml:space="preserve"> </w:t>
      </w:r>
      <w:r>
        <w:t>on a General Union Environment Action Programme to 2030</w:t>
      </w:r>
      <w:r w:rsidRPr="00B52D4A">
        <w:t xml:space="preserve"> [Add reference when publish</w:t>
      </w:r>
      <w:r>
        <w:t>ed in OJ – trilogue agreement 2 </w:t>
      </w:r>
      <w:r w:rsidRPr="00B52D4A">
        <w:t>December 2021]</w:t>
      </w:r>
      <w:r>
        <w:t>.</w:t>
      </w:r>
    </w:p>
  </w:footnote>
  <w:footnote w:id="40">
    <w:p w14:paraId="2C3A6053" w14:textId="77777777" w:rsidR="004D3B6A" w:rsidRPr="00287860" w:rsidRDefault="004D3B6A">
      <w:pPr>
        <w:pStyle w:val="FootnoteText"/>
      </w:pPr>
      <w:r>
        <w:rPr>
          <w:rStyle w:val="FootnoteReference0"/>
        </w:rPr>
        <w:footnoteRef/>
      </w:r>
      <w:r w:rsidRPr="00287860">
        <w:tab/>
      </w:r>
      <w:r>
        <w:t xml:space="preserve">As set out in the </w:t>
      </w:r>
      <w:r w:rsidRPr="004027D8">
        <w:t xml:space="preserve">EU Action Plan </w:t>
      </w:r>
      <w:r w:rsidRPr="00416030">
        <w:rPr>
          <w:i/>
        </w:rPr>
        <w:t xml:space="preserve">Towards zero pollution for air, water and soil </w:t>
      </w:r>
      <w:r>
        <w:t>(COM(</w:t>
      </w:r>
      <w:r w:rsidRPr="00C873C0">
        <w:t>2021</w:t>
      </w:r>
      <w:r>
        <w:t>)</w:t>
      </w:r>
      <w:r w:rsidRPr="00C873C0">
        <w:t>400 final)</w:t>
      </w:r>
      <w:r>
        <w:t xml:space="preserve"> </w:t>
      </w:r>
      <w:r w:rsidRPr="00EC0E40">
        <w:rPr>
          <w:iCs/>
        </w:rPr>
        <w:t>and the</w:t>
      </w:r>
      <w:r w:rsidRPr="00416030">
        <w:rPr>
          <w:i/>
        </w:rPr>
        <w:t xml:space="preserve"> Chemi</w:t>
      </w:r>
      <w:r>
        <w:rPr>
          <w:i/>
        </w:rPr>
        <w:t>cals Strategy for Sustainability</w:t>
      </w:r>
      <w:r w:rsidRPr="000F2AFD">
        <w:t xml:space="preserve"> </w:t>
      </w:r>
      <w:r>
        <w:t>(</w:t>
      </w:r>
      <w:r w:rsidRPr="00C873C0">
        <w:t>COM(</w:t>
      </w:r>
      <w:r>
        <w:t>2020)667 final)</w:t>
      </w:r>
      <w:r w:rsidRPr="004027D8">
        <w:t>, which calls for embracing the zero pollution goals in production and consumption.</w:t>
      </w:r>
    </w:p>
  </w:footnote>
  <w:footnote w:id="41">
    <w:p w14:paraId="2C3A6054" w14:textId="77777777" w:rsidR="004D3B6A" w:rsidRPr="00F84A92" w:rsidRDefault="004D3B6A">
      <w:pPr>
        <w:pStyle w:val="FootnoteText"/>
      </w:pPr>
      <w:r>
        <w:rPr>
          <w:rStyle w:val="FootnoteReference0"/>
        </w:rPr>
        <w:footnoteRef/>
      </w:r>
      <w:r w:rsidRPr="00F84A92">
        <w:tab/>
      </w:r>
      <w:r>
        <w:t>Including in particular targets under SDG 12 (“Responsible consumption and production”).</w:t>
      </w:r>
    </w:p>
  </w:footnote>
  <w:footnote w:id="42">
    <w:p w14:paraId="2C3A6055" w14:textId="77777777" w:rsidR="004D3B6A" w:rsidRPr="000728B3" w:rsidRDefault="004D3B6A" w:rsidP="000728B3">
      <w:pPr>
        <w:pStyle w:val="FootnoteText"/>
      </w:pPr>
      <w:r>
        <w:rPr>
          <w:rStyle w:val="FootnoteReference0"/>
        </w:rPr>
        <w:footnoteRef/>
      </w:r>
      <w:r w:rsidRPr="000728B3">
        <w:tab/>
        <w:t>Regulation (EU) 2017/1369 of the European Parliament and of the Council of 4 July 2017 setting a framework for energy labelling and repealing Dir</w:t>
      </w:r>
      <w:r>
        <w:t>ective 2010/30/EU (OJ L 198, 28.7.2017, p. 1).</w:t>
      </w:r>
    </w:p>
  </w:footnote>
  <w:footnote w:id="43">
    <w:p w14:paraId="2C3A6056" w14:textId="77777777" w:rsidR="004D3B6A" w:rsidRPr="00BA4E97" w:rsidRDefault="004D3B6A">
      <w:pPr>
        <w:pStyle w:val="FootnoteText"/>
      </w:pPr>
      <w:r>
        <w:rPr>
          <w:rStyle w:val="FootnoteReference0"/>
        </w:rPr>
        <w:footnoteRef/>
      </w:r>
      <w:r w:rsidRPr="00BA4E97">
        <w:tab/>
      </w:r>
      <w:r w:rsidRPr="00E33890">
        <w:t>Regulation (EC) No 66/2010 of the European Parliament and of the Council of 25 November 2009 on the EU Ecolabel</w:t>
      </w:r>
      <w:r>
        <w:t xml:space="preserve"> (</w:t>
      </w:r>
      <w:r w:rsidRPr="00E33890">
        <w:t>OJ L 27, 30.1.2010, p. 1</w:t>
      </w:r>
      <w:r>
        <w:t>)</w:t>
      </w:r>
      <w:r w:rsidRPr="00E33890">
        <w:t>.</w:t>
      </w:r>
    </w:p>
  </w:footnote>
  <w:footnote w:id="44">
    <w:p w14:paraId="2C3A6057" w14:textId="77777777" w:rsidR="004D3B6A" w:rsidRPr="00CB2DB1" w:rsidRDefault="004D3B6A">
      <w:pPr>
        <w:pStyle w:val="FootnoteText"/>
      </w:pPr>
      <w:r>
        <w:rPr>
          <w:rStyle w:val="FootnoteReference0"/>
        </w:rPr>
        <w:footnoteRef/>
      </w:r>
      <w:r w:rsidRPr="00CB2DB1">
        <w:tab/>
      </w:r>
      <w:r w:rsidRPr="00F634C6">
        <w:t>Communication “Public procurement for a better environment” (COM (2008) 400)</w:t>
      </w:r>
      <w:r>
        <w:t xml:space="preserve"> </w:t>
      </w:r>
      <w:hyperlink r:id="rId11" w:history="1">
        <w:r w:rsidRPr="00253723">
          <w:rPr>
            <w:rStyle w:val="Hyperlink"/>
          </w:rPr>
          <w:t>https://ec.europa.eu/environment/gpp/eu_gpp_criteria_en.htm</w:t>
        </w:r>
      </w:hyperlink>
    </w:p>
  </w:footnote>
  <w:footnote w:id="45">
    <w:p w14:paraId="2C3A6058" w14:textId="77777777" w:rsidR="004D3B6A" w:rsidRPr="00F37D26" w:rsidRDefault="004D3B6A" w:rsidP="00F37D26">
      <w:pPr>
        <w:pStyle w:val="FootnoteText"/>
      </w:pPr>
      <w:r>
        <w:rPr>
          <w:rStyle w:val="FootnoteReference0"/>
        </w:rPr>
        <w:footnoteRef/>
      </w:r>
      <w:r w:rsidRPr="00F37D26">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r>
        <w:t>).</w:t>
      </w:r>
    </w:p>
  </w:footnote>
  <w:footnote w:id="46">
    <w:p w14:paraId="2C3A6059" w14:textId="77777777" w:rsidR="004D3B6A" w:rsidRPr="00F37D26" w:rsidRDefault="004D3B6A" w:rsidP="00F37D26">
      <w:pPr>
        <w:pStyle w:val="FootnoteText"/>
      </w:pPr>
      <w:r>
        <w:rPr>
          <w:rStyle w:val="FootnoteReference0"/>
        </w:rPr>
        <w:footnoteRef/>
      </w:r>
      <w:r w:rsidRPr="00F37D26">
        <w:tab/>
        <w:t xml:space="preserve">Directive 2001/83/EC of the European Parliament and of the Council of 6 November 2001 on the Community code relating to medicinal products for human use </w:t>
      </w:r>
      <w:r>
        <w:t>(</w:t>
      </w:r>
      <w:r w:rsidRPr="00F37D26">
        <w:t>OJ L 311, 28.11.2001, p. 67</w:t>
      </w:r>
      <w:r>
        <w:t>).</w:t>
      </w:r>
    </w:p>
  </w:footnote>
  <w:footnote w:id="47">
    <w:p w14:paraId="2C3A605A" w14:textId="77777777" w:rsidR="004D3B6A" w:rsidRPr="00F37D26" w:rsidRDefault="004D3B6A" w:rsidP="00F37D26">
      <w:pPr>
        <w:pStyle w:val="FootnoteText"/>
      </w:pPr>
      <w:r>
        <w:rPr>
          <w:rStyle w:val="FootnoteReference0"/>
        </w:rPr>
        <w:footnoteRef/>
      </w:r>
      <w:r w:rsidRPr="00F37D26">
        <w:tab/>
        <w:t xml:space="preserve">Regulation (EU) 2019/6 of the European Parliament and of the Council of 11 December 2018 on veterinary medicinal products and repealing Directive 2001/82/EC </w:t>
      </w:r>
      <w:r>
        <w:t>(</w:t>
      </w:r>
      <w:r w:rsidRPr="00F37D26">
        <w:t>OJ L 4, 7.1.2019, p. 43</w:t>
      </w:r>
      <w:r>
        <w:t>).</w:t>
      </w:r>
    </w:p>
  </w:footnote>
  <w:footnote w:id="48">
    <w:p w14:paraId="2C3A605B" w14:textId="77777777" w:rsidR="004D3B6A" w:rsidRPr="00A844F2" w:rsidRDefault="004D3B6A" w:rsidP="00BF1E38">
      <w:pPr>
        <w:pStyle w:val="FootnoteText"/>
      </w:pPr>
      <w:r>
        <w:rPr>
          <w:rStyle w:val="FootnoteReference0"/>
        </w:rPr>
        <w:footnoteRef/>
      </w:r>
      <w:r w:rsidRPr="00A844F2">
        <w:tab/>
      </w:r>
      <w:r>
        <w:t>COM (2021) 802 final.</w:t>
      </w:r>
    </w:p>
  </w:footnote>
  <w:footnote w:id="49">
    <w:p w14:paraId="2C3A605C" w14:textId="77777777" w:rsidR="004D3B6A" w:rsidRPr="00AF7BB8" w:rsidRDefault="004D3B6A" w:rsidP="00344669">
      <w:pPr>
        <w:pStyle w:val="FootnoteText"/>
      </w:pPr>
      <w:r>
        <w:rPr>
          <w:rStyle w:val="FootnoteReference0"/>
        </w:rPr>
        <w:footnoteRef/>
      </w:r>
      <w:r w:rsidRPr="00226F55">
        <w:tab/>
        <w:t>Directive 2009/81/EC of the European Parliament and of the Council of 13 July</w:t>
      </w:r>
      <w:r w:rsidRPr="00345D15">
        <w:t xml:space="preserve"> 2009 on the coordination of procedures for the award of certain works contracts, supply contracts and service contracts by contracting authorities or entities in the fields of defence and security, and amending Directives 2004/17/EC and 2004/18/EC (OJ L 2</w:t>
      </w:r>
      <w:r w:rsidRPr="001321C5">
        <w:t>16, 20.8.2009, p. 76</w:t>
      </w:r>
      <w:r>
        <w:t>).</w:t>
      </w:r>
    </w:p>
  </w:footnote>
  <w:footnote w:id="50">
    <w:p w14:paraId="2C3A605D" w14:textId="77777777" w:rsidR="004D3B6A" w:rsidRPr="00ED3523" w:rsidRDefault="004D3B6A" w:rsidP="00344669">
      <w:pPr>
        <w:pStyle w:val="FootnoteText"/>
      </w:pPr>
      <w:r>
        <w:rPr>
          <w:rStyle w:val="FootnoteReference0"/>
        </w:rPr>
        <w:footnoteRef/>
      </w:r>
      <w:r>
        <w:tab/>
        <w:t xml:space="preserve">Regulation (EU) 2017/745 of the European Parliament and of the Council of 5 April 2017 </w:t>
      </w:r>
      <w:r w:rsidRPr="00ED3523">
        <w:t>on medical devices, amending Directive 2001/83/EC, Regulation (EC) No 178/2002 and Regulation (EC) No 1223/2009 and repealing Council Directives 90/385/EEC and 93/42/EEC</w:t>
      </w:r>
      <w:r>
        <w:t xml:space="preserve"> (</w:t>
      </w:r>
      <w:r w:rsidRPr="00ED3523">
        <w:t>OJ L 117 5.5.2017, p. 1)</w:t>
      </w:r>
      <w:r>
        <w:t>.</w:t>
      </w:r>
    </w:p>
  </w:footnote>
  <w:footnote w:id="51">
    <w:p w14:paraId="2C3A605E" w14:textId="77777777" w:rsidR="004D3B6A" w:rsidRPr="00F84A92" w:rsidRDefault="004D3B6A">
      <w:pPr>
        <w:pStyle w:val="FootnoteText"/>
      </w:pPr>
      <w:r>
        <w:rPr>
          <w:rStyle w:val="FootnoteReference0"/>
        </w:rPr>
        <w:footnoteRef/>
      </w:r>
      <w:r w:rsidRPr="00F84A92">
        <w:tab/>
      </w:r>
      <w:r w:rsidRPr="008F43A9">
        <w:t xml:space="preserve">Regulation (EU) 2017/746 of the European Parliament and of the Council of 5 April 2017 on </w:t>
      </w:r>
      <w:r w:rsidRPr="004C0AFF">
        <w:rPr>
          <w:i/>
        </w:rPr>
        <w:t>in vitro</w:t>
      </w:r>
      <w:r w:rsidRPr="008F43A9">
        <w:t xml:space="preserve"> diagnostic medical devices and repealing Directive 98/79/EC and Commission Decision 2010/227/EU </w:t>
      </w:r>
      <w:r>
        <w:t>(</w:t>
      </w:r>
      <w:r w:rsidRPr="008F43A9">
        <w:t>OJ L 117, 5.5.2017, p. 176</w:t>
      </w:r>
      <w:r>
        <w:t>).</w:t>
      </w:r>
    </w:p>
  </w:footnote>
  <w:footnote w:id="52">
    <w:p w14:paraId="2C3A605F" w14:textId="77777777" w:rsidR="004D3B6A" w:rsidRPr="00DD3CD5" w:rsidRDefault="004D3B6A" w:rsidP="00344669">
      <w:pPr>
        <w:pStyle w:val="FootnoteText"/>
      </w:pPr>
      <w:r>
        <w:rPr>
          <w:rStyle w:val="FootnoteReference0"/>
        </w:rPr>
        <w:footnoteRef/>
      </w:r>
      <w:r w:rsidRPr="00DD3CD5">
        <w:tab/>
      </w:r>
      <w:r>
        <w:t xml:space="preserve">Communication from the Commission to the European Parliament, the Council, the European Economic and Social Committee and the Committee of the Regions </w:t>
      </w:r>
      <w:r w:rsidRPr="00A4330D">
        <w:rPr>
          <w:i/>
        </w:rPr>
        <w:t xml:space="preserve">on the implementation of the circular economy package </w:t>
      </w:r>
      <w:r>
        <w:rPr>
          <w:i/>
        </w:rPr>
        <w:t>- o</w:t>
      </w:r>
      <w:r w:rsidRPr="00A4330D">
        <w:rPr>
          <w:i/>
        </w:rPr>
        <w:t>ptions to address the interface between chemical, product and waste legislation</w:t>
      </w:r>
      <w:r>
        <w:t xml:space="preserve"> (COM(2018) 32 final).</w:t>
      </w:r>
    </w:p>
  </w:footnote>
  <w:footnote w:id="53">
    <w:p w14:paraId="2C3A6060" w14:textId="77777777" w:rsidR="004D3B6A" w:rsidRPr="00F84A92" w:rsidRDefault="004D3B6A">
      <w:pPr>
        <w:pStyle w:val="FootnoteText"/>
      </w:pPr>
      <w:r>
        <w:rPr>
          <w:rStyle w:val="FootnoteReference0"/>
        </w:rPr>
        <w:footnoteRef/>
      </w:r>
      <w:r w:rsidRPr="00F84A92">
        <w:tab/>
      </w:r>
      <w:r w:rsidRPr="003E7FCF">
        <w:rPr>
          <w:lang w:val="en-IE"/>
        </w:rPr>
        <w:t>Regulation (EC) No 66/2010 of the European Parliament and of the Council of 25 November 2009 on the EU Ecolabel (OJ L 27, 30.1.2010, p. 1).</w:t>
      </w:r>
    </w:p>
  </w:footnote>
  <w:footnote w:id="54">
    <w:p w14:paraId="2C3A6061" w14:textId="77777777" w:rsidR="004D3B6A" w:rsidRPr="00F84A92" w:rsidRDefault="004D3B6A">
      <w:pPr>
        <w:pStyle w:val="FootnoteText"/>
      </w:pPr>
      <w:r>
        <w:rPr>
          <w:rStyle w:val="FootnoteReference0"/>
        </w:rPr>
        <w:footnoteRef/>
      </w:r>
      <w:r w:rsidRPr="00F84A92">
        <w:tab/>
      </w:r>
      <w:r w:rsidRPr="003E7FCF">
        <w:rPr>
          <w:lang w:val="en-IE"/>
        </w:rPr>
        <w:t>Directive 2010/75/EU of the European Parliament and of the Council of 24 November 2010 on industrial emissions (integrated pollution prevention</w:t>
      </w:r>
      <w:r>
        <w:rPr>
          <w:lang w:val="en-IE"/>
        </w:rPr>
        <w:t xml:space="preserve"> and control) (</w:t>
      </w:r>
      <w:r w:rsidRPr="003E7FCF">
        <w:rPr>
          <w:lang w:val="en-IE"/>
        </w:rPr>
        <w:t>OJ L 334, 17.12.2010, p. 17</w:t>
      </w:r>
      <w:r>
        <w:rPr>
          <w:lang w:val="en-IE"/>
        </w:rPr>
        <w:t>).</w:t>
      </w:r>
    </w:p>
  </w:footnote>
  <w:footnote w:id="55">
    <w:p w14:paraId="2C3A6062" w14:textId="77777777" w:rsidR="004D3B6A" w:rsidRPr="00F84A92" w:rsidRDefault="004D3B6A">
      <w:pPr>
        <w:pStyle w:val="FootnoteText"/>
      </w:pPr>
      <w:r>
        <w:rPr>
          <w:rStyle w:val="FootnoteReference0"/>
        </w:rPr>
        <w:footnoteRef/>
      </w:r>
      <w:r w:rsidRPr="00F84A92">
        <w:tab/>
      </w:r>
      <w:r w:rsidRPr="00543EBD">
        <w:rPr>
          <w:lang w:val="en-IE"/>
        </w:rPr>
        <w:t>Regulation (EU) 2020/852 of the European Parliament and of the Council of 18 June 2020 on the establishment of a framework to facilitate sustainable investment, and amending Regulation (EU) 2019</w:t>
      </w:r>
      <w:r>
        <w:rPr>
          <w:lang w:val="en-IE"/>
        </w:rPr>
        <w:t>/2088 (</w:t>
      </w:r>
      <w:r w:rsidRPr="003E7FCF">
        <w:rPr>
          <w:lang w:val="en-IE"/>
        </w:rPr>
        <w:t>OJ L 198, 22.6.2020, p. 13</w:t>
      </w:r>
      <w:r>
        <w:rPr>
          <w:lang w:val="en-IE"/>
        </w:rPr>
        <w:t>).</w:t>
      </w:r>
    </w:p>
  </w:footnote>
  <w:footnote w:id="56">
    <w:p w14:paraId="2C3A6063" w14:textId="77777777" w:rsidR="004D3B6A" w:rsidRPr="00CB2DB1" w:rsidRDefault="004D3B6A">
      <w:pPr>
        <w:pStyle w:val="FootnoteText"/>
      </w:pPr>
      <w:r>
        <w:rPr>
          <w:rStyle w:val="FootnoteReference0"/>
        </w:rPr>
        <w:footnoteRef/>
      </w:r>
      <w:r w:rsidRPr="00CB2DB1">
        <w:tab/>
      </w:r>
      <w:r w:rsidRPr="00F634C6">
        <w:t>Communication “Public procurement for a better environment” (COM (2008) 400)</w:t>
      </w:r>
    </w:p>
  </w:footnote>
  <w:footnote w:id="57">
    <w:p w14:paraId="2C3A6064" w14:textId="77777777" w:rsidR="004D3B6A" w:rsidRPr="00BA4E97" w:rsidRDefault="004D3B6A">
      <w:pPr>
        <w:pStyle w:val="FootnoteText"/>
      </w:pPr>
      <w:r>
        <w:rPr>
          <w:rStyle w:val="FootnoteReference0"/>
        </w:rPr>
        <w:footnoteRef/>
      </w:r>
      <w:r w:rsidRPr="00BA4E97">
        <w:tab/>
      </w:r>
      <w:r>
        <w:t>Commission Recommendation (EU) 2021/2279 of 15 December 2021 on the use of the Environmental Footprint methods to measure and communicate the life cycle environmental performance of products and organisations.</w:t>
      </w:r>
    </w:p>
  </w:footnote>
  <w:footnote w:id="58">
    <w:p w14:paraId="2C3A6065" w14:textId="77777777" w:rsidR="004D3B6A" w:rsidRDefault="004D3B6A" w:rsidP="00906F3B">
      <w:pPr>
        <w:pStyle w:val="FootnoteText"/>
      </w:pPr>
      <w:r>
        <w:rPr>
          <w:rStyle w:val="FootnoteReference0"/>
        </w:rPr>
        <w:footnoteRef/>
      </w:r>
      <w:r>
        <w:tab/>
        <w:t>European Parliament and Council Directive 94/62/EC of 20 December 1994 on packaging and packaging waste (OJ L 365, 31.12.1994, p. 10).</w:t>
      </w:r>
    </w:p>
  </w:footnote>
  <w:footnote w:id="59">
    <w:p w14:paraId="2C3A6066" w14:textId="77777777" w:rsidR="004D3B6A" w:rsidRPr="00F11751" w:rsidRDefault="004D3B6A" w:rsidP="001057BC">
      <w:pPr>
        <w:pStyle w:val="FootnoteText"/>
      </w:pPr>
      <w:r>
        <w:rPr>
          <w:rStyle w:val="FootnoteReference0"/>
        </w:rPr>
        <w:footnoteRef/>
      </w:r>
      <w:r w:rsidRPr="00F11751">
        <w:tab/>
        <w:t>Regulation (EC) No 1935/2004 of the European Parliament and of the Council of 27 October 2004 on materials and articles intended to come into contact with food and repealing Directives 80/590/EEC and 89/109/EEC (</w:t>
      </w:r>
      <w:r>
        <w:t>OJ L 338, 13.11.2004, p. 4).</w:t>
      </w:r>
    </w:p>
  </w:footnote>
  <w:footnote w:id="60">
    <w:p w14:paraId="2C3A6067" w14:textId="77777777" w:rsidR="004D3B6A" w:rsidRPr="00F11751" w:rsidRDefault="004D3B6A" w:rsidP="00F11751">
      <w:pPr>
        <w:pStyle w:val="FootnoteText"/>
      </w:pPr>
      <w:r>
        <w:rPr>
          <w:rStyle w:val="FootnoteReference0"/>
        </w:rPr>
        <w:footnoteRef/>
      </w:r>
      <w:r w:rsidRPr="00F11751">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t xml:space="preserve"> (</w:t>
      </w:r>
      <w:r w:rsidRPr="00F11751">
        <w:t>OJ L 396, 30.12.2006, p. 1</w:t>
      </w:r>
      <w:r>
        <w:t>).</w:t>
      </w:r>
    </w:p>
  </w:footnote>
  <w:footnote w:id="61">
    <w:p w14:paraId="2C3A6068" w14:textId="77777777" w:rsidR="004D3B6A" w:rsidRPr="000728B3" w:rsidRDefault="004D3B6A" w:rsidP="00F11751">
      <w:pPr>
        <w:pStyle w:val="FootnoteText"/>
      </w:pPr>
      <w:r>
        <w:rPr>
          <w:rStyle w:val="FootnoteReference0"/>
        </w:rPr>
        <w:footnoteRef/>
      </w:r>
      <w:r w:rsidRPr="000728B3">
        <w:tab/>
        <w:t>Regulation (EC) No 1223/2009 of the European Parliament and of the Council of 30 November 2009 on cosmetic products (OJ L 342, 22.12.2009, p. 59</w:t>
      </w:r>
      <w:r>
        <w:t>).</w:t>
      </w:r>
    </w:p>
  </w:footnote>
  <w:footnote w:id="62">
    <w:p w14:paraId="2C3A6069" w14:textId="77777777" w:rsidR="004D3B6A" w:rsidRPr="008F43A9" w:rsidRDefault="004D3B6A" w:rsidP="001057BC">
      <w:pPr>
        <w:pStyle w:val="FootnoteText"/>
      </w:pPr>
      <w:r>
        <w:rPr>
          <w:rStyle w:val="FootnoteReference0"/>
        </w:rPr>
        <w:footnoteRef/>
      </w:r>
      <w:r w:rsidRPr="008F43A9">
        <w:tab/>
        <w:t xml:space="preserve">Regulation (EU) 2017/746 of the European Parliament and of the Council of 5 April 2017 on in vitro diagnostic medical devices and repealing Directive 98/79/EC and Commission Decision 2010/227/EU </w:t>
      </w:r>
      <w:r>
        <w:t>(</w:t>
      </w:r>
      <w:r w:rsidRPr="008F43A9">
        <w:t>OJ L 117, 5.5.2017, p. 176</w:t>
      </w:r>
      <w:r>
        <w:t>).</w:t>
      </w:r>
    </w:p>
  </w:footnote>
  <w:footnote w:id="63">
    <w:p w14:paraId="2C3A606A" w14:textId="77777777" w:rsidR="004D3B6A" w:rsidRPr="00F11751" w:rsidRDefault="004D3B6A" w:rsidP="00F11751">
      <w:pPr>
        <w:pStyle w:val="FootnoteText"/>
      </w:pPr>
      <w:r>
        <w:rPr>
          <w:rStyle w:val="FootnoteReference0"/>
        </w:rPr>
        <w:footnoteRef/>
      </w:r>
      <w:r w:rsidRPr="00F11751">
        <w:tab/>
        <w:t>Directive 2009/48/EC of the European Parliament and of the Council of 18 June 2009 on the safety of toys</w:t>
      </w:r>
      <w:r>
        <w:t xml:space="preserve"> (</w:t>
      </w:r>
      <w:r w:rsidRPr="00F11751">
        <w:t>OJ L 170, 30.6</w:t>
      </w:r>
      <w:r>
        <w:t>.2009, p. 1).</w:t>
      </w:r>
    </w:p>
  </w:footnote>
  <w:footnote w:id="64">
    <w:p w14:paraId="2C3A606B" w14:textId="77777777" w:rsidR="004D3B6A" w:rsidRPr="00906F3B" w:rsidRDefault="004D3B6A" w:rsidP="00906F3B">
      <w:pPr>
        <w:pStyle w:val="FootnoteText"/>
      </w:pPr>
      <w:r>
        <w:rPr>
          <w:rStyle w:val="FootnoteReference0"/>
        </w:rPr>
        <w:footnoteRef/>
      </w:r>
      <w:r w:rsidRPr="00906F3B">
        <w:tab/>
        <w:t xml:space="preserve">Directive 2011/65/EU of the European Parliament and of the Council of 8 June 2011 on the restriction of the use of certain hazardous substances in electrical and electronic equipment </w:t>
      </w:r>
      <w:r>
        <w:t>(OJ L 174, 1.7.2011, p. </w:t>
      </w:r>
      <w:r w:rsidRPr="00906F3B">
        <w:t>88</w:t>
      </w:r>
      <w:r>
        <w:t>).</w:t>
      </w:r>
    </w:p>
  </w:footnote>
  <w:footnote w:id="65">
    <w:p w14:paraId="2C3A606C" w14:textId="77777777" w:rsidR="004D3B6A" w:rsidRPr="00F84A92" w:rsidRDefault="004D3B6A">
      <w:pPr>
        <w:pStyle w:val="FootnoteText"/>
      </w:pPr>
      <w:r>
        <w:rPr>
          <w:rStyle w:val="FootnoteReference0"/>
        </w:rPr>
        <w:footnoteRef/>
      </w:r>
      <w:r w:rsidRPr="00F84A92">
        <w:tab/>
      </w:r>
      <w:r w:rsidRPr="00C873C0">
        <w:t>C</w:t>
      </w:r>
      <w:r>
        <w:t xml:space="preserve">ommunication from the Commission to the European Parliament, the Council, the European Economic and Social Committee and the Committee of the Regions </w:t>
      </w:r>
      <w:r w:rsidRPr="00D4569B">
        <w:rPr>
          <w:i/>
        </w:rPr>
        <w:t>Chemicals Strategy for Sustainability Towards a Toxic-Free Environment</w:t>
      </w:r>
      <w:r>
        <w:t xml:space="preserve"> </w:t>
      </w:r>
      <w:r w:rsidRPr="00C873C0">
        <w:t>COM(</w:t>
      </w:r>
      <w:r>
        <w:t>2020)667 final.</w:t>
      </w:r>
    </w:p>
  </w:footnote>
  <w:footnote w:id="66">
    <w:p w14:paraId="2C3A606D" w14:textId="77777777" w:rsidR="004D3B6A" w:rsidRPr="000728B3" w:rsidRDefault="004D3B6A" w:rsidP="000728B3">
      <w:pPr>
        <w:pStyle w:val="FootnoteText"/>
      </w:pPr>
      <w:r>
        <w:rPr>
          <w:rStyle w:val="FootnoteReference0"/>
        </w:rPr>
        <w:footnoteRef/>
      </w:r>
      <w:r w:rsidRPr="000728B3">
        <w:tab/>
        <w:t xml:space="preserve">Regulation (EC) No 1272/2008 of the European Parliament and of the Council of 16 December 2008 on classification, labelling and packaging of substances and mixtures, amending and repealing Directives 67/548/EEC and 1999/45/EC, and amending Regulation (EC) No 1907/2006 </w:t>
      </w:r>
      <w:r>
        <w:t>(OJ L 353, 31.12.2008, p. </w:t>
      </w:r>
      <w:r w:rsidRPr="000728B3">
        <w:t>1</w:t>
      </w:r>
      <w:r>
        <w:t>).</w:t>
      </w:r>
    </w:p>
  </w:footnote>
  <w:footnote w:id="67">
    <w:p w14:paraId="2C3A606E" w14:textId="77777777" w:rsidR="004D3B6A" w:rsidRPr="00D17BF9" w:rsidRDefault="004D3B6A">
      <w:pPr>
        <w:pStyle w:val="FootnoteText"/>
      </w:pPr>
      <w:r>
        <w:rPr>
          <w:rStyle w:val="FootnoteReference0"/>
        </w:rPr>
        <w:footnoteRef/>
      </w:r>
      <w:r w:rsidRPr="00D17BF9">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68">
    <w:p w14:paraId="2C3A606F" w14:textId="77777777" w:rsidR="004D3B6A" w:rsidRPr="00D17BF9" w:rsidRDefault="004D3B6A">
      <w:pPr>
        <w:pStyle w:val="FootnoteText"/>
      </w:pPr>
      <w:r w:rsidRPr="00D17BF9">
        <w:rPr>
          <w:rStyle w:val="FootnoteReference0"/>
        </w:rPr>
        <w:footnoteRef/>
      </w:r>
      <w:r w:rsidRPr="00D17BF9">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69">
    <w:p w14:paraId="2C3A6070" w14:textId="77777777" w:rsidR="004D3B6A" w:rsidRPr="00F32EC6" w:rsidRDefault="004D3B6A" w:rsidP="00F32EC6">
      <w:pPr>
        <w:pStyle w:val="FootnoteText"/>
      </w:pPr>
      <w:r>
        <w:rPr>
          <w:rStyle w:val="FootnoteReference0"/>
        </w:rPr>
        <w:footnoteRef/>
      </w:r>
      <w:r w:rsidRPr="00F32EC6">
        <w:tab/>
        <w:t>Regulation (EU) No 952/2013 of the European Parliament and of the Council of 9 October 2013 laying down the Union Customs Code</w:t>
      </w:r>
      <w:r>
        <w:t xml:space="preserve"> (</w:t>
      </w:r>
      <w:r w:rsidRPr="00F32EC6">
        <w:t>OJ L 269, 10.10.2013, p. 1</w:t>
      </w:r>
      <w:r>
        <w:t>).</w:t>
      </w:r>
    </w:p>
  </w:footnote>
  <w:footnote w:id="70">
    <w:p w14:paraId="2C3A6071" w14:textId="77777777" w:rsidR="004D3B6A" w:rsidRPr="00F84A92" w:rsidRDefault="004D3B6A">
      <w:pPr>
        <w:pStyle w:val="FootnoteText"/>
      </w:pPr>
      <w:r>
        <w:rPr>
          <w:rStyle w:val="FootnoteReference0"/>
        </w:rPr>
        <w:footnoteRef/>
      </w:r>
      <w:r w:rsidRPr="00F84A92">
        <w:tab/>
        <w:t>Directive (EU) 2019/771 of the European Parliament and of the Council f 20 May 2019 on certain aspects concerning contracts for the sale of goods, amending Regulation (EU) 2017/2394 and Directive 2009/22/EC, and repealing Directive 1999/44/EC</w:t>
      </w:r>
      <w:r>
        <w:t xml:space="preserve"> (OJ L 136, 22.5.2019, p. 6).</w:t>
      </w:r>
    </w:p>
  </w:footnote>
  <w:footnote w:id="71">
    <w:p w14:paraId="2C3A6072" w14:textId="77777777" w:rsidR="004D3B6A" w:rsidRPr="00F84A92" w:rsidRDefault="004D3B6A">
      <w:pPr>
        <w:pStyle w:val="FootnoteText"/>
      </w:pPr>
      <w:r>
        <w:rPr>
          <w:rStyle w:val="FootnoteReference0"/>
        </w:rPr>
        <w:footnoteRef/>
      </w:r>
      <w:r w:rsidRPr="00F84A92">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r>
        <w:t xml:space="preserve"> (OJ L 304, 22.11.2011, p. 64). </w:t>
      </w:r>
    </w:p>
  </w:footnote>
  <w:footnote w:id="72">
    <w:p w14:paraId="2C3A6073" w14:textId="77777777" w:rsidR="004D3B6A" w:rsidRPr="00407243" w:rsidRDefault="004D3B6A" w:rsidP="00DD43D3">
      <w:pPr>
        <w:pStyle w:val="FootnoteText"/>
      </w:pPr>
      <w:r>
        <w:rPr>
          <w:rStyle w:val="FootnoteReference0"/>
        </w:rPr>
        <w:footnoteRef/>
      </w:r>
      <w:r w:rsidRPr="00F4434C">
        <w:tab/>
      </w:r>
      <w: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904054">
        <w:t>OJ L 182, 29.6.2013, p. 19</w:t>
      </w:r>
      <w:r>
        <w:t>).</w:t>
      </w:r>
    </w:p>
  </w:footnote>
  <w:footnote w:id="73">
    <w:p w14:paraId="2C3A6074" w14:textId="77777777" w:rsidR="004D3B6A" w:rsidRDefault="004D3B6A" w:rsidP="003641F6">
      <w:pPr>
        <w:pStyle w:val="FootnoteText"/>
      </w:pPr>
      <w:r>
        <w:rPr>
          <w:rStyle w:val="FootnoteReference0"/>
        </w:rPr>
        <w:footnoteRef/>
      </w:r>
      <w:r>
        <w:tab/>
        <w:t>Directive 2000/31/EC of the European Parliament and of the Council of 8 June 2000 on certain legal aspects of information society services, in particular electronic commerce, in the Internal Market (‘Directive on electronic commerce’) (OJ L 178, 17.7.2000, p. 1).</w:t>
      </w:r>
    </w:p>
  </w:footnote>
  <w:footnote w:id="74">
    <w:p w14:paraId="2C3A6075" w14:textId="77777777" w:rsidR="004D3B6A" w:rsidRDefault="004D3B6A" w:rsidP="003641F6">
      <w:pPr>
        <w:pStyle w:val="FootnoteText"/>
      </w:pPr>
      <w:r>
        <w:rPr>
          <w:rStyle w:val="FootnoteReference0"/>
        </w:rPr>
        <w:footnoteRef/>
      </w:r>
      <w:r>
        <w:tab/>
        <w:t>[Add reference when adopted Proposal for a regulation of the European Parliament and of the Council on a Single Market For Digital Services (Digital Services Act) and amending Directive 2000/31/EC (COM(2020)825 final)].</w:t>
      </w:r>
    </w:p>
  </w:footnote>
  <w:footnote w:id="75">
    <w:p w14:paraId="2C3A6076" w14:textId="77777777" w:rsidR="004D3B6A" w:rsidRPr="00B54BA8" w:rsidRDefault="004D3B6A">
      <w:pPr>
        <w:pStyle w:val="FootnoteText"/>
      </w:pPr>
      <w:r>
        <w:rPr>
          <w:rStyle w:val="FootnoteReference0"/>
        </w:rPr>
        <w:footnoteRef/>
      </w:r>
      <w:r w:rsidRPr="00B54BA8">
        <w:tab/>
      </w:r>
      <w:r w:rsidRPr="00930BD5">
        <w:t>Regulation (EU) 2019/1020 of the European Parliament and of the Council of 20 June 2019 on market surveillance and compliance of products and amending Directive 2004/42/EC and Regulations (EC) No 765/2008 and (EU) No 305/2011 (OJ L169, 25.6.2019, p. 1)</w:t>
      </w:r>
      <w:r>
        <w:t>.</w:t>
      </w:r>
    </w:p>
  </w:footnote>
  <w:footnote w:id="76">
    <w:p w14:paraId="2C3A6077" w14:textId="77777777" w:rsidR="004D3B6A" w:rsidRPr="003B1393" w:rsidRDefault="004D3B6A" w:rsidP="003B1393">
      <w:pPr>
        <w:pStyle w:val="FootnoteText"/>
      </w:pPr>
      <w:r>
        <w:rPr>
          <w:rStyle w:val="FootnoteReference0"/>
        </w:rPr>
        <w:footnoteRef/>
      </w:r>
      <w:r w:rsidRPr="003B1393">
        <w:tab/>
        <w:t xml:space="preserve">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w:t>
      </w:r>
      <w:r>
        <w:t>(</w:t>
      </w:r>
      <w:r w:rsidRPr="003B1393">
        <w:t>OJ L 316, 14.11.2012, p. 12</w:t>
      </w:r>
      <w:r>
        <w:t>).</w:t>
      </w:r>
    </w:p>
  </w:footnote>
  <w:footnote w:id="77">
    <w:p w14:paraId="2C3A6078" w14:textId="77777777" w:rsidR="004D3B6A" w:rsidRPr="00C06418" w:rsidRDefault="004D3B6A" w:rsidP="00C06418">
      <w:pPr>
        <w:pStyle w:val="FootnoteText"/>
      </w:pPr>
      <w:r>
        <w:rPr>
          <w:rStyle w:val="FootnoteReference0"/>
        </w:rPr>
        <w:footnoteRef/>
      </w:r>
      <w:r w:rsidRPr="00C06418">
        <w:tab/>
        <w:t xml:space="preserve">Decision No 768/2008/EC of the European Parliament and of the Council of 9 July 2008 on a common framework for the marketing of products, and repealing Council Decision 93/465/EEC </w:t>
      </w:r>
      <w:r>
        <w:t>(OJ L 218, 13.8.2008, p. 82).</w:t>
      </w:r>
    </w:p>
  </w:footnote>
  <w:footnote w:id="78">
    <w:p w14:paraId="2C3A6079" w14:textId="77777777" w:rsidR="004D3B6A" w:rsidRPr="00F21D4A" w:rsidRDefault="004D3B6A" w:rsidP="00F21D4A">
      <w:pPr>
        <w:pStyle w:val="FootnoteText"/>
      </w:pPr>
      <w:r>
        <w:rPr>
          <w:rStyle w:val="FootnoteReference0"/>
        </w:rPr>
        <w:footnoteRef/>
      </w:r>
      <w:r w:rsidRPr="00F21D4A">
        <w:tab/>
        <w:t>Regulation (EC) No 765/2008 of the European Parliament and of the Council of 9 July 2008 setting out the requirements for accreditation and market surveillance relating to the marketing of products and re</w:t>
      </w:r>
      <w:r>
        <w:t>p</w:t>
      </w:r>
      <w:r w:rsidRPr="00F21D4A">
        <w:t>ealing Regulation (EEC) No 339/93 (OJ L 218, 13.8.2008, p. 30</w:t>
      </w:r>
      <w:r>
        <w:t>).</w:t>
      </w:r>
    </w:p>
  </w:footnote>
  <w:footnote w:id="79">
    <w:p w14:paraId="2C3A607A" w14:textId="77777777" w:rsidR="004D3B6A" w:rsidRPr="00803B38" w:rsidRDefault="004D3B6A" w:rsidP="00803B38">
      <w:pPr>
        <w:pStyle w:val="FootnoteText"/>
      </w:pPr>
      <w:r>
        <w:rPr>
          <w:rStyle w:val="FootnoteReference0"/>
        </w:rPr>
        <w:footnoteRef/>
      </w:r>
      <w:r w:rsidRPr="00803B38">
        <w:tab/>
        <w:t xml:space="preserve">Directive 2014/24/EU of the European Parliament and of the Council of 26 February 2014 on public procurement and repealing Directive 2004/18/EC </w:t>
      </w:r>
      <w:r>
        <w:t>(</w:t>
      </w:r>
      <w:r w:rsidRPr="00803B38">
        <w:t>OJ L 94, 28.3.2014, p. 65</w:t>
      </w:r>
      <w:r>
        <w:t>).</w:t>
      </w:r>
    </w:p>
  </w:footnote>
  <w:footnote w:id="80">
    <w:p w14:paraId="2C3A607B" w14:textId="77777777" w:rsidR="004D3B6A" w:rsidRPr="00803B38" w:rsidRDefault="004D3B6A" w:rsidP="00803B38">
      <w:pPr>
        <w:pStyle w:val="FootnoteText"/>
      </w:pPr>
      <w:r>
        <w:rPr>
          <w:rStyle w:val="FootnoteReference0"/>
        </w:rPr>
        <w:footnoteRef/>
      </w:r>
      <w:r w:rsidRPr="00803B38">
        <w:tab/>
        <w:t xml:space="preserve">Directive 2014/25/EU of the European Parliament and of the Council of 26 February 2014 on procurement by entities operating in the water, energy, transport and postal services sectors and repealing Directive 2004/17/EC </w:t>
      </w:r>
      <w:r>
        <w:t>(</w:t>
      </w:r>
      <w:r w:rsidRPr="00803B38">
        <w:t>OJ L 94, 28.3.2014, p. 243</w:t>
      </w:r>
      <w:r>
        <w:t>).</w:t>
      </w:r>
    </w:p>
  </w:footnote>
  <w:footnote w:id="81">
    <w:p w14:paraId="2C3A607C" w14:textId="77777777" w:rsidR="004D3B6A" w:rsidRPr="00382F9A" w:rsidRDefault="004D3B6A">
      <w:pPr>
        <w:pStyle w:val="FootnoteText"/>
      </w:pPr>
      <w:r>
        <w:rPr>
          <w:rStyle w:val="FootnoteReference0"/>
        </w:rPr>
        <w:footnoteRef/>
      </w:r>
      <w:r w:rsidRPr="00382F9A">
        <w:tab/>
      </w:r>
      <w:r>
        <w:t xml:space="preserve">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 1). </w:t>
      </w:r>
    </w:p>
  </w:footnote>
  <w:footnote w:id="82">
    <w:p w14:paraId="2C3A607D" w14:textId="77777777" w:rsidR="004D3B6A" w:rsidRPr="00322485" w:rsidRDefault="004D3B6A">
      <w:pPr>
        <w:pStyle w:val="FootnoteText"/>
      </w:pPr>
      <w:r>
        <w:rPr>
          <w:rStyle w:val="FootnoteReference0"/>
        </w:rPr>
        <w:footnoteRef/>
      </w:r>
      <w:r w:rsidRPr="00322485">
        <w:tab/>
      </w:r>
      <w:r w:rsidRPr="00E202D7">
        <w:rPr>
          <w:lang w:val="en-US"/>
        </w:rPr>
        <w:t>OJ L123, 12.5. 2016, p. 1.</w:t>
      </w:r>
    </w:p>
  </w:footnote>
  <w:footnote w:id="83">
    <w:p w14:paraId="2C3A607E" w14:textId="77777777" w:rsidR="004D3B6A" w:rsidRPr="006B2A80" w:rsidRDefault="004D3B6A">
      <w:pPr>
        <w:pStyle w:val="FootnoteText"/>
      </w:pPr>
      <w:r>
        <w:rPr>
          <w:rStyle w:val="FootnoteReference0"/>
        </w:rPr>
        <w:footnoteRef/>
      </w:r>
      <w:r w:rsidRPr="006B2A80">
        <w:tab/>
      </w:r>
      <w:r>
        <w:t>Regulation (EU) No 182/2011 of the European Parliament and of the Council of 16 February 2011 laying down the rules and general principles concerning mechanisms for control by Member States of the Commission’s exercise of implementing powers (</w:t>
      </w:r>
      <w:hyperlink r:id="rId12" w:history="1">
        <w:r>
          <w:rPr>
            <w:rStyle w:val="Hyperlink"/>
          </w:rPr>
          <w:t>OJ L 55, 28.2.2011, p. 13</w:t>
        </w:r>
      </w:hyperlink>
      <w:r>
        <w:t>).</w:t>
      </w:r>
    </w:p>
  </w:footnote>
  <w:footnote w:id="84">
    <w:p w14:paraId="2C3A607F" w14:textId="77777777" w:rsidR="004D3B6A" w:rsidRPr="001F2788" w:rsidRDefault="004D3B6A" w:rsidP="00BB6FF0">
      <w:pPr>
        <w:pStyle w:val="FootnoteText"/>
      </w:pPr>
      <w:r>
        <w:rPr>
          <w:rStyle w:val="FootnoteReference0"/>
        </w:rPr>
        <w:footnoteRef/>
      </w:r>
      <w:r w:rsidRPr="001F2788">
        <w:tab/>
      </w:r>
      <w:r w:rsidRPr="00CB585A">
        <w:rPr>
          <w:lang w:val="en-IE"/>
        </w:rPr>
        <w:t>Directive 2008/98/EC of the European Parliament and of the Council of 19 November 2008 on waste and repealing certain Direc</w:t>
      </w:r>
      <w:r>
        <w:rPr>
          <w:lang w:val="en-IE"/>
        </w:rPr>
        <w:t>tives (</w:t>
      </w:r>
      <w:r w:rsidRPr="00CB585A">
        <w:rPr>
          <w:lang w:val="en-IE"/>
        </w:rPr>
        <w:t>OJ L 312, 22.11.2008, p. 3</w:t>
      </w:r>
      <w:r>
        <w:rPr>
          <w:lang w:val="en-IE"/>
        </w:rPr>
        <w:t>).</w:t>
      </w:r>
    </w:p>
  </w:footnote>
  <w:footnote w:id="85">
    <w:p w14:paraId="2C3A6080" w14:textId="77777777" w:rsidR="004D3B6A" w:rsidRPr="007225F9" w:rsidRDefault="004D3B6A">
      <w:pPr>
        <w:pStyle w:val="FootnoteText"/>
      </w:pPr>
      <w:r>
        <w:rPr>
          <w:rStyle w:val="FootnoteReference0"/>
        </w:rPr>
        <w:footnoteRef/>
      </w:r>
      <w:r w:rsidRPr="007225F9">
        <w:tab/>
      </w:r>
      <w:r w:rsidRPr="00CB585A">
        <w:rPr>
          <w:lang w:val="en-IE"/>
        </w:rPr>
        <w:t xml:space="preserve">Commission Recommendation of 6 May 2003 concerning the definition of micro, small and medium-sized enterprises </w:t>
      </w:r>
      <w:r>
        <w:rPr>
          <w:lang w:val="en-IE"/>
        </w:rPr>
        <w:t>(</w:t>
      </w:r>
      <w:r w:rsidRPr="00CB585A">
        <w:rPr>
          <w:lang w:val="en-IE"/>
        </w:rPr>
        <w:t>OJ L 124, 20.5.2003, p. 36</w:t>
      </w:r>
      <w:r>
        <w:rPr>
          <w:lang w:val="en-IE"/>
        </w:rPr>
        <w:t>).</w:t>
      </w:r>
    </w:p>
  </w:footnote>
  <w:footnote w:id="86">
    <w:p w14:paraId="2C3A6081" w14:textId="77777777" w:rsidR="004D3B6A" w:rsidRPr="007A67E0" w:rsidRDefault="004D3B6A">
      <w:pPr>
        <w:pStyle w:val="FootnoteText"/>
        <w:rPr>
          <w:lang w:val="en-IE"/>
        </w:rPr>
      </w:pPr>
      <w:r>
        <w:rPr>
          <w:rStyle w:val="FootnoteReference0"/>
        </w:rPr>
        <w:footnoteRef/>
      </w:r>
      <w:r>
        <w:rPr>
          <w:lang w:val="en-IE"/>
        </w:rPr>
        <w:tab/>
      </w:r>
      <w:r w:rsidRPr="00DA1886">
        <w:rPr>
          <w:lang w:val="en-IE"/>
        </w:rPr>
        <w:t>Directive 2010/31/EU of the European Parliament and of the Council of 19 May 2010 on the energy performance of buildings  (OJ L 153, 18.6.2010, p. 13).</w:t>
      </w:r>
    </w:p>
  </w:footnote>
  <w:footnote w:id="87">
    <w:p w14:paraId="2C3A6082" w14:textId="77777777" w:rsidR="004D3B6A" w:rsidRPr="00C41ADE" w:rsidRDefault="004D3B6A">
      <w:pPr>
        <w:pStyle w:val="FootnoteText"/>
      </w:pPr>
      <w:r>
        <w:rPr>
          <w:rStyle w:val="FootnoteReference0"/>
        </w:rPr>
        <w:footnoteRef/>
      </w:r>
      <w:r w:rsidRPr="00C41ADE">
        <w:tab/>
      </w:r>
      <w:r>
        <w:t>As referred to in Article 58(2)(a) or (b) of the Financial Regulation.</w:t>
      </w:r>
    </w:p>
  </w:footnote>
  <w:footnote w:id="88">
    <w:p w14:paraId="2C3A6083" w14:textId="77777777" w:rsidR="004D3B6A" w:rsidRDefault="004D3B6A" w:rsidP="003102BB">
      <w:pPr>
        <w:pStyle w:val="FootnoteText"/>
        <w:jc w:val="left"/>
        <w:rPr>
          <w:szCs w:val="24"/>
        </w:rPr>
      </w:pPr>
      <w:r>
        <w:rPr>
          <w:rStyle w:val="FootnoteReference0"/>
        </w:rPr>
        <w:footnoteRef/>
      </w:r>
      <w:r>
        <w:tab/>
        <w:t xml:space="preserve">Details of management modes and references to the Financial Regulation may be found on the BudgWeb site: </w:t>
      </w:r>
      <w:hyperlink r:id="rId13" w:history="1">
        <w:r>
          <w:rPr>
            <w:rStyle w:val="Hyperlink"/>
            <w:szCs w:val="24"/>
          </w:rPr>
          <w:t>https://myintracomm.ec.europa.eu/budgweb/EN/man/budgmanag/Pages/budgmanag.aspx</w:t>
        </w:r>
      </w:hyperlink>
      <w:r>
        <w:rPr>
          <w:szCs w:val="24"/>
        </w:rPr>
        <w:t xml:space="preserve"> </w:t>
      </w:r>
    </w:p>
  </w:footnote>
  <w:footnote w:id="89">
    <w:p w14:paraId="2C3A6084" w14:textId="77777777" w:rsidR="004D3B6A" w:rsidRPr="008B78E1" w:rsidRDefault="004D3B6A">
      <w:pPr>
        <w:pStyle w:val="FootnoteText"/>
      </w:pPr>
      <w:r>
        <w:rPr>
          <w:rStyle w:val="FootnoteReference0"/>
        </w:rPr>
        <w:footnoteRef/>
      </w:r>
      <w:r w:rsidRPr="008B78E1">
        <w:tab/>
      </w:r>
      <w:r>
        <w:t>Diff. = Differentiated appropriations / Non-diff. = Non-differentiated appropriations.</w:t>
      </w:r>
    </w:p>
  </w:footnote>
  <w:footnote w:id="90">
    <w:p w14:paraId="2C3A6085" w14:textId="77777777" w:rsidR="004D3B6A" w:rsidRPr="008B78E1" w:rsidRDefault="004D3B6A">
      <w:pPr>
        <w:pStyle w:val="FootnoteText"/>
      </w:pPr>
      <w:r>
        <w:rPr>
          <w:rStyle w:val="FootnoteReference0"/>
        </w:rPr>
        <w:footnoteRef/>
      </w:r>
      <w:r w:rsidRPr="008B78E1">
        <w:tab/>
      </w:r>
      <w:r>
        <w:t>EFTA: European Free Trade Association.</w:t>
      </w:r>
    </w:p>
  </w:footnote>
  <w:footnote w:id="91">
    <w:p w14:paraId="2C3A6086" w14:textId="77777777" w:rsidR="004D3B6A" w:rsidRPr="008B78E1" w:rsidRDefault="004D3B6A">
      <w:pPr>
        <w:pStyle w:val="FootnoteText"/>
      </w:pPr>
      <w:r>
        <w:rPr>
          <w:rStyle w:val="FootnoteReference0"/>
        </w:rPr>
        <w:footnoteRef/>
      </w:r>
      <w:r w:rsidRPr="008B78E1">
        <w:tab/>
      </w:r>
      <w:r>
        <w:t>Candidate countries and, where applicable, potential candidates from the Western Balkans.</w:t>
      </w:r>
    </w:p>
  </w:footnote>
  <w:footnote w:id="92">
    <w:p w14:paraId="2C3A6087" w14:textId="77777777" w:rsidR="004D3B6A" w:rsidRPr="00F16935" w:rsidRDefault="004D3B6A">
      <w:pPr>
        <w:pStyle w:val="FootnoteText"/>
      </w:pPr>
      <w:r>
        <w:rPr>
          <w:rStyle w:val="FootnoteReference0"/>
        </w:rPr>
        <w:footnoteRef/>
      </w:r>
      <w:r w:rsidRPr="00F16935">
        <w:tab/>
      </w:r>
      <w:r w:rsidRPr="008E7015">
        <w:rPr>
          <w:lang w:val="en-IE"/>
        </w:rPr>
        <w:t>Negotiation of association of candidate and th</w:t>
      </w:r>
      <w:r>
        <w:rPr>
          <w:lang w:val="en-IE"/>
        </w:rPr>
        <w:t>ird countries to the Single Mark</w:t>
      </w:r>
      <w:r w:rsidRPr="008E7015">
        <w:rPr>
          <w:lang w:val="en-IE"/>
        </w:rPr>
        <w:t xml:space="preserve">et Programme </w:t>
      </w:r>
      <w:r>
        <w:rPr>
          <w:lang w:val="en-IE"/>
        </w:rPr>
        <w:t>ongoing.</w:t>
      </w:r>
    </w:p>
  </w:footnote>
  <w:footnote w:id="93">
    <w:p w14:paraId="2C3A6088" w14:textId="77777777" w:rsidR="004D3B6A" w:rsidRPr="008B78E1" w:rsidRDefault="004D3B6A">
      <w:pPr>
        <w:pStyle w:val="FootnoteText"/>
      </w:pPr>
      <w:r>
        <w:rPr>
          <w:rStyle w:val="FootnoteReference0"/>
        </w:rPr>
        <w:footnoteRef/>
      </w:r>
      <w:r w:rsidRPr="008B78E1">
        <w:tab/>
      </w:r>
      <w:r w:rsidRPr="007974DD">
        <w:rPr>
          <w:sz w:val="18"/>
          <w:szCs w:val="18"/>
        </w:rPr>
        <w:t>According to the official budget nomenclature</w:t>
      </w:r>
      <w:r>
        <w:rPr>
          <w:sz w:val="18"/>
          <w:szCs w:val="18"/>
        </w:rPr>
        <w:t>.</w:t>
      </w:r>
    </w:p>
  </w:footnote>
  <w:footnote w:id="94">
    <w:p w14:paraId="2C3A6089" w14:textId="77777777" w:rsidR="004D3B6A" w:rsidRPr="008B78E1" w:rsidRDefault="004D3B6A">
      <w:pPr>
        <w:pStyle w:val="FootnoteText"/>
      </w:pPr>
      <w:r>
        <w:rPr>
          <w:rStyle w:val="FootnoteReference0"/>
        </w:rPr>
        <w:footnoteRef/>
      </w:r>
      <w:r w:rsidRPr="008B78E1">
        <w:tab/>
      </w:r>
      <w:r w:rsidRPr="007974DD">
        <w:rPr>
          <w:sz w:val="18"/>
          <w:szCs w:val="18"/>
        </w:rPr>
        <w:t>Technical and/or administrative assistance and expenditure in support of the implementation of EU programmes and/or actions (former ‘BA’ lines), indirect research, direct research.</w:t>
      </w:r>
    </w:p>
  </w:footnote>
  <w:footnote w:id="95">
    <w:p w14:paraId="2C3A608A" w14:textId="77777777" w:rsidR="004D3B6A" w:rsidRPr="008B78E1" w:rsidRDefault="004D3B6A">
      <w:pPr>
        <w:pStyle w:val="FootnoteText"/>
      </w:pPr>
      <w:r>
        <w:rPr>
          <w:rStyle w:val="FootnoteReference0"/>
        </w:rPr>
        <w:footnoteRef/>
      </w:r>
      <w:r w:rsidRPr="008B78E1">
        <w:tab/>
      </w:r>
      <w:r w:rsidRPr="007974DD">
        <w:rPr>
          <w:sz w:val="18"/>
          <w:szCs w:val="18"/>
        </w:rPr>
        <w:t>According to the official budget nomenclature</w:t>
      </w:r>
      <w:r>
        <w:rPr>
          <w:sz w:val="18"/>
          <w:szCs w:val="18"/>
        </w:rPr>
        <w:t>.</w:t>
      </w:r>
    </w:p>
  </w:footnote>
  <w:footnote w:id="96">
    <w:p w14:paraId="2C3A608B" w14:textId="77777777" w:rsidR="004D3B6A" w:rsidRPr="008B78E1" w:rsidRDefault="004D3B6A">
      <w:pPr>
        <w:pStyle w:val="FootnoteText"/>
      </w:pPr>
      <w:r>
        <w:rPr>
          <w:rStyle w:val="FootnoteReference0"/>
        </w:rPr>
        <w:footnoteRef/>
      </w:r>
      <w:r w:rsidRPr="008B78E1">
        <w:tab/>
      </w:r>
      <w:r w:rsidRPr="008F218C">
        <w:rPr>
          <w:sz w:val="18"/>
          <w:szCs w:val="18"/>
          <w:lang w:val="en-IE"/>
        </w:rPr>
        <w:t xml:space="preserve">The proposal foresees IT developments in the EU </w:t>
      </w:r>
      <w:r w:rsidRPr="00DF12CD">
        <w:rPr>
          <w:sz w:val="18"/>
          <w:szCs w:val="18"/>
          <w:lang w:val="en-IE"/>
        </w:rPr>
        <w:t xml:space="preserve">Single Window environment for Customs to facilitate enforcement of product requirements on imported products, and ensure interoperability with the </w:t>
      </w:r>
      <w:r w:rsidRPr="008F218C">
        <w:rPr>
          <w:sz w:val="18"/>
          <w:szCs w:val="18"/>
          <w:lang w:val="en-IE"/>
        </w:rPr>
        <w:t>digital product passport. Such work will need financial resources to be</w:t>
      </w:r>
      <w:r w:rsidRPr="00DF12CD">
        <w:rPr>
          <w:sz w:val="18"/>
          <w:szCs w:val="18"/>
          <w:lang w:val="en-IE"/>
        </w:rPr>
        <w:t xml:space="preserve"> made available to DG TAXUD. Currently, the level of appropriate resources for such work cannot be determined with certainty, but it is estimated that it could require a</w:t>
      </w:r>
      <w:r w:rsidRPr="00196CE6">
        <w:rPr>
          <w:sz w:val="18"/>
          <w:szCs w:val="18"/>
          <w:lang w:val="en-IE"/>
        </w:rPr>
        <w:t xml:space="preserve"> maximum estimated budget of 1,250 million EUR for the period 202</w:t>
      </w:r>
      <w:r>
        <w:rPr>
          <w:sz w:val="18"/>
          <w:szCs w:val="18"/>
          <w:lang w:val="en-IE"/>
        </w:rPr>
        <w:t>4</w:t>
      </w:r>
      <w:r w:rsidRPr="00196CE6">
        <w:rPr>
          <w:sz w:val="18"/>
          <w:szCs w:val="18"/>
          <w:lang w:val="en-IE"/>
        </w:rPr>
        <w:t>-2027, while a maintenance fee of 0.160 million EUR will be needed annually thereafter.</w:t>
      </w:r>
      <w:r w:rsidRPr="00CB3E24">
        <w:t xml:space="preserve"> </w:t>
      </w:r>
      <w:r w:rsidRPr="008F218C">
        <w:rPr>
          <w:sz w:val="18"/>
          <w:szCs w:val="18"/>
          <w:lang w:val="en-IE"/>
        </w:rPr>
        <w:t>IT development and procurement choices will be subject to pre-approval by the European Commission Information Technology and Cybersecurity Board.</w:t>
      </w:r>
    </w:p>
  </w:footnote>
  <w:footnote w:id="97">
    <w:p w14:paraId="2C3A608C" w14:textId="77777777" w:rsidR="004D3B6A" w:rsidRPr="008B78E1" w:rsidRDefault="004D3B6A">
      <w:pPr>
        <w:pStyle w:val="FootnoteText"/>
      </w:pPr>
      <w:r>
        <w:rPr>
          <w:rStyle w:val="FootnoteReference0"/>
        </w:rPr>
        <w:footnoteRef/>
      </w:r>
      <w:r w:rsidRPr="008B78E1">
        <w:tab/>
      </w:r>
      <w:r w:rsidRPr="007974DD">
        <w:rPr>
          <w:sz w:val="18"/>
          <w:szCs w:val="18"/>
        </w:rPr>
        <w:t>Technical and/or administrative assistance and expenditure in support of the implementation of EU programmes and/or actions (former ‘BA’ lines), indirect research, direct research.</w:t>
      </w:r>
    </w:p>
  </w:footnote>
  <w:footnote w:id="98">
    <w:p w14:paraId="2C3A608D" w14:textId="77777777" w:rsidR="004D3B6A" w:rsidRPr="008B78E1" w:rsidRDefault="004D3B6A">
      <w:pPr>
        <w:pStyle w:val="FootnoteText"/>
      </w:pPr>
      <w:r>
        <w:rPr>
          <w:rStyle w:val="FootnoteReference0"/>
        </w:rPr>
        <w:footnoteRef/>
      </w:r>
      <w:r w:rsidRPr="008B78E1">
        <w:tab/>
      </w:r>
      <w:r w:rsidRPr="007974DD">
        <w:rPr>
          <w:sz w:val="18"/>
          <w:szCs w:val="18"/>
        </w:rPr>
        <w:t>According to the official budget nomenclature</w:t>
      </w:r>
      <w:r>
        <w:rPr>
          <w:sz w:val="18"/>
          <w:szCs w:val="18"/>
        </w:rPr>
        <w:t>.</w:t>
      </w:r>
    </w:p>
  </w:footnote>
  <w:footnote w:id="99">
    <w:p w14:paraId="2C3A608E" w14:textId="77777777" w:rsidR="004D3B6A" w:rsidRPr="008B78E1" w:rsidRDefault="004D3B6A">
      <w:pPr>
        <w:pStyle w:val="FootnoteText"/>
      </w:pPr>
      <w:r>
        <w:rPr>
          <w:rStyle w:val="FootnoteReference0"/>
        </w:rPr>
        <w:footnoteRef/>
      </w:r>
      <w:r w:rsidRPr="008B78E1">
        <w:tab/>
      </w:r>
      <w:r w:rsidRPr="007974DD">
        <w:rPr>
          <w:sz w:val="18"/>
          <w:szCs w:val="18"/>
        </w:rPr>
        <w:t>Technical and/or administrative assistance and expenditure in support of the implementation of EU programmes and/or actions (former ‘BA’ lines), indirect research, direct research.</w:t>
      </w:r>
    </w:p>
  </w:footnote>
  <w:footnote w:id="100">
    <w:p w14:paraId="2C3A608F" w14:textId="77777777" w:rsidR="004D3B6A" w:rsidRPr="008B78E1" w:rsidRDefault="004D3B6A">
      <w:pPr>
        <w:pStyle w:val="FootnoteText"/>
      </w:pPr>
      <w:r>
        <w:rPr>
          <w:rStyle w:val="FootnoteReference0"/>
        </w:rPr>
        <w:footnoteRef/>
      </w:r>
      <w:r w:rsidRPr="008B78E1">
        <w:tab/>
      </w:r>
      <w:r>
        <w:t>Outputs are products and services to be supplied (e.g.: number of student exchanges financed, number of km of roads built, etc.).</w:t>
      </w:r>
    </w:p>
  </w:footnote>
  <w:footnote w:id="101">
    <w:p w14:paraId="2C3A6090" w14:textId="77777777" w:rsidR="004D3B6A" w:rsidRPr="008B78E1" w:rsidRDefault="004D3B6A">
      <w:pPr>
        <w:pStyle w:val="FootnoteText"/>
      </w:pPr>
      <w:r>
        <w:rPr>
          <w:rStyle w:val="FootnoteReference0"/>
        </w:rPr>
        <w:footnoteRef/>
      </w:r>
      <w:r w:rsidRPr="008B78E1">
        <w:tab/>
      </w:r>
      <w:r>
        <w:t>As described in point 1.4.2. ‘Specific objective(s)…’</w:t>
      </w:r>
    </w:p>
  </w:footnote>
  <w:footnote w:id="102">
    <w:p w14:paraId="2C3A6091" w14:textId="77777777" w:rsidR="004D3B6A" w:rsidRPr="0052414F" w:rsidRDefault="004D3B6A">
      <w:pPr>
        <w:pStyle w:val="FootnoteText"/>
      </w:pPr>
      <w:r>
        <w:rPr>
          <w:rStyle w:val="FootnoteReference0"/>
        </w:rPr>
        <w:footnoteRef/>
      </w:r>
      <w:r w:rsidRPr="0052414F">
        <w:tab/>
      </w:r>
      <w:r>
        <w:t xml:space="preserve">The </w:t>
      </w:r>
      <w:r>
        <w:rPr>
          <w:noProof/>
        </w:rPr>
        <w:t>European circular business hub should support the exchange of experience between economic actors in integrating circularity in product design and manufacturing.</w:t>
      </w:r>
    </w:p>
  </w:footnote>
  <w:footnote w:id="103">
    <w:p w14:paraId="2C3A6092" w14:textId="77777777" w:rsidR="004D3B6A" w:rsidRPr="008B78E1" w:rsidRDefault="004D3B6A">
      <w:pPr>
        <w:pStyle w:val="FootnoteText"/>
      </w:pPr>
      <w:r>
        <w:rPr>
          <w:rStyle w:val="FootnoteReference0"/>
        </w:rPr>
        <w:footnoteRef/>
      </w:r>
      <w:r w:rsidRPr="008B78E1">
        <w:tab/>
      </w:r>
      <w:r w:rsidRPr="007974DD">
        <w:rPr>
          <w:sz w:val="18"/>
          <w:szCs w:val="18"/>
        </w:rPr>
        <w:t>Technical and/or administrative assistance and expenditure in support of the implementation of EU programmes and/or actions (former ‘BA’ lines), indirect research, direct research.</w:t>
      </w:r>
    </w:p>
  </w:footnote>
  <w:footnote w:id="104">
    <w:p w14:paraId="2C3A6093" w14:textId="77777777" w:rsidR="004D3B6A" w:rsidRPr="008B78E1" w:rsidRDefault="004D3B6A">
      <w:pPr>
        <w:pStyle w:val="FootnoteText"/>
      </w:pPr>
      <w:r>
        <w:rPr>
          <w:rStyle w:val="FootnoteReference0"/>
        </w:rPr>
        <w:footnoteRef/>
      </w:r>
      <w:r w:rsidRPr="008B78E1">
        <w:tab/>
      </w:r>
      <w:r>
        <w:t>AC= Contract Staff; AL = Local Staff; END= Seconded National Expert; INT = agency staff; JPD= Junior Professionals in Delegations.</w:t>
      </w:r>
    </w:p>
  </w:footnote>
  <w:footnote w:id="105">
    <w:p w14:paraId="2C3A6094" w14:textId="77777777" w:rsidR="004D3B6A" w:rsidRDefault="004D3B6A">
      <w:pPr>
        <w:pStyle w:val="FootnoteText"/>
        <w:rPr>
          <w:szCs w:val="24"/>
        </w:rPr>
      </w:pPr>
      <w:r>
        <w:rPr>
          <w:rStyle w:val="FootnoteReference0"/>
        </w:rPr>
        <w:footnoteRef/>
      </w:r>
      <w:r w:rsidRPr="004C3D41">
        <w:tab/>
      </w:r>
      <w:r>
        <w:t>Sub-ceiling for external staff covered by operational appropriations (former ‘BA’ lines).</w:t>
      </w:r>
    </w:p>
  </w:footnote>
  <w:footnote w:id="106">
    <w:p w14:paraId="2C3A6095" w14:textId="77777777" w:rsidR="004D3B6A" w:rsidRPr="003102BB" w:rsidRDefault="004D3B6A">
      <w:pPr>
        <w:pStyle w:val="FootnoteText"/>
      </w:pPr>
      <w:r>
        <w:rPr>
          <w:rStyle w:val="FootnoteReference0"/>
        </w:rPr>
        <w:footnoteRef/>
      </w:r>
      <w:r w:rsidRPr="004C3D41">
        <w:tab/>
      </w:r>
      <w:r>
        <w:t>Year N is the year in which implementation of the proposal/initiative starts. Please replace "N" by the expected first year of implementation (for instance: 2021). The same for the following years.</w:t>
      </w:r>
    </w:p>
  </w:footnote>
  <w:footnote w:id="107">
    <w:p w14:paraId="2C3A6096" w14:textId="77777777" w:rsidR="004D3B6A" w:rsidRDefault="004D3B6A">
      <w:pPr>
        <w:pStyle w:val="FootnoteText"/>
        <w:rPr>
          <w:szCs w:val="24"/>
        </w:rPr>
      </w:pPr>
      <w:r>
        <w:rPr>
          <w:rStyle w:val="FootnoteReference0"/>
        </w:rPr>
        <w:footnoteRef/>
      </w:r>
      <w:r w:rsidRPr="004C3D41">
        <w:tab/>
      </w:r>
      <w:r>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F5B9" w14:textId="77777777" w:rsidR="008B42B0" w:rsidRPr="008B42B0" w:rsidRDefault="008B42B0" w:rsidP="008B42B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F9A6" w14:textId="77777777" w:rsidR="008B42B0" w:rsidRPr="008B42B0" w:rsidRDefault="008B42B0" w:rsidP="008B42B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7E2D" w14:textId="77777777" w:rsidR="008B42B0" w:rsidRPr="008B42B0" w:rsidRDefault="008B42B0" w:rsidP="008B4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17FE" w14:textId="77777777" w:rsidR="008B42B0" w:rsidRPr="008B42B0" w:rsidRDefault="008B42B0" w:rsidP="008B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0263EB"/>
    <w:multiLevelType w:val="hybridMultilevel"/>
    <w:tmpl w:val="2B8AA7EC"/>
    <w:lvl w:ilvl="0" w:tplc="9EA46DB6">
      <w:start w:val="1"/>
      <w:numFmt w:val="lowerLetter"/>
      <w:pStyle w:val="no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3"/>
  </w:num>
  <w:num w:numId="3">
    <w:abstractNumId w:val="30"/>
    <w:lvlOverride w:ilvl="0">
      <w:startOverride w:val="1"/>
    </w:lvlOverride>
  </w:num>
  <w:num w:numId="4">
    <w:abstractNumId w:val="0"/>
  </w:num>
  <w:num w:numId="5">
    <w:abstractNumId w:val="20"/>
  </w:num>
  <w:num w:numId="6">
    <w:abstractNumId w:val="8"/>
  </w:num>
  <w:num w:numId="7">
    <w:abstractNumId w:val="17"/>
  </w:num>
  <w:num w:numId="8">
    <w:abstractNumId w:val="16"/>
  </w:num>
  <w:num w:numId="9">
    <w:abstractNumId w:val="27"/>
  </w:num>
  <w:num w:numId="10">
    <w:abstractNumId w:val="24"/>
  </w:num>
  <w:num w:numId="11">
    <w:abstractNumId w:val="28"/>
  </w:num>
  <w:num w:numId="12">
    <w:abstractNumId w:val="29"/>
  </w:num>
  <w:num w:numId="13">
    <w:abstractNumId w:val="1"/>
  </w:num>
  <w:num w:numId="14">
    <w:abstractNumId w:val="10"/>
  </w:num>
  <w:num w:numId="15">
    <w:abstractNumId w:val="2"/>
  </w:num>
  <w:num w:numId="16">
    <w:abstractNumId w:val="11"/>
  </w:num>
  <w:num w:numId="17">
    <w:abstractNumId w:val="9"/>
  </w:num>
  <w:num w:numId="18">
    <w:abstractNumId w:val="18"/>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0"/>
    </w:lvlOverride>
    <w:lvlOverride w:ilvl="1">
      <w:startOverride w:val="1"/>
    </w:lvlOverride>
    <w:lvlOverride w:ilvl="2">
      <w:startOverride w:val="1"/>
    </w:lvlOverride>
    <w:lvlOverride w:ilvl="3">
      <w:startOverride w:val="6"/>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2"/>
    </w:lvlOverride>
    <w:lvlOverride w:ilvl="1">
      <w:startOverride w:val="1"/>
    </w:lvlOverride>
    <w:lvlOverride w:ilvl="2">
      <w:startOverride w:val="1"/>
    </w:lvlOverride>
    <w:lvlOverride w:ilvl="3">
      <w:startOverride w:val="6"/>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3"/>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num>
  <w:num w:numId="90">
    <w:abstractNumId w:val="26"/>
    <w:lvlOverride w:ilvl="0">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lvlOverride w:ilvl="0">
      <w:startOverride w:val="1"/>
    </w:lvlOverride>
  </w:num>
  <w:num w:numId="93">
    <w:abstractNumId w:val="12"/>
    <w:lvlOverride w:ilvl="0">
      <w:startOverride w:val="1"/>
    </w:lvlOverride>
  </w:num>
  <w:num w:numId="94">
    <w:abstractNumId w:val="22"/>
    <w:lvlOverride w:ilvl="0">
      <w:startOverride w:val="1"/>
    </w:lvlOverride>
  </w:num>
  <w:num w:numId="95">
    <w:abstractNumId w:val="3"/>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3"/>
  </w:num>
  <w:num w:numId="151">
    <w:abstractNumId w:val="12"/>
  </w:num>
  <w:num w:numId="152">
    <w:abstractNumId w:val="26"/>
  </w:num>
  <w:num w:numId="153">
    <w:abstractNumId w:val="7"/>
  </w:num>
  <w:num w:numId="154">
    <w:abstractNumId w:val="13"/>
  </w:num>
  <w:num w:numId="155">
    <w:abstractNumId w:val="14"/>
  </w:num>
  <w:num w:numId="156">
    <w:abstractNumId w:val="4"/>
  </w:num>
  <w:num w:numId="157">
    <w:abstractNumId w:val="25"/>
  </w:num>
  <w:num w:numId="158">
    <w:abstractNumId w:val="3"/>
  </w:num>
  <w:num w:numId="159">
    <w:abstractNumId w:val="15"/>
  </w:num>
  <w:num w:numId="160">
    <w:abstractNumId w:val="21"/>
  </w:num>
  <w:num w:numId="161">
    <w:abstractNumId w:val="22"/>
  </w:num>
  <w:num w:numId="162">
    <w:abstractNumId w:val="6"/>
  </w:num>
  <w:num w:numId="163">
    <w:abstractNumId w:val="19"/>
  </w:num>
  <w:num w:numId="164">
    <w:abstractNumId w:val="3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4 12:03:28"/>
    <w:docVar w:name="DQCNUMB_100" w:val="684"/>
    <w:docVar w:name="DQCNUMB_101" w:val="685"/>
    <w:docVar w:name="DQCNUMB_102" w:val="686"/>
    <w:docVar w:name="DQCNUMB_103" w:val="687"/>
    <w:docVar w:name="DQCNUMB_104" w:val="688"/>
    <w:docVar w:name="DQCNUMB_105" w:val="689"/>
    <w:docVar w:name="DQCNUMB_106" w:val="690"/>
    <w:docVar w:name="DQCNUMB_107" w:val="692"/>
    <w:docVar w:name="DQCNUMB_108" w:val="693"/>
    <w:docVar w:name="DQCNUMB_109" w:val="696"/>
    <w:docVar w:name="DQCNUMB_110" w:val="700"/>
    <w:docVar w:name="DQCNUMB_111" w:val="701"/>
    <w:docVar w:name="DQCNUMB_112" w:val="702"/>
    <w:docVar w:name="DQCNUMB_113" w:val="703"/>
    <w:docVar w:name="DQCNUMB_114" w:val="711"/>
    <w:docVar w:name="DQCNUMB_115" w:val="712"/>
    <w:docVar w:name="DQCNUMB_116" w:val="713"/>
    <w:docVar w:name="DQCNUMB_117" w:val="714"/>
    <w:docVar w:name="DQCNUMB_118" w:val="715"/>
    <w:docVar w:name="DQCNUMB_217" w:val="1035"/>
    <w:docVar w:name="DQCNUMB_218" w:val="1036"/>
    <w:docVar w:name="DQCNUMB_219" w:val="1048"/>
    <w:docVar w:name="DQCNUMB_81" w:val="606"/>
    <w:docVar w:name="DQCNUMB_82" w:val="607"/>
    <w:docVar w:name="DQCNUMB_83" w:val="608"/>
    <w:docVar w:name="DQCNUMB_84" w:val="609"/>
    <w:docVar w:name="DQCNUMB_85" w:val="610"/>
    <w:docVar w:name="DQCNUMB_86" w:val="623"/>
    <w:docVar w:name="DQCNUMB_87" w:val="624"/>
    <w:docVar w:name="DQCNUMB_89" w:val="628"/>
    <w:docVar w:name="DQCNUMB_97" w:val="681"/>
    <w:docVar w:name="DQCNUMB_98" w:val="682"/>
    <w:docVar w:name="DQCNUMB_99" w:val="68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3FC02D69-6A93-407E-9ED2-9617677A2F39"/>
    <w:docVar w:name="LW_COVERPAGE_TYPE" w:val="1"/>
    <w:docVar w:name="LW_CROSSREFERENCE" w:val="{SEC(2022) 165 final} - {SWD(2022) 81 final} - {SWD(2022) 82 final} - {SWD(2022) 83 final}"/>
    <w:docVar w:name="LW_DocType" w:val="COM"/>
    <w:docVar w:name="LW_EMISSION" w:val="30.3.2022"/>
    <w:docVar w:name="LW_EMISSION_ISODATE" w:val="2022-03-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5"/>
    <w:docVar w:name="LW_REF.II.NEW.CP_YEAR" w:val="2022"/>
    <w:docVar w:name="LW_REF.INST.NEW" w:val="COM"/>
    <w:docVar w:name="LW_REF.INST.NEW_ADOPTED" w:val="final"/>
    <w:docVar w:name="LW_REF.INST.NEW_TEXT" w:val="(2022)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a framework for setting ecodesign requirements for sustainable products and repealing Directive 2009/125/EC"/>
    <w:docVar w:name="LW_TYPE.DOC.CP" w:val="REGULATION OF THE EUROPEAN PARLIAMENT AND OF THE COUNCIL"/>
    <w:docVar w:name="LwApiVersions" w:val="LW4CoDe 1.23.2.0; LW 8.0, Build 20211117"/>
  </w:docVars>
  <w:rsids>
    <w:rsidRoot w:val="005879E3"/>
    <w:rsid w:val="00000166"/>
    <w:rsid w:val="00000798"/>
    <w:rsid w:val="00001911"/>
    <w:rsid w:val="00001D9C"/>
    <w:rsid w:val="00002369"/>
    <w:rsid w:val="0000272D"/>
    <w:rsid w:val="00002849"/>
    <w:rsid w:val="00002979"/>
    <w:rsid w:val="00003BEC"/>
    <w:rsid w:val="00003FAC"/>
    <w:rsid w:val="00004004"/>
    <w:rsid w:val="00004518"/>
    <w:rsid w:val="000050AD"/>
    <w:rsid w:val="000056B8"/>
    <w:rsid w:val="000056EE"/>
    <w:rsid w:val="00006AD7"/>
    <w:rsid w:val="00007077"/>
    <w:rsid w:val="000072C8"/>
    <w:rsid w:val="000073B9"/>
    <w:rsid w:val="0000743B"/>
    <w:rsid w:val="000076FE"/>
    <w:rsid w:val="00007760"/>
    <w:rsid w:val="00007E43"/>
    <w:rsid w:val="000105ED"/>
    <w:rsid w:val="0001068C"/>
    <w:rsid w:val="000108BB"/>
    <w:rsid w:val="00010AF8"/>
    <w:rsid w:val="0001103D"/>
    <w:rsid w:val="00011079"/>
    <w:rsid w:val="0001160A"/>
    <w:rsid w:val="0001163C"/>
    <w:rsid w:val="00011CEA"/>
    <w:rsid w:val="0001231F"/>
    <w:rsid w:val="00012D36"/>
    <w:rsid w:val="000135CF"/>
    <w:rsid w:val="00013D91"/>
    <w:rsid w:val="00014108"/>
    <w:rsid w:val="000141EB"/>
    <w:rsid w:val="00014428"/>
    <w:rsid w:val="0001469F"/>
    <w:rsid w:val="00014A6A"/>
    <w:rsid w:val="000152AC"/>
    <w:rsid w:val="000152FC"/>
    <w:rsid w:val="0001617E"/>
    <w:rsid w:val="000163A9"/>
    <w:rsid w:val="000166E1"/>
    <w:rsid w:val="00016927"/>
    <w:rsid w:val="0001695C"/>
    <w:rsid w:val="00016993"/>
    <w:rsid w:val="00017131"/>
    <w:rsid w:val="00017473"/>
    <w:rsid w:val="00017C67"/>
    <w:rsid w:val="000202CA"/>
    <w:rsid w:val="000206E0"/>
    <w:rsid w:val="000211AA"/>
    <w:rsid w:val="00021245"/>
    <w:rsid w:val="0002154F"/>
    <w:rsid w:val="00021645"/>
    <w:rsid w:val="000216B5"/>
    <w:rsid w:val="000217FC"/>
    <w:rsid w:val="000218B6"/>
    <w:rsid w:val="00021925"/>
    <w:rsid w:val="00022086"/>
    <w:rsid w:val="00022A03"/>
    <w:rsid w:val="00022DD0"/>
    <w:rsid w:val="000231F0"/>
    <w:rsid w:val="00023255"/>
    <w:rsid w:val="00023810"/>
    <w:rsid w:val="0002391D"/>
    <w:rsid w:val="000240C6"/>
    <w:rsid w:val="00024267"/>
    <w:rsid w:val="000248FB"/>
    <w:rsid w:val="000249FA"/>
    <w:rsid w:val="00024C87"/>
    <w:rsid w:val="0002560C"/>
    <w:rsid w:val="00025CD3"/>
    <w:rsid w:val="00026871"/>
    <w:rsid w:val="00027330"/>
    <w:rsid w:val="00027414"/>
    <w:rsid w:val="00027892"/>
    <w:rsid w:val="00027FC6"/>
    <w:rsid w:val="00030426"/>
    <w:rsid w:val="00030C51"/>
    <w:rsid w:val="000311E3"/>
    <w:rsid w:val="000318B6"/>
    <w:rsid w:val="00032027"/>
    <w:rsid w:val="00032E5A"/>
    <w:rsid w:val="00033744"/>
    <w:rsid w:val="00034E9B"/>
    <w:rsid w:val="00035210"/>
    <w:rsid w:val="00035275"/>
    <w:rsid w:val="00035826"/>
    <w:rsid w:val="00035D2F"/>
    <w:rsid w:val="00036149"/>
    <w:rsid w:val="00036374"/>
    <w:rsid w:val="00037201"/>
    <w:rsid w:val="00037565"/>
    <w:rsid w:val="00040429"/>
    <w:rsid w:val="00040760"/>
    <w:rsid w:val="00040F91"/>
    <w:rsid w:val="00040FE1"/>
    <w:rsid w:val="0004115F"/>
    <w:rsid w:val="000422B5"/>
    <w:rsid w:val="0004278D"/>
    <w:rsid w:val="0004362C"/>
    <w:rsid w:val="0004389F"/>
    <w:rsid w:val="00043BB5"/>
    <w:rsid w:val="00043C4C"/>
    <w:rsid w:val="00043DBB"/>
    <w:rsid w:val="00044CC9"/>
    <w:rsid w:val="00045461"/>
    <w:rsid w:val="00045D38"/>
    <w:rsid w:val="00046245"/>
    <w:rsid w:val="0004799F"/>
    <w:rsid w:val="00047E5C"/>
    <w:rsid w:val="0005094E"/>
    <w:rsid w:val="00051151"/>
    <w:rsid w:val="00051FCA"/>
    <w:rsid w:val="00052686"/>
    <w:rsid w:val="00052B7E"/>
    <w:rsid w:val="000534E9"/>
    <w:rsid w:val="0005411C"/>
    <w:rsid w:val="0005510B"/>
    <w:rsid w:val="00055532"/>
    <w:rsid w:val="00055DD0"/>
    <w:rsid w:val="00056585"/>
    <w:rsid w:val="00056BCA"/>
    <w:rsid w:val="00056FEB"/>
    <w:rsid w:val="000579A6"/>
    <w:rsid w:val="000579EB"/>
    <w:rsid w:val="00057A0B"/>
    <w:rsid w:val="00057CC0"/>
    <w:rsid w:val="00057F5E"/>
    <w:rsid w:val="00060419"/>
    <w:rsid w:val="00060803"/>
    <w:rsid w:val="00060B3D"/>
    <w:rsid w:val="00060C17"/>
    <w:rsid w:val="00061F2C"/>
    <w:rsid w:val="0006202B"/>
    <w:rsid w:val="00062910"/>
    <w:rsid w:val="0006294D"/>
    <w:rsid w:val="000632A7"/>
    <w:rsid w:val="00063DBD"/>
    <w:rsid w:val="00063E2F"/>
    <w:rsid w:val="00064393"/>
    <w:rsid w:val="000649DE"/>
    <w:rsid w:val="00065352"/>
    <w:rsid w:val="000658DE"/>
    <w:rsid w:val="00065953"/>
    <w:rsid w:val="00065E58"/>
    <w:rsid w:val="0006711A"/>
    <w:rsid w:val="00067FB1"/>
    <w:rsid w:val="00070735"/>
    <w:rsid w:val="00070AC9"/>
    <w:rsid w:val="00070BD5"/>
    <w:rsid w:val="00070C0E"/>
    <w:rsid w:val="00071154"/>
    <w:rsid w:val="000714A4"/>
    <w:rsid w:val="00071515"/>
    <w:rsid w:val="000718B8"/>
    <w:rsid w:val="000719D5"/>
    <w:rsid w:val="00071A84"/>
    <w:rsid w:val="000723D9"/>
    <w:rsid w:val="000728B3"/>
    <w:rsid w:val="00072AF4"/>
    <w:rsid w:val="0007337F"/>
    <w:rsid w:val="000736EF"/>
    <w:rsid w:val="00073A81"/>
    <w:rsid w:val="000740DC"/>
    <w:rsid w:val="00074879"/>
    <w:rsid w:val="00074F71"/>
    <w:rsid w:val="00075322"/>
    <w:rsid w:val="000758A5"/>
    <w:rsid w:val="00075A80"/>
    <w:rsid w:val="00075AAD"/>
    <w:rsid w:val="00075FD6"/>
    <w:rsid w:val="00076617"/>
    <w:rsid w:val="00076CC4"/>
    <w:rsid w:val="00076CF8"/>
    <w:rsid w:val="000770E3"/>
    <w:rsid w:val="00077550"/>
    <w:rsid w:val="000777EA"/>
    <w:rsid w:val="00080268"/>
    <w:rsid w:val="000806D4"/>
    <w:rsid w:val="00080F70"/>
    <w:rsid w:val="000810A4"/>
    <w:rsid w:val="00081A4B"/>
    <w:rsid w:val="00081DEE"/>
    <w:rsid w:val="000821AF"/>
    <w:rsid w:val="00082792"/>
    <w:rsid w:val="000828EE"/>
    <w:rsid w:val="00082DF1"/>
    <w:rsid w:val="00083214"/>
    <w:rsid w:val="00083402"/>
    <w:rsid w:val="000834EA"/>
    <w:rsid w:val="000836D2"/>
    <w:rsid w:val="00083AF9"/>
    <w:rsid w:val="00083D37"/>
    <w:rsid w:val="0008494F"/>
    <w:rsid w:val="000853D9"/>
    <w:rsid w:val="00085652"/>
    <w:rsid w:val="00085847"/>
    <w:rsid w:val="00085A32"/>
    <w:rsid w:val="00086F46"/>
    <w:rsid w:val="0008799C"/>
    <w:rsid w:val="000908E3"/>
    <w:rsid w:val="0009111E"/>
    <w:rsid w:val="000914C8"/>
    <w:rsid w:val="00091B25"/>
    <w:rsid w:val="00091F93"/>
    <w:rsid w:val="00092811"/>
    <w:rsid w:val="00092BCE"/>
    <w:rsid w:val="00092EB0"/>
    <w:rsid w:val="0009332A"/>
    <w:rsid w:val="00093C90"/>
    <w:rsid w:val="00094606"/>
    <w:rsid w:val="000946C5"/>
    <w:rsid w:val="00094E72"/>
    <w:rsid w:val="00095F2D"/>
    <w:rsid w:val="00096408"/>
    <w:rsid w:val="00096502"/>
    <w:rsid w:val="00096D07"/>
    <w:rsid w:val="00097322"/>
    <w:rsid w:val="0009770F"/>
    <w:rsid w:val="000A0047"/>
    <w:rsid w:val="000A184C"/>
    <w:rsid w:val="000A18B4"/>
    <w:rsid w:val="000A1AC3"/>
    <w:rsid w:val="000A242B"/>
    <w:rsid w:val="000A2454"/>
    <w:rsid w:val="000A2CA9"/>
    <w:rsid w:val="000A2DD2"/>
    <w:rsid w:val="000A43EA"/>
    <w:rsid w:val="000A4931"/>
    <w:rsid w:val="000A61CF"/>
    <w:rsid w:val="000A620A"/>
    <w:rsid w:val="000A64D4"/>
    <w:rsid w:val="000A6A88"/>
    <w:rsid w:val="000A713B"/>
    <w:rsid w:val="000A7517"/>
    <w:rsid w:val="000A7A3E"/>
    <w:rsid w:val="000A7DA3"/>
    <w:rsid w:val="000A7FE4"/>
    <w:rsid w:val="000B05AD"/>
    <w:rsid w:val="000B072D"/>
    <w:rsid w:val="000B1061"/>
    <w:rsid w:val="000B193F"/>
    <w:rsid w:val="000B1AA5"/>
    <w:rsid w:val="000B201A"/>
    <w:rsid w:val="000B26B5"/>
    <w:rsid w:val="000B299A"/>
    <w:rsid w:val="000B30C0"/>
    <w:rsid w:val="000B30F0"/>
    <w:rsid w:val="000B3694"/>
    <w:rsid w:val="000B52AD"/>
    <w:rsid w:val="000B58AD"/>
    <w:rsid w:val="000B5A76"/>
    <w:rsid w:val="000B5C08"/>
    <w:rsid w:val="000B68BF"/>
    <w:rsid w:val="000B719A"/>
    <w:rsid w:val="000B76A4"/>
    <w:rsid w:val="000C03E4"/>
    <w:rsid w:val="000C065C"/>
    <w:rsid w:val="000C06F9"/>
    <w:rsid w:val="000C0BE7"/>
    <w:rsid w:val="000C124C"/>
    <w:rsid w:val="000C1672"/>
    <w:rsid w:val="000C1779"/>
    <w:rsid w:val="000C1C20"/>
    <w:rsid w:val="000C24A0"/>
    <w:rsid w:val="000C25FB"/>
    <w:rsid w:val="000C2959"/>
    <w:rsid w:val="000C2C4F"/>
    <w:rsid w:val="000C2F80"/>
    <w:rsid w:val="000C35D9"/>
    <w:rsid w:val="000C3657"/>
    <w:rsid w:val="000C3A0E"/>
    <w:rsid w:val="000C3B73"/>
    <w:rsid w:val="000C3D25"/>
    <w:rsid w:val="000C3D57"/>
    <w:rsid w:val="000C424B"/>
    <w:rsid w:val="000C4392"/>
    <w:rsid w:val="000C4BED"/>
    <w:rsid w:val="000C4BF5"/>
    <w:rsid w:val="000C52AD"/>
    <w:rsid w:val="000C5770"/>
    <w:rsid w:val="000C5B65"/>
    <w:rsid w:val="000C5C59"/>
    <w:rsid w:val="000C6B16"/>
    <w:rsid w:val="000C70C8"/>
    <w:rsid w:val="000C7942"/>
    <w:rsid w:val="000C7A25"/>
    <w:rsid w:val="000D00CD"/>
    <w:rsid w:val="000D02C7"/>
    <w:rsid w:val="000D05BA"/>
    <w:rsid w:val="000D06DA"/>
    <w:rsid w:val="000D0868"/>
    <w:rsid w:val="000D0EF5"/>
    <w:rsid w:val="000D11AD"/>
    <w:rsid w:val="000D1B62"/>
    <w:rsid w:val="000D2476"/>
    <w:rsid w:val="000D2A6B"/>
    <w:rsid w:val="000D2B2E"/>
    <w:rsid w:val="000D2C37"/>
    <w:rsid w:val="000D3C09"/>
    <w:rsid w:val="000D42A4"/>
    <w:rsid w:val="000D48E2"/>
    <w:rsid w:val="000D49DE"/>
    <w:rsid w:val="000D4A46"/>
    <w:rsid w:val="000D4B00"/>
    <w:rsid w:val="000D4B64"/>
    <w:rsid w:val="000D4CE5"/>
    <w:rsid w:val="000D5142"/>
    <w:rsid w:val="000D5615"/>
    <w:rsid w:val="000D5CA5"/>
    <w:rsid w:val="000D5D64"/>
    <w:rsid w:val="000D63B4"/>
    <w:rsid w:val="000D650E"/>
    <w:rsid w:val="000D697D"/>
    <w:rsid w:val="000D6B51"/>
    <w:rsid w:val="000D7ABB"/>
    <w:rsid w:val="000D7D5A"/>
    <w:rsid w:val="000E01D1"/>
    <w:rsid w:val="000E0C94"/>
    <w:rsid w:val="000E1050"/>
    <w:rsid w:val="000E12F6"/>
    <w:rsid w:val="000E198E"/>
    <w:rsid w:val="000E1E30"/>
    <w:rsid w:val="000E276E"/>
    <w:rsid w:val="000E277E"/>
    <w:rsid w:val="000E2A0F"/>
    <w:rsid w:val="000E2C9B"/>
    <w:rsid w:val="000E3FB6"/>
    <w:rsid w:val="000E42CC"/>
    <w:rsid w:val="000E43F0"/>
    <w:rsid w:val="000E46E7"/>
    <w:rsid w:val="000E64C2"/>
    <w:rsid w:val="000E7084"/>
    <w:rsid w:val="000E70B3"/>
    <w:rsid w:val="000E715C"/>
    <w:rsid w:val="000E71D4"/>
    <w:rsid w:val="000E78FD"/>
    <w:rsid w:val="000F0753"/>
    <w:rsid w:val="000F0A02"/>
    <w:rsid w:val="000F0A3D"/>
    <w:rsid w:val="000F1024"/>
    <w:rsid w:val="000F1477"/>
    <w:rsid w:val="000F1803"/>
    <w:rsid w:val="000F2812"/>
    <w:rsid w:val="000F2AFD"/>
    <w:rsid w:val="000F2F56"/>
    <w:rsid w:val="000F2FE8"/>
    <w:rsid w:val="000F3690"/>
    <w:rsid w:val="000F3A0F"/>
    <w:rsid w:val="000F3A2C"/>
    <w:rsid w:val="000F40E0"/>
    <w:rsid w:val="000F4EB9"/>
    <w:rsid w:val="000F51EB"/>
    <w:rsid w:val="000F5771"/>
    <w:rsid w:val="000F5EFF"/>
    <w:rsid w:val="000F6330"/>
    <w:rsid w:val="000F6739"/>
    <w:rsid w:val="000F72AF"/>
    <w:rsid w:val="000F7697"/>
    <w:rsid w:val="000F7AA4"/>
    <w:rsid w:val="000F7C50"/>
    <w:rsid w:val="000F7C89"/>
    <w:rsid w:val="000F7E39"/>
    <w:rsid w:val="00100ABB"/>
    <w:rsid w:val="0010127C"/>
    <w:rsid w:val="001013FB"/>
    <w:rsid w:val="001023ED"/>
    <w:rsid w:val="00102852"/>
    <w:rsid w:val="00102D5D"/>
    <w:rsid w:val="00103571"/>
    <w:rsid w:val="00103913"/>
    <w:rsid w:val="00103942"/>
    <w:rsid w:val="00104AA9"/>
    <w:rsid w:val="001057BC"/>
    <w:rsid w:val="0010591B"/>
    <w:rsid w:val="0010671D"/>
    <w:rsid w:val="00106FCD"/>
    <w:rsid w:val="001070D8"/>
    <w:rsid w:val="00107136"/>
    <w:rsid w:val="00107B9D"/>
    <w:rsid w:val="001105BC"/>
    <w:rsid w:val="00110627"/>
    <w:rsid w:val="001114D3"/>
    <w:rsid w:val="00111532"/>
    <w:rsid w:val="00111877"/>
    <w:rsid w:val="00111952"/>
    <w:rsid w:val="00111C6F"/>
    <w:rsid w:val="001125E2"/>
    <w:rsid w:val="0011283F"/>
    <w:rsid w:val="001135FD"/>
    <w:rsid w:val="00113900"/>
    <w:rsid w:val="001139DA"/>
    <w:rsid w:val="001139E4"/>
    <w:rsid w:val="00113B80"/>
    <w:rsid w:val="00113C90"/>
    <w:rsid w:val="00114680"/>
    <w:rsid w:val="001146DE"/>
    <w:rsid w:val="00114891"/>
    <w:rsid w:val="00114D1E"/>
    <w:rsid w:val="00115910"/>
    <w:rsid w:val="00116756"/>
    <w:rsid w:val="001169B6"/>
    <w:rsid w:val="00116B33"/>
    <w:rsid w:val="00116D09"/>
    <w:rsid w:val="00117133"/>
    <w:rsid w:val="00117753"/>
    <w:rsid w:val="001179C0"/>
    <w:rsid w:val="0012015E"/>
    <w:rsid w:val="001202B2"/>
    <w:rsid w:val="00120A25"/>
    <w:rsid w:val="00121070"/>
    <w:rsid w:val="00121761"/>
    <w:rsid w:val="00121A30"/>
    <w:rsid w:val="00121FC6"/>
    <w:rsid w:val="00122220"/>
    <w:rsid w:val="0012225E"/>
    <w:rsid w:val="00122F7D"/>
    <w:rsid w:val="0012307D"/>
    <w:rsid w:val="00123D3E"/>
    <w:rsid w:val="0012410C"/>
    <w:rsid w:val="0012435D"/>
    <w:rsid w:val="001247AD"/>
    <w:rsid w:val="001247B1"/>
    <w:rsid w:val="00124E7D"/>
    <w:rsid w:val="0012519F"/>
    <w:rsid w:val="0012527A"/>
    <w:rsid w:val="001260FF"/>
    <w:rsid w:val="00126111"/>
    <w:rsid w:val="001264BB"/>
    <w:rsid w:val="00127877"/>
    <w:rsid w:val="001278B5"/>
    <w:rsid w:val="00127AB6"/>
    <w:rsid w:val="00130498"/>
    <w:rsid w:val="0013077C"/>
    <w:rsid w:val="001307F8"/>
    <w:rsid w:val="00131276"/>
    <w:rsid w:val="001312C3"/>
    <w:rsid w:val="001319B8"/>
    <w:rsid w:val="00131C35"/>
    <w:rsid w:val="00131DC8"/>
    <w:rsid w:val="00132152"/>
    <w:rsid w:val="00132173"/>
    <w:rsid w:val="001321AD"/>
    <w:rsid w:val="001323BC"/>
    <w:rsid w:val="0013252A"/>
    <w:rsid w:val="00132790"/>
    <w:rsid w:val="0013285B"/>
    <w:rsid w:val="001329E2"/>
    <w:rsid w:val="00132B6B"/>
    <w:rsid w:val="0013327C"/>
    <w:rsid w:val="001332E2"/>
    <w:rsid w:val="0013330D"/>
    <w:rsid w:val="00134437"/>
    <w:rsid w:val="00134A7F"/>
    <w:rsid w:val="00134C4B"/>
    <w:rsid w:val="00135249"/>
    <w:rsid w:val="00135506"/>
    <w:rsid w:val="0013607B"/>
    <w:rsid w:val="00136415"/>
    <w:rsid w:val="00136656"/>
    <w:rsid w:val="001369AB"/>
    <w:rsid w:val="00137517"/>
    <w:rsid w:val="001377C4"/>
    <w:rsid w:val="00137B9D"/>
    <w:rsid w:val="00137D92"/>
    <w:rsid w:val="001402BD"/>
    <w:rsid w:val="00140C2C"/>
    <w:rsid w:val="00140D9E"/>
    <w:rsid w:val="001415A9"/>
    <w:rsid w:val="0014202D"/>
    <w:rsid w:val="00143CA9"/>
    <w:rsid w:val="00143F5B"/>
    <w:rsid w:val="00144147"/>
    <w:rsid w:val="00144505"/>
    <w:rsid w:val="00144BE8"/>
    <w:rsid w:val="00144EA5"/>
    <w:rsid w:val="0014553D"/>
    <w:rsid w:val="0014617F"/>
    <w:rsid w:val="00146351"/>
    <w:rsid w:val="00146D05"/>
    <w:rsid w:val="00147E72"/>
    <w:rsid w:val="00150BAB"/>
    <w:rsid w:val="00150D00"/>
    <w:rsid w:val="00151870"/>
    <w:rsid w:val="00151D9C"/>
    <w:rsid w:val="00151F6C"/>
    <w:rsid w:val="00152378"/>
    <w:rsid w:val="001525B5"/>
    <w:rsid w:val="00152BEA"/>
    <w:rsid w:val="00152EF2"/>
    <w:rsid w:val="00152F11"/>
    <w:rsid w:val="00153041"/>
    <w:rsid w:val="001534B1"/>
    <w:rsid w:val="00153627"/>
    <w:rsid w:val="00153B4C"/>
    <w:rsid w:val="00154397"/>
    <w:rsid w:val="001545AB"/>
    <w:rsid w:val="001546F2"/>
    <w:rsid w:val="00154B2C"/>
    <w:rsid w:val="00155B5C"/>
    <w:rsid w:val="00155CB6"/>
    <w:rsid w:val="00155D05"/>
    <w:rsid w:val="00155F4A"/>
    <w:rsid w:val="0015621E"/>
    <w:rsid w:val="001567F7"/>
    <w:rsid w:val="00157022"/>
    <w:rsid w:val="001579F5"/>
    <w:rsid w:val="0016047A"/>
    <w:rsid w:val="0016083A"/>
    <w:rsid w:val="00160C97"/>
    <w:rsid w:val="00160DBF"/>
    <w:rsid w:val="001612C4"/>
    <w:rsid w:val="00161376"/>
    <w:rsid w:val="001613FD"/>
    <w:rsid w:val="00161964"/>
    <w:rsid w:val="0016210A"/>
    <w:rsid w:val="00162612"/>
    <w:rsid w:val="00162C9E"/>
    <w:rsid w:val="00163579"/>
    <w:rsid w:val="001638A6"/>
    <w:rsid w:val="00163D67"/>
    <w:rsid w:val="00163F23"/>
    <w:rsid w:val="001642AF"/>
    <w:rsid w:val="0016439C"/>
    <w:rsid w:val="001645D3"/>
    <w:rsid w:val="001645E9"/>
    <w:rsid w:val="00164808"/>
    <w:rsid w:val="00164A4B"/>
    <w:rsid w:val="0016551F"/>
    <w:rsid w:val="00165FD1"/>
    <w:rsid w:val="0016629F"/>
    <w:rsid w:val="00167065"/>
    <w:rsid w:val="001670F8"/>
    <w:rsid w:val="0016753B"/>
    <w:rsid w:val="00167E05"/>
    <w:rsid w:val="0017053F"/>
    <w:rsid w:val="0017108A"/>
    <w:rsid w:val="001714D1"/>
    <w:rsid w:val="00171675"/>
    <w:rsid w:val="00171C8A"/>
    <w:rsid w:val="00172A52"/>
    <w:rsid w:val="00173190"/>
    <w:rsid w:val="00173B91"/>
    <w:rsid w:val="00173DA3"/>
    <w:rsid w:val="001741F4"/>
    <w:rsid w:val="001744E3"/>
    <w:rsid w:val="00174571"/>
    <w:rsid w:val="00175201"/>
    <w:rsid w:val="00175516"/>
    <w:rsid w:val="00175A3F"/>
    <w:rsid w:val="0017624F"/>
    <w:rsid w:val="00176A7E"/>
    <w:rsid w:val="00177241"/>
    <w:rsid w:val="001773CB"/>
    <w:rsid w:val="00177824"/>
    <w:rsid w:val="00177A1F"/>
    <w:rsid w:val="00177D8C"/>
    <w:rsid w:val="00177FE6"/>
    <w:rsid w:val="00180CC3"/>
    <w:rsid w:val="00180DA1"/>
    <w:rsid w:val="00181021"/>
    <w:rsid w:val="001815C4"/>
    <w:rsid w:val="00181EDA"/>
    <w:rsid w:val="00182080"/>
    <w:rsid w:val="0018228E"/>
    <w:rsid w:val="00182852"/>
    <w:rsid w:val="0018308D"/>
    <w:rsid w:val="0018382D"/>
    <w:rsid w:val="00183BB6"/>
    <w:rsid w:val="00184DBD"/>
    <w:rsid w:val="00184E48"/>
    <w:rsid w:val="00185790"/>
    <w:rsid w:val="00185E0B"/>
    <w:rsid w:val="00185F33"/>
    <w:rsid w:val="00185F84"/>
    <w:rsid w:val="0018635A"/>
    <w:rsid w:val="001867D3"/>
    <w:rsid w:val="00186F5F"/>
    <w:rsid w:val="00187613"/>
    <w:rsid w:val="00187AA4"/>
    <w:rsid w:val="001908B3"/>
    <w:rsid w:val="001910D3"/>
    <w:rsid w:val="00192EB8"/>
    <w:rsid w:val="00193B12"/>
    <w:rsid w:val="00194055"/>
    <w:rsid w:val="0019457B"/>
    <w:rsid w:val="001946A2"/>
    <w:rsid w:val="001948CB"/>
    <w:rsid w:val="0019494B"/>
    <w:rsid w:val="00194B23"/>
    <w:rsid w:val="00194F61"/>
    <w:rsid w:val="001950A5"/>
    <w:rsid w:val="00195D72"/>
    <w:rsid w:val="001964EE"/>
    <w:rsid w:val="00196A3E"/>
    <w:rsid w:val="00196CE6"/>
    <w:rsid w:val="00196E87"/>
    <w:rsid w:val="001A01B0"/>
    <w:rsid w:val="001A0511"/>
    <w:rsid w:val="001A0A08"/>
    <w:rsid w:val="001A0AEB"/>
    <w:rsid w:val="001A0CAD"/>
    <w:rsid w:val="001A152D"/>
    <w:rsid w:val="001A1555"/>
    <w:rsid w:val="001A15D5"/>
    <w:rsid w:val="001A1995"/>
    <w:rsid w:val="001A1B4E"/>
    <w:rsid w:val="001A1E15"/>
    <w:rsid w:val="001A2323"/>
    <w:rsid w:val="001A2C08"/>
    <w:rsid w:val="001A3130"/>
    <w:rsid w:val="001A3AFD"/>
    <w:rsid w:val="001A3C1C"/>
    <w:rsid w:val="001A44ED"/>
    <w:rsid w:val="001A49E3"/>
    <w:rsid w:val="001A49E8"/>
    <w:rsid w:val="001A4BE8"/>
    <w:rsid w:val="001A5637"/>
    <w:rsid w:val="001A5B14"/>
    <w:rsid w:val="001A5BFD"/>
    <w:rsid w:val="001A5E7B"/>
    <w:rsid w:val="001A6523"/>
    <w:rsid w:val="001A730A"/>
    <w:rsid w:val="001A7D14"/>
    <w:rsid w:val="001B0171"/>
    <w:rsid w:val="001B023B"/>
    <w:rsid w:val="001B0C15"/>
    <w:rsid w:val="001B1FF9"/>
    <w:rsid w:val="001B24CD"/>
    <w:rsid w:val="001B271A"/>
    <w:rsid w:val="001B3503"/>
    <w:rsid w:val="001B3B59"/>
    <w:rsid w:val="001B3E2E"/>
    <w:rsid w:val="001B4609"/>
    <w:rsid w:val="001B4742"/>
    <w:rsid w:val="001B4AF0"/>
    <w:rsid w:val="001B4E06"/>
    <w:rsid w:val="001B4F37"/>
    <w:rsid w:val="001B53FB"/>
    <w:rsid w:val="001B568F"/>
    <w:rsid w:val="001B6152"/>
    <w:rsid w:val="001B619C"/>
    <w:rsid w:val="001B6917"/>
    <w:rsid w:val="001B6FA2"/>
    <w:rsid w:val="001B7A95"/>
    <w:rsid w:val="001B7D47"/>
    <w:rsid w:val="001C021E"/>
    <w:rsid w:val="001C0FF6"/>
    <w:rsid w:val="001C1948"/>
    <w:rsid w:val="001C2816"/>
    <w:rsid w:val="001C2D65"/>
    <w:rsid w:val="001C3006"/>
    <w:rsid w:val="001C3158"/>
    <w:rsid w:val="001C3949"/>
    <w:rsid w:val="001C3ACC"/>
    <w:rsid w:val="001C4207"/>
    <w:rsid w:val="001C44CA"/>
    <w:rsid w:val="001C460D"/>
    <w:rsid w:val="001C4673"/>
    <w:rsid w:val="001C495D"/>
    <w:rsid w:val="001C4A0B"/>
    <w:rsid w:val="001C4B8B"/>
    <w:rsid w:val="001C5764"/>
    <w:rsid w:val="001C5CF6"/>
    <w:rsid w:val="001C5D5A"/>
    <w:rsid w:val="001C5F84"/>
    <w:rsid w:val="001C6360"/>
    <w:rsid w:val="001C68CB"/>
    <w:rsid w:val="001C691A"/>
    <w:rsid w:val="001C724F"/>
    <w:rsid w:val="001C72D9"/>
    <w:rsid w:val="001C7581"/>
    <w:rsid w:val="001C761B"/>
    <w:rsid w:val="001D0202"/>
    <w:rsid w:val="001D02F1"/>
    <w:rsid w:val="001D05F2"/>
    <w:rsid w:val="001D0653"/>
    <w:rsid w:val="001D0916"/>
    <w:rsid w:val="001D0AD1"/>
    <w:rsid w:val="001D1213"/>
    <w:rsid w:val="001D13E3"/>
    <w:rsid w:val="001D1415"/>
    <w:rsid w:val="001D1629"/>
    <w:rsid w:val="001D1A40"/>
    <w:rsid w:val="001D1C77"/>
    <w:rsid w:val="001D1DE3"/>
    <w:rsid w:val="001D1F6C"/>
    <w:rsid w:val="001D29AF"/>
    <w:rsid w:val="001D2BEC"/>
    <w:rsid w:val="001D41D1"/>
    <w:rsid w:val="001D43A0"/>
    <w:rsid w:val="001D4A6E"/>
    <w:rsid w:val="001D572C"/>
    <w:rsid w:val="001D586F"/>
    <w:rsid w:val="001D5A06"/>
    <w:rsid w:val="001D67C2"/>
    <w:rsid w:val="001D68B4"/>
    <w:rsid w:val="001D6C13"/>
    <w:rsid w:val="001E0070"/>
    <w:rsid w:val="001E00C1"/>
    <w:rsid w:val="001E06A2"/>
    <w:rsid w:val="001E0CFB"/>
    <w:rsid w:val="001E0E71"/>
    <w:rsid w:val="001E1514"/>
    <w:rsid w:val="001E1CD9"/>
    <w:rsid w:val="001E1DAA"/>
    <w:rsid w:val="001E1FCF"/>
    <w:rsid w:val="001E2867"/>
    <w:rsid w:val="001E2C2B"/>
    <w:rsid w:val="001E2D31"/>
    <w:rsid w:val="001E4191"/>
    <w:rsid w:val="001E4E57"/>
    <w:rsid w:val="001E51A3"/>
    <w:rsid w:val="001E59FB"/>
    <w:rsid w:val="001E5B04"/>
    <w:rsid w:val="001E5C35"/>
    <w:rsid w:val="001E5DB0"/>
    <w:rsid w:val="001E6AFC"/>
    <w:rsid w:val="001E79A9"/>
    <w:rsid w:val="001F082D"/>
    <w:rsid w:val="001F0AB8"/>
    <w:rsid w:val="001F1365"/>
    <w:rsid w:val="001F1954"/>
    <w:rsid w:val="001F1C83"/>
    <w:rsid w:val="001F1EF3"/>
    <w:rsid w:val="001F2788"/>
    <w:rsid w:val="001F290C"/>
    <w:rsid w:val="001F2AFE"/>
    <w:rsid w:val="001F2C6F"/>
    <w:rsid w:val="001F2D8E"/>
    <w:rsid w:val="001F30A1"/>
    <w:rsid w:val="001F3BA6"/>
    <w:rsid w:val="001F4462"/>
    <w:rsid w:val="001F4BD5"/>
    <w:rsid w:val="001F4C1C"/>
    <w:rsid w:val="001F4F14"/>
    <w:rsid w:val="001F4F4D"/>
    <w:rsid w:val="001F58D3"/>
    <w:rsid w:val="001F676F"/>
    <w:rsid w:val="001F6FC5"/>
    <w:rsid w:val="001F798F"/>
    <w:rsid w:val="001F7AAE"/>
    <w:rsid w:val="0020023D"/>
    <w:rsid w:val="00200DD0"/>
    <w:rsid w:val="00202356"/>
    <w:rsid w:val="00202BCD"/>
    <w:rsid w:val="00202CED"/>
    <w:rsid w:val="0020340B"/>
    <w:rsid w:val="00203BE3"/>
    <w:rsid w:val="00203D36"/>
    <w:rsid w:val="0020427C"/>
    <w:rsid w:val="002047F0"/>
    <w:rsid w:val="00204882"/>
    <w:rsid w:val="00204AC6"/>
    <w:rsid w:val="00204F7F"/>
    <w:rsid w:val="0020563B"/>
    <w:rsid w:val="00205B03"/>
    <w:rsid w:val="00206C54"/>
    <w:rsid w:val="00206CF7"/>
    <w:rsid w:val="002073B0"/>
    <w:rsid w:val="0021078E"/>
    <w:rsid w:val="00210E8D"/>
    <w:rsid w:val="00210F40"/>
    <w:rsid w:val="002110A1"/>
    <w:rsid w:val="0021183C"/>
    <w:rsid w:val="00211AE3"/>
    <w:rsid w:val="0021320C"/>
    <w:rsid w:val="00213EE5"/>
    <w:rsid w:val="00213F06"/>
    <w:rsid w:val="0021415A"/>
    <w:rsid w:val="00214C38"/>
    <w:rsid w:val="002151DD"/>
    <w:rsid w:val="00215F57"/>
    <w:rsid w:val="00215FE1"/>
    <w:rsid w:val="002164F9"/>
    <w:rsid w:val="0021683D"/>
    <w:rsid w:val="0021698B"/>
    <w:rsid w:val="00216D01"/>
    <w:rsid w:val="00216D0B"/>
    <w:rsid w:val="00216D85"/>
    <w:rsid w:val="00217191"/>
    <w:rsid w:val="00217759"/>
    <w:rsid w:val="00217E6E"/>
    <w:rsid w:val="00217F15"/>
    <w:rsid w:val="0022101A"/>
    <w:rsid w:val="002214BE"/>
    <w:rsid w:val="002214D1"/>
    <w:rsid w:val="00221A66"/>
    <w:rsid w:val="00221ABC"/>
    <w:rsid w:val="00221D26"/>
    <w:rsid w:val="00222572"/>
    <w:rsid w:val="00222723"/>
    <w:rsid w:val="00222761"/>
    <w:rsid w:val="00222ADB"/>
    <w:rsid w:val="0022314E"/>
    <w:rsid w:val="00223B07"/>
    <w:rsid w:val="00223E6F"/>
    <w:rsid w:val="00223F81"/>
    <w:rsid w:val="0022444E"/>
    <w:rsid w:val="00224662"/>
    <w:rsid w:val="00225153"/>
    <w:rsid w:val="00225197"/>
    <w:rsid w:val="0022584D"/>
    <w:rsid w:val="0022585E"/>
    <w:rsid w:val="00225B5F"/>
    <w:rsid w:val="00225F6A"/>
    <w:rsid w:val="002262CC"/>
    <w:rsid w:val="00226312"/>
    <w:rsid w:val="00226D43"/>
    <w:rsid w:val="00226E94"/>
    <w:rsid w:val="00227119"/>
    <w:rsid w:val="00227415"/>
    <w:rsid w:val="002278A8"/>
    <w:rsid w:val="002302E9"/>
    <w:rsid w:val="0023070E"/>
    <w:rsid w:val="00230D4C"/>
    <w:rsid w:val="00231DE0"/>
    <w:rsid w:val="00231FE6"/>
    <w:rsid w:val="00232A99"/>
    <w:rsid w:val="00232CFA"/>
    <w:rsid w:val="00232E98"/>
    <w:rsid w:val="00232F26"/>
    <w:rsid w:val="002332C5"/>
    <w:rsid w:val="002338B9"/>
    <w:rsid w:val="00233F82"/>
    <w:rsid w:val="0023423F"/>
    <w:rsid w:val="00234522"/>
    <w:rsid w:val="00234D14"/>
    <w:rsid w:val="00234E79"/>
    <w:rsid w:val="00235177"/>
    <w:rsid w:val="002353B1"/>
    <w:rsid w:val="0023632F"/>
    <w:rsid w:val="002364E5"/>
    <w:rsid w:val="00236668"/>
    <w:rsid w:val="00236861"/>
    <w:rsid w:val="00236E92"/>
    <w:rsid w:val="00236EB4"/>
    <w:rsid w:val="00237418"/>
    <w:rsid w:val="00237594"/>
    <w:rsid w:val="00237C5C"/>
    <w:rsid w:val="00237DCA"/>
    <w:rsid w:val="002404BE"/>
    <w:rsid w:val="002405A8"/>
    <w:rsid w:val="00240BB8"/>
    <w:rsid w:val="002415DE"/>
    <w:rsid w:val="00241956"/>
    <w:rsid w:val="00241B97"/>
    <w:rsid w:val="00241DD2"/>
    <w:rsid w:val="0024222E"/>
    <w:rsid w:val="002425F1"/>
    <w:rsid w:val="00243823"/>
    <w:rsid w:val="0024383B"/>
    <w:rsid w:val="002438E5"/>
    <w:rsid w:val="00243DD7"/>
    <w:rsid w:val="00243E33"/>
    <w:rsid w:val="00243F50"/>
    <w:rsid w:val="00244073"/>
    <w:rsid w:val="00244960"/>
    <w:rsid w:val="00244A50"/>
    <w:rsid w:val="0024522D"/>
    <w:rsid w:val="00245865"/>
    <w:rsid w:val="00245C2C"/>
    <w:rsid w:val="00245DB6"/>
    <w:rsid w:val="0024613F"/>
    <w:rsid w:val="00246A9C"/>
    <w:rsid w:val="00246B06"/>
    <w:rsid w:val="0024782B"/>
    <w:rsid w:val="00247D4F"/>
    <w:rsid w:val="00247E88"/>
    <w:rsid w:val="00247FBF"/>
    <w:rsid w:val="0025019D"/>
    <w:rsid w:val="002502CA"/>
    <w:rsid w:val="00250514"/>
    <w:rsid w:val="00250F01"/>
    <w:rsid w:val="0025204D"/>
    <w:rsid w:val="002521CA"/>
    <w:rsid w:val="00252C6E"/>
    <w:rsid w:val="00252E36"/>
    <w:rsid w:val="00253238"/>
    <w:rsid w:val="002533F6"/>
    <w:rsid w:val="00253723"/>
    <w:rsid w:val="002537A4"/>
    <w:rsid w:val="00253EFE"/>
    <w:rsid w:val="00254297"/>
    <w:rsid w:val="002544C4"/>
    <w:rsid w:val="00254999"/>
    <w:rsid w:val="00254E56"/>
    <w:rsid w:val="0025517B"/>
    <w:rsid w:val="002558BB"/>
    <w:rsid w:val="002558DB"/>
    <w:rsid w:val="00255F48"/>
    <w:rsid w:val="00256193"/>
    <w:rsid w:val="00256578"/>
    <w:rsid w:val="0025677F"/>
    <w:rsid w:val="00256CEB"/>
    <w:rsid w:val="00256E05"/>
    <w:rsid w:val="00256E78"/>
    <w:rsid w:val="002574C1"/>
    <w:rsid w:val="00257D3B"/>
    <w:rsid w:val="002601AD"/>
    <w:rsid w:val="00260B57"/>
    <w:rsid w:val="00260E61"/>
    <w:rsid w:val="002615E8"/>
    <w:rsid w:val="002618B5"/>
    <w:rsid w:val="00261987"/>
    <w:rsid w:val="00261C7F"/>
    <w:rsid w:val="00262194"/>
    <w:rsid w:val="00262511"/>
    <w:rsid w:val="002628F9"/>
    <w:rsid w:val="002629B5"/>
    <w:rsid w:val="00262E1C"/>
    <w:rsid w:val="00263238"/>
    <w:rsid w:val="00263621"/>
    <w:rsid w:val="002636D4"/>
    <w:rsid w:val="002639DA"/>
    <w:rsid w:val="0026410D"/>
    <w:rsid w:val="00264948"/>
    <w:rsid w:val="0026525E"/>
    <w:rsid w:val="00265409"/>
    <w:rsid w:val="0026581A"/>
    <w:rsid w:val="00265C25"/>
    <w:rsid w:val="00265F1F"/>
    <w:rsid w:val="00266A55"/>
    <w:rsid w:val="00266E8A"/>
    <w:rsid w:val="002673A7"/>
    <w:rsid w:val="002675F3"/>
    <w:rsid w:val="0027031B"/>
    <w:rsid w:val="002706CA"/>
    <w:rsid w:val="00270C9B"/>
    <w:rsid w:val="0027189C"/>
    <w:rsid w:val="002722B7"/>
    <w:rsid w:val="00272823"/>
    <w:rsid w:val="0027342B"/>
    <w:rsid w:val="002734C3"/>
    <w:rsid w:val="00273628"/>
    <w:rsid w:val="00273800"/>
    <w:rsid w:val="00273AC6"/>
    <w:rsid w:val="00273ADB"/>
    <w:rsid w:val="00273FA6"/>
    <w:rsid w:val="00273FE7"/>
    <w:rsid w:val="002741A1"/>
    <w:rsid w:val="00275659"/>
    <w:rsid w:val="002758F1"/>
    <w:rsid w:val="00275A1A"/>
    <w:rsid w:val="00275E5C"/>
    <w:rsid w:val="00276925"/>
    <w:rsid w:val="00277D50"/>
    <w:rsid w:val="00280143"/>
    <w:rsid w:val="002805C7"/>
    <w:rsid w:val="00280B85"/>
    <w:rsid w:val="00280C28"/>
    <w:rsid w:val="002810D9"/>
    <w:rsid w:val="0028128E"/>
    <w:rsid w:val="002816BD"/>
    <w:rsid w:val="00281C99"/>
    <w:rsid w:val="00281CB3"/>
    <w:rsid w:val="0028272D"/>
    <w:rsid w:val="00282C7C"/>
    <w:rsid w:val="00282D87"/>
    <w:rsid w:val="00283196"/>
    <w:rsid w:val="00283506"/>
    <w:rsid w:val="0028395E"/>
    <w:rsid w:val="002847F8"/>
    <w:rsid w:val="0028490E"/>
    <w:rsid w:val="002855DA"/>
    <w:rsid w:val="00286F2D"/>
    <w:rsid w:val="00286FAF"/>
    <w:rsid w:val="00286FE1"/>
    <w:rsid w:val="00287210"/>
    <w:rsid w:val="00287860"/>
    <w:rsid w:val="00287D6E"/>
    <w:rsid w:val="00287D86"/>
    <w:rsid w:val="00287DD5"/>
    <w:rsid w:val="00287EDC"/>
    <w:rsid w:val="0029046F"/>
    <w:rsid w:val="002904CB"/>
    <w:rsid w:val="0029089D"/>
    <w:rsid w:val="00290D6E"/>
    <w:rsid w:val="002913D7"/>
    <w:rsid w:val="00291A00"/>
    <w:rsid w:val="00291D0B"/>
    <w:rsid w:val="002923B4"/>
    <w:rsid w:val="00292785"/>
    <w:rsid w:val="00292CB3"/>
    <w:rsid w:val="00293825"/>
    <w:rsid w:val="00294233"/>
    <w:rsid w:val="0029608A"/>
    <w:rsid w:val="0029629A"/>
    <w:rsid w:val="002965F0"/>
    <w:rsid w:val="00296ACD"/>
    <w:rsid w:val="00296DC4"/>
    <w:rsid w:val="0029732C"/>
    <w:rsid w:val="002978E5"/>
    <w:rsid w:val="00297BA2"/>
    <w:rsid w:val="00297F84"/>
    <w:rsid w:val="002A032D"/>
    <w:rsid w:val="002A0C64"/>
    <w:rsid w:val="002A1680"/>
    <w:rsid w:val="002A1B0F"/>
    <w:rsid w:val="002A248A"/>
    <w:rsid w:val="002A256D"/>
    <w:rsid w:val="002A276E"/>
    <w:rsid w:val="002A2DF8"/>
    <w:rsid w:val="002A2EA0"/>
    <w:rsid w:val="002A3236"/>
    <w:rsid w:val="002A353B"/>
    <w:rsid w:val="002A3A67"/>
    <w:rsid w:val="002A48F6"/>
    <w:rsid w:val="002A4B4F"/>
    <w:rsid w:val="002A4B68"/>
    <w:rsid w:val="002A4C21"/>
    <w:rsid w:val="002A5170"/>
    <w:rsid w:val="002A5A2F"/>
    <w:rsid w:val="002A5D87"/>
    <w:rsid w:val="002A67BD"/>
    <w:rsid w:val="002A6A78"/>
    <w:rsid w:val="002A7144"/>
    <w:rsid w:val="002A76DC"/>
    <w:rsid w:val="002A7DEC"/>
    <w:rsid w:val="002B0A2D"/>
    <w:rsid w:val="002B0F84"/>
    <w:rsid w:val="002B1167"/>
    <w:rsid w:val="002B13A7"/>
    <w:rsid w:val="002B199E"/>
    <w:rsid w:val="002B1A45"/>
    <w:rsid w:val="002B1B9A"/>
    <w:rsid w:val="002B2197"/>
    <w:rsid w:val="002B21A2"/>
    <w:rsid w:val="002B2937"/>
    <w:rsid w:val="002B2999"/>
    <w:rsid w:val="002B328C"/>
    <w:rsid w:val="002B3408"/>
    <w:rsid w:val="002B35B7"/>
    <w:rsid w:val="002B360E"/>
    <w:rsid w:val="002B3C51"/>
    <w:rsid w:val="002B41AE"/>
    <w:rsid w:val="002B455E"/>
    <w:rsid w:val="002B47A9"/>
    <w:rsid w:val="002B48DD"/>
    <w:rsid w:val="002B5BA0"/>
    <w:rsid w:val="002B638C"/>
    <w:rsid w:val="002B664A"/>
    <w:rsid w:val="002B67B0"/>
    <w:rsid w:val="002B686C"/>
    <w:rsid w:val="002B68DD"/>
    <w:rsid w:val="002B725F"/>
    <w:rsid w:val="002B79CC"/>
    <w:rsid w:val="002C00A7"/>
    <w:rsid w:val="002C0BD2"/>
    <w:rsid w:val="002C1316"/>
    <w:rsid w:val="002C1C64"/>
    <w:rsid w:val="002C22DB"/>
    <w:rsid w:val="002C29D5"/>
    <w:rsid w:val="002C2D81"/>
    <w:rsid w:val="002C2EF9"/>
    <w:rsid w:val="002C2FF9"/>
    <w:rsid w:val="002C3356"/>
    <w:rsid w:val="002C3751"/>
    <w:rsid w:val="002C395A"/>
    <w:rsid w:val="002C39B8"/>
    <w:rsid w:val="002C3AF2"/>
    <w:rsid w:val="002C3D25"/>
    <w:rsid w:val="002C4A8C"/>
    <w:rsid w:val="002C4E52"/>
    <w:rsid w:val="002C5271"/>
    <w:rsid w:val="002C57CB"/>
    <w:rsid w:val="002C5A12"/>
    <w:rsid w:val="002C6675"/>
    <w:rsid w:val="002C66EA"/>
    <w:rsid w:val="002C6E51"/>
    <w:rsid w:val="002C78D8"/>
    <w:rsid w:val="002D0C8E"/>
    <w:rsid w:val="002D0E94"/>
    <w:rsid w:val="002D1092"/>
    <w:rsid w:val="002D10D9"/>
    <w:rsid w:val="002D1415"/>
    <w:rsid w:val="002D17BF"/>
    <w:rsid w:val="002D18B0"/>
    <w:rsid w:val="002D1B98"/>
    <w:rsid w:val="002D1DD4"/>
    <w:rsid w:val="002D2F1D"/>
    <w:rsid w:val="002D3987"/>
    <w:rsid w:val="002D3B9B"/>
    <w:rsid w:val="002D3BF5"/>
    <w:rsid w:val="002D4174"/>
    <w:rsid w:val="002D547F"/>
    <w:rsid w:val="002D5B77"/>
    <w:rsid w:val="002D5BA1"/>
    <w:rsid w:val="002D6022"/>
    <w:rsid w:val="002D6964"/>
    <w:rsid w:val="002D6AA1"/>
    <w:rsid w:val="002D7498"/>
    <w:rsid w:val="002D765C"/>
    <w:rsid w:val="002E01E2"/>
    <w:rsid w:val="002E07EE"/>
    <w:rsid w:val="002E0A04"/>
    <w:rsid w:val="002E0DA2"/>
    <w:rsid w:val="002E1741"/>
    <w:rsid w:val="002E207D"/>
    <w:rsid w:val="002E25D0"/>
    <w:rsid w:val="002E26E1"/>
    <w:rsid w:val="002E28D8"/>
    <w:rsid w:val="002E3455"/>
    <w:rsid w:val="002E3EED"/>
    <w:rsid w:val="002E418E"/>
    <w:rsid w:val="002E45C8"/>
    <w:rsid w:val="002E510D"/>
    <w:rsid w:val="002E578F"/>
    <w:rsid w:val="002E5D0D"/>
    <w:rsid w:val="002E5E7D"/>
    <w:rsid w:val="002E62D6"/>
    <w:rsid w:val="002E62DB"/>
    <w:rsid w:val="002E6B31"/>
    <w:rsid w:val="002E7904"/>
    <w:rsid w:val="002E79A8"/>
    <w:rsid w:val="002E7EF4"/>
    <w:rsid w:val="002F074B"/>
    <w:rsid w:val="002F0823"/>
    <w:rsid w:val="002F128D"/>
    <w:rsid w:val="002F1AB1"/>
    <w:rsid w:val="002F1E99"/>
    <w:rsid w:val="002F21DB"/>
    <w:rsid w:val="002F2A3E"/>
    <w:rsid w:val="002F2D4E"/>
    <w:rsid w:val="002F4A8B"/>
    <w:rsid w:val="002F553E"/>
    <w:rsid w:val="002F5548"/>
    <w:rsid w:val="002F6B1D"/>
    <w:rsid w:val="002F6BE6"/>
    <w:rsid w:val="002F7EEC"/>
    <w:rsid w:val="002F7FD5"/>
    <w:rsid w:val="003003FD"/>
    <w:rsid w:val="0030049A"/>
    <w:rsid w:val="00300697"/>
    <w:rsid w:val="003007DB"/>
    <w:rsid w:val="00300991"/>
    <w:rsid w:val="00300992"/>
    <w:rsid w:val="00300A1E"/>
    <w:rsid w:val="00300AA1"/>
    <w:rsid w:val="00300B89"/>
    <w:rsid w:val="00300D5A"/>
    <w:rsid w:val="00300F62"/>
    <w:rsid w:val="00301276"/>
    <w:rsid w:val="00301725"/>
    <w:rsid w:val="00301B7D"/>
    <w:rsid w:val="00302EFA"/>
    <w:rsid w:val="00303365"/>
    <w:rsid w:val="003038AC"/>
    <w:rsid w:val="00303DF2"/>
    <w:rsid w:val="0030402D"/>
    <w:rsid w:val="003050D7"/>
    <w:rsid w:val="003059AE"/>
    <w:rsid w:val="00305ED2"/>
    <w:rsid w:val="00306030"/>
    <w:rsid w:val="00306767"/>
    <w:rsid w:val="003078A5"/>
    <w:rsid w:val="00307C26"/>
    <w:rsid w:val="003102BB"/>
    <w:rsid w:val="00311571"/>
    <w:rsid w:val="00311646"/>
    <w:rsid w:val="003117A0"/>
    <w:rsid w:val="00311A9A"/>
    <w:rsid w:val="00311B0C"/>
    <w:rsid w:val="00311DDF"/>
    <w:rsid w:val="00312360"/>
    <w:rsid w:val="003125E6"/>
    <w:rsid w:val="003127BA"/>
    <w:rsid w:val="00312C16"/>
    <w:rsid w:val="00312D2B"/>
    <w:rsid w:val="00313166"/>
    <w:rsid w:val="0031325D"/>
    <w:rsid w:val="0031360E"/>
    <w:rsid w:val="0031393A"/>
    <w:rsid w:val="00313C2D"/>
    <w:rsid w:val="00314308"/>
    <w:rsid w:val="0031442A"/>
    <w:rsid w:val="0031447E"/>
    <w:rsid w:val="0031462A"/>
    <w:rsid w:val="003146A3"/>
    <w:rsid w:val="0031472E"/>
    <w:rsid w:val="00315177"/>
    <w:rsid w:val="00315F93"/>
    <w:rsid w:val="00316034"/>
    <w:rsid w:val="0031616A"/>
    <w:rsid w:val="003162DC"/>
    <w:rsid w:val="00316427"/>
    <w:rsid w:val="00316527"/>
    <w:rsid w:val="0031654B"/>
    <w:rsid w:val="00316A7C"/>
    <w:rsid w:val="003178D0"/>
    <w:rsid w:val="00317CA2"/>
    <w:rsid w:val="003201C2"/>
    <w:rsid w:val="003201E9"/>
    <w:rsid w:val="00320362"/>
    <w:rsid w:val="0032058E"/>
    <w:rsid w:val="00320782"/>
    <w:rsid w:val="00320B0B"/>
    <w:rsid w:val="00320E5D"/>
    <w:rsid w:val="003211BD"/>
    <w:rsid w:val="00321240"/>
    <w:rsid w:val="00321914"/>
    <w:rsid w:val="00322485"/>
    <w:rsid w:val="00322AD4"/>
    <w:rsid w:val="00322F1D"/>
    <w:rsid w:val="00322FDC"/>
    <w:rsid w:val="003238E6"/>
    <w:rsid w:val="00323A42"/>
    <w:rsid w:val="00323C29"/>
    <w:rsid w:val="0032408E"/>
    <w:rsid w:val="00324333"/>
    <w:rsid w:val="00324A2C"/>
    <w:rsid w:val="00324D15"/>
    <w:rsid w:val="00324D3E"/>
    <w:rsid w:val="00324E52"/>
    <w:rsid w:val="003257DB"/>
    <w:rsid w:val="00325A7D"/>
    <w:rsid w:val="00325E78"/>
    <w:rsid w:val="00326486"/>
    <w:rsid w:val="00326F1D"/>
    <w:rsid w:val="003271F4"/>
    <w:rsid w:val="00327B49"/>
    <w:rsid w:val="00327BE1"/>
    <w:rsid w:val="00330137"/>
    <w:rsid w:val="0033044E"/>
    <w:rsid w:val="00330C91"/>
    <w:rsid w:val="003312E6"/>
    <w:rsid w:val="003316CE"/>
    <w:rsid w:val="00331FA8"/>
    <w:rsid w:val="003328E7"/>
    <w:rsid w:val="00332CF1"/>
    <w:rsid w:val="00332FF6"/>
    <w:rsid w:val="00333748"/>
    <w:rsid w:val="00333BEF"/>
    <w:rsid w:val="00333D04"/>
    <w:rsid w:val="00333F09"/>
    <w:rsid w:val="00335247"/>
    <w:rsid w:val="00335692"/>
    <w:rsid w:val="0033578B"/>
    <w:rsid w:val="0033675C"/>
    <w:rsid w:val="003368D3"/>
    <w:rsid w:val="00336F1C"/>
    <w:rsid w:val="00337569"/>
    <w:rsid w:val="003375D3"/>
    <w:rsid w:val="003375E3"/>
    <w:rsid w:val="00337CD0"/>
    <w:rsid w:val="00340538"/>
    <w:rsid w:val="00340719"/>
    <w:rsid w:val="00340F3F"/>
    <w:rsid w:val="003410ED"/>
    <w:rsid w:val="003414F2"/>
    <w:rsid w:val="00341B33"/>
    <w:rsid w:val="00341ED8"/>
    <w:rsid w:val="00341F62"/>
    <w:rsid w:val="00342916"/>
    <w:rsid w:val="00342F82"/>
    <w:rsid w:val="00343900"/>
    <w:rsid w:val="00344669"/>
    <w:rsid w:val="003448EB"/>
    <w:rsid w:val="00344A5E"/>
    <w:rsid w:val="003455EC"/>
    <w:rsid w:val="003456BB"/>
    <w:rsid w:val="00345B04"/>
    <w:rsid w:val="00345FFC"/>
    <w:rsid w:val="00346750"/>
    <w:rsid w:val="00346810"/>
    <w:rsid w:val="0034726D"/>
    <w:rsid w:val="003477E5"/>
    <w:rsid w:val="00347CEA"/>
    <w:rsid w:val="0035091F"/>
    <w:rsid w:val="00350DD5"/>
    <w:rsid w:val="00350F00"/>
    <w:rsid w:val="003517AF"/>
    <w:rsid w:val="003518A6"/>
    <w:rsid w:val="00352221"/>
    <w:rsid w:val="003529C7"/>
    <w:rsid w:val="00352CE3"/>
    <w:rsid w:val="00353139"/>
    <w:rsid w:val="003534E8"/>
    <w:rsid w:val="003535B9"/>
    <w:rsid w:val="00353AC3"/>
    <w:rsid w:val="00354170"/>
    <w:rsid w:val="003543A6"/>
    <w:rsid w:val="00354CCC"/>
    <w:rsid w:val="00354E9E"/>
    <w:rsid w:val="00355405"/>
    <w:rsid w:val="00355E26"/>
    <w:rsid w:val="00355ED4"/>
    <w:rsid w:val="003562C4"/>
    <w:rsid w:val="00356713"/>
    <w:rsid w:val="00356DD5"/>
    <w:rsid w:val="00356E3E"/>
    <w:rsid w:val="0035707C"/>
    <w:rsid w:val="00357BAD"/>
    <w:rsid w:val="0036065A"/>
    <w:rsid w:val="00361672"/>
    <w:rsid w:val="00361AD6"/>
    <w:rsid w:val="00362D6C"/>
    <w:rsid w:val="003632B1"/>
    <w:rsid w:val="00363608"/>
    <w:rsid w:val="003637BA"/>
    <w:rsid w:val="00363BD6"/>
    <w:rsid w:val="003641F6"/>
    <w:rsid w:val="00364926"/>
    <w:rsid w:val="0036537B"/>
    <w:rsid w:val="00365791"/>
    <w:rsid w:val="003658D9"/>
    <w:rsid w:val="00365A44"/>
    <w:rsid w:val="00365C89"/>
    <w:rsid w:val="00365F11"/>
    <w:rsid w:val="00366064"/>
    <w:rsid w:val="0036620D"/>
    <w:rsid w:val="003663D3"/>
    <w:rsid w:val="0036782F"/>
    <w:rsid w:val="003679A5"/>
    <w:rsid w:val="00367DB2"/>
    <w:rsid w:val="00370303"/>
    <w:rsid w:val="00370577"/>
    <w:rsid w:val="00370974"/>
    <w:rsid w:val="003709C2"/>
    <w:rsid w:val="00370CBE"/>
    <w:rsid w:val="00370CE4"/>
    <w:rsid w:val="00370EED"/>
    <w:rsid w:val="003710AB"/>
    <w:rsid w:val="00371585"/>
    <w:rsid w:val="0037211D"/>
    <w:rsid w:val="00372346"/>
    <w:rsid w:val="00372462"/>
    <w:rsid w:val="00373529"/>
    <w:rsid w:val="0037357F"/>
    <w:rsid w:val="00373BC0"/>
    <w:rsid w:val="003742EA"/>
    <w:rsid w:val="003744A4"/>
    <w:rsid w:val="003751C7"/>
    <w:rsid w:val="00376379"/>
    <w:rsid w:val="00376572"/>
    <w:rsid w:val="00376EF9"/>
    <w:rsid w:val="0037782F"/>
    <w:rsid w:val="00377978"/>
    <w:rsid w:val="00377D01"/>
    <w:rsid w:val="00377F56"/>
    <w:rsid w:val="00380A00"/>
    <w:rsid w:val="00380B5D"/>
    <w:rsid w:val="00381EEC"/>
    <w:rsid w:val="003822CB"/>
    <w:rsid w:val="00382325"/>
    <w:rsid w:val="003829B4"/>
    <w:rsid w:val="00382BEB"/>
    <w:rsid w:val="00382F9A"/>
    <w:rsid w:val="003831C1"/>
    <w:rsid w:val="00383392"/>
    <w:rsid w:val="0038372C"/>
    <w:rsid w:val="00383953"/>
    <w:rsid w:val="00384245"/>
    <w:rsid w:val="0038476E"/>
    <w:rsid w:val="003849AD"/>
    <w:rsid w:val="00386B0C"/>
    <w:rsid w:val="00386CDA"/>
    <w:rsid w:val="0038769C"/>
    <w:rsid w:val="00387AB7"/>
    <w:rsid w:val="00387FAF"/>
    <w:rsid w:val="00387FEF"/>
    <w:rsid w:val="0039084E"/>
    <w:rsid w:val="003908F1"/>
    <w:rsid w:val="00391520"/>
    <w:rsid w:val="00393092"/>
    <w:rsid w:val="003941D7"/>
    <w:rsid w:val="00394473"/>
    <w:rsid w:val="0039457B"/>
    <w:rsid w:val="003945B9"/>
    <w:rsid w:val="00394792"/>
    <w:rsid w:val="00394EE4"/>
    <w:rsid w:val="00395EEF"/>
    <w:rsid w:val="00396339"/>
    <w:rsid w:val="0039717E"/>
    <w:rsid w:val="003972FC"/>
    <w:rsid w:val="00397ED5"/>
    <w:rsid w:val="003A08B4"/>
    <w:rsid w:val="003A097F"/>
    <w:rsid w:val="003A12BC"/>
    <w:rsid w:val="003A12BF"/>
    <w:rsid w:val="003A13A9"/>
    <w:rsid w:val="003A1B91"/>
    <w:rsid w:val="003A1DDF"/>
    <w:rsid w:val="003A20E3"/>
    <w:rsid w:val="003A3454"/>
    <w:rsid w:val="003A349D"/>
    <w:rsid w:val="003A369A"/>
    <w:rsid w:val="003A3866"/>
    <w:rsid w:val="003A3EA2"/>
    <w:rsid w:val="003A4B25"/>
    <w:rsid w:val="003A4DBF"/>
    <w:rsid w:val="003A5181"/>
    <w:rsid w:val="003A5564"/>
    <w:rsid w:val="003A5619"/>
    <w:rsid w:val="003A6AFB"/>
    <w:rsid w:val="003A6EC3"/>
    <w:rsid w:val="003A6F1A"/>
    <w:rsid w:val="003A763C"/>
    <w:rsid w:val="003B1393"/>
    <w:rsid w:val="003B14F0"/>
    <w:rsid w:val="003B1977"/>
    <w:rsid w:val="003B1A92"/>
    <w:rsid w:val="003B23C5"/>
    <w:rsid w:val="003B25FD"/>
    <w:rsid w:val="003B2703"/>
    <w:rsid w:val="003B3744"/>
    <w:rsid w:val="003B47D8"/>
    <w:rsid w:val="003B4997"/>
    <w:rsid w:val="003B4ABB"/>
    <w:rsid w:val="003B5001"/>
    <w:rsid w:val="003B5671"/>
    <w:rsid w:val="003B56D2"/>
    <w:rsid w:val="003B5745"/>
    <w:rsid w:val="003B594A"/>
    <w:rsid w:val="003B5C0D"/>
    <w:rsid w:val="003B5F30"/>
    <w:rsid w:val="003B66E1"/>
    <w:rsid w:val="003B6E3C"/>
    <w:rsid w:val="003B7849"/>
    <w:rsid w:val="003B795B"/>
    <w:rsid w:val="003C09ED"/>
    <w:rsid w:val="003C0A70"/>
    <w:rsid w:val="003C0A77"/>
    <w:rsid w:val="003C1B7E"/>
    <w:rsid w:val="003C2012"/>
    <w:rsid w:val="003C2388"/>
    <w:rsid w:val="003C297E"/>
    <w:rsid w:val="003C3172"/>
    <w:rsid w:val="003C342A"/>
    <w:rsid w:val="003C38E8"/>
    <w:rsid w:val="003C3D6D"/>
    <w:rsid w:val="003C3E87"/>
    <w:rsid w:val="003C43B4"/>
    <w:rsid w:val="003C4557"/>
    <w:rsid w:val="003C4B81"/>
    <w:rsid w:val="003C4DF8"/>
    <w:rsid w:val="003C54BB"/>
    <w:rsid w:val="003C586B"/>
    <w:rsid w:val="003C5C98"/>
    <w:rsid w:val="003C6CF3"/>
    <w:rsid w:val="003C6DA6"/>
    <w:rsid w:val="003C6EB1"/>
    <w:rsid w:val="003C7560"/>
    <w:rsid w:val="003C7667"/>
    <w:rsid w:val="003C7AD6"/>
    <w:rsid w:val="003D0476"/>
    <w:rsid w:val="003D07B1"/>
    <w:rsid w:val="003D0BF0"/>
    <w:rsid w:val="003D0EDD"/>
    <w:rsid w:val="003D0F53"/>
    <w:rsid w:val="003D10AC"/>
    <w:rsid w:val="003D1315"/>
    <w:rsid w:val="003D1865"/>
    <w:rsid w:val="003D24EE"/>
    <w:rsid w:val="003D266F"/>
    <w:rsid w:val="003D2715"/>
    <w:rsid w:val="003D2EF1"/>
    <w:rsid w:val="003D33DD"/>
    <w:rsid w:val="003D370E"/>
    <w:rsid w:val="003D3E5D"/>
    <w:rsid w:val="003D463A"/>
    <w:rsid w:val="003D4984"/>
    <w:rsid w:val="003D4B8A"/>
    <w:rsid w:val="003D5BFB"/>
    <w:rsid w:val="003D5C1D"/>
    <w:rsid w:val="003D61E9"/>
    <w:rsid w:val="003D6734"/>
    <w:rsid w:val="003D6858"/>
    <w:rsid w:val="003D6FE1"/>
    <w:rsid w:val="003D7180"/>
    <w:rsid w:val="003D7A3D"/>
    <w:rsid w:val="003E01B5"/>
    <w:rsid w:val="003E0331"/>
    <w:rsid w:val="003E09D6"/>
    <w:rsid w:val="003E19CA"/>
    <w:rsid w:val="003E1B5D"/>
    <w:rsid w:val="003E1D0A"/>
    <w:rsid w:val="003E203E"/>
    <w:rsid w:val="003E20D5"/>
    <w:rsid w:val="003E4016"/>
    <w:rsid w:val="003E403F"/>
    <w:rsid w:val="003E5623"/>
    <w:rsid w:val="003E58B5"/>
    <w:rsid w:val="003E5F3E"/>
    <w:rsid w:val="003E6264"/>
    <w:rsid w:val="003E6604"/>
    <w:rsid w:val="003E688B"/>
    <w:rsid w:val="003E6DB9"/>
    <w:rsid w:val="003E7734"/>
    <w:rsid w:val="003E77E8"/>
    <w:rsid w:val="003E7E96"/>
    <w:rsid w:val="003F06F2"/>
    <w:rsid w:val="003F0963"/>
    <w:rsid w:val="003F0A99"/>
    <w:rsid w:val="003F0D68"/>
    <w:rsid w:val="003F0EC9"/>
    <w:rsid w:val="003F0F2A"/>
    <w:rsid w:val="003F1BE0"/>
    <w:rsid w:val="003F22AF"/>
    <w:rsid w:val="003F2910"/>
    <w:rsid w:val="003F37E0"/>
    <w:rsid w:val="003F4F07"/>
    <w:rsid w:val="003F6A5E"/>
    <w:rsid w:val="003F78C8"/>
    <w:rsid w:val="004001AA"/>
    <w:rsid w:val="0040096D"/>
    <w:rsid w:val="00401159"/>
    <w:rsid w:val="00401634"/>
    <w:rsid w:val="00401706"/>
    <w:rsid w:val="00401941"/>
    <w:rsid w:val="00402585"/>
    <w:rsid w:val="004027B7"/>
    <w:rsid w:val="004027D8"/>
    <w:rsid w:val="0040318A"/>
    <w:rsid w:val="0040325B"/>
    <w:rsid w:val="004036D8"/>
    <w:rsid w:val="00403B58"/>
    <w:rsid w:val="00404312"/>
    <w:rsid w:val="00404C33"/>
    <w:rsid w:val="004055A8"/>
    <w:rsid w:val="0040575F"/>
    <w:rsid w:val="00406199"/>
    <w:rsid w:val="00406C2C"/>
    <w:rsid w:val="00407051"/>
    <w:rsid w:val="00407243"/>
    <w:rsid w:val="00407473"/>
    <w:rsid w:val="004078CB"/>
    <w:rsid w:val="00407EFD"/>
    <w:rsid w:val="004103C2"/>
    <w:rsid w:val="00410434"/>
    <w:rsid w:val="004104BB"/>
    <w:rsid w:val="004111B5"/>
    <w:rsid w:val="00411337"/>
    <w:rsid w:val="00411931"/>
    <w:rsid w:val="004120DA"/>
    <w:rsid w:val="0041239A"/>
    <w:rsid w:val="0041261E"/>
    <w:rsid w:val="00412630"/>
    <w:rsid w:val="00412A42"/>
    <w:rsid w:val="00412ADD"/>
    <w:rsid w:val="00412D59"/>
    <w:rsid w:val="004135AB"/>
    <w:rsid w:val="00413AB3"/>
    <w:rsid w:val="00413BFF"/>
    <w:rsid w:val="004144B9"/>
    <w:rsid w:val="0041482B"/>
    <w:rsid w:val="00414B85"/>
    <w:rsid w:val="00415140"/>
    <w:rsid w:val="00415821"/>
    <w:rsid w:val="00415A13"/>
    <w:rsid w:val="00416030"/>
    <w:rsid w:val="004160D3"/>
    <w:rsid w:val="00416139"/>
    <w:rsid w:val="00416384"/>
    <w:rsid w:val="004165E4"/>
    <w:rsid w:val="00416660"/>
    <w:rsid w:val="00416D9D"/>
    <w:rsid w:val="00417258"/>
    <w:rsid w:val="00417604"/>
    <w:rsid w:val="00417802"/>
    <w:rsid w:val="00417A57"/>
    <w:rsid w:val="00417DED"/>
    <w:rsid w:val="00420B3E"/>
    <w:rsid w:val="00421349"/>
    <w:rsid w:val="00421744"/>
    <w:rsid w:val="00421EA3"/>
    <w:rsid w:val="00422B15"/>
    <w:rsid w:val="00422C8B"/>
    <w:rsid w:val="004231B4"/>
    <w:rsid w:val="0042334F"/>
    <w:rsid w:val="00423406"/>
    <w:rsid w:val="004234F4"/>
    <w:rsid w:val="00424A6F"/>
    <w:rsid w:val="0042505D"/>
    <w:rsid w:val="0042523C"/>
    <w:rsid w:val="0042575D"/>
    <w:rsid w:val="00425AA5"/>
    <w:rsid w:val="00425CAE"/>
    <w:rsid w:val="00426163"/>
    <w:rsid w:val="00426C4E"/>
    <w:rsid w:val="00426E5C"/>
    <w:rsid w:val="00426F62"/>
    <w:rsid w:val="0042706F"/>
    <w:rsid w:val="004277B1"/>
    <w:rsid w:val="004277E6"/>
    <w:rsid w:val="004278B8"/>
    <w:rsid w:val="00430164"/>
    <w:rsid w:val="00430394"/>
    <w:rsid w:val="00430977"/>
    <w:rsid w:val="00430A51"/>
    <w:rsid w:val="00430C06"/>
    <w:rsid w:val="004311B4"/>
    <w:rsid w:val="004313D0"/>
    <w:rsid w:val="0043190B"/>
    <w:rsid w:val="00431D9B"/>
    <w:rsid w:val="0043211F"/>
    <w:rsid w:val="0043262D"/>
    <w:rsid w:val="00432C77"/>
    <w:rsid w:val="0043319D"/>
    <w:rsid w:val="00433210"/>
    <w:rsid w:val="00433A2F"/>
    <w:rsid w:val="00433AFC"/>
    <w:rsid w:val="00433C5E"/>
    <w:rsid w:val="004346FC"/>
    <w:rsid w:val="00434843"/>
    <w:rsid w:val="004348FA"/>
    <w:rsid w:val="00435BA5"/>
    <w:rsid w:val="00436054"/>
    <w:rsid w:val="0043623F"/>
    <w:rsid w:val="004369A7"/>
    <w:rsid w:val="00436D65"/>
    <w:rsid w:val="004373D7"/>
    <w:rsid w:val="00437A0E"/>
    <w:rsid w:val="00440151"/>
    <w:rsid w:val="004403A0"/>
    <w:rsid w:val="00440686"/>
    <w:rsid w:val="00440D19"/>
    <w:rsid w:val="004412BC"/>
    <w:rsid w:val="004412C1"/>
    <w:rsid w:val="004415E9"/>
    <w:rsid w:val="00441D4F"/>
    <w:rsid w:val="00441EDE"/>
    <w:rsid w:val="00442328"/>
    <w:rsid w:val="00442543"/>
    <w:rsid w:val="00442734"/>
    <w:rsid w:val="00442771"/>
    <w:rsid w:val="004427E3"/>
    <w:rsid w:val="00442A8C"/>
    <w:rsid w:val="00442BAD"/>
    <w:rsid w:val="00442ECD"/>
    <w:rsid w:val="00443416"/>
    <w:rsid w:val="00443BB7"/>
    <w:rsid w:val="00443C17"/>
    <w:rsid w:val="004441AC"/>
    <w:rsid w:val="00444A0F"/>
    <w:rsid w:val="00444F89"/>
    <w:rsid w:val="00445027"/>
    <w:rsid w:val="00445446"/>
    <w:rsid w:val="0044553D"/>
    <w:rsid w:val="004457E3"/>
    <w:rsid w:val="00445D99"/>
    <w:rsid w:val="00446510"/>
    <w:rsid w:val="0044670C"/>
    <w:rsid w:val="00446B0D"/>
    <w:rsid w:val="00446D38"/>
    <w:rsid w:val="00447053"/>
    <w:rsid w:val="004471FD"/>
    <w:rsid w:val="00447A6A"/>
    <w:rsid w:val="00447DC5"/>
    <w:rsid w:val="00447E66"/>
    <w:rsid w:val="004502EA"/>
    <w:rsid w:val="00450513"/>
    <w:rsid w:val="004506C4"/>
    <w:rsid w:val="00450B46"/>
    <w:rsid w:val="00450BE9"/>
    <w:rsid w:val="004510A0"/>
    <w:rsid w:val="00452238"/>
    <w:rsid w:val="00452605"/>
    <w:rsid w:val="00452B7F"/>
    <w:rsid w:val="00452EFA"/>
    <w:rsid w:val="0045416C"/>
    <w:rsid w:val="004541A4"/>
    <w:rsid w:val="004548CD"/>
    <w:rsid w:val="004548EF"/>
    <w:rsid w:val="00454EFF"/>
    <w:rsid w:val="00454F7A"/>
    <w:rsid w:val="00456267"/>
    <w:rsid w:val="004564CF"/>
    <w:rsid w:val="0045737D"/>
    <w:rsid w:val="00457388"/>
    <w:rsid w:val="00457512"/>
    <w:rsid w:val="004577DC"/>
    <w:rsid w:val="004579D3"/>
    <w:rsid w:val="004605C3"/>
    <w:rsid w:val="00460BB9"/>
    <w:rsid w:val="0046101C"/>
    <w:rsid w:val="004611FC"/>
    <w:rsid w:val="00461411"/>
    <w:rsid w:val="0046168B"/>
    <w:rsid w:val="00461A97"/>
    <w:rsid w:val="00462344"/>
    <w:rsid w:val="00462BF2"/>
    <w:rsid w:val="00462C15"/>
    <w:rsid w:val="00462C7B"/>
    <w:rsid w:val="00462FA4"/>
    <w:rsid w:val="0046315E"/>
    <w:rsid w:val="0046320F"/>
    <w:rsid w:val="0046327A"/>
    <w:rsid w:val="0046329C"/>
    <w:rsid w:val="0046349F"/>
    <w:rsid w:val="00463675"/>
    <w:rsid w:val="0046368C"/>
    <w:rsid w:val="00463F48"/>
    <w:rsid w:val="004641F6"/>
    <w:rsid w:val="00464225"/>
    <w:rsid w:val="004645E5"/>
    <w:rsid w:val="004650B4"/>
    <w:rsid w:val="00465D84"/>
    <w:rsid w:val="00465EDA"/>
    <w:rsid w:val="004660A4"/>
    <w:rsid w:val="004667A0"/>
    <w:rsid w:val="00466805"/>
    <w:rsid w:val="00466B06"/>
    <w:rsid w:val="00467544"/>
    <w:rsid w:val="004679CF"/>
    <w:rsid w:val="004705FB"/>
    <w:rsid w:val="00470DCB"/>
    <w:rsid w:val="00471163"/>
    <w:rsid w:val="004713F8"/>
    <w:rsid w:val="00471577"/>
    <w:rsid w:val="004730AE"/>
    <w:rsid w:val="00473391"/>
    <w:rsid w:val="00473543"/>
    <w:rsid w:val="00474046"/>
    <w:rsid w:val="004741EA"/>
    <w:rsid w:val="0047460B"/>
    <w:rsid w:val="00474750"/>
    <w:rsid w:val="00474795"/>
    <w:rsid w:val="00474E19"/>
    <w:rsid w:val="0047568A"/>
    <w:rsid w:val="0047617A"/>
    <w:rsid w:val="004768C1"/>
    <w:rsid w:val="00476A0D"/>
    <w:rsid w:val="00476EA4"/>
    <w:rsid w:val="00477F13"/>
    <w:rsid w:val="00480844"/>
    <w:rsid w:val="00480B0D"/>
    <w:rsid w:val="00480CDE"/>
    <w:rsid w:val="00481712"/>
    <w:rsid w:val="00481B32"/>
    <w:rsid w:val="00482154"/>
    <w:rsid w:val="00482DCE"/>
    <w:rsid w:val="00483316"/>
    <w:rsid w:val="0048363B"/>
    <w:rsid w:val="00484871"/>
    <w:rsid w:val="004849DC"/>
    <w:rsid w:val="00486F34"/>
    <w:rsid w:val="00487BB5"/>
    <w:rsid w:val="00487DA5"/>
    <w:rsid w:val="004903B1"/>
    <w:rsid w:val="004904FD"/>
    <w:rsid w:val="00490695"/>
    <w:rsid w:val="0049094E"/>
    <w:rsid w:val="00490A88"/>
    <w:rsid w:val="00490F6F"/>
    <w:rsid w:val="00490FA8"/>
    <w:rsid w:val="004915AB"/>
    <w:rsid w:val="0049165F"/>
    <w:rsid w:val="00491BEC"/>
    <w:rsid w:val="00491CD7"/>
    <w:rsid w:val="004924E2"/>
    <w:rsid w:val="00492A7A"/>
    <w:rsid w:val="00492BCE"/>
    <w:rsid w:val="00492E4D"/>
    <w:rsid w:val="004935CE"/>
    <w:rsid w:val="00493695"/>
    <w:rsid w:val="004939BE"/>
    <w:rsid w:val="00493ED2"/>
    <w:rsid w:val="0049417D"/>
    <w:rsid w:val="004946A9"/>
    <w:rsid w:val="00494879"/>
    <w:rsid w:val="00494A8D"/>
    <w:rsid w:val="00494EF5"/>
    <w:rsid w:val="004950F2"/>
    <w:rsid w:val="00495B61"/>
    <w:rsid w:val="00495DEF"/>
    <w:rsid w:val="00495EB2"/>
    <w:rsid w:val="0049610F"/>
    <w:rsid w:val="00496122"/>
    <w:rsid w:val="0049643F"/>
    <w:rsid w:val="00496538"/>
    <w:rsid w:val="00497098"/>
    <w:rsid w:val="0049779C"/>
    <w:rsid w:val="004979EF"/>
    <w:rsid w:val="004A0177"/>
    <w:rsid w:val="004A042E"/>
    <w:rsid w:val="004A0DD6"/>
    <w:rsid w:val="004A119E"/>
    <w:rsid w:val="004A14E5"/>
    <w:rsid w:val="004A163A"/>
    <w:rsid w:val="004A1643"/>
    <w:rsid w:val="004A188D"/>
    <w:rsid w:val="004A207D"/>
    <w:rsid w:val="004A3492"/>
    <w:rsid w:val="004A3610"/>
    <w:rsid w:val="004A3681"/>
    <w:rsid w:val="004A3D01"/>
    <w:rsid w:val="004A3ECE"/>
    <w:rsid w:val="004A3F6E"/>
    <w:rsid w:val="004A44E5"/>
    <w:rsid w:val="004A481D"/>
    <w:rsid w:val="004A5983"/>
    <w:rsid w:val="004A5A36"/>
    <w:rsid w:val="004A5CD9"/>
    <w:rsid w:val="004A5F11"/>
    <w:rsid w:val="004A5FDB"/>
    <w:rsid w:val="004A675E"/>
    <w:rsid w:val="004A717C"/>
    <w:rsid w:val="004B00E2"/>
    <w:rsid w:val="004B0528"/>
    <w:rsid w:val="004B060C"/>
    <w:rsid w:val="004B0F3B"/>
    <w:rsid w:val="004B0FB2"/>
    <w:rsid w:val="004B1906"/>
    <w:rsid w:val="004B1ED9"/>
    <w:rsid w:val="004B2568"/>
    <w:rsid w:val="004B2777"/>
    <w:rsid w:val="004B2C8A"/>
    <w:rsid w:val="004B2EE8"/>
    <w:rsid w:val="004B32A8"/>
    <w:rsid w:val="004B3B4B"/>
    <w:rsid w:val="004B458F"/>
    <w:rsid w:val="004B53FF"/>
    <w:rsid w:val="004B5DD4"/>
    <w:rsid w:val="004B5F6D"/>
    <w:rsid w:val="004B629B"/>
    <w:rsid w:val="004B647E"/>
    <w:rsid w:val="004B6826"/>
    <w:rsid w:val="004C054E"/>
    <w:rsid w:val="004C07A6"/>
    <w:rsid w:val="004C104C"/>
    <w:rsid w:val="004C1534"/>
    <w:rsid w:val="004C191B"/>
    <w:rsid w:val="004C1AD7"/>
    <w:rsid w:val="004C1E66"/>
    <w:rsid w:val="004C3A0E"/>
    <w:rsid w:val="004C3B6D"/>
    <w:rsid w:val="004C3BA0"/>
    <w:rsid w:val="004C3C53"/>
    <w:rsid w:val="004C3D41"/>
    <w:rsid w:val="004C42A0"/>
    <w:rsid w:val="004C44B1"/>
    <w:rsid w:val="004C4FAF"/>
    <w:rsid w:val="004C508D"/>
    <w:rsid w:val="004C5456"/>
    <w:rsid w:val="004C6730"/>
    <w:rsid w:val="004C77EA"/>
    <w:rsid w:val="004C7D41"/>
    <w:rsid w:val="004D02E1"/>
    <w:rsid w:val="004D070F"/>
    <w:rsid w:val="004D0870"/>
    <w:rsid w:val="004D22A9"/>
    <w:rsid w:val="004D24FA"/>
    <w:rsid w:val="004D25F5"/>
    <w:rsid w:val="004D262F"/>
    <w:rsid w:val="004D2900"/>
    <w:rsid w:val="004D2ACF"/>
    <w:rsid w:val="004D2F78"/>
    <w:rsid w:val="004D355A"/>
    <w:rsid w:val="004D3A7E"/>
    <w:rsid w:val="004D3B6A"/>
    <w:rsid w:val="004D3CF8"/>
    <w:rsid w:val="004D41BD"/>
    <w:rsid w:val="004D46A5"/>
    <w:rsid w:val="004D4EAE"/>
    <w:rsid w:val="004D5D6E"/>
    <w:rsid w:val="004D60BB"/>
    <w:rsid w:val="004D66C4"/>
    <w:rsid w:val="004D682B"/>
    <w:rsid w:val="004D690D"/>
    <w:rsid w:val="004D6A24"/>
    <w:rsid w:val="004D6F55"/>
    <w:rsid w:val="004D72C8"/>
    <w:rsid w:val="004D777C"/>
    <w:rsid w:val="004D7D88"/>
    <w:rsid w:val="004E0127"/>
    <w:rsid w:val="004E0D62"/>
    <w:rsid w:val="004E0EE0"/>
    <w:rsid w:val="004E127F"/>
    <w:rsid w:val="004E229C"/>
    <w:rsid w:val="004E2498"/>
    <w:rsid w:val="004E2E13"/>
    <w:rsid w:val="004E2F2C"/>
    <w:rsid w:val="004E306C"/>
    <w:rsid w:val="004E3DD0"/>
    <w:rsid w:val="004E40CC"/>
    <w:rsid w:val="004E4822"/>
    <w:rsid w:val="004E4FF5"/>
    <w:rsid w:val="004E50B0"/>
    <w:rsid w:val="004E5412"/>
    <w:rsid w:val="004E5BEE"/>
    <w:rsid w:val="004E63FB"/>
    <w:rsid w:val="004E6539"/>
    <w:rsid w:val="004E7874"/>
    <w:rsid w:val="004E7917"/>
    <w:rsid w:val="004E7A84"/>
    <w:rsid w:val="004E7CB5"/>
    <w:rsid w:val="004E7DA4"/>
    <w:rsid w:val="004F0D8A"/>
    <w:rsid w:val="004F13EF"/>
    <w:rsid w:val="004F19B1"/>
    <w:rsid w:val="004F1F62"/>
    <w:rsid w:val="004F218A"/>
    <w:rsid w:val="004F249B"/>
    <w:rsid w:val="004F2968"/>
    <w:rsid w:val="004F2C69"/>
    <w:rsid w:val="004F2E77"/>
    <w:rsid w:val="004F39CB"/>
    <w:rsid w:val="004F3D80"/>
    <w:rsid w:val="004F3DEB"/>
    <w:rsid w:val="004F3FFF"/>
    <w:rsid w:val="004F49DD"/>
    <w:rsid w:val="004F5BF4"/>
    <w:rsid w:val="004F5C56"/>
    <w:rsid w:val="004F5E59"/>
    <w:rsid w:val="004F6081"/>
    <w:rsid w:val="004F613E"/>
    <w:rsid w:val="004F631C"/>
    <w:rsid w:val="004F686C"/>
    <w:rsid w:val="004F6965"/>
    <w:rsid w:val="004F6A0F"/>
    <w:rsid w:val="004F74D2"/>
    <w:rsid w:val="004F7BE4"/>
    <w:rsid w:val="005002D1"/>
    <w:rsid w:val="0050079B"/>
    <w:rsid w:val="00500851"/>
    <w:rsid w:val="005035B5"/>
    <w:rsid w:val="00504382"/>
    <w:rsid w:val="005045E5"/>
    <w:rsid w:val="00505161"/>
    <w:rsid w:val="00505891"/>
    <w:rsid w:val="00505A61"/>
    <w:rsid w:val="00505C7C"/>
    <w:rsid w:val="00505F11"/>
    <w:rsid w:val="005060E5"/>
    <w:rsid w:val="00506E86"/>
    <w:rsid w:val="00507175"/>
    <w:rsid w:val="0050742C"/>
    <w:rsid w:val="00507D9B"/>
    <w:rsid w:val="005109FC"/>
    <w:rsid w:val="00511032"/>
    <w:rsid w:val="005110D8"/>
    <w:rsid w:val="0051153E"/>
    <w:rsid w:val="00511591"/>
    <w:rsid w:val="00511641"/>
    <w:rsid w:val="0051183C"/>
    <w:rsid w:val="00511840"/>
    <w:rsid w:val="0051338E"/>
    <w:rsid w:val="00513A17"/>
    <w:rsid w:val="00513F3A"/>
    <w:rsid w:val="00513FF2"/>
    <w:rsid w:val="00514B06"/>
    <w:rsid w:val="00515366"/>
    <w:rsid w:val="0051562F"/>
    <w:rsid w:val="0051593F"/>
    <w:rsid w:val="00516254"/>
    <w:rsid w:val="0051634F"/>
    <w:rsid w:val="00516785"/>
    <w:rsid w:val="00516786"/>
    <w:rsid w:val="00516F41"/>
    <w:rsid w:val="005170B2"/>
    <w:rsid w:val="005170D0"/>
    <w:rsid w:val="00517178"/>
    <w:rsid w:val="005179DC"/>
    <w:rsid w:val="00517BF7"/>
    <w:rsid w:val="00517EA8"/>
    <w:rsid w:val="005207B6"/>
    <w:rsid w:val="00520D15"/>
    <w:rsid w:val="00520F38"/>
    <w:rsid w:val="00520F6C"/>
    <w:rsid w:val="00521900"/>
    <w:rsid w:val="005219E8"/>
    <w:rsid w:val="005233F7"/>
    <w:rsid w:val="00523EC3"/>
    <w:rsid w:val="0052414F"/>
    <w:rsid w:val="00524420"/>
    <w:rsid w:val="005254BF"/>
    <w:rsid w:val="005258A8"/>
    <w:rsid w:val="0052601A"/>
    <w:rsid w:val="00526838"/>
    <w:rsid w:val="00526A1F"/>
    <w:rsid w:val="00526D99"/>
    <w:rsid w:val="00526E40"/>
    <w:rsid w:val="00526EB8"/>
    <w:rsid w:val="005275DE"/>
    <w:rsid w:val="00527E84"/>
    <w:rsid w:val="005314F1"/>
    <w:rsid w:val="0053156E"/>
    <w:rsid w:val="00531AB8"/>
    <w:rsid w:val="0053206B"/>
    <w:rsid w:val="0053221C"/>
    <w:rsid w:val="00532408"/>
    <w:rsid w:val="00532428"/>
    <w:rsid w:val="0053279C"/>
    <w:rsid w:val="00532FFA"/>
    <w:rsid w:val="0053300B"/>
    <w:rsid w:val="005333C2"/>
    <w:rsid w:val="005339A6"/>
    <w:rsid w:val="00533B73"/>
    <w:rsid w:val="00534271"/>
    <w:rsid w:val="00534497"/>
    <w:rsid w:val="00534E70"/>
    <w:rsid w:val="00534EDB"/>
    <w:rsid w:val="00535019"/>
    <w:rsid w:val="0053571F"/>
    <w:rsid w:val="00535B3A"/>
    <w:rsid w:val="005364E6"/>
    <w:rsid w:val="0053668E"/>
    <w:rsid w:val="00537053"/>
    <w:rsid w:val="00537E37"/>
    <w:rsid w:val="005400DA"/>
    <w:rsid w:val="0054051E"/>
    <w:rsid w:val="005406F6"/>
    <w:rsid w:val="005413FB"/>
    <w:rsid w:val="005415AB"/>
    <w:rsid w:val="00541877"/>
    <w:rsid w:val="00541ED6"/>
    <w:rsid w:val="005422E6"/>
    <w:rsid w:val="0054262F"/>
    <w:rsid w:val="00542BB4"/>
    <w:rsid w:val="00542D14"/>
    <w:rsid w:val="00542DE3"/>
    <w:rsid w:val="00543776"/>
    <w:rsid w:val="005439C4"/>
    <w:rsid w:val="00544106"/>
    <w:rsid w:val="0054421E"/>
    <w:rsid w:val="00544DD7"/>
    <w:rsid w:val="00545554"/>
    <w:rsid w:val="005455F6"/>
    <w:rsid w:val="005458D1"/>
    <w:rsid w:val="00546214"/>
    <w:rsid w:val="00546525"/>
    <w:rsid w:val="0054679C"/>
    <w:rsid w:val="00546E11"/>
    <w:rsid w:val="00547283"/>
    <w:rsid w:val="00547486"/>
    <w:rsid w:val="005474D5"/>
    <w:rsid w:val="00547A07"/>
    <w:rsid w:val="00547B17"/>
    <w:rsid w:val="00547F14"/>
    <w:rsid w:val="0055088F"/>
    <w:rsid w:val="00550CDA"/>
    <w:rsid w:val="005513EB"/>
    <w:rsid w:val="005515BA"/>
    <w:rsid w:val="00551D27"/>
    <w:rsid w:val="0055208A"/>
    <w:rsid w:val="0055276C"/>
    <w:rsid w:val="00552FE2"/>
    <w:rsid w:val="005539BC"/>
    <w:rsid w:val="00553EC3"/>
    <w:rsid w:val="00554357"/>
    <w:rsid w:val="00554730"/>
    <w:rsid w:val="005547D6"/>
    <w:rsid w:val="005547E5"/>
    <w:rsid w:val="00554C8B"/>
    <w:rsid w:val="005552E1"/>
    <w:rsid w:val="00555E34"/>
    <w:rsid w:val="005566C3"/>
    <w:rsid w:val="0055725E"/>
    <w:rsid w:val="005577B0"/>
    <w:rsid w:val="0056035A"/>
    <w:rsid w:val="0056057B"/>
    <w:rsid w:val="0056076F"/>
    <w:rsid w:val="00560BC8"/>
    <w:rsid w:val="005612BE"/>
    <w:rsid w:val="00561884"/>
    <w:rsid w:val="00561AFE"/>
    <w:rsid w:val="00561C72"/>
    <w:rsid w:val="005620DE"/>
    <w:rsid w:val="005625EA"/>
    <w:rsid w:val="00562B09"/>
    <w:rsid w:val="00562B0B"/>
    <w:rsid w:val="005630AD"/>
    <w:rsid w:val="005631BF"/>
    <w:rsid w:val="005632A0"/>
    <w:rsid w:val="00563981"/>
    <w:rsid w:val="00563EBB"/>
    <w:rsid w:val="005641EE"/>
    <w:rsid w:val="0056488D"/>
    <w:rsid w:val="00564A7F"/>
    <w:rsid w:val="00564DDC"/>
    <w:rsid w:val="00565261"/>
    <w:rsid w:val="00565AFA"/>
    <w:rsid w:val="00565D92"/>
    <w:rsid w:val="00565D97"/>
    <w:rsid w:val="00565F2B"/>
    <w:rsid w:val="00566FF9"/>
    <w:rsid w:val="005670AD"/>
    <w:rsid w:val="0056777A"/>
    <w:rsid w:val="00570777"/>
    <w:rsid w:val="005709C0"/>
    <w:rsid w:val="005712E5"/>
    <w:rsid w:val="00571455"/>
    <w:rsid w:val="00572404"/>
    <w:rsid w:val="00572567"/>
    <w:rsid w:val="00572B39"/>
    <w:rsid w:val="0057415F"/>
    <w:rsid w:val="0057478B"/>
    <w:rsid w:val="00574FAC"/>
    <w:rsid w:val="005753F1"/>
    <w:rsid w:val="005754FE"/>
    <w:rsid w:val="0057567D"/>
    <w:rsid w:val="00575BA3"/>
    <w:rsid w:val="00575C73"/>
    <w:rsid w:val="00575FB3"/>
    <w:rsid w:val="00576C8D"/>
    <w:rsid w:val="00577229"/>
    <w:rsid w:val="00577B0A"/>
    <w:rsid w:val="00577CAB"/>
    <w:rsid w:val="00580254"/>
    <w:rsid w:val="00580779"/>
    <w:rsid w:val="0058113B"/>
    <w:rsid w:val="005811A1"/>
    <w:rsid w:val="005811C8"/>
    <w:rsid w:val="00582003"/>
    <w:rsid w:val="005824DC"/>
    <w:rsid w:val="00582CBB"/>
    <w:rsid w:val="00582F1B"/>
    <w:rsid w:val="00582FCE"/>
    <w:rsid w:val="00584996"/>
    <w:rsid w:val="00584C88"/>
    <w:rsid w:val="00584F93"/>
    <w:rsid w:val="00585344"/>
    <w:rsid w:val="0058537E"/>
    <w:rsid w:val="005854E6"/>
    <w:rsid w:val="00585A41"/>
    <w:rsid w:val="00585CA8"/>
    <w:rsid w:val="00585E69"/>
    <w:rsid w:val="00586170"/>
    <w:rsid w:val="005863AF"/>
    <w:rsid w:val="005865F6"/>
    <w:rsid w:val="005867F4"/>
    <w:rsid w:val="00587283"/>
    <w:rsid w:val="005878C6"/>
    <w:rsid w:val="005879E3"/>
    <w:rsid w:val="00587DDC"/>
    <w:rsid w:val="00587E1B"/>
    <w:rsid w:val="0059000A"/>
    <w:rsid w:val="00590A08"/>
    <w:rsid w:val="005917C4"/>
    <w:rsid w:val="005918CD"/>
    <w:rsid w:val="00591EC0"/>
    <w:rsid w:val="00591F46"/>
    <w:rsid w:val="0059201E"/>
    <w:rsid w:val="00592826"/>
    <w:rsid w:val="00593F15"/>
    <w:rsid w:val="00594997"/>
    <w:rsid w:val="005951A7"/>
    <w:rsid w:val="0059575A"/>
    <w:rsid w:val="00595BBC"/>
    <w:rsid w:val="00595C09"/>
    <w:rsid w:val="00595C9D"/>
    <w:rsid w:val="00595D5D"/>
    <w:rsid w:val="0059661E"/>
    <w:rsid w:val="0059674F"/>
    <w:rsid w:val="00596A7A"/>
    <w:rsid w:val="005974AC"/>
    <w:rsid w:val="0059773E"/>
    <w:rsid w:val="00597C61"/>
    <w:rsid w:val="00597EAF"/>
    <w:rsid w:val="005A0388"/>
    <w:rsid w:val="005A0C4C"/>
    <w:rsid w:val="005A0D78"/>
    <w:rsid w:val="005A0F0D"/>
    <w:rsid w:val="005A0F79"/>
    <w:rsid w:val="005A1147"/>
    <w:rsid w:val="005A143F"/>
    <w:rsid w:val="005A1783"/>
    <w:rsid w:val="005A1A39"/>
    <w:rsid w:val="005A1BF5"/>
    <w:rsid w:val="005A1D41"/>
    <w:rsid w:val="005A2107"/>
    <w:rsid w:val="005A2F35"/>
    <w:rsid w:val="005A34CA"/>
    <w:rsid w:val="005A3A6F"/>
    <w:rsid w:val="005A3BD7"/>
    <w:rsid w:val="005A41F0"/>
    <w:rsid w:val="005A4654"/>
    <w:rsid w:val="005A4CC1"/>
    <w:rsid w:val="005A585D"/>
    <w:rsid w:val="005A58B9"/>
    <w:rsid w:val="005A5D00"/>
    <w:rsid w:val="005A5DAA"/>
    <w:rsid w:val="005A65F0"/>
    <w:rsid w:val="005A673C"/>
    <w:rsid w:val="005A6C72"/>
    <w:rsid w:val="005A6D42"/>
    <w:rsid w:val="005A7A13"/>
    <w:rsid w:val="005A7BE2"/>
    <w:rsid w:val="005B00CD"/>
    <w:rsid w:val="005B0161"/>
    <w:rsid w:val="005B0456"/>
    <w:rsid w:val="005B0FF8"/>
    <w:rsid w:val="005B193F"/>
    <w:rsid w:val="005B1951"/>
    <w:rsid w:val="005B1D3D"/>
    <w:rsid w:val="005B22D6"/>
    <w:rsid w:val="005B2550"/>
    <w:rsid w:val="005B28CF"/>
    <w:rsid w:val="005B29DD"/>
    <w:rsid w:val="005B3066"/>
    <w:rsid w:val="005B38CE"/>
    <w:rsid w:val="005B3F10"/>
    <w:rsid w:val="005B48E8"/>
    <w:rsid w:val="005B4C6F"/>
    <w:rsid w:val="005B4E97"/>
    <w:rsid w:val="005B6230"/>
    <w:rsid w:val="005B688D"/>
    <w:rsid w:val="005B6AA3"/>
    <w:rsid w:val="005B6C0E"/>
    <w:rsid w:val="005B6C1B"/>
    <w:rsid w:val="005B6FA1"/>
    <w:rsid w:val="005B6FAB"/>
    <w:rsid w:val="005B7479"/>
    <w:rsid w:val="005B7885"/>
    <w:rsid w:val="005B7F69"/>
    <w:rsid w:val="005C02F0"/>
    <w:rsid w:val="005C0A1C"/>
    <w:rsid w:val="005C0A62"/>
    <w:rsid w:val="005C1087"/>
    <w:rsid w:val="005C1831"/>
    <w:rsid w:val="005C18F7"/>
    <w:rsid w:val="005C1A00"/>
    <w:rsid w:val="005C2143"/>
    <w:rsid w:val="005C2189"/>
    <w:rsid w:val="005C2B6B"/>
    <w:rsid w:val="005C3083"/>
    <w:rsid w:val="005C33E9"/>
    <w:rsid w:val="005C3958"/>
    <w:rsid w:val="005C3B7D"/>
    <w:rsid w:val="005C3FC1"/>
    <w:rsid w:val="005C4109"/>
    <w:rsid w:val="005C4463"/>
    <w:rsid w:val="005C46F6"/>
    <w:rsid w:val="005C482B"/>
    <w:rsid w:val="005C4CCB"/>
    <w:rsid w:val="005C50E2"/>
    <w:rsid w:val="005C514F"/>
    <w:rsid w:val="005C5E6D"/>
    <w:rsid w:val="005C5ED6"/>
    <w:rsid w:val="005C61BF"/>
    <w:rsid w:val="005C64B4"/>
    <w:rsid w:val="005C6C7B"/>
    <w:rsid w:val="005C7109"/>
    <w:rsid w:val="005C71FE"/>
    <w:rsid w:val="005C7270"/>
    <w:rsid w:val="005C7C0C"/>
    <w:rsid w:val="005D01D4"/>
    <w:rsid w:val="005D034D"/>
    <w:rsid w:val="005D0563"/>
    <w:rsid w:val="005D07A3"/>
    <w:rsid w:val="005D0835"/>
    <w:rsid w:val="005D0971"/>
    <w:rsid w:val="005D0B7F"/>
    <w:rsid w:val="005D0ECA"/>
    <w:rsid w:val="005D1CCB"/>
    <w:rsid w:val="005D1DA0"/>
    <w:rsid w:val="005D205A"/>
    <w:rsid w:val="005D2468"/>
    <w:rsid w:val="005D34BC"/>
    <w:rsid w:val="005D3747"/>
    <w:rsid w:val="005D3B78"/>
    <w:rsid w:val="005D3BEE"/>
    <w:rsid w:val="005D4CF6"/>
    <w:rsid w:val="005D4F67"/>
    <w:rsid w:val="005D4F69"/>
    <w:rsid w:val="005D4FCC"/>
    <w:rsid w:val="005D54D7"/>
    <w:rsid w:val="005D55F3"/>
    <w:rsid w:val="005D5B05"/>
    <w:rsid w:val="005D5BD3"/>
    <w:rsid w:val="005D5D80"/>
    <w:rsid w:val="005D60EA"/>
    <w:rsid w:val="005D7389"/>
    <w:rsid w:val="005D744A"/>
    <w:rsid w:val="005D7BBA"/>
    <w:rsid w:val="005D7DD3"/>
    <w:rsid w:val="005E0510"/>
    <w:rsid w:val="005E0607"/>
    <w:rsid w:val="005E0FE6"/>
    <w:rsid w:val="005E11E7"/>
    <w:rsid w:val="005E1335"/>
    <w:rsid w:val="005E14FB"/>
    <w:rsid w:val="005E1639"/>
    <w:rsid w:val="005E2B3B"/>
    <w:rsid w:val="005E2CF8"/>
    <w:rsid w:val="005E2DC8"/>
    <w:rsid w:val="005E38DB"/>
    <w:rsid w:val="005E4013"/>
    <w:rsid w:val="005E4464"/>
    <w:rsid w:val="005E46E0"/>
    <w:rsid w:val="005E5791"/>
    <w:rsid w:val="005E6075"/>
    <w:rsid w:val="005E6244"/>
    <w:rsid w:val="005E64F6"/>
    <w:rsid w:val="005E663F"/>
    <w:rsid w:val="005E6A33"/>
    <w:rsid w:val="005E6A39"/>
    <w:rsid w:val="005E6B97"/>
    <w:rsid w:val="005E6E06"/>
    <w:rsid w:val="005E713B"/>
    <w:rsid w:val="005E740E"/>
    <w:rsid w:val="005E75BF"/>
    <w:rsid w:val="005E7634"/>
    <w:rsid w:val="005E7771"/>
    <w:rsid w:val="005E77BF"/>
    <w:rsid w:val="005E7EA4"/>
    <w:rsid w:val="005F15FC"/>
    <w:rsid w:val="005F1864"/>
    <w:rsid w:val="005F1BCA"/>
    <w:rsid w:val="005F2316"/>
    <w:rsid w:val="005F2683"/>
    <w:rsid w:val="005F27F7"/>
    <w:rsid w:val="005F2CCD"/>
    <w:rsid w:val="005F310C"/>
    <w:rsid w:val="005F3E6F"/>
    <w:rsid w:val="005F3EE3"/>
    <w:rsid w:val="005F45C9"/>
    <w:rsid w:val="005F4866"/>
    <w:rsid w:val="005F495C"/>
    <w:rsid w:val="005F569C"/>
    <w:rsid w:val="005F611D"/>
    <w:rsid w:val="005F619F"/>
    <w:rsid w:val="005F6455"/>
    <w:rsid w:val="005F6589"/>
    <w:rsid w:val="005F6E81"/>
    <w:rsid w:val="005F7079"/>
    <w:rsid w:val="005F7372"/>
    <w:rsid w:val="005F73F0"/>
    <w:rsid w:val="005F7400"/>
    <w:rsid w:val="005F7B0B"/>
    <w:rsid w:val="006012DA"/>
    <w:rsid w:val="00602984"/>
    <w:rsid w:val="00602C25"/>
    <w:rsid w:val="00603CC3"/>
    <w:rsid w:val="006044B1"/>
    <w:rsid w:val="0060474F"/>
    <w:rsid w:val="00604905"/>
    <w:rsid w:val="0060493B"/>
    <w:rsid w:val="00604AE6"/>
    <w:rsid w:val="006052F9"/>
    <w:rsid w:val="00605AC3"/>
    <w:rsid w:val="00605C5A"/>
    <w:rsid w:val="00605C67"/>
    <w:rsid w:val="00606883"/>
    <w:rsid w:val="0060698F"/>
    <w:rsid w:val="00607065"/>
    <w:rsid w:val="00607307"/>
    <w:rsid w:val="00607990"/>
    <w:rsid w:val="006100D7"/>
    <w:rsid w:val="00610173"/>
    <w:rsid w:val="00610216"/>
    <w:rsid w:val="006103B8"/>
    <w:rsid w:val="00610B52"/>
    <w:rsid w:val="00610E5F"/>
    <w:rsid w:val="0061139F"/>
    <w:rsid w:val="0061167D"/>
    <w:rsid w:val="00611E31"/>
    <w:rsid w:val="0061223F"/>
    <w:rsid w:val="006127A8"/>
    <w:rsid w:val="00612B1B"/>
    <w:rsid w:val="00612E5B"/>
    <w:rsid w:val="00613112"/>
    <w:rsid w:val="0061316F"/>
    <w:rsid w:val="006132D3"/>
    <w:rsid w:val="00614EC8"/>
    <w:rsid w:val="006151DD"/>
    <w:rsid w:val="006152B8"/>
    <w:rsid w:val="00615F0C"/>
    <w:rsid w:val="006160FC"/>
    <w:rsid w:val="0061638D"/>
    <w:rsid w:val="00616545"/>
    <w:rsid w:val="00617840"/>
    <w:rsid w:val="00617B7C"/>
    <w:rsid w:val="00617E14"/>
    <w:rsid w:val="006203A3"/>
    <w:rsid w:val="006204C2"/>
    <w:rsid w:val="00620592"/>
    <w:rsid w:val="00620C29"/>
    <w:rsid w:val="0062113D"/>
    <w:rsid w:val="006213BF"/>
    <w:rsid w:val="00621784"/>
    <w:rsid w:val="00621934"/>
    <w:rsid w:val="00621AF6"/>
    <w:rsid w:val="00622AE9"/>
    <w:rsid w:val="00622DB6"/>
    <w:rsid w:val="00622DFD"/>
    <w:rsid w:val="006230F2"/>
    <w:rsid w:val="006232AF"/>
    <w:rsid w:val="006234AC"/>
    <w:rsid w:val="00623B23"/>
    <w:rsid w:val="00623DED"/>
    <w:rsid w:val="0062422A"/>
    <w:rsid w:val="0062425C"/>
    <w:rsid w:val="0062513D"/>
    <w:rsid w:val="00625260"/>
    <w:rsid w:val="0062537B"/>
    <w:rsid w:val="00625AD8"/>
    <w:rsid w:val="00625E7F"/>
    <w:rsid w:val="00626236"/>
    <w:rsid w:val="006265C6"/>
    <w:rsid w:val="00626C06"/>
    <w:rsid w:val="006272DF"/>
    <w:rsid w:val="006301D7"/>
    <w:rsid w:val="006306EA"/>
    <w:rsid w:val="00631998"/>
    <w:rsid w:val="0063240A"/>
    <w:rsid w:val="00632518"/>
    <w:rsid w:val="00632DCE"/>
    <w:rsid w:val="00633AC5"/>
    <w:rsid w:val="00633C70"/>
    <w:rsid w:val="006344F6"/>
    <w:rsid w:val="0063477F"/>
    <w:rsid w:val="00635455"/>
    <w:rsid w:val="00635A82"/>
    <w:rsid w:val="00635A8B"/>
    <w:rsid w:val="00635F01"/>
    <w:rsid w:val="00635FC3"/>
    <w:rsid w:val="006369CD"/>
    <w:rsid w:val="00636D48"/>
    <w:rsid w:val="006371AB"/>
    <w:rsid w:val="00637918"/>
    <w:rsid w:val="00640C22"/>
    <w:rsid w:val="006417BE"/>
    <w:rsid w:val="00641AAF"/>
    <w:rsid w:val="0064201C"/>
    <w:rsid w:val="00642424"/>
    <w:rsid w:val="00643502"/>
    <w:rsid w:val="00644248"/>
    <w:rsid w:val="00644780"/>
    <w:rsid w:val="00644F36"/>
    <w:rsid w:val="00645389"/>
    <w:rsid w:val="00645F80"/>
    <w:rsid w:val="00646885"/>
    <w:rsid w:val="006468BB"/>
    <w:rsid w:val="00646A1F"/>
    <w:rsid w:val="00646E47"/>
    <w:rsid w:val="00646FC0"/>
    <w:rsid w:val="00647016"/>
    <w:rsid w:val="00647C0B"/>
    <w:rsid w:val="00647D87"/>
    <w:rsid w:val="0065140E"/>
    <w:rsid w:val="00651A0C"/>
    <w:rsid w:val="0065255E"/>
    <w:rsid w:val="0065275B"/>
    <w:rsid w:val="00652ADD"/>
    <w:rsid w:val="006530E7"/>
    <w:rsid w:val="00653236"/>
    <w:rsid w:val="006535AB"/>
    <w:rsid w:val="00653B82"/>
    <w:rsid w:val="00654CE0"/>
    <w:rsid w:val="00654D12"/>
    <w:rsid w:val="0065540A"/>
    <w:rsid w:val="0065589D"/>
    <w:rsid w:val="006559DA"/>
    <w:rsid w:val="006559DF"/>
    <w:rsid w:val="00655D37"/>
    <w:rsid w:val="00655D3E"/>
    <w:rsid w:val="0065710D"/>
    <w:rsid w:val="0065722A"/>
    <w:rsid w:val="0065738C"/>
    <w:rsid w:val="00657719"/>
    <w:rsid w:val="00657AC1"/>
    <w:rsid w:val="006600B1"/>
    <w:rsid w:val="0066099D"/>
    <w:rsid w:val="00660AC7"/>
    <w:rsid w:val="00661049"/>
    <w:rsid w:val="006612E5"/>
    <w:rsid w:val="00661616"/>
    <w:rsid w:val="00661B71"/>
    <w:rsid w:val="006624C2"/>
    <w:rsid w:val="00662C61"/>
    <w:rsid w:val="0066311D"/>
    <w:rsid w:val="00663A03"/>
    <w:rsid w:val="00663CB1"/>
    <w:rsid w:val="00663FA5"/>
    <w:rsid w:val="00664001"/>
    <w:rsid w:val="00665000"/>
    <w:rsid w:val="0066630A"/>
    <w:rsid w:val="00667159"/>
    <w:rsid w:val="0066767C"/>
    <w:rsid w:val="006677DF"/>
    <w:rsid w:val="0067046F"/>
    <w:rsid w:val="0067085E"/>
    <w:rsid w:val="00670926"/>
    <w:rsid w:val="0067098C"/>
    <w:rsid w:val="00671046"/>
    <w:rsid w:val="006711AC"/>
    <w:rsid w:val="006718AD"/>
    <w:rsid w:val="0067220D"/>
    <w:rsid w:val="00673BDF"/>
    <w:rsid w:val="00674383"/>
    <w:rsid w:val="00674A1A"/>
    <w:rsid w:val="00674CB0"/>
    <w:rsid w:val="00674E9E"/>
    <w:rsid w:val="00675054"/>
    <w:rsid w:val="00675154"/>
    <w:rsid w:val="00675286"/>
    <w:rsid w:val="006755A6"/>
    <w:rsid w:val="00675B03"/>
    <w:rsid w:val="00675CC8"/>
    <w:rsid w:val="00675E10"/>
    <w:rsid w:val="00676077"/>
    <w:rsid w:val="006760DA"/>
    <w:rsid w:val="00676401"/>
    <w:rsid w:val="00676BB5"/>
    <w:rsid w:val="00676C8C"/>
    <w:rsid w:val="00676D95"/>
    <w:rsid w:val="00676F0B"/>
    <w:rsid w:val="00676FB8"/>
    <w:rsid w:val="00677439"/>
    <w:rsid w:val="00677CA6"/>
    <w:rsid w:val="0068009D"/>
    <w:rsid w:val="00680454"/>
    <w:rsid w:val="006805F2"/>
    <w:rsid w:val="0068066F"/>
    <w:rsid w:val="0068076C"/>
    <w:rsid w:val="00680860"/>
    <w:rsid w:val="00680B76"/>
    <w:rsid w:val="00680CC3"/>
    <w:rsid w:val="006812BA"/>
    <w:rsid w:val="00681B76"/>
    <w:rsid w:val="006827AB"/>
    <w:rsid w:val="00682C14"/>
    <w:rsid w:val="00683693"/>
    <w:rsid w:val="00683E3B"/>
    <w:rsid w:val="00683FFC"/>
    <w:rsid w:val="0068513F"/>
    <w:rsid w:val="00685422"/>
    <w:rsid w:val="006859F8"/>
    <w:rsid w:val="00685C2C"/>
    <w:rsid w:val="00685F3E"/>
    <w:rsid w:val="0068654D"/>
    <w:rsid w:val="006865EC"/>
    <w:rsid w:val="006868D1"/>
    <w:rsid w:val="00686900"/>
    <w:rsid w:val="00686AB3"/>
    <w:rsid w:val="006870B6"/>
    <w:rsid w:val="0068741A"/>
    <w:rsid w:val="00687A16"/>
    <w:rsid w:val="0069019C"/>
    <w:rsid w:val="00691D74"/>
    <w:rsid w:val="00691DB1"/>
    <w:rsid w:val="006927BE"/>
    <w:rsid w:val="00692ECD"/>
    <w:rsid w:val="006930DC"/>
    <w:rsid w:val="006935DC"/>
    <w:rsid w:val="00694075"/>
    <w:rsid w:val="00695AB2"/>
    <w:rsid w:val="00695E06"/>
    <w:rsid w:val="00695E2F"/>
    <w:rsid w:val="00696024"/>
    <w:rsid w:val="0069640F"/>
    <w:rsid w:val="00696592"/>
    <w:rsid w:val="0069686B"/>
    <w:rsid w:val="0069789C"/>
    <w:rsid w:val="00697A54"/>
    <w:rsid w:val="00697E72"/>
    <w:rsid w:val="006A0C9B"/>
    <w:rsid w:val="006A143E"/>
    <w:rsid w:val="006A156D"/>
    <w:rsid w:val="006A22DA"/>
    <w:rsid w:val="006A2768"/>
    <w:rsid w:val="006A2851"/>
    <w:rsid w:val="006A3A49"/>
    <w:rsid w:val="006A3A5A"/>
    <w:rsid w:val="006A48AD"/>
    <w:rsid w:val="006A4C6A"/>
    <w:rsid w:val="006A53BE"/>
    <w:rsid w:val="006A5715"/>
    <w:rsid w:val="006A5A60"/>
    <w:rsid w:val="006A5D1B"/>
    <w:rsid w:val="006A5F88"/>
    <w:rsid w:val="006A66A0"/>
    <w:rsid w:val="006A675E"/>
    <w:rsid w:val="006A67EB"/>
    <w:rsid w:val="006A6912"/>
    <w:rsid w:val="006A69C6"/>
    <w:rsid w:val="006A6A89"/>
    <w:rsid w:val="006A74C0"/>
    <w:rsid w:val="006A7A8F"/>
    <w:rsid w:val="006A7F46"/>
    <w:rsid w:val="006B0694"/>
    <w:rsid w:val="006B14F3"/>
    <w:rsid w:val="006B1C37"/>
    <w:rsid w:val="006B1F7B"/>
    <w:rsid w:val="006B2A80"/>
    <w:rsid w:val="006B2C4F"/>
    <w:rsid w:val="006B34D4"/>
    <w:rsid w:val="006B39B1"/>
    <w:rsid w:val="006B42E4"/>
    <w:rsid w:val="006B4932"/>
    <w:rsid w:val="006B49F0"/>
    <w:rsid w:val="006B4C35"/>
    <w:rsid w:val="006B4D5A"/>
    <w:rsid w:val="006B4EAB"/>
    <w:rsid w:val="006B51FF"/>
    <w:rsid w:val="006B52BB"/>
    <w:rsid w:val="006B569C"/>
    <w:rsid w:val="006B61BD"/>
    <w:rsid w:val="006B62FF"/>
    <w:rsid w:val="006B6792"/>
    <w:rsid w:val="006B6CD8"/>
    <w:rsid w:val="006B76F3"/>
    <w:rsid w:val="006B79AB"/>
    <w:rsid w:val="006C03D8"/>
    <w:rsid w:val="006C3C34"/>
    <w:rsid w:val="006C4182"/>
    <w:rsid w:val="006C438F"/>
    <w:rsid w:val="006C52F9"/>
    <w:rsid w:val="006C6343"/>
    <w:rsid w:val="006C74DB"/>
    <w:rsid w:val="006C7882"/>
    <w:rsid w:val="006C7ACF"/>
    <w:rsid w:val="006C7D06"/>
    <w:rsid w:val="006C7D92"/>
    <w:rsid w:val="006D0503"/>
    <w:rsid w:val="006D071F"/>
    <w:rsid w:val="006D2E77"/>
    <w:rsid w:val="006D2FC4"/>
    <w:rsid w:val="006D3731"/>
    <w:rsid w:val="006D3FA0"/>
    <w:rsid w:val="006D4A94"/>
    <w:rsid w:val="006D4B9C"/>
    <w:rsid w:val="006D50C2"/>
    <w:rsid w:val="006D5B09"/>
    <w:rsid w:val="006D62AC"/>
    <w:rsid w:val="006D62C0"/>
    <w:rsid w:val="006D63C0"/>
    <w:rsid w:val="006D6587"/>
    <w:rsid w:val="006D728F"/>
    <w:rsid w:val="006D729A"/>
    <w:rsid w:val="006D7619"/>
    <w:rsid w:val="006E045E"/>
    <w:rsid w:val="006E09F7"/>
    <w:rsid w:val="006E1022"/>
    <w:rsid w:val="006E1D5A"/>
    <w:rsid w:val="006E2DB2"/>
    <w:rsid w:val="006E318D"/>
    <w:rsid w:val="006E321C"/>
    <w:rsid w:val="006E3777"/>
    <w:rsid w:val="006E39F2"/>
    <w:rsid w:val="006E3D06"/>
    <w:rsid w:val="006E4CC8"/>
    <w:rsid w:val="006E4D9F"/>
    <w:rsid w:val="006E574F"/>
    <w:rsid w:val="006E5BB4"/>
    <w:rsid w:val="006E5FBA"/>
    <w:rsid w:val="006E6276"/>
    <w:rsid w:val="006E6DC7"/>
    <w:rsid w:val="006E6DDD"/>
    <w:rsid w:val="006E6F36"/>
    <w:rsid w:val="006E7B77"/>
    <w:rsid w:val="006F0097"/>
    <w:rsid w:val="006F13A4"/>
    <w:rsid w:val="006F1B73"/>
    <w:rsid w:val="006F1F32"/>
    <w:rsid w:val="006F20CB"/>
    <w:rsid w:val="006F2886"/>
    <w:rsid w:val="006F31BE"/>
    <w:rsid w:val="006F3224"/>
    <w:rsid w:val="006F3802"/>
    <w:rsid w:val="006F3846"/>
    <w:rsid w:val="006F408A"/>
    <w:rsid w:val="006F41A1"/>
    <w:rsid w:val="006F42FE"/>
    <w:rsid w:val="006F430F"/>
    <w:rsid w:val="006F435F"/>
    <w:rsid w:val="006F44D0"/>
    <w:rsid w:val="006F4675"/>
    <w:rsid w:val="006F4CDB"/>
    <w:rsid w:val="006F4F5B"/>
    <w:rsid w:val="006F5284"/>
    <w:rsid w:val="006F5E3D"/>
    <w:rsid w:val="006F5F6A"/>
    <w:rsid w:val="006F613E"/>
    <w:rsid w:val="006F68A7"/>
    <w:rsid w:val="006F7367"/>
    <w:rsid w:val="006F7948"/>
    <w:rsid w:val="006F7BB2"/>
    <w:rsid w:val="006F7CED"/>
    <w:rsid w:val="0070090C"/>
    <w:rsid w:val="0070128F"/>
    <w:rsid w:val="0070147A"/>
    <w:rsid w:val="00701C44"/>
    <w:rsid w:val="0070274C"/>
    <w:rsid w:val="00702B3C"/>
    <w:rsid w:val="007035F9"/>
    <w:rsid w:val="00704A75"/>
    <w:rsid w:val="007050F6"/>
    <w:rsid w:val="007051E9"/>
    <w:rsid w:val="00705684"/>
    <w:rsid w:val="00705D58"/>
    <w:rsid w:val="00705DCA"/>
    <w:rsid w:val="0070673A"/>
    <w:rsid w:val="00706C90"/>
    <w:rsid w:val="00706D79"/>
    <w:rsid w:val="00706E44"/>
    <w:rsid w:val="0070704A"/>
    <w:rsid w:val="007070E1"/>
    <w:rsid w:val="00707555"/>
    <w:rsid w:val="00710204"/>
    <w:rsid w:val="00710827"/>
    <w:rsid w:val="00710A06"/>
    <w:rsid w:val="00710A66"/>
    <w:rsid w:val="00710C7E"/>
    <w:rsid w:val="00710DF1"/>
    <w:rsid w:val="00710ED2"/>
    <w:rsid w:val="00710F71"/>
    <w:rsid w:val="00711342"/>
    <w:rsid w:val="007121A8"/>
    <w:rsid w:val="00712443"/>
    <w:rsid w:val="00712F29"/>
    <w:rsid w:val="00713937"/>
    <w:rsid w:val="007139FF"/>
    <w:rsid w:val="00713A1D"/>
    <w:rsid w:val="00714B23"/>
    <w:rsid w:val="00714CF1"/>
    <w:rsid w:val="00714D03"/>
    <w:rsid w:val="00714E34"/>
    <w:rsid w:val="007155B7"/>
    <w:rsid w:val="00715D90"/>
    <w:rsid w:val="00716B34"/>
    <w:rsid w:val="00716CAF"/>
    <w:rsid w:val="00716DD2"/>
    <w:rsid w:val="00716EB9"/>
    <w:rsid w:val="00717577"/>
    <w:rsid w:val="00720C16"/>
    <w:rsid w:val="00720E4B"/>
    <w:rsid w:val="00721189"/>
    <w:rsid w:val="00721331"/>
    <w:rsid w:val="00721503"/>
    <w:rsid w:val="007225F9"/>
    <w:rsid w:val="00723278"/>
    <w:rsid w:val="00723D5C"/>
    <w:rsid w:val="00724630"/>
    <w:rsid w:val="00724965"/>
    <w:rsid w:val="00724D73"/>
    <w:rsid w:val="00725796"/>
    <w:rsid w:val="00726668"/>
    <w:rsid w:val="00726C95"/>
    <w:rsid w:val="007272C6"/>
    <w:rsid w:val="0073029E"/>
    <w:rsid w:val="007302C4"/>
    <w:rsid w:val="00730CD9"/>
    <w:rsid w:val="00731756"/>
    <w:rsid w:val="00732DBA"/>
    <w:rsid w:val="00732EB4"/>
    <w:rsid w:val="007335ED"/>
    <w:rsid w:val="007339EF"/>
    <w:rsid w:val="0073452B"/>
    <w:rsid w:val="00734D43"/>
    <w:rsid w:val="007354DE"/>
    <w:rsid w:val="00735986"/>
    <w:rsid w:val="007361C8"/>
    <w:rsid w:val="0073671F"/>
    <w:rsid w:val="0073798B"/>
    <w:rsid w:val="00737BAE"/>
    <w:rsid w:val="00740A48"/>
    <w:rsid w:val="00741105"/>
    <w:rsid w:val="0074146B"/>
    <w:rsid w:val="0074216D"/>
    <w:rsid w:val="00742577"/>
    <w:rsid w:val="00743354"/>
    <w:rsid w:val="00743C21"/>
    <w:rsid w:val="00743EE0"/>
    <w:rsid w:val="00743FEF"/>
    <w:rsid w:val="00744816"/>
    <w:rsid w:val="00744F88"/>
    <w:rsid w:val="00745F62"/>
    <w:rsid w:val="007469BC"/>
    <w:rsid w:val="00746AD1"/>
    <w:rsid w:val="0074724C"/>
    <w:rsid w:val="00747A80"/>
    <w:rsid w:val="00747AF4"/>
    <w:rsid w:val="00747C47"/>
    <w:rsid w:val="00747FFB"/>
    <w:rsid w:val="00751297"/>
    <w:rsid w:val="00751827"/>
    <w:rsid w:val="00751F3E"/>
    <w:rsid w:val="007521E3"/>
    <w:rsid w:val="00753367"/>
    <w:rsid w:val="00754407"/>
    <w:rsid w:val="00754766"/>
    <w:rsid w:val="00754FBE"/>
    <w:rsid w:val="00755127"/>
    <w:rsid w:val="007551E6"/>
    <w:rsid w:val="00755D22"/>
    <w:rsid w:val="00756278"/>
    <w:rsid w:val="00756641"/>
    <w:rsid w:val="00756D5C"/>
    <w:rsid w:val="00756D5E"/>
    <w:rsid w:val="0075754B"/>
    <w:rsid w:val="00757659"/>
    <w:rsid w:val="0075780A"/>
    <w:rsid w:val="00757C92"/>
    <w:rsid w:val="00760326"/>
    <w:rsid w:val="0076078F"/>
    <w:rsid w:val="00760CAA"/>
    <w:rsid w:val="00760F33"/>
    <w:rsid w:val="00760FD0"/>
    <w:rsid w:val="007614DA"/>
    <w:rsid w:val="00761831"/>
    <w:rsid w:val="00761A13"/>
    <w:rsid w:val="00761A76"/>
    <w:rsid w:val="00761C4C"/>
    <w:rsid w:val="0076226C"/>
    <w:rsid w:val="00762468"/>
    <w:rsid w:val="00762629"/>
    <w:rsid w:val="00762AED"/>
    <w:rsid w:val="00762BB3"/>
    <w:rsid w:val="00762E15"/>
    <w:rsid w:val="00762F4D"/>
    <w:rsid w:val="00763A6B"/>
    <w:rsid w:val="007643FB"/>
    <w:rsid w:val="00764D46"/>
    <w:rsid w:val="0076501F"/>
    <w:rsid w:val="007650ED"/>
    <w:rsid w:val="007653EC"/>
    <w:rsid w:val="007668AE"/>
    <w:rsid w:val="007673A7"/>
    <w:rsid w:val="00767A28"/>
    <w:rsid w:val="00767E02"/>
    <w:rsid w:val="00767F2D"/>
    <w:rsid w:val="00770E9A"/>
    <w:rsid w:val="00770F46"/>
    <w:rsid w:val="007715CB"/>
    <w:rsid w:val="0077167C"/>
    <w:rsid w:val="007722AA"/>
    <w:rsid w:val="00772470"/>
    <w:rsid w:val="00773027"/>
    <w:rsid w:val="007735B6"/>
    <w:rsid w:val="007736AF"/>
    <w:rsid w:val="00773D13"/>
    <w:rsid w:val="007744FB"/>
    <w:rsid w:val="00774847"/>
    <w:rsid w:val="00775388"/>
    <w:rsid w:val="00775814"/>
    <w:rsid w:val="007759F8"/>
    <w:rsid w:val="00775DA8"/>
    <w:rsid w:val="0077610F"/>
    <w:rsid w:val="00776253"/>
    <w:rsid w:val="00777382"/>
    <w:rsid w:val="007778B9"/>
    <w:rsid w:val="00777E6F"/>
    <w:rsid w:val="007802A2"/>
    <w:rsid w:val="007809C5"/>
    <w:rsid w:val="00780AE9"/>
    <w:rsid w:val="00780D7C"/>
    <w:rsid w:val="00781919"/>
    <w:rsid w:val="00782D34"/>
    <w:rsid w:val="00783758"/>
    <w:rsid w:val="00783C49"/>
    <w:rsid w:val="00784588"/>
    <w:rsid w:val="00785062"/>
    <w:rsid w:val="0078551E"/>
    <w:rsid w:val="00785684"/>
    <w:rsid w:val="00785A9B"/>
    <w:rsid w:val="00785D8A"/>
    <w:rsid w:val="0078649C"/>
    <w:rsid w:val="007864D6"/>
    <w:rsid w:val="0078663A"/>
    <w:rsid w:val="00787301"/>
    <w:rsid w:val="00787CDC"/>
    <w:rsid w:val="00791238"/>
    <w:rsid w:val="007917A7"/>
    <w:rsid w:val="00791C74"/>
    <w:rsid w:val="00791D1D"/>
    <w:rsid w:val="00792673"/>
    <w:rsid w:val="00792BB6"/>
    <w:rsid w:val="00792CEF"/>
    <w:rsid w:val="0079347F"/>
    <w:rsid w:val="00793608"/>
    <w:rsid w:val="00793642"/>
    <w:rsid w:val="007941C3"/>
    <w:rsid w:val="0079546C"/>
    <w:rsid w:val="00795E7C"/>
    <w:rsid w:val="00795FB9"/>
    <w:rsid w:val="007960F7"/>
    <w:rsid w:val="007961A8"/>
    <w:rsid w:val="007967EC"/>
    <w:rsid w:val="007969C4"/>
    <w:rsid w:val="00796A28"/>
    <w:rsid w:val="00797975"/>
    <w:rsid w:val="00797BD4"/>
    <w:rsid w:val="00797F64"/>
    <w:rsid w:val="007A0044"/>
    <w:rsid w:val="007A03C2"/>
    <w:rsid w:val="007A0D3B"/>
    <w:rsid w:val="007A0D9E"/>
    <w:rsid w:val="007A0EDF"/>
    <w:rsid w:val="007A1136"/>
    <w:rsid w:val="007A11C7"/>
    <w:rsid w:val="007A2155"/>
    <w:rsid w:val="007A24FF"/>
    <w:rsid w:val="007A26E9"/>
    <w:rsid w:val="007A30CC"/>
    <w:rsid w:val="007A319D"/>
    <w:rsid w:val="007A38BF"/>
    <w:rsid w:val="007A4166"/>
    <w:rsid w:val="007A43E5"/>
    <w:rsid w:val="007A4A94"/>
    <w:rsid w:val="007A5579"/>
    <w:rsid w:val="007A5CA3"/>
    <w:rsid w:val="007A63BA"/>
    <w:rsid w:val="007A67E0"/>
    <w:rsid w:val="007A6B44"/>
    <w:rsid w:val="007A6BA1"/>
    <w:rsid w:val="007A6D05"/>
    <w:rsid w:val="007A77C9"/>
    <w:rsid w:val="007A7A0C"/>
    <w:rsid w:val="007B1C55"/>
    <w:rsid w:val="007B1D0E"/>
    <w:rsid w:val="007B2108"/>
    <w:rsid w:val="007B2109"/>
    <w:rsid w:val="007B2523"/>
    <w:rsid w:val="007B2F8C"/>
    <w:rsid w:val="007B366D"/>
    <w:rsid w:val="007B3CDC"/>
    <w:rsid w:val="007B4811"/>
    <w:rsid w:val="007B5010"/>
    <w:rsid w:val="007B525A"/>
    <w:rsid w:val="007B5954"/>
    <w:rsid w:val="007B6AD9"/>
    <w:rsid w:val="007B7234"/>
    <w:rsid w:val="007B7423"/>
    <w:rsid w:val="007B7C5E"/>
    <w:rsid w:val="007B7EBC"/>
    <w:rsid w:val="007C0510"/>
    <w:rsid w:val="007C06F6"/>
    <w:rsid w:val="007C08B8"/>
    <w:rsid w:val="007C0A34"/>
    <w:rsid w:val="007C13D7"/>
    <w:rsid w:val="007C1530"/>
    <w:rsid w:val="007C251E"/>
    <w:rsid w:val="007C31E1"/>
    <w:rsid w:val="007C337C"/>
    <w:rsid w:val="007C365B"/>
    <w:rsid w:val="007C3871"/>
    <w:rsid w:val="007C39CA"/>
    <w:rsid w:val="007C3B02"/>
    <w:rsid w:val="007C410A"/>
    <w:rsid w:val="007C4AD5"/>
    <w:rsid w:val="007C515B"/>
    <w:rsid w:val="007C5591"/>
    <w:rsid w:val="007C5713"/>
    <w:rsid w:val="007C58F6"/>
    <w:rsid w:val="007C5D3F"/>
    <w:rsid w:val="007C6333"/>
    <w:rsid w:val="007C662A"/>
    <w:rsid w:val="007C6AE9"/>
    <w:rsid w:val="007C72AF"/>
    <w:rsid w:val="007C73B6"/>
    <w:rsid w:val="007C7672"/>
    <w:rsid w:val="007C79ED"/>
    <w:rsid w:val="007D03B6"/>
    <w:rsid w:val="007D0FCB"/>
    <w:rsid w:val="007D12B2"/>
    <w:rsid w:val="007D1ABD"/>
    <w:rsid w:val="007D1EC6"/>
    <w:rsid w:val="007D1FA4"/>
    <w:rsid w:val="007D2659"/>
    <w:rsid w:val="007D268E"/>
    <w:rsid w:val="007D3458"/>
    <w:rsid w:val="007D3C82"/>
    <w:rsid w:val="007D3FD1"/>
    <w:rsid w:val="007D4597"/>
    <w:rsid w:val="007D46C8"/>
    <w:rsid w:val="007D4BFF"/>
    <w:rsid w:val="007D59B2"/>
    <w:rsid w:val="007D6260"/>
    <w:rsid w:val="007D6A7A"/>
    <w:rsid w:val="007D6ADA"/>
    <w:rsid w:val="007D6B6F"/>
    <w:rsid w:val="007D705F"/>
    <w:rsid w:val="007D736B"/>
    <w:rsid w:val="007D7375"/>
    <w:rsid w:val="007D78BF"/>
    <w:rsid w:val="007E012D"/>
    <w:rsid w:val="007E044B"/>
    <w:rsid w:val="007E0943"/>
    <w:rsid w:val="007E12A2"/>
    <w:rsid w:val="007E21DC"/>
    <w:rsid w:val="007E2D39"/>
    <w:rsid w:val="007E3A83"/>
    <w:rsid w:val="007E3DF9"/>
    <w:rsid w:val="007E3F44"/>
    <w:rsid w:val="007E41BF"/>
    <w:rsid w:val="007E43EE"/>
    <w:rsid w:val="007E49B3"/>
    <w:rsid w:val="007E52DF"/>
    <w:rsid w:val="007E5520"/>
    <w:rsid w:val="007E5D00"/>
    <w:rsid w:val="007E5D3F"/>
    <w:rsid w:val="007E5D8A"/>
    <w:rsid w:val="007E6104"/>
    <w:rsid w:val="007E6474"/>
    <w:rsid w:val="007E6848"/>
    <w:rsid w:val="007E6AEA"/>
    <w:rsid w:val="007E6D74"/>
    <w:rsid w:val="007E7A02"/>
    <w:rsid w:val="007F0139"/>
    <w:rsid w:val="007F027F"/>
    <w:rsid w:val="007F1931"/>
    <w:rsid w:val="007F2B41"/>
    <w:rsid w:val="007F35B6"/>
    <w:rsid w:val="007F3D25"/>
    <w:rsid w:val="007F3EE6"/>
    <w:rsid w:val="007F41A4"/>
    <w:rsid w:val="007F5548"/>
    <w:rsid w:val="007F592E"/>
    <w:rsid w:val="007F5E08"/>
    <w:rsid w:val="007F60C0"/>
    <w:rsid w:val="007F6523"/>
    <w:rsid w:val="007F6BDB"/>
    <w:rsid w:val="007F6E08"/>
    <w:rsid w:val="007F7254"/>
    <w:rsid w:val="007F7395"/>
    <w:rsid w:val="007F754D"/>
    <w:rsid w:val="007F78D1"/>
    <w:rsid w:val="00800501"/>
    <w:rsid w:val="0080056A"/>
    <w:rsid w:val="008006C9"/>
    <w:rsid w:val="00800BE5"/>
    <w:rsid w:val="00800D1F"/>
    <w:rsid w:val="0080132E"/>
    <w:rsid w:val="008015AD"/>
    <w:rsid w:val="008017E5"/>
    <w:rsid w:val="008019C7"/>
    <w:rsid w:val="00801D33"/>
    <w:rsid w:val="008024D2"/>
    <w:rsid w:val="00802CAE"/>
    <w:rsid w:val="0080338F"/>
    <w:rsid w:val="0080349A"/>
    <w:rsid w:val="0080355B"/>
    <w:rsid w:val="00803754"/>
    <w:rsid w:val="00803B38"/>
    <w:rsid w:val="00803F97"/>
    <w:rsid w:val="008041EC"/>
    <w:rsid w:val="00804904"/>
    <w:rsid w:val="00804E91"/>
    <w:rsid w:val="0080509C"/>
    <w:rsid w:val="0080529D"/>
    <w:rsid w:val="00805710"/>
    <w:rsid w:val="00805B13"/>
    <w:rsid w:val="00805B4E"/>
    <w:rsid w:val="00805CB7"/>
    <w:rsid w:val="0080638F"/>
    <w:rsid w:val="008069F9"/>
    <w:rsid w:val="00806BC7"/>
    <w:rsid w:val="008071A6"/>
    <w:rsid w:val="0080734F"/>
    <w:rsid w:val="00807659"/>
    <w:rsid w:val="00807699"/>
    <w:rsid w:val="008077E6"/>
    <w:rsid w:val="00810138"/>
    <w:rsid w:val="00810423"/>
    <w:rsid w:val="00810957"/>
    <w:rsid w:val="00810D67"/>
    <w:rsid w:val="00810EB9"/>
    <w:rsid w:val="00811441"/>
    <w:rsid w:val="008115D9"/>
    <w:rsid w:val="008117C8"/>
    <w:rsid w:val="00811DA8"/>
    <w:rsid w:val="00812376"/>
    <w:rsid w:val="00812B40"/>
    <w:rsid w:val="00813A09"/>
    <w:rsid w:val="00813CBC"/>
    <w:rsid w:val="00813F62"/>
    <w:rsid w:val="008150D0"/>
    <w:rsid w:val="0081512C"/>
    <w:rsid w:val="00815645"/>
    <w:rsid w:val="00817C8B"/>
    <w:rsid w:val="00817D50"/>
    <w:rsid w:val="00817D5D"/>
    <w:rsid w:val="00820315"/>
    <w:rsid w:val="0082075C"/>
    <w:rsid w:val="00820974"/>
    <w:rsid w:val="00820BA6"/>
    <w:rsid w:val="00821839"/>
    <w:rsid w:val="00821A9A"/>
    <w:rsid w:val="00821C9C"/>
    <w:rsid w:val="00821D73"/>
    <w:rsid w:val="00821EC4"/>
    <w:rsid w:val="00822548"/>
    <w:rsid w:val="0082282E"/>
    <w:rsid w:val="00822AB5"/>
    <w:rsid w:val="00823D43"/>
    <w:rsid w:val="00824079"/>
    <w:rsid w:val="00824440"/>
    <w:rsid w:val="00824441"/>
    <w:rsid w:val="00824BBA"/>
    <w:rsid w:val="00824FA8"/>
    <w:rsid w:val="00825D72"/>
    <w:rsid w:val="0082625D"/>
    <w:rsid w:val="008267AC"/>
    <w:rsid w:val="0082713C"/>
    <w:rsid w:val="00827D67"/>
    <w:rsid w:val="00830855"/>
    <w:rsid w:val="0083138A"/>
    <w:rsid w:val="008314FF"/>
    <w:rsid w:val="0083168C"/>
    <w:rsid w:val="008327F7"/>
    <w:rsid w:val="00832BB4"/>
    <w:rsid w:val="008334C7"/>
    <w:rsid w:val="008344BB"/>
    <w:rsid w:val="00834D79"/>
    <w:rsid w:val="00835169"/>
    <w:rsid w:val="0083537D"/>
    <w:rsid w:val="00835665"/>
    <w:rsid w:val="00835A1C"/>
    <w:rsid w:val="00837964"/>
    <w:rsid w:val="00837E96"/>
    <w:rsid w:val="0084017F"/>
    <w:rsid w:val="00840382"/>
    <w:rsid w:val="00840462"/>
    <w:rsid w:val="0084051C"/>
    <w:rsid w:val="008408A6"/>
    <w:rsid w:val="00840955"/>
    <w:rsid w:val="008412B5"/>
    <w:rsid w:val="008417E7"/>
    <w:rsid w:val="008419CB"/>
    <w:rsid w:val="00841C8B"/>
    <w:rsid w:val="00841D55"/>
    <w:rsid w:val="00843139"/>
    <w:rsid w:val="00843622"/>
    <w:rsid w:val="008436EB"/>
    <w:rsid w:val="00843844"/>
    <w:rsid w:val="008439B2"/>
    <w:rsid w:val="00843A72"/>
    <w:rsid w:val="008442DC"/>
    <w:rsid w:val="008443F5"/>
    <w:rsid w:val="00844723"/>
    <w:rsid w:val="00844C3D"/>
    <w:rsid w:val="008454B6"/>
    <w:rsid w:val="00845641"/>
    <w:rsid w:val="0084595E"/>
    <w:rsid w:val="00845C27"/>
    <w:rsid w:val="00847689"/>
    <w:rsid w:val="00847992"/>
    <w:rsid w:val="008500AD"/>
    <w:rsid w:val="008500E2"/>
    <w:rsid w:val="00850318"/>
    <w:rsid w:val="008503EC"/>
    <w:rsid w:val="00850A80"/>
    <w:rsid w:val="00850D9F"/>
    <w:rsid w:val="0085184D"/>
    <w:rsid w:val="00851883"/>
    <w:rsid w:val="008518BB"/>
    <w:rsid w:val="008518EA"/>
    <w:rsid w:val="00851C9F"/>
    <w:rsid w:val="008520EB"/>
    <w:rsid w:val="00852252"/>
    <w:rsid w:val="0085259B"/>
    <w:rsid w:val="008528C6"/>
    <w:rsid w:val="00852D78"/>
    <w:rsid w:val="00852E07"/>
    <w:rsid w:val="00852E2A"/>
    <w:rsid w:val="0085303E"/>
    <w:rsid w:val="00853095"/>
    <w:rsid w:val="00853778"/>
    <w:rsid w:val="00853A17"/>
    <w:rsid w:val="00853C5A"/>
    <w:rsid w:val="00853CDC"/>
    <w:rsid w:val="00853EA1"/>
    <w:rsid w:val="00854D4A"/>
    <w:rsid w:val="0085520C"/>
    <w:rsid w:val="0085592E"/>
    <w:rsid w:val="0085600A"/>
    <w:rsid w:val="0085628D"/>
    <w:rsid w:val="008562A6"/>
    <w:rsid w:val="008572FE"/>
    <w:rsid w:val="00857509"/>
    <w:rsid w:val="00857AC1"/>
    <w:rsid w:val="00857DA7"/>
    <w:rsid w:val="008600AB"/>
    <w:rsid w:val="00860A0C"/>
    <w:rsid w:val="00861247"/>
    <w:rsid w:val="00861930"/>
    <w:rsid w:val="00861E2E"/>
    <w:rsid w:val="0086244B"/>
    <w:rsid w:val="008628E6"/>
    <w:rsid w:val="00863020"/>
    <w:rsid w:val="0086332D"/>
    <w:rsid w:val="008633C6"/>
    <w:rsid w:val="0086367A"/>
    <w:rsid w:val="00863B6B"/>
    <w:rsid w:val="00863CCE"/>
    <w:rsid w:val="00863F05"/>
    <w:rsid w:val="00863FAF"/>
    <w:rsid w:val="00864A42"/>
    <w:rsid w:val="00865C5B"/>
    <w:rsid w:val="0086601B"/>
    <w:rsid w:val="0086777E"/>
    <w:rsid w:val="008701B1"/>
    <w:rsid w:val="008702B5"/>
    <w:rsid w:val="008708A1"/>
    <w:rsid w:val="00870D49"/>
    <w:rsid w:val="00871265"/>
    <w:rsid w:val="008712E7"/>
    <w:rsid w:val="0087178E"/>
    <w:rsid w:val="00871C4C"/>
    <w:rsid w:val="00871D58"/>
    <w:rsid w:val="00871E48"/>
    <w:rsid w:val="008728D7"/>
    <w:rsid w:val="00872D68"/>
    <w:rsid w:val="00873376"/>
    <w:rsid w:val="008733AE"/>
    <w:rsid w:val="008735EB"/>
    <w:rsid w:val="00873EE8"/>
    <w:rsid w:val="00874AD7"/>
    <w:rsid w:val="00874D98"/>
    <w:rsid w:val="0087566D"/>
    <w:rsid w:val="00875F95"/>
    <w:rsid w:val="00876006"/>
    <w:rsid w:val="008762E6"/>
    <w:rsid w:val="008763F7"/>
    <w:rsid w:val="00876A88"/>
    <w:rsid w:val="008774B9"/>
    <w:rsid w:val="00877945"/>
    <w:rsid w:val="00877AFF"/>
    <w:rsid w:val="00877ECC"/>
    <w:rsid w:val="00877FA3"/>
    <w:rsid w:val="00880FD5"/>
    <w:rsid w:val="0088159E"/>
    <w:rsid w:val="00881AB3"/>
    <w:rsid w:val="00881D8D"/>
    <w:rsid w:val="00882722"/>
    <w:rsid w:val="00882EEF"/>
    <w:rsid w:val="00883598"/>
    <w:rsid w:val="008838D8"/>
    <w:rsid w:val="00883FBB"/>
    <w:rsid w:val="00884479"/>
    <w:rsid w:val="008844C7"/>
    <w:rsid w:val="008846C7"/>
    <w:rsid w:val="00885261"/>
    <w:rsid w:val="00885E4E"/>
    <w:rsid w:val="008862F9"/>
    <w:rsid w:val="008863B0"/>
    <w:rsid w:val="008865B8"/>
    <w:rsid w:val="008867DF"/>
    <w:rsid w:val="00887435"/>
    <w:rsid w:val="008875E8"/>
    <w:rsid w:val="00887DE0"/>
    <w:rsid w:val="0089050E"/>
    <w:rsid w:val="0089054A"/>
    <w:rsid w:val="008906C7"/>
    <w:rsid w:val="008918C0"/>
    <w:rsid w:val="00891F2C"/>
    <w:rsid w:val="008923A5"/>
    <w:rsid w:val="00892551"/>
    <w:rsid w:val="00892A5A"/>
    <w:rsid w:val="00892AF4"/>
    <w:rsid w:val="00892C8C"/>
    <w:rsid w:val="00893002"/>
    <w:rsid w:val="008931F7"/>
    <w:rsid w:val="0089328D"/>
    <w:rsid w:val="00893454"/>
    <w:rsid w:val="0089396F"/>
    <w:rsid w:val="00893CEB"/>
    <w:rsid w:val="00893D80"/>
    <w:rsid w:val="0089406C"/>
    <w:rsid w:val="00894382"/>
    <w:rsid w:val="00894CC7"/>
    <w:rsid w:val="008951C2"/>
    <w:rsid w:val="008954E7"/>
    <w:rsid w:val="00895803"/>
    <w:rsid w:val="00895E6E"/>
    <w:rsid w:val="00896066"/>
    <w:rsid w:val="00896277"/>
    <w:rsid w:val="008968BF"/>
    <w:rsid w:val="008968EE"/>
    <w:rsid w:val="00896E1D"/>
    <w:rsid w:val="00896E81"/>
    <w:rsid w:val="00896FFC"/>
    <w:rsid w:val="00897181"/>
    <w:rsid w:val="008971D5"/>
    <w:rsid w:val="00897763"/>
    <w:rsid w:val="00897BD0"/>
    <w:rsid w:val="008A00B7"/>
    <w:rsid w:val="008A024C"/>
    <w:rsid w:val="008A061B"/>
    <w:rsid w:val="008A0738"/>
    <w:rsid w:val="008A0B4E"/>
    <w:rsid w:val="008A0BB3"/>
    <w:rsid w:val="008A1364"/>
    <w:rsid w:val="008A183A"/>
    <w:rsid w:val="008A2198"/>
    <w:rsid w:val="008A25FF"/>
    <w:rsid w:val="008A3FBC"/>
    <w:rsid w:val="008A45B9"/>
    <w:rsid w:val="008A4680"/>
    <w:rsid w:val="008A5403"/>
    <w:rsid w:val="008A634D"/>
    <w:rsid w:val="008A6516"/>
    <w:rsid w:val="008A6D07"/>
    <w:rsid w:val="008A75E5"/>
    <w:rsid w:val="008B0A11"/>
    <w:rsid w:val="008B0A4D"/>
    <w:rsid w:val="008B12E3"/>
    <w:rsid w:val="008B2C9F"/>
    <w:rsid w:val="008B2E07"/>
    <w:rsid w:val="008B334B"/>
    <w:rsid w:val="008B346E"/>
    <w:rsid w:val="008B377A"/>
    <w:rsid w:val="008B3D15"/>
    <w:rsid w:val="008B42B0"/>
    <w:rsid w:val="008B4D08"/>
    <w:rsid w:val="008B4F1B"/>
    <w:rsid w:val="008B4F3A"/>
    <w:rsid w:val="008B4F53"/>
    <w:rsid w:val="008B5B0C"/>
    <w:rsid w:val="008B5B6C"/>
    <w:rsid w:val="008B5DB3"/>
    <w:rsid w:val="008B6780"/>
    <w:rsid w:val="008B6966"/>
    <w:rsid w:val="008B6FB1"/>
    <w:rsid w:val="008B704A"/>
    <w:rsid w:val="008B78E1"/>
    <w:rsid w:val="008B7F2A"/>
    <w:rsid w:val="008C046A"/>
    <w:rsid w:val="008C04B4"/>
    <w:rsid w:val="008C04CF"/>
    <w:rsid w:val="008C0596"/>
    <w:rsid w:val="008C1FDF"/>
    <w:rsid w:val="008C20D2"/>
    <w:rsid w:val="008C3A93"/>
    <w:rsid w:val="008C3FE9"/>
    <w:rsid w:val="008C4C25"/>
    <w:rsid w:val="008C4E20"/>
    <w:rsid w:val="008C5086"/>
    <w:rsid w:val="008C5A0D"/>
    <w:rsid w:val="008C6013"/>
    <w:rsid w:val="008C6142"/>
    <w:rsid w:val="008C6193"/>
    <w:rsid w:val="008C6D27"/>
    <w:rsid w:val="008C79F3"/>
    <w:rsid w:val="008C7EDC"/>
    <w:rsid w:val="008D069C"/>
    <w:rsid w:val="008D1162"/>
    <w:rsid w:val="008D161E"/>
    <w:rsid w:val="008D1910"/>
    <w:rsid w:val="008D1C50"/>
    <w:rsid w:val="008D1FE0"/>
    <w:rsid w:val="008D205D"/>
    <w:rsid w:val="008D2609"/>
    <w:rsid w:val="008D2C7D"/>
    <w:rsid w:val="008D3398"/>
    <w:rsid w:val="008D3E35"/>
    <w:rsid w:val="008D46CA"/>
    <w:rsid w:val="008D4897"/>
    <w:rsid w:val="008D4EE0"/>
    <w:rsid w:val="008D5054"/>
    <w:rsid w:val="008D5284"/>
    <w:rsid w:val="008D6804"/>
    <w:rsid w:val="008D6DA3"/>
    <w:rsid w:val="008D6FDF"/>
    <w:rsid w:val="008D7965"/>
    <w:rsid w:val="008D7E55"/>
    <w:rsid w:val="008E02C1"/>
    <w:rsid w:val="008E0455"/>
    <w:rsid w:val="008E0CC8"/>
    <w:rsid w:val="008E0D28"/>
    <w:rsid w:val="008E0FFB"/>
    <w:rsid w:val="008E171E"/>
    <w:rsid w:val="008E1E48"/>
    <w:rsid w:val="008E1EDC"/>
    <w:rsid w:val="008E1F99"/>
    <w:rsid w:val="008E2293"/>
    <w:rsid w:val="008E2859"/>
    <w:rsid w:val="008E2A1C"/>
    <w:rsid w:val="008E2ADB"/>
    <w:rsid w:val="008E2B0C"/>
    <w:rsid w:val="008E2C30"/>
    <w:rsid w:val="008E3044"/>
    <w:rsid w:val="008E346F"/>
    <w:rsid w:val="008E3C3A"/>
    <w:rsid w:val="008E5C13"/>
    <w:rsid w:val="008E5D1F"/>
    <w:rsid w:val="008E613A"/>
    <w:rsid w:val="008E6E4D"/>
    <w:rsid w:val="008E6EA2"/>
    <w:rsid w:val="008E700D"/>
    <w:rsid w:val="008E72BB"/>
    <w:rsid w:val="008E74A0"/>
    <w:rsid w:val="008F007A"/>
    <w:rsid w:val="008F02FA"/>
    <w:rsid w:val="008F0446"/>
    <w:rsid w:val="008F0A6A"/>
    <w:rsid w:val="008F1187"/>
    <w:rsid w:val="008F124F"/>
    <w:rsid w:val="008F1550"/>
    <w:rsid w:val="008F166C"/>
    <w:rsid w:val="008F218C"/>
    <w:rsid w:val="008F21E8"/>
    <w:rsid w:val="008F2904"/>
    <w:rsid w:val="008F2A28"/>
    <w:rsid w:val="008F2CC9"/>
    <w:rsid w:val="008F2CF8"/>
    <w:rsid w:val="008F2D77"/>
    <w:rsid w:val="008F31B2"/>
    <w:rsid w:val="008F358B"/>
    <w:rsid w:val="008F3B22"/>
    <w:rsid w:val="008F3F38"/>
    <w:rsid w:val="008F3F90"/>
    <w:rsid w:val="008F43A9"/>
    <w:rsid w:val="008F45EC"/>
    <w:rsid w:val="008F475D"/>
    <w:rsid w:val="008F54C8"/>
    <w:rsid w:val="008F5575"/>
    <w:rsid w:val="008F596C"/>
    <w:rsid w:val="008F5B16"/>
    <w:rsid w:val="008F5BCE"/>
    <w:rsid w:val="008F6F6E"/>
    <w:rsid w:val="008F7190"/>
    <w:rsid w:val="008F7469"/>
    <w:rsid w:val="008F76F8"/>
    <w:rsid w:val="0090042B"/>
    <w:rsid w:val="00900B31"/>
    <w:rsid w:val="00901B66"/>
    <w:rsid w:val="0090265B"/>
    <w:rsid w:val="0090279A"/>
    <w:rsid w:val="00902B28"/>
    <w:rsid w:val="009036A6"/>
    <w:rsid w:val="00903B35"/>
    <w:rsid w:val="00903B77"/>
    <w:rsid w:val="00904079"/>
    <w:rsid w:val="009040FC"/>
    <w:rsid w:val="00904480"/>
    <w:rsid w:val="009047C4"/>
    <w:rsid w:val="00904894"/>
    <w:rsid w:val="00904FE4"/>
    <w:rsid w:val="00904FF3"/>
    <w:rsid w:val="009059F7"/>
    <w:rsid w:val="00905B8F"/>
    <w:rsid w:val="00905D94"/>
    <w:rsid w:val="00906A80"/>
    <w:rsid w:val="00906F3B"/>
    <w:rsid w:val="009072B2"/>
    <w:rsid w:val="00907643"/>
    <w:rsid w:val="00907AED"/>
    <w:rsid w:val="00910241"/>
    <w:rsid w:val="00912380"/>
    <w:rsid w:val="00912EAE"/>
    <w:rsid w:val="009131FE"/>
    <w:rsid w:val="009134B4"/>
    <w:rsid w:val="00913694"/>
    <w:rsid w:val="00913804"/>
    <w:rsid w:val="009139D1"/>
    <w:rsid w:val="009140FD"/>
    <w:rsid w:val="00914AC2"/>
    <w:rsid w:val="00914F9C"/>
    <w:rsid w:val="00915373"/>
    <w:rsid w:val="009153D5"/>
    <w:rsid w:val="00915ECE"/>
    <w:rsid w:val="00916C92"/>
    <w:rsid w:val="00917506"/>
    <w:rsid w:val="00917AAB"/>
    <w:rsid w:val="00917E23"/>
    <w:rsid w:val="00920401"/>
    <w:rsid w:val="0092080B"/>
    <w:rsid w:val="00920930"/>
    <w:rsid w:val="00920B8F"/>
    <w:rsid w:val="00921DA7"/>
    <w:rsid w:val="00922E8F"/>
    <w:rsid w:val="00922F8E"/>
    <w:rsid w:val="00923571"/>
    <w:rsid w:val="00923A3D"/>
    <w:rsid w:val="0092433C"/>
    <w:rsid w:val="00924857"/>
    <w:rsid w:val="00924970"/>
    <w:rsid w:val="00924D94"/>
    <w:rsid w:val="00925F07"/>
    <w:rsid w:val="00926B74"/>
    <w:rsid w:val="00926E75"/>
    <w:rsid w:val="00927282"/>
    <w:rsid w:val="00927EA1"/>
    <w:rsid w:val="00930143"/>
    <w:rsid w:val="009301D9"/>
    <w:rsid w:val="00930A09"/>
    <w:rsid w:val="00930CA3"/>
    <w:rsid w:val="00930D44"/>
    <w:rsid w:val="00931838"/>
    <w:rsid w:val="0093197B"/>
    <w:rsid w:val="00931BAE"/>
    <w:rsid w:val="00931EE6"/>
    <w:rsid w:val="00931FA4"/>
    <w:rsid w:val="00932081"/>
    <w:rsid w:val="00932AE2"/>
    <w:rsid w:val="00932FAC"/>
    <w:rsid w:val="009337F8"/>
    <w:rsid w:val="00933DB0"/>
    <w:rsid w:val="009340FB"/>
    <w:rsid w:val="009358E0"/>
    <w:rsid w:val="00935AF2"/>
    <w:rsid w:val="00935C81"/>
    <w:rsid w:val="00936571"/>
    <w:rsid w:val="00936575"/>
    <w:rsid w:val="009366B5"/>
    <w:rsid w:val="00936701"/>
    <w:rsid w:val="00936F0A"/>
    <w:rsid w:val="00937420"/>
    <w:rsid w:val="00937437"/>
    <w:rsid w:val="0093759A"/>
    <w:rsid w:val="00937D52"/>
    <w:rsid w:val="0094026D"/>
    <w:rsid w:val="009403FB"/>
    <w:rsid w:val="00940D0E"/>
    <w:rsid w:val="009410F5"/>
    <w:rsid w:val="0094155B"/>
    <w:rsid w:val="009420C4"/>
    <w:rsid w:val="0094228B"/>
    <w:rsid w:val="00942696"/>
    <w:rsid w:val="00942733"/>
    <w:rsid w:val="00942C65"/>
    <w:rsid w:val="009438D1"/>
    <w:rsid w:val="00944475"/>
    <w:rsid w:val="00944955"/>
    <w:rsid w:val="00944EFB"/>
    <w:rsid w:val="0094575F"/>
    <w:rsid w:val="009457D5"/>
    <w:rsid w:val="0094595D"/>
    <w:rsid w:val="00945C64"/>
    <w:rsid w:val="00945DBC"/>
    <w:rsid w:val="009468C8"/>
    <w:rsid w:val="00946CDF"/>
    <w:rsid w:val="00947852"/>
    <w:rsid w:val="00947BC4"/>
    <w:rsid w:val="00947D90"/>
    <w:rsid w:val="00947F0E"/>
    <w:rsid w:val="0095016A"/>
    <w:rsid w:val="0095134E"/>
    <w:rsid w:val="00951B07"/>
    <w:rsid w:val="00951B6E"/>
    <w:rsid w:val="00952123"/>
    <w:rsid w:val="00952198"/>
    <w:rsid w:val="009521C1"/>
    <w:rsid w:val="00952A8C"/>
    <w:rsid w:val="009531CE"/>
    <w:rsid w:val="009532DE"/>
    <w:rsid w:val="00954410"/>
    <w:rsid w:val="0095484A"/>
    <w:rsid w:val="009548A7"/>
    <w:rsid w:val="00954F7E"/>
    <w:rsid w:val="00954FED"/>
    <w:rsid w:val="00955BC9"/>
    <w:rsid w:val="00956303"/>
    <w:rsid w:val="00957065"/>
    <w:rsid w:val="00957097"/>
    <w:rsid w:val="0095780C"/>
    <w:rsid w:val="009602E8"/>
    <w:rsid w:val="009603A5"/>
    <w:rsid w:val="00960490"/>
    <w:rsid w:val="00960D81"/>
    <w:rsid w:val="009610E7"/>
    <w:rsid w:val="0096112F"/>
    <w:rsid w:val="009611E8"/>
    <w:rsid w:val="00961998"/>
    <w:rsid w:val="00962A53"/>
    <w:rsid w:val="009634AF"/>
    <w:rsid w:val="009635CB"/>
    <w:rsid w:val="00963835"/>
    <w:rsid w:val="00964303"/>
    <w:rsid w:val="00965FB1"/>
    <w:rsid w:val="00966374"/>
    <w:rsid w:val="009665AD"/>
    <w:rsid w:val="009666EF"/>
    <w:rsid w:val="00967B1F"/>
    <w:rsid w:val="00970702"/>
    <w:rsid w:val="00970AE6"/>
    <w:rsid w:val="00970C61"/>
    <w:rsid w:val="00971565"/>
    <w:rsid w:val="00971FF7"/>
    <w:rsid w:val="00972750"/>
    <w:rsid w:val="00972FAD"/>
    <w:rsid w:val="00973037"/>
    <w:rsid w:val="009736A3"/>
    <w:rsid w:val="0097383F"/>
    <w:rsid w:val="009740C7"/>
    <w:rsid w:val="00974C62"/>
    <w:rsid w:val="00974D97"/>
    <w:rsid w:val="00975244"/>
    <w:rsid w:val="00975334"/>
    <w:rsid w:val="00975450"/>
    <w:rsid w:val="00975EE2"/>
    <w:rsid w:val="00976350"/>
    <w:rsid w:val="00977A23"/>
    <w:rsid w:val="00977CA2"/>
    <w:rsid w:val="00977DD0"/>
    <w:rsid w:val="00977E43"/>
    <w:rsid w:val="00980089"/>
    <w:rsid w:val="00980219"/>
    <w:rsid w:val="009803FF"/>
    <w:rsid w:val="00980C58"/>
    <w:rsid w:val="0098166E"/>
    <w:rsid w:val="00981AA0"/>
    <w:rsid w:val="00981B3B"/>
    <w:rsid w:val="00982214"/>
    <w:rsid w:val="009829EE"/>
    <w:rsid w:val="00983970"/>
    <w:rsid w:val="00983A44"/>
    <w:rsid w:val="00983E72"/>
    <w:rsid w:val="00983F51"/>
    <w:rsid w:val="00984180"/>
    <w:rsid w:val="009847EA"/>
    <w:rsid w:val="00985268"/>
    <w:rsid w:val="00985765"/>
    <w:rsid w:val="00985AAD"/>
    <w:rsid w:val="00986461"/>
    <w:rsid w:val="009865E2"/>
    <w:rsid w:val="009867DD"/>
    <w:rsid w:val="00986A87"/>
    <w:rsid w:val="00986B33"/>
    <w:rsid w:val="00987255"/>
    <w:rsid w:val="00987553"/>
    <w:rsid w:val="009875CC"/>
    <w:rsid w:val="009875D9"/>
    <w:rsid w:val="00987AD5"/>
    <w:rsid w:val="00987B5B"/>
    <w:rsid w:val="009902A9"/>
    <w:rsid w:val="00990872"/>
    <w:rsid w:val="00990C0B"/>
    <w:rsid w:val="00991AE5"/>
    <w:rsid w:val="00991DCF"/>
    <w:rsid w:val="009924A4"/>
    <w:rsid w:val="00992566"/>
    <w:rsid w:val="00992A3B"/>
    <w:rsid w:val="009931E5"/>
    <w:rsid w:val="00993B2E"/>
    <w:rsid w:val="00994057"/>
    <w:rsid w:val="0099419B"/>
    <w:rsid w:val="009944AA"/>
    <w:rsid w:val="00994E7C"/>
    <w:rsid w:val="009951F1"/>
    <w:rsid w:val="00995530"/>
    <w:rsid w:val="0099558D"/>
    <w:rsid w:val="00995BB0"/>
    <w:rsid w:val="0099629C"/>
    <w:rsid w:val="00996542"/>
    <w:rsid w:val="00996A4F"/>
    <w:rsid w:val="00996C83"/>
    <w:rsid w:val="00996E99"/>
    <w:rsid w:val="00996FC7"/>
    <w:rsid w:val="0099759D"/>
    <w:rsid w:val="00997635"/>
    <w:rsid w:val="009978ED"/>
    <w:rsid w:val="00997B8E"/>
    <w:rsid w:val="00997BDA"/>
    <w:rsid w:val="00997DCC"/>
    <w:rsid w:val="00997EB2"/>
    <w:rsid w:val="009A0360"/>
    <w:rsid w:val="009A0588"/>
    <w:rsid w:val="009A07A0"/>
    <w:rsid w:val="009A0D04"/>
    <w:rsid w:val="009A0E9E"/>
    <w:rsid w:val="009A11EB"/>
    <w:rsid w:val="009A1350"/>
    <w:rsid w:val="009A1535"/>
    <w:rsid w:val="009A1889"/>
    <w:rsid w:val="009A2406"/>
    <w:rsid w:val="009A2B0A"/>
    <w:rsid w:val="009A2D6B"/>
    <w:rsid w:val="009A3195"/>
    <w:rsid w:val="009A339B"/>
    <w:rsid w:val="009A4F9E"/>
    <w:rsid w:val="009A51C0"/>
    <w:rsid w:val="009A606A"/>
    <w:rsid w:val="009A6310"/>
    <w:rsid w:val="009A6A72"/>
    <w:rsid w:val="009A78D8"/>
    <w:rsid w:val="009A7F4A"/>
    <w:rsid w:val="009B0107"/>
    <w:rsid w:val="009B0430"/>
    <w:rsid w:val="009B0743"/>
    <w:rsid w:val="009B09D1"/>
    <w:rsid w:val="009B09FD"/>
    <w:rsid w:val="009B0A5D"/>
    <w:rsid w:val="009B0C1B"/>
    <w:rsid w:val="009B0CF3"/>
    <w:rsid w:val="009B11BD"/>
    <w:rsid w:val="009B18A3"/>
    <w:rsid w:val="009B1FB0"/>
    <w:rsid w:val="009B235A"/>
    <w:rsid w:val="009B25D8"/>
    <w:rsid w:val="009B2A9A"/>
    <w:rsid w:val="009B2D5A"/>
    <w:rsid w:val="009B30B3"/>
    <w:rsid w:val="009B38B6"/>
    <w:rsid w:val="009B4137"/>
    <w:rsid w:val="009B4494"/>
    <w:rsid w:val="009B4998"/>
    <w:rsid w:val="009B5456"/>
    <w:rsid w:val="009B5CB9"/>
    <w:rsid w:val="009B61A5"/>
    <w:rsid w:val="009B628C"/>
    <w:rsid w:val="009B6487"/>
    <w:rsid w:val="009B6B7C"/>
    <w:rsid w:val="009B7138"/>
    <w:rsid w:val="009B7231"/>
    <w:rsid w:val="009B7494"/>
    <w:rsid w:val="009B77FC"/>
    <w:rsid w:val="009B79E9"/>
    <w:rsid w:val="009B7A5C"/>
    <w:rsid w:val="009B7EB7"/>
    <w:rsid w:val="009C1614"/>
    <w:rsid w:val="009C16FD"/>
    <w:rsid w:val="009C1C5C"/>
    <w:rsid w:val="009C1E9A"/>
    <w:rsid w:val="009C2B90"/>
    <w:rsid w:val="009C3080"/>
    <w:rsid w:val="009C328C"/>
    <w:rsid w:val="009C394F"/>
    <w:rsid w:val="009C3A20"/>
    <w:rsid w:val="009C4763"/>
    <w:rsid w:val="009C47CC"/>
    <w:rsid w:val="009C4961"/>
    <w:rsid w:val="009C52B1"/>
    <w:rsid w:val="009C5B55"/>
    <w:rsid w:val="009C5BEF"/>
    <w:rsid w:val="009C6AF3"/>
    <w:rsid w:val="009C6D4D"/>
    <w:rsid w:val="009C7277"/>
    <w:rsid w:val="009C7949"/>
    <w:rsid w:val="009D0122"/>
    <w:rsid w:val="009D0D7F"/>
    <w:rsid w:val="009D0FD0"/>
    <w:rsid w:val="009D1613"/>
    <w:rsid w:val="009D1B9C"/>
    <w:rsid w:val="009D2683"/>
    <w:rsid w:val="009D31CB"/>
    <w:rsid w:val="009D3AE6"/>
    <w:rsid w:val="009D3D6D"/>
    <w:rsid w:val="009D4366"/>
    <w:rsid w:val="009D4520"/>
    <w:rsid w:val="009D478A"/>
    <w:rsid w:val="009D4B0D"/>
    <w:rsid w:val="009D4D63"/>
    <w:rsid w:val="009D514E"/>
    <w:rsid w:val="009D5E82"/>
    <w:rsid w:val="009D696B"/>
    <w:rsid w:val="009D6DB7"/>
    <w:rsid w:val="009D72CB"/>
    <w:rsid w:val="009D781E"/>
    <w:rsid w:val="009D79AA"/>
    <w:rsid w:val="009D7B72"/>
    <w:rsid w:val="009E0371"/>
    <w:rsid w:val="009E11F8"/>
    <w:rsid w:val="009E164C"/>
    <w:rsid w:val="009E17BD"/>
    <w:rsid w:val="009E18F6"/>
    <w:rsid w:val="009E22E2"/>
    <w:rsid w:val="009E2748"/>
    <w:rsid w:val="009E33DE"/>
    <w:rsid w:val="009E36EE"/>
    <w:rsid w:val="009E44FD"/>
    <w:rsid w:val="009E4B21"/>
    <w:rsid w:val="009E4D5F"/>
    <w:rsid w:val="009E548B"/>
    <w:rsid w:val="009E54A0"/>
    <w:rsid w:val="009E584E"/>
    <w:rsid w:val="009E631F"/>
    <w:rsid w:val="009E658F"/>
    <w:rsid w:val="009E66EA"/>
    <w:rsid w:val="009E68D0"/>
    <w:rsid w:val="009E690F"/>
    <w:rsid w:val="009E6E13"/>
    <w:rsid w:val="009E7E81"/>
    <w:rsid w:val="009F024C"/>
    <w:rsid w:val="009F0EFC"/>
    <w:rsid w:val="009F2CAD"/>
    <w:rsid w:val="009F347C"/>
    <w:rsid w:val="009F3750"/>
    <w:rsid w:val="009F379A"/>
    <w:rsid w:val="009F3B3A"/>
    <w:rsid w:val="009F3CE5"/>
    <w:rsid w:val="009F453D"/>
    <w:rsid w:val="009F4659"/>
    <w:rsid w:val="009F48CF"/>
    <w:rsid w:val="009F4AF2"/>
    <w:rsid w:val="009F507B"/>
    <w:rsid w:val="009F5290"/>
    <w:rsid w:val="009F5649"/>
    <w:rsid w:val="009F5989"/>
    <w:rsid w:val="009F5A15"/>
    <w:rsid w:val="009F5BE7"/>
    <w:rsid w:val="009F5F01"/>
    <w:rsid w:val="009F6176"/>
    <w:rsid w:val="009F647D"/>
    <w:rsid w:val="009F683B"/>
    <w:rsid w:val="009F6867"/>
    <w:rsid w:val="009F6A2E"/>
    <w:rsid w:val="009F7AEC"/>
    <w:rsid w:val="009F7CE7"/>
    <w:rsid w:val="00A00424"/>
    <w:rsid w:val="00A007CD"/>
    <w:rsid w:val="00A013FB"/>
    <w:rsid w:val="00A015F9"/>
    <w:rsid w:val="00A0167B"/>
    <w:rsid w:val="00A01E1C"/>
    <w:rsid w:val="00A01FEC"/>
    <w:rsid w:val="00A0293E"/>
    <w:rsid w:val="00A0294D"/>
    <w:rsid w:val="00A03174"/>
    <w:rsid w:val="00A03CED"/>
    <w:rsid w:val="00A03ECC"/>
    <w:rsid w:val="00A03FCE"/>
    <w:rsid w:val="00A045DB"/>
    <w:rsid w:val="00A05B8D"/>
    <w:rsid w:val="00A06202"/>
    <w:rsid w:val="00A06503"/>
    <w:rsid w:val="00A06C6F"/>
    <w:rsid w:val="00A06CDC"/>
    <w:rsid w:val="00A07D05"/>
    <w:rsid w:val="00A10085"/>
    <w:rsid w:val="00A10153"/>
    <w:rsid w:val="00A10175"/>
    <w:rsid w:val="00A102BB"/>
    <w:rsid w:val="00A1044C"/>
    <w:rsid w:val="00A104DE"/>
    <w:rsid w:val="00A10900"/>
    <w:rsid w:val="00A10A67"/>
    <w:rsid w:val="00A11087"/>
    <w:rsid w:val="00A1116F"/>
    <w:rsid w:val="00A11686"/>
    <w:rsid w:val="00A131F8"/>
    <w:rsid w:val="00A13533"/>
    <w:rsid w:val="00A13A62"/>
    <w:rsid w:val="00A1474E"/>
    <w:rsid w:val="00A149F6"/>
    <w:rsid w:val="00A14E0E"/>
    <w:rsid w:val="00A1524E"/>
    <w:rsid w:val="00A15388"/>
    <w:rsid w:val="00A15F56"/>
    <w:rsid w:val="00A16404"/>
    <w:rsid w:val="00A168C8"/>
    <w:rsid w:val="00A16E16"/>
    <w:rsid w:val="00A172DE"/>
    <w:rsid w:val="00A1746B"/>
    <w:rsid w:val="00A17F6F"/>
    <w:rsid w:val="00A20B96"/>
    <w:rsid w:val="00A210D8"/>
    <w:rsid w:val="00A21A4E"/>
    <w:rsid w:val="00A22660"/>
    <w:rsid w:val="00A22A86"/>
    <w:rsid w:val="00A23369"/>
    <w:rsid w:val="00A24123"/>
    <w:rsid w:val="00A24E1D"/>
    <w:rsid w:val="00A250F9"/>
    <w:rsid w:val="00A25B54"/>
    <w:rsid w:val="00A25DA6"/>
    <w:rsid w:val="00A25DCF"/>
    <w:rsid w:val="00A25F49"/>
    <w:rsid w:val="00A2673A"/>
    <w:rsid w:val="00A26889"/>
    <w:rsid w:val="00A2706F"/>
    <w:rsid w:val="00A270B2"/>
    <w:rsid w:val="00A271E3"/>
    <w:rsid w:val="00A27549"/>
    <w:rsid w:val="00A27CEE"/>
    <w:rsid w:val="00A27FE4"/>
    <w:rsid w:val="00A3046A"/>
    <w:rsid w:val="00A306D1"/>
    <w:rsid w:val="00A30AD4"/>
    <w:rsid w:val="00A30C1D"/>
    <w:rsid w:val="00A30ECB"/>
    <w:rsid w:val="00A31862"/>
    <w:rsid w:val="00A318F8"/>
    <w:rsid w:val="00A32A10"/>
    <w:rsid w:val="00A33CDE"/>
    <w:rsid w:val="00A3414F"/>
    <w:rsid w:val="00A352ED"/>
    <w:rsid w:val="00A35307"/>
    <w:rsid w:val="00A354D7"/>
    <w:rsid w:val="00A35952"/>
    <w:rsid w:val="00A35AC6"/>
    <w:rsid w:val="00A35B65"/>
    <w:rsid w:val="00A36299"/>
    <w:rsid w:val="00A36D4D"/>
    <w:rsid w:val="00A37661"/>
    <w:rsid w:val="00A37CDA"/>
    <w:rsid w:val="00A40034"/>
    <w:rsid w:val="00A404BE"/>
    <w:rsid w:val="00A4057C"/>
    <w:rsid w:val="00A406F7"/>
    <w:rsid w:val="00A40A75"/>
    <w:rsid w:val="00A40AD7"/>
    <w:rsid w:val="00A40DDC"/>
    <w:rsid w:val="00A411AC"/>
    <w:rsid w:val="00A41495"/>
    <w:rsid w:val="00A41B03"/>
    <w:rsid w:val="00A41DA1"/>
    <w:rsid w:val="00A4220F"/>
    <w:rsid w:val="00A42A70"/>
    <w:rsid w:val="00A42E7E"/>
    <w:rsid w:val="00A43057"/>
    <w:rsid w:val="00A4330D"/>
    <w:rsid w:val="00A436AF"/>
    <w:rsid w:val="00A43ABE"/>
    <w:rsid w:val="00A441FA"/>
    <w:rsid w:val="00A449D3"/>
    <w:rsid w:val="00A44B76"/>
    <w:rsid w:val="00A44E0E"/>
    <w:rsid w:val="00A4501E"/>
    <w:rsid w:val="00A4508B"/>
    <w:rsid w:val="00A45239"/>
    <w:rsid w:val="00A45500"/>
    <w:rsid w:val="00A457BB"/>
    <w:rsid w:val="00A459E6"/>
    <w:rsid w:val="00A45D04"/>
    <w:rsid w:val="00A45DBC"/>
    <w:rsid w:val="00A45DC6"/>
    <w:rsid w:val="00A45FA6"/>
    <w:rsid w:val="00A468F3"/>
    <w:rsid w:val="00A46BE3"/>
    <w:rsid w:val="00A47879"/>
    <w:rsid w:val="00A47A4B"/>
    <w:rsid w:val="00A47D17"/>
    <w:rsid w:val="00A507E7"/>
    <w:rsid w:val="00A50882"/>
    <w:rsid w:val="00A5195C"/>
    <w:rsid w:val="00A52AF5"/>
    <w:rsid w:val="00A52CAB"/>
    <w:rsid w:val="00A5390A"/>
    <w:rsid w:val="00A53992"/>
    <w:rsid w:val="00A53CB2"/>
    <w:rsid w:val="00A53DF2"/>
    <w:rsid w:val="00A54754"/>
    <w:rsid w:val="00A54E5F"/>
    <w:rsid w:val="00A560C3"/>
    <w:rsid w:val="00A562F5"/>
    <w:rsid w:val="00A56478"/>
    <w:rsid w:val="00A564AB"/>
    <w:rsid w:val="00A57B77"/>
    <w:rsid w:val="00A57BC8"/>
    <w:rsid w:val="00A60035"/>
    <w:rsid w:val="00A60FD2"/>
    <w:rsid w:val="00A6162D"/>
    <w:rsid w:val="00A61825"/>
    <w:rsid w:val="00A61BD6"/>
    <w:rsid w:val="00A62041"/>
    <w:rsid w:val="00A625AD"/>
    <w:rsid w:val="00A62AB5"/>
    <w:rsid w:val="00A63335"/>
    <w:rsid w:val="00A633B7"/>
    <w:rsid w:val="00A63641"/>
    <w:rsid w:val="00A63D17"/>
    <w:rsid w:val="00A64096"/>
    <w:rsid w:val="00A64B50"/>
    <w:rsid w:val="00A653A7"/>
    <w:rsid w:val="00A6552E"/>
    <w:rsid w:val="00A6557F"/>
    <w:rsid w:val="00A65A9A"/>
    <w:rsid w:val="00A65FA0"/>
    <w:rsid w:val="00A65FF4"/>
    <w:rsid w:val="00A662C9"/>
    <w:rsid w:val="00A66859"/>
    <w:rsid w:val="00A668FE"/>
    <w:rsid w:val="00A66E67"/>
    <w:rsid w:val="00A66EEE"/>
    <w:rsid w:val="00A671F5"/>
    <w:rsid w:val="00A6746E"/>
    <w:rsid w:val="00A67799"/>
    <w:rsid w:val="00A67E0F"/>
    <w:rsid w:val="00A703AC"/>
    <w:rsid w:val="00A704E3"/>
    <w:rsid w:val="00A709BD"/>
    <w:rsid w:val="00A70EFB"/>
    <w:rsid w:val="00A71123"/>
    <w:rsid w:val="00A7178A"/>
    <w:rsid w:val="00A71B40"/>
    <w:rsid w:val="00A72175"/>
    <w:rsid w:val="00A72240"/>
    <w:rsid w:val="00A723F0"/>
    <w:rsid w:val="00A7261B"/>
    <w:rsid w:val="00A726B9"/>
    <w:rsid w:val="00A727C7"/>
    <w:rsid w:val="00A73385"/>
    <w:rsid w:val="00A738C6"/>
    <w:rsid w:val="00A738D3"/>
    <w:rsid w:val="00A73C85"/>
    <w:rsid w:val="00A7478F"/>
    <w:rsid w:val="00A74F38"/>
    <w:rsid w:val="00A753A3"/>
    <w:rsid w:val="00A754E0"/>
    <w:rsid w:val="00A75A5F"/>
    <w:rsid w:val="00A76A40"/>
    <w:rsid w:val="00A77357"/>
    <w:rsid w:val="00A77692"/>
    <w:rsid w:val="00A80076"/>
    <w:rsid w:val="00A8028B"/>
    <w:rsid w:val="00A80495"/>
    <w:rsid w:val="00A8195B"/>
    <w:rsid w:val="00A81EED"/>
    <w:rsid w:val="00A81F15"/>
    <w:rsid w:val="00A821EE"/>
    <w:rsid w:val="00A824ED"/>
    <w:rsid w:val="00A826A1"/>
    <w:rsid w:val="00A82881"/>
    <w:rsid w:val="00A83D18"/>
    <w:rsid w:val="00A83DE7"/>
    <w:rsid w:val="00A83FC4"/>
    <w:rsid w:val="00A84016"/>
    <w:rsid w:val="00A844F2"/>
    <w:rsid w:val="00A857DD"/>
    <w:rsid w:val="00A8599B"/>
    <w:rsid w:val="00A85A26"/>
    <w:rsid w:val="00A8648E"/>
    <w:rsid w:val="00A864C0"/>
    <w:rsid w:val="00A87030"/>
    <w:rsid w:val="00A878E2"/>
    <w:rsid w:val="00A87AD4"/>
    <w:rsid w:val="00A87D8D"/>
    <w:rsid w:val="00A87EC9"/>
    <w:rsid w:val="00A902B3"/>
    <w:rsid w:val="00A90AF7"/>
    <w:rsid w:val="00A90CB3"/>
    <w:rsid w:val="00A90DD4"/>
    <w:rsid w:val="00A90ECC"/>
    <w:rsid w:val="00A91151"/>
    <w:rsid w:val="00A9134C"/>
    <w:rsid w:val="00A91DDE"/>
    <w:rsid w:val="00A92D1E"/>
    <w:rsid w:val="00A93183"/>
    <w:rsid w:val="00A93203"/>
    <w:rsid w:val="00A938A4"/>
    <w:rsid w:val="00A93999"/>
    <w:rsid w:val="00A94174"/>
    <w:rsid w:val="00A9527B"/>
    <w:rsid w:val="00A95884"/>
    <w:rsid w:val="00A95BE5"/>
    <w:rsid w:val="00A95E12"/>
    <w:rsid w:val="00A96264"/>
    <w:rsid w:val="00A9652F"/>
    <w:rsid w:val="00A9654C"/>
    <w:rsid w:val="00A968D4"/>
    <w:rsid w:val="00A96A31"/>
    <w:rsid w:val="00A97086"/>
    <w:rsid w:val="00A97576"/>
    <w:rsid w:val="00A97756"/>
    <w:rsid w:val="00A97E00"/>
    <w:rsid w:val="00AA0F64"/>
    <w:rsid w:val="00AA0FA7"/>
    <w:rsid w:val="00AA172A"/>
    <w:rsid w:val="00AA1989"/>
    <w:rsid w:val="00AA1B65"/>
    <w:rsid w:val="00AA2517"/>
    <w:rsid w:val="00AA2B10"/>
    <w:rsid w:val="00AA2B50"/>
    <w:rsid w:val="00AA2D59"/>
    <w:rsid w:val="00AA35DC"/>
    <w:rsid w:val="00AA3B4C"/>
    <w:rsid w:val="00AA3B4E"/>
    <w:rsid w:val="00AA3CFC"/>
    <w:rsid w:val="00AA3D26"/>
    <w:rsid w:val="00AA4188"/>
    <w:rsid w:val="00AA433D"/>
    <w:rsid w:val="00AA491B"/>
    <w:rsid w:val="00AA4E12"/>
    <w:rsid w:val="00AA5390"/>
    <w:rsid w:val="00AA53AF"/>
    <w:rsid w:val="00AA57E7"/>
    <w:rsid w:val="00AA5D37"/>
    <w:rsid w:val="00AA6AE4"/>
    <w:rsid w:val="00AA6E07"/>
    <w:rsid w:val="00AA74CA"/>
    <w:rsid w:val="00AA7F88"/>
    <w:rsid w:val="00AB02C3"/>
    <w:rsid w:val="00AB0782"/>
    <w:rsid w:val="00AB0E39"/>
    <w:rsid w:val="00AB18CC"/>
    <w:rsid w:val="00AB20B7"/>
    <w:rsid w:val="00AB244C"/>
    <w:rsid w:val="00AB278F"/>
    <w:rsid w:val="00AB2BD9"/>
    <w:rsid w:val="00AB3A21"/>
    <w:rsid w:val="00AB4669"/>
    <w:rsid w:val="00AB4A70"/>
    <w:rsid w:val="00AB4CE1"/>
    <w:rsid w:val="00AB540D"/>
    <w:rsid w:val="00AB540E"/>
    <w:rsid w:val="00AB5B5B"/>
    <w:rsid w:val="00AB5CFA"/>
    <w:rsid w:val="00AB5D10"/>
    <w:rsid w:val="00AB69FE"/>
    <w:rsid w:val="00AB6A6C"/>
    <w:rsid w:val="00AB6AFB"/>
    <w:rsid w:val="00AB6BF1"/>
    <w:rsid w:val="00AB6CD9"/>
    <w:rsid w:val="00AB6FDC"/>
    <w:rsid w:val="00AB702D"/>
    <w:rsid w:val="00AB7195"/>
    <w:rsid w:val="00AB7386"/>
    <w:rsid w:val="00AB7A5E"/>
    <w:rsid w:val="00AB7ABF"/>
    <w:rsid w:val="00AC00B9"/>
    <w:rsid w:val="00AC0C09"/>
    <w:rsid w:val="00AC1784"/>
    <w:rsid w:val="00AC18B5"/>
    <w:rsid w:val="00AC1A8A"/>
    <w:rsid w:val="00AC1F09"/>
    <w:rsid w:val="00AC2698"/>
    <w:rsid w:val="00AC3045"/>
    <w:rsid w:val="00AC31CF"/>
    <w:rsid w:val="00AC35F0"/>
    <w:rsid w:val="00AC43C6"/>
    <w:rsid w:val="00AC523E"/>
    <w:rsid w:val="00AC5828"/>
    <w:rsid w:val="00AC5C94"/>
    <w:rsid w:val="00AC61EC"/>
    <w:rsid w:val="00AC69B2"/>
    <w:rsid w:val="00AD06EB"/>
    <w:rsid w:val="00AD0F38"/>
    <w:rsid w:val="00AD116D"/>
    <w:rsid w:val="00AD1524"/>
    <w:rsid w:val="00AD19AA"/>
    <w:rsid w:val="00AD1BC7"/>
    <w:rsid w:val="00AD245B"/>
    <w:rsid w:val="00AD295F"/>
    <w:rsid w:val="00AD31CD"/>
    <w:rsid w:val="00AD3559"/>
    <w:rsid w:val="00AD3DB3"/>
    <w:rsid w:val="00AD4976"/>
    <w:rsid w:val="00AD49CA"/>
    <w:rsid w:val="00AD4AED"/>
    <w:rsid w:val="00AD4B9A"/>
    <w:rsid w:val="00AD4D52"/>
    <w:rsid w:val="00AD4E7B"/>
    <w:rsid w:val="00AD61C1"/>
    <w:rsid w:val="00AD63A0"/>
    <w:rsid w:val="00AD63E9"/>
    <w:rsid w:val="00AD6C03"/>
    <w:rsid w:val="00AD7103"/>
    <w:rsid w:val="00AD7677"/>
    <w:rsid w:val="00AD77E3"/>
    <w:rsid w:val="00AD7967"/>
    <w:rsid w:val="00AD7D25"/>
    <w:rsid w:val="00AE0112"/>
    <w:rsid w:val="00AE0B2A"/>
    <w:rsid w:val="00AE1CBE"/>
    <w:rsid w:val="00AE1E05"/>
    <w:rsid w:val="00AE1EDD"/>
    <w:rsid w:val="00AE2597"/>
    <w:rsid w:val="00AE2890"/>
    <w:rsid w:val="00AE3668"/>
    <w:rsid w:val="00AE3ABA"/>
    <w:rsid w:val="00AE3C0B"/>
    <w:rsid w:val="00AE4E07"/>
    <w:rsid w:val="00AE4F37"/>
    <w:rsid w:val="00AE5AEF"/>
    <w:rsid w:val="00AE5BE4"/>
    <w:rsid w:val="00AE60E6"/>
    <w:rsid w:val="00AE6441"/>
    <w:rsid w:val="00AE649D"/>
    <w:rsid w:val="00AE6630"/>
    <w:rsid w:val="00AE765F"/>
    <w:rsid w:val="00AE7A65"/>
    <w:rsid w:val="00AE7B1A"/>
    <w:rsid w:val="00AE7B56"/>
    <w:rsid w:val="00AF0A1F"/>
    <w:rsid w:val="00AF175F"/>
    <w:rsid w:val="00AF17E7"/>
    <w:rsid w:val="00AF1F5E"/>
    <w:rsid w:val="00AF2940"/>
    <w:rsid w:val="00AF2E3C"/>
    <w:rsid w:val="00AF3506"/>
    <w:rsid w:val="00AF3868"/>
    <w:rsid w:val="00AF3BA7"/>
    <w:rsid w:val="00AF3C9B"/>
    <w:rsid w:val="00AF3CF5"/>
    <w:rsid w:val="00AF404D"/>
    <w:rsid w:val="00AF4798"/>
    <w:rsid w:val="00AF4823"/>
    <w:rsid w:val="00AF49CE"/>
    <w:rsid w:val="00AF4C93"/>
    <w:rsid w:val="00AF52FB"/>
    <w:rsid w:val="00AF53B3"/>
    <w:rsid w:val="00AF5DA2"/>
    <w:rsid w:val="00AF5E27"/>
    <w:rsid w:val="00AF6FBE"/>
    <w:rsid w:val="00AF7044"/>
    <w:rsid w:val="00AF723D"/>
    <w:rsid w:val="00AF75DA"/>
    <w:rsid w:val="00AF7BB8"/>
    <w:rsid w:val="00B001DC"/>
    <w:rsid w:val="00B00606"/>
    <w:rsid w:val="00B00B0A"/>
    <w:rsid w:val="00B0125C"/>
    <w:rsid w:val="00B0131D"/>
    <w:rsid w:val="00B01494"/>
    <w:rsid w:val="00B023C9"/>
    <w:rsid w:val="00B0251E"/>
    <w:rsid w:val="00B026BD"/>
    <w:rsid w:val="00B027DE"/>
    <w:rsid w:val="00B02976"/>
    <w:rsid w:val="00B02CDF"/>
    <w:rsid w:val="00B02F25"/>
    <w:rsid w:val="00B03382"/>
    <w:rsid w:val="00B03835"/>
    <w:rsid w:val="00B03BA0"/>
    <w:rsid w:val="00B04F97"/>
    <w:rsid w:val="00B05DF9"/>
    <w:rsid w:val="00B05E7B"/>
    <w:rsid w:val="00B05FAF"/>
    <w:rsid w:val="00B06137"/>
    <w:rsid w:val="00B066D6"/>
    <w:rsid w:val="00B06D85"/>
    <w:rsid w:val="00B06F76"/>
    <w:rsid w:val="00B07025"/>
    <w:rsid w:val="00B07158"/>
    <w:rsid w:val="00B10B78"/>
    <w:rsid w:val="00B11644"/>
    <w:rsid w:val="00B11842"/>
    <w:rsid w:val="00B1238A"/>
    <w:rsid w:val="00B12939"/>
    <w:rsid w:val="00B12C56"/>
    <w:rsid w:val="00B13634"/>
    <w:rsid w:val="00B13CAB"/>
    <w:rsid w:val="00B13D48"/>
    <w:rsid w:val="00B13E4B"/>
    <w:rsid w:val="00B14446"/>
    <w:rsid w:val="00B14598"/>
    <w:rsid w:val="00B14BA5"/>
    <w:rsid w:val="00B14F62"/>
    <w:rsid w:val="00B14FD8"/>
    <w:rsid w:val="00B15011"/>
    <w:rsid w:val="00B15480"/>
    <w:rsid w:val="00B15535"/>
    <w:rsid w:val="00B1553C"/>
    <w:rsid w:val="00B15B6E"/>
    <w:rsid w:val="00B16555"/>
    <w:rsid w:val="00B16782"/>
    <w:rsid w:val="00B168A3"/>
    <w:rsid w:val="00B16E02"/>
    <w:rsid w:val="00B17A23"/>
    <w:rsid w:val="00B201E6"/>
    <w:rsid w:val="00B20222"/>
    <w:rsid w:val="00B20C53"/>
    <w:rsid w:val="00B21040"/>
    <w:rsid w:val="00B216B2"/>
    <w:rsid w:val="00B216D6"/>
    <w:rsid w:val="00B219E0"/>
    <w:rsid w:val="00B21AED"/>
    <w:rsid w:val="00B22102"/>
    <w:rsid w:val="00B22917"/>
    <w:rsid w:val="00B22B1D"/>
    <w:rsid w:val="00B233BE"/>
    <w:rsid w:val="00B23926"/>
    <w:rsid w:val="00B23F0F"/>
    <w:rsid w:val="00B2481F"/>
    <w:rsid w:val="00B248D6"/>
    <w:rsid w:val="00B24948"/>
    <w:rsid w:val="00B24FEF"/>
    <w:rsid w:val="00B2593E"/>
    <w:rsid w:val="00B25B92"/>
    <w:rsid w:val="00B26372"/>
    <w:rsid w:val="00B2695D"/>
    <w:rsid w:val="00B26AAE"/>
    <w:rsid w:val="00B26DC9"/>
    <w:rsid w:val="00B26FC3"/>
    <w:rsid w:val="00B272DE"/>
    <w:rsid w:val="00B30171"/>
    <w:rsid w:val="00B302E2"/>
    <w:rsid w:val="00B305B7"/>
    <w:rsid w:val="00B308CD"/>
    <w:rsid w:val="00B30956"/>
    <w:rsid w:val="00B3123A"/>
    <w:rsid w:val="00B31584"/>
    <w:rsid w:val="00B321D5"/>
    <w:rsid w:val="00B3237C"/>
    <w:rsid w:val="00B3291A"/>
    <w:rsid w:val="00B3328F"/>
    <w:rsid w:val="00B33B73"/>
    <w:rsid w:val="00B34549"/>
    <w:rsid w:val="00B3470E"/>
    <w:rsid w:val="00B35123"/>
    <w:rsid w:val="00B3549A"/>
    <w:rsid w:val="00B3560F"/>
    <w:rsid w:val="00B356CA"/>
    <w:rsid w:val="00B36060"/>
    <w:rsid w:val="00B3635C"/>
    <w:rsid w:val="00B36D15"/>
    <w:rsid w:val="00B372C2"/>
    <w:rsid w:val="00B37BD8"/>
    <w:rsid w:val="00B37F2D"/>
    <w:rsid w:val="00B37F77"/>
    <w:rsid w:val="00B4043C"/>
    <w:rsid w:val="00B4044E"/>
    <w:rsid w:val="00B4055C"/>
    <w:rsid w:val="00B409E9"/>
    <w:rsid w:val="00B40B15"/>
    <w:rsid w:val="00B40C85"/>
    <w:rsid w:val="00B40F29"/>
    <w:rsid w:val="00B418B0"/>
    <w:rsid w:val="00B420B4"/>
    <w:rsid w:val="00B42148"/>
    <w:rsid w:val="00B426F8"/>
    <w:rsid w:val="00B42A85"/>
    <w:rsid w:val="00B42D78"/>
    <w:rsid w:val="00B42FB1"/>
    <w:rsid w:val="00B4378E"/>
    <w:rsid w:val="00B43FF9"/>
    <w:rsid w:val="00B4441C"/>
    <w:rsid w:val="00B44AB1"/>
    <w:rsid w:val="00B44DF4"/>
    <w:rsid w:val="00B44F64"/>
    <w:rsid w:val="00B4569D"/>
    <w:rsid w:val="00B45B74"/>
    <w:rsid w:val="00B45EA2"/>
    <w:rsid w:val="00B4613E"/>
    <w:rsid w:val="00B464D0"/>
    <w:rsid w:val="00B46678"/>
    <w:rsid w:val="00B46AA2"/>
    <w:rsid w:val="00B46CE0"/>
    <w:rsid w:val="00B474AE"/>
    <w:rsid w:val="00B500FD"/>
    <w:rsid w:val="00B50423"/>
    <w:rsid w:val="00B5046D"/>
    <w:rsid w:val="00B505AF"/>
    <w:rsid w:val="00B50F82"/>
    <w:rsid w:val="00B5117C"/>
    <w:rsid w:val="00B51B1E"/>
    <w:rsid w:val="00B51F7D"/>
    <w:rsid w:val="00B52303"/>
    <w:rsid w:val="00B523ED"/>
    <w:rsid w:val="00B52B21"/>
    <w:rsid w:val="00B52D30"/>
    <w:rsid w:val="00B53EC7"/>
    <w:rsid w:val="00B542DD"/>
    <w:rsid w:val="00B54570"/>
    <w:rsid w:val="00B54966"/>
    <w:rsid w:val="00B54BA8"/>
    <w:rsid w:val="00B54C26"/>
    <w:rsid w:val="00B553DE"/>
    <w:rsid w:val="00B56DB4"/>
    <w:rsid w:val="00B57123"/>
    <w:rsid w:val="00B571ED"/>
    <w:rsid w:val="00B57459"/>
    <w:rsid w:val="00B57503"/>
    <w:rsid w:val="00B57782"/>
    <w:rsid w:val="00B57E5B"/>
    <w:rsid w:val="00B6017E"/>
    <w:rsid w:val="00B603EF"/>
    <w:rsid w:val="00B6079D"/>
    <w:rsid w:val="00B60DA4"/>
    <w:rsid w:val="00B61192"/>
    <w:rsid w:val="00B61591"/>
    <w:rsid w:val="00B61F82"/>
    <w:rsid w:val="00B62095"/>
    <w:rsid w:val="00B629FF"/>
    <w:rsid w:val="00B62D54"/>
    <w:rsid w:val="00B63455"/>
    <w:rsid w:val="00B6369C"/>
    <w:rsid w:val="00B641A4"/>
    <w:rsid w:val="00B645B8"/>
    <w:rsid w:val="00B649A1"/>
    <w:rsid w:val="00B6519A"/>
    <w:rsid w:val="00B6563F"/>
    <w:rsid w:val="00B65831"/>
    <w:rsid w:val="00B65EE3"/>
    <w:rsid w:val="00B664B5"/>
    <w:rsid w:val="00B6655C"/>
    <w:rsid w:val="00B66B76"/>
    <w:rsid w:val="00B66BA0"/>
    <w:rsid w:val="00B67588"/>
    <w:rsid w:val="00B676EA"/>
    <w:rsid w:val="00B7011D"/>
    <w:rsid w:val="00B70467"/>
    <w:rsid w:val="00B704FF"/>
    <w:rsid w:val="00B706B7"/>
    <w:rsid w:val="00B708F3"/>
    <w:rsid w:val="00B709D3"/>
    <w:rsid w:val="00B70BB1"/>
    <w:rsid w:val="00B70DB4"/>
    <w:rsid w:val="00B70E97"/>
    <w:rsid w:val="00B70FF7"/>
    <w:rsid w:val="00B715A2"/>
    <w:rsid w:val="00B7170E"/>
    <w:rsid w:val="00B718A8"/>
    <w:rsid w:val="00B72268"/>
    <w:rsid w:val="00B72769"/>
    <w:rsid w:val="00B72C0B"/>
    <w:rsid w:val="00B735F1"/>
    <w:rsid w:val="00B7442E"/>
    <w:rsid w:val="00B747B0"/>
    <w:rsid w:val="00B747DF"/>
    <w:rsid w:val="00B74D69"/>
    <w:rsid w:val="00B753BB"/>
    <w:rsid w:val="00B75EC0"/>
    <w:rsid w:val="00B75FB7"/>
    <w:rsid w:val="00B763D5"/>
    <w:rsid w:val="00B76BC8"/>
    <w:rsid w:val="00B76D85"/>
    <w:rsid w:val="00B770BB"/>
    <w:rsid w:val="00B7721B"/>
    <w:rsid w:val="00B77956"/>
    <w:rsid w:val="00B80566"/>
    <w:rsid w:val="00B80B69"/>
    <w:rsid w:val="00B814B2"/>
    <w:rsid w:val="00B8174C"/>
    <w:rsid w:val="00B81863"/>
    <w:rsid w:val="00B81C9C"/>
    <w:rsid w:val="00B81F88"/>
    <w:rsid w:val="00B81FBB"/>
    <w:rsid w:val="00B82465"/>
    <w:rsid w:val="00B8264B"/>
    <w:rsid w:val="00B828E0"/>
    <w:rsid w:val="00B82913"/>
    <w:rsid w:val="00B8308A"/>
    <w:rsid w:val="00B835CF"/>
    <w:rsid w:val="00B84AFE"/>
    <w:rsid w:val="00B85916"/>
    <w:rsid w:val="00B86B38"/>
    <w:rsid w:val="00B87237"/>
    <w:rsid w:val="00B8760E"/>
    <w:rsid w:val="00B878D2"/>
    <w:rsid w:val="00B87DE2"/>
    <w:rsid w:val="00B87F5F"/>
    <w:rsid w:val="00B90286"/>
    <w:rsid w:val="00B90454"/>
    <w:rsid w:val="00B90F96"/>
    <w:rsid w:val="00B91C40"/>
    <w:rsid w:val="00B92001"/>
    <w:rsid w:val="00B92339"/>
    <w:rsid w:val="00B9321C"/>
    <w:rsid w:val="00B93465"/>
    <w:rsid w:val="00B93988"/>
    <w:rsid w:val="00B93B86"/>
    <w:rsid w:val="00B93BAE"/>
    <w:rsid w:val="00B93FFF"/>
    <w:rsid w:val="00B95096"/>
    <w:rsid w:val="00B954A9"/>
    <w:rsid w:val="00B9569A"/>
    <w:rsid w:val="00B961CF"/>
    <w:rsid w:val="00B964EB"/>
    <w:rsid w:val="00B9669E"/>
    <w:rsid w:val="00B96963"/>
    <w:rsid w:val="00B96A88"/>
    <w:rsid w:val="00B96B9D"/>
    <w:rsid w:val="00B96ED3"/>
    <w:rsid w:val="00BA0367"/>
    <w:rsid w:val="00BA069E"/>
    <w:rsid w:val="00BA0D84"/>
    <w:rsid w:val="00BA1B9F"/>
    <w:rsid w:val="00BA1C38"/>
    <w:rsid w:val="00BA1E9E"/>
    <w:rsid w:val="00BA1FFB"/>
    <w:rsid w:val="00BA2331"/>
    <w:rsid w:val="00BA290E"/>
    <w:rsid w:val="00BA2A98"/>
    <w:rsid w:val="00BA2AF2"/>
    <w:rsid w:val="00BA38EF"/>
    <w:rsid w:val="00BA3F00"/>
    <w:rsid w:val="00BA4E97"/>
    <w:rsid w:val="00BA58F1"/>
    <w:rsid w:val="00BA5B3B"/>
    <w:rsid w:val="00BA5BB1"/>
    <w:rsid w:val="00BA62BE"/>
    <w:rsid w:val="00BA666E"/>
    <w:rsid w:val="00BA6D89"/>
    <w:rsid w:val="00BA6DF8"/>
    <w:rsid w:val="00BA6F68"/>
    <w:rsid w:val="00BB013C"/>
    <w:rsid w:val="00BB0F1B"/>
    <w:rsid w:val="00BB27FA"/>
    <w:rsid w:val="00BB3247"/>
    <w:rsid w:val="00BB3762"/>
    <w:rsid w:val="00BB453F"/>
    <w:rsid w:val="00BB4931"/>
    <w:rsid w:val="00BB4B55"/>
    <w:rsid w:val="00BB4D3F"/>
    <w:rsid w:val="00BB502F"/>
    <w:rsid w:val="00BB6A57"/>
    <w:rsid w:val="00BB6FF0"/>
    <w:rsid w:val="00BB75FA"/>
    <w:rsid w:val="00BB7815"/>
    <w:rsid w:val="00BC0115"/>
    <w:rsid w:val="00BC03C4"/>
    <w:rsid w:val="00BC0A13"/>
    <w:rsid w:val="00BC0FDC"/>
    <w:rsid w:val="00BC0FF3"/>
    <w:rsid w:val="00BC1665"/>
    <w:rsid w:val="00BC1E6A"/>
    <w:rsid w:val="00BC1FA5"/>
    <w:rsid w:val="00BC21F4"/>
    <w:rsid w:val="00BC2516"/>
    <w:rsid w:val="00BC2648"/>
    <w:rsid w:val="00BC32A0"/>
    <w:rsid w:val="00BC40E4"/>
    <w:rsid w:val="00BC4812"/>
    <w:rsid w:val="00BC4E3F"/>
    <w:rsid w:val="00BC51D8"/>
    <w:rsid w:val="00BC5DA7"/>
    <w:rsid w:val="00BC5ED2"/>
    <w:rsid w:val="00BC6570"/>
    <w:rsid w:val="00BC6805"/>
    <w:rsid w:val="00BC6C24"/>
    <w:rsid w:val="00BC7233"/>
    <w:rsid w:val="00BC7461"/>
    <w:rsid w:val="00BC75AF"/>
    <w:rsid w:val="00BC7914"/>
    <w:rsid w:val="00BD0287"/>
    <w:rsid w:val="00BD0907"/>
    <w:rsid w:val="00BD0BB8"/>
    <w:rsid w:val="00BD0D3A"/>
    <w:rsid w:val="00BD1D75"/>
    <w:rsid w:val="00BD1E79"/>
    <w:rsid w:val="00BD2364"/>
    <w:rsid w:val="00BD2393"/>
    <w:rsid w:val="00BD2AEF"/>
    <w:rsid w:val="00BD2ED1"/>
    <w:rsid w:val="00BD2F09"/>
    <w:rsid w:val="00BD3317"/>
    <w:rsid w:val="00BD3FA6"/>
    <w:rsid w:val="00BD4140"/>
    <w:rsid w:val="00BD49A7"/>
    <w:rsid w:val="00BD4EA9"/>
    <w:rsid w:val="00BD4F4C"/>
    <w:rsid w:val="00BD5256"/>
    <w:rsid w:val="00BD544B"/>
    <w:rsid w:val="00BD54D4"/>
    <w:rsid w:val="00BD57BB"/>
    <w:rsid w:val="00BD5EC4"/>
    <w:rsid w:val="00BD609A"/>
    <w:rsid w:val="00BD68B0"/>
    <w:rsid w:val="00BD69BD"/>
    <w:rsid w:val="00BD763F"/>
    <w:rsid w:val="00BD77EF"/>
    <w:rsid w:val="00BE00A8"/>
    <w:rsid w:val="00BE0698"/>
    <w:rsid w:val="00BE0A2C"/>
    <w:rsid w:val="00BE0BA4"/>
    <w:rsid w:val="00BE0F7D"/>
    <w:rsid w:val="00BE1C5E"/>
    <w:rsid w:val="00BE1E53"/>
    <w:rsid w:val="00BE2266"/>
    <w:rsid w:val="00BE237F"/>
    <w:rsid w:val="00BE2385"/>
    <w:rsid w:val="00BE246D"/>
    <w:rsid w:val="00BE2AFB"/>
    <w:rsid w:val="00BE340F"/>
    <w:rsid w:val="00BE34AF"/>
    <w:rsid w:val="00BE3583"/>
    <w:rsid w:val="00BE3656"/>
    <w:rsid w:val="00BE38EF"/>
    <w:rsid w:val="00BE42D9"/>
    <w:rsid w:val="00BE43B1"/>
    <w:rsid w:val="00BE44D1"/>
    <w:rsid w:val="00BE479B"/>
    <w:rsid w:val="00BE54C9"/>
    <w:rsid w:val="00BE5BCD"/>
    <w:rsid w:val="00BE6740"/>
    <w:rsid w:val="00BE7317"/>
    <w:rsid w:val="00BE73EA"/>
    <w:rsid w:val="00BE7784"/>
    <w:rsid w:val="00BE788A"/>
    <w:rsid w:val="00BE7D1D"/>
    <w:rsid w:val="00BE7F52"/>
    <w:rsid w:val="00BF06CD"/>
    <w:rsid w:val="00BF083B"/>
    <w:rsid w:val="00BF0A8D"/>
    <w:rsid w:val="00BF124B"/>
    <w:rsid w:val="00BF135F"/>
    <w:rsid w:val="00BF1480"/>
    <w:rsid w:val="00BF15AD"/>
    <w:rsid w:val="00BF1765"/>
    <w:rsid w:val="00BF17AA"/>
    <w:rsid w:val="00BF1890"/>
    <w:rsid w:val="00BF1993"/>
    <w:rsid w:val="00BF1A1C"/>
    <w:rsid w:val="00BF1E38"/>
    <w:rsid w:val="00BF1F61"/>
    <w:rsid w:val="00BF223A"/>
    <w:rsid w:val="00BF2C54"/>
    <w:rsid w:val="00BF2D5C"/>
    <w:rsid w:val="00BF3A55"/>
    <w:rsid w:val="00BF4166"/>
    <w:rsid w:val="00BF419B"/>
    <w:rsid w:val="00BF4303"/>
    <w:rsid w:val="00BF4590"/>
    <w:rsid w:val="00BF46D2"/>
    <w:rsid w:val="00BF5343"/>
    <w:rsid w:val="00BF557C"/>
    <w:rsid w:val="00BF566F"/>
    <w:rsid w:val="00BF5AD4"/>
    <w:rsid w:val="00BF6157"/>
    <w:rsid w:val="00BF7937"/>
    <w:rsid w:val="00BF7D4E"/>
    <w:rsid w:val="00BF7E75"/>
    <w:rsid w:val="00C005E6"/>
    <w:rsid w:val="00C00845"/>
    <w:rsid w:val="00C009C5"/>
    <w:rsid w:val="00C00DA5"/>
    <w:rsid w:val="00C01173"/>
    <w:rsid w:val="00C012C8"/>
    <w:rsid w:val="00C0149D"/>
    <w:rsid w:val="00C01D8F"/>
    <w:rsid w:val="00C0227A"/>
    <w:rsid w:val="00C0235D"/>
    <w:rsid w:val="00C0236C"/>
    <w:rsid w:val="00C0295E"/>
    <w:rsid w:val="00C0317C"/>
    <w:rsid w:val="00C0326C"/>
    <w:rsid w:val="00C036F2"/>
    <w:rsid w:val="00C03D04"/>
    <w:rsid w:val="00C03EF1"/>
    <w:rsid w:val="00C04DC9"/>
    <w:rsid w:val="00C053FB"/>
    <w:rsid w:val="00C05654"/>
    <w:rsid w:val="00C0578F"/>
    <w:rsid w:val="00C057D4"/>
    <w:rsid w:val="00C05B09"/>
    <w:rsid w:val="00C05CAC"/>
    <w:rsid w:val="00C06342"/>
    <w:rsid w:val="00C0635C"/>
    <w:rsid w:val="00C06418"/>
    <w:rsid w:val="00C06592"/>
    <w:rsid w:val="00C065B3"/>
    <w:rsid w:val="00C07297"/>
    <w:rsid w:val="00C07451"/>
    <w:rsid w:val="00C075D7"/>
    <w:rsid w:val="00C0777F"/>
    <w:rsid w:val="00C079AA"/>
    <w:rsid w:val="00C10207"/>
    <w:rsid w:val="00C1031B"/>
    <w:rsid w:val="00C11798"/>
    <w:rsid w:val="00C12565"/>
    <w:rsid w:val="00C13492"/>
    <w:rsid w:val="00C1362F"/>
    <w:rsid w:val="00C14337"/>
    <w:rsid w:val="00C14515"/>
    <w:rsid w:val="00C14859"/>
    <w:rsid w:val="00C14DB1"/>
    <w:rsid w:val="00C14EA6"/>
    <w:rsid w:val="00C153CA"/>
    <w:rsid w:val="00C153E7"/>
    <w:rsid w:val="00C15722"/>
    <w:rsid w:val="00C15A29"/>
    <w:rsid w:val="00C16558"/>
    <w:rsid w:val="00C16704"/>
    <w:rsid w:val="00C167A2"/>
    <w:rsid w:val="00C16908"/>
    <w:rsid w:val="00C16D9F"/>
    <w:rsid w:val="00C16E8C"/>
    <w:rsid w:val="00C174CE"/>
    <w:rsid w:val="00C1762E"/>
    <w:rsid w:val="00C2059C"/>
    <w:rsid w:val="00C20BCB"/>
    <w:rsid w:val="00C2178B"/>
    <w:rsid w:val="00C21B32"/>
    <w:rsid w:val="00C21F3B"/>
    <w:rsid w:val="00C224D3"/>
    <w:rsid w:val="00C226D7"/>
    <w:rsid w:val="00C226F5"/>
    <w:rsid w:val="00C23A02"/>
    <w:rsid w:val="00C23D8D"/>
    <w:rsid w:val="00C2406F"/>
    <w:rsid w:val="00C240AF"/>
    <w:rsid w:val="00C24556"/>
    <w:rsid w:val="00C245A0"/>
    <w:rsid w:val="00C24787"/>
    <w:rsid w:val="00C25242"/>
    <w:rsid w:val="00C25A82"/>
    <w:rsid w:val="00C260CF"/>
    <w:rsid w:val="00C260D3"/>
    <w:rsid w:val="00C2619D"/>
    <w:rsid w:val="00C26CE5"/>
    <w:rsid w:val="00C275BD"/>
    <w:rsid w:val="00C278B5"/>
    <w:rsid w:val="00C30279"/>
    <w:rsid w:val="00C306EB"/>
    <w:rsid w:val="00C3098B"/>
    <w:rsid w:val="00C30CE8"/>
    <w:rsid w:val="00C319D3"/>
    <w:rsid w:val="00C31BD4"/>
    <w:rsid w:val="00C32B0B"/>
    <w:rsid w:val="00C33025"/>
    <w:rsid w:val="00C33923"/>
    <w:rsid w:val="00C33BBE"/>
    <w:rsid w:val="00C33C6C"/>
    <w:rsid w:val="00C33E7F"/>
    <w:rsid w:val="00C34144"/>
    <w:rsid w:val="00C3447D"/>
    <w:rsid w:val="00C3464A"/>
    <w:rsid w:val="00C34897"/>
    <w:rsid w:val="00C34B4E"/>
    <w:rsid w:val="00C35469"/>
    <w:rsid w:val="00C36592"/>
    <w:rsid w:val="00C36751"/>
    <w:rsid w:val="00C372F0"/>
    <w:rsid w:val="00C37E02"/>
    <w:rsid w:val="00C402AF"/>
    <w:rsid w:val="00C40364"/>
    <w:rsid w:val="00C40D64"/>
    <w:rsid w:val="00C41ADE"/>
    <w:rsid w:val="00C41B87"/>
    <w:rsid w:val="00C422E3"/>
    <w:rsid w:val="00C427F9"/>
    <w:rsid w:val="00C42E7B"/>
    <w:rsid w:val="00C42EA5"/>
    <w:rsid w:val="00C42F6E"/>
    <w:rsid w:val="00C43032"/>
    <w:rsid w:val="00C435D6"/>
    <w:rsid w:val="00C438E8"/>
    <w:rsid w:val="00C43E7D"/>
    <w:rsid w:val="00C4458B"/>
    <w:rsid w:val="00C4493A"/>
    <w:rsid w:val="00C44E95"/>
    <w:rsid w:val="00C451FC"/>
    <w:rsid w:val="00C45CC1"/>
    <w:rsid w:val="00C45CEE"/>
    <w:rsid w:val="00C46AB3"/>
    <w:rsid w:val="00C46C5B"/>
    <w:rsid w:val="00C4753F"/>
    <w:rsid w:val="00C47A24"/>
    <w:rsid w:val="00C503AD"/>
    <w:rsid w:val="00C50CD9"/>
    <w:rsid w:val="00C50F2F"/>
    <w:rsid w:val="00C51523"/>
    <w:rsid w:val="00C51636"/>
    <w:rsid w:val="00C516AF"/>
    <w:rsid w:val="00C5177E"/>
    <w:rsid w:val="00C51EFC"/>
    <w:rsid w:val="00C5209B"/>
    <w:rsid w:val="00C521A4"/>
    <w:rsid w:val="00C52A51"/>
    <w:rsid w:val="00C52AC3"/>
    <w:rsid w:val="00C53BF7"/>
    <w:rsid w:val="00C53C65"/>
    <w:rsid w:val="00C53DA3"/>
    <w:rsid w:val="00C53E6A"/>
    <w:rsid w:val="00C54930"/>
    <w:rsid w:val="00C5496D"/>
    <w:rsid w:val="00C5506B"/>
    <w:rsid w:val="00C5558A"/>
    <w:rsid w:val="00C55B16"/>
    <w:rsid w:val="00C55EA2"/>
    <w:rsid w:val="00C56382"/>
    <w:rsid w:val="00C56878"/>
    <w:rsid w:val="00C5696C"/>
    <w:rsid w:val="00C5741A"/>
    <w:rsid w:val="00C57C79"/>
    <w:rsid w:val="00C57EC5"/>
    <w:rsid w:val="00C60327"/>
    <w:rsid w:val="00C6034A"/>
    <w:rsid w:val="00C60413"/>
    <w:rsid w:val="00C605F7"/>
    <w:rsid w:val="00C606F3"/>
    <w:rsid w:val="00C60909"/>
    <w:rsid w:val="00C6121B"/>
    <w:rsid w:val="00C614C7"/>
    <w:rsid w:val="00C617EB"/>
    <w:rsid w:val="00C62289"/>
    <w:rsid w:val="00C62AE0"/>
    <w:rsid w:val="00C630DE"/>
    <w:rsid w:val="00C63308"/>
    <w:rsid w:val="00C633B6"/>
    <w:rsid w:val="00C63638"/>
    <w:rsid w:val="00C64277"/>
    <w:rsid w:val="00C64282"/>
    <w:rsid w:val="00C64801"/>
    <w:rsid w:val="00C64F08"/>
    <w:rsid w:val="00C650F8"/>
    <w:rsid w:val="00C66532"/>
    <w:rsid w:val="00C66C96"/>
    <w:rsid w:val="00C7005E"/>
    <w:rsid w:val="00C706DE"/>
    <w:rsid w:val="00C70A1E"/>
    <w:rsid w:val="00C70EF5"/>
    <w:rsid w:val="00C71D29"/>
    <w:rsid w:val="00C721C3"/>
    <w:rsid w:val="00C72496"/>
    <w:rsid w:val="00C728A2"/>
    <w:rsid w:val="00C72A9A"/>
    <w:rsid w:val="00C72D10"/>
    <w:rsid w:val="00C730B9"/>
    <w:rsid w:val="00C7344D"/>
    <w:rsid w:val="00C73906"/>
    <w:rsid w:val="00C7437F"/>
    <w:rsid w:val="00C749F5"/>
    <w:rsid w:val="00C74E9D"/>
    <w:rsid w:val="00C7503D"/>
    <w:rsid w:val="00C75181"/>
    <w:rsid w:val="00C75743"/>
    <w:rsid w:val="00C7590E"/>
    <w:rsid w:val="00C76007"/>
    <w:rsid w:val="00C76253"/>
    <w:rsid w:val="00C76680"/>
    <w:rsid w:val="00C77115"/>
    <w:rsid w:val="00C802D0"/>
    <w:rsid w:val="00C80AF9"/>
    <w:rsid w:val="00C80CD3"/>
    <w:rsid w:val="00C813DB"/>
    <w:rsid w:val="00C8181F"/>
    <w:rsid w:val="00C81962"/>
    <w:rsid w:val="00C81BBF"/>
    <w:rsid w:val="00C81C7C"/>
    <w:rsid w:val="00C81CE0"/>
    <w:rsid w:val="00C82DE6"/>
    <w:rsid w:val="00C83983"/>
    <w:rsid w:val="00C839DC"/>
    <w:rsid w:val="00C83C6E"/>
    <w:rsid w:val="00C84249"/>
    <w:rsid w:val="00C84AE9"/>
    <w:rsid w:val="00C8516D"/>
    <w:rsid w:val="00C85BF1"/>
    <w:rsid w:val="00C8640B"/>
    <w:rsid w:val="00C86A61"/>
    <w:rsid w:val="00C86B44"/>
    <w:rsid w:val="00C873C0"/>
    <w:rsid w:val="00C87B50"/>
    <w:rsid w:val="00C87FEE"/>
    <w:rsid w:val="00C91AD0"/>
    <w:rsid w:val="00C920FC"/>
    <w:rsid w:val="00C92916"/>
    <w:rsid w:val="00C92D89"/>
    <w:rsid w:val="00C93223"/>
    <w:rsid w:val="00C9390F"/>
    <w:rsid w:val="00C94212"/>
    <w:rsid w:val="00C94403"/>
    <w:rsid w:val="00C94715"/>
    <w:rsid w:val="00C94A5A"/>
    <w:rsid w:val="00C94D0D"/>
    <w:rsid w:val="00C94E80"/>
    <w:rsid w:val="00C952E7"/>
    <w:rsid w:val="00C95326"/>
    <w:rsid w:val="00C954F5"/>
    <w:rsid w:val="00C96ADC"/>
    <w:rsid w:val="00C96CAD"/>
    <w:rsid w:val="00C96EE4"/>
    <w:rsid w:val="00C971D5"/>
    <w:rsid w:val="00CA0CC3"/>
    <w:rsid w:val="00CA0DA2"/>
    <w:rsid w:val="00CA11A6"/>
    <w:rsid w:val="00CA18EC"/>
    <w:rsid w:val="00CA284B"/>
    <w:rsid w:val="00CA2C9E"/>
    <w:rsid w:val="00CA2CA8"/>
    <w:rsid w:val="00CA2CC4"/>
    <w:rsid w:val="00CA2F8D"/>
    <w:rsid w:val="00CA37EF"/>
    <w:rsid w:val="00CA3857"/>
    <w:rsid w:val="00CA3D22"/>
    <w:rsid w:val="00CA4002"/>
    <w:rsid w:val="00CA43DB"/>
    <w:rsid w:val="00CA4536"/>
    <w:rsid w:val="00CA52CC"/>
    <w:rsid w:val="00CA5D23"/>
    <w:rsid w:val="00CA5DF5"/>
    <w:rsid w:val="00CA6313"/>
    <w:rsid w:val="00CA7D6A"/>
    <w:rsid w:val="00CA7DA5"/>
    <w:rsid w:val="00CA7F81"/>
    <w:rsid w:val="00CB02BE"/>
    <w:rsid w:val="00CB032F"/>
    <w:rsid w:val="00CB0F7B"/>
    <w:rsid w:val="00CB1D20"/>
    <w:rsid w:val="00CB1FEA"/>
    <w:rsid w:val="00CB2942"/>
    <w:rsid w:val="00CB2DB1"/>
    <w:rsid w:val="00CB2DE7"/>
    <w:rsid w:val="00CB3775"/>
    <w:rsid w:val="00CB3E24"/>
    <w:rsid w:val="00CB46C0"/>
    <w:rsid w:val="00CB51C3"/>
    <w:rsid w:val="00CB51C9"/>
    <w:rsid w:val="00CB5360"/>
    <w:rsid w:val="00CB610D"/>
    <w:rsid w:val="00CB623B"/>
    <w:rsid w:val="00CB627A"/>
    <w:rsid w:val="00CB657E"/>
    <w:rsid w:val="00CB6E43"/>
    <w:rsid w:val="00CB6F4A"/>
    <w:rsid w:val="00CB7443"/>
    <w:rsid w:val="00CB7B6B"/>
    <w:rsid w:val="00CB7B98"/>
    <w:rsid w:val="00CB7FD1"/>
    <w:rsid w:val="00CC0824"/>
    <w:rsid w:val="00CC0910"/>
    <w:rsid w:val="00CC0AD7"/>
    <w:rsid w:val="00CC10EA"/>
    <w:rsid w:val="00CC2140"/>
    <w:rsid w:val="00CC23C8"/>
    <w:rsid w:val="00CC26FD"/>
    <w:rsid w:val="00CC2857"/>
    <w:rsid w:val="00CC2E2C"/>
    <w:rsid w:val="00CC2F8E"/>
    <w:rsid w:val="00CC33D3"/>
    <w:rsid w:val="00CC4551"/>
    <w:rsid w:val="00CC45C6"/>
    <w:rsid w:val="00CC4C0B"/>
    <w:rsid w:val="00CC5235"/>
    <w:rsid w:val="00CC5501"/>
    <w:rsid w:val="00CC5560"/>
    <w:rsid w:val="00CC5A5D"/>
    <w:rsid w:val="00CC5EA0"/>
    <w:rsid w:val="00CC67C8"/>
    <w:rsid w:val="00CC6869"/>
    <w:rsid w:val="00CC69A4"/>
    <w:rsid w:val="00CC72E5"/>
    <w:rsid w:val="00CC7614"/>
    <w:rsid w:val="00CC793D"/>
    <w:rsid w:val="00CC7E2A"/>
    <w:rsid w:val="00CD02B4"/>
    <w:rsid w:val="00CD0315"/>
    <w:rsid w:val="00CD06ED"/>
    <w:rsid w:val="00CD096F"/>
    <w:rsid w:val="00CD0F73"/>
    <w:rsid w:val="00CD1058"/>
    <w:rsid w:val="00CD13D2"/>
    <w:rsid w:val="00CD159D"/>
    <w:rsid w:val="00CD1990"/>
    <w:rsid w:val="00CD255F"/>
    <w:rsid w:val="00CD27FC"/>
    <w:rsid w:val="00CD2E30"/>
    <w:rsid w:val="00CD3047"/>
    <w:rsid w:val="00CD30B4"/>
    <w:rsid w:val="00CD3740"/>
    <w:rsid w:val="00CD38C0"/>
    <w:rsid w:val="00CD3CB8"/>
    <w:rsid w:val="00CD410F"/>
    <w:rsid w:val="00CD4473"/>
    <w:rsid w:val="00CD4489"/>
    <w:rsid w:val="00CD4F25"/>
    <w:rsid w:val="00CD52A7"/>
    <w:rsid w:val="00CD5D28"/>
    <w:rsid w:val="00CD5EF1"/>
    <w:rsid w:val="00CD605A"/>
    <w:rsid w:val="00CD626A"/>
    <w:rsid w:val="00CD6667"/>
    <w:rsid w:val="00CD6A37"/>
    <w:rsid w:val="00CD728B"/>
    <w:rsid w:val="00CD7D23"/>
    <w:rsid w:val="00CD7E59"/>
    <w:rsid w:val="00CE0071"/>
    <w:rsid w:val="00CE0E83"/>
    <w:rsid w:val="00CE12FC"/>
    <w:rsid w:val="00CE1405"/>
    <w:rsid w:val="00CE1B4A"/>
    <w:rsid w:val="00CE1BF3"/>
    <w:rsid w:val="00CE1CE4"/>
    <w:rsid w:val="00CE1D80"/>
    <w:rsid w:val="00CE2744"/>
    <w:rsid w:val="00CE29C8"/>
    <w:rsid w:val="00CE29EB"/>
    <w:rsid w:val="00CE34BB"/>
    <w:rsid w:val="00CE38E4"/>
    <w:rsid w:val="00CE391F"/>
    <w:rsid w:val="00CE43B0"/>
    <w:rsid w:val="00CE4D8B"/>
    <w:rsid w:val="00CE57FE"/>
    <w:rsid w:val="00CE5822"/>
    <w:rsid w:val="00CE5EF2"/>
    <w:rsid w:val="00CE6458"/>
    <w:rsid w:val="00CE676A"/>
    <w:rsid w:val="00CE6ECE"/>
    <w:rsid w:val="00CE71CB"/>
    <w:rsid w:val="00CE7847"/>
    <w:rsid w:val="00CE79A9"/>
    <w:rsid w:val="00CE7A82"/>
    <w:rsid w:val="00CE7F8A"/>
    <w:rsid w:val="00CF0E6C"/>
    <w:rsid w:val="00CF0F83"/>
    <w:rsid w:val="00CF107E"/>
    <w:rsid w:val="00CF10BE"/>
    <w:rsid w:val="00CF112A"/>
    <w:rsid w:val="00CF1853"/>
    <w:rsid w:val="00CF20ED"/>
    <w:rsid w:val="00CF2257"/>
    <w:rsid w:val="00CF2A67"/>
    <w:rsid w:val="00CF2E64"/>
    <w:rsid w:val="00CF38F5"/>
    <w:rsid w:val="00CF3B4E"/>
    <w:rsid w:val="00CF3D53"/>
    <w:rsid w:val="00CF40DF"/>
    <w:rsid w:val="00CF424C"/>
    <w:rsid w:val="00CF43EC"/>
    <w:rsid w:val="00CF5D2F"/>
    <w:rsid w:val="00CF64D4"/>
    <w:rsid w:val="00CF6813"/>
    <w:rsid w:val="00CF6B64"/>
    <w:rsid w:val="00CF6DB8"/>
    <w:rsid w:val="00CF73A0"/>
    <w:rsid w:val="00CF773C"/>
    <w:rsid w:val="00CF7B32"/>
    <w:rsid w:val="00D006E6"/>
    <w:rsid w:val="00D00864"/>
    <w:rsid w:val="00D01042"/>
    <w:rsid w:val="00D0142A"/>
    <w:rsid w:val="00D01502"/>
    <w:rsid w:val="00D019E0"/>
    <w:rsid w:val="00D024D6"/>
    <w:rsid w:val="00D02694"/>
    <w:rsid w:val="00D02EF5"/>
    <w:rsid w:val="00D03196"/>
    <w:rsid w:val="00D033E4"/>
    <w:rsid w:val="00D03416"/>
    <w:rsid w:val="00D03872"/>
    <w:rsid w:val="00D05EE9"/>
    <w:rsid w:val="00D0691B"/>
    <w:rsid w:val="00D06AA5"/>
    <w:rsid w:val="00D06AC5"/>
    <w:rsid w:val="00D06D76"/>
    <w:rsid w:val="00D06DBD"/>
    <w:rsid w:val="00D07BFA"/>
    <w:rsid w:val="00D10128"/>
    <w:rsid w:val="00D10278"/>
    <w:rsid w:val="00D10584"/>
    <w:rsid w:val="00D10747"/>
    <w:rsid w:val="00D10956"/>
    <w:rsid w:val="00D10B22"/>
    <w:rsid w:val="00D11464"/>
    <w:rsid w:val="00D11493"/>
    <w:rsid w:val="00D116AF"/>
    <w:rsid w:val="00D11E0A"/>
    <w:rsid w:val="00D12295"/>
    <w:rsid w:val="00D12559"/>
    <w:rsid w:val="00D1277D"/>
    <w:rsid w:val="00D13144"/>
    <w:rsid w:val="00D14465"/>
    <w:rsid w:val="00D15273"/>
    <w:rsid w:val="00D15E42"/>
    <w:rsid w:val="00D16156"/>
    <w:rsid w:val="00D16B9A"/>
    <w:rsid w:val="00D173F4"/>
    <w:rsid w:val="00D17BF9"/>
    <w:rsid w:val="00D17D57"/>
    <w:rsid w:val="00D17F3B"/>
    <w:rsid w:val="00D17F98"/>
    <w:rsid w:val="00D20001"/>
    <w:rsid w:val="00D202E7"/>
    <w:rsid w:val="00D20821"/>
    <w:rsid w:val="00D2136C"/>
    <w:rsid w:val="00D217AB"/>
    <w:rsid w:val="00D21843"/>
    <w:rsid w:val="00D22F6A"/>
    <w:rsid w:val="00D23531"/>
    <w:rsid w:val="00D23838"/>
    <w:rsid w:val="00D23BB5"/>
    <w:rsid w:val="00D23EA9"/>
    <w:rsid w:val="00D24772"/>
    <w:rsid w:val="00D248C7"/>
    <w:rsid w:val="00D248DE"/>
    <w:rsid w:val="00D251C9"/>
    <w:rsid w:val="00D252F3"/>
    <w:rsid w:val="00D2562A"/>
    <w:rsid w:val="00D25CE6"/>
    <w:rsid w:val="00D25CFF"/>
    <w:rsid w:val="00D25DA8"/>
    <w:rsid w:val="00D26044"/>
    <w:rsid w:val="00D2623B"/>
    <w:rsid w:val="00D2722B"/>
    <w:rsid w:val="00D27310"/>
    <w:rsid w:val="00D27431"/>
    <w:rsid w:val="00D300E8"/>
    <w:rsid w:val="00D30533"/>
    <w:rsid w:val="00D3075F"/>
    <w:rsid w:val="00D3099A"/>
    <w:rsid w:val="00D30CA0"/>
    <w:rsid w:val="00D3121C"/>
    <w:rsid w:val="00D3123B"/>
    <w:rsid w:val="00D318D3"/>
    <w:rsid w:val="00D31C3E"/>
    <w:rsid w:val="00D332B6"/>
    <w:rsid w:val="00D333AD"/>
    <w:rsid w:val="00D33C36"/>
    <w:rsid w:val="00D33D4B"/>
    <w:rsid w:val="00D33E13"/>
    <w:rsid w:val="00D34420"/>
    <w:rsid w:val="00D34C41"/>
    <w:rsid w:val="00D35569"/>
    <w:rsid w:val="00D360FA"/>
    <w:rsid w:val="00D366DF"/>
    <w:rsid w:val="00D36F4F"/>
    <w:rsid w:val="00D37ABA"/>
    <w:rsid w:val="00D40117"/>
    <w:rsid w:val="00D401EA"/>
    <w:rsid w:val="00D40318"/>
    <w:rsid w:val="00D40624"/>
    <w:rsid w:val="00D408F0"/>
    <w:rsid w:val="00D41543"/>
    <w:rsid w:val="00D419DF"/>
    <w:rsid w:val="00D41AF3"/>
    <w:rsid w:val="00D42014"/>
    <w:rsid w:val="00D4263B"/>
    <w:rsid w:val="00D42B80"/>
    <w:rsid w:val="00D453EE"/>
    <w:rsid w:val="00D4569B"/>
    <w:rsid w:val="00D457BC"/>
    <w:rsid w:val="00D45DAC"/>
    <w:rsid w:val="00D4612F"/>
    <w:rsid w:val="00D462B3"/>
    <w:rsid w:val="00D462DA"/>
    <w:rsid w:val="00D46C16"/>
    <w:rsid w:val="00D47097"/>
    <w:rsid w:val="00D4723D"/>
    <w:rsid w:val="00D47359"/>
    <w:rsid w:val="00D47566"/>
    <w:rsid w:val="00D47612"/>
    <w:rsid w:val="00D505C5"/>
    <w:rsid w:val="00D50734"/>
    <w:rsid w:val="00D50B17"/>
    <w:rsid w:val="00D50F8F"/>
    <w:rsid w:val="00D5136B"/>
    <w:rsid w:val="00D5165B"/>
    <w:rsid w:val="00D517BD"/>
    <w:rsid w:val="00D523B1"/>
    <w:rsid w:val="00D523CA"/>
    <w:rsid w:val="00D531F0"/>
    <w:rsid w:val="00D532EC"/>
    <w:rsid w:val="00D54605"/>
    <w:rsid w:val="00D5465E"/>
    <w:rsid w:val="00D54E9D"/>
    <w:rsid w:val="00D553EE"/>
    <w:rsid w:val="00D55527"/>
    <w:rsid w:val="00D5556E"/>
    <w:rsid w:val="00D55AB9"/>
    <w:rsid w:val="00D55ACA"/>
    <w:rsid w:val="00D55B2C"/>
    <w:rsid w:val="00D55FE6"/>
    <w:rsid w:val="00D566A1"/>
    <w:rsid w:val="00D56733"/>
    <w:rsid w:val="00D56938"/>
    <w:rsid w:val="00D56F7D"/>
    <w:rsid w:val="00D574BD"/>
    <w:rsid w:val="00D575B0"/>
    <w:rsid w:val="00D5762D"/>
    <w:rsid w:val="00D60317"/>
    <w:rsid w:val="00D6034F"/>
    <w:rsid w:val="00D60750"/>
    <w:rsid w:val="00D60E37"/>
    <w:rsid w:val="00D61555"/>
    <w:rsid w:val="00D61D5F"/>
    <w:rsid w:val="00D623AD"/>
    <w:rsid w:val="00D62A14"/>
    <w:rsid w:val="00D62E3F"/>
    <w:rsid w:val="00D63015"/>
    <w:rsid w:val="00D64367"/>
    <w:rsid w:val="00D643F0"/>
    <w:rsid w:val="00D648B0"/>
    <w:rsid w:val="00D64B1F"/>
    <w:rsid w:val="00D64B48"/>
    <w:rsid w:val="00D652DF"/>
    <w:rsid w:val="00D65FC8"/>
    <w:rsid w:val="00D66158"/>
    <w:rsid w:val="00D6680F"/>
    <w:rsid w:val="00D66868"/>
    <w:rsid w:val="00D67072"/>
    <w:rsid w:val="00D674BA"/>
    <w:rsid w:val="00D67600"/>
    <w:rsid w:val="00D67A92"/>
    <w:rsid w:val="00D67BA7"/>
    <w:rsid w:val="00D67BE0"/>
    <w:rsid w:val="00D67D39"/>
    <w:rsid w:val="00D70E96"/>
    <w:rsid w:val="00D71227"/>
    <w:rsid w:val="00D71484"/>
    <w:rsid w:val="00D7193E"/>
    <w:rsid w:val="00D7251B"/>
    <w:rsid w:val="00D7278C"/>
    <w:rsid w:val="00D7283B"/>
    <w:rsid w:val="00D72943"/>
    <w:rsid w:val="00D72E8C"/>
    <w:rsid w:val="00D72EFC"/>
    <w:rsid w:val="00D72F96"/>
    <w:rsid w:val="00D73350"/>
    <w:rsid w:val="00D74A44"/>
    <w:rsid w:val="00D750F2"/>
    <w:rsid w:val="00D76F1A"/>
    <w:rsid w:val="00D772C8"/>
    <w:rsid w:val="00D772E3"/>
    <w:rsid w:val="00D802F3"/>
    <w:rsid w:val="00D80AF1"/>
    <w:rsid w:val="00D80F3B"/>
    <w:rsid w:val="00D81166"/>
    <w:rsid w:val="00D81650"/>
    <w:rsid w:val="00D81745"/>
    <w:rsid w:val="00D81E4D"/>
    <w:rsid w:val="00D82422"/>
    <w:rsid w:val="00D8263F"/>
    <w:rsid w:val="00D83B52"/>
    <w:rsid w:val="00D84EE5"/>
    <w:rsid w:val="00D85019"/>
    <w:rsid w:val="00D85672"/>
    <w:rsid w:val="00D86178"/>
    <w:rsid w:val="00D86572"/>
    <w:rsid w:val="00D86BF8"/>
    <w:rsid w:val="00D870AA"/>
    <w:rsid w:val="00D8763B"/>
    <w:rsid w:val="00D87AB9"/>
    <w:rsid w:val="00D90BB0"/>
    <w:rsid w:val="00D90F16"/>
    <w:rsid w:val="00D9179D"/>
    <w:rsid w:val="00D918FC"/>
    <w:rsid w:val="00D93168"/>
    <w:rsid w:val="00D93215"/>
    <w:rsid w:val="00D93394"/>
    <w:rsid w:val="00D93571"/>
    <w:rsid w:val="00D9379C"/>
    <w:rsid w:val="00D93B03"/>
    <w:rsid w:val="00D93BE9"/>
    <w:rsid w:val="00D94045"/>
    <w:rsid w:val="00D940FA"/>
    <w:rsid w:val="00D94248"/>
    <w:rsid w:val="00D9449F"/>
    <w:rsid w:val="00D94835"/>
    <w:rsid w:val="00D94B37"/>
    <w:rsid w:val="00D951F8"/>
    <w:rsid w:val="00D9524F"/>
    <w:rsid w:val="00D954FD"/>
    <w:rsid w:val="00D958A9"/>
    <w:rsid w:val="00D958E2"/>
    <w:rsid w:val="00D95F14"/>
    <w:rsid w:val="00D95F85"/>
    <w:rsid w:val="00D9624D"/>
    <w:rsid w:val="00D96F17"/>
    <w:rsid w:val="00D96F18"/>
    <w:rsid w:val="00D9797C"/>
    <w:rsid w:val="00D97EBE"/>
    <w:rsid w:val="00DA00FE"/>
    <w:rsid w:val="00DA07C4"/>
    <w:rsid w:val="00DA0CAF"/>
    <w:rsid w:val="00DA1199"/>
    <w:rsid w:val="00DA1272"/>
    <w:rsid w:val="00DA1886"/>
    <w:rsid w:val="00DA1C4C"/>
    <w:rsid w:val="00DA2F16"/>
    <w:rsid w:val="00DA2FDD"/>
    <w:rsid w:val="00DA323E"/>
    <w:rsid w:val="00DA3569"/>
    <w:rsid w:val="00DA4B2B"/>
    <w:rsid w:val="00DA4C19"/>
    <w:rsid w:val="00DA4F26"/>
    <w:rsid w:val="00DA502A"/>
    <w:rsid w:val="00DA5755"/>
    <w:rsid w:val="00DA5CBA"/>
    <w:rsid w:val="00DA5FE8"/>
    <w:rsid w:val="00DA6307"/>
    <w:rsid w:val="00DA704C"/>
    <w:rsid w:val="00DA7295"/>
    <w:rsid w:val="00DA757C"/>
    <w:rsid w:val="00DA76BB"/>
    <w:rsid w:val="00DA7A06"/>
    <w:rsid w:val="00DA7A31"/>
    <w:rsid w:val="00DA7C0D"/>
    <w:rsid w:val="00DB1327"/>
    <w:rsid w:val="00DB15B0"/>
    <w:rsid w:val="00DB1600"/>
    <w:rsid w:val="00DB19F7"/>
    <w:rsid w:val="00DB223A"/>
    <w:rsid w:val="00DB3053"/>
    <w:rsid w:val="00DB3497"/>
    <w:rsid w:val="00DB3737"/>
    <w:rsid w:val="00DB3BC8"/>
    <w:rsid w:val="00DB3F29"/>
    <w:rsid w:val="00DB47ED"/>
    <w:rsid w:val="00DB4D2B"/>
    <w:rsid w:val="00DB4E6C"/>
    <w:rsid w:val="00DB4E6E"/>
    <w:rsid w:val="00DB504B"/>
    <w:rsid w:val="00DB56BE"/>
    <w:rsid w:val="00DB586E"/>
    <w:rsid w:val="00DB5EC7"/>
    <w:rsid w:val="00DB64AC"/>
    <w:rsid w:val="00DB73FC"/>
    <w:rsid w:val="00DB79A1"/>
    <w:rsid w:val="00DC02B8"/>
    <w:rsid w:val="00DC03C7"/>
    <w:rsid w:val="00DC03D1"/>
    <w:rsid w:val="00DC04D4"/>
    <w:rsid w:val="00DC0538"/>
    <w:rsid w:val="00DC08F4"/>
    <w:rsid w:val="00DC09D4"/>
    <w:rsid w:val="00DC0D06"/>
    <w:rsid w:val="00DC0E4D"/>
    <w:rsid w:val="00DC1136"/>
    <w:rsid w:val="00DC15EA"/>
    <w:rsid w:val="00DC19BE"/>
    <w:rsid w:val="00DC1E9F"/>
    <w:rsid w:val="00DC24C5"/>
    <w:rsid w:val="00DC2D28"/>
    <w:rsid w:val="00DC3054"/>
    <w:rsid w:val="00DC3B90"/>
    <w:rsid w:val="00DC3E4A"/>
    <w:rsid w:val="00DC3E69"/>
    <w:rsid w:val="00DC4273"/>
    <w:rsid w:val="00DC5121"/>
    <w:rsid w:val="00DC5802"/>
    <w:rsid w:val="00DC6988"/>
    <w:rsid w:val="00DC6A97"/>
    <w:rsid w:val="00DC7387"/>
    <w:rsid w:val="00DC7401"/>
    <w:rsid w:val="00DC7B18"/>
    <w:rsid w:val="00DC7F07"/>
    <w:rsid w:val="00DD03D6"/>
    <w:rsid w:val="00DD03F0"/>
    <w:rsid w:val="00DD071E"/>
    <w:rsid w:val="00DD0DA8"/>
    <w:rsid w:val="00DD0DEB"/>
    <w:rsid w:val="00DD14A6"/>
    <w:rsid w:val="00DD1888"/>
    <w:rsid w:val="00DD1F52"/>
    <w:rsid w:val="00DD2FD9"/>
    <w:rsid w:val="00DD35BA"/>
    <w:rsid w:val="00DD3884"/>
    <w:rsid w:val="00DD392C"/>
    <w:rsid w:val="00DD39B1"/>
    <w:rsid w:val="00DD3CD5"/>
    <w:rsid w:val="00DD420D"/>
    <w:rsid w:val="00DD438E"/>
    <w:rsid w:val="00DD43D3"/>
    <w:rsid w:val="00DD47B1"/>
    <w:rsid w:val="00DD4880"/>
    <w:rsid w:val="00DD4BAB"/>
    <w:rsid w:val="00DD513F"/>
    <w:rsid w:val="00DD519D"/>
    <w:rsid w:val="00DD52FD"/>
    <w:rsid w:val="00DD55D2"/>
    <w:rsid w:val="00DD5A3B"/>
    <w:rsid w:val="00DD5F85"/>
    <w:rsid w:val="00DD6271"/>
    <w:rsid w:val="00DD6D86"/>
    <w:rsid w:val="00DD713A"/>
    <w:rsid w:val="00DD7378"/>
    <w:rsid w:val="00DD7A4C"/>
    <w:rsid w:val="00DD7A5A"/>
    <w:rsid w:val="00DD7EC1"/>
    <w:rsid w:val="00DE073B"/>
    <w:rsid w:val="00DE09AC"/>
    <w:rsid w:val="00DE1313"/>
    <w:rsid w:val="00DE1510"/>
    <w:rsid w:val="00DE1FC8"/>
    <w:rsid w:val="00DE224D"/>
    <w:rsid w:val="00DE295A"/>
    <w:rsid w:val="00DE2DBD"/>
    <w:rsid w:val="00DE3464"/>
    <w:rsid w:val="00DE44E3"/>
    <w:rsid w:val="00DE47A7"/>
    <w:rsid w:val="00DE50ED"/>
    <w:rsid w:val="00DE577B"/>
    <w:rsid w:val="00DE5B61"/>
    <w:rsid w:val="00DE5BBF"/>
    <w:rsid w:val="00DE6272"/>
    <w:rsid w:val="00DE6C94"/>
    <w:rsid w:val="00DE6E5E"/>
    <w:rsid w:val="00DE706B"/>
    <w:rsid w:val="00DE7857"/>
    <w:rsid w:val="00DE7C43"/>
    <w:rsid w:val="00DF075B"/>
    <w:rsid w:val="00DF0A91"/>
    <w:rsid w:val="00DF0BC5"/>
    <w:rsid w:val="00DF1072"/>
    <w:rsid w:val="00DF11E4"/>
    <w:rsid w:val="00DF12CD"/>
    <w:rsid w:val="00DF14AA"/>
    <w:rsid w:val="00DF15BD"/>
    <w:rsid w:val="00DF15BE"/>
    <w:rsid w:val="00DF1EF9"/>
    <w:rsid w:val="00DF3084"/>
    <w:rsid w:val="00DF3334"/>
    <w:rsid w:val="00DF3A0A"/>
    <w:rsid w:val="00DF3C8E"/>
    <w:rsid w:val="00DF3F91"/>
    <w:rsid w:val="00DF50E8"/>
    <w:rsid w:val="00DF54B0"/>
    <w:rsid w:val="00DF5C23"/>
    <w:rsid w:val="00DF611F"/>
    <w:rsid w:val="00DF7972"/>
    <w:rsid w:val="00DF7CCE"/>
    <w:rsid w:val="00E013E5"/>
    <w:rsid w:val="00E01BEB"/>
    <w:rsid w:val="00E01D9E"/>
    <w:rsid w:val="00E0245B"/>
    <w:rsid w:val="00E02F9D"/>
    <w:rsid w:val="00E032C8"/>
    <w:rsid w:val="00E033EF"/>
    <w:rsid w:val="00E03CFC"/>
    <w:rsid w:val="00E03D34"/>
    <w:rsid w:val="00E0492F"/>
    <w:rsid w:val="00E049B9"/>
    <w:rsid w:val="00E04CF5"/>
    <w:rsid w:val="00E05D2D"/>
    <w:rsid w:val="00E05E7B"/>
    <w:rsid w:val="00E060A7"/>
    <w:rsid w:val="00E062FB"/>
    <w:rsid w:val="00E06457"/>
    <w:rsid w:val="00E06C43"/>
    <w:rsid w:val="00E1036B"/>
    <w:rsid w:val="00E10BF9"/>
    <w:rsid w:val="00E11127"/>
    <w:rsid w:val="00E112F3"/>
    <w:rsid w:val="00E11E50"/>
    <w:rsid w:val="00E128DB"/>
    <w:rsid w:val="00E12906"/>
    <w:rsid w:val="00E12EDB"/>
    <w:rsid w:val="00E13293"/>
    <w:rsid w:val="00E136BE"/>
    <w:rsid w:val="00E13C96"/>
    <w:rsid w:val="00E14285"/>
    <w:rsid w:val="00E146C0"/>
    <w:rsid w:val="00E14B7D"/>
    <w:rsid w:val="00E15380"/>
    <w:rsid w:val="00E15A9E"/>
    <w:rsid w:val="00E1609B"/>
    <w:rsid w:val="00E167B7"/>
    <w:rsid w:val="00E1681E"/>
    <w:rsid w:val="00E16D02"/>
    <w:rsid w:val="00E16D31"/>
    <w:rsid w:val="00E1721B"/>
    <w:rsid w:val="00E172E8"/>
    <w:rsid w:val="00E1733F"/>
    <w:rsid w:val="00E17495"/>
    <w:rsid w:val="00E202D7"/>
    <w:rsid w:val="00E20978"/>
    <w:rsid w:val="00E20EDA"/>
    <w:rsid w:val="00E20F4B"/>
    <w:rsid w:val="00E2113C"/>
    <w:rsid w:val="00E22445"/>
    <w:rsid w:val="00E22704"/>
    <w:rsid w:val="00E228B4"/>
    <w:rsid w:val="00E22AFE"/>
    <w:rsid w:val="00E22B38"/>
    <w:rsid w:val="00E237C9"/>
    <w:rsid w:val="00E23912"/>
    <w:rsid w:val="00E23C29"/>
    <w:rsid w:val="00E24AFC"/>
    <w:rsid w:val="00E253F8"/>
    <w:rsid w:val="00E25F16"/>
    <w:rsid w:val="00E261B8"/>
    <w:rsid w:val="00E2755D"/>
    <w:rsid w:val="00E27C65"/>
    <w:rsid w:val="00E30199"/>
    <w:rsid w:val="00E30B84"/>
    <w:rsid w:val="00E30BA9"/>
    <w:rsid w:val="00E30EB2"/>
    <w:rsid w:val="00E313FF"/>
    <w:rsid w:val="00E31621"/>
    <w:rsid w:val="00E3242D"/>
    <w:rsid w:val="00E33AD9"/>
    <w:rsid w:val="00E3422A"/>
    <w:rsid w:val="00E3472D"/>
    <w:rsid w:val="00E347EC"/>
    <w:rsid w:val="00E352E4"/>
    <w:rsid w:val="00E354B4"/>
    <w:rsid w:val="00E3594C"/>
    <w:rsid w:val="00E3628C"/>
    <w:rsid w:val="00E36491"/>
    <w:rsid w:val="00E365EB"/>
    <w:rsid w:val="00E3704F"/>
    <w:rsid w:val="00E37521"/>
    <w:rsid w:val="00E37918"/>
    <w:rsid w:val="00E37E59"/>
    <w:rsid w:val="00E40752"/>
    <w:rsid w:val="00E40C9E"/>
    <w:rsid w:val="00E40E90"/>
    <w:rsid w:val="00E41278"/>
    <w:rsid w:val="00E4183F"/>
    <w:rsid w:val="00E41BDB"/>
    <w:rsid w:val="00E42065"/>
    <w:rsid w:val="00E4216B"/>
    <w:rsid w:val="00E422EF"/>
    <w:rsid w:val="00E42937"/>
    <w:rsid w:val="00E4328C"/>
    <w:rsid w:val="00E43373"/>
    <w:rsid w:val="00E433CC"/>
    <w:rsid w:val="00E44201"/>
    <w:rsid w:val="00E44870"/>
    <w:rsid w:val="00E44C19"/>
    <w:rsid w:val="00E44CFF"/>
    <w:rsid w:val="00E44D5F"/>
    <w:rsid w:val="00E45D2C"/>
    <w:rsid w:val="00E46373"/>
    <w:rsid w:val="00E46538"/>
    <w:rsid w:val="00E473B3"/>
    <w:rsid w:val="00E473F1"/>
    <w:rsid w:val="00E47545"/>
    <w:rsid w:val="00E47E6F"/>
    <w:rsid w:val="00E501CB"/>
    <w:rsid w:val="00E50AB1"/>
    <w:rsid w:val="00E51466"/>
    <w:rsid w:val="00E51804"/>
    <w:rsid w:val="00E51C0F"/>
    <w:rsid w:val="00E51CFD"/>
    <w:rsid w:val="00E529C9"/>
    <w:rsid w:val="00E53116"/>
    <w:rsid w:val="00E53289"/>
    <w:rsid w:val="00E53992"/>
    <w:rsid w:val="00E53F84"/>
    <w:rsid w:val="00E54272"/>
    <w:rsid w:val="00E545C2"/>
    <w:rsid w:val="00E54702"/>
    <w:rsid w:val="00E556C7"/>
    <w:rsid w:val="00E558EB"/>
    <w:rsid w:val="00E55C24"/>
    <w:rsid w:val="00E5617F"/>
    <w:rsid w:val="00E56E24"/>
    <w:rsid w:val="00E57426"/>
    <w:rsid w:val="00E57475"/>
    <w:rsid w:val="00E57939"/>
    <w:rsid w:val="00E57A04"/>
    <w:rsid w:val="00E57BC9"/>
    <w:rsid w:val="00E57FEF"/>
    <w:rsid w:val="00E600AE"/>
    <w:rsid w:val="00E602F3"/>
    <w:rsid w:val="00E6064C"/>
    <w:rsid w:val="00E61218"/>
    <w:rsid w:val="00E6257E"/>
    <w:rsid w:val="00E6262B"/>
    <w:rsid w:val="00E62C28"/>
    <w:rsid w:val="00E62E51"/>
    <w:rsid w:val="00E631CF"/>
    <w:rsid w:val="00E6419F"/>
    <w:rsid w:val="00E65394"/>
    <w:rsid w:val="00E661EC"/>
    <w:rsid w:val="00E66252"/>
    <w:rsid w:val="00E66ADF"/>
    <w:rsid w:val="00E66C15"/>
    <w:rsid w:val="00E66DA6"/>
    <w:rsid w:val="00E67274"/>
    <w:rsid w:val="00E676D4"/>
    <w:rsid w:val="00E678E6"/>
    <w:rsid w:val="00E67B86"/>
    <w:rsid w:val="00E67BE7"/>
    <w:rsid w:val="00E67D8F"/>
    <w:rsid w:val="00E70972"/>
    <w:rsid w:val="00E70B9D"/>
    <w:rsid w:val="00E71373"/>
    <w:rsid w:val="00E717A2"/>
    <w:rsid w:val="00E71971"/>
    <w:rsid w:val="00E71C3B"/>
    <w:rsid w:val="00E72049"/>
    <w:rsid w:val="00E720D2"/>
    <w:rsid w:val="00E724E8"/>
    <w:rsid w:val="00E7259C"/>
    <w:rsid w:val="00E72D43"/>
    <w:rsid w:val="00E7338F"/>
    <w:rsid w:val="00E734DA"/>
    <w:rsid w:val="00E73BE7"/>
    <w:rsid w:val="00E74761"/>
    <w:rsid w:val="00E74BB0"/>
    <w:rsid w:val="00E75006"/>
    <w:rsid w:val="00E759C7"/>
    <w:rsid w:val="00E76850"/>
    <w:rsid w:val="00E76990"/>
    <w:rsid w:val="00E76C24"/>
    <w:rsid w:val="00E7706F"/>
    <w:rsid w:val="00E77514"/>
    <w:rsid w:val="00E7754E"/>
    <w:rsid w:val="00E77E0E"/>
    <w:rsid w:val="00E77E0F"/>
    <w:rsid w:val="00E803BA"/>
    <w:rsid w:val="00E807BD"/>
    <w:rsid w:val="00E80AC8"/>
    <w:rsid w:val="00E81137"/>
    <w:rsid w:val="00E82215"/>
    <w:rsid w:val="00E82D24"/>
    <w:rsid w:val="00E831F5"/>
    <w:rsid w:val="00E83361"/>
    <w:rsid w:val="00E8413B"/>
    <w:rsid w:val="00E848A4"/>
    <w:rsid w:val="00E84DAC"/>
    <w:rsid w:val="00E85421"/>
    <w:rsid w:val="00E8597A"/>
    <w:rsid w:val="00E85B78"/>
    <w:rsid w:val="00E86581"/>
    <w:rsid w:val="00E86605"/>
    <w:rsid w:val="00E8675C"/>
    <w:rsid w:val="00E86A2C"/>
    <w:rsid w:val="00E86B6E"/>
    <w:rsid w:val="00E86CEC"/>
    <w:rsid w:val="00E87E0B"/>
    <w:rsid w:val="00E905E1"/>
    <w:rsid w:val="00E90698"/>
    <w:rsid w:val="00E91A2D"/>
    <w:rsid w:val="00E91F73"/>
    <w:rsid w:val="00E9215A"/>
    <w:rsid w:val="00E92991"/>
    <w:rsid w:val="00E92BBE"/>
    <w:rsid w:val="00E92CCE"/>
    <w:rsid w:val="00E9304A"/>
    <w:rsid w:val="00E93330"/>
    <w:rsid w:val="00E93366"/>
    <w:rsid w:val="00E9401A"/>
    <w:rsid w:val="00E9423B"/>
    <w:rsid w:val="00E9441C"/>
    <w:rsid w:val="00E949EB"/>
    <w:rsid w:val="00E94F4F"/>
    <w:rsid w:val="00E95517"/>
    <w:rsid w:val="00E9567C"/>
    <w:rsid w:val="00E956E4"/>
    <w:rsid w:val="00E95D54"/>
    <w:rsid w:val="00E95EFD"/>
    <w:rsid w:val="00E972DB"/>
    <w:rsid w:val="00E973B6"/>
    <w:rsid w:val="00E97985"/>
    <w:rsid w:val="00E97C3A"/>
    <w:rsid w:val="00EA0020"/>
    <w:rsid w:val="00EA005B"/>
    <w:rsid w:val="00EA01B8"/>
    <w:rsid w:val="00EA0364"/>
    <w:rsid w:val="00EA06F1"/>
    <w:rsid w:val="00EA0E4E"/>
    <w:rsid w:val="00EA14AB"/>
    <w:rsid w:val="00EA1707"/>
    <w:rsid w:val="00EA1785"/>
    <w:rsid w:val="00EA1DBA"/>
    <w:rsid w:val="00EA1ECC"/>
    <w:rsid w:val="00EA2085"/>
    <w:rsid w:val="00EA23E8"/>
    <w:rsid w:val="00EA2712"/>
    <w:rsid w:val="00EA27E1"/>
    <w:rsid w:val="00EA288F"/>
    <w:rsid w:val="00EA2B0A"/>
    <w:rsid w:val="00EA3678"/>
    <w:rsid w:val="00EA400B"/>
    <w:rsid w:val="00EA4043"/>
    <w:rsid w:val="00EA44C8"/>
    <w:rsid w:val="00EA499F"/>
    <w:rsid w:val="00EA4D64"/>
    <w:rsid w:val="00EA4E70"/>
    <w:rsid w:val="00EA5DE2"/>
    <w:rsid w:val="00EA5FF2"/>
    <w:rsid w:val="00EA60F4"/>
    <w:rsid w:val="00EA644F"/>
    <w:rsid w:val="00EA6A81"/>
    <w:rsid w:val="00EA6B7D"/>
    <w:rsid w:val="00EA7C28"/>
    <w:rsid w:val="00EB06F3"/>
    <w:rsid w:val="00EB120D"/>
    <w:rsid w:val="00EB15F5"/>
    <w:rsid w:val="00EB2E33"/>
    <w:rsid w:val="00EB31B8"/>
    <w:rsid w:val="00EB3203"/>
    <w:rsid w:val="00EB324E"/>
    <w:rsid w:val="00EB32F4"/>
    <w:rsid w:val="00EB3F3A"/>
    <w:rsid w:val="00EB48B1"/>
    <w:rsid w:val="00EB4D30"/>
    <w:rsid w:val="00EB506C"/>
    <w:rsid w:val="00EB5117"/>
    <w:rsid w:val="00EB577C"/>
    <w:rsid w:val="00EB5937"/>
    <w:rsid w:val="00EB5B20"/>
    <w:rsid w:val="00EB5B60"/>
    <w:rsid w:val="00EB5F2D"/>
    <w:rsid w:val="00EB665E"/>
    <w:rsid w:val="00EB6A21"/>
    <w:rsid w:val="00EB723C"/>
    <w:rsid w:val="00EB72E3"/>
    <w:rsid w:val="00EB7772"/>
    <w:rsid w:val="00EC000E"/>
    <w:rsid w:val="00EC03A0"/>
    <w:rsid w:val="00EC069E"/>
    <w:rsid w:val="00EC0E40"/>
    <w:rsid w:val="00EC152E"/>
    <w:rsid w:val="00EC16DB"/>
    <w:rsid w:val="00EC1740"/>
    <w:rsid w:val="00EC1B49"/>
    <w:rsid w:val="00EC1BFB"/>
    <w:rsid w:val="00EC1E6A"/>
    <w:rsid w:val="00EC252F"/>
    <w:rsid w:val="00EC3E60"/>
    <w:rsid w:val="00EC437B"/>
    <w:rsid w:val="00EC44F4"/>
    <w:rsid w:val="00EC4505"/>
    <w:rsid w:val="00EC52E1"/>
    <w:rsid w:val="00EC5AEB"/>
    <w:rsid w:val="00EC5EAC"/>
    <w:rsid w:val="00EC5FC0"/>
    <w:rsid w:val="00EC60A3"/>
    <w:rsid w:val="00EC6339"/>
    <w:rsid w:val="00EC640B"/>
    <w:rsid w:val="00EC64DD"/>
    <w:rsid w:val="00EC667A"/>
    <w:rsid w:val="00EC68BA"/>
    <w:rsid w:val="00EC69C2"/>
    <w:rsid w:val="00EC7471"/>
    <w:rsid w:val="00EC75D3"/>
    <w:rsid w:val="00EC7EC3"/>
    <w:rsid w:val="00EC7F1A"/>
    <w:rsid w:val="00ED0029"/>
    <w:rsid w:val="00ED0576"/>
    <w:rsid w:val="00ED08E7"/>
    <w:rsid w:val="00ED0A3B"/>
    <w:rsid w:val="00ED0B52"/>
    <w:rsid w:val="00ED0F3F"/>
    <w:rsid w:val="00ED195E"/>
    <w:rsid w:val="00ED1E00"/>
    <w:rsid w:val="00ED2110"/>
    <w:rsid w:val="00ED2420"/>
    <w:rsid w:val="00ED25E9"/>
    <w:rsid w:val="00ED2665"/>
    <w:rsid w:val="00ED29B6"/>
    <w:rsid w:val="00ED32EE"/>
    <w:rsid w:val="00ED3A5D"/>
    <w:rsid w:val="00ED3D81"/>
    <w:rsid w:val="00ED4D67"/>
    <w:rsid w:val="00ED5001"/>
    <w:rsid w:val="00ED534A"/>
    <w:rsid w:val="00ED5678"/>
    <w:rsid w:val="00ED5682"/>
    <w:rsid w:val="00ED57F5"/>
    <w:rsid w:val="00ED591A"/>
    <w:rsid w:val="00ED5ADE"/>
    <w:rsid w:val="00ED5B9A"/>
    <w:rsid w:val="00ED5E0B"/>
    <w:rsid w:val="00ED5E5E"/>
    <w:rsid w:val="00ED7380"/>
    <w:rsid w:val="00ED7A83"/>
    <w:rsid w:val="00EE0893"/>
    <w:rsid w:val="00EE0949"/>
    <w:rsid w:val="00EE0C94"/>
    <w:rsid w:val="00EE152F"/>
    <w:rsid w:val="00EE27C2"/>
    <w:rsid w:val="00EE27E2"/>
    <w:rsid w:val="00EE2922"/>
    <w:rsid w:val="00EE2D0A"/>
    <w:rsid w:val="00EE2E29"/>
    <w:rsid w:val="00EE2EEE"/>
    <w:rsid w:val="00EE362C"/>
    <w:rsid w:val="00EE36AA"/>
    <w:rsid w:val="00EE3949"/>
    <w:rsid w:val="00EE3AAE"/>
    <w:rsid w:val="00EE4058"/>
    <w:rsid w:val="00EE4249"/>
    <w:rsid w:val="00EE42B6"/>
    <w:rsid w:val="00EE44DD"/>
    <w:rsid w:val="00EE4595"/>
    <w:rsid w:val="00EE4634"/>
    <w:rsid w:val="00EE4916"/>
    <w:rsid w:val="00EE4AD3"/>
    <w:rsid w:val="00EE5A68"/>
    <w:rsid w:val="00EE5A71"/>
    <w:rsid w:val="00EE6B99"/>
    <w:rsid w:val="00EE751C"/>
    <w:rsid w:val="00EE7956"/>
    <w:rsid w:val="00EE7B8E"/>
    <w:rsid w:val="00EF017D"/>
    <w:rsid w:val="00EF0434"/>
    <w:rsid w:val="00EF078D"/>
    <w:rsid w:val="00EF07D0"/>
    <w:rsid w:val="00EF0EE1"/>
    <w:rsid w:val="00EF1047"/>
    <w:rsid w:val="00EF13F5"/>
    <w:rsid w:val="00EF1A38"/>
    <w:rsid w:val="00EF1AB6"/>
    <w:rsid w:val="00EF1D0D"/>
    <w:rsid w:val="00EF267B"/>
    <w:rsid w:val="00EF3579"/>
    <w:rsid w:val="00EF39BB"/>
    <w:rsid w:val="00EF39E9"/>
    <w:rsid w:val="00EF3EAC"/>
    <w:rsid w:val="00EF447F"/>
    <w:rsid w:val="00EF457D"/>
    <w:rsid w:val="00EF48C2"/>
    <w:rsid w:val="00EF4BFA"/>
    <w:rsid w:val="00EF4C97"/>
    <w:rsid w:val="00EF5BF4"/>
    <w:rsid w:val="00EF5D71"/>
    <w:rsid w:val="00EF6153"/>
    <w:rsid w:val="00EF64E1"/>
    <w:rsid w:val="00EF70C0"/>
    <w:rsid w:val="00EF721F"/>
    <w:rsid w:val="00EF79A2"/>
    <w:rsid w:val="00EF7C06"/>
    <w:rsid w:val="00EF7F75"/>
    <w:rsid w:val="00F00033"/>
    <w:rsid w:val="00F00350"/>
    <w:rsid w:val="00F00E73"/>
    <w:rsid w:val="00F01347"/>
    <w:rsid w:val="00F01BA9"/>
    <w:rsid w:val="00F0242B"/>
    <w:rsid w:val="00F02BE5"/>
    <w:rsid w:val="00F0378C"/>
    <w:rsid w:val="00F042B9"/>
    <w:rsid w:val="00F048A1"/>
    <w:rsid w:val="00F04ACF"/>
    <w:rsid w:val="00F04B9F"/>
    <w:rsid w:val="00F04CD5"/>
    <w:rsid w:val="00F04CDE"/>
    <w:rsid w:val="00F04F32"/>
    <w:rsid w:val="00F052B6"/>
    <w:rsid w:val="00F052D3"/>
    <w:rsid w:val="00F06014"/>
    <w:rsid w:val="00F0602F"/>
    <w:rsid w:val="00F06047"/>
    <w:rsid w:val="00F0639D"/>
    <w:rsid w:val="00F067D9"/>
    <w:rsid w:val="00F0735E"/>
    <w:rsid w:val="00F07400"/>
    <w:rsid w:val="00F07868"/>
    <w:rsid w:val="00F07C28"/>
    <w:rsid w:val="00F07C76"/>
    <w:rsid w:val="00F10A8D"/>
    <w:rsid w:val="00F112FD"/>
    <w:rsid w:val="00F11425"/>
    <w:rsid w:val="00F1169A"/>
    <w:rsid w:val="00F11751"/>
    <w:rsid w:val="00F11B72"/>
    <w:rsid w:val="00F12243"/>
    <w:rsid w:val="00F12246"/>
    <w:rsid w:val="00F126A8"/>
    <w:rsid w:val="00F1273A"/>
    <w:rsid w:val="00F13606"/>
    <w:rsid w:val="00F13A45"/>
    <w:rsid w:val="00F13C51"/>
    <w:rsid w:val="00F140AB"/>
    <w:rsid w:val="00F142E5"/>
    <w:rsid w:val="00F145DE"/>
    <w:rsid w:val="00F14818"/>
    <w:rsid w:val="00F14B58"/>
    <w:rsid w:val="00F14BBF"/>
    <w:rsid w:val="00F14DCA"/>
    <w:rsid w:val="00F154EB"/>
    <w:rsid w:val="00F1597B"/>
    <w:rsid w:val="00F159C1"/>
    <w:rsid w:val="00F16179"/>
    <w:rsid w:val="00F16935"/>
    <w:rsid w:val="00F16947"/>
    <w:rsid w:val="00F16FEC"/>
    <w:rsid w:val="00F1786D"/>
    <w:rsid w:val="00F17BF0"/>
    <w:rsid w:val="00F20062"/>
    <w:rsid w:val="00F201A2"/>
    <w:rsid w:val="00F206D8"/>
    <w:rsid w:val="00F20A63"/>
    <w:rsid w:val="00F20C60"/>
    <w:rsid w:val="00F20EEC"/>
    <w:rsid w:val="00F214BD"/>
    <w:rsid w:val="00F21D4A"/>
    <w:rsid w:val="00F21E6C"/>
    <w:rsid w:val="00F22683"/>
    <w:rsid w:val="00F22909"/>
    <w:rsid w:val="00F22A32"/>
    <w:rsid w:val="00F22A66"/>
    <w:rsid w:val="00F23021"/>
    <w:rsid w:val="00F23593"/>
    <w:rsid w:val="00F23791"/>
    <w:rsid w:val="00F23ED4"/>
    <w:rsid w:val="00F24591"/>
    <w:rsid w:val="00F24FF6"/>
    <w:rsid w:val="00F2506B"/>
    <w:rsid w:val="00F25AFE"/>
    <w:rsid w:val="00F25CDD"/>
    <w:rsid w:val="00F2747C"/>
    <w:rsid w:val="00F27658"/>
    <w:rsid w:val="00F27B9C"/>
    <w:rsid w:val="00F27CAF"/>
    <w:rsid w:val="00F27E7B"/>
    <w:rsid w:val="00F27F3B"/>
    <w:rsid w:val="00F30471"/>
    <w:rsid w:val="00F30AF0"/>
    <w:rsid w:val="00F30C44"/>
    <w:rsid w:val="00F311BF"/>
    <w:rsid w:val="00F318B3"/>
    <w:rsid w:val="00F321D0"/>
    <w:rsid w:val="00F326F1"/>
    <w:rsid w:val="00F32EC6"/>
    <w:rsid w:val="00F333A8"/>
    <w:rsid w:val="00F333A9"/>
    <w:rsid w:val="00F3349B"/>
    <w:rsid w:val="00F33505"/>
    <w:rsid w:val="00F33B37"/>
    <w:rsid w:val="00F33D0A"/>
    <w:rsid w:val="00F33F13"/>
    <w:rsid w:val="00F347B4"/>
    <w:rsid w:val="00F34A90"/>
    <w:rsid w:val="00F34E56"/>
    <w:rsid w:val="00F3543D"/>
    <w:rsid w:val="00F35E02"/>
    <w:rsid w:val="00F3619B"/>
    <w:rsid w:val="00F3697E"/>
    <w:rsid w:val="00F36C72"/>
    <w:rsid w:val="00F36FD2"/>
    <w:rsid w:val="00F37531"/>
    <w:rsid w:val="00F37903"/>
    <w:rsid w:val="00F37D26"/>
    <w:rsid w:val="00F402CB"/>
    <w:rsid w:val="00F4041F"/>
    <w:rsid w:val="00F41E57"/>
    <w:rsid w:val="00F42168"/>
    <w:rsid w:val="00F43BCB"/>
    <w:rsid w:val="00F43C51"/>
    <w:rsid w:val="00F4434C"/>
    <w:rsid w:val="00F44899"/>
    <w:rsid w:val="00F44AEA"/>
    <w:rsid w:val="00F44F69"/>
    <w:rsid w:val="00F44F96"/>
    <w:rsid w:val="00F45629"/>
    <w:rsid w:val="00F45B2C"/>
    <w:rsid w:val="00F45C32"/>
    <w:rsid w:val="00F461EF"/>
    <w:rsid w:val="00F47014"/>
    <w:rsid w:val="00F47424"/>
    <w:rsid w:val="00F476FF"/>
    <w:rsid w:val="00F47D06"/>
    <w:rsid w:val="00F50265"/>
    <w:rsid w:val="00F503DB"/>
    <w:rsid w:val="00F50CFC"/>
    <w:rsid w:val="00F51516"/>
    <w:rsid w:val="00F517C8"/>
    <w:rsid w:val="00F522F1"/>
    <w:rsid w:val="00F527C0"/>
    <w:rsid w:val="00F52C7F"/>
    <w:rsid w:val="00F53621"/>
    <w:rsid w:val="00F53730"/>
    <w:rsid w:val="00F54290"/>
    <w:rsid w:val="00F54424"/>
    <w:rsid w:val="00F54755"/>
    <w:rsid w:val="00F548E4"/>
    <w:rsid w:val="00F54E2B"/>
    <w:rsid w:val="00F551EB"/>
    <w:rsid w:val="00F55232"/>
    <w:rsid w:val="00F552F6"/>
    <w:rsid w:val="00F55A71"/>
    <w:rsid w:val="00F568D7"/>
    <w:rsid w:val="00F56AD5"/>
    <w:rsid w:val="00F570C1"/>
    <w:rsid w:val="00F576F2"/>
    <w:rsid w:val="00F5795A"/>
    <w:rsid w:val="00F609CA"/>
    <w:rsid w:val="00F60BFA"/>
    <w:rsid w:val="00F6108A"/>
    <w:rsid w:val="00F61402"/>
    <w:rsid w:val="00F61CDA"/>
    <w:rsid w:val="00F61F4B"/>
    <w:rsid w:val="00F6216B"/>
    <w:rsid w:val="00F62590"/>
    <w:rsid w:val="00F62DEA"/>
    <w:rsid w:val="00F63129"/>
    <w:rsid w:val="00F63158"/>
    <w:rsid w:val="00F634C6"/>
    <w:rsid w:val="00F63692"/>
    <w:rsid w:val="00F63941"/>
    <w:rsid w:val="00F63A85"/>
    <w:rsid w:val="00F63C7E"/>
    <w:rsid w:val="00F63D3E"/>
    <w:rsid w:val="00F64A25"/>
    <w:rsid w:val="00F64ADA"/>
    <w:rsid w:val="00F64C87"/>
    <w:rsid w:val="00F64FF5"/>
    <w:rsid w:val="00F6567F"/>
    <w:rsid w:val="00F65D11"/>
    <w:rsid w:val="00F65FBB"/>
    <w:rsid w:val="00F66518"/>
    <w:rsid w:val="00F66BC4"/>
    <w:rsid w:val="00F67650"/>
    <w:rsid w:val="00F67998"/>
    <w:rsid w:val="00F67A16"/>
    <w:rsid w:val="00F7065A"/>
    <w:rsid w:val="00F7085A"/>
    <w:rsid w:val="00F7111E"/>
    <w:rsid w:val="00F71B45"/>
    <w:rsid w:val="00F71F8F"/>
    <w:rsid w:val="00F725D0"/>
    <w:rsid w:val="00F732A5"/>
    <w:rsid w:val="00F73714"/>
    <w:rsid w:val="00F737AA"/>
    <w:rsid w:val="00F7479B"/>
    <w:rsid w:val="00F75576"/>
    <w:rsid w:val="00F75CA8"/>
    <w:rsid w:val="00F75E82"/>
    <w:rsid w:val="00F760DC"/>
    <w:rsid w:val="00F7724A"/>
    <w:rsid w:val="00F7757D"/>
    <w:rsid w:val="00F77587"/>
    <w:rsid w:val="00F7760C"/>
    <w:rsid w:val="00F80841"/>
    <w:rsid w:val="00F80EFF"/>
    <w:rsid w:val="00F81362"/>
    <w:rsid w:val="00F81949"/>
    <w:rsid w:val="00F81B6C"/>
    <w:rsid w:val="00F8256C"/>
    <w:rsid w:val="00F82C45"/>
    <w:rsid w:val="00F8391C"/>
    <w:rsid w:val="00F83DCA"/>
    <w:rsid w:val="00F842BA"/>
    <w:rsid w:val="00F848E7"/>
    <w:rsid w:val="00F84A92"/>
    <w:rsid w:val="00F84BE5"/>
    <w:rsid w:val="00F84D24"/>
    <w:rsid w:val="00F857A8"/>
    <w:rsid w:val="00F876F4"/>
    <w:rsid w:val="00F87806"/>
    <w:rsid w:val="00F87DC9"/>
    <w:rsid w:val="00F9012A"/>
    <w:rsid w:val="00F908BF"/>
    <w:rsid w:val="00F910DD"/>
    <w:rsid w:val="00F922C9"/>
    <w:rsid w:val="00F92420"/>
    <w:rsid w:val="00F928FA"/>
    <w:rsid w:val="00F929C4"/>
    <w:rsid w:val="00F9307E"/>
    <w:rsid w:val="00F93F14"/>
    <w:rsid w:val="00F94371"/>
    <w:rsid w:val="00F945D8"/>
    <w:rsid w:val="00F94651"/>
    <w:rsid w:val="00F94DEE"/>
    <w:rsid w:val="00F94E2A"/>
    <w:rsid w:val="00F9575C"/>
    <w:rsid w:val="00F957DC"/>
    <w:rsid w:val="00F95F75"/>
    <w:rsid w:val="00F96070"/>
    <w:rsid w:val="00F960E1"/>
    <w:rsid w:val="00F962FF"/>
    <w:rsid w:val="00F963D0"/>
    <w:rsid w:val="00F963D9"/>
    <w:rsid w:val="00F966A2"/>
    <w:rsid w:val="00F96B2D"/>
    <w:rsid w:val="00F96C90"/>
    <w:rsid w:val="00F97743"/>
    <w:rsid w:val="00F977E5"/>
    <w:rsid w:val="00F97B1F"/>
    <w:rsid w:val="00F97D79"/>
    <w:rsid w:val="00F97FEE"/>
    <w:rsid w:val="00FA01B0"/>
    <w:rsid w:val="00FA05AD"/>
    <w:rsid w:val="00FA102D"/>
    <w:rsid w:val="00FA1086"/>
    <w:rsid w:val="00FA1440"/>
    <w:rsid w:val="00FA16E7"/>
    <w:rsid w:val="00FA18F8"/>
    <w:rsid w:val="00FA1BB2"/>
    <w:rsid w:val="00FA1E11"/>
    <w:rsid w:val="00FA2A4A"/>
    <w:rsid w:val="00FA2CD6"/>
    <w:rsid w:val="00FA37B8"/>
    <w:rsid w:val="00FA3A0F"/>
    <w:rsid w:val="00FA403C"/>
    <w:rsid w:val="00FA47EA"/>
    <w:rsid w:val="00FA5484"/>
    <w:rsid w:val="00FA5884"/>
    <w:rsid w:val="00FA60D7"/>
    <w:rsid w:val="00FA6536"/>
    <w:rsid w:val="00FA6B0C"/>
    <w:rsid w:val="00FA6FD7"/>
    <w:rsid w:val="00FA796D"/>
    <w:rsid w:val="00FA7A3A"/>
    <w:rsid w:val="00FA7EC9"/>
    <w:rsid w:val="00FB01CF"/>
    <w:rsid w:val="00FB1057"/>
    <w:rsid w:val="00FB1893"/>
    <w:rsid w:val="00FB1BBE"/>
    <w:rsid w:val="00FB2DEA"/>
    <w:rsid w:val="00FB2F07"/>
    <w:rsid w:val="00FB3083"/>
    <w:rsid w:val="00FB3365"/>
    <w:rsid w:val="00FB3AE6"/>
    <w:rsid w:val="00FB3C36"/>
    <w:rsid w:val="00FB3F12"/>
    <w:rsid w:val="00FB40A0"/>
    <w:rsid w:val="00FB416F"/>
    <w:rsid w:val="00FB41DD"/>
    <w:rsid w:val="00FB4561"/>
    <w:rsid w:val="00FB4BE8"/>
    <w:rsid w:val="00FB4F9A"/>
    <w:rsid w:val="00FB5188"/>
    <w:rsid w:val="00FB54F8"/>
    <w:rsid w:val="00FB5948"/>
    <w:rsid w:val="00FB5AE6"/>
    <w:rsid w:val="00FB5BF2"/>
    <w:rsid w:val="00FB619B"/>
    <w:rsid w:val="00FB6F2E"/>
    <w:rsid w:val="00FB70E6"/>
    <w:rsid w:val="00FB7383"/>
    <w:rsid w:val="00FB7561"/>
    <w:rsid w:val="00FB75D4"/>
    <w:rsid w:val="00FB7BCD"/>
    <w:rsid w:val="00FB7E60"/>
    <w:rsid w:val="00FC017C"/>
    <w:rsid w:val="00FC045F"/>
    <w:rsid w:val="00FC08AB"/>
    <w:rsid w:val="00FC09E9"/>
    <w:rsid w:val="00FC0B0B"/>
    <w:rsid w:val="00FC0D22"/>
    <w:rsid w:val="00FC10AE"/>
    <w:rsid w:val="00FC1405"/>
    <w:rsid w:val="00FC1B68"/>
    <w:rsid w:val="00FC1BEE"/>
    <w:rsid w:val="00FC285D"/>
    <w:rsid w:val="00FC358B"/>
    <w:rsid w:val="00FC3624"/>
    <w:rsid w:val="00FC419C"/>
    <w:rsid w:val="00FC43A3"/>
    <w:rsid w:val="00FC4C54"/>
    <w:rsid w:val="00FC4D22"/>
    <w:rsid w:val="00FC4DF0"/>
    <w:rsid w:val="00FC5976"/>
    <w:rsid w:val="00FC6C72"/>
    <w:rsid w:val="00FC6FA8"/>
    <w:rsid w:val="00FC71DC"/>
    <w:rsid w:val="00FC735D"/>
    <w:rsid w:val="00FC762E"/>
    <w:rsid w:val="00FC7693"/>
    <w:rsid w:val="00FC77DE"/>
    <w:rsid w:val="00FC7B5F"/>
    <w:rsid w:val="00FC7D54"/>
    <w:rsid w:val="00FC7D7A"/>
    <w:rsid w:val="00FC7D93"/>
    <w:rsid w:val="00FD00F1"/>
    <w:rsid w:val="00FD0217"/>
    <w:rsid w:val="00FD05A3"/>
    <w:rsid w:val="00FD0CE3"/>
    <w:rsid w:val="00FD0F41"/>
    <w:rsid w:val="00FD17F7"/>
    <w:rsid w:val="00FD1962"/>
    <w:rsid w:val="00FD2056"/>
    <w:rsid w:val="00FD24AA"/>
    <w:rsid w:val="00FD2D36"/>
    <w:rsid w:val="00FD2F07"/>
    <w:rsid w:val="00FD35AF"/>
    <w:rsid w:val="00FD37C2"/>
    <w:rsid w:val="00FD4329"/>
    <w:rsid w:val="00FD4733"/>
    <w:rsid w:val="00FD49D6"/>
    <w:rsid w:val="00FD53A3"/>
    <w:rsid w:val="00FD58F9"/>
    <w:rsid w:val="00FD618B"/>
    <w:rsid w:val="00FD661F"/>
    <w:rsid w:val="00FD6AF8"/>
    <w:rsid w:val="00FD6E86"/>
    <w:rsid w:val="00FD72E1"/>
    <w:rsid w:val="00FD7B34"/>
    <w:rsid w:val="00FD7DBE"/>
    <w:rsid w:val="00FE00CE"/>
    <w:rsid w:val="00FE0FD3"/>
    <w:rsid w:val="00FE101A"/>
    <w:rsid w:val="00FE176D"/>
    <w:rsid w:val="00FE1804"/>
    <w:rsid w:val="00FE2355"/>
    <w:rsid w:val="00FE241F"/>
    <w:rsid w:val="00FE243C"/>
    <w:rsid w:val="00FE26D7"/>
    <w:rsid w:val="00FE285E"/>
    <w:rsid w:val="00FE29FB"/>
    <w:rsid w:val="00FE2C05"/>
    <w:rsid w:val="00FE3FF7"/>
    <w:rsid w:val="00FE421D"/>
    <w:rsid w:val="00FE4E60"/>
    <w:rsid w:val="00FE5444"/>
    <w:rsid w:val="00FE56A8"/>
    <w:rsid w:val="00FE5762"/>
    <w:rsid w:val="00FE5B0F"/>
    <w:rsid w:val="00FE5C92"/>
    <w:rsid w:val="00FE5CF8"/>
    <w:rsid w:val="00FE6290"/>
    <w:rsid w:val="00FE6CEC"/>
    <w:rsid w:val="00FE7CDE"/>
    <w:rsid w:val="00FF018B"/>
    <w:rsid w:val="00FF0520"/>
    <w:rsid w:val="00FF14CA"/>
    <w:rsid w:val="00FF1901"/>
    <w:rsid w:val="00FF1909"/>
    <w:rsid w:val="00FF1ADD"/>
    <w:rsid w:val="00FF1C9F"/>
    <w:rsid w:val="00FF1D25"/>
    <w:rsid w:val="00FF24FC"/>
    <w:rsid w:val="00FF257C"/>
    <w:rsid w:val="00FF2851"/>
    <w:rsid w:val="00FF296E"/>
    <w:rsid w:val="00FF2BAC"/>
    <w:rsid w:val="00FF307C"/>
    <w:rsid w:val="00FF3929"/>
    <w:rsid w:val="00FF3C38"/>
    <w:rsid w:val="00FF4374"/>
    <w:rsid w:val="00FF49B7"/>
    <w:rsid w:val="00FF4DFD"/>
    <w:rsid w:val="00FF4E9B"/>
    <w:rsid w:val="00FF55AD"/>
    <w:rsid w:val="00FF55CF"/>
    <w:rsid w:val="00FF59DE"/>
    <w:rsid w:val="00FF5FBF"/>
    <w:rsid w:val="00FF659B"/>
    <w:rsid w:val="00FF6904"/>
    <w:rsid w:val="00FF696C"/>
    <w:rsid w:val="00FF6BDB"/>
    <w:rsid w:val="00FF707E"/>
    <w:rsid w:val="00FF773E"/>
    <w:rsid w:val="00FF77B8"/>
    <w:rsid w:val="065B5619"/>
    <w:rsid w:val="0681B866"/>
    <w:rsid w:val="074F1FAE"/>
    <w:rsid w:val="0753A302"/>
    <w:rsid w:val="095E3EA4"/>
    <w:rsid w:val="1168EBE2"/>
    <w:rsid w:val="13132BFD"/>
    <w:rsid w:val="199AA15A"/>
    <w:rsid w:val="1A2C8756"/>
    <w:rsid w:val="1BFAD94C"/>
    <w:rsid w:val="21E47A7A"/>
    <w:rsid w:val="22C6F034"/>
    <w:rsid w:val="23DF1179"/>
    <w:rsid w:val="25092F5F"/>
    <w:rsid w:val="25931C8A"/>
    <w:rsid w:val="262360D4"/>
    <w:rsid w:val="274D5D6E"/>
    <w:rsid w:val="275E2123"/>
    <w:rsid w:val="29E1140F"/>
    <w:rsid w:val="2A86CD2E"/>
    <w:rsid w:val="2BDD0F28"/>
    <w:rsid w:val="2C3511EE"/>
    <w:rsid w:val="2CC8E316"/>
    <w:rsid w:val="303D227E"/>
    <w:rsid w:val="3220A347"/>
    <w:rsid w:val="32A0819E"/>
    <w:rsid w:val="36512330"/>
    <w:rsid w:val="3680B26D"/>
    <w:rsid w:val="3705C78E"/>
    <w:rsid w:val="39627C41"/>
    <w:rsid w:val="39B4DC33"/>
    <w:rsid w:val="3B2BD704"/>
    <w:rsid w:val="3F7EA895"/>
    <w:rsid w:val="409316F1"/>
    <w:rsid w:val="46253C9E"/>
    <w:rsid w:val="491984A0"/>
    <w:rsid w:val="4C6BFFFE"/>
    <w:rsid w:val="4C6ECD1D"/>
    <w:rsid w:val="4E031E30"/>
    <w:rsid w:val="5147A4A6"/>
    <w:rsid w:val="52115E74"/>
    <w:rsid w:val="521ED3CB"/>
    <w:rsid w:val="54081D62"/>
    <w:rsid w:val="546CB4FD"/>
    <w:rsid w:val="54A050BF"/>
    <w:rsid w:val="55EDBD6F"/>
    <w:rsid w:val="57906044"/>
    <w:rsid w:val="599120BA"/>
    <w:rsid w:val="5E090342"/>
    <w:rsid w:val="62731754"/>
    <w:rsid w:val="6357AE8C"/>
    <w:rsid w:val="64A6E1F8"/>
    <w:rsid w:val="653C3482"/>
    <w:rsid w:val="655EBD5E"/>
    <w:rsid w:val="65AD5EAA"/>
    <w:rsid w:val="66930611"/>
    <w:rsid w:val="66FEEE75"/>
    <w:rsid w:val="67872DAB"/>
    <w:rsid w:val="67CF0CCA"/>
    <w:rsid w:val="68CA4D09"/>
    <w:rsid w:val="6A03D7D6"/>
    <w:rsid w:val="6A7965E1"/>
    <w:rsid w:val="6BC3FDDD"/>
    <w:rsid w:val="6FBB537E"/>
    <w:rsid w:val="71DC5F8E"/>
    <w:rsid w:val="7205EFE3"/>
    <w:rsid w:val="732DA0C4"/>
    <w:rsid w:val="79E56E9D"/>
    <w:rsid w:val="7B3A4ED6"/>
    <w:rsid w:val="7B9A0C51"/>
    <w:rsid w:val="7F803318"/>
    <w:rsid w:val="7F97A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C3A54E5"/>
  <w15:docId w15:val="{0FA40A8F-1491-4AF1-960B-DD637A6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5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5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5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5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5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5879E3"/>
    <w:pPr>
      <w:numPr>
        <w:numId w:val="5"/>
      </w:numPr>
    </w:pPr>
    <w:rPr>
      <w:rFonts w:eastAsia="Times New Roman"/>
      <w:lang w:eastAsia="de-DE"/>
    </w:rPr>
  </w:style>
  <w:style w:type="paragraph" w:styleId="ListNumber">
    <w:name w:val="List Number"/>
    <w:basedOn w:val="Normal"/>
    <w:qFormat/>
    <w:rsid w:val="005879E3"/>
    <w:pPr>
      <w:numPr>
        <w:numId w:val="9"/>
      </w:numPr>
    </w:pPr>
    <w:rPr>
      <w:rFonts w:eastAsia="Times New Roman"/>
      <w:lang w:eastAsia="de-DE"/>
    </w:rPr>
  </w:style>
  <w:style w:type="paragraph" w:customStyle="1" w:styleId="ListBullet1">
    <w:name w:val="List Bullet 1"/>
    <w:basedOn w:val="Normal"/>
    <w:rsid w:val="005879E3"/>
    <w:pPr>
      <w:numPr>
        <w:numId w:val="4"/>
      </w:numPr>
    </w:pPr>
    <w:rPr>
      <w:rFonts w:eastAsia="Times New Roman"/>
      <w:lang w:eastAsia="de-DE"/>
    </w:rPr>
  </w:style>
  <w:style w:type="paragraph" w:customStyle="1" w:styleId="ListDash">
    <w:name w:val="List Dash"/>
    <w:basedOn w:val="Normal"/>
    <w:rsid w:val="005879E3"/>
    <w:pPr>
      <w:numPr>
        <w:numId w:val="6"/>
      </w:numPr>
    </w:pPr>
    <w:rPr>
      <w:rFonts w:eastAsia="Times New Roman"/>
      <w:lang w:eastAsia="de-DE"/>
    </w:rPr>
  </w:style>
  <w:style w:type="paragraph" w:customStyle="1" w:styleId="ListDash1">
    <w:name w:val="List Dash 1"/>
    <w:basedOn w:val="Normal"/>
    <w:rsid w:val="005879E3"/>
    <w:pPr>
      <w:numPr>
        <w:numId w:val="7"/>
      </w:numPr>
    </w:pPr>
    <w:rPr>
      <w:rFonts w:eastAsia="Times New Roman"/>
      <w:lang w:eastAsia="de-DE"/>
    </w:rPr>
  </w:style>
  <w:style w:type="paragraph" w:customStyle="1" w:styleId="ListDash2">
    <w:name w:val="List Dash 2"/>
    <w:basedOn w:val="Normal"/>
    <w:rsid w:val="005879E3"/>
    <w:pPr>
      <w:numPr>
        <w:numId w:val="8"/>
      </w:numPr>
    </w:pPr>
    <w:rPr>
      <w:rFonts w:eastAsia="Times New Roman"/>
      <w:lang w:eastAsia="de-DE"/>
    </w:rPr>
  </w:style>
  <w:style w:type="paragraph" w:customStyle="1" w:styleId="ListNumberLevel2">
    <w:name w:val="List Number (Level 2)"/>
    <w:basedOn w:val="Normal"/>
    <w:rsid w:val="005879E3"/>
    <w:pPr>
      <w:numPr>
        <w:ilvl w:val="1"/>
        <w:numId w:val="9"/>
      </w:numPr>
    </w:pPr>
    <w:rPr>
      <w:rFonts w:eastAsia="Times New Roman"/>
      <w:lang w:eastAsia="de-DE"/>
    </w:rPr>
  </w:style>
  <w:style w:type="paragraph" w:customStyle="1" w:styleId="ListNumberLevel3">
    <w:name w:val="List Number (Level 3)"/>
    <w:basedOn w:val="Normal"/>
    <w:rsid w:val="005879E3"/>
    <w:pPr>
      <w:numPr>
        <w:ilvl w:val="2"/>
        <w:numId w:val="9"/>
      </w:numPr>
    </w:pPr>
    <w:rPr>
      <w:rFonts w:eastAsia="Times New Roman"/>
      <w:lang w:eastAsia="de-DE"/>
    </w:rPr>
  </w:style>
  <w:style w:type="paragraph" w:customStyle="1" w:styleId="ListNumberLevel4">
    <w:name w:val="List Number (Level 4)"/>
    <w:basedOn w:val="Normal"/>
    <w:rsid w:val="005879E3"/>
    <w:pPr>
      <w:numPr>
        <w:ilvl w:val="3"/>
        <w:numId w:val="9"/>
      </w:numPr>
    </w:pPr>
    <w:rPr>
      <w:rFonts w:eastAsia="Times New Roman"/>
      <w:lang w:eastAsia="de-DE"/>
    </w:rPr>
  </w:style>
  <w:style w:type="table" w:styleId="TableGrid">
    <w:name w:val="Table Grid"/>
    <w:basedOn w:val="TableNormal"/>
    <w:uiPriority w:val="59"/>
    <w:rsid w:val="005879E3"/>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5879E3"/>
    <w:rPr>
      <w:color w:val="0000FF"/>
      <w:u w:val="single"/>
    </w:rPr>
  </w:style>
  <w:style w:type="paragraph" w:styleId="ListBullet">
    <w:name w:val="List Bullet"/>
    <w:basedOn w:val="Normal"/>
    <w:rsid w:val="005879E3"/>
    <w:pPr>
      <w:numPr>
        <w:numId w:val="10"/>
      </w:numPr>
    </w:pPr>
    <w:rPr>
      <w:rFonts w:eastAsia="Times New Roman"/>
      <w:lang w:val="fr-FR" w:eastAsia="en-GB"/>
    </w:rPr>
  </w:style>
  <w:style w:type="paragraph" w:styleId="ListBullet2">
    <w:name w:val="List Bullet 2"/>
    <w:basedOn w:val="Normal"/>
    <w:rsid w:val="005879E3"/>
    <w:pPr>
      <w:numPr>
        <w:numId w:val="11"/>
      </w:numPr>
    </w:pPr>
    <w:rPr>
      <w:rFonts w:eastAsia="Times New Roman"/>
      <w:lang w:val="fr-FR" w:eastAsia="en-GB"/>
    </w:rPr>
  </w:style>
  <w:style w:type="paragraph" w:styleId="ListBullet3">
    <w:name w:val="List Bullet 3"/>
    <w:basedOn w:val="Normal"/>
    <w:rsid w:val="005879E3"/>
    <w:pPr>
      <w:numPr>
        <w:numId w:val="12"/>
      </w:numPr>
    </w:pPr>
    <w:rPr>
      <w:rFonts w:eastAsia="Times New Roman"/>
      <w:lang w:val="fr-FR" w:eastAsia="en-GB"/>
    </w:rPr>
  </w:style>
  <w:style w:type="paragraph" w:styleId="ListNumber2">
    <w:name w:val="List Number 2"/>
    <w:basedOn w:val="Normal"/>
    <w:rsid w:val="005879E3"/>
    <w:pPr>
      <w:numPr>
        <w:numId w:val="16"/>
      </w:numPr>
    </w:pPr>
    <w:rPr>
      <w:rFonts w:eastAsia="Times New Roman"/>
      <w:lang w:val="fr-FR" w:eastAsia="en-GB"/>
    </w:rPr>
  </w:style>
  <w:style w:type="paragraph" w:styleId="ListNumber3">
    <w:name w:val="List Number 3"/>
    <w:basedOn w:val="Normal"/>
    <w:rsid w:val="005879E3"/>
    <w:pPr>
      <w:numPr>
        <w:numId w:val="17"/>
      </w:numPr>
    </w:pPr>
    <w:rPr>
      <w:rFonts w:eastAsia="Times New Roman"/>
      <w:lang w:val="fr-FR" w:eastAsia="en-GB"/>
    </w:rPr>
  </w:style>
  <w:style w:type="paragraph" w:styleId="ListNumber4">
    <w:name w:val="List Number 4"/>
    <w:basedOn w:val="Normal"/>
    <w:rsid w:val="005879E3"/>
    <w:pPr>
      <w:numPr>
        <w:numId w:val="18"/>
      </w:numPr>
    </w:pPr>
    <w:rPr>
      <w:rFonts w:eastAsia="Times New Roman"/>
      <w:lang w:val="fr-FR" w:eastAsia="en-GB"/>
    </w:rPr>
  </w:style>
  <w:style w:type="paragraph" w:customStyle="1" w:styleId="ListDash3">
    <w:name w:val="List Dash 3"/>
    <w:basedOn w:val="Normal"/>
    <w:rsid w:val="005879E3"/>
    <w:pPr>
      <w:numPr>
        <w:numId w:val="13"/>
      </w:numPr>
    </w:pPr>
    <w:rPr>
      <w:rFonts w:eastAsia="Times New Roman"/>
      <w:lang w:val="fr-FR" w:eastAsia="en-GB"/>
    </w:rPr>
  </w:style>
  <w:style w:type="paragraph" w:customStyle="1" w:styleId="ListDash4">
    <w:name w:val="List Dash 4"/>
    <w:basedOn w:val="Normal"/>
    <w:rsid w:val="005879E3"/>
    <w:pPr>
      <w:numPr>
        <w:numId w:val="14"/>
      </w:numPr>
    </w:pPr>
    <w:rPr>
      <w:rFonts w:eastAsia="Times New Roman"/>
      <w:lang w:val="fr-FR" w:eastAsia="en-GB"/>
    </w:rPr>
  </w:style>
  <w:style w:type="paragraph" w:customStyle="1" w:styleId="ListNumber1">
    <w:name w:val="List Number 1"/>
    <w:basedOn w:val="Text1"/>
    <w:rsid w:val="005879E3"/>
    <w:pPr>
      <w:numPr>
        <w:numId w:val="15"/>
      </w:numPr>
    </w:pPr>
    <w:rPr>
      <w:rFonts w:eastAsia="Times New Roman"/>
      <w:lang w:val="fr-FR" w:eastAsia="en-GB"/>
    </w:rPr>
  </w:style>
  <w:style w:type="paragraph" w:customStyle="1" w:styleId="ListNumber1Level2">
    <w:name w:val="List Number 1 (Level 2)"/>
    <w:basedOn w:val="Text1"/>
    <w:rsid w:val="005879E3"/>
    <w:pPr>
      <w:numPr>
        <w:ilvl w:val="1"/>
        <w:numId w:val="15"/>
      </w:numPr>
    </w:pPr>
    <w:rPr>
      <w:rFonts w:eastAsia="Times New Roman"/>
      <w:lang w:val="fr-FR" w:eastAsia="en-GB"/>
    </w:rPr>
  </w:style>
  <w:style w:type="paragraph" w:customStyle="1" w:styleId="ListNumber2Level2">
    <w:name w:val="List Number 2 (Level 2)"/>
    <w:basedOn w:val="Text2"/>
    <w:rsid w:val="005879E3"/>
    <w:pPr>
      <w:numPr>
        <w:ilvl w:val="1"/>
        <w:numId w:val="16"/>
      </w:numPr>
    </w:pPr>
    <w:rPr>
      <w:rFonts w:eastAsia="Times New Roman"/>
      <w:lang w:val="fr-FR" w:eastAsia="en-GB"/>
    </w:rPr>
  </w:style>
  <w:style w:type="paragraph" w:customStyle="1" w:styleId="ListNumber3Level2">
    <w:name w:val="List Number 3 (Level 2)"/>
    <w:basedOn w:val="Text3"/>
    <w:rsid w:val="005879E3"/>
    <w:pPr>
      <w:numPr>
        <w:ilvl w:val="1"/>
        <w:numId w:val="17"/>
      </w:numPr>
    </w:pPr>
    <w:rPr>
      <w:rFonts w:eastAsia="Times New Roman"/>
      <w:lang w:val="fr-FR" w:eastAsia="en-GB"/>
    </w:rPr>
  </w:style>
  <w:style w:type="paragraph" w:customStyle="1" w:styleId="ListNumber4Level2">
    <w:name w:val="List Number 4 (Level 2)"/>
    <w:basedOn w:val="Text4"/>
    <w:rsid w:val="005879E3"/>
    <w:pPr>
      <w:numPr>
        <w:ilvl w:val="1"/>
        <w:numId w:val="18"/>
      </w:numPr>
    </w:pPr>
    <w:rPr>
      <w:rFonts w:eastAsia="Times New Roman"/>
      <w:lang w:val="fr-FR" w:eastAsia="en-GB"/>
    </w:rPr>
  </w:style>
  <w:style w:type="paragraph" w:customStyle="1" w:styleId="ListNumber1Level3">
    <w:name w:val="List Number 1 (Level 3)"/>
    <w:basedOn w:val="Text1"/>
    <w:rsid w:val="005879E3"/>
    <w:pPr>
      <w:numPr>
        <w:ilvl w:val="2"/>
        <w:numId w:val="15"/>
      </w:numPr>
    </w:pPr>
    <w:rPr>
      <w:rFonts w:eastAsia="Times New Roman"/>
      <w:lang w:val="fr-FR" w:eastAsia="en-GB"/>
    </w:rPr>
  </w:style>
  <w:style w:type="paragraph" w:customStyle="1" w:styleId="ListNumber2Level3">
    <w:name w:val="List Number 2 (Level 3)"/>
    <w:basedOn w:val="Text2"/>
    <w:rsid w:val="005879E3"/>
    <w:pPr>
      <w:numPr>
        <w:ilvl w:val="2"/>
        <w:numId w:val="16"/>
      </w:numPr>
    </w:pPr>
    <w:rPr>
      <w:rFonts w:eastAsia="Times New Roman"/>
      <w:lang w:val="fr-FR" w:eastAsia="en-GB"/>
    </w:rPr>
  </w:style>
  <w:style w:type="paragraph" w:customStyle="1" w:styleId="ListNumber3Level3">
    <w:name w:val="List Number 3 (Level 3)"/>
    <w:basedOn w:val="Text3"/>
    <w:rsid w:val="005879E3"/>
    <w:pPr>
      <w:numPr>
        <w:ilvl w:val="2"/>
        <w:numId w:val="17"/>
      </w:numPr>
    </w:pPr>
    <w:rPr>
      <w:rFonts w:eastAsia="Times New Roman"/>
      <w:lang w:val="fr-FR" w:eastAsia="en-GB"/>
    </w:rPr>
  </w:style>
  <w:style w:type="paragraph" w:customStyle="1" w:styleId="ListNumber4Level3">
    <w:name w:val="List Number 4 (Level 3)"/>
    <w:basedOn w:val="Text4"/>
    <w:rsid w:val="005879E3"/>
    <w:pPr>
      <w:numPr>
        <w:ilvl w:val="2"/>
        <w:numId w:val="18"/>
      </w:numPr>
    </w:pPr>
    <w:rPr>
      <w:rFonts w:eastAsia="Times New Roman"/>
      <w:lang w:val="fr-FR" w:eastAsia="en-GB"/>
    </w:rPr>
  </w:style>
  <w:style w:type="paragraph" w:customStyle="1" w:styleId="ListNumber1Level4">
    <w:name w:val="List Number 1 (Level 4)"/>
    <w:basedOn w:val="Text1"/>
    <w:rsid w:val="005879E3"/>
    <w:pPr>
      <w:numPr>
        <w:ilvl w:val="3"/>
        <w:numId w:val="15"/>
      </w:numPr>
    </w:pPr>
    <w:rPr>
      <w:rFonts w:eastAsia="Times New Roman"/>
      <w:lang w:val="fr-FR" w:eastAsia="en-GB"/>
    </w:rPr>
  </w:style>
  <w:style w:type="paragraph" w:customStyle="1" w:styleId="ListNumber2Level4">
    <w:name w:val="List Number 2 (Level 4)"/>
    <w:basedOn w:val="Text2"/>
    <w:rsid w:val="005879E3"/>
    <w:pPr>
      <w:numPr>
        <w:ilvl w:val="3"/>
        <w:numId w:val="16"/>
      </w:numPr>
    </w:pPr>
    <w:rPr>
      <w:rFonts w:eastAsia="Times New Roman"/>
      <w:lang w:val="fr-FR" w:eastAsia="en-GB"/>
    </w:rPr>
  </w:style>
  <w:style w:type="paragraph" w:customStyle="1" w:styleId="ListNumber3Level4">
    <w:name w:val="List Number 3 (Level 4)"/>
    <w:basedOn w:val="Text3"/>
    <w:rsid w:val="005879E3"/>
    <w:pPr>
      <w:numPr>
        <w:ilvl w:val="3"/>
        <w:numId w:val="17"/>
      </w:numPr>
    </w:pPr>
    <w:rPr>
      <w:rFonts w:eastAsia="Times New Roman"/>
      <w:lang w:val="fr-FR" w:eastAsia="en-GB"/>
    </w:rPr>
  </w:style>
  <w:style w:type="paragraph" w:customStyle="1" w:styleId="ListNumber4Level4">
    <w:name w:val="List Number 4 (Level 4)"/>
    <w:basedOn w:val="Text4"/>
    <w:rsid w:val="005879E3"/>
    <w:pPr>
      <w:numPr>
        <w:ilvl w:val="3"/>
        <w:numId w:val="18"/>
      </w:numPr>
    </w:pPr>
    <w:rPr>
      <w:rFonts w:eastAsia="Times New Roman"/>
      <w:lang w:val="fr-FR" w:eastAsia="en-GB"/>
    </w:rPr>
  </w:style>
  <w:style w:type="paragraph" w:customStyle="1" w:styleId="Annexetitreacte">
    <w:name w:val="Annexe titre (acte)"/>
    <w:basedOn w:val="Normal"/>
    <w:next w:val="Normal"/>
    <w:rsid w:val="005879E3"/>
    <w:pPr>
      <w:jc w:val="center"/>
    </w:pPr>
    <w:rPr>
      <w:rFonts w:eastAsia="Times New Roman"/>
      <w:b/>
      <w:u w:val="single"/>
      <w:lang w:val="fr-FR" w:eastAsia="en-GB"/>
    </w:rPr>
  </w:style>
  <w:style w:type="paragraph" w:customStyle="1" w:styleId="Annexetitreexposglobal">
    <w:name w:val="Annexe titre (exposé global)"/>
    <w:basedOn w:val="Normal"/>
    <w:next w:val="Normal"/>
    <w:rsid w:val="005879E3"/>
    <w:pPr>
      <w:jc w:val="center"/>
    </w:pPr>
    <w:rPr>
      <w:rFonts w:eastAsia="Times New Roman"/>
      <w:b/>
      <w:u w:val="single"/>
      <w:lang w:val="fr-FR" w:eastAsia="en-GB"/>
    </w:rPr>
  </w:style>
  <w:style w:type="paragraph" w:customStyle="1" w:styleId="Annexetitrefichefinacte">
    <w:name w:val="Annexe titre (fiche fin. acte)"/>
    <w:basedOn w:val="Normal"/>
    <w:next w:val="Normal"/>
    <w:rsid w:val="005879E3"/>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5879E3"/>
    <w:pPr>
      <w:jc w:val="center"/>
    </w:pPr>
    <w:rPr>
      <w:rFonts w:eastAsia="Times New Roman"/>
      <w:b/>
      <w:u w:val="single"/>
      <w:lang w:val="fr-FR" w:eastAsia="en-GB"/>
    </w:rPr>
  </w:style>
  <w:style w:type="paragraph" w:customStyle="1" w:styleId="Annexetitreglobale">
    <w:name w:val="Annexe titre (globale)"/>
    <w:basedOn w:val="Normal"/>
    <w:next w:val="Normal"/>
    <w:rsid w:val="005879E3"/>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5879E3"/>
    <w:pPr>
      <w:jc w:val="center"/>
    </w:pPr>
    <w:rPr>
      <w:rFonts w:eastAsia="Times New Roman"/>
      <w:b/>
      <w:u w:val="single"/>
      <w:lang w:val="fr-FR" w:eastAsia="en-GB"/>
    </w:rPr>
  </w:style>
  <w:style w:type="paragraph" w:customStyle="1" w:styleId="Langueoriginale">
    <w:name w:val="Langue originale"/>
    <w:basedOn w:val="Normal"/>
    <w:rsid w:val="005879E3"/>
    <w:pPr>
      <w:spacing w:before="360"/>
      <w:jc w:val="center"/>
    </w:pPr>
    <w:rPr>
      <w:rFonts w:eastAsia="Times New Roman"/>
      <w:caps/>
      <w:lang w:val="fr-FR" w:eastAsia="en-GB"/>
    </w:rPr>
  </w:style>
  <w:style w:type="paragraph" w:customStyle="1" w:styleId="Phrasefinale">
    <w:name w:val="Phrase finale"/>
    <w:basedOn w:val="Normal"/>
    <w:next w:val="Normal"/>
    <w:rsid w:val="005879E3"/>
    <w:pPr>
      <w:spacing w:before="360" w:after="0"/>
      <w:jc w:val="center"/>
    </w:pPr>
    <w:rPr>
      <w:rFonts w:eastAsia="Times New Roman"/>
      <w:lang w:val="fr-FR" w:eastAsia="en-GB"/>
    </w:rPr>
  </w:style>
  <w:style w:type="paragraph" w:customStyle="1" w:styleId="Prliminairetitre">
    <w:name w:val="Préliminaire titre"/>
    <w:basedOn w:val="Normal"/>
    <w:next w:val="Normal"/>
    <w:rsid w:val="005879E3"/>
    <w:pPr>
      <w:spacing w:before="360" w:after="360"/>
      <w:jc w:val="center"/>
    </w:pPr>
    <w:rPr>
      <w:rFonts w:eastAsia="Times New Roman"/>
      <w:b/>
      <w:lang w:val="fr-FR" w:eastAsia="en-GB"/>
    </w:rPr>
  </w:style>
  <w:style w:type="paragraph" w:customStyle="1" w:styleId="Prliminairetype">
    <w:name w:val="Préliminaire type"/>
    <w:basedOn w:val="Normal"/>
    <w:next w:val="Normal"/>
    <w:rsid w:val="005879E3"/>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5879E3"/>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5879E3"/>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5879E3"/>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5879E3"/>
    <w:pPr>
      <w:spacing w:before="0" w:after="0"/>
      <w:jc w:val="center"/>
    </w:pPr>
    <w:rPr>
      <w:rFonts w:eastAsia="Times New Roman"/>
      <w:b/>
      <w:lang w:val="fr-FR" w:eastAsia="en-GB"/>
    </w:rPr>
  </w:style>
  <w:style w:type="paragraph" w:customStyle="1" w:styleId="Statutprliminaire">
    <w:name w:val="Statut (préliminaire)"/>
    <w:basedOn w:val="Normal"/>
    <w:next w:val="Normal"/>
    <w:rsid w:val="005879E3"/>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5879E3"/>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5879E3"/>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5879E3"/>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5879E3"/>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5879E3"/>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5879E3"/>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5879E3"/>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5879E3"/>
    <w:pPr>
      <w:jc w:val="center"/>
    </w:pPr>
    <w:rPr>
      <w:rFonts w:eastAsia="Times New Roman"/>
      <w:b/>
      <w:u w:val="single"/>
      <w:lang w:val="fr-FR" w:eastAsia="en-GB"/>
    </w:rPr>
  </w:style>
  <w:style w:type="character" w:styleId="CommentReference">
    <w:name w:val="annotation reference"/>
    <w:uiPriority w:val="99"/>
    <w:qFormat/>
    <w:rsid w:val="005879E3"/>
    <w:rPr>
      <w:rFonts w:cs="Times New Roman"/>
      <w:sz w:val="16"/>
      <w:szCs w:val="16"/>
    </w:rPr>
  </w:style>
  <w:style w:type="paragraph" w:styleId="CommentText">
    <w:name w:val="annotation text"/>
    <w:basedOn w:val="Normal"/>
    <w:link w:val="CommentTextChar"/>
    <w:uiPriority w:val="99"/>
    <w:qFormat/>
    <w:rsid w:val="005879E3"/>
    <w:rPr>
      <w:rFonts w:eastAsia="Times New Roman"/>
      <w:sz w:val="20"/>
      <w:szCs w:val="20"/>
      <w:lang w:val="fr-FR" w:eastAsia="en-GB"/>
    </w:rPr>
  </w:style>
  <w:style w:type="character" w:customStyle="1" w:styleId="CommentTextChar">
    <w:name w:val="Comment Text Char"/>
    <w:basedOn w:val="DefaultParagraphFont"/>
    <w:link w:val="CommentText"/>
    <w:uiPriority w:val="99"/>
    <w:rsid w:val="005879E3"/>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5879E3"/>
    <w:rPr>
      <w:b/>
      <w:bCs/>
    </w:rPr>
  </w:style>
  <w:style w:type="character" w:customStyle="1" w:styleId="CommentSubjectChar">
    <w:name w:val="Comment Subject Char"/>
    <w:basedOn w:val="CommentTextChar"/>
    <w:link w:val="CommentSubject"/>
    <w:uiPriority w:val="99"/>
    <w:rsid w:val="005879E3"/>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5879E3"/>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rsid w:val="005879E3"/>
    <w:rPr>
      <w:rFonts w:ascii="Tahoma" w:eastAsia="Times New Roman" w:hAnsi="Tahoma" w:cs="Tahoma"/>
      <w:sz w:val="16"/>
      <w:szCs w:val="16"/>
      <w:lang w:val="fr-FR" w:eastAsia="en-GB"/>
    </w:rPr>
  </w:style>
  <w:style w:type="paragraph" w:styleId="Caption">
    <w:name w:val="caption"/>
    <w:basedOn w:val="Normal"/>
    <w:next w:val="Normal"/>
    <w:qFormat/>
    <w:rsid w:val="005879E3"/>
    <w:rPr>
      <w:rFonts w:eastAsia="Times New Roman"/>
      <w:b/>
      <w:bCs/>
      <w:sz w:val="20"/>
      <w:szCs w:val="20"/>
      <w:lang w:val="fr-FR" w:eastAsia="en-GB"/>
    </w:rPr>
  </w:style>
  <w:style w:type="paragraph" w:styleId="TableofFigures">
    <w:name w:val="table of figures"/>
    <w:basedOn w:val="Normal"/>
    <w:next w:val="Normal"/>
    <w:rsid w:val="005879E3"/>
    <w:rPr>
      <w:rFonts w:eastAsia="Times New Roman"/>
      <w:lang w:val="fr-FR" w:eastAsia="en-GB"/>
    </w:rPr>
  </w:style>
  <w:style w:type="character" w:styleId="PageNumber">
    <w:name w:val="page number"/>
    <w:rsid w:val="005879E3"/>
  </w:style>
  <w:style w:type="character" w:styleId="FollowedHyperlink">
    <w:name w:val="FollowedHyperlink"/>
    <w:uiPriority w:val="99"/>
    <w:rsid w:val="005879E3"/>
    <w:rPr>
      <w:color w:val="800080"/>
      <w:u w:val="single"/>
    </w:rPr>
  </w:style>
  <w:style w:type="paragraph" w:customStyle="1" w:styleId="Sous-titreobjet">
    <w:name w:val="Sous-titre objet"/>
    <w:basedOn w:val="Normal"/>
    <w:rsid w:val="005879E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5879E3"/>
  </w:style>
  <w:style w:type="paragraph" w:styleId="Revision">
    <w:name w:val="Revision"/>
    <w:hidden/>
    <w:uiPriority w:val="99"/>
    <w:semiHidden/>
    <w:rsid w:val="005879E3"/>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5879E3"/>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5879E3"/>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5879E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5879E3"/>
    <w:rPr>
      <w:rFonts w:ascii="Times New Roman" w:eastAsia="Calibri" w:hAnsi="Times New Roman" w:cs="Times New Roman"/>
      <w:sz w:val="24"/>
      <w:lang w:val="en-GB" w:eastAsia="en-GB"/>
    </w:rPr>
  </w:style>
  <w:style w:type="character" w:customStyle="1" w:styleId="superscript">
    <w:name w:val="superscript"/>
    <w:basedOn w:val="DefaultParagraphFont"/>
    <w:rsid w:val="00646885"/>
  </w:style>
  <w:style w:type="character" w:customStyle="1" w:styleId="italics">
    <w:name w:val="italics"/>
    <w:basedOn w:val="DefaultParagraphFont"/>
    <w:rsid w:val="00646885"/>
  </w:style>
  <w:style w:type="paragraph" w:styleId="NormalWeb">
    <w:name w:val="Normal (Web)"/>
    <w:basedOn w:val="Normal"/>
    <w:uiPriority w:val="99"/>
    <w:unhideWhenUsed/>
    <w:rsid w:val="00646885"/>
    <w:pPr>
      <w:spacing w:before="100" w:beforeAutospacing="1" w:after="100" w:afterAutospacing="1"/>
      <w:jc w:val="left"/>
    </w:pPr>
    <w:rPr>
      <w:rFonts w:eastAsia="Times New Roman"/>
      <w:szCs w:val="24"/>
      <w:lang w:val="fr-BE" w:eastAsia="fr-BE"/>
    </w:rPr>
  </w:style>
  <w:style w:type="paragraph" w:customStyle="1" w:styleId="title-article-norm">
    <w:name w:val="title-article-norm"/>
    <w:basedOn w:val="Normal"/>
    <w:rsid w:val="00646885"/>
    <w:pPr>
      <w:spacing w:before="100" w:beforeAutospacing="1" w:after="100" w:afterAutospacing="1"/>
      <w:jc w:val="left"/>
    </w:pPr>
    <w:rPr>
      <w:rFonts w:eastAsia="Times New Roman"/>
      <w:szCs w:val="24"/>
      <w:lang w:val="fr-BE" w:eastAsia="fr-BE"/>
    </w:rPr>
  </w:style>
  <w:style w:type="paragraph" w:customStyle="1" w:styleId="title-annex-1">
    <w:name w:val="title-annex-1"/>
    <w:basedOn w:val="Normal"/>
    <w:rsid w:val="00646885"/>
    <w:pPr>
      <w:spacing w:before="100" w:beforeAutospacing="1" w:after="100" w:afterAutospacing="1"/>
      <w:jc w:val="left"/>
    </w:pPr>
    <w:rPr>
      <w:rFonts w:eastAsia="Times New Roman"/>
      <w:szCs w:val="24"/>
      <w:lang w:val="fr-BE" w:eastAsia="fr-BE"/>
    </w:rPr>
  </w:style>
  <w:style w:type="paragraph" w:customStyle="1" w:styleId="title-gr-seq-level-1">
    <w:name w:val="title-gr-seq-level-1"/>
    <w:basedOn w:val="Normal"/>
    <w:rsid w:val="00646885"/>
    <w:pPr>
      <w:spacing w:before="100" w:beforeAutospacing="1" w:after="100" w:afterAutospacing="1"/>
      <w:jc w:val="left"/>
    </w:pPr>
    <w:rPr>
      <w:rFonts w:eastAsia="Times New Roman"/>
      <w:szCs w:val="24"/>
      <w:lang w:val="fr-BE" w:eastAsia="fr-BE"/>
    </w:rPr>
  </w:style>
  <w:style w:type="paragraph" w:customStyle="1" w:styleId="List1">
    <w:name w:val="List1"/>
    <w:basedOn w:val="Normal"/>
    <w:rsid w:val="00646885"/>
    <w:pPr>
      <w:spacing w:before="100" w:beforeAutospacing="1" w:after="100" w:afterAutospacing="1"/>
      <w:jc w:val="left"/>
    </w:pPr>
    <w:rPr>
      <w:rFonts w:eastAsia="Times New Roman"/>
      <w:szCs w:val="24"/>
      <w:lang w:val="fr-BE" w:eastAsia="fr-BE"/>
    </w:rPr>
  </w:style>
  <w:style w:type="paragraph" w:customStyle="1" w:styleId="title-table">
    <w:name w:val="title-table"/>
    <w:basedOn w:val="Normal"/>
    <w:rsid w:val="00646885"/>
    <w:pPr>
      <w:spacing w:before="100" w:beforeAutospacing="1" w:after="100" w:afterAutospacing="1"/>
      <w:jc w:val="left"/>
    </w:pPr>
    <w:rPr>
      <w:rFonts w:eastAsia="Times New Roman"/>
      <w:szCs w:val="24"/>
      <w:lang w:val="fr-BE" w:eastAsia="fr-BE"/>
    </w:rPr>
  </w:style>
  <w:style w:type="paragraph" w:customStyle="1" w:styleId="tbl-norm">
    <w:name w:val="tbl-norm"/>
    <w:basedOn w:val="Normal"/>
    <w:rsid w:val="00646885"/>
    <w:pPr>
      <w:spacing w:before="100" w:beforeAutospacing="1" w:after="100" w:afterAutospacing="1"/>
      <w:jc w:val="left"/>
    </w:pPr>
    <w:rPr>
      <w:rFonts w:eastAsia="Times New Roman"/>
      <w:szCs w:val="24"/>
      <w:lang w:val="fr-BE" w:eastAsia="fr-BE"/>
    </w:rPr>
  </w:style>
  <w:style w:type="paragraph" w:customStyle="1" w:styleId="Normal1">
    <w:name w:val="Normal1"/>
    <w:basedOn w:val="Normal"/>
    <w:rsid w:val="00646885"/>
    <w:pPr>
      <w:spacing w:before="100" w:beforeAutospacing="1" w:after="100" w:afterAutospacing="1"/>
      <w:jc w:val="left"/>
    </w:pPr>
    <w:rPr>
      <w:rFonts w:eastAsia="Times New Roman"/>
      <w:szCs w:val="24"/>
      <w:lang w:val="fr-BE" w:eastAsia="fr-BE"/>
    </w:rPr>
  </w:style>
  <w:style w:type="paragraph" w:customStyle="1" w:styleId="tbl-left">
    <w:name w:val="tbl-left"/>
    <w:basedOn w:val="Normal"/>
    <w:rsid w:val="00646885"/>
    <w:pPr>
      <w:spacing w:before="100" w:beforeAutospacing="1" w:after="100" w:afterAutospacing="1"/>
      <w:jc w:val="left"/>
    </w:pPr>
    <w:rPr>
      <w:rFonts w:eastAsia="Times New Roman"/>
      <w:szCs w:val="24"/>
      <w:lang w:val="fr-BE" w:eastAsia="fr-BE"/>
    </w:rPr>
  </w:style>
  <w:style w:type="paragraph" w:customStyle="1" w:styleId="footnote">
    <w:name w:val="footnote"/>
    <w:basedOn w:val="Normal"/>
    <w:rsid w:val="00646885"/>
    <w:pPr>
      <w:spacing w:before="100" w:beforeAutospacing="1" w:after="100" w:afterAutospacing="1"/>
      <w:jc w:val="left"/>
    </w:pPr>
    <w:rPr>
      <w:rFonts w:eastAsia="Times New Roman"/>
      <w:szCs w:val="24"/>
      <w:lang w:val="fr-BE" w:eastAsia="fr-BE"/>
    </w:rPr>
  </w:style>
  <w:style w:type="character" w:styleId="Strong">
    <w:name w:val="Strong"/>
    <w:basedOn w:val="DefaultParagraphFont"/>
    <w:uiPriority w:val="22"/>
    <w:qFormat/>
    <w:rsid w:val="00646885"/>
    <w:rPr>
      <w:b/>
      <w:bCs/>
    </w:rPr>
  </w:style>
  <w:style w:type="paragraph" w:customStyle="1" w:styleId="ti-art">
    <w:name w:val="ti-art"/>
    <w:basedOn w:val="Normal"/>
    <w:rsid w:val="00646885"/>
    <w:pPr>
      <w:spacing w:before="100" w:beforeAutospacing="1" w:after="100" w:afterAutospacing="1"/>
      <w:jc w:val="left"/>
    </w:pPr>
    <w:rPr>
      <w:rFonts w:eastAsia="Times New Roman"/>
      <w:szCs w:val="24"/>
      <w:lang w:val="fr-BE" w:eastAsia="fr-BE"/>
    </w:rPr>
  </w:style>
  <w:style w:type="paragraph" w:customStyle="1" w:styleId="sti-art">
    <w:name w:val="sti-art"/>
    <w:basedOn w:val="Normal"/>
    <w:rsid w:val="00646885"/>
    <w:pPr>
      <w:spacing w:before="100" w:beforeAutospacing="1" w:after="100" w:afterAutospacing="1"/>
      <w:jc w:val="left"/>
    </w:pPr>
    <w:rPr>
      <w:rFonts w:eastAsia="Times New Roman"/>
      <w:szCs w:val="24"/>
      <w:lang w:val="fr-BE" w:eastAsia="fr-BE"/>
    </w:rPr>
  </w:style>
  <w:style w:type="paragraph" w:customStyle="1" w:styleId="Normal2">
    <w:name w:val="Normal2"/>
    <w:basedOn w:val="Normal"/>
    <w:rsid w:val="00646885"/>
    <w:pPr>
      <w:spacing w:before="100" w:beforeAutospacing="1" w:after="100" w:afterAutospacing="1"/>
      <w:jc w:val="left"/>
    </w:pPr>
    <w:rPr>
      <w:rFonts w:eastAsia="Times New Roman"/>
      <w:szCs w:val="24"/>
      <w:lang w:val="fr-BE" w:eastAsia="fr-BE"/>
    </w:rPr>
  </w:style>
  <w:style w:type="character" w:customStyle="1" w:styleId="super">
    <w:name w:val="super"/>
    <w:basedOn w:val="DefaultParagraphFont"/>
    <w:rsid w:val="00646885"/>
  </w:style>
  <w:style w:type="paragraph" w:customStyle="1" w:styleId="Normal3">
    <w:name w:val="Normal3"/>
    <w:basedOn w:val="Normal"/>
    <w:rsid w:val="00646885"/>
    <w:pPr>
      <w:spacing w:before="100" w:beforeAutospacing="1" w:after="100" w:afterAutospacing="1"/>
      <w:jc w:val="left"/>
    </w:pPr>
    <w:rPr>
      <w:rFonts w:eastAsia="Times New Roman"/>
      <w:szCs w:val="24"/>
      <w:lang w:val="fr-BE" w:eastAsia="fr-BE"/>
    </w:rPr>
  </w:style>
  <w:style w:type="paragraph" w:customStyle="1" w:styleId="Normal4">
    <w:name w:val="Normal4"/>
    <w:basedOn w:val="Normal"/>
    <w:rsid w:val="00646885"/>
    <w:pPr>
      <w:spacing w:before="100" w:beforeAutospacing="1" w:after="100" w:afterAutospacing="1"/>
      <w:jc w:val="left"/>
    </w:pPr>
    <w:rPr>
      <w:rFonts w:eastAsia="Times New Roman"/>
      <w:szCs w:val="24"/>
      <w:lang w:val="fr-BE" w:eastAsia="fr-BE"/>
    </w:rPr>
  </w:style>
  <w:style w:type="paragraph" w:customStyle="1" w:styleId="Normal5">
    <w:name w:val="Normal5"/>
    <w:basedOn w:val="Normal"/>
    <w:rsid w:val="00646885"/>
    <w:pPr>
      <w:spacing w:before="100" w:beforeAutospacing="1" w:after="100" w:afterAutospacing="1"/>
      <w:jc w:val="left"/>
    </w:pPr>
    <w:rPr>
      <w:rFonts w:eastAsia="Times New Roman"/>
      <w:szCs w:val="24"/>
      <w:lang w:val="fr-BE" w:eastAsia="fr-BE"/>
    </w:rPr>
  </w:style>
  <w:style w:type="paragraph" w:customStyle="1" w:styleId="text10">
    <w:name w:val="text1"/>
    <w:basedOn w:val="Normal"/>
    <w:rsid w:val="00646885"/>
    <w:pPr>
      <w:spacing w:before="100" w:beforeAutospacing="1" w:after="100" w:afterAutospacing="1"/>
      <w:jc w:val="left"/>
    </w:pPr>
    <w:rPr>
      <w:rFonts w:eastAsia="Times New Roman"/>
      <w:szCs w:val="24"/>
      <w:lang w:val="fr-BE" w:eastAsia="fr-BE"/>
    </w:rPr>
  </w:style>
  <w:style w:type="paragraph" w:customStyle="1" w:styleId="oj-ti-art">
    <w:name w:val="oj-ti-art"/>
    <w:basedOn w:val="Normal"/>
    <w:rsid w:val="00646885"/>
    <w:pPr>
      <w:spacing w:before="100" w:beforeAutospacing="1" w:after="100" w:afterAutospacing="1"/>
      <w:jc w:val="left"/>
    </w:pPr>
    <w:rPr>
      <w:rFonts w:eastAsia="Times New Roman"/>
      <w:szCs w:val="24"/>
      <w:lang w:val="fr-BE" w:eastAsia="fr-BE"/>
    </w:rPr>
  </w:style>
  <w:style w:type="paragraph" w:customStyle="1" w:styleId="oj-sti-art">
    <w:name w:val="oj-sti-art"/>
    <w:basedOn w:val="Normal"/>
    <w:rsid w:val="00646885"/>
    <w:pPr>
      <w:spacing w:before="100" w:beforeAutospacing="1" w:after="100" w:afterAutospacing="1"/>
      <w:jc w:val="left"/>
    </w:pPr>
    <w:rPr>
      <w:rFonts w:eastAsia="Times New Roman"/>
      <w:szCs w:val="24"/>
      <w:lang w:val="fr-BE" w:eastAsia="fr-BE"/>
    </w:rPr>
  </w:style>
  <w:style w:type="paragraph" w:customStyle="1" w:styleId="oj-normal">
    <w:name w:val="oj-normal"/>
    <w:basedOn w:val="Normal"/>
    <w:rsid w:val="00646885"/>
    <w:pPr>
      <w:spacing w:before="100" w:beforeAutospacing="1" w:after="100" w:afterAutospacing="1"/>
      <w:jc w:val="left"/>
    </w:pPr>
    <w:rPr>
      <w:rFonts w:eastAsia="Times New Roman"/>
      <w:szCs w:val="24"/>
      <w:lang w:val="fr-BE" w:eastAsia="fr-BE"/>
    </w:rPr>
  </w:style>
  <w:style w:type="character" w:customStyle="1" w:styleId="oj-italic">
    <w:name w:val="oj-italic"/>
    <w:basedOn w:val="DefaultParagraphFont"/>
    <w:rsid w:val="00646885"/>
  </w:style>
  <w:style w:type="paragraph" w:customStyle="1" w:styleId="Normal6">
    <w:name w:val="Normal6"/>
    <w:basedOn w:val="Normal"/>
    <w:rsid w:val="00646885"/>
    <w:pPr>
      <w:spacing w:before="100" w:beforeAutospacing="1" w:after="100" w:afterAutospacing="1"/>
      <w:jc w:val="left"/>
    </w:pPr>
    <w:rPr>
      <w:rFonts w:eastAsia="Times New Roman"/>
      <w:szCs w:val="24"/>
      <w:lang w:val="fr-BE" w:eastAsia="fr-BE"/>
    </w:rPr>
  </w:style>
  <w:style w:type="character" w:customStyle="1" w:styleId="italic">
    <w:name w:val="italic"/>
    <w:basedOn w:val="DefaultParagraphFont"/>
    <w:rsid w:val="00646885"/>
  </w:style>
  <w:style w:type="paragraph" w:customStyle="1" w:styleId="Normal7">
    <w:name w:val="Normal7"/>
    <w:basedOn w:val="Normal"/>
    <w:rsid w:val="00646885"/>
    <w:pPr>
      <w:spacing w:before="100" w:beforeAutospacing="1" w:after="100" w:afterAutospacing="1"/>
      <w:jc w:val="left"/>
    </w:pPr>
    <w:rPr>
      <w:rFonts w:eastAsia="Times New Roman"/>
      <w:szCs w:val="24"/>
      <w:lang w:val="fr-BE" w:eastAsia="fr-BE"/>
    </w:rPr>
  </w:style>
  <w:style w:type="paragraph" w:customStyle="1" w:styleId="Normal8">
    <w:name w:val="Normal8"/>
    <w:basedOn w:val="Normal"/>
    <w:rsid w:val="00646885"/>
    <w:pPr>
      <w:spacing w:before="100" w:beforeAutospacing="1" w:after="100" w:afterAutospacing="1"/>
      <w:jc w:val="left"/>
    </w:pPr>
    <w:rPr>
      <w:rFonts w:eastAsia="Times New Roman"/>
      <w:szCs w:val="24"/>
      <w:lang w:val="fr-BE" w:eastAsia="fr-BE"/>
    </w:rPr>
  </w:style>
  <w:style w:type="table" w:styleId="GridTable1Light-Accent1">
    <w:name w:val="Grid Table 1 Light Accent 1"/>
    <w:basedOn w:val="TableNormal"/>
    <w:uiPriority w:val="46"/>
    <w:rsid w:val="00646885"/>
    <w:pPr>
      <w:spacing w:after="0" w:line="240" w:lineRule="auto"/>
    </w:pPr>
    <w:rPr>
      <w:sz w:val="20"/>
      <w:szCs w:val="20"/>
      <w:lang w:val="fr-BE"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9">
    <w:name w:val="Normal9"/>
    <w:basedOn w:val="Normal"/>
    <w:rsid w:val="00646885"/>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sid w:val="0077167C"/>
    <w:rPr>
      <w:i/>
      <w:iCs/>
    </w:rPr>
  </w:style>
  <w:style w:type="character" w:customStyle="1" w:styleId="italic1">
    <w:name w:val="italic1"/>
    <w:basedOn w:val="DefaultParagraphFont"/>
    <w:rsid w:val="001F2AFE"/>
    <w:rPr>
      <w:i/>
      <w:iCs/>
    </w:rPr>
  </w:style>
  <w:style w:type="paragraph" w:customStyle="1" w:styleId="paragraph">
    <w:name w:val="paragraph"/>
    <w:basedOn w:val="Normal"/>
    <w:rsid w:val="009C6D4D"/>
    <w:pPr>
      <w:spacing w:before="100" w:beforeAutospacing="1" w:after="100" w:afterAutospacing="1"/>
      <w:jc w:val="left"/>
    </w:pPr>
    <w:rPr>
      <w:rFonts w:eastAsia="Times New Roman"/>
      <w:szCs w:val="24"/>
      <w:lang w:val="fr-BE" w:eastAsia="fr-BE"/>
    </w:rPr>
  </w:style>
  <w:style w:type="paragraph" w:customStyle="1" w:styleId="Default">
    <w:name w:val="Default"/>
    <w:rsid w:val="007D1EC6"/>
    <w:pPr>
      <w:autoSpaceDE w:val="0"/>
      <w:autoSpaceDN w:val="0"/>
      <w:adjustRightInd w:val="0"/>
      <w:spacing w:after="0" w:line="240" w:lineRule="auto"/>
    </w:pPr>
    <w:rPr>
      <w:rFonts w:ascii="EUAlbertina" w:hAnsi="EUAlbertina" w:cs="EUAlbertina"/>
      <w:color w:val="000000"/>
      <w:sz w:val="24"/>
      <w:szCs w:val="24"/>
      <w:lang w:val="en-IE"/>
    </w:rPr>
  </w:style>
  <w:style w:type="paragraph" w:customStyle="1" w:styleId="point0letterautonumber">
    <w:name w:val="point 0 letter autonumber"/>
    <w:basedOn w:val="Normal"/>
    <w:next w:val="Normal"/>
    <w:qFormat/>
    <w:rsid w:val="00C84249"/>
    <w:pPr>
      <w:ind w:left="567" w:hanging="567"/>
    </w:pPr>
  </w:style>
  <w:style w:type="paragraph" w:styleId="ListParagraph">
    <w:name w:val="List Paragraph"/>
    <w:aliases w:val="Paragraphe EI,Paragraphe de liste1,EC,Paragraphe de liste,Issue Action POC,List Paragraph1,3,POCG Table Text,Dot pt,F5 List Paragraph,List Paragraph Char Char Char,Indicator Text,Colorful List - Accent 11,Numbered Para 1,Bullet Points,L"/>
    <w:basedOn w:val="Normal"/>
    <w:link w:val="ListParagraphChar"/>
    <w:uiPriority w:val="34"/>
    <w:qFormat/>
    <w:rsid w:val="00DD1888"/>
    <w:pPr>
      <w:ind w:left="720"/>
      <w:contextualSpacing/>
    </w:pPr>
  </w:style>
  <w:style w:type="character" w:customStyle="1" w:styleId="oj-super">
    <w:name w:val="oj-super"/>
    <w:basedOn w:val="DefaultParagraphFont"/>
    <w:rsid w:val="008412B5"/>
  </w:style>
  <w:style w:type="paragraph" w:customStyle="1" w:styleId="Normal10">
    <w:name w:val="Normal10"/>
    <w:basedOn w:val="Normal"/>
    <w:rsid w:val="009072B2"/>
    <w:pPr>
      <w:spacing w:before="100" w:beforeAutospacing="1" w:after="100" w:afterAutospacing="1"/>
      <w:jc w:val="left"/>
    </w:pPr>
    <w:rPr>
      <w:szCs w:val="24"/>
      <w:lang w:val="fr-BE" w:eastAsia="fr-BE"/>
    </w:rPr>
  </w:style>
  <w:style w:type="character" w:customStyle="1" w:styleId="ListParagraphChar">
    <w:name w:val="List Paragraph Char"/>
    <w:aliases w:val="Paragraphe EI Char,Paragraphe de liste1 Char,EC Char,Paragraphe de liste Char,Issue Action POC Char,List Paragraph1 Char,3 Char,POCG Table Text Char,Dot pt Char,F5 List Paragraph Char,List Paragraph Char Char Char Char,L Char"/>
    <w:link w:val="ListParagraph"/>
    <w:uiPriority w:val="34"/>
    <w:qFormat/>
    <w:locked/>
    <w:rsid w:val="00E36491"/>
    <w:rPr>
      <w:rFonts w:ascii="Times New Roman" w:hAnsi="Times New Roman" w:cs="Times New Roman"/>
      <w:sz w:val="24"/>
      <w:lang w:val="en-GB"/>
    </w:rPr>
  </w:style>
  <w:style w:type="paragraph" w:customStyle="1" w:styleId="Normal11">
    <w:name w:val="Normal11"/>
    <w:basedOn w:val="Normal"/>
    <w:rsid w:val="0025204D"/>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25204D"/>
  </w:style>
  <w:style w:type="paragraph" w:styleId="EndnoteText">
    <w:name w:val="endnote text"/>
    <w:basedOn w:val="Normal"/>
    <w:link w:val="EndnoteTextChar"/>
    <w:uiPriority w:val="99"/>
    <w:semiHidden/>
    <w:unhideWhenUsed/>
    <w:rsid w:val="006F3846"/>
    <w:pPr>
      <w:spacing w:before="0" w:after="0"/>
    </w:pPr>
    <w:rPr>
      <w:sz w:val="20"/>
      <w:szCs w:val="20"/>
    </w:rPr>
  </w:style>
  <w:style w:type="character" w:customStyle="1" w:styleId="EndnoteTextChar">
    <w:name w:val="Endnote Text Char"/>
    <w:basedOn w:val="DefaultParagraphFont"/>
    <w:link w:val="EndnoteText"/>
    <w:uiPriority w:val="99"/>
    <w:semiHidden/>
    <w:rsid w:val="006F3846"/>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6F3846"/>
    <w:rPr>
      <w:vertAlign w:val="superscript"/>
    </w:rPr>
  </w:style>
  <w:style w:type="character" w:customStyle="1" w:styleId="normaltextrun">
    <w:name w:val="normaltextrun"/>
    <w:basedOn w:val="DefaultParagraphFont"/>
    <w:rsid w:val="006F3846"/>
  </w:style>
  <w:style w:type="character" w:customStyle="1" w:styleId="markedcontent">
    <w:name w:val="markedcontent"/>
    <w:basedOn w:val="DefaultParagraphFont"/>
    <w:rsid w:val="006F3846"/>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Normal12">
    <w:name w:val="Normal12"/>
    <w:basedOn w:val="Normal"/>
    <w:rsid w:val="00135249"/>
    <w:pPr>
      <w:spacing w:before="100" w:beforeAutospacing="1" w:after="100" w:afterAutospacing="1"/>
      <w:jc w:val="left"/>
    </w:pPr>
    <w:rPr>
      <w:szCs w:val="24"/>
      <w:lang w:eastAsia="en-GB"/>
    </w:rPr>
  </w:style>
  <w:style w:type="character" w:customStyle="1" w:styleId="num">
    <w:name w:val="num"/>
    <w:basedOn w:val="DefaultParagraphFont"/>
    <w:rsid w:val="00135249"/>
  </w:style>
  <w:style w:type="paragraph" w:customStyle="1" w:styleId="norm">
    <w:name w:val="norm"/>
    <w:basedOn w:val="Normal"/>
    <w:rsid w:val="008518BB"/>
    <w:pPr>
      <w:spacing w:before="100" w:beforeAutospacing="1" w:after="100" w:afterAutospacing="1"/>
      <w:jc w:val="left"/>
    </w:pPr>
    <w:rPr>
      <w:rFonts w:eastAsia="Times New Roman"/>
      <w:szCs w:val="24"/>
      <w:lang w:eastAsia="en-GB"/>
    </w:rPr>
  </w:style>
  <w:style w:type="character" w:customStyle="1" w:styleId="eop">
    <w:name w:val="eop"/>
    <w:basedOn w:val="DefaultParagraphFont"/>
    <w:rsid w:val="00D802F3"/>
    <w:rPr>
      <w:rFonts w:ascii="Times New Roman" w:hAnsi="Times New Roman" w:cs="Times New Roman" w:hint="default"/>
    </w:rPr>
  </w:style>
  <w:style w:type="character" w:customStyle="1" w:styleId="contents">
    <w:name w:val="contents"/>
    <w:basedOn w:val="DefaultParagraphFont"/>
    <w:rsid w:val="00D90F16"/>
  </w:style>
  <w:style w:type="numbering" w:customStyle="1" w:styleId="NoList1">
    <w:name w:val="No List1"/>
    <w:next w:val="NoList"/>
    <w:uiPriority w:val="99"/>
    <w:semiHidden/>
    <w:unhideWhenUsed/>
    <w:rsid w:val="00BF1765"/>
  </w:style>
  <w:style w:type="table" w:customStyle="1" w:styleId="TableGrid1">
    <w:name w:val="Table Grid1"/>
    <w:basedOn w:val="TableNormal"/>
    <w:next w:val="TableGrid"/>
    <w:uiPriority w:val="59"/>
    <w:rsid w:val="00BF1765"/>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tle-article-norm">
    <w:name w:val="stitle-article-norm"/>
    <w:basedOn w:val="Normal"/>
    <w:rsid w:val="00BF1765"/>
    <w:pPr>
      <w:spacing w:before="100" w:beforeAutospacing="1" w:after="100" w:afterAutospacing="1"/>
      <w:jc w:val="left"/>
    </w:pPr>
    <w:rPr>
      <w:rFonts w:eastAsia="Times New Roman"/>
      <w:szCs w:val="24"/>
      <w:lang w:val="fr-BE" w:eastAsia="fr-BE"/>
    </w:rPr>
  </w:style>
  <w:style w:type="table" w:customStyle="1" w:styleId="GridTable1Light-Accent11">
    <w:name w:val="Grid Table 1 Light - Accent 11"/>
    <w:basedOn w:val="TableNormal"/>
    <w:next w:val="GridTable1Light-Accent1"/>
    <w:uiPriority w:val="46"/>
    <w:rsid w:val="00BF1765"/>
    <w:pPr>
      <w:spacing w:after="0" w:line="240" w:lineRule="auto"/>
    </w:pPr>
    <w:rPr>
      <w:sz w:val="20"/>
      <w:szCs w:val="20"/>
      <w:lang w:val="fr-BE"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ighlight">
    <w:name w:val="highlight"/>
    <w:basedOn w:val="DefaultParagraphFont"/>
    <w:rsid w:val="00BF1765"/>
  </w:style>
  <w:style w:type="character" w:customStyle="1" w:styleId="None">
    <w:name w:val="None"/>
    <w:rsid w:val="00936575"/>
  </w:style>
  <w:style w:type="paragraph" w:customStyle="1" w:styleId="nor">
    <w:name w:val="nor"/>
    <w:basedOn w:val="Normal"/>
    <w:rsid w:val="009E4B21"/>
    <w:pPr>
      <w:numPr>
        <w:numId w:val="134"/>
      </w:numPr>
    </w:pPr>
  </w:style>
  <w:style w:type="character" w:customStyle="1" w:styleId="hgkelc">
    <w:name w:val="hgkelc"/>
    <w:basedOn w:val="DefaultParagraphFont"/>
    <w:rsid w:val="00CF40DF"/>
  </w:style>
  <w:style w:type="paragraph" w:styleId="Header">
    <w:name w:val="header"/>
    <w:basedOn w:val="Normal"/>
    <w:link w:val="HeaderChar"/>
    <w:uiPriority w:val="99"/>
    <w:unhideWhenUsed/>
    <w:rsid w:val="008B42B0"/>
    <w:pPr>
      <w:tabs>
        <w:tab w:val="center" w:pos="4535"/>
        <w:tab w:val="right" w:pos="9071"/>
      </w:tabs>
      <w:spacing w:before="0"/>
    </w:pPr>
  </w:style>
  <w:style w:type="character" w:customStyle="1" w:styleId="HeaderChar">
    <w:name w:val="Header Char"/>
    <w:basedOn w:val="DefaultParagraphFont"/>
    <w:link w:val="Header"/>
    <w:uiPriority w:val="99"/>
    <w:rsid w:val="008B42B0"/>
    <w:rPr>
      <w:rFonts w:ascii="Times New Roman" w:hAnsi="Times New Roman" w:cs="Times New Roman"/>
      <w:sz w:val="24"/>
      <w:lang w:val="en-GB"/>
    </w:rPr>
  </w:style>
  <w:style w:type="paragraph" w:styleId="Footer">
    <w:name w:val="footer"/>
    <w:basedOn w:val="Normal"/>
    <w:link w:val="FooterChar"/>
    <w:uiPriority w:val="99"/>
    <w:unhideWhenUsed/>
    <w:rsid w:val="008B42B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B42B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B42B0"/>
    <w:pPr>
      <w:tabs>
        <w:tab w:val="center" w:pos="7285"/>
        <w:tab w:val="right" w:pos="14003"/>
      </w:tabs>
      <w:spacing w:before="0"/>
    </w:pPr>
  </w:style>
  <w:style w:type="paragraph" w:customStyle="1" w:styleId="FooterLandscape">
    <w:name w:val="FooterLandscape"/>
    <w:basedOn w:val="Normal"/>
    <w:rsid w:val="008B42B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B42B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B42B0"/>
    <w:pPr>
      <w:spacing w:before="0"/>
      <w:jc w:val="right"/>
    </w:pPr>
    <w:rPr>
      <w:sz w:val="28"/>
    </w:rPr>
  </w:style>
  <w:style w:type="paragraph" w:customStyle="1" w:styleId="FooterSensitivity">
    <w:name w:val="Footer Sensitivity"/>
    <w:basedOn w:val="Normal"/>
    <w:rsid w:val="008B42B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50"/>
      </w:numPr>
    </w:pPr>
  </w:style>
  <w:style w:type="paragraph" w:customStyle="1" w:styleId="Tiret1">
    <w:name w:val="Tiret 1"/>
    <w:basedOn w:val="Point1"/>
    <w:rsid w:val="00517205"/>
    <w:pPr>
      <w:numPr>
        <w:numId w:val="151"/>
      </w:numPr>
    </w:pPr>
  </w:style>
  <w:style w:type="paragraph" w:customStyle="1" w:styleId="Tiret2">
    <w:name w:val="Tiret 2"/>
    <w:basedOn w:val="Point2"/>
    <w:rsid w:val="00517205"/>
    <w:pPr>
      <w:numPr>
        <w:numId w:val="152"/>
      </w:numPr>
    </w:pPr>
  </w:style>
  <w:style w:type="paragraph" w:customStyle="1" w:styleId="Tiret3">
    <w:name w:val="Tiret 3"/>
    <w:basedOn w:val="Point3"/>
    <w:rsid w:val="00517205"/>
    <w:pPr>
      <w:numPr>
        <w:numId w:val="153"/>
      </w:numPr>
    </w:pPr>
  </w:style>
  <w:style w:type="paragraph" w:customStyle="1" w:styleId="Tiret4">
    <w:name w:val="Tiret 4"/>
    <w:basedOn w:val="Point4"/>
    <w:rsid w:val="00517205"/>
    <w:pPr>
      <w:numPr>
        <w:numId w:val="154"/>
      </w:numPr>
    </w:pPr>
  </w:style>
  <w:style w:type="paragraph" w:customStyle="1" w:styleId="Tiret5">
    <w:name w:val="Tiret 5"/>
    <w:basedOn w:val="Point5"/>
    <w:rsid w:val="00517205"/>
    <w:pPr>
      <w:numPr>
        <w:numId w:val="15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56"/>
      </w:numPr>
    </w:pPr>
  </w:style>
  <w:style w:type="paragraph" w:customStyle="1" w:styleId="NumPar2">
    <w:name w:val="NumPar 2"/>
    <w:basedOn w:val="Normal"/>
    <w:next w:val="Text1"/>
    <w:rsid w:val="00517205"/>
    <w:pPr>
      <w:numPr>
        <w:ilvl w:val="1"/>
        <w:numId w:val="156"/>
      </w:numPr>
    </w:pPr>
  </w:style>
  <w:style w:type="paragraph" w:customStyle="1" w:styleId="NumPar3">
    <w:name w:val="NumPar 3"/>
    <w:basedOn w:val="Normal"/>
    <w:next w:val="Text1"/>
    <w:rsid w:val="00517205"/>
    <w:pPr>
      <w:numPr>
        <w:ilvl w:val="2"/>
        <w:numId w:val="156"/>
      </w:numPr>
    </w:pPr>
  </w:style>
  <w:style w:type="paragraph" w:customStyle="1" w:styleId="NumPar4">
    <w:name w:val="NumPar 4"/>
    <w:basedOn w:val="Normal"/>
    <w:next w:val="Text1"/>
    <w:rsid w:val="00517205"/>
    <w:pPr>
      <w:numPr>
        <w:ilvl w:val="3"/>
        <w:numId w:val="156"/>
      </w:numPr>
    </w:pPr>
  </w:style>
  <w:style w:type="paragraph" w:customStyle="1" w:styleId="NumPar5">
    <w:name w:val="NumPar 5"/>
    <w:basedOn w:val="Normal"/>
    <w:next w:val="Text2"/>
    <w:rsid w:val="00517205"/>
    <w:pPr>
      <w:numPr>
        <w:ilvl w:val="4"/>
        <w:numId w:val="156"/>
      </w:numPr>
    </w:pPr>
  </w:style>
  <w:style w:type="paragraph" w:customStyle="1" w:styleId="NumPar6">
    <w:name w:val="NumPar 6"/>
    <w:basedOn w:val="Normal"/>
    <w:next w:val="Text2"/>
    <w:rsid w:val="00517205"/>
    <w:pPr>
      <w:numPr>
        <w:ilvl w:val="5"/>
        <w:numId w:val="156"/>
      </w:numPr>
    </w:pPr>
  </w:style>
  <w:style w:type="paragraph" w:customStyle="1" w:styleId="NumPar7">
    <w:name w:val="NumPar 7"/>
    <w:basedOn w:val="Normal"/>
    <w:next w:val="Text2"/>
    <w:rsid w:val="00517205"/>
    <w:pPr>
      <w:numPr>
        <w:ilvl w:val="6"/>
        <w:numId w:val="15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6E6DC7"/>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58"/>
      </w:numPr>
    </w:pPr>
  </w:style>
  <w:style w:type="paragraph" w:customStyle="1" w:styleId="Point1number">
    <w:name w:val="Point 1 (number)"/>
    <w:basedOn w:val="Normal"/>
    <w:rsid w:val="00517205"/>
    <w:pPr>
      <w:numPr>
        <w:ilvl w:val="2"/>
        <w:numId w:val="158"/>
      </w:numPr>
    </w:pPr>
  </w:style>
  <w:style w:type="paragraph" w:customStyle="1" w:styleId="Point2number">
    <w:name w:val="Point 2 (number)"/>
    <w:basedOn w:val="Normal"/>
    <w:rsid w:val="00517205"/>
    <w:pPr>
      <w:numPr>
        <w:ilvl w:val="4"/>
        <w:numId w:val="158"/>
      </w:numPr>
    </w:pPr>
  </w:style>
  <w:style w:type="paragraph" w:customStyle="1" w:styleId="Point3number">
    <w:name w:val="Point 3 (number)"/>
    <w:basedOn w:val="Normal"/>
    <w:rsid w:val="00517205"/>
    <w:pPr>
      <w:numPr>
        <w:ilvl w:val="6"/>
        <w:numId w:val="158"/>
      </w:numPr>
    </w:pPr>
  </w:style>
  <w:style w:type="paragraph" w:customStyle="1" w:styleId="Point0letter">
    <w:name w:val="Point 0 (letter)"/>
    <w:basedOn w:val="Normal"/>
    <w:rsid w:val="00517205"/>
    <w:pPr>
      <w:numPr>
        <w:ilvl w:val="1"/>
        <w:numId w:val="158"/>
      </w:numPr>
    </w:pPr>
  </w:style>
  <w:style w:type="paragraph" w:customStyle="1" w:styleId="Point1letter">
    <w:name w:val="Point 1 (letter)"/>
    <w:basedOn w:val="Normal"/>
    <w:rsid w:val="00517205"/>
    <w:pPr>
      <w:numPr>
        <w:ilvl w:val="3"/>
        <w:numId w:val="158"/>
      </w:numPr>
    </w:pPr>
  </w:style>
  <w:style w:type="paragraph" w:customStyle="1" w:styleId="Point2letter">
    <w:name w:val="Point 2 (letter)"/>
    <w:basedOn w:val="Normal"/>
    <w:rsid w:val="00517205"/>
    <w:pPr>
      <w:numPr>
        <w:ilvl w:val="5"/>
        <w:numId w:val="158"/>
      </w:numPr>
    </w:pPr>
  </w:style>
  <w:style w:type="paragraph" w:customStyle="1" w:styleId="Point3letter">
    <w:name w:val="Point 3 (letter)"/>
    <w:basedOn w:val="Normal"/>
    <w:rsid w:val="00517205"/>
    <w:pPr>
      <w:numPr>
        <w:ilvl w:val="7"/>
        <w:numId w:val="158"/>
      </w:numPr>
    </w:pPr>
  </w:style>
  <w:style w:type="paragraph" w:customStyle="1" w:styleId="Point4letter">
    <w:name w:val="Point 4 (letter)"/>
    <w:basedOn w:val="Normal"/>
    <w:rsid w:val="00517205"/>
    <w:pPr>
      <w:numPr>
        <w:ilvl w:val="8"/>
        <w:numId w:val="158"/>
      </w:numPr>
    </w:pPr>
  </w:style>
  <w:style w:type="paragraph" w:customStyle="1" w:styleId="Bullet0">
    <w:name w:val="Bullet 0"/>
    <w:basedOn w:val="Normal"/>
    <w:rsid w:val="00517205"/>
    <w:pPr>
      <w:numPr>
        <w:numId w:val="159"/>
      </w:numPr>
    </w:pPr>
  </w:style>
  <w:style w:type="paragraph" w:customStyle="1" w:styleId="Bullet1">
    <w:name w:val="Bullet 1"/>
    <w:basedOn w:val="Normal"/>
    <w:rsid w:val="00517205"/>
    <w:pPr>
      <w:numPr>
        <w:numId w:val="160"/>
      </w:numPr>
    </w:pPr>
  </w:style>
  <w:style w:type="paragraph" w:customStyle="1" w:styleId="Bullet2">
    <w:name w:val="Bullet 2"/>
    <w:basedOn w:val="Normal"/>
    <w:rsid w:val="00517205"/>
    <w:pPr>
      <w:numPr>
        <w:numId w:val="161"/>
      </w:numPr>
    </w:pPr>
  </w:style>
  <w:style w:type="paragraph" w:customStyle="1" w:styleId="Bullet3">
    <w:name w:val="Bullet 3"/>
    <w:basedOn w:val="Normal"/>
    <w:rsid w:val="00517205"/>
    <w:pPr>
      <w:numPr>
        <w:numId w:val="162"/>
      </w:numPr>
    </w:pPr>
  </w:style>
  <w:style w:type="paragraph" w:customStyle="1" w:styleId="Bullet4">
    <w:name w:val="Bullet 4"/>
    <w:basedOn w:val="Normal"/>
    <w:rsid w:val="00517205"/>
    <w:pPr>
      <w:numPr>
        <w:numId w:val="16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16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800">
      <w:bodyDiv w:val="1"/>
      <w:marLeft w:val="0"/>
      <w:marRight w:val="0"/>
      <w:marTop w:val="0"/>
      <w:marBottom w:val="0"/>
      <w:divBdr>
        <w:top w:val="none" w:sz="0" w:space="0" w:color="auto"/>
        <w:left w:val="none" w:sz="0" w:space="0" w:color="auto"/>
        <w:bottom w:val="none" w:sz="0" w:space="0" w:color="auto"/>
        <w:right w:val="none" w:sz="0" w:space="0" w:color="auto"/>
      </w:divBdr>
    </w:div>
    <w:div w:id="16742002">
      <w:bodyDiv w:val="1"/>
      <w:marLeft w:val="0"/>
      <w:marRight w:val="0"/>
      <w:marTop w:val="0"/>
      <w:marBottom w:val="0"/>
      <w:divBdr>
        <w:top w:val="none" w:sz="0" w:space="0" w:color="auto"/>
        <w:left w:val="none" w:sz="0" w:space="0" w:color="auto"/>
        <w:bottom w:val="none" w:sz="0" w:space="0" w:color="auto"/>
        <w:right w:val="none" w:sz="0" w:space="0" w:color="auto"/>
      </w:divBdr>
    </w:div>
    <w:div w:id="43065115">
      <w:bodyDiv w:val="1"/>
      <w:marLeft w:val="0"/>
      <w:marRight w:val="0"/>
      <w:marTop w:val="0"/>
      <w:marBottom w:val="0"/>
      <w:divBdr>
        <w:top w:val="none" w:sz="0" w:space="0" w:color="auto"/>
        <w:left w:val="none" w:sz="0" w:space="0" w:color="auto"/>
        <w:bottom w:val="none" w:sz="0" w:space="0" w:color="auto"/>
        <w:right w:val="none" w:sz="0" w:space="0" w:color="auto"/>
      </w:divBdr>
    </w:div>
    <w:div w:id="46296691">
      <w:bodyDiv w:val="1"/>
      <w:marLeft w:val="0"/>
      <w:marRight w:val="0"/>
      <w:marTop w:val="0"/>
      <w:marBottom w:val="0"/>
      <w:divBdr>
        <w:top w:val="none" w:sz="0" w:space="0" w:color="auto"/>
        <w:left w:val="none" w:sz="0" w:space="0" w:color="auto"/>
        <w:bottom w:val="none" w:sz="0" w:space="0" w:color="auto"/>
        <w:right w:val="none" w:sz="0" w:space="0" w:color="auto"/>
      </w:divBdr>
    </w:div>
    <w:div w:id="54396804">
      <w:bodyDiv w:val="1"/>
      <w:marLeft w:val="0"/>
      <w:marRight w:val="0"/>
      <w:marTop w:val="0"/>
      <w:marBottom w:val="0"/>
      <w:divBdr>
        <w:top w:val="none" w:sz="0" w:space="0" w:color="auto"/>
        <w:left w:val="none" w:sz="0" w:space="0" w:color="auto"/>
        <w:bottom w:val="none" w:sz="0" w:space="0" w:color="auto"/>
        <w:right w:val="none" w:sz="0" w:space="0" w:color="auto"/>
      </w:divBdr>
    </w:div>
    <w:div w:id="67845623">
      <w:bodyDiv w:val="1"/>
      <w:marLeft w:val="0"/>
      <w:marRight w:val="0"/>
      <w:marTop w:val="0"/>
      <w:marBottom w:val="0"/>
      <w:divBdr>
        <w:top w:val="none" w:sz="0" w:space="0" w:color="auto"/>
        <w:left w:val="none" w:sz="0" w:space="0" w:color="auto"/>
        <w:bottom w:val="none" w:sz="0" w:space="0" w:color="auto"/>
        <w:right w:val="none" w:sz="0" w:space="0" w:color="auto"/>
      </w:divBdr>
    </w:div>
    <w:div w:id="73746344">
      <w:bodyDiv w:val="1"/>
      <w:marLeft w:val="0"/>
      <w:marRight w:val="0"/>
      <w:marTop w:val="0"/>
      <w:marBottom w:val="0"/>
      <w:divBdr>
        <w:top w:val="none" w:sz="0" w:space="0" w:color="auto"/>
        <w:left w:val="none" w:sz="0" w:space="0" w:color="auto"/>
        <w:bottom w:val="none" w:sz="0" w:space="0" w:color="auto"/>
        <w:right w:val="none" w:sz="0" w:space="0" w:color="auto"/>
      </w:divBdr>
    </w:div>
    <w:div w:id="93868572">
      <w:bodyDiv w:val="1"/>
      <w:marLeft w:val="0"/>
      <w:marRight w:val="0"/>
      <w:marTop w:val="0"/>
      <w:marBottom w:val="0"/>
      <w:divBdr>
        <w:top w:val="none" w:sz="0" w:space="0" w:color="auto"/>
        <w:left w:val="none" w:sz="0" w:space="0" w:color="auto"/>
        <w:bottom w:val="none" w:sz="0" w:space="0" w:color="auto"/>
        <w:right w:val="none" w:sz="0" w:space="0" w:color="auto"/>
      </w:divBdr>
    </w:div>
    <w:div w:id="97482252">
      <w:bodyDiv w:val="1"/>
      <w:marLeft w:val="0"/>
      <w:marRight w:val="0"/>
      <w:marTop w:val="0"/>
      <w:marBottom w:val="0"/>
      <w:divBdr>
        <w:top w:val="none" w:sz="0" w:space="0" w:color="auto"/>
        <w:left w:val="none" w:sz="0" w:space="0" w:color="auto"/>
        <w:bottom w:val="none" w:sz="0" w:space="0" w:color="auto"/>
        <w:right w:val="none" w:sz="0" w:space="0" w:color="auto"/>
      </w:divBdr>
    </w:div>
    <w:div w:id="108202020">
      <w:bodyDiv w:val="1"/>
      <w:marLeft w:val="0"/>
      <w:marRight w:val="0"/>
      <w:marTop w:val="0"/>
      <w:marBottom w:val="0"/>
      <w:divBdr>
        <w:top w:val="none" w:sz="0" w:space="0" w:color="auto"/>
        <w:left w:val="none" w:sz="0" w:space="0" w:color="auto"/>
        <w:bottom w:val="none" w:sz="0" w:space="0" w:color="auto"/>
        <w:right w:val="none" w:sz="0" w:space="0" w:color="auto"/>
      </w:divBdr>
    </w:div>
    <w:div w:id="128207257">
      <w:bodyDiv w:val="1"/>
      <w:marLeft w:val="0"/>
      <w:marRight w:val="0"/>
      <w:marTop w:val="0"/>
      <w:marBottom w:val="0"/>
      <w:divBdr>
        <w:top w:val="none" w:sz="0" w:space="0" w:color="auto"/>
        <w:left w:val="none" w:sz="0" w:space="0" w:color="auto"/>
        <w:bottom w:val="none" w:sz="0" w:space="0" w:color="auto"/>
        <w:right w:val="none" w:sz="0" w:space="0" w:color="auto"/>
      </w:divBdr>
    </w:div>
    <w:div w:id="136729696">
      <w:bodyDiv w:val="1"/>
      <w:marLeft w:val="0"/>
      <w:marRight w:val="0"/>
      <w:marTop w:val="0"/>
      <w:marBottom w:val="0"/>
      <w:divBdr>
        <w:top w:val="none" w:sz="0" w:space="0" w:color="auto"/>
        <w:left w:val="none" w:sz="0" w:space="0" w:color="auto"/>
        <w:bottom w:val="none" w:sz="0" w:space="0" w:color="auto"/>
        <w:right w:val="none" w:sz="0" w:space="0" w:color="auto"/>
      </w:divBdr>
    </w:div>
    <w:div w:id="138036470">
      <w:bodyDiv w:val="1"/>
      <w:marLeft w:val="0"/>
      <w:marRight w:val="0"/>
      <w:marTop w:val="0"/>
      <w:marBottom w:val="0"/>
      <w:divBdr>
        <w:top w:val="none" w:sz="0" w:space="0" w:color="auto"/>
        <w:left w:val="none" w:sz="0" w:space="0" w:color="auto"/>
        <w:bottom w:val="none" w:sz="0" w:space="0" w:color="auto"/>
        <w:right w:val="none" w:sz="0" w:space="0" w:color="auto"/>
      </w:divBdr>
    </w:div>
    <w:div w:id="162550914">
      <w:bodyDiv w:val="1"/>
      <w:marLeft w:val="0"/>
      <w:marRight w:val="0"/>
      <w:marTop w:val="0"/>
      <w:marBottom w:val="0"/>
      <w:divBdr>
        <w:top w:val="none" w:sz="0" w:space="0" w:color="auto"/>
        <w:left w:val="none" w:sz="0" w:space="0" w:color="auto"/>
        <w:bottom w:val="none" w:sz="0" w:space="0" w:color="auto"/>
        <w:right w:val="none" w:sz="0" w:space="0" w:color="auto"/>
      </w:divBdr>
    </w:div>
    <w:div w:id="163711978">
      <w:bodyDiv w:val="1"/>
      <w:marLeft w:val="0"/>
      <w:marRight w:val="0"/>
      <w:marTop w:val="0"/>
      <w:marBottom w:val="0"/>
      <w:divBdr>
        <w:top w:val="none" w:sz="0" w:space="0" w:color="auto"/>
        <w:left w:val="none" w:sz="0" w:space="0" w:color="auto"/>
        <w:bottom w:val="none" w:sz="0" w:space="0" w:color="auto"/>
        <w:right w:val="none" w:sz="0" w:space="0" w:color="auto"/>
      </w:divBdr>
    </w:div>
    <w:div w:id="170145019">
      <w:bodyDiv w:val="1"/>
      <w:marLeft w:val="0"/>
      <w:marRight w:val="0"/>
      <w:marTop w:val="0"/>
      <w:marBottom w:val="0"/>
      <w:divBdr>
        <w:top w:val="none" w:sz="0" w:space="0" w:color="auto"/>
        <w:left w:val="none" w:sz="0" w:space="0" w:color="auto"/>
        <w:bottom w:val="none" w:sz="0" w:space="0" w:color="auto"/>
        <w:right w:val="none" w:sz="0" w:space="0" w:color="auto"/>
      </w:divBdr>
    </w:div>
    <w:div w:id="172454972">
      <w:bodyDiv w:val="1"/>
      <w:marLeft w:val="0"/>
      <w:marRight w:val="0"/>
      <w:marTop w:val="0"/>
      <w:marBottom w:val="0"/>
      <w:divBdr>
        <w:top w:val="none" w:sz="0" w:space="0" w:color="auto"/>
        <w:left w:val="none" w:sz="0" w:space="0" w:color="auto"/>
        <w:bottom w:val="none" w:sz="0" w:space="0" w:color="auto"/>
        <w:right w:val="none" w:sz="0" w:space="0" w:color="auto"/>
      </w:divBdr>
    </w:div>
    <w:div w:id="176778333">
      <w:bodyDiv w:val="1"/>
      <w:marLeft w:val="0"/>
      <w:marRight w:val="0"/>
      <w:marTop w:val="0"/>
      <w:marBottom w:val="0"/>
      <w:divBdr>
        <w:top w:val="none" w:sz="0" w:space="0" w:color="auto"/>
        <w:left w:val="none" w:sz="0" w:space="0" w:color="auto"/>
        <w:bottom w:val="none" w:sz="0" w:space="0" w:color="auto"/>
        <w:right w:val="none" w:sz="0" w:space="0" w:color="auto"/>
      </w:divBdr>
    </w:div>
    <w:div w:id="182862711">
      <w:bodyDiv w:val="1"/>
      <w:marLeft w:val="0"/>
      <w:marRight w:val="0"/>
      <w:marTop w:val="0"/>
      <w:marBottom w:val="0"/>
      <w:divBdr>
        <w:top w:val="none" w:sz="0" w:space="0" w:color="auto"/>
        <w:left w:val="none" w:sz="0" w:space="0" w:color="auto"/>
        <w:bottom w:val="none" w:sz="0" w:space="0" w:color="auto"/>
        <w:right w:val="none" w:sz="0" w:space="0" w:color="auto"/>
      </w:divBdr>
    </w:div>
    <w:div w:id="204490222">
      <w:bodyDiv w:val="1"/>
      <w:marLeft w:val="0"/>
      <w:marRight w:val="0"/>
      <w:marTop w:val="0"/>
      <w:marBottom w:val="0"/>
      <w:divBdr>
        <w:top w:val="none" w:sz="0" w:space="0" w:color="auto"/>
        <w:left w:val="none" w:sz="0" w:space="0" w:color="auto"/>
        <w:bottom w:val="none" w:sz="0" w:space="0" w:color="auto"/>
        <w:right w:val="none" w:sz="0" w:space="0" w:color="auto"/>
      </w:divBdr>
    </w:div>
    <w:div w:id="212156564">
      <w:bodyDiv w:val="1"/>
      <w:marLeft w:val="0"/>
      <w:marRight w:val="0"/>
      <w:marTop w:val="0"/>
      <w:marBottom w:val="0"/>
      <w:divBdr>
        <w:top w:val="none" w:sz="0" w:space="0" w:color="auto"/>
        <w:left w:val="none" w:sz="0" w:space="0" w:color="auto"/>
        <w:bottom w:val="none" w:sz="0" w:space="0" w:color="auto"/>
        <w:right w:val="none" w:sz="0" w:space="0" w:color="auto"/>
      </w:divBdr>
    </w:div>
    <w:div w:id="240258969">
      <w:bodyDiv w:val="1"/>
      <w:marLeft w:val="0"/>
      <w:marRight w:val="0"/>
      <w:marTop w:val="0"/>
      <w:marBottom w:val="0"/>
      <w:divBdr>
        <w:top w:val="none" w:sz="0" w:space="0" w:color="auto"/>
        <w:left w:val="none" w:sz="0" w:space="0" w:color="auto"/>
        <w:bottom w:val="none" w:sz="0" w:space="0" w:color="auto"/>
        <w:right w:val="none" w:sz="0" w:space="0" w:color="auto"/>
      </w:divBdr>
    </w:div>
    <w:div w:id="246505741">
      <w:bodyDiv w:val="1"/>
      <w:marLeft w:val="0"/>
      <w:marRight w:val="0"/>
      <w:marTop w:val="0"/>
      <w:marBottom w:val="0"/>
      <w:divBdr>
        <w:top w:val="none" w:sz="0" w:space="0" w:color="auto"/>
        <w:left w:val="none" w:sz="0" w:space="0" w:color="auto"/>
        <w:bottom w:val="none" w:sz="0" w:space="0" w:color="auto"/>
        <w:right w:val="none" w:sz="0" w:space="0" w:color="auto"/>
      </w:divBdr>
      <w:divsChild>
        <w:div w:id="479155800">
          <w:marLeft w:val="0"/>
          <w:marRight w:val="0"/>
          <w:marTop w:val="0"/>
          <w:marBottom w:val="0"/>
          <w:divBdr>
            <w:top w:val="none" w:sz="0" w:space="0" w:color="auto"/>
            <w:left w:val="none" w:sz="0" w:space="0" w:color="auto"/>
            <w:bottom w:val="none" w:sz="0" w:space="0" w:color="auto"/>
            <w:right w:val="none" w:sz="0" w:space="0" w:color="auto"/>
          </w:divBdr>
        </w:div>
        <w:div w:id="461578526">
          <w:marLeft w:val="0"/>
          <w:marRight w:val="0"/>
          <w:marTop w:val="0"/>
          <w:marBottom w:val="0"/>
          <w:divBdr>
            <w:top w:val="none" w:sz="0" w:space="0" w:color="auto"/>
            <w:left w:val="none" w:sz="0" w:space="0" w:color="auto"/>
            <w:bottom w:val="none" w:sz="0" w:space="0" w:color="auto"/>
            <w:right w:val="none" w:sz="0" w:space="0" w:color="auto"/>
          </w:divBdr>
        </w:div>
      </w:divsChild>
    </w:div>
    <w:div w:id="246614194">
      <w:bodyDiv w:val="1"/>
      <w:marLeft w:val="0"/>
      <w:marRight w:val="0"/>
      <w:marTop w:val="0"/>
      <w:marBottom w:val="0"/>
      <w:divBdr>
        <w:top w:val="none" w:sz="0" w:space="0" w:color="auto"/>
        <w:left w:val="none" w:sz="0" w:space="0" w:color="auto"/>
        <w:bottom w:val="none" w:sz="0" w:space="0" w:color="auto"/>
        <w:right w:val="none" w:sz="0" w:space="0" w:color="auto"/>
      </w:divBdr>
    </w:div>
    <w:div w:id="246623641">
      <w:bodyDiv w:val="1"/>
      <w:marLeft w:val="0"/>
      <w:marRight w:val="0"/>
      <w:marTop w:val="0"/>
      <w:marBottom w:val="0"/>
      <w:divBdr>
        <w:top w:val="none" w:sz="0" w:space="0" w:color="auto"/>
        <w:left w:val="none" w:sz="0" w:space="0" w:color="auto"/>
        <w:bottom w:val="none" w:sz="0" w:space="0" w:color="auto"/>
        <w:right w:val="none" w:sz="0" w:space="0" w:color="auto"/>
      </w:divBdr>
    </w:div>
    <w:div w:id="255940628">
      <w:bodyDiv w:val="1"/>
      <w:marLeft w:val="0"/>
      <w:marRight w:val="0"/>
      <w:marTop w:val="0"/>
      <w:marBottom w:val="0"/>
      <w:divBdr>
        <w:top w:val="none" w:sz="0" w:space="0" w:color="auto"/>
        <w:left w:val="none" w:sz="0" w:space="0" w:color="auto"/>
        <w:bottom w:val="none" w:sz="0" w:space="0" w:color="auto"/>
        <w:right w:val="none" w:sz="0" w:space="0" w:color="auto"/>
      </w:divBdr>
    </w:div>
    <w:div w:id="259261678">
      <w:bodyDiv w:val="1"/>
      <w:marLeft w:val="0"/>
      <w:marRight w:val="0"/>
      <w:marTop w:val="0"/>
      <w:marBottom w:val="0"/>
      <w:divBdr>
        <w:top w:val="none" w:sz="0" w:space="0" w:color="auto"/>
        <w:left w:val="none" w:sz="0" w:space="0" w:color="auto"/>
        <w:bottom w:val="none" w:sz="0" w:space="0" w:color="auto"/>
        <w:right w:val="none" w:sz="0" w:space="0" w:color="auto"/>
      </w:divBdr>
    </w:div>
    <w:div w:id="283656339">
      <w:bodyDiv w:val="1"/>
      <w:marLeft w:val="0"/>
      <w:marRight w:val="0"/>
      <w:marTop w:val="0"/>
      <w:marBottom w:val="0"/>
      <w:divBdr>
        <w:top w:val="none" w:sz="0" w:space="0" w:color="auto"/>
        <w:left w:val="none" w:sz="0" w:space="0" w:color="auto"/>
        <w:bottom w:val="none" w:sz="0" w:space="0" w:color="auto"/>
        <w:right w:val="none" w:sz="0" w:space="0" w:color="auto"/>
      </w:divBdr>
    </w:div>
    <w:div w:id="297806377">
      <w:bodyDiv w:val="1"/>
      <w:marLeft w:val="0"/>
      <w:marRight w:val="0"/>
      <w:marTop w:val="0"/>
      <w:marBottom w:val="0"/>
      <w:divBdr>
        <w:top w:val="none" w:sz="0" w:space="0" w:color="auto"/>
        <w:left w:val="none" w:sz="0" w:space="0" w:color="auto"/>
        <w:bottom w:val="none" w:sz="0" w:space="0" w:color="auto"/>
        <w:right w:val="none" w:sz="0" w:space="0" w:color="auto"/>
      </w:divBdr>
    </w:div>
    <w:div w:id="328675478">
      <w:bodyDiv w:val="1"/>
      <w:marLeft w:val="0"/>
      <w:marRight w:val="0"/>
      <w:marTop w:val="0"/>
      <w:marBottom w:val="0"/>
      <w:divBdr>
        <w:top w:val="none" w:sz="0" w:space="0" w:color="auto"/>
        <w:left w:val="none" w:sz="0" w:space="0" w:color="auto"/>
        <w:bottom w:val="none" w:sz="0" w:space="0" w:color="auto"/>
        <w:right w:val="none" w:sz="0" w:space="0" w:color="auto"/>
      </w:divBdr>
    </w:div>
    <w:div w:id="333148741">
      <w:bodyDiv w:val="1"/>
      <w:marLeft w:val="0"/>
      <w:marRight w:val="0"/>
      <w:marTop w:val="0"/>
      <w:marBottom w:val="0"/>
      <w:divBdr>
        <w:top w:val="none" w:sz="0" w:space="0" w:color="auto"/>
        <w:left w:val="none" w:sz="0" w:space="0" w:color="auto"/>
        <w:bottom w:val="none" w:sz="0" w:space="0" w:color="auto"/>
        <w:right w:val="none" w:sz="0" w:space="0" w:color="auto"/>
      </w:divBdr>
    </w:div>
    <w:div w:id="338967156">
      <w:bodyDiv w:val="1"/>
      <w:marLeft w:val="0"/>
      <w:marRight w:val="0"/>
      <w:marTop w:val="0"/>
      <w:marBottom w:val="0"/>
      <w:divBdr>
        <w:top w:val="none" w:sz="0" w:space="0" w:color="auto"/>
        <w:left w:val="none" w:sz="0" w:space="0" w:color="auto"/>
        <w:bottom w:val="none" w:sz="0" w:space="0" w:color="auto"/>
        <w:right w:val="none" w:sz="0" w:space="0" w:color="auto"/>
      </w:divBdr>
    </w:div>
    <w:div w:id="341862041">
      <w:bodyDiv w:val="1"/>
      <w:marLeft w:val="0"/>
      <w:marRight w:val="0"/>
      <w:marTop w:val="0"/>
      <w:marBottom w:val="0"/>
      <w:divBdr>
        <w:top w:val="none" w:sz="0" w:space="0" w:color="auto"/>
        <w:left w:val="none" w:sz="0" w:space="0" w:color="auto"/>
        <w:bottom w:val="none" w:sz="0" w:space="0" w:color="auto"/>
        <w:right w:val="none" w:sz="0" w:space="0" w:color="auto"/>
      </w:divBdr>
    </w:div>
    <w:div w:id="378290130">
      <w:bodyDiv w:val="1"/>
      <w:marLeft w:val="0"/>
      <w:marRight w:val="0"/>
      <w:marTop w:val="0"/>
      <w:marBottom w:val="0"/>
      <w:divBdr>
        <w:top w:val="none" w:sz="0" w:space="0" w:color="auto"/>
        <w:left w:val="none" w:sz="0" w:space="0" w:color="auto"/>
        <w:bottom w:val="none" w:sz="0" w:space="0" w:color="auto"/>
        <w:right w:val="none" w:sz="0" w:space="0" w:color="auto"/>
      </w:divBdr>
    </w:div>
    <w:div w:id="403836614">
      <w:bodyDiv w:val="1"/>
      <w:marLeft w:val="0"/>
      <w:marRight w:val="0"/>
      <w:marTop w:val="0"/>
      <w:marBottom w:val="0"/>
      <w:divBdr>
        <w:top w:val="none" w:sz="0" w:space="0" w:color="auto"/>
        <w:left w:val="none" w:sz="0" w:space="0" w:color="auto"/>
        <w:bottom w:val="none" w:sz="0" w:space="0" w:color="auto"/>
        <w:right w:val="none" w:sz="0" w:space="0" w:color="auto"/>
      </w:divBdr>
    </w:div>
    <w:div w:id="407583592">
      <w:bodyDiv w:val="1"/>
      <w:marLeft w:val="0"/>
      <w:marRight w:val="0"/>
      <w:marTop w:val="0"/>
      <w:marBottom w:val="0"/>
      <w:divBdr>
        <w:top w:val="none" w:sz="0" w:space="0" w:color="auto"/>
        <w:left w:val="none" w:sz="0" w:space="0" w:color="auto"/>
        <w:bottom w:val="none" w:sz="0" w:space="0" w:color="auto"/>
        <w:right w:val="none" w:sz="0" w:space="0" w:color="auto"/>
      </w:divBdr>
    </w:div>
    <w:div w:id="414285282">
      <w:bodyDiv w:val="1"/>
      <w:marLeft w:val="0"/>
      <w:marRight w:val="0"/>
      <w:marTop w:val="0"/>
      <w:marBottom w:val="0"/>
      <w:divBdr>
        <w:top w:val="none" w:sz="0" w:space="0" w:color="auto"/>
        <w:left w:val="none" w:sz="0" w:space="0" w:color="auto"/>
        <w:bottom w:val="none" w:sz="0" w:space="0" w:color="auto"/>
        <w:right w:val="none" w:sz="0" w:space="0" w:color="auto"/>
      </w:divBdr>
    </w:div>
    <w:div w:id="417137839">
      <w:bodyDiv w:val="1"/>
      <w:marLeft w:val="0"/>
      <w:marRight w:val="0"/>
      <w:marTop w:val="0"/>
      <w:marBottom w:val="0"/>
      <w:divBdr>
        <w:top w:val="none" w:sz="0" w:space="0" w:color="auto"/>
        <w:left w:val="none" w:sz="0" w:space="0" w:color="auto"/>
        <w:bottom w:val="none" w:sz="0" w:space="0" w:color="auto"/>
        <w:right w:val="none" w:sz="0" w:space="0" w:color="auto"/>
      </w:divBdr>
    </w:div>
    <w:div w:id="444735780">
      <w:bodyDiv w:val="1"/>
      <w:marLeft w:val="0"/>
      <w:marRight w:val="0"/>
      <w:marTop w:val="0"/>
      <w:marBottom w:val="0"/>
      <w:divBdr>
        <w:top w:val="none" w:sz="0" w:space="0" w:color="auto"/>
        <w:left w:val="none" w:sz="0" w:space="0" w:color="auto"/>
        <w:bottom w:val="none" w:sz="0" w:space="0" w:color="auto"/>
        <w:right w:val="none" w:sz="0" w:space="0" w:color="auto"/>
      </w:divBdr>
    </w:div>
    <w:div w:id="459958617">
      <w:bodyDiv w:val="1"/>
      <w:marLeft w:val="0"/>
      <w:marRight w:val="0"/>
      <w:marTop w:val="0"/>
      <w:marBottom w:val="0"/>
      <w:divBdr>
        <w:top w:val="none" w:sz="0" w:space="0" w:color="auto"/>
        <w:left w:val="none" w:sz="0" w:space="0" w:color="auto"/>
        <w:bottom w:val="none" w:sz="0" w:space="0" w:color="auto"/>
        <w:right w:val="none" w:sz="0" w:space="0" w:color="auto"/>
      </w:divBdr>
    </w:div>
    <w:div w:id="489716145">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17160634">
      <w:bodyDiv w:val="1"/>
      <w:marLeft w:val="0"/>
      <w:marRight w:val="0"/>
      <w:marTop w:val="0"/>
      <w:marBottom w:val="0"/>
      <w:divBdr>
        <w:top w:val="none" w:sz="0" w:space="0" w:color="auto"/>
        <w:left w:val="none" w:sz="0" w:space="0" w:color="auto"/>
        <w:bottom w:val="none" w:sz="0" w:space="0" w:color="auto"/>
        <w:right w:val="none" w:sz="0" w:space="0" w:color="auto"/>
      </w:divBdr>
    </w:div>
    <w:div w:id="529074659">
      <w:bodyDiv w:val="1"/>
      <w:marLeft w:val="0"/>
      <w:marRight w:val="0"/>
      <w:marTop w:val="0"/>
      <w:marBottom w:val="0"/>
      <w:divBdr>
        <w:top w:val="none" w:sz="0" w:space="0" w:color="auto"/>
        <w:left w:val="none" w:sz="0" w:space="0" w:color="auto"/>
        <w:bottom w:val="none" w:sz="0" w:space="0" w:color="auto"/>
        <w:right w:val="none" w:sz="0" w:space="0" w:color="auto"/>
      </w:divBdr>
    </w:div>
    <w:div w:id="534998541">
      <w:bodyDiv w:val="1"/>
      <w:marLeft w:val="0"/>
      <w:marRight w:val="0"/>
      <w:marTop w:val="0"/>
      <w:marBottom w:val="0"/>
      <w:divBdr>
        <w:top w:val="none" w:sz="0" w:space="0" w:color="auto"/>
        <w:left w:val="none" w:sz="0" w:space="0" w:color="auto"/>
        <w:bottom w:val="none" w:sz="0" w:space="0" w:color="auto"/>
        <w:right w:val="none" w:sz="0" w:space="0" w:color="auto"/>
      </w:divBdr>
    </w:div>
    <w:div w:id="584345279">
      <w:bodyDiv w:val="1"/>
      <w:marLeft w:val="0"/>
      <w:marRight w:val="0"/>
      <w:marTop w:val="0"/>
      <w:marBottom w:val="0"/>
      <w:divBdr>
        <w:top w:val="none" w:sz="0" w:space="0" w:color="auto"/>
        <w:left w:val="none" w:sz="0" w:space="0" w:color="auto"/>
        <w:bottom w:val="none" w:sz="0" w:space="0" w:color="auto"/>
        <w:right w:val="none" w:sz="0" w:space="0" w:color="auto"/>
      </w:divBdr>
    </w:div>
    <w:div w:id="610474360">
      <w:bodyDiv w:val="1"/>
      <w:marLeft w:val="0"/>
      <w:marRight w:val="0"/>
      <w:marTop w:val="0"/>
      <w:marBottom w:val="0"/>
      <w:divBdr>
        <w:top w:val="none" w:sz="0" w:space="0" w:color="auto"/>
        <w:left w:val="none" w:sz="0" w:space="0" w:color="auto"/>
        <w:bottom w:val="none" w:sz="0" w:space="0" w:color="auto"/>
        <w:right w:val="none" w:sz="0" w:space="0" w:color="auto"/>
      </w:divBdr>
    </w:div>
    <w:div w:id="615329437">
      <w:bodyDiv w:val="1"/>
      <w:marLeft w:val="0"/>
      <w:marRight w:val="0"/>
      <w:marTop w:val="0"/>
      <w:marBottom w:val="0"/>
      <w:divBdr>
        <w:top w:val="none" w:sz="0" w:space="0" w:color="auto"/>
        <w:left w:val="none" w:sz="0" w:space="0" w:color="auto"/>
        <w:bottom w:val="none" w:sz="0" w:space="0" w:color="auto"/>
        <w:right w:val="none" w:sz="0" w:space="0" w:color="auto"/>
      </w:divBdr>
    </w:div>
    <w:div w:id="627321476">
      <w:bodyDiv w:val="1"/>
      <w:marLeft w:val="0"/>
      <w:marRight w:val="0"/>
      <w:marTop w:val="0"/>
      <w:marBottom w:val="0"/>
      <w:divBdr>
        <w:top w:val="none" w:sz="0" w:space="0" w:color="auto"/>
        <w:left w:val="none" w:sz="0" w:space="0" w:color="auto"/>
        <w:bottom w:val="none" w:sz="0" w:space="0" w:color="auto"/>
        <w:right w:val="none" w:sz="0" w:space="0" w:color="auto"/>
      </w:divBdr>
    </w:div>
    <w:div w:id="629941930">
      <w:bodyDiv w:val="1"/>
      <w:marLeft w:val="0"/>
      <w:marRight w:val="0"/>
      <w:marTop w:val="0"/>
      <w:marBottom w:val="0"/>
      <w:divBdr>
        <w:top w:val="none" w:sz="0" w:space="0" w:color="auto"/>
        <w:left w:val="none" w:sz="0" w:space="0" w:color="auto"/>
        <w:bottom w:val="none" w:sz="0" w:space="0" w:color="auto"/>
        <w:right w:val="none" w:sz="0" w:space="0" w:color="auto"/>
      </w:divBdr>
    </w:div>
    <w:div w:id="658460343">
      <w:bodyDiv w:val="1"/>
      <w:marLeft w:val="0"/>
      <w:marRight w:val="0"/>
      <w:marTop w:val="0"/>
      <w:marBottom w:val="0"/>
      <w:divBdr>
        <w:top w:val="none" w:sz="0" w:space="0" w:color="auto"/>
        <w:left w:val="none" w:sz="0" w:space="0" w:color="auto"/>
        <w:bottom w:val="none" w:sz="0" w:space="0" w:color="auto"/>
        <w:right w:val="none" w:sz="0" w:space="0" w:color="auto"/>
      </w:divBdr>
    </w:div>
    <w:div w:id="666205871">
      <w:bodyDiv w:val="1"/>
      <w:marLeft w:val="0"/>
      <w:marRight w:val="0"/>
      <w:marTop w:val="0"/>
      <w:marBottom w:val="0"/>
      <w:divBdr>
        <w:top w:val="none" w:sz="0" w:space="0" w:color="auto"/>
        <w:left w:val="none" w:sz="0" w:space="0" w:color="auto"/>
        <w:bottom w:val="none" w:sz="0" w:space="0" w:color="auto"/>
        <w:right w:val="none" w:sz="0" w:space="0" w:color="auto"/>
      </w:divBdr>
    </w:div>
    <w:div w:id="690837600">
      <w:bodyDiv w:val="1"/>
      <w:marLeft w:val="0"/>
      <w:marRight w:val="0"/>
      <w:marTop w:val="0"/>
      <w:marBottom w:val="0"/>
      <w:divBdr>
        <w:top w:val="none" w:sz="0" w:space="0" w:color="auto"/>
        <w:left w:val="none" w:sz="0" w:space="0" w:color="auto"/>
        <w:bottom w:val="none" w:sz="0" w:space="0" w:color="auto"/>
        <w:right w:val="none" w:sz="0" w:space="0" w:color="auto"/>
      </w:divBdr>
    </w:div>
    <w:div w:id="702293419">
      <w:bodyDiv w:val="1"/>
      <w:marLeft w:val="0"/>
      <w:marRight w:val="0"/>
      <w:marTop w:val="0"/>
      <w:marBottom w:val="0"/>
      <w:divBdr>
        <w:top w:val="none" w:sz="0" w:space="0" w:color="auto"/>
        <w:left w:val="none" w:sz="0" w:space="0" w:color="auto"/>
        <w:bottom w:val="none" w:sz="0" w:space="0" w:color="auto"/>
        <w:right w:val="none" w:sz="0" w:space="0" w:color="auto"/>
      </w:divBdr>
    </w:div>
    <w:div w:id="725301386">
      <w:bodyDiv w:val="1"/>
      <w:marLeft w:val="0"/>
      <w:marRight w:val="0"/>
      <w:marTop w:val="0"/>
      <w:marBottom w:val="0"/>
      <w:divBdr>
        <w:top w:val="none" w:sz="0" w:space="0" w:color="auto"/>
        <w:left w:val="none" w:sz="0" w:space="0" w:color="auto"/>
        <w:bottom w:val="none" w:sz="0" w:space="0" w:color="auto"/>
        <w:right w:val="none" w:sz="0" w:space="0" w:color="auto"/>
      </w:divBdr>
    </w:div>
    <w:div w:id="737750856">
      <w:bodyDiv w:val="1"/>
      <w:marLeft w:val="0"/>
      <w:marRight w:val="0"/>
      <w:marTop w:val="0"/>
      <w:marBottom w:val="0"/>
      <w:divBdr>
        <w:top w:val="none" w:sz="0" w:space="0" w:color="auto"/>
        <w:left w:val="none" w:sz="0" w:space="0" w:color="auto"/>
        <w:bottom w:val="none" w:sz="0" w:space="0" w:color="auto"/>
        <w:right w:val="none" w:sz="0" w:space="0" w:color="auto"/>
      </w:divBdr>
    </w:div>
    <w:div w:id="739058410">
      <w:bodyDiv w:val="1"/>
      <w:marLeft w:val="0"/>
      <w:marRight w:val="0"/>
      <w:marTop w:val="0"/>
      <w:marBottom w:val="0"/>
      <w:divBdr>
        <w:top w:val="none" w:sz="0" w:space="0" w:color="auto"/>
        <w:left w:val="none" w:sz="0" w:space="0" w:color="auto"/>
        <w:bottom w:val="none" w:sz="0" w:space="0" w:color="auto"/>
        <w:right w:val="none" w:sz="0" w:space="0" w:color="auto"/>
      </w:divBdr>
    </w:div>
    <w:div w:id="744379750">
      <w:bodyDiv w:val="1"/>
      <w:marLeft w:val="0"/>
      <w:marRight w:val="0"/>
      <w:marTop w:val="0"/>
      <w:marBottom w:val="0"/>
      <w:divBdr>
        <w:top w:val="none" w:sz="0" w:space="0" w:color="auto"/>
        <w:left w:val="none" w:sz="0" w:space="0" w:color="auto"/>
        <w:bottom w:val="none" w:sz="0" w:space="0" w:color="auto"/>
        <w:right w:val="none" w:sz="0" w:space="0" w:color="auto"/>
      </w:divBdr>
    </w:div>
    <w:div w:id="750204439">
      <w:bodyDiv w:val="1"/>
      <w:marLeft w:val="0"/>
      <w:marRight w:val="0"/>
      <w:marTop w:val="0"/>
      <w:marBottom w:val="0"/>
      <w:divBdr>
        <w:top w:val="none" w:sz="0" w:space="0" w:color="auto"/>
        <w:left w:val="none" w:sz="0" w:space="0" w:color="auto"/>
        <w:bottom w:val="none" w:sz="0" w:space="0" w:color="auto"/>
        <w:right w:val="none" w:sz="0" w:space="0" w:color="auto"/>
      </w:divBdr>
    </w:div>
    <w:div w:id="759449915">
      <w:bodyDiv w:val="1"/>
      <w:marLeft w:val="0"/>
      <w:marRight w:val="0"/>
      <w:marTop w:val="0"/>
      <w:marBottom w:val="0"/>
      <w:divBdr>
        <w:top w:val="none" w:sz="0" w:space="0" w:color="auto"/>
        <w:left w:val="none" w:sz="0" w:space="0" w:color="auto"/>
        <w:bottom w:val="none" w:sz="0" w:space="0" w:color="auto"/>
        <w:right w:val="none" w:sz="0" w:space="0" w:color="auto"/>
      </w:divBdr>
    </w:div>
    <w:div w:id="771827517">
      <w:bodyDiv w:val="1"/>
      <w:marLeft w:val="0"/>
      <w:marRight w:val="0"/>
      <w:marTop w:val="0"/>
      <w:marBottom w:val="0"/>
      <w:divBdr>
        <w:top w:val="none" w:sz="0" w:space="0" w:color="auto"/>
        <w:left w:val="none" w:sz="0" w:space="0" w:color="auto"/>
        <w:bottom w:val="none" w:sz="0" w:space="0" w:color="auto"/>
        <w:right w:val="none" w:sz="0" w:space="0" w:color="auto"/>
      </w:divBdr>
    </w:div>
    <w:div w:id="775294422">
      <w:bodyDiv w:val="1"/>
      <w:marLeft w:val="0"/>
      <w:marRight w:val="0"/>
      <w:marTop w:val="0"/>
      <w:marBottom w:val="0"/>
      <w:divBdr>
        <w:top w:val="none" w:sz="0" w:space="0" w:color="auto"/>
        <w:left w:val="none" w:sz="0" w:space="0" w:color="auto"/>
        <w:bottom w:val="none" w:sz="0" w:space="0" w:color="auto"/>
        <w:right w:val="none" w:sz="0" w:space="0" w:color="auto"/>
      </w:divBdr>
    </w:div>
    <w:div w:id="784080129">
      <w:bodyDiv w:val="1"/>
      <w:marLeft w:val="0"/>
      <w:marRight w:val="0"/>
      <w:marTop w:val="0"/>
      <w:marBottom w:val="0"/>
      <w:divBdr>
        <w:top w:val="none" w:sz="0" w:space="0" w:color="auto"/>
        <w:left w:val="none" w:sz="0" w:space="0" w:color="auto"/>
        <w:bottom w:val="none" w:sz="0" w:space="0" w:color="auto"/>
        <w:right w:val="none" w:sz="0" w:space="0" w:color="auto"/>
      </w:divBdr>
      <w:divsChild>
        <w:div w:id="104540550">
          <w:marLeft w:val="0"/>
          <w:marRight w:val="0"/>
          <w:marTop w:val="0"/>
          <w:marBottom w:val="0"/>
          <w:divBdr>
            <w:top w:val="none" w:sz="0" w:space="0" w:color="auto"/>
            <w:left w:val="none" w:sz="0" w:space="0" w:color="auto"/>
            <w:bottom w:val="none" w:sz="0" w:space="0" w:color="auto"/>
            <w:right w:val="none" w:sz="0" w:space="0" w:color="auto"/>
          </w:divBdr>
        </w:div>
        <w:div w:id="530991517">
          <w:marLeft w:val="0"/>
          <w:marRight w:val="0"/>
          <w:marTop w:val="0"/>
          <w:marBottom w:val="0"/>
          <w:divBdr>
            <w:top w:val="none" w:sz="0" w:space="0" w:color="auto"/>
            <w:left w:val="none" w:sz="0" w:space="0" w:color="auto"/>
            <w:bottom w:val="none" w:sz="0" w:space="0" w:color="auto"/>
            <w:right w:val="none" w:sz="0" w:space="0" w:color="auto"/>
          </w:divBdr>
        </w:div>
      </w:divsChild>
    </w:div>
    <w:div w:id="785390366">
      <w:bodyDiv w:val="1"/>
      <w:marLeft w:val="0"/>
      <w:marRight w:val="0"/>
      <w:marTop w:val="0"/>
      <w:marBottom w:val="0"/>
      <w:divBdr>
        <w:top w:val="none" w:sz="0" w:space="0" w:color="auto"/>
        <w:left w:val="none" w:sz="0" w:space="0" w:color="auto"/>
        <w:bottom w:val="none" w:sz="0" w:space="0" w:color="auto"/>
        <w:right w:val="none" w:sz="0" w:space="0" w:color="auto"/>
      </w:divBdr>
    </w:div>
    <w:div w:id="817113175">
      <w:bodyDiv w:val="1"/>
      <w:marLeft w:val="0"/>
      <w:marRight w:val="0"/>
      <w:marTop w:val="0"/>
      <w:marBottom w:val="0"/>
      <w:divBdr>
        <w:top w:val="none" w:sz="0" w:space="0" w:color="auto"/>
        <w:left w:val="none" w:sz="0" w:space="0" w:color="auto"/>
        <w:bottom w:val="none" w:sz="0" w:space="0" w:color="auto"/>
        <w:right w:val="none" w:sz="0" w:space="0" w:color="auto"/>
      </w:divBdr>
    </w:div>
    <w:div w:id="824980016">
      <w:bodyDiv w:val="1"/>
      <w:marLeft w:val="0"/>
      <w:marRight w:val="0"/>
      <w:marTop w:val="0"/>
      <w:marBottom w:val="0"/>
      <w:divBdr>
        <w:top w:val="none" w:sz="0" w:space="0" w:color="auto"/>
        <w:left w:val="none" w:sz="0" w:space="0" w:color="auto"/>
        <w:bottom w:val="none" w:sz="0" w:space="0" w:color="auto"/>
        <w:right w:val="none" w:sz="0" w:space="0" w:color="auto"/>
      </w:divBdr>
    </w:div>
    <w:div w:id="825896496">
      <w:bodyDiv w:val="1"/>
      <w:marLeft w:val="0"/>
      <w:marRight w:val="0"/>
      <w:marTop w:val="0"/>
      <w:marBottom w:val="0"/>
      <w:divBdr>
        <w:top w:val="none" w:sz="0" w:space="0" w:color="auto"/>
        <w:left w:val="none" w:sz="0" w:space="0" w:color="auto"/>
        <w:bottom w:val="none" w:sz="0" w:space="0" w:color="auto"/>
        <w:right w:val="none" w:sz="0" w:space="0" w:color="auto"/>
      </w:divBdr>
    </w:div>
    <w:div w:id="847911059">
      <w:bodyDiv w:val="1"/>
      <w:marLeft w:val="0"/>
      <w:marRight w:val="0"/>
      <w:marTop w:val="0"/>
      <w:marBottom w:val="0"/>
      <w:divBdr>
        <w:top w:val="none" w:sz="0" w:space="0" w:color="auto"/>
        <w:left w:val="none" w:sz="0" w:space="0" w:color="auto"/>
        <w:bottom w:val="none" w:sz="0" w:space="0" w:color="auto"/>
        <w:right w:val="none" w:sz="0" w:space="0" w:color="auto"/>
      </w:divBdr>
    </w:div>
    <w:div w:id="850338678">
      <w:bodyDiv w:val="1"/>
      <w:marLeft w:val="0"/>
      <w:marRight w:val="0"/>
      <w:marTop w:val="0"/>
      <w:marBottom w:val="0"/>
      <w:divBdr>
        <w:top w:val="none" w:sz="0" w:space="0" w:color="auto"/>
        <w:left w:val="none" w:sz="0" w:space="0" w:color="auto"/>
        <w:bottom w:val="none" w:sz="0" w:space="0" w:color="auto"/>
        <w:right w:val="none" w:sz="0" w:space="0" w:color="auto"/>
      </w:divBdr>
    </w:div>
    <w:div w:id="860554416">
      <w:bodyDiv w:val="1"/>
      <w:marLeft w:val="0"/>
      <w:marRight w:val="0"/>
      <w:marTop w:val="0"/>
      <w:marBottom w:val="0"/>
      <w:divBdr>
        <w:top w:val="none" w:sz="0" w:space="0" w:color="auto"/>
        <w:left w:val="none" w:sz="0" w:space="0" w:color="auto"/>
        <w:bottom w:val="none" w:sz="0" w:space="0" w:color="auto"/>
        <w:right w:val="none" w:sz="0" w:space="0" w:color="auto"/>
      </w:divBdr>
    </w:div>
    <w:div w:id="912157409">
      <w:bodyDiv w:val="1"/>
      <w:marLeft w:val="0"/>
      <w:marRight w:val="0"/>
      <w:marTop w:val="0"/>
      <w:marBottom w:val="0"/>
      <w:divBdr>
        <w:top w:val="none" w:sz="0" w:space="0" w:color="auto"/>
        <w:left w:val="none" w:sz="0" w:space="0" w:color="auto"/>
        <w:bottom w:val="none" w:sz="0" w:space="0" w:color="auto"/>
        <w:right w:val="none" w:sz="0" w:space="0" w:color="auto"/>
      </w:divBdr>
    </w:div>
    <w:div w:id="912157460">
      <w:bodyDiv w:val="1"/>
      <w:marLeft w:val="0"/>
      <w:marRight w:val="0"/>
      <w:marTop w:val="0"/>
      <w:marBottom w:val="0"/>
      <w:divBdr>
        <w:top w:val="none" w:sz="0" w:space="0" w:color="auto"/>
        <w:left w:val="none" w:sz="0" w:space="0" w:color="auto"/>
        <w:bottom w:val="none" w:sz="0" w:space="0" w:color="auto"/>
        <w:right w:val="none" w:sz="0" w:space="0" w:color="auto"/>
      </w:divBdr>
    </w:div>
    <w:div w:id="919753385">
      <w:bodyDiv w:val="1"/>
      <w:marLeft w:val="0"/>
      <w:marRight w:val="0"/>
      <w:marTop w:val="0"/>
      <w:marBottom w:val="0"/>
      <w:divBdr>
        <w:top w:val="none" w:sz="0" w:space="0" w:color="auto"/>
        <w:left w:val="none" w:sz="0" w:space="0" w:color="auto"/>
        <w:bottom w:val="none" w:sz="0" w:space="0" w:color="auto"/>
        <w:right w:val="none" w:sz="0" w:space="0" w:color="auto"/>
      </w:divBdr>
    </w:div>
    <w:div w:id="927495150">
      <w:bodyDiv w:val="1"/>
      <w:marLeft w:val="0"/>
      <w:marRight w:val="0"/>
      <w:marTop w:val="0"/>
      <w:marBottom w:val="0"/>
      <w:divBdr>
        <w:top w:val="none" w:sz="0" w:space="0" w:color="auto"/>
        <w:left w:val="none" w:sz="0" w:space="0" w:color="auto"/>
        <w:bottom w:val="none" w:sz="0" w:space="0" w:color="auto"/>
        <w:right w:val="none" w:sz="0" w:space="0" w:color="auto"/>
      </w:divBdr>
    </w:div>
    <w:div w:id="936594697">
      <w:bodyDiv w:val="1"/>
      <w:marLeft w:val="0"/>
      <w:marRight w:val="0"/>
      <w:marTop w:val="0"/>
      <w:marBottom w:val="0"/>
      <w:divBdr>
        <w:top w:val="none" w:sz="0" w:space="0" w:color="auto"/>
        <w:left w:val="none" w:sz="0" w:space="0" w:color="auto"/>
        <w:bottom w:val="none" w:sz="0" w:space="0" w:color="auto"/>
        <w:right w:val="none" w:sz="0" w:space="0" w:color="auto"/>
      </w:divBdr>
    </w:div>
    <w:div w:id="945700805">
      <w:bodyDiv w:val="1"/>
      <w:marLeft w:val="0"/>
      <w:marRight w:val="0"/>
      <w:marTop w:val="0"/>
      <w:marBottom w:val="0"/>
      <w:divBdr>
        <w:top w:val="none" w:sz="0" w:space="0" w:color="auto"/>
        <w:left w:val="none" w:sz="0" w:space="0" w:color="auto"/>
        <w:bottom w:val="none" w:sz="0" w:space="0" w:color="auto"/>
        <w:right w:val="none" w:sz="0" w:space="0" w:color="auto"/>
      </w:divBdr>
    </w:div>
    <w:div w:id="968320454">
      <w:bodyDiv w:val="1"/>
      <w:marLeft w:val="0"/>
      <w:marRight w:val="0"/>
      <w:marTop w:val="0"/>
      <w:marBottom w:val="0"/>
      <w:divBdr>
        <w:top w:val="none" w:sz="0" w:space="0" w:color="auto"/>
        <w:left w:val="none" w:sz="0" w:space="0" w:color="auto"/>
        <w:bottom w:val="none" w:sz="0" w:space="0" w:color="auto"/>
        <w:right w:val="none" w:sz="0" w:space="0" w:color="auto"/>
      </w:divBdr>
    </w:div>
    <w:div w:id="968632911">
      <w:bodyDiv w:val="1"/>
      <w:marLeft w:val="0"/>
      <w:marRight w:val="0"/>
      <w:marTop w:val="0"/>
      <w:marBottom w:val="0"/>
      <w:divBdr>
        <w:top w:val="none" w:sz="0" w:space="0" w:color="auto"/>
        <w:left w:val="none" w:sz="0" w:space="0" w:color="auto"/>
        <w:bottom w:val="none" w:sz="0" w:space="0" w:color="auto"/>
        <w:right w:val="none" w:sz="0" w:space="0" w:color="auto"/>
      </w:divBdr>
    </w:div>
    <w:div w:id="969166371">
      <w:bodyDiv w:val="1"/>
      <w:marLeft w:val="0"/>
      <w:marRight w:val="0"/>
      <w:marTop w:val="0"/>
      <w:marBottom w:val="0"/>
      <w:divBdr>
        <w:top w:val="none" w:sz="0" w:space="0" w:color="auto"/>
        <w:left w:val="none" w:sz="0" w:space="0" w:color="auto"/>
        <w:bottom w:val="none" w:sz="0" w:space="0" w:color="auto"/>
        <w:right w:val="none" w:sz="0" w:space="0" w:color="auto"/>
      </w:divBdr>
    </w:div>
    <w:div w:id="994532762">
      <w:bodyDiv w:val="1"/>
      <w:marLeft w:val="0"/>
      <w:marRight w:val="0"/>
      <w:marTop w:val="0"/>
      <w:marBottom w:val="0"/>
      <w:divBdr>
        <w:top w:val="none" w:sz="0" w:space="0" w:color="auto"/>
        <w:left w:val="none" w:sz="0" w:space="0" w:color="auto"/>
        <w:bottom w:val="none" w:sz="0" w:space="0" w:color="auto"/>
        <w:right w:val="none" w:sz="0" w:space="0" w:color="auto"/>
      </w:divBdr>
    </w:div>
    <w:div w:id="995189026">
      <w:bodyDiv w:val="1"/>
      <w:marLeft w:val="0"/>
      <w:marRight w:val="0"/>
      <w:marTop w:val="0"/>
      <w:marBottom w:val="0"/>
      <w:divBdr>
        <w:top w:val="none" w:sz="0" w:space="0" w:color="auto"/>
        <w:left w:val="none" w:sz="0" w:space="0" w:color="auto"/>
        <w:bottom w:val="none" w:sz="0" w:space="0" w:color="auto"/>
        <w:right w:val="none" w:sz="0" w:space="0" w:color="auto"/>
      </w:divBdr>
    </w:div>
    <w:div w:id="1000349327">
      <w:bodyDiv w:val="1"/>
      <w:marLeft w:val="0"/>
      <w:marRight w:val="0"/>
      <w:marTop w:val="0"/>
      <w:marBottom w:val="0"/>
      <w:divBdr>
        <w:top w:val="none" w:sz="0" w:space="0" w:color="auto"/>
        <w:left w:val="none" w:sz="0" w:space="0" w:color="auto"/>
        <w:bottom w:val="none" w:sz="0" w:space="0" w:color="auto"/>
        <w:right w:val="none" w:sz="0" w:space="0" w:color="auto"/>
      </w:divBdr>
    </w:div>
    <w:div w:id="1017578747">
      <w:bodyDiv w:val="1"/>
      <w:marLeft w:val="0"/>
      <w:marRight w:val="0"/>
      <w:marTop w:val="0"/>
      <w:marBottom w:val="0"/>
      <w:divBdr>
        <w:top w:val="none" w:sz="0" w:space="0" w:color="auto"/>
        <w:left w:val="none" w:sz="0" w:space="0" w:color="auto"/>
        <w:bottom w:val="none" w:sz="0" w:space="0" w:color="auto"/>
        <w:right w:val="none" w:sz="0" w:space="0" w:color="auto"/>
      </w:divBdr>
    </w:div>
    <w:div w:id="1028726358">
      <w:bodyDiv w:val="1"/>
      <w:marLeft w:val="0"/>
      <w:marRight w:val="0"/>
      <w:marTop w:val="0"/>
      <w:marBottom w:val="0"/>
      <w:divBdr>
        <w:top w:val="none" w:sz="0" w:space="0" w:color="auto"/>
        <w:left w:val="none" w:sz="0" w:space="0" w:color="auto"/>
        <w:bottom w:val="none" w:sz="0" w:space="0" w:color="auto"/>
        <w:right w:val="none" w:sz="0" w:space="0" w:color="auto"/>
      </w:divBdr>
    </w:div>
    <w:div w:id="1034770271">
      <w:bodyDiv w:val="1"/>
      <w:marLeft w:val="0"/>
      <w:marRight w:val="0"/>
      <w:marTop w:val="0"/>
      <w:marBottom w:val="0"/>
      <w:divBdr>
        <w:top w:val="none" w:sz="0" w:space="0" w:color="auto"/>
        <w:left w:val="none" w:sz="0" w:space="0" w:color="auto"/>
        <w:bottom w:val="none" w:sz="0" w:space="0" w:color="auto"/>
        <w:right w:val="none" w:sz="0" w:space="0" w:color="auto"/>
      </w:divBdr>
    </w:div>
    <w:div w:id="1068069069">
      <w:bodyDiv w:val="1"/>
      <w:marLeft w:val="0"/>
      <w:marRight w:val="0"/>
      <w:marTop w:val="0"/>
      <w:marBottom w:val="0"/>
      <w:divBdr>
        <w:top w:val="none" w:sz="0" w:space="0" w:color="auto"/>
        <w:left w:val="none" w:sz="0" w:space="0" w:color="auto"/>
        <w:bottom w:val="none" w:sz="0" w:space="0" w:color="auto"/>
        <w:right w:val="none" w:sz="0" w:space="0" w:color="auto"/>
      </w:divBdr>
    </w:div>
    <w:div w:id="1068960978">
      <w:bodyDiv w:val="1"/>
      <w:marLeft w:val="0"/>
      <w:marRight w:val="0"/>
      <w:marTop w:val="0"/>
      <w:marBottom w:val="0"/>
      <w:divBdr>
        <w:top w:val="none" w:sz="0" w:space="0" w:color="auto"/>
        <w:left w:val="none" w:sz="0" w:space="0" w:color="auto"/>
        <w:bottom w:val="none" w:sz="0" w:space="0" w:color="auto"/>
        <w:right w:val="none" w:sz="0" w:space="0" w:color="auto"/>
      </w:divBdr>
    </w:div>
    <w:div w:id="1071081656">
      <w:bodyDiv w:val="1"/>
      <w:marLeft w:val="0"/>
      <w:marRight w:val="0"/>
      <w:marTop w:val="0"/>
      <w:marBottom w:val="0"/>
      <w:divBdr>
        <w:top w:val="none" w:sz="0" w:space="0" w:color="auto"/>
        <w:left w:val="none" w:sz="0" w:space="0" w:color="auto"/>
        <w:bottom w:val="none" w:sz="0" w:space="0" w:color="auto"/>
        <w:right w:val="none" w:sz="0" w:space="0" w:color="auto"/>
      </w:divBdr>
    </w:div>
    <w:div w:id="1071198683">
      <w:bodyDiv w:val="1"/>
      <w:marLeft w:val="0"/>
      <w:marRight w:val="0"/>
      <w:marTop w:val="0"/>
      <w:marBottom w:val="0"/>
      <w:divBdr>
        <w:top w:val="none" w:sz="0" w:space="0" w:color="auto"/>
        <w:left w:val="none" w:sz="0" w:space="0" w:color="auto"/>
        <w:bottom w:val="none" w:sz="0" w:space="0" w:color="auto"/>
        <w:right w:val="none" w:sz="0" w:space="0" w:color="auto"/>
      </w:divBdr>
    </w:div>
    <w:div w:id="1084113128">
      <w:bodyDiv w:val="1"/>
      <w:marLeft w:val="0"/>
      <w:marRight w:val="0"/>
      <w:marTop w:val="0"/>
      <w:marBottom w:val="0"/>
      <w:divBdr>
        <w:top w:val="none" w:sz="0" w:space="0" w:color="auto"/>
        <w:left w:val="none" w:sz="0" w:space="0" w:color="auto"/>
        <w:bottom w:val="none" w:sz="0" w:space="0" w:color="auto"/>
        <w:right w:val="none" w:sz="0" w:space="0" w:color="auto"/>
      </w:divBdr>
    </w:div>
    <w:div w:id="1089306030">
      <w:bodyDiv w:val="1"/>
      <w:marLeft w:val="0"/>
      <w:marRight w:val="0"/>
      <w:marTop w:val="0"/>
      <w:marBottom w:val="0"/>
      <w:divBdr>
        <w:top w:val="none" w:sz="0" w:space="0" w:color="auto"/>
        <w:left w:val="none" w:sz="0" w:space="0" w:color="auto"/>
        <w:bottom w:val="none" w:sz="0" w:space="0" w:color="auto"/>
        <w:right w:val="none" w:sz="0" w:space="0" w:color="auto"/>
      </w:divBdr>
    </w:div>
    <w:div w:id="1105736128">
      <w:bodyDiv w:val="1"/>
      <w:marLeft w:val="0"/>
      <w:marRight w:val="0"/>
      <w:marTop w:val="0"/>
      <w:marBottom w:val="0"/>
      <w:divBdr>
        <w:top w:val="none" w:sz="0" w:space="0" w:color="auto"/>
        <w:left w:val="none" w:sz="0" w:space="0" w:color="auto"/>
        <w:bottom w:val="none" w:sz="0" w:space="0" w:color="auto"/>
        <w:right w:val="none" w:sz="0" w:space="0" w:color="auto"/>
      </w:divBdr>
    </w:div>
    <w:div w:id="1108811856">
      <w:bodyDiv w:val="1"/>
      <w:marLeft w:val="0"/>
      <w:marRight w:val="0"/>
      <w:marTop w:val="0"/>
      <w:marBottom w:val="0"/>
      <w:divBdr>
        <w:top w:val="none" w:sz="0" w:space="0" w:color="auto"/>
        <w:left w:val="none" w:sz="0" w:space="0" w:color="auto"/>
        <w:bottom w:val="none" w:sz="0" w:space="0" w:color="auto"/>
        <w:right w:val="none" w:sz="0" w:space="0" w:color="auto"/>
      </w:divBdr>
    </w:div>
    <w:div w:id="1118720764">
      <w:bodyDiv w:val="1"/>
      <w:marLeft w:val="0"/>
      <w:marRight w:val="0"/>
      <w:marTop w:val="0"/>
      <w:marBottom w:val="0"/>
      <w:divBdr>
        <w:top w:val="none" w:sz="0" w:space="0" w:color="auto"/>
        <w:left w:val="none" w:sz="0" w:space="0" w:color="auto"/>
        <w:bottom w:val="none" w:sz="0" w:space="0" w:color="auto"/>
        <w:right w:val="none" w:sz="0" w:space="0" w:color="auto"/>
      </w:divBdr>
    </w:div>
    <w:div w:id="1119908898">
      <w:bodyDiv w:val="1"/>
      <w:marLeft w:val="0"/>
      <w:marRight w:val="0"/>
      <w:marTop w:val="0"/>
      <w:marBottom w:val="0"/>
      <w:divBdr>
        <w:top w:val="none" w:sz="0" w:space="0" w:color="auto"/>
        <w:left w:val="none" w:sz="0" w:space="0" w:color="auto"/>
        <w:bottom w:val="none" w:sz="0" w:space="0" w:color="auto"/>
        <w:right w:val="none" w:sz="0" w:space="0" w:color="auto"/>
      </w:divBdr>
    </w:div>
    <w:div w:id="1135873978">
      <w:bodyDiv w:val="1"/>
      <w:marLeft w:val="0"/>
      <w:marRight w:val="0"/>
      <w:marTop w:val="0"/>
      <w:marBottom w:val="0"/>
      <w:divBdr>
        <w:top w:val="none" w:sz="0" w:space="0" w:color="auto"/>
        <w:left w:val="none" w:sz="0" w:space="0" w:color="auto"/>
        <w:bottom w:val="none" w:sz="0" w:space="0" w:color="auto"/>
        <w:right w:val="none" w:sz="0" w:space="0" w:color="auto"/>
      </w:divBdr>
    </w:div>
    <w:div w:id="1152335841">
      <w:bodyDiv w:val="1"/>
      <w:marLeft w:val="0"/>
      <w:marRight w:val="0"/>
      <w:marTop w:val="0"/>
      <w:marBottom w:val="0"/>
      <w:divBdr>
        <w:top w:val="none" w:sz="0" w:space="0" w:color="auto"/>
        <w:left w:val="none" w:sz="0" w:space="0" w:color="auto"/>
        <w:bottom w:val="none" w:sz="0" w:space="0" w:color="auto"/>
        <w:right w:val="none" w:sz="0" w:space="0" w:color="auto"/>
      </w:divBdr>
    </w:div>
    <w:div w:id="1221357173">
      <w:bodyDiv w:val="1"/>
      <w:marLeft w:val="0"/>
      <w:marRight w:val="0"/>
      <w:marTop w:val="0"/>
      <w:marBottom w:val="0"/>
      <w:divBdr>
        <w:top w:val="none" w:sz="0" w:space="0" w:color="auto"/>
        <w:left w:val="none" w:sz="0" w:space="0" w:color="auto"/>
        <w:bottom w:val="none" w:sz="0" w:space="0" w:color="auto"/>
        <w:right w:val="none" w:sz="0" w:space="0" w:color="auto"/>
      </w:divBdr>
    </w:div>
    <w:div w:id="1230455041">
      <w:bodyDiv w:val="1"/>
      <w:marLeft w:val="0"/>
      <w:marRight w:val="0"/>
      <w:marTop w:val="0"/>
      <w:marBottom w:val="0"/>
      <w:divBdr>
        <w:top w:val="none" w:sz="0" w:space="0" w:color="auto"/>
        <w:left w:val="none" w:sz="0" w:space="0" w:color="auto"/>
        <w:bottom w:val="none" w:sz="0" w:space="0" w:color="auto"/>
        <w:right w:val="none" w:sz="0" w:space="0" w:color="auto"/>
      </w:divBdr>
    </w:div>
    <w:div w:id="1243612229">
      <w:bodyDiv w:val="1"/>
      <w:marLeft w:val="0"/>
      <w:marRight w:val="0"/>
      <w:marTop w:val="0"/>
      <w:marBottom w:val="0"/>
      <w:divBdr>
        <w:top w:val="none" w:sz="0" w:space="0" w:color="auto"/>
        <w:left w:val="none" w:sz="0" w:space="0" w:color="auto"/>
        <w:bottom w:val="none" w:sz="0" w:space="0" w:color="auto"/>
        <w:right w:val="none" w:sz="0" w:space="0" w:color="auto"/>
      </w:divBdr>
    </w:div>
    <w:div w:id="1246721795">
      <w:bodyDiv w:val="1"/>
      <w:marLeft w:val="0"/>
      <w:marRight w:val="0"/>
      <w:marTop w:val="0"/>
      <w:marBottom w:val="0"/>
      <w:divBdr>
        <w:top w:val="none" w:sz="0" w:space="0" w:color="auto"/>
        <w:left w:val="none" w:sz="0" w:space="0" w:color="auto"/>
        <w:bottom w:val="none" w:sz="0" w:space="0" w:color="auto"/>
        <w:right w:val="none" w:sz="0" w:space="0" w:color="auto"/>
      </w:divBdr>
    </w:div>
    <w:div w:id="1254319951">
      <w:bodyDiv w:val="1"/>
      <w:marLeft w:val="0"/>
      <w:marRight w:val="0"/>
      <w:marTop w:val="0"/>
      <w:marBottom w:val="0"/>
      <w:divBdr>
        <w:top w:val="none" w:sz="0" w:space="0" w:color="auto"/>
        <w:left w:val="none" w:sz="0" w:space="0" w:color="auto"/>
        <w:bottom w:val="none" w:sz="0" w:space="0" w:color="auto"/>
        <w:right w:val="none" w:sz="0" w:space="0" w:color="auto"/>
      </w:divBdr>
    </w:div>
    <w:div w:id="1264261119">
      <w:bodyDiv w:val="1"/>
      <w:marLeft w:val="0"/>
      <w:marRight w:val="0"/>
      <w:marTop w:val="0"/>
      <w:marBottom w:val="0"/>
      <w:divBdr>
        <w:top w:val="none" w:sz="0" w:space="0" w:color="auto"/>
        <w:left w:val="none" w:sz="0" w:space="0" w:color="auto"/>
        <w:bottom w:val="none" w:sz="0" w:space="0" w:color="auto"/>
        <w:right w:val="none" w:sz="0" w:space="0" w:color="auto"/>
      </w:divBdr>
    </w:div>
    <w:div w:id="1272593670">
      <w:bodyDiv w:val="1"/>
      <w:marLeft w:val="0"/>
      <w:marRight w:val="0"/>
      <w:marTop w:val="0"/>
      <w:marBottom w:val="0"/>
      <w:divBdr>
        <w:top w:val="none" w:sz="0" w:space="0" w:color="auto"/>
        <w:left w:val="none" w:sz="0" w:space="0" w:color="auto"/>
        <w:bottom w:val="none" w:sz="0" w:space="0" w:color="auto"/>
        <w:right w:val="none" w:sz="0" w:space="0" w:color="auto"/>
      </w:divBdr>
    </w:div>
    <w:div w:id="1274290217">
      <w:bodyDiv w:val="1"/>
      <w:marLeft w:val="0"/>
      <w:marRight w:val="0"/>
      <w:marTop w:val="0"/>
      <w:marBottom w:val="0"/>
      <w:divBdr>
        <w:top w:val="none" w:sz="0" w:space="0" w:color="auto"/>
        <w:left w:val="none" w:sz="0" w:space="0" w:color="auto"/>
        <w:bottom w:val="none" w:sz="0" w:space="0" w:color="auto"/>
        <w:right w:val="none" w:sz="0" w:space="0" w:color="auto"/>
      </w:divBdr>
    </w:div>
    <w:div w:id="1295788600">
      <w:bodyDiv w:val="1"/>
      <w:marLeft w:val="0"/>
      <w:marRight w:val="0"/>
      <w:marTop w:val="0"/>
      <w:marBottom w:val="0"/>
      <w:divBdr>
        <w:top w:val="none" w:sz="0" w:space="0" w:color="auto"/>
        <w:left w:val="none" w:sz="0" w:space="0" w:color="auto"/>
        <w:bottom w:val="none" w:sz="0" w:space="0" w:color="auto"/>
        <w:right w:val="none" w:sz="0" w:space="0" w:color="auto"/>
      </w:divBdr>
    </w:div>
    <w:div w:id="1344670501">
      <w:bodyDiv w:val="1"/>
      <w:marLeft w:val="0"/>
      <w:marRight w:val="0"/>
      <w:marTop w:val="0"/>
      <w:marBottom w:val="0"/>
      <w:divBdr>
        <w:top w:val="none" w:sz="0" w:space="0" w:color="auto"/>
        <w:left w:val="none" w:sz="0" w:space="0" w:color="auto"/>
        <w:bottom w:val="none" w:sz="0" w:space="0" w:color="auto"/>
        <w:right w:val="none" w:sz="0" w:space="0" w:color="auto"/>
      </w:divBdr>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
    <w:div w:id="1438136342">
      <w:bodyDiv w:val="1"/>
      <w:marLeft w:val="0"/>
      <w:marRight w:val="0"/>
      <w:marTop w:val="0"/>
      <w:marBottom w:val="0"/>
      <w:divBdr>
        <w:top w:val="none" w:sz="0" w:space="0" w:color="auto"/>
        <w:left w:val="none" w:sz="0" w:space="0" w:color="auto"/>
        <w:bottom w:val="none" w:sz="0" w:space="0" w:color="auto"/>
        <w:right w:val="none" w:sz="0" w:space="0" w:color="auto"/>
      </w:divBdr>
    </w:div>
    <w:div w:id="1442647882">
      <w:bodyDiv w:val="1"/>
      <w:marLeft w:val="0"/>
      <w:marRight w:val="0"/>
      <w:marTop w:val="0"/>
      <w:marBottom w:val="0"/>
      <w:divBdr>
        <w:top w:val="none" w:sz="0" w:space="0" w:color="auto"/>
        <w:left w:val="none" w:sz="0" w:space="0" w:color="auto"/>
        <w:bottom w:val="none" w:sz="0" w:space="0" w:color="auto"/>
        <w:right w:val="none" w:sz="0" w:space="0" w:color="auto"/>
      </w:divBdr>
    </w:div>
    <w:div w:id="1448083830">
      <w:bodyDiv w:val="1"/>
      <w:marLeft w:val="0"/>
      <w:marRight w:val="0"/>
      <w:marTop w:val="0"/>
      <w:marBottom w:val="0"/>
      <w:divBdr>
        <w:top w:val="none" w:sz="0" w:space="0" w:color="auto"/>
        <w:left w:val="none" w:sz="0" w:space="0" w:color="auto"/>
        <w:bottom w:val="none" w:sz="0" w:space="0" w:color="auto"/>
        <w:right w:val="none" w:sz="0" w:space="0" w:color="auto"/>
      </w:divBdr>
    </w:div>
    <w:div w:id="1459257049">
      <w:bodyDiv w:val="1"/>
      <w:marLeft w:val="0"/>
      <w:marRight w:val="0"/>
      <w:marTop w:val="0"/>
      <w:marBottom w:val="0"/>
      <w:divBdr>
        <w:top w:val="none" w:sz="0" w:space="0" w:color="auto"/>
        <w:left w:val="none" w:sz="0" w:space="0" w:color="auto"/>
        <w:bottom w:val="none" w:sz="0" w:space="0" w:color="auto"/>
        <w:right w:val="none" w:sz="0" w:space="0" w:color="auto"/>
      </w:divBdr>
    </w:div>
    <w:div w:id="1479565137">
      <w:bodyDiv w:val="1"/>
      <w:marLeft w:val="0"/>
      <w:marRight w:val="0"/>
      <w:marTop w:val="0"/>
      <w:marBottom w:val="0"/>
      <w:divBdr>
        <w:top w:val="none" w:sz="0" w:space="0" w:color="auto"/>
        <w:left w:val="none" w:sz="0" w:space="0" w:color="auto"/>
        <w:bottom w:val="none" w:sz="0" w:space="0" w:color="auto"/>
        <w:right w:val="none" w:sz="0" w:space="0" w:color="auto"/>
      </w:divBdr>
      <w:divsChild>
        <w:div w:id="800927827">
          <w:marLeft w:val="0"/>
          <w:marRight w:val="0"/>
          <w:marTop w:val="0"/>
          <w:marBottom w:val="0"/>
          <w:divBdr>
            <w:top w:val="none" w:sz="0" w:space="0" w:color="auto"/>
            <w:left w:val="none" w:sz="0" w:space="0" w:color="auto"/>
            <w:bottom w:val="none" w:sz="0" w:space="0" w:color="auto"/>
            <w:right w:val="none" w:sz="0" w:space="0" w:color="auto"/>
          </w:divBdr>
        </w:div>
        <w:div w:id="2055107768">
          <w:marLeft w:val="0"/>
          <w:marRight w:val="0"/>
          <w:marTop w:val="0"/>
          <w:marBottom w:val="0"/>
          <w:divBdr>
            <w:top w:val="none" w:sz="0" w:space="0" w:color="auto"/>
            <w:left w:val="none" w:sz="0" w:space="0" w:color="auto"/>
            <w:bottom w:val="none" w:sz="0" w:space="0" w:color="auto"/>
            <w:right w:val="none" w:sz="0" w:space="0" w:color="auto"/>
          </w:divBdr>
        </w:div>
      </w:divsChild>
    </w:div>
    <w:div w:id="1494445675">
      <w:bodyDiv w:val="1"/>
      <w:marLeft w:val="0"/>
      <w:marRight w:val="0"/>
      <w:marTop w:val="0"/>
      <w:marBottom w:val="0"/>
      <w:divBdr>
        <w:top w:val="none" w:sz="0" w:space="0" w:color="auto"/>
        <w:left w:val="none" w:sz="0" w:space="0" w:color="auto"/>
        <w:bottom w:val="none" w:sz="0" w:space="0" w:color="auto"/>
        <w:right w:val="none" w:sz="0" w:space="0" w:color="auto"/>
      </w:divBdr>
    </w:div>
    <w:div w:id="1501695204">
      <w:bodyDiv w:val="1"/>
      <w:marLeft w:val="0"/>
      <w:marRight w:val="0"/>
      <w:marTop w:val="0"/>
      <w:marBottom w:val="0"/>
      <w:divBdr>
        <w:top w:val="none" w:sz="0" w:space="0" w:color="auto"/>
        <w:left w:val="none" w:sz="0" w:space="0" w:color="auto"/>
        <w:bottom w:val="none" w:sz="0" w:space="0" w:color="auto"/>
        <w:right w:val="none" w:sz="0" w:space="0" w:color="auto"/>
      </w:divBdr>
    </w:div>
    <w:div w:id="1504856206">
      <w:bodyDiv w:val="1"/>
      <w:marLeft w:val="0"/>
      <w:marRight w:val="0"/>
      <w:marTop w:val="0"/>
      <w:marBottom w:val="0"/>
      <w:divBdr>
        <w:top w:val="none" w:sz="0" w:space="0" w:color="auto"/>
        <w:left w:val="none" w:sz="0" w:space="0" w:color="auto"/>
        <w:bottom w:val="none" w:sz="0" w:space="0" w:color="auto"/>
        <w:right w:val="none" w:sz="0" w:space="0" w:color="auto"/>
      </w:divBdr>
    </w:div>
    <w:div w:id="1527710997">
      <w:bodyDiv w:val="1"/>
      <w:marLeft w:val="0"/>
      <w:marRight w:val="0"/>
      <w:marTop w:val="0"/>
      <w:marBottom w:val="0"/>
      <w:divBdr>
        <w:top w:val="none" w:sz="0" w:space="0" w:color="auto"/>
        <w:left w:val="none" w:sz="0" w:space="0" w:color="auto"/>
        <w:bottom w:val="none" w:sz="0" w:space="0" w:color="auto"/>
        <w:right w:val="none" w:sz="0" w:space="0" w:color="auto"/>
      </w:divBdr>
    </w:div>
    <w:div w:id="1533305228">
      <w:bodyDiv w:val="1"/>
      <w:marLeft w:val="0"/>
      <w:marRight w:val="0"/>
      <w:marTop w:val="0"/>
      <w:marBottom w:val="0"/>
      <w:divBdr>
        <w:top w:val="none" w:sz="0" w:space="0" w:color="auto"/>
        <w:left w:val="none" w:sz="0" w:space="0" w:color="auto"/>
        <w:bottom w:val="none" w:sz="0" w:space="0" w:color="auto"/>
        <w:right w:val="none" w:sz="0" w:space="0" w:color="auto"/>
      </w:divBdr>
    </w:div>
    <w:div w:id="1540169263">
      <w:bodyDiv w:val="1"/>
      <w:marLeft w:val="0"/>
      <w:marRight w:val="0"/>
      <w:marTop w:val="0"/>
      <w:marBottom w:val="0"/>
      <w:divBdr>
        <w:top w:val="none" w:sz="0" w:space="0" w:color="auto"/>
        <w:left w:val="none" w:sz="0" w:space="0" w:color="auto"/>
        <w:bottom w:val="none" w:sz="0" w:space="0" w:color="auto"/>
        <w:right w:val="none" w:sz="0" w:space="0" w:color="auto"/>
      </w:divBdr>
    </w:div>
    <w:div w:id="1545412216">
      <w:bodyDiv w:val="1"/>
      <w:marLeft w:val="0"/>
      <w:marRight w:val="0"/>
      <w:marTop w:val="0"/>
      <w:marBottom w:val="0"/>
      <w:divBdr>
        <w:top w:val="none" w:sz="0" w:space="0" w:color="auto"/>
        <w:left w:val="none" w:sz="0" w:space="0" w:color="auto"/>
        <w:bottom w:val="none" w:sz="0" w:space="0" w:color="auto"/>
        <w:right w:val="none" w:sz="0" w:space="0" w:color="auto"/>
      </w:divBdr>
    </w:div>
    <w:div w:id="1560818853">
      <w:bodyDiv w:val="1"/>
      <w:marLeft w:val="0"/>
      <w:marRight w:val="0"/>
      <w:marTop w:val="0"/>
      <w:marBottom w:val="0"/>
      <w:divBdr>
        <w:top w:val="none" w:sz="0" w:space="0" w:color="auto"/>
        <w:left w:val="none" w:sz="0" w:space="0" w:color="auto"/>
        <w:bottom w:val="none" w:sz="0" w:space="0" w:color="auto"/>
        <w:right w:val="none" w:sz="0" w:space="0" w:color="auto"/>
      </w:divBdr>
    </w:div>
    <w:div w:id="1574587283">
      <w:bodyDiv w:val="1"/>
      <w:marLeft w:val="0"/>
      <w:marRight w:val="0"/>
      <w:marTop w:val="0"/>
      <w:marBottom w:val="0"/>
      <w:divBdr>
        <w:top w:val="none" w:sz="0" w:space="0" w:color="auto"/>
        <w:left w:val="none" w:sz="0" w:space="0" w:color="auto"/>
        <w:bottom w:val="none" w:sz="0" w:space="0" w:color="auto"/>
        <w:right w:val="none" w:sz="0" w:space="0" w:color="auto"/>
      </w:divBdr>
      <w:divsChild>
        <w:div w:id="709301592">
          <w:marLeft w:val="0"/>
          <w:marRight w:val="0"/>
          <w:marTop w:val="0"/>
          <w:marBottom w:val="0"/>
          <w:divBdr>
            <w:top w:val="none" w:sz="0" w:space="0" w:color="auto"/>
            <w:left w:val="none" w:sz="0" w:space="0" w:color="auto"/>
            <w:bottom w:val="none" w:sz="0" w:space="0" w:color="auto"/>
            <w:right w:val="none" w:sz="0" w:space="0" w:color="auto"/>
          </w:divBdr>
        </w:div>
        <w:div w:id="1444303647">
          <w:marLeft w:val="0"/>
          <w:marRight w:val="0"/>
          <w:marTop w:val="0"/>
          <w:marBottom w:val="0"/>
          <w:divBdr>
            <w:top w:val="none" w:sz="0" w:space="0" w:color="auto"/>
            <w:left w:val="none" w:sz="0" w:space="0" w:color="auto"/>
            <w:bottom w:val="none" w:sz="0" w:space="0" w:color="auto"/>
            <w:right w:val="none" w:sz="0" w:space="0" w:color="auto"/>
          </w:divBdr>
        </w:div>
      </w:divsChild>
    </w:div>
    <w:div w:id="1587760495">
      <w:bodyDiv w:val="1"/>
      <w:marLeft w:val="0"/>
      <w:marRight w:val="0"/>
      <w:marTop w:val="0"/>
      <w:marBottom w:val="0"/>
      <w:divBdr>
        <w:top w:val="none" w:sz="0" w:space="0" w:color="auto"/>
        <w:left w:val="none" w:sz="0" w:space="0" w:color="auto"/>
        <w:bottom w:val="none" w:sz="0" w:space="0" w:color="auto"/>
        <w:right w:val="none" w:sz="0" w:space="0" w:color="auto"/>
      </w:divBdr>
    </w:div>
    <w:div w:id="1594127533">
      <w:bodyDiv w:val="1"/>
      <w:marLeft w:val="0"/>
      <w:marRight w:val="0"/>
      <w:marTop w:val="0"/>
      <w:marBottom w:val="0"/>
      <w:divBdr>
        <w:top w:val="none" w:sz="0" w:space="0" w:color="auto"/>
        <w:left w:val="none" w:sz="0" w:space="0" w:color="auto"/>
        <w:bottom w:val="none" w:sz="0" w:space="0" w:color="auto"/>
        <w:right w:val="none" w:sz="0" w:space="0" w:color="auto"/>
      </w:divBdr>
    </w:div>
    <w:div w:id="1617983900">
      <w:bodyDiv w:val="1"/>
      <w:marLeft w:val="0"/>
      <w:marRight w:val="0"/>
      <w:marTop w:val="0"/>
      <w:marBottom w:val="0"/>
      <w:divBdr>
        <w:top w:val="none" w:sz="0" w:space="0" w:color="auto"/>
        <w:left w:val="none" w:sz="0" w:space="0" w:color="auto"/>
        <w:bottom w:val="none" w:sz="0" w:space="0" w:color="auto"/>
        <w:right w:val="none" w:sz="0" w:space="0" w:color="auto"/>
      </w:divBdr>
    </w:div>
    <w:div w:id="1620258117">
      <w:bodyDiv w:val="1"/>
      <w:marLeft w:val="0"/>
      <w:marRight w:val="0"/>
      <w:marTop w:val="0"/>
      <w:marBottom w:val="0"/>
      <w:divBdr>
        <w:top w:val="none" w:sz="0" w:space="0" w:color="auto"/>
        <w:left w:val="none" w:sz="0" w:space="0" w:color="auto"/>
        <w:bottom w:val="none" w:sz="0" w:space="0" w:color="auto"/>
        <w:right w:val="none" w:sz="0" w:space="0" w:color="auto"/>
      </w:divBdr>
    </w:div>
    <w:div w:id="1623882809">
      <w:bodyDiv w:val="1"/>
      <w:marLeft w:val="0"/>
      <w:marRight w:val="0"/>
      <w:marTop w:val="0"/>
      <w:marBottom w:val="0"/>
      <w:divBdr>
        <w:top w:val="none" w:sz="0" w:space="0" w:color="auto"/>
        <w:left w:val="none" w:sz="0" w:space="0" w:color="auto"/>
        <w:bottom w:val="none" w:sz="0" w:space="0" w:color="auto"/>
        <w:right w:val="none" w:sz="0" w:space="0" w:color="auto"/>
      </w:divBdr>
    </w:div>
    <w:div w:id="1638560694">
      <w:bodyDiv w:val="1"/>
      <w:marLeft w:val="0"/>
      <w:marRight w:val="0"/>
      <w:marTop w:val="0"/>
      <w:marBottom w:val="0"/>
      <w:divBdr>
        <w:top w:val="none" w:sz="0" w:space="0" w:color="auto"/>
        <w:left w:val="none" w:sz="0" w:space="0" w:color="auto"/>
        <w:bottom w:val="none" w:sz="0" w:space="0" w:color="auto"/>
        <w:right w:val="none" w:sz="0" w:space="0" w:color="auto"/>
      </w:divBdr>
    </w:div>
    <w:div w:id="1639846496">
      <w:bodyDiv w:val="1"/>
      <w:marLeft w:val="0"/>
      <w:marRight w:val="0"/>
      <w:marTop w:val="0"/>
      <w:marBottom w:val="0"/>
      <w:divBdr>
        <w:top w:val="none" w:sz="0" w:space="0" w:color="auto"/>
        <w:left w:val="none" w:sz="0" w:space="0" w:color="auto"/>
        <w:bottom w:val="none" w:sz="0" w:space="0" w:color="auto"/>
        <w:right w:val="none" w:sz="0" w:space="0" w:color="auto"/>
      </w:divBdr>
    </w:div>
    <w:div w:id="1646474317">
      <w:bodyDiv w:val="1"/>
      <w:marLeft w:val="0"/>
      <w:marRight w:val="0"/>
      <w:marTop w:val="0"/>
      <w:marBottom w:val="0"/>
      <w:divBdr>
        <w:top w:val="none" w:sz="0" w:space="0" w:color="auto"/>
        <w:left w:val="none" w:sz="0" w:space="0" w:color="auto"/>
        <w:bottom w:val="none" w:sz="0" w:space="0" w:color="auto"/>
        <w:right w:val="none" w:sz="0" w:space="0" w:color="auto"/>
      </w:divBdr>
    </w:div>
    <w:div w:id="1652320908">
      <w:bodyDiv w:val="1"/>
      <w:marLeft w:val="0"/>
      <w:marRight w:val="0"/>
      <w:marTop w:val="0"/>
      <w:marBottom w:val="0"/>
      <w:divBdr>
        <w:top w:val="none" w:sz="0" w:space="0" w:color="auto"/>
        <w:left w:val="none" w:sz="0" w:space="0" w:color="auto"/>
        <w:bottom w:val="none" w:sz="0" w:space="0" w:color="auto"/>
        <w:right w:val="none" w:sz="0" w:space="0" w:color="auto"/>
      </w:divBdr>
    </w:div>
    <w:div w:id="1682781597">
      <w:bodyDiv w:val="1"/>
      <w:marLeft w:val="0"/>
      <w:marRight w:val="0"/>
      <w:marTop w:val="0"/>
      <w:marBottom w:val="0"/>
      <w:divBdr>
        <w:top w:val="none" w:sz="0" w:space="0" w:color="auto"/>
        <w:left w:val="none" w:sz="0" w:space="0" w:color="auto"/>
        <w:bottom w:val="none" w:sz="0" w:space="0" w:color="auto"/>
        <w:right w:val="none" w:sz="0" w:space="0" w:color="auto"/>
      </w:divBdr>
    </w:div>
    <w:div w:id="1699431539">
      <w:bodyDiv w:val="1"/>
      <w:marLeft w:val="0"/>
      <w:marRight w:val="0"/>
      <w:marTop w:val="0"/>
      <w:marBottom w:val="0"/>
      <w:divBdr>
        <w:top w:val="none" w:sz="0" w:space="0" w:color="auto"/>
        <w:left w:val="none" w:sz="0" w:space="0" w:color="auto"/>
        <w:bottom w:val="none" w:sz="0" w:space="0" w:color="auto"/>
        <w:right w:val="none" w:sz="0" w:space="0" w:color="auto"/>
      </w:divBdr>
    </w:div>
    <w:div w:id="1705597516">
      <w:bodyDiv w:val="1"/>
      <w:marLeft w:val="0"/>
      <w:marRight w:val="0"/>
      <w:marTop w:val="0"/>
      <w:marBottom w:val="0"/>
      <w:divBdr>
        <w:top w:val="none" w:sz="0" w:space="0" w:color="auto"/>
        <w:left w:val="none" w:sz="0" w:space="0" w:color="auto"/>
        <w:bottom w:val="none" w:sz="0" w:space="0" w:color="auto"/>
        <w:right w:val="none" w:sz="0" w:space="0" w:color="auto"/>
      </w:divBdr>
    </w:div>
    <w:div w:id="1709646500">
      <w:bodyDiv w:val="1"/>
      <w:marLeft w:val="0"/>
      <w:marRight w:val="0"/>
      <w:marTop w:val="0"/>
      <w:marBottom w:val="0"/>
      <w:divBdr>
        <w:top w:val="none" w:sz="0" w:space="0" w:color="auto"/>
        <w:left w:val="none" w:sz="0" w:space="0" w:color="auto"/>
        <w:bottom w:val="none" w:sz="0" w:space="0" w:color="auto"/>
        <w:right w:val="none" w:sz="0" w:space="0" w:color="auto"/>
      </w:divBdr>
    </w:div>
    <w:div w:id="1747024738">
      <w:bodyDiv w:val="1"/>
      <w:marLeft w:val="0"/>
      <w:marRight w:val="0"/>
      <w:marTop w:val="0"/>
      <w:marBottom w:val="0"/>
      <w:divBdr>
        <w:top w:val="none" w:sz="0" w:space="0" w:color="auto"/>
        <w:left w:val="none" w:sz="0" w:space="0" w:color="auto"/>
        <w:bottom w:val="none" w:sz="0" w:space="0" w:color="auto"/>
        <w:right w:val="none" w:sz="0" w:space="0" w:color="auto"/>
      </w:divBdr>
    </w:div>
    <w:div w:id="1748307704">
      <w:bodyDiv w:val="1"/>
      <w:marLeft w:val="0"/>
      <w:marRight w:val="0"/>
      <w:marTop w:val="0"/>
      <w:marBottom w:val="0"/>
      <w:divBdr>
        <w:top w:val="none" w:sz="0" w:space="0" w:color="auto"/>
        <w:left w:val="none" w:sz="0" w:space="0" w:color="auto"/>
        <w:bottom w:val="none" w:sz="0" w:space="0" w:color="auto"/>
        <w:right w:val="none" w:sz="0" w:space="0" w:color="auto"/>
      </w:divBdr>
    </w:div>
    <w:div w:id="1759711344">
      <w:bodyDiv w:val="1"/>
      <w:marLeft w:val="0"/>
      <w:marRight w:val="0"/>
      <w:marTop w:val="0"/>
      <w:marBottom w:val="0"/>
      <w:divBdr>
        <w:top w:val="none" w:sz="0" w:space="0" w:color="auto"/>
        <w:left w:val="none" w:sz="0" w:space="0" w:color="auto"/>
        <w:bottom w:val="none" w:sz="0" w:space="0" w:color="auto"/>
        <w:right w:val="none" w:sz="0" w:space="0" w:color="auto"/>
      </w:divBdr>
    </w:div>
    <w:div w:id="1762993050">
      <w:bodyDiv w:val="1"/>
      <w:marLeft w:val="0"/>
      <w:marRight w:val="0"/>
      <w:marTop w:val="0"/>
      <w:marBottom w:val="0"/>
      <w:divBdr>
        <w:top w:val="none" w:sz="0" w:space="0" w:color="auto"/>
        <w:left w:val="none" w:sz="0" w:space="0" w:color="auto"/>
        <w:bottom w:val="none" w:sz="0" w:space="0" w:color="auto"/>
        <w:right w:val="none" w:sz="0" w:space="0" w:color="auto"/>
      </w:divBdr>
    </w:div>
    <w:div w:id="1792088450">
      <w:bodyDiv w:val="1"/>
      <w:marLeft w:val="0"/>
      <w:marRight w:val="0"/>
      <w:marTop w:val="0"/>
      <w:marBottom w:val="0"/>
      <w:divBdr>
        <w:top w:val="none" w:sz="0" w:space="0" w:color="auto"/>
        <w:left w:val="none" w:sz="0" w:space="0" w:color="auto"/>
        <w:bottom w:val="none" w:sz="0" w:space="0" w:color="auto"/>
        <w:right w:val="none" w:sz="0" w:space="0" w:color="auto"/>
      </w:divBdr>
    </w:div>
    <w:div w:id="1812362821">
      <w:bodyDiv w:val="1"/>
      <w:marLeft w:val="0"/>
      <w:marRight w:val="0"/>
      <w:marTop w:val="0"/>
      <w:marBottom w:val="0"/>
      <w:divBdr>
        <w:top w:val="none" w:sz="0" w:space="0" w:color="auto"/>
        <w:left w:val="none" w:sz="0" w:space="0" w:color="auto"/>
        <w:bottom w:val="none" w:sz="0" w:space="0" w:color="auto"/>
        <w:right w:val="none" w:sz="0" w:space="0" w:color="auto"/>
      </w:divBdr>
    </w:div>
    <w:div w:id="1820609483">
      <w:bodyDiv w:val="1"/>
      <w:marLeft w:val="0"/>
      <w:marRight w:val="0"/>
      <w:marTop w:val="0"/>
      <w:marBottom w:val="0"/>
      <w:divBdr>
        <w:top w:val="none" w:sz="0" w:space="0" w:color="auto"/>
        <w:left w:val="none" w:sz="0" w:space="0" w:color="auto"/>
        <w:bottom w:val="none" w:sz="0" w:space="0" w:color="auto"/>
        <w:right w:val="none" w:sz="0" w:space="0" w:color="auto"/>
      </w:divBdr>
    </w:div>
    <w:div w:id="1821648915">
      <w:bodyDiv w:val="1"/>
      <w:marLeft w:val="0"/>
      <w:marRight w:val="0"/>
      <w:marTop w:val="0"/>
      <w:marBottom w:val="0"/>
      <w:divBdr>
        <w:top w:val="none" w:sz="0" w:space="0" w:color="auto"/>
        <w:left w:val="none" w:sz="0" w:space="0" w:color="auto"/>
        <w:bottom w:val="none" w:sz="0" w:space="0" w:color="auto"/>
        <w:right w:val="none" w:sz="0" w:space="0" w:color="auto"/>
      </w:divBdr>
    </w:div>
    <w:div w:id="1827162143">
      <w:bodyDiv w:val="1"/>
      <w:marLeft w:val="0"/>
      <w:marRight w:val="0"/>
      <w:marTop w:val="0"/>
      <w:marBottom w:val="0"/>
      <w:divBdr>
        <w:top w:val="none" w:sz="0" w:space="0" w:color="auto"/>
        <w:left w:val="none" w:sz="0" w:space="0" w:color="auto"/>
        <w:bottom w:val="none" w:sz="0" w:space="0" w:color="auto"/>
        <w:right w:val="none" w:sz="0" w:space="0" w:color="auto"/>
      </w:divBdr>
    </w:div>
    <w:div w:id="1827893174">
      <w:bodyDiv w:val="1"/>
      <w:marLeft w:val="0"/>
      <w:marRight w:val="0"/>
      <w:marTop w:val="0"/>
      <w:marBottom w:val="0"/>
      <w:divBdr>
        <w:top w:val="none" w:sz="0" w:space="0" w:color="auto"/>
        <w:left w:val="none" w:sz="0" w:space="0" w:color="auto"/>
        <w:bottom w:val="none" w:sz="0" w:space="0" w:color="auto"/>
        <w:right w:val="none" w:sz="0" w:space="0" w:color="auto"/>
      </w:divBdr>
    </w:div>
    <w:div w:id="1832401322">
      <w:bodyDiv w:val="1"/>
      <w:marLeft w:val="0"/>
      <w:marRight w:val="0"/>
      <w:marTop w:val="0"/>
      <w:marBottom w:val="0"/>
      <w:divBdr>
        <w:top w:val="none" w:sz="0" w:space="0" w:color="auto"/>
        <w:left w:val="none" w:sz="0" w:space="0" w:color="auto"/>
        <w:bottom w:val="none" w:sz="0" w:space="0" w:color="auto"/>
        <w:right w:val="none" w:sz="0" w:space="0" w:color="auto"/>
      </w:divBdr>
    </w:div>
    <w:div w:id="1834056598">
      <w:bodyDiv w:val="1"/>
      <w:marLeft w:val="0"/>
      <w:marRight w:val="0"/>
      <w:marTop w:val="0"/>
      <w:marBottom w:val="0"/>
      <w:divBdr>
        <w:top w:val="none" w:sz="0" w:space="0" w:color="auto"/>
        <w:left w:val="none" w:sz="0" w:space="0" w:color="auto"/>
        <w:bottom w:val="none" w:sz="0" w:space="0" w:color="auto"/>
        <w:right w:val="none" w:sz="0" w:space="0" w:color="auto"/>
      </w:divBdr>
    </w:div>
    <w:div w:id="1837382831">
      <w:bodyDiv w:val="1"/>
      <w:marLeft w:val="0"/>
      <w:marRight w:val="0"/>
      <w:marTop w:val="0"/>
      <w:marBottom w:val="0"/>
      <w:divBdr>
        <w:top w:val="none" w:sz="0" w:space="0" w:color="auto"/>
        <w:left w:val="none" w:sz="0" w:space="0" w:color="auto"/>
        <w:bottom w:val="none" w:sz="0" w:space="0" w:color="auto"/>
        <w:right w:val="none" w:sz="0" w:space="0" w:color="auto"/>
      </w:divBdr>
    </w:div>
    <w:div w:id="1838886892">
      <w:bodyDiv w:val="1"/>
      <w:marLeft w:val="0"/>
      <w:marRight w:val="0"/>
      <w:marTop w:val="0"/>
      <w:marBottom w:val="0"/>
      <w:divBdr>
        <w:top w:val="none" w:sz="0" w:space="0" w:color="auto"/>
        <w:left w:val="none" w:sz="0" w:space="0" w:color="auto"/>
        <w:bottom w:val="none" w:sz="0" w:space="0" w:color="auto"/>
        <w:right w:val="none" w:sz="0" w:space="0" w:color="auto"/>
      </w:divBdr>
    </w:div>
    <w:div w:id="1840148808">
      <w:bodyDiv w:val="1"/>
      <w:marLeft w:val="0"/>
      <w:marRight w:val="0"/>
      <w:marTop w:val="0"/>
      <w:marBottom w:val="0"/>
      <w:divBdr>
        <w:top w:val="none" w:sz="0" w:space="0" w:color="auto"/>
        <w:left w:val="none" w:sz="0" w:space="0" w:color="auto"/>
        <w:bottom w:val="none" w:sz="0" w:space="0" w:color="auto"/>
        <w:right w:val="none" w:sz="0" w:space="0" w:color="auto"/>
      </w:divBdr>
    </w:div>
    <w:div w:id="1859810183">
      <w:bodyDiv w:val="1"/>
      <w:marLeft w:val="0"/>
      <w:marRight w:val="0"/>
      <w:marTop w:val="0"/>
      <w:marBottom w:val="0"/>
      <w:divBdr>
        <w:top w:val="none" w:sz="0" w:space="0" w:color="auto"/>
        <w:left w:val="none" w:sz="0" w:space="0" w:color="auto"/>
        <w:bottom w:val="none" w:sz="0" w:space="0" w:color="auto"/>
        <w:right w:val="none" w:sz="0" w:space="0" w:color="auto"/>
      </w:divBdr>
    </w:div>
    <w:div w:id="1873304968">
      <w:bodyDiv w:val="1"/>
      <w:marLeft w:val="0"/>
      <w:marRight w:val="0"/>
      <w:marTop w:val="0"/>
      <w:marBottom w:val="0"/>
      <w:divBdr>
        <w:top w:val="none" w:sz="0" w:space="0" w:color="auto"/>
        <w:left w:val="none" w:sz="0" w:space="0" w:color="auto"/>
        <w:bottom w:val="none" w:sz="0" w:space="0" w:color="auto"/>
        <w:right w:val="none" w:sz="0" w:space="0" w:color="auto"/>
      </w:divBdr>
    </w:div>
    <w:div w:id="1915161088">
      <w:bodyDiv w:val="1"/>
      <w:marLeft w:val="0"/>
      <w:marRight w:val="0"/>
      <w:marTop w:val="0"/>
      <w:marBottom w:val="0"/>
      <w:divBdr>
        <w:top w:val="none" w:sz="0" w:space="0" w:color="auto"/>
        <w:left w:val="none" w:sz="0" w:space="0" w:color="auto"/>
        <w:bottom w:val="none" w:sz="0" w:space="0" w:color="auto"/>
        <w:right w:val="none" w:sz="0" w:space="0" w:color="auto"/>
      </w:divBdr>
    </w:div>
    <w:div w:id="1935167187">
      <w:bodyDiv w:val="1"/>
      <w:marLeft w:val="0"/>
      <w:marRight w:val="0"/>
      <w:marTop w:val="0"/>
      <w:marBottom w:val="0"/>
      <w:divBdr>
        <w:top w:val="none" w:sz="0" w:space="0" w:color="auto"/>
        <w:left w:val="none" w:sz="0" w:space="0" w:color="auto"/>
        <w:bottom w:val="none" w:sz="0" w:space="0" w:color="auto"/>
        <w:right w:val="none" w:sz="0" w:space="0" w:color="auto"/>
      </w:divBdr>
    </w:div>
    <w:div w:id="1947542814">
      <w:bodyDiv w:val="1"/>
      <w:marLeft w:val="0"/>
      <w:marRight w:val="0"/>
      <w:marTop w:val="0"/>
      <w:marBottom w:val="0"/>
      <w:divBdr>
        <w:top w:val="none" w:sz="0" w:space="0" w:color="auto"/>
        <w:left w:val="none" w:sz="0" w:space="0" w:color="auto"/>
        <w:bottom w:val="none" w:sz="0" w:space="0" w:color="auto"/>
        <w:right w:val="none" w:sz="0" w:space="0" w:color="auto"/>
      </w:divBdr>
    </w:div>
    <w:div w:id="1971591980">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1975481225">
      <w:bodyDiv w:val="1"/>
      <w:marLeft w:val="0"/>
      <w:marRight w:val="0"/>
      <w:marTop w:val="0"/>
      <w:marBottom w:val="0"/>
      <w:divBdr>
        <w:top w:val="none" w:sz="0" w:space="0" w:color="auto"/>
        <w:left w:val="none" w:sz="0" w:space="0" w:color="auto"/>
        <w:bottom w:val="none" w:sz="0" w:space="0" w:color="auto"/>
        <w:right w:val="none" w:sz="0" w:space="0" w:color="auto"/>
      </w:divBdr>
    </w:div>
    <w:div w:id="1987854679">
      <w:bodyDiv w:val="1"/>
      <w:marLeft w:val="0"/>
      <w:marRight w:val="0"/>
      <w:marTop w:val="0"/>
      <w:marBottom w:val="0"/>
      <w:divBdr>
        <w:top w:val="none" w:sz="0" w:space="0" w:color="auto"/>
        <w:left w:val="none" w:sz="0" w:space="0" w:color="auto"/>
        <w:bottom w:val="none" w:sz="0" w:space="0" w:color="auto"/>
        <w:right w:val="none" w:sz="0" w:space="0" w:color="auto"/>
      </w:divBdr>
    </w:div>
    <w:div w:id="1995721466">
      <w:bodyDiv w:val="1"/>
      <w:marLeft w:val="0"/>
      <w:marRight w:val="0"/>
      <w:marTop w:val="0"/>
      <w:marBottom w:val="0"/>
      <w:divBdr>
        <w:top w:val="none" w:sz="0" w:space="0" w:color="auto"/>
        <w:left w:val="none" w:sz="0" w:space="0" w:color="auto"/>
        <w:bottom w:val="none" w:sz="0" w:space="0" w:color="auto"/>
        <w:right w:val="none" w:sz="0" w:space="0" w:color="auto"/>
      </w:divBdr>
    </w:div>
    <w:div w:id="2002073597">
      <w:bodyDiv w:val="1"/>
      <w:marLeft w:val="0"/>
      <w:marRight w:val="0"/>
      <w:marTop w:val="0"/>
      <w:marBottom w:val="0"/>
      <w:divBdr>
        <w:top w:val="none" w:sz="0" w:space="0" w:color="auto"/>
        <w:left w:val="none" w:sz="0" w:space="0" w:color="auto"/>
        <w:bottom w:val="none" w:sz="0" w:space="0" w:color="auto"/>
        <w:right w:val="none" w:sz="0" w:space="0" w:color="auto"/>
      </w:divBdr>
    </w:div>
    <w:div w:id="2010712059">
      <w:bodyDiv w:val="1"/>
      <w:marLeft w:val="0"/>
      <w:marRight w:val="0"/>
      <w:marTop w:val="0"/>
      <w:marBottom w:val="0"/>
      <w:divBdr>
        <w:top w:val="none" w:sz="0" w:space="0" w:color="auto"/>
        <w:left w:val="none" w:sz="0" w:space="0" w:color="auto"/>
        <w:bottom w:val="none" w:sz="0" w:space="0" w:color="auto"/>
        <w:right w:val="none" w:sz="0" w:space="0" w:color="auto"/>
      </w:divBdr>
    </w:div>
    <w:div w:id="2010979796">
      <w:bodyDiv w:val="1"/>
      <w:marLeft w:val="0"/>
      <w:marRight w:val="0"/>
      <w:marTop w:val="0"/>
      <w:marBottom w:val="0"/>
      <w:divBdr>
        <w:top w:val="none" w:sz="0" w:space="0" w:color="auto"/>
        <w:left w:val="none" w:sz="0" w:space="0" w:color="auto"/>
        <w:bottom w:val="none" w:sz="0" w:space="0" w:color="auto"/>
        <w:right w:val="none" w:sz="0" w:space="0" w:color="auto"/>
      </w:divBdr>
    </w:div>
    <w:div w:id="2015569940">
      <w:bodyDiv w:val="1"/>
      <w:marLeft w:val="0"/>
      <w:marRight w:val="0"/>
      <w:marTop w:val="0"/>
      <w:marBottom w:val="0"/>
      <w:divBdr>
        <w:top w:val="none" w:sz="0" w:space="0" w:color="auto"/>
        <w:left w:val="none" w:sz="0" w:space="0" w:color="auto"/>
        <w:bottom w:val="none" w:sz="0" w:space="0" w:color="auto"/>
        <w:right w:val="none" w:sz="0" w:space="0" w:color="auto"/>
      </w:divBdr>
    </w:div>
    <w:div w:id="2024234787">
      <w:bodyDiv w:val="1"/>
      <w:marLeft w:val="0"/>
      <w:marRight w:val="0"/>
      <w:marTop w:val="0"/>
      <w:marBottom w:val="0"/>
      <w:divBdr>
        <w:top w:val="none" w:sz="0" w:space="0" w:color="auto"/>
        <w:left w:val="none" w:sz="0" w:space="0" w:color="auto"/>
        <w:bottom w:val="none" w:sz="0" w:space="0" w:color="auto"/>
        <w:right w:val="none" w:sz="0" w:space="0" w:color="auto"/>
      </w:divBdr>
    </w:div>
    <w:div w:id="2055496729">
      <w:bodyDiv w:val="1"/>
      <w:marLeft w:val="0"/>
      <w:marRight w:val="0"/>
      <w:marTop w:val="0"/>
      <w:marBottom w:val="0"/>
      <w:divBdr>
        <w:top w:val="none" w:sz="0" w:space="0" w:color="auto"/>
        <w:left w:val="none" w:sz="0" w:space="0" w:color="auto"/>
        <w:bottom w:val="none" w:sz="0" w:space="0" w:color="auto"/>
        <w:right w:val="none" w:sz="0" w:space="0" w:color="auto"/>
      </w:divBdr>
    </w:div>
    <w:div w:id="2072460013">
      <w:bodyDiv w:val="1"/>
      <w:marLeft w:val="0"/>
      <w:marRight w:val="0"/>
      <w:marTop w:val="0"/>
      <w:marBottom w:val="0"/>
      <w:divBdr>
        <w:top w:val="none" w:sz="0" w:space="0" w:color="auto"/>
        <w:left w:val="none" w:sz="0" w:space="0" w:color="auto"/>
        <w:bottom w:val="none" w:sz="0" w:space="0" w:color="auto"/>
        <w:right w:val="none" w:sz="0" w:space="0" w:color="auto"/>
      </w:divBdr>
    </w:div>
    <w:div w:id="2075152891">
      <w:bodyDiv w:val="1"/>
      <w:marLeft w:val="0"/>
      <w:marRight w:val="0"/>
      <w:marTop w:val="0"/>
      <w:marBottom w:val="0"/>
      <w:divBdr>
        <w:top w:val="none" w:sz="0" w:space="0" w:color="auto"/>
        <w:left w:val="none" w:sz="0" w:space="0" w:color="auto"/>
        <w:bottom w:val="none" w:sz="0" w:space="0" w:color="auto"/>
        <w:right w:val="none" w:sz="0" w:space="0" w:color="auto"/>
      </w:divBdr>
    </w:div>
    <w:div w:id="2090036788">
      <w:bodyDiv w:val="1"/>
      <w:marLeft w:val="0"/>
      <w:marRight w:val="0"/>
      <w:marTop w:val="0"/>
      <w:marBottom w:val="0"/>
      <w:divBdr>
        <w:top w:val="none" w:sz="0" w:space="0" w:color="auto"/>
        <w:left w:val="none" w:sz="0" w:space="0" w:color="auto"/>
        <w:bottom w:val="none" w:sz="0" w:space="0" w:color="auto"/>
        <w:right w:val="none" w:sz="0" w:space="0" w:color="auto"/>
      </w:divBdr>
    </w:div>
    <w:div w:id="2099789216">
      <w:bodyDiv w:val="1"/>
      <w:marLeft w:val="0"/>
      <w:marRight w:val="0"/>
      <w:marTop w:val="0"/>
      <w:marBottom w:val="0"/>
      <w:divBdr>
        <w:top w:val="none" w:sz="0" w:space="0" w:color="auto"/>
        <w:left w:val="none" w:sz="0" w:space="0" w:color="auto"/>
        <w:bottom w:val="none" w:sz="0" w:space="0" w:color="auto"/>
        <w:right w:val="none" w:sz="0" w:space="0" w:color="auto"/>
      </w:divBdr>
    </w:div>
    <w:div w:id="2103866100">
      <w:bodyDiv w:val="1"/>
      <w:marLeft w:val="0"/>
      <w:marRight w:val="0"/>
      <w:marTop w:val="0"/>
      <w:marBottom w:val="0"/>
      <w:divBdr>
        <w:top w:val="none" w:sz="0" w:space="0" w:color="auto"/>
        <w:left w:val="none" w:sz="0" w:space="0" w:color="auto"/>
        <w:bottom w:val="none" w:sz="0" w:space="0" w:color="auto"/>
        <w:right w:val="none" w:sz="0" w:space="0" w:color="auto"/>
      </w:divBdr>
    </w:div>
    <w:div w:id="2110588608">
      <w:bodyDiv w:val="1"/>
      <w:marLeft w:val="0"/>
      <w:marRight w:val="0"/>
      <w:marTop w:val="0"/>
      <w:marBottom w:val="0"/>
      <w:divBdr>
        <w:top w:val="none" w:sz="0" w:space="0" w:color="auto"/>
        <w:left w:val="none" w:sz="0" w:space="0" w:color="auto"/>
        <w:bottom w:val="none" w:sz="0" w:space="0" w:color="auto"/>
        <w:right w:val="none" w:sz="0" w:space="0" w:color="auto"/>
      </w:divBdr>
    </w:div>
    <w:div w:id="2111197120">
      <w:bodyDiv w:val="1"/>
      <w:marLeft w:val="0"/>
      <w:marRight w:val="0"/>
      <w:marTop w:val="0"/>
      <w:marBottom w:val="0"/>
      <w:divBdr>
        <w:top w:val="none" w:sz="0" w:space="0" w:color="auto"/>
        <w:left w:val="none" w:sz="0" w:space="0" w:color="auto"/>
        <w:bottom w:val="none" w:sz="0" w:space="0" w:color="auto"/>
        <w:right w:val="none" w:sz="0" w:space="0" w:color="auto"/>
      </w:divBdr>
    </w:div>
    <w:div w:id="2120180248">
      <w:bodyDiv w:val="1"/>
      <w:marLeft w:val="0"/>
      <w:marRight w:val="0"/>
      <w:marTop w:val="0"/>
      <w:marBottom w:val="0"/>
      <w:divBdr>
        <w:top w:val="none" w:sz="0" w:space="0" w:color="auto"/>
        <w:left w:val="none" w:sz="0" w:space="0" w:color="auto"/>
        <w:bottom w:val="none" w:sz="0" w:space="0" w:color="auto"/>
        <w:right w:val="none" w:sz="0" w:space="0" w:color="auto"/>
      </w:divBdr>
    </w:div>
    <w:div w:id="2128087620">
      <w:bodyDiv w:val="1"/>
      <w:marLeft w:val="0"/>
      <w:marRight w:val="0"/>
      <w:marTop w:val="0"/>
      <w:marBottom w:val="0"/>
      <w:divBdr>
        <w:top w:val="none" w:sz="0" w:space="0" w:color="auto"/>
        <w:left w:val="none" w:sz="0" w:space="0" w:color="auto"/>
        <w:bottom w:val="none" w:sz="0" w:space="0" w:color="auto"/>
        <w:right w:val="none" w:sz="0" w:space="0" w:color="auto"/>
      </w:divBdr>
    </w:div>
    <w:div w:id="2130204508">
      <w:bodyDiv w:val="1"/>
      <w:marLeft w:val="0"/>
      <w:marRight w:val="0"/>
      <w:marTop w:val="0"/>
      <w:marBottom w:val="0"/>
      <w:divBdr>
        <w:top w:val="none" w:sz="0" w:space="0" w:color="auto"/>
        <w:left w:val="none" w:sz="0" w:space="0" w:color="auto"/>
        <w:bottom w:val="none" w:sz="0" w:space="0" w:color="auto"/>
        <w:right w:val="none" w:sz="0" w:space="0" w:color="auto"/>
      </w:divBdr>
    </w:div>
    <w:div w:id="2137094317">
      <w:bodyDiv w:val="1"/>
      <w:marLeft w:val="0"/>
      <w:marRight w:val="0"/>
      <w:marTop w:val="0"/>
      <w:marBottom w:val="0"/>
      <w:divBdr>
        <w:top w:val="none" w:sz="0" w:space="0" w:color="auto"/>
        <w:left w:val="none" w:sz="0" w:space="0" w:color="auto"/>
        <w:bottom w:val="none" w:sz="0" w:space="0" w:color="auto"/>
        <w:right w:val="none" w:sz="0" w:space="0" w:color="auto"/>
      </w:divBdr>
    </w:div>
    <w:div w:id="21454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51"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final_opinion_2021_sbgr2_10_ecodesign.pdf" TargetMode="External"/><Relationship Id="rId13" Type="http://schemas.openxmlformats.org/officeDocument/2006/relationships/hyperlink" Target="https://myintracomm.ec.europa.eu/budgweb/EN/man/budgmanag/Pages/budgmanag.aspx" TargetMode="External"/><Relationship Id="rId3" Type="http://schemas.openxmlformats.org/officeDocument/2006/relationships/hyperlink" Target="http://www.energylabelevaluation.eu/tmce/Final_technical_report-Evaluation_ELD_ED_June_2014.pdf" TargetMode="External"/><Relationship Id="rId7" Type="http://schemas.openxmlformats.org/officeDocument/2006/relationships/hyperlink" Target="https://ec.europa.eu/info/law/better-regulation/have-your-say/initiatives/12567-Sustainable-products-initiative_en" TargetMode="External"/><Relationship Id="rId12" Type="http://schemas.openxmlformats.org/officeDocument/2006/relationships/hyperlink" Target="https://eur-lex.europa.eu/legal-content/EN/AUTO/?uri=OJ:L:2011:055:TOC" TargetMode="External"/><Relationship Id="rId2" Type="http://schemas.openxmlformats.org/officeDocument/2006/relationships/hyperlink" Target="https://op.europa.eu/s/vLEO" TargetMode="External"/><Relationship Id="rId1" Type="http://schemas.openxmlformats.org/officeDocument/2006/relationships/hyperlink" Target="https://ec.europa.eu/commission/presscorner/detail/en/IP_21_3541" TargetMode="External"/><Relationship Id="rId6" Type="http://schemas.openxmlformats.org/officeDocument/2006/relationships/hyperlink" Target="https://op.europa.eu/en/publication-detail/-/publication/379645c0-eeb7-40eb-adc7-e5a4a502c869" TargetMode="External"/><Relationship Id="rId11" Type="http://schemas.openxmlformats.org/officeDocument/2006/relationships/hyperlink" Target="https://ec.europa.eu/environment/gpp/eu_gpp_criteria_en.htm" TargetMode="External"/><Relationship Id="rId5" Type="http://schemas.openxmlformats.org/officeDocument/2006/relationships/hyperlink" Target="https://eur-lex.europa.eu/legal-content/EN/TXT/?uri=CELEX:52008DC0397" TargetMode="External"/><Relationship Id="rId10" Type="http://schemas.openxmlformats.org/officeDocument/2006/relationships/hyperlink" Target="https://ec.europa.eu/commission/presscorner/detail/en/IP_21_3541" TargetMode="External"/><Relationship Id="rId4" Type="http://schemas.openxmlformats.org/officeDocument/2006/relationships/hyperlink" Target="https://op.europa.eu/webpub/eca/special-reports/eu-energy-labels-1-2020/en/" TargetMode="External"/><Relationship Id="rId9" Type="http://schemas.openxmlformats.org/officeDocument/2006/relationships/hyperlink" Target="https://www.europarl.europa.eu/doceo/document/TA-9-2021-0040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72CC3C3CCCADC42B1DD01F92B87CEE2" ma:contentTypeVersion="0" ma:contentTypeDescription="Create a new document in this library." ma:contentTypeScope="" ma:versionID="636cc57723456e9e34801da0b78241f3">
  <xsd:schema xmlns:xsd="http://www.w3.org/2001/XMLSchema" xmlns:xs="http://www.w3.org/2001/XMLSchema" xmlns:p="http://schemas.microsoft.com/office/2006/metadata/properties" xmlns:ns2="http://schemas.microsoft.com/sharepoint/v3/fields" xmlns:ns3="9bc825b7-3f4d-47da-ab3a-5381cabda5f8" targetNamespace="http://schemas.microsoft.com/office/2006/metadata/properties" ma:root="true" ma:fieldsID="67f0adaf1fe0348f266d24b4800874b7" ns2:_="" ns3:_="">
    <xsd:import namespace="http://schemas.microsoft.com/sharepoint/v3/fields"/>
    <xsd:import namespace="9bc825b7-3f4d-47da-ab3a-5381cabda5f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c825b7-3f4d-47da-ab3a-5381cabda5f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bc825b7-3f4d-47da-ab3a-5381cabda5f8">EN</EC_Collab_DocumentLanguage>
    <EC_Collab_Status xmlns="9bc825b7-3f4d-47da-ab3a-5381cabda5f8">Not Started</EC_Collab_Status>
    <EC_Collab_Reference xmlns="9bc825b7-3f4d-47da-ab3a-5381cabda5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963F-D6D6-4970-96B0-F38234751682}">
  <ds:schemaRefs>
    <ds:schemaRef ds:uri="http://schemas.microsoft.com/sharepoint/v3/contenttype/forms"/>
  </ds:schemaRefs>
</ds:datastoreItem>
</file>

<file path=customXml/itemProps2.xml><?xml version="1.0" encoding="utf-8"?>
<ds:datastoreItem xmlns:ds="http://schemas.openxmlformats.org/officeDocument/2006/customXml" ds:itemID="{3BA5DB13-F291-4CDD-8E2D-2F3E77931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bc825b7-3f4d-47da-ab3a-5381cabd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40A4C-7C81-4737-A5E7-C2ED7A36ED8A}">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9bc825b7-3f4d-47da-ab3a-5381cabda5f8"/>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0A28B05-E577-4A57-A586-ACE6DE78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113</Pages>
  <Words>49935</Words>
  <Characters>281637</Characters>
  <Application>Microsoft Office Word</Application>
  <DocSecurity>0</DocSecurity>
  <Lines>6258</Lines>
  <Paragraphs>2695</Paragraphs>
  <ScaleCrop>false</ScaleCrop>
  <HeadingPairs>
    <vt:vector size="2" baseType="variant">
      <vt:variant>
        <vt:lpstr>Title</vt:lpstr>
      </vt:variant>
      <vt:variant>
        <vt:i4>1</vt:i4>
      </vt:variant>
    </vt:vector>
  </HeadingPairs>
  <TitlesOfParts>
    <vt:vector size="1" baseType="lpstr">
      <vt:lpstr>Proposal for a Regulation on Ecodesign for Sustainable Products</vt:lpstr>
    </vt:vector>
  </TitlesOfParts>
  <Manager/>
  <Company/>
  <LinksUpToDate>false</LinksUpToDate>
  <CharactersWithSpaces>328877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Regulation on Ecodesign for Sustainable Products</dc:title>
  <dc:subject/>
  <dc:creator/>
  <cp:keywords/>
  <dc:description/>
  <cp:lastModifiedBy>EC CoDe</cp:lastModifiedBy>
  <cp:revision>39</cp:revision>
  <cp:lastPrinted>2022-03-03T09:02:00Z</cp:lastPrinted>
  <dcterms:created xsi:type="dcterms:W3CDTF">2022-03-27T15:07:00Z</dcterms:created>
  <dcterms:modified xsi:type="dcterms:W3CDTF">2022-03-29T15:03:00Z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0x010100258AA79CEB83498886A3A0868112325000472CC3C3CCCADC42B1DD01F92B87CEE2</vt:lpwstr>
  </property>
  <property fmtid="{D5CDD505-2E9C-101B-9397-08002B2CF9AE}" pid="11" name="MSIP_Label_6bd9ddd1-4d20-43f6-abfa-fc3c07406f94_Enabled">
    <vt:lpwstr>true</vt:lpwstr>
  </property>
  <property fmtid="{D5CDD505-2E9C-101B-9397-08002B2CF9AE}" pid="12" name="MSIP_Label_6bd9ddd1-4d20-43f6-abfa-fc3c07406f94_SetDate">
    <vt:lpwstr>2021-12-02T12:11:00Z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ba2fbbc0-7b36-44ca-9e87-d1fa01321558</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