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924899" w14:textId="35766C80" w:rsidR="00EE43D4" w:rsidRDefault="00CC3217" w:rsidP="00CC3217">
      <w:pPr>
        <w:pStyle w:val="Pagedecouverture"/>
        <w:rPr>
          <w:noProof/>
        </w:rPr>
      </w:pPr>
      <w:bookmarkStart w:id="0" w:name="_Hlk72764021"/>
      <w:bookmarkStart w:id="1" w:name="LW_BM_COVERPAGE"/>
      <w:r>
        <w:rPr>
          <w:noProof/>
        </w:rPr>
        <w:pict w14:anchorId="1A8268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9CC457CC-35B9-4E05-8278-117BDC6ED26F" style="width:455.25pt;height:420.75pt">
            <v:imagedata r:id="rId8" o:title=""/>
          </v:shape>
        </w:pict>
      </w:r>
    </w:p>
    <w:bookmarkEnd w:id="1"/>
    <w:p w14:paraId="7BF7FD81" w14:textId="77777777" w:rsidR="00E17B35" w:rsidRDefault="00E17B35" w:rsidP="00E17B35">
      <w:pPr>
        <w:rPr>
          <w:noProof/>
        </w:rPr>
        <w:sectPr w:rsidR="00E17B35" w:rsidSect="00CC3217">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73C53BAA" w14:textId="77777777" w:rsidR="007D18C1" w:rsidRPr="00083D49" w:rsidRDefault="007D18C1" w:rsidP="00083D49">
      <w:pPr>
        <w:pStyle w:val="Heading1"/>
        <w:numPr>
          <w:ilvl w:val="0"/>
          <w:numId w:val="3"/>
        </w:numPr>
        <w:spacing w:before="0" w:after="240"/>
        <w:ind w:left="357" w:hanging="357"/>
        <w:rPr>
          <w:rFonts w:ascii="Times New Roman" w:hAnsi="Times New Roman" w:cs="Times New Roman"/>
          <w:b/>
          <w:bCs/>
          <w:noProof/>
          <w:color w:val="auto"/>
          <w:sz w:val="24"/>
          <w:szCs w:val="24"/>
        </w:rPr>
      </w:pPr>
      <w:bookmarkStart w:id="2" w:name="_GoBack"/>
      <w:bookmarkEnd w:id="2"/>
      <w:r w:rsidRPr="00622B19">
        <w:rPr>
          <w:rFonts w:ascii="Times New Roman" w:hAnsi="Times New Roman"/>
          <w:b/>
          <w:bCs/>
          <w:noProof/>
          <w:color w:val="auto"/>
          <w:sz w:val="24"/>
          <w:szCs w:val="24"/>
        </w:rPr>
        <w:lastRenderedPageBreak/>
        <w:t>CONTEXT</w:t>
      </w:r>
    </w:p>
    <w:p w14:paraId="708EE80F" w14:textId="2A4E0362" w:rsidR="00815715" w:rsidRDefault="00D55A63" w:rsidP="007D18C1">
      <w:pPr>
        <w:pStyle w:val="Body"/>
        <w:rPr>
          <w:rFonts w:ascii="Times New Roman" w:hAnsi="Times New Roman"/>
          <w:noProof/>
          <w:sz w:val="24"/>
          <w:szCs w:val="24"/>
          <w:shd w:val="clear" w:color="auto" w:fill="FFFFFF"/>
        </w:rPr>
      </w:pPr>
      <w:r>
        <w:rPr>
          <w:rFonts w:ascii="Times New Roman" w:hAnsi="Times New Roman"/>
          <w:noProof/>
          <w:sz w:val="24"/>
          <w:szCs w:val="24"/>
          <w:shd w:val="clear" w:color="auto" w:fill="FFFFFF"/>
        </w:rPr>
        <w:t>The</w:t>
      </w:r>
      <w:r w:rsidR="007D18C1" w:rsidRPr="00C13F66">
        <w:rPr>
          <w:rFonts w:ascii="Times New Roman" w:hAnsi="Times New Roman"/>
          <w:noProof/>
          <w:sz w:val="24"/>
          <w:szCs w:val="24"/>
          <w:shd w:val="clear" w:color="auto" w:fill="FFFFFF"/>
        </w:rPr>
        <w:t xml:space="preserve"> European Union Agency for</w:t>
      </w:r>
      <w:r w:rsidR="007E4EDF">
        <w:rPr>
          <w:rFonts w:ascii="Times New Roman" w:hAnsi="Times New Roman"/>
          <w:noProof/>
          <w:sz w:val="24"/>
          <w:szCs w:val="24"/>
          <w:shd w:val="clear" w:color="auto" w:fill="FFFFFF"/>
        </w:rPr>
        <w:t xml:space="preserve"> Law Enforcement Training </w:t>
      </w:r>
      <w:r>
        <w:rPr>
          <w:rFonts w:ascii="Times New Roman" w:hAnsi="Times New Roman"/>
          <w:noProof/>
          <w:sz w:val="24"/>
          <w:szCs w:val="24"/>
          <w:shd w:val="clear" w:color="auto" w:fill="FFFFFF"/>
        </w:rPr>
        <w:t>(CEPOL) is</w:t>
      </w:r>
      <w:r w:rsidR="007E4EDF">
        <w:rPr>
          <w:rFonts w:ascii="Times New Roman" w:hAnsi="Times New Roman"/>
          <w:noProof/>
          <w:sz w:val="24"/>
          <w:szCs w:val="24"/>
          <w:shd w:val="clear" w:color="auto" w:fill="FFFFFF"/>
        </w:rPr>
        <w:t xml:space="preserve"> an A</w:t>
      </w:r>
      <w:r w:rsidR="007D18C1" w:rsidRPr="00C13F66">
        <w:rPr>
          <w:rFonts w:ascii="Times New Roman" w:hAnsi="Times New Roman"/>
          <w:noProof/>
          <w:sz w:val="24"/>
          <w:szCs w:val="24"/>
          <w:shd w:val="clear" w:color="auto" w:fill="FFFFFF"/>
        </w:rPr>
        <w:t>gency of the European Union dedicated to training law enforcement officials</w:t>
      </w:r>
      <w:r w:rsidR="007D18C1">
        <w:rPr>
          <w:rFonts w:ascii="Times New Roman" w:hAnsi="Times New Roman"/>
          <w:noProof/>
          <w:sz w:val="24"/>
          <w:szCs w:val="24"/>
          <w:shd w:val="clear" w:color="auto" w:fill="FFFFFF"/>
        </w:rPr>
        <w:t>,</w:t>
      </w:r>
      <w:r w:rsidR="007D18C1" w:rsidRPr="00C13F66">
        <w:rPr>
          <w:rFonts w:ascii="Times New Roman" w:hAnsi="Times New Roman"/>
          <w:noProof/>
          <w:sz w:val="24"/>
          <w:szCs w:val="24"/>
          <w:shd w:val="clear" w:color="auto" w:fill="FFFFFF"/>
        </w:rPr>
        <w:t xml:space="preserve"> based in Budapest, Hungary. </w:t>
      </w:r>
      <w:r w:rsidR="007D18C1" w:rsidRPr="00C13F66">
        <w:rPr>
          <w:rFonts w:ascii="Times New Roman" w:hAnsi="Times New Roman"/>
          <w:noProof/>
          <w:sz w:val="24"/>
          <w:szCs w:val="24"/>
        </w:rPr>
        <w:t xml:space="preserve">This is a crucial role that is intended to ensure European law enforcement officials are equipped to protect human rights, prevent and fight serious crime and terrorism, and maintain public order, with a view to creating a common EU law enforcement culture. </w:t>
      </w:r>
      <w:r w:rsidR="00976793">
        <w:rPr>
          <w:rFonts w:ascii="Times New Roman" w:hAnsi="Times New Roman"/>
          <w:noProof/>
          <w:sz w:val="24"/>
          <w:szCs w:val="24"/>
          <w:shd w:val="clear" w:color="auto" w:fill="FFFFFF"/>
        </w:rPr>
        <w:t>It</w:t>
      </w:r>
      <w:r>
        <w:rPr>
          <w:rFonts w:ascii="Times New Roman" w:hAnsi="Times New Roman"/>
          <w:noProof/>
          <w:sz w:val="24"/>
          <w:szCs w:val="24"/>
          <w:shd w:val="clear" w:color="auto" w:fill="FFFFFF"/>
        </w:rPr>
        <w:t xml:space="preserve"> was establish</w:t>
      </w:r>
      <w:r w:rsidR="002B4B82">
        <w:rPr>
          <w:rFonts w:ascii="Times New Roman" w:hAnsi="Times New Roman"/>
          <w:noProof/>
          <w:sz w:val="24"/>
          <w:szCs w:val="24"/>
          <w:shd w:val="clear" w:color="auto" w:fill="FFFFFF"/>
        </w:rPr>
        <w:t>ed</w:t>
      </w:r>
      <w:r w:rsidR="007D18C1" w:rsidRPr="00C13F66">
        <w:rPr>
          <w:rFonts w:ascii="Times New Roman" w:hAnsi="Times New Roman"/>
          <w:noProof/>
          <w:sz w:val="24"/>
          <w:szCs w:val="24"/>
          <w:shd w:val="clear" w:color="auto" w:fill="FFFFFF"/>
        </w:rPr>
        <w:t xml:space="preserve"> in 2000 </w:t>
      </w:r>
      <w:r w:rsidR="00976793">
        <w:rPr>
          <w:rFonts w:ascii="Times New Roman" w:hAnsi="Times New Roman"/>
          <w:noProof/>
          <w:sz w:val="24"/>
          <w:szCs w:val="24"/>
          <w:shd w:val="clear" w:color="auto" w:fill="FFFFFF"/>
        </w:rPr>
        <w:t xml:space="preserve">as the </w:t>
      </w:r>
      <w:r w:rsidR="00976793" w:rsidRPr="00976793">
        <w:rPr>
          <w:rFonts w:ascii="Times New Roman" w:hAnsi="Times New Roman"/>
          <w:noProof/>
          <w:sz w:val="24"/>
          <w:szCs w:val="24"/>
          <w:shd w:val="clear" w:color="auto" w:fill="FFFFFF"/>
        </w:rPr>
        <w:t xml:space="preserve">European Police College </w:t>
      </w:r>
      <w:r w:rsidR="007D18C1" w:rsidRPr="00C13F66">
        <w:rPr>
          <w:rFonts w:ascii="Times New Roman" w:hAnsi="Times New Roman"/>
          <w:noProof/>
          <w:sz w:val="24"/>
          <w:szCs w:val="24"/>
          <w:shd w:val="clear" w:color="auto" w:fill="FFFFFF"/>
        </w:rPr>
        <w:t xml:space="preserve">and </w:t>
      </w:r>
      <w:r w:rsidR="00976793">
        <w:rPr>
          <w:rFonts w:ascii="Times New Roman" w:hAnsi="Times New Roman"/>
          <w:noProof/>
          <w:sz w:val="24"/>
          <w:szCs w:val="24"/>
          <w:shd w:val="clear" w:color="auto" w:fill="FFFFFF"/>
        </w:rPr>
        <w:t>it became an Agency in 2005. I</w:t>
      </w:r>
      <w:r w:rsidR="007D18C1" w:rsidRPr="00C13F66">
        <w:rPr>
          <w:rFonts w:ascii="Times New Roman" w:hAnsi="Times New Roman"/>
          <w:noProof/>
          <w:sz w:val="24"/>
          <w:szCs w:val="24"/>
          <w:shd w:val="clear" w:color="auto" w:fill="FFFFFF"/>
        </w:rPr>
        <w:t xml:space="preserve">ts current legal mandate entered into force on 1 July 2016, </w:t>
      </w:r>
      <w:r w:rsidR="007D18C1" w:rsidRPr="00C13F66">
        <w:rPr>
          <w:rFonts w:ascii="Times New Roman" w:hAnsi="Times New Roman"/>
          <w:noProof/>
          <w:sz w:val="24"/>
          <w:szCs w:val="24"/>
        </w:rPr>
        <w:t xml:space="preserve">resulting from the 2015 Regulation </w:t>
      </w:r>
      <w:r w:rsidR="007D18C1" w:rsidRPr="00C13F66">
        <w:rPr>
          <w:rFonts w:ascii="Times New Roman" w:hAnsi="Times New Roman"/>
          <w:noProof/>
          <w:color w:val="000000" w:themeColor="text1"/>
          <w:sz w:val="24"/>
          <w:szCs w:val="24"/>
        </w:rPr>
        <w:t>(EU) 2015/2219</w:t>
      </w:r>
      <w:r w:rsidR="009767F3">
        <w:rPr>
          <w:rFonts w:ascii="Times New Roman" w:hAnsi="Times New Roman"/>
          <w:noProof/>
          <w:color w:val="000000" w:themeColor="text1"/>
          <w:sz w:val="24"/>
          <w:szCs w:val="24"/>
        </w:rPr>
        <w:t xml:space="preserve"> </w:t>
      </w:r>
      <w:r w:rsidR="009767F3" w:rsidRPr="009767F3">
        <w:rPr>
          <w:rFonts w:ascii="Times New Roman" w:hAnsi="Times New Roman"/>
          <w:noProof/>
          <w:color w:val="000000" w:themeColor="text1"/>
          <w:sz w:val="24"/>
          <w:szCs w:val="24"/>
        </w:rPr>
        <w:t>on the European Union Agen</w:t>
      </w:r>
      <w:r w:rsidR="009767F3">
        <w:rPr>
          <w:rFonts w:ascii="Times New Roman" w:hAnsi="Times New Roman"/>
          <w:noProof/>
          <w:color w:val="000000" w:themeColor="text1"/>
          <w:sz w:val="24"/>
          <w:szCs w:val="24"/>
        </w:rPr>
        <w:t>cy for Law Enforcement Training</w:t>
      </w:r>
      <w:r w:rsidR="009767F3">
        <w:rPr>
          <w:rStyle w:val="FootnoteReference"/>
          <w:noProof/>
          <w:color w:val="000000" w:themeColor="text1"/>
          <w:sz w:val="24"/>
          <w:szCs w:val="24"/>
        </w:rPr>
        <w:footnoteReference w:id="1"/>
      </w:r>
      <w:r w:rsidR="009767F3">
        <w:rPr>
          <w:rFonts w:ascii="Times New Roman" w:hAnsi="Times New Roman"/>
          <w:noProof/>
          <w:color w:val="000000" w:themeColor="text1"/>
          <w:sz w:val="24"/>
          <w:szCs w:val="24"/>
        </w:rPr>
        <w:t xml:space="preserve"> (‘CEPOL Regulation’)</w:t>
      </w:r>
      <w:r w:rsidR="007D18C1" w:rsidRPr="00C13F66">
        <w:rPr>
          <w:rFonts w:ascii="Times New Roman" w:hAnsi="Times New Roman"/>
          <w:noProof/>
          <w:sz w:val="24"/>
          <w:szCs w:val="24"/>
          <w:shd w:val="clear" w:color="auto" w:fill="FFFFFF"/>
        </w:rPr>
        <w:t>. As per Article 3 of the Regulation, CEPOL’s mandate includes supporting, developing, implementing, and coordinating training</w:t>
      </w:r>
      <w:r w:rsidR="00815715">
        <w:rPr>
          <w:rFonts w:ascii="Times New Roman" w:hAnsi="Times New Roman"/>
          <w:noProof/>
          <w:sz w:val="24"/>
          <w:szCs w:val="24"/>
          <w:shd w:val="clear" w:color="auto" w:fill="FFFFFF"/>
        </w:rPr>
        <w:t xml:space="preserve"> for law enforcement officials.</w:t>
      </w:r>
    </w:p>
    <w:p w14:paraId="356978AB" w14:textId="77777777" w:rsidR="007D18C1" w:rsidRPr="00C13F66" w:rsidRDefault="007D18C1" w:rsidP="007D18C1">
      <w:pPr>
        <w:pStyle w:val="Body"/>
        <w:rPr>
          <w:rFonts w:ascii="Times New Roman" w:hAnsi="Times New Roman"/>
          <w:noProof/>
          <w:sz w:val="24"/>
          <w:szCs w:val="24"/>
          <w:shd w:val="clear" w:color="auto" w:fill="FFFFFF"/>
        </w:rPr>
      </w:pPr>
      <w:r w:rsidRPr="00C13F66">
        <w:rPr>
          <w:rFonts w:ascii="Times New Roman" w:hAnsi="Times New Roman"/>
          <w:noProof/>
          <w:sz w:val="24"/>
          <w:szCs w:val="24"/>
          <w:shd w:val="clear" w:color="auto" w:fill="FFFFFF"/>
        </w:rPr>
        <w:t>More specifically</w:t>
      </w:r>
      <w:r w:rsidR="00D55A63">
        <w:rPr>
          <w:rFonts w:ascii="Times New Roman" w:hAnsi="Times New Roman"/>
          <w:noProof/>
          <w:sz w:val="24"/>
          <w:szCs w:val="24"/>
          <w:shd w:val="clear" w:color="auto" w:fill="FFFFFF"/>
        </w:rPr>
        <w:t>, the Agency is</w:t>
      </w:r>
      <w:r w:rsidRPr="00C13F66">
        <w:rPr>
          <w:rFonts w:ascii="Times New Roman" w:hAnsi="Times New Roman"/>
          <w:noProof/>
          <w:sz w:val="24"/>
          <w:szCs w:val="24"/>
          <w:shd w:val="clear" w:color="auto" w:fill="FFFFFF"/>
        </w:rPr>
        <w:t>:</w:t>
      </w:r>
    </w:p>
    <w:p w14:paraId="2A46FD48" w14:textId="77777777" w:rsidR="007D18C1" w:rsidRPr="00C13F66" w:rsidRDefault="007D18C1" w:rsidP="007D18C1">
      <w:pPr>
        <w:pStyle w:val="Bulletpoint1"/>
        <w:rPr>
          <w:rFonts w:ascii="Times New Roman" w:hAnsi="Times New Roman"/>
          <w:noProof/>
          <w:sz w:val="24"/>
          <w:szCs w:val="24"/>
        </w:rPr>
      </w:pPr>
      <w:r w:rsidRPr="00C13F66">
        <w:rPr>
          <w:rFonts w:ascii="Times New Roman" w:hAnsi="Times New Roman"/>
          <w:noProof/>
          <w:sz w:val="24"/>
          <w:szCs w:val="24"/>
        </w:rPr>
        <w:t>Supporting Member States in the provision of training to law enforcement officials, in particular on elements of cross-border and European law enforcement cooperation;</w:t>
      </w:r>
    </w:p>
    <w:p w14:paraId="006F7FBD" w14:textId="77777777" w:rsidR="007D18C1" w:rsidRPr="00C13F66" w:rsidRDefault="007D18C1" w:rsidP="007D18C1">
      <w:pPr>
        <w:pStyle w:val="Bulletpoint1"/>
        <w:rPr>
          <w:rFonts w:ascii="Times New Roman" w:hAnsi="Times New Roman"/>
          <w:noProof/>
          <w:sz w:val="24"/>
          <w:szCs w:val="24"/>
        </w:rPr>
      </w:pPr>
      <w:r w:rsidRPr="00C13F66">
        <w:rPr>
          <w:rFonts w:ascii="Times New Roman" w:hAnsi="Times New Roman"/>
          <w:noProof/>
          <w:sz w:val="24"/>
          <w:szCs w:val="24"/>
        </w:rPr>
        <w:t>Supporting Member States in developing bilateral and regional cooperation through the delivery of multilateral training;</w:t>
      </w:r>
    </w:p>
    <w:p w14:paraId="50841B33" w14:textId="77777777" w:rsidR="007D18C1" w:rsidRPr="00C13F66" w:rsidRDefault="007D18C1" w:rsidP="007D18C1">
      <w:pPr>
        <w:pStyle w:val="Bulletpoint1"/>
        <w:rPr>
          <w:rFonts w:ascii="Times New Roman" w:hAnsi="Times New Roman"/>
          <w:noProof/>
          <w:sz w:val="24"/>
          <w:szCs w:val="24"/>
        </w:rPr>
      </w:pPr>
      <w:r w:rsidRPr="00C13F66">
        <w:rPr>
          <w:rFonts w:ascii="Times New Roman" w:hAnsi="Times New Roman"/>
          <w:noProof/>
          <w:sz w:val="24"/>
          <w:szCs w:val="24"/>
        </w:rPr>
        <w:t>Developing, implementing and coordinating training on specific thematic areas;</w:t>
      </w:r>
    </w:p>
    <w:p w14:paraId="77144D70" w14:textId="77777777" w:rsidR="007D18C1" w:rsidRPr="00C13F66" w:rsidRDefault="007D18C1" w:rsidP="007D18C1">
      <w:pPr>
        <w:pStyle w:val="Bulletpoint1"/>
        <w:rPr>
          <w:rFonts w:ascii="Times New Roman" w:hAnsi="Times New Roman"/>
          <w:noProof/>
          <w:sz w:val="24"/>
          <w:szCs w:val="24"/>
        </w:rPr>
      </w:pPr>
      <w:r w:rsidRPr="00C13F66">
        <w:rPr>
          <w:rFonts w:ascii="Times New Roman" w:hAnsi="Times New Roman"/>
          <w:noProof/>
          <w:sz w:val="24"/>
          <w:szCs w:val="24"/>
        </w:rPr>
        <w:t>Developing, implementing and coordinating the training of law enforcement officials when preparing for participation in EU missions and in capacity building activities in non-EU countries;</w:t>
      </w:r>
    </w:p>
    <w:p w14:paraId="60EBCC27" w14:textId="77777777" w:rsidR="007D18C1" w:rsidRPr="00C13F66" w:rsidRDefault="007D18C1" w:rsidP="007D18C1">
      <w:pPr>
        <w:pStyle w:val="Bulletpoint1"/>
        <w:rPr>
          <w:rFonts w:ascii="Times New Roman" w:hAnsi="Times New Roman"/>
          <w:noProof/>
          <w:sz w:val="24"/>
          <w:szCs w:val="24"/>
        </w:rPr>
      </w:pPr>
      <w:r w:rsidRPr="00C13F66">
        <w:rPr>
          <w:rFonts w:ascii="Times New Roman" w:hAnsi="Times New Roman"/>
          <w:noProof/>
          <w:sz w:val="24"/>
          <w:szCs w:val="24"/>
        </w:rPr>
        <w:t>Providing training to law enforcement trainers and supporting the development and exchange of best practice;</w:t>
      </w:r>
    </w:p>
    <w:p w14:paraId="5103E7C8" w14:textId="77777777" w:rsidR="007D18C1" w:rsidRPr="00C13F66" w:rsidRDefault="007D18C1" w:rsidP="007D18C1">
      <w:pPr>
        <w:pStyle w:val="Bulletpoint1"/>
        <w:rPr>
          <w:rFonts w:ascii="Times New Roman" w:hAnsi="Times New Roman"/>
          <w:noProof/>
          <w:sz w:val="24"/>
          <w:szCs w:val="24"/>
        </w:rPr>
      </w:pPr>
      <w:r w:rsidRPr="00C13F66">
        <w:rPr>
          <w:rFonts w:ascii="Times New Roman" w:hAnsi="Times New Roman"/>
          <w:noProof/>
          <w:sz w:val="24"/>
          <w:szCs w:val="24"/>
        </w:rPr>
        <w:t>Developing, upgrading, and evaluating learning tools and methodologies that support the learning and development of law enforcement officials</w:t>
      </w:r>
      <w:r w:rsidRPr="00C13F66">
        <w:rPr>
          <w:rStyle w:val="FootnoteReference"/>
          <w:rFonts w:ascii="Times New Roman" w:hAnsi="Times New Roman"/>
          <w:noProof/>
          <w:sz w:val="24"/>
          <w:szCs w:val="24"/>
        </w:rPr>
        <w:footnoteReference w:id="2"/>
      </w:r>
      <w:r w:rsidR="00C42EF6">
        <w:rPr>
          <w:rFonts w:ascii="Times New Roman" w:hAnsi="Times New Roman"/>
          <w:noProof/>
          <w:sz w:val="24"/>
          <w:szCs w:val="24"/>
        </w:rPr>
        <w:t>.</w:t>
      </w:r>
    </w:p>
    <w:p w14:paraId="1DDFC7EA" w14:textId="1B28C094" w:rsidR="00ED6E9F" w:rsidRDefault="007D18C1" w:rsidP="003234FE">
      <w:pPr>
        <w:pStyle w:val="Body"/>
        <w:rPr>
          <w:rFonts w:ascii="Times New Roman" w:hAnsi="Times New Roman"/>
          <w:noProof/>
          <w:sz w:val="24"/>
          <w:szCs w:val="24"/>
        </w:rPr>
      </w:pPr>
      <w:r>
        <w:rPr>
          <w:rFonts w:ascii="Times New Roman" w:hAnsi="Times New Roman"/>
          <w:noProof/>
          <w:sz w:val="24"/>
          <w:szCs w:val="24"/>
        </w:rPr>
        <w:t xml:space="preserve">Article 32 of the CEPOL </w:t>
      </w:r>
      <w:r w:rsidR="007D1197">
        <w:rPr>
          <w:rFonts w:ascii="Times New Roman" w:hAnsi="Times New Roman"/>
          <w:noProof/>
          <w:sz w:val="24"/>
          <w:szCs w:val="24"/>
        </w:rPr>
        <w:t>R</w:t>
      </w:r>
      <w:r>
        <w:rPr>
          <w:rFonts w:ascii="Times New Roman" w:hAnsi="Times New Roman"/>
          <w:noProof/>
          <w:sz w:val="24"/>
          <w:szCs w:val="24"/>
        </w:rPr>
        <w:t>egulation requires the Commission to carry out an evaluation b</w:t>
      </w:r>
      <w:r w:rsidRPr="007D18C1">
        <w:rPr>
          <w:rFonts w:ascii="Times New Roman" w:hAnsi="Times New Roman"/>
          <w:noProof/>
          <w:sz w:val="24"/>
          <w:szCs w:val="24"/>
        </w:rPr>
        <w:t xml:space="preserve">y 1 July 2021 and every five years thereafter, assessing, in particular, the impact, effectiveness and efficiency of CEPOL and of its working practices. </w:t>
      </w:r>
      <w:r w:rsidR="00C13F66" w:rsidRPr="00C13F66">
        <w:rPr>
          <w:rFonts w:ascii="Times New Roman" w:hAnsi="Times New Roman"/>
          <w:noProof/>
          <w:sz w:val="24"/>
          <w:szCs w:val="24"/>
        </w:rPr>
        <w:t xml:space="preserve">The </w:t>
      </w:r>
      <w:r w:rsidR="00FE7967">
        <w:rPr>
          <w:rFonts w:ascii="Times New Roman" w:hAnsi="Times New Roman"/>
          <w:noProof/>
          <w:sz w:val="24"/>
          <w:szCs w:val="24"/>
        </w:rPr>
        <w:t xml:space="preserve">external </w:t>
      </w:r>
      <w:r w:rsidR="00C13F66" w:rsidRPr="00C13F66">
        <w:rPr>
          <w:rFonts w:ascii="Times New Roman" w:hAnsi="Times New Roman"/>
          <w:noProof/>
          <w:sz w:val="24"/>
          <w:szCs w:val="24"/>
        </w:rPr>
        <w:t xml:space="preserve">study </w:t>
      </w:r>
      <w:r w:rsidR="00FE7967">
        <w:rPr>
          <w:rFonts w:ascii="Times New Roman" w:hAnsi="Times New Roman"/>
          <w:noProof/>
          <w:sz w:val="24"/>
          <w:szCs w:val="24"/>
        </w:rPr>
        <w:t xml:space="preserve">supporting this evaluation </w:t>
      </w:r>
      <w:r w:rsidR="00C13F66" w:rsidRPr="00C13F66">
        <w:rPr>
          <w:rFonts w:ascii="Times New Roman" w:hAnsi="Times New Roman"/>
          <w:noProof/>
          <w:sz w:val="24"/>
          <w:szCs w:val="24"/>
        </w:rPr>
        <w:t>was conducted by a consortium of RAND Europe and Ernst &amp; Young</w:t>
      </w:r>
      <w:r w:rsidR="00DC4721">
        <w:rPr>
          <w:rStyle w:val="FootnoteReference"/>
          <w:noProof/>
          <w:sz w:val="24"/>
          <w:szCs w:val="24"/>
        </w:rPr>
        <w:footnoteReference w:id="3"/>
      </w:r>
      <w:r w:rsidR="00930DDE">
        <w:rPr>
          <w:rFonts w:ascii="Times New Roman" w:hAnsi="Times New Roman"/>
          <w:noProof/>
          <w:sz w:val="24"/>
          <w:szCs w:val="24"/>
        </w:rPr>
        <w:t>.</w:t>
      </w:r>
      <w:r w:rsidR="00DC4721" w:rsidRPr="00DC4721">
        <w:rPr>
          <w:rFonts w:ascii="Times New Roman" w:hAnsi="Times New Roman"/>
          <w:noProof/>
          <w:sz w:val="24"/>
          <w:szCs w:val="24"/>
        </w:rPr>
        <w:t xml:space="preserve"> </w:t>
      </w:r>
    </w:p>
    <w:p w14:paraId="2D0510D5" w14:textId="77777777" w:rsidR="00930DDE" w:rsidRDefault="00930DDE" w:rsidP="003234FE">
      <w:pPr>
        <w:pStyle w:val="Body"/>
        <w:rPr>
          <w:rFonts w:ascii="Times New Roman" w:hAnsi="Times New Roman"/>
          <w:noProof/>
          <w:sz w:val="24"/>
          <w:szCs w:val="24"/>
        </w:rPr>
      </w:pPr>
      <w:r w:rsidRPr="00930DDE">
        <w:rPr>
          <w:rFonts w:ascii="Times New Roman" w:hAnsi="Times New Roman"/>
          <w:noProof/>
          <w:sz w:val="24"/>
          <w:szCs w:val="24"/>
        </w:rPr>
        <w:t>The external study was based on a number</w:t>
      </w:r>
      <w:r>
        <w:rPr>
          <w:rFonts w:ascii="Times New Roman" w:hAnsi="Times New Roman"/>
          <w:noProof/>
          <w:sz w:val="24"/>
          <w:szCs w:val="24"/>
        </w:rPr>
        <w:t xml:space="preserve"> of data collection activities</w:t>
      </w:r>
      <w:r w:rsidR="00236FE3">
        <w:rPr>
          <w:rFonts w:ascii="Times New Roman" w:hAnsi="Times New Roman"/>
          <w:noProof/>
          <w:sz w:val="24"/>
          <w:szCs w:val="24"/>
        </w:rPr>
        <w:t>:</w:t>
      </w:r>
    </w:p>
    <w:p w14:paraId="36639764" w14:textId="77777777" w:rsidR="00930DDE" w:rsidRDefault="00930DDE" w:rsidP="00930DDE">
      <w:pPr>
        <w:pStyle w:val="Body"/>
        <w:spacing w:after="0"/>
        <w:rPr>
          <w:rFonts w:ascii="Times New Roman" w:hAnsi="Times New Roman"/>
          <w:noProof/>
          <w:sz w:val="24"/>
          <w:szCs w:val="24"/>
        </w:rPr>
      </w:pPr>
      <w:r>
        <w:rPr>
          <w:rFonts w:ascii="Times New Roman" w:hAnsi="Times New Roman"/>
          <w:noProof/>
          <w:sz w:val="24"/>
          <w:szCs w:val="24"/>
        </w:rPr>
        <w:t>(1) A documentary review;</w:t>
      </w:r>
    </w:p>
    <w:p w14:paraId="25B3B344" w14:textId="77777777" w:rsidR="00930DDE" w:rsidRDefault="00930DDE" w:rsidP="00930DDE">
      <w:pPr>
        <w:pStyle w:val="Body"/>
        <w:spacing w:after="0"/>
        <w:rPr>
          <w:rFonts w:ascii="Times New Roman" w:hAnsi="Times New Roman"/>
          <w:noProof/>
          <w:sz w:val="24"/>
          <w:szCs w:val="24"/>
        </w:rPr>
      </w:pPr>
      <w:r w:rsidRPr="00930DDE">
        <w:rPr>
          <w:rFonts w:ascii="Times New Roman" w:hAnsi="Times New Roman"/>
          <w:noProof/>
          <w:sz w:val="24"/>
          <w:szCs w:val="24"/>
        </w:rPr>
        <w:t xml:space="preserve">(2) </w:t>
      </w:r>
      <w:r>
        <w:rPr>
          <w:rFonts w:ascii="Times New Roman" w:hAnsi="Times New Roman"/>
          <w:noProof/>
          <w:sz w:val="24"/>
          <w:szCs w:val="24"/>
        </w:rPr>
        <w:t>A</w:t>
      </w:r>
      <w:r w:rsidRPr="00930DDE">
        <w:rPr>
          <w:rFonts w:ascii="Times New Roman" w:hAnsi="Times New Roman"/>
          <w:noProof/>
          <w:sz w:val="24"/>
          <w:szCs w:val="24"/>
        </w:rPr>
        <w:t xml:space="preserve"> public consultation of EU citizens;</w:t>
      </w:r>
    </w:p>
    <w:p w14:paraId="79F10CAB" w14:textId="17A1632A" w:rsidR="00930DDE" w:rsidRDefault="00930DDE" w:rsidP="00930DDE">
      <w:pPr>
        <w:pStyle w:val="Body"/>
        <w:spacing w:after="0"/>
        <w:rPr>
          <w:rFonts w:ascii="Times New Roman" w:hAnsi="Times New Roman"/>
          <w:noProof/>
          <w:sz w:val="24"/>
          <w:szCs w:val="24"/>
        </w:rPr>
      </w:pPr>
      <w:r w:rsidRPr="00930DDE">
        <w:rPr>
          <w:rFonts w:ascii="Times New Roman" w:hAnsi="Times New Roman"/>
          <w:noProof/>
          <w:sz w:val="24"/>
          <w:szCs w:val="24"/>
        </w:rPr>
        <w:t>(3) Online surveys of CEPOL National Units</w:t>
      </w:r>
      <w:r w:rsidR="00F62F38">
        <w:rPr>
          <w:rFonts w:ascii="Times New Roman" w:hAnsi="Times New Roman"/>
          <w:noProof/>
          <w:sz w:val="24"/>
          <w:szCs w:val="24"/>
        </w:rPr>
        <w:t xml:space="preserve"> </w:t>
      </w:r>
      <w:r w:rsidRPr="00930DDE">
        <w:rPr>
          <w:rFonts w:ascii="Times New Roman" w:hAnsi="Times New Roman"/>
          <w:noProof/>
          <w:sz w:val="24"/>
          <w:szCs w:val="24"/>
        </w:rPr>
        <w:t>and National Contact Points, Framework Partners, third countri</w:t>
      </w:r>
      <w:r>
        <w:rPr>
          <w:rFonts w:ascii="Times New Roman" w:hAnsi="Times New Roman"/>
          <w:noProof/>
          <w:sz w:val="24"/>
          <w:szCs w:val="24"/>
        </w:rPr>
        <w:t>es, and training participants;</w:t>
      </w:r>
    </w:p>
    <w:p w14:paraId="2F7FFB93" w14:textId="77777777" w:rsidR="00930DDE" w:rsidRDefault="00930DDE" w:rsidP="00930DDE">
      <w:pPr>
        <w:pStyle w:val="Body"/>
        <w:spacing w:after="0"/>
        <w:rPr>
          <w:rFonts w:ascii="Times New Roman" w:hAnsi="Times New Roman"/>
          <w:noProof/>
          <w:sz w:val="24"/>
          <w:szCs w:val="24"/>
        </w:rPr>
      </w:pPr>
      <w:r w:rsidRPr="00930DDE">
        <w:rPr>
          <w:rFonts w:ascii="Times New Roman" w:hAnsi="Times New Roman"/>
          <w:noProof/>
          <w:sz w:val="24"/>
          <w:szCs w:val="24"/>
        </w:rPr>
        <w:t>(4) Interviews with stakeholders from CEPOL, EU institutions, Member State organisations, international org</w:t>
      </w:r>
      <w:r>
        <w:rPr>
          <w:rFonts w:ascii="Times New Roman" w:hAnsi="Times New Roman"/>
          <w:noProof/>
          <w:sz w:val="24"/>
          <w:szCs w:val="24"/>
        </w:rPr>
        <w:t>anisations and third countries;</w:t>
      </w:r>
    </w:p>
    <w:p w14:paraId="5BE30F31" w14:textId="77777777" w:rsidR="00930DDE" w:rsidRDefault="00930DDE" w:rsidP="00930DDE">
      <w:pPr>
        <w:pStyle w:val="Body"/>
        <w:spacing w:after="0"/>
        <w:rPr>
          <w:rFonts w:ascii="Times New Roman" w:hAnsi="Times New Roman"/>
          <w:noProof/>
          <w:sz w:val="24"/>
          <w:szCs w:val="24"/>
        </w:rPr>
      </w:pPr>
      <w:r w:rsidRPr="00930DDE">
        <w:rPr>
          <w:rFonts w:ascii="Times New Roman" w:hAnsi="Times New Roman"/>
          <w:noProof/>
          <w:sz w:val="24"/>
          <w:szCs w:val="24"/>
        </w:rPr>
        <w:t>(5) Virtual ‘visits’ to CEPOL’;</w:t>
      </w:r>
    </w:p>
    <w:p w14:paraId="30CAAE02" w14:textId="2565F729" w:rsidR="00930DDE" w:rsidRDefault="00930DDE" w:rsidP="00930DDE">
      <w:pPr>
        <w:pStyle w:val="Body"/>
        <w:spacing w:after="0"/>
        <w:rPr>
          <w:rFonts w:ascii="Times New Roman" w:hAnsi="Times New Roman"/>
          <w:noProof/>
          <w:sz w:val="24"/>
          <w:szCs w:val="24"/>
        </w:rPr>
      </w:pPr>
      <w:r w:rsidRPr="00930DDE">
        <w:rPr>
          <w:rFonts w:ascii="Times New Roman" w:hAnsi="Times New Roman"/>
          <w:noProof/>
          <w:sz w:val="24"/>
          <w:szCs w:val="24"/>
        </w:rPr>
        <w:t xml:space="preserve">(6) </w:t>
      </w:r>
      <w:r>
        <w:rPr>
          <w:rFonts w:ascii="Times New Roman" w:hAnsi="Times New Roman"/>
          <w:noProof/>
          <w:sz w:val="24"/>
          <w:szCs w:val="24"/>
        </w:rPr>
        <w:t>Three c</w:t>
      </w:r>
      <w:r w:rsidRPr="00930DDE">
        <w:rPr>
          <w:rFonts w:ascii="Times New Roman" w:hAnsi="Times New Roman"/>
          <w:noProof/>
          <w:sz w:val="24"/>
          <w:szCs w:val="24"/>
        </w:rPr>
        <w:t>ase studies;</w:t>
      </w:r>
    </w:p>
    <w:p w14:paraId="6A824915" w14:textId="77777777" w:rsidR="00930DDE" w:rsidRDefault="00930DDE" w:rsidP="00930DDE">
      <w:pPr>
        <w:pStyle w:val="Body"/>
        <w:rPr>
          <w:rFonts w:ascii="Times New Roman" w:hAnsi="Times New Roman"/>
          <w:noProof/>
          <w:sz w:val="24"/>
          <w:szCs w:val="24"/>
        </w:rPr>
      </w:pPr>
      <w:r w:rsidRPr="00930DDE">
        <w:rPr>
          <w:rFonts w:ascii="Times New Roman" w:hAnsi="Times New Roman"/>
          <w:noProof/>
          <w:sz w:val="24"/>
          <w:szCs w:val="24"/>
        </w:rPr>
        <w:t xml:space="preserve">(7) </w:t>
      </w:r>
      <w:r>
        <w:rPr>
          <w:rFonts w:ascii="Times New Roman" w:hAnsi="Times New Roman"/>
          <w:noProof/>
          <w:sz w:val="24"/>
          <w:szCs w:val="24"/>
        </w:rPr>
        <w:t>W</w:t>
      </w:r>
      <w:r w:rsidRPr="00930DDE">
        <w:rPr>
          <w:rFonts w:ascii="Times New Roman" w:hAnsi="Times New Roman"/>
          <w:noProof/>
          <w:sz w:val="24"/>
          <w:szCs w:val="24"/>
        </w:rPr>
        <w:t>orkshops.</w:t>
      </w:r>
    </w:p>
    <w:p w14:paraId="233A99F9" w14:textId="6DE97380" w:rsidR="00930DDE" w:rsidRDefault="00291AE7" w:rsidP="003234FE">
      <w:pPr>
        <w:pStyle w:val="Body"/>
        <w:rPr>
          <w:rFonts w:ascii="Times New Roman" w:hAnsi="Times New Roman"/>
          <w:noProof/>
          <w:sz w:val="24"/>
          <w:szCs w:val="24"/>
        </w:rPr>
      </w:pPr>
      <w:r>
        <w:rPr>
          <w:rFonts w:ascii="Times New Roman" w:hAnsi="Times New Roman"/>
          <w:noProof/>
          <w:sz w:val="24"/>
          <w:szCs w:val="24"/>
        </w:rPr>
        <w:t>The research approach ensured</w:t>
      </w:r>
      <w:r w:rsidRPr="00291AE7">
        <w:rPr>
          <w:rFonts w:ascii="Times New Roman" w:hAnsi="Times New Roman"/>
          <w:noProof/>
          <w:sz w:val="24"/>
          <w:szCs w:val="24"/>
        </w:rPr>
        <w:t xml:space="preserve"> the gathering of information from a wide range of stakeholders, including in CEPOL, other EU agencies, Member States and third countries, which strengthens the balance and breadth of perspectives.</w:t>
      </w:r>
    </w:p>
    <w:p w14:paraId="1A31BC27" w14:textId="733ABDB3" w:rsidR="00C13F66" w:rsidRDefault="00ED6E9F" w:rsidP="003234FE">
      <w:pPr>
        <w:pStyle w:val="Body"/>
        <w:rPr>
          <w:rFonts w:ascii="Times New Roman" w:hAnsi="Times New Roman"/>
          <w:noProof/>
          <w:sz w:val="24"/>
          <w:szCs w:val="24"/>
        </w:rPr>
      </w:pPr>
      <w:r>
        <w:rPr>
          <w:rFonts w:ascii="Times New Roman" w:hAnsi="Times New Roman"/>
          <w:noProof/>
          <w:sz w:val="24"/>
          <w:szCs w:val="24"/>
        </w:rPr>
        <w:t>Th</w:t>
      </w:r>
      <w:r w:rsidR="002D5314">
        <w:rPr>
          <w:rFonts w:ascii="Times New Roman" w:hAnsi="Times New Roman"/>
          <w:noProof/>
          <w:sz w:val="24"/>
          <w:szCs w:val="24"/>
        </w:rPr>
        <w:t>is</w:t>
      </w:r>
      <w:r>
        <w:rPr>
          <w:rFonts w:ascii="Times New Roman" w:hAnsi="Times New Roman"/>
          <w:noProof/>
          <w:sz w:val="24"/>
          <w:szCs w:val="24"/>
        </w:rPr>
        <w:t xml:space="preserve"> evaluation</w:t>
      </w:r>
      <w:r w:rsidR="00C13F66" w:rsidRPr="00C13F66">
        <w:rPr>
          <w:rFonts w:ascii="Times New Roman" w:hAnsi="Times New Roman"/>
          <w:noProof/>
          <w:sz w:val="24"/>
          <w:szCs w:val="24"/>
        </w:rPr>
        <w:t xml:space="preserve"> </w:t>
      </w:r>
      <w:r w:rsidR="0053641B" w:rsidRPr="00C13F66">
        <w:rPr>
          <w:rFonts w:ascii="Times New Roman" w:hAnsi="Times New Roman"/>
          <w:noProof/>
          <w:sz w:val="24"/>
          <w:szCs w:val="24"/>
        </w:rPr>
        <w:t>ha</w:t>
      </w:r>
      <w:r w:rsidR="0053641B">
        <w:rPr>
          <w:rFonts w:ascii="Times New Roman" w:hAnsi="Times New Roman"/>
          <w:noProof/>
          <w:sz w:val="24"/>
          <w:szCs w:val="24"/>
        </w:rPr>
        <w:t>s</w:t>
      </w:r>
      <w:r w:rsidR="0053641B" w:rsidRPr="00C13F66">
        <w:rPr>
          <w:rFonts w:ascii="Times New Roman" w:hAnsi="Times New Roman"/>
          <w:noProof/>
          <w:sz w:val="24"/>
          <w:szCs w:val="24"/>
        </w:rPr>
        <w:t xml:space="preserve"> </w:t>
      </w:r>
      <w:r w:rsidR="00C13F66" w:rsidRPr="00C13F66">
        <w:rPr>
          <w:rFonts w:ascii="Times New Roman" w:hAnsi="Times New Roman"/>
          <w:noProof/>
          <w:sz w:val="24"/>
          <w:szCs w:val="24"/>
        </w:rPr>
        <w:t>two main objectives: (1) To assess the effectiveness, efficiency, relevance, coherence and EU added value of CEPOL and of its working practices since 2015</w:t>
      </w:r>
      <w:r w:rsidR="005103DF">
        <w:rPr>
          <w:rStyle w:val="FootnoteReference"/>
          <w:noProof/>
          <w:sz w:val="24"/>
          <w:szCs w:val="24"/>
        </w:rPr>
        <w:footnoteReference w:id="4"/>
      </w:r>
      <w:r w:rsidR="00C13F66" w:rsidRPr="00C13F66">
        <w:rPr>
          <w:rFonts w:ascii="Times New Roman" w:hAnsi="Times New Roman"/>
          <w:noProof/>
          <w:sz w:val="24"/>
          <w:szCs w:val="24"/>
        </w:rPr>
        <w:t>; and (2) To describe lessons learned and elaborate recommendations to better respond to the challenges posed by the constantly changing environment against the background of the current</w:t>
      </w:r>
      <w:r w:rsidR="000E6CE4">
        <w:rPr>
          <w:rFonts w:ascii="Times New Roman" w:hAnsi="Times New Roman"/>
          <w:noProof/>
          <w:sz w:val="24"/>
          <w:szCs w:val="24"/>
        </w:rPr>
        <w:t>ly</w:t>
      </w:r>
      <w:r w:rsidR="00C13F66" w:rsidRPr="00C13F66">
        <w:rPr>
          <w:rFonts w:ascii="Times New Roman" w:hAnsi="Times New Roman"/>
          <w:noProof/>
          <w:sz w:val="24"/>
          <w:szCs w:val="24"/>
        </w:rPr>
        <w:t xml:space="preserve"> authorised financial and human resources for CEPOL. The </w:t>
      </w:r>
      <w:r w:rsidR="00DC4721">
        <w:rPr>
          <w:rFonts w:ascii="Times New Roman" w:hAnsi="Times New Roman"/>
          <w:noProof/>
          <w:sz w:val="24"/>
          <w:szCs w:val="24"/>
        </w:rPr>
        <w:t>evaluation</w:t>
      </w:r>
      <w:r w:rsidR="00DC4721" w:rsidRPr="00C13F66">
        <w:rPr>
          <w:rFonts w:ascii="Times New Roman" w:hAnsi="Times New Roman"/>
          <w:noProof/>
          <w:sz w:val="24"/>
          <w:szCs w:val="24"/>
        </w:rPr>
        <w:t xml:space="preserve"> </w:t>
      </w:r>
      <w:r w:rsidR="0053641B" w:rsidRPr="00C13F66">
        <w:rPr>
          <w:rFonts w:ascii="Times New Roman" w:hAnsi="Times New Roman"/>
          <w:noProof/>
          <w:sz w:val="24"/>
          <w:szCs w:val="24"/>
        </w:rPr>
        <w:t>cover</w:t>
      </w:r>
      <w:r w:rsidR="0053641B">
        <w:rPr>
          <w:rFonts w:ascii="Times New Roman" w:hAnsi="Times New Roman"/>
          <w:noProof/>
          <w:sz w:val="24"/>
          <w:szCs w:val="24"/>
        </w:rPr>
        <w:t>s</w:t>
      </w:r>
      <w:r w:rsidR="0053641B" w:rsidRPr="00C13F66">
        <w:rPr>
          <w:rFonts w:ascii="Times New Roman" w:hAnsi="Times New Roman"/>
          <w:noProof/>
          <w:sz w:val="24"/>
          <w:szCs w:val="24"/>
        </w:rPr>
        <w:t xml:space="preserve"> </w:t>
      </w:r>
      <w:r w:rsidR="00C13F66" w:rsidRPr="00C13F66">
        <w:rPr>
          <w:rFonts w:ascii="Times New Roman" w:hAnsi="Times New Roman"/>
          <w:noProof/>
          <w:sz w:val="24"/>
          <w:szCs w:val="24"/>
        </w:rPr>
        <w:t>CEPOL’s activities over the period 2015 to 2020 with all EU Member States (except Denmark</w:t>
      </w:r>
      <w:r w:rsidR="00C13F66" w:rsidRPr="00C13F66">
        <w:rPr>
          <w:rStyle w:val="FootnoteReference"/>
          <w:rFonts w:ascii="Times New Roman" w:hAnsi="Times New Roman"/>
          <w:noProof/>
          <w:sz w:val="24"/>
          <w:szCs w:val="24"/>
        </w:rPr>
        <w:footnoteReference w:id="5"/>
      </w:r>
      <w:r w:rsidR="00C13F66" w:rsidRPr="00C13F66">
        <w:rPr>
          <w:rFonts w:ascii="Times New Roman" w:hAnsi="Times New Roman"/>
          <w:noProof/>
          <w:sz w:val="24"/>
          <w:szCs w:val="24"/>
        </w:rPr>
        <w:t xml:space="preserve">), third countries with which CEPOL has working arrangements, cooperation agreements and similar arrangements, and international </w:t>
      </w:r>
      <w:r w:rsidR="007D18C1">
        <w:rPr>
          <w:rFonts w:ascii="Times New Roman" w:hAnsi="Times New Roman"/>
          <w:noProof/>
          <w:sz w:val="24"/>
          <w:szCs w:val="24"/>
        </w:rPr>
        <w:t>organisations and EU agencies.</w:t>
      </w:r>
      <w:r w:rsidR="003234FE" w:rsidRPr="003234FE">
        <w:rPr>
          <w:noProof/>
        </w:rPr>
        <w:t xml:space="preserve"> </w:t>
      </w:r>
    </w:p>
    <w:p w14:paraId="010BDDB8" w14:textId="77777777" w:rsidR="007D18C1" w:rsidRPr="00C13F66" w:rsidRDefault="007D18C1" w:rsidP="007D18C1">
      <w:pPr>
        <w:pStyle w:val="Body"/>
        <w:rPr>
          <w:rFonts w:ascii="Times New Roman" w:hAnsi="Times New Roman"/>
          <w:noProof/>
          <w:sz w:val="24"/>
          <w:szCs w:val="24"/>
        </w:rPr>
      </w:pPr>
      <w:r w:rsidRPr="007D18C1">
        <w:rPr>
          <w:rFonts w:ascii="Times New Roman" w:hAnsi="Times New Roman"/>
          <w:noProof/>
          <w:sz w:val="24"/>
          <w:szCs w:val="24"/>
        </w:rPr>
        <w:t>This report will be submitted to the European Parliament and the Council as well as to the Management Board of the Agency. The Staff Working Document, which accompanies this Commission Report, provides a detailed analysis of the outcomes of the external evaluation.</w:t>
      </w:r>
    </w:p>
    <w:p w14:paraId="2E524BD7" w14:textId="7B123A47" w:rsidR="00FF306D" w:rsidRPr="00FF306D" w:rsidRDefault="003234FE" w:rsidP="00FF306D">
      <w:pPr>
        <w:pStyle w:val="Heading1"/>
        <w:numPr>
          <w:ilvl w:val="0"/>
          <w:numId w:val="3"/>
        </w:numPr>
        <w:spacing w:before="0" w:after="240"/>
        <w:ind w:left="357" w:hanging="357"/>
        <w:rPr>
          <w:rFonts w:ascii="Times New Roman" w:hAnsi="Times New Roman"/>
          <w:b/>
          <w:bCs/>
          <w:noProof/>
          <w:color w:val="auto"/>
          <w:sz w:val="24"/>
          <w:szCs w:val="24"/>
        </w:rPr>
      </w:pPr>
      <w:r>
        <w:rPr>
          <w:rFonts w:ascii="Times New Roman" w:hAnsi="Times New Roman"/>
          <w:b/>
          <w:bCs/>
          <w:noProof/>
          <w:color w:val="auto"/>
          <w:sz w:val="24"/>
          <w:szCs w:val="24"/>
        </w:rPr>
        <w:t xml:space="preserve">KEY </w:t>
      </w:r>
      <w:r w:rsidRPr="003234FE">
        <w:rPr>
          <w:rFonts w:ascii="Times New Roman" w:hAnsi="Times New Roman"/>
          <w:b/>
          <w:bCs/>
          <w:noProof/>
          <w:color w:val="auto"/>
          <w:sz w:val="24"/>
          <w:szCs w:val="24"/>
        </w:rPr>
        <w:t>FINDINGS OF THE EVALUATION</w:t>
      </w:r>
    </w:p>
    <w:p w14:paraId="67B82F91" w14:textId="754BF0AD" w:rsidR="0058059D" w:rsidRDefault="00722D0D" w:rsidP="00C13F66">
      <w:pPr>
        <w:pStyle w:val="Body"/>
        <w:rPr>
          <w:rFonts w:ascii="Times New Roman" w:hAnsi="Times New Roman"/>
          <w:noProof/>
          <w:sz w:val="24"/>
          <w:szCs w:val="24"/>
        </w:rPr>
      </w:pPr>
      <w:r>
        <w:rPr>
          <w:rFonts w:ascii="Times New Roman" w:hAnsi="Times New Roman"/>
          <w:noProof/>
          <w:sz w:val="24"/>
          <w:szCs w:val="24"/>
        </w:rPr>
        <w:t xml:space="preserve">In terms of </w:t>
      </w:r>
      <w:r w:rsidRPr="00083D49">
        <w:rPr>
          <w:rFonts w:ascii="Times New Roman" w:hAnsi="Times New Roman"/>
          <w:b/>
          <w:bCs/>
          <w:noProof/>
          <w:sz w:val="24"/>
          <w:szCs w:val="24"/>
        </w:rPr>
        <w:t>e</w:t>
      </w:r>
      <w:r w:rsidRPr="007A0A15">
        <w:rPr>
          <w:rFonts w:ascii="Times New Roman" w:hAnsi="Times New Roman"/>
          <w:b/>
          <w:bCs/>
          <w:noProof/>
          <w:sz w:val="24"/>
          <w:szCs w:val="24"/>
        </w:rPr>
        <w:t>ffectiveness</w:t>
      </w:r>
      <w:r>
        <w:rPr>
          <w:rFonts w:ascii="Times New Roman" w:hAnsi="Times New Roman"/>
          <w:noProof/>
          <w:sz w:val="24"/>
          <w:szCs w:val="24"/>
        </w:rPr>
        <w:t>, t</w:t>
      </w:r>
      <w:r w:rsidR="003234FE" w:rsidRPr="006F099D">
        <w:rPr>
          <w:rFonts w:ascii="Times New Roman" w:hAnsi="Times New Roman"/>
          <w:noProof/>
          <w:sz w:val="24"/>
          <w:szCs w:val="24"/>
        </w:rPr>
        <w:t xml:space="preserve">he </w:t>
      </w:r>
      <w:r w:rsidR="00DC4721">
        <w:rPr>
          <w:rFonts w:ascii="Times New Roman" w:hAnsi="Times New Roman"/>
          <w:noProof/>
          <w:sz w:val="24"/>
          <w:szCs w:val="24"/>
        </w:rPr>
        <w:t>evaluation</w:t>
      </w:r>
      <w:r w:rsidR="00DC4721" w:rsidRPr="006F099D">
        <w:rPr>
          <w:rFonts w:ascii="Times New Roman" w:hAnsi="Times New Roman"/>
          <w:noProof/>
          <w:sz w:val="24"/>
          <w:szCs w:val="24"/>
        </w:rPr>
        <w:t xml:space="preserve"> </w:t>
      </w:r>
      <w:r w:rsidR="003234FE" w:rsidRPr="006F099D">
        <w:rPr>
          <w:rFonts w:ascii="Times New Roman" w:hAnsi="Times New Roman"/>
          <w:noProof/>
          <w:sz w:val="24"/>
          <w:szCs w:val="24"/>
        </w:rPr>
        <w:t>found that</w:t>
      </w:r>
      <w:r w:rsidR="00C13F66" w:rsidRPr="006F099D">
        <w:rPr>
          <w:rFonts w:ascii="Times New Roman" w:hAnsi="Times New Roman"/>
          <w:noProof/>
          <w:sz w:val="24"/>
          <w:szCs w:val="24"/>
        </w:rPr>
        <w:t xml:space="preserve"> CEPOL’s key programming documents consider and reflect the objectives of its legal basis and the priorities </w:t>
      </w:r>
      <w:r w:rsidR="00374CEA">
        <w:rPr>
          <w:rFonts w:ascii="Times New Roman" w:hAnsi="Times New Roman"/>
          <w:noProof/>
          <w:sz w:val="24"/>
          <w:szCs w:val="24"/>
        </w:rPr>
        <w:t>as set out in the 2015</w:t>
      </w:r>
      <w:r w:rsidR="00C13F66" w:rsidRPr="006F099D">
        <w:rPr>
          <w:rFonts w:ascii="Times New Roman" w:hAnsi="Times New Roman"/>
          <w:noProof/>
          <w:sz w:val="24"/>
          <w:szCs w:val="24"/>
        </w:rPr>
        <w:t xml:space="preserve"> EU Agenda on Security.</w:t>
      </w:r>
      <w:r w:rsidR="003234FE" w:rsidRPr="006F099D">
        <w:rPr>
          <w:rFonts w:ascii="Times New Roman" w:hAnsi="Times New Roman"/>
          <w:noProof/>
          <w:sz w:val="24"/>
          <w:szCs w:val="24"/>
        </w:rPr>
        <w:t xml:space="preserve"> </w:t>
      </w:r>
      <w:r w:rsidR="00C13F66" w:rsidRPr="00C13F66">
        <w:rPr>
          <w:rFonts w:ascii="Times New Roman" w:hAnsi="Times New Roman"/>
          <w:noProof/>
          <w:sz w:val="24"/>
          <w:szCs w:val="24"/>
        </w:rPr>
        <w:t xml:space="preserve">This is </w:t>
      </w:r>
      <w:r w:rsidR="007D1197" w:rsidRPr="00C13F66">
        <w:rPr>
          <w:rFonts w:ascii="Times New Roman" w:hAnsi="Times New Roman"/>
          <w:noProof/>
          <w:sz w:val="24"/>
          <w:szCs w:val="24"/>
        </w:rPr>
        <w:t>confirmed</w:t>
      </w:r>
      <w:r w:rsidR="00C13F66" w:rsidRPr="00C13F66">
        <w:rPr>
          <w:rFonts w:ascii="Times New Roman" w:hAnsi="Times New Roman"/>
          <w:noProof/>
          <w:sz w:val="24"/>
          <w:szCs w:val="24"/>
        </w:rPr>
        <w:t xml:space="preserve"> by the stakeholders </w:t>
      </w:r>
      <w:r w:rsidR="000E6CE4">
        <w:rPr>
          <w:rFonts w:ascii="Times New Roman" w:hAnsi="Times New Roman"/>
          <w:noProof/>
          <w:sz w:val="24"/>
          <w:szCs w:val="24"/>
        </w:rPr>
        <w:t>who</w:t>
      </w:r>
      <w:r w:rsidR="00C13F66" w:rsidRPr="00C13F66">
        <w:rPr>
          <w:rFonts w:ascii="Times New Roman" w:hAnsi="Times New Roman"/>
          <w:noProof/>
          <w:sz w:val="24"/>
          <w:szCs w:val="24"/>
        </w:rPr>
        <w:t xml:space="preserve"> overwhelmingly perceived that CEPOL’s actions and activities over the 2015 to 2020 period have duly reflected the objectives laid out in its mandate.</w:t>
      </w:r>
      <w:r w:rsidR="002810B0">
        <w:rPr>
          <w:rFonts w:ascii="Times New Roman" w:hAnsi="Times New Roman"/>
          <w:noProof/>
          <w:sz w:val="24"/>
          <w:szCs w:val="24"/>
        </w:rPr>
        <w:t xml:space="preserve"> </w:t>
      </w:r>
      <w:r w:rsidR="002810B0" w:rsidRPr="002810B0">
        <w:rPr>
          <w:rFonts w:ascii="Times New Roman" w:hAnsi="Times New Roman"/>
          <w:noProof/>
          <w:sz w:val="24"/>
          <w:szCs w:val="24"/>
        </w:rPr>
        <w:t xml:space="preserve">CEPOL </w:t>
      </w:r>
      <w:r w:rsidR="009767F3">
        <w:rPr>
          <w:rFonts w:ascii="Times New Roman" w:hAnsi="Times New Roman"/>
          <w:noProof/>
          <w:sz w:val="24"/>
          <w:szCs w:val="24"/>
        </w:rPr>
        <w:t>is</w:t>
      </w:r>
      <w:r w:rsidR="009767F3" w:rsidRPr="002810B0">
        <w:rPr>
          <w:rFonts w:ascii="Times New Roman" w:hAnsi="Times New Roman"/>
          <w:noProof/>
          <w:sz w:val="24"/>
          <w:szCs w:val="24"/>
        </w:rPr>
        <w:t xml:space="preserve"> </w:t>
      </w:r>
      <w:r w:rsidR="00CE0F32">
        <w:rPr>
          <w:rFonts w:ascii="Times New Roman" w:hAnsi="Times New Roman"/>
          <w:noProof/>
          <w:sz w:val="24"/>
          <w:szCs w:val="24"/>
        </w:rPr>
        <w:t>engaged</w:t>
      </w:r>
      <w:r w:rsidR="002810B0" w:rsidRPr="002810B0">
        <w:rPr>
          <w:rFonts w:ascii="Times New Roman" w:hAnsi="Times New Roman"/>
          <w:noProof/>
          <w:sz w:val="24"/>
          <w:szCs w:val="24"/>
        </w:rPr>
        <w:t xml:space="preserve"> to fulfil its mandate when it comes to cross-border and European-level policing and invests its resources accordingly, with appreciable results</w:t>
      </w:r>
      <w:r w:rsidR="002810B0">
        <w:rPr>
          <w:rFonts w:ascii="Times New Roman" w:hAnsi="Times New Roman"/>
          <w:noProof/>
          <w:sz w:val="24"/>
          <w:szCs w:val="24"/>
        </w:rPr>
        <w:t xml:space="preserve">. </w:t>
      </w:r>
    </w:p>
    <w:p w14:paraId="2005C5B7" w14:textId="160F776E" w:rsidR="0058059D" w:rsidRDefault="007D1197" w:rsidP="00CE0F32">
      <w:pPr>
        <w:pStyle w:val="Body"/>
        <w:rPr>
          <w:rFonts w:ascii="Times New Roman" w:hAnsi="Times New Roman"/>
          <w:noProof/>
          <w:sz w:val="24"/>
          <w:szCs w:val="24"/>
        </w:rPr>
      </w:pPr>
      <w:r>
        <w:rPr>
          <w:rFonts w:ascii="Times New Roman" w:hAnsi="Times New Roman"/>
          <w:noProof/>
          <w:sz w:val="24"/>
          <w:szCs w:val="24"/>
        </w:rPr>
        <w:t>Moreover</w:t>
      </w:r>
      <w:r w:rsidR="006B4003">
        <w:rPr>
          <w:rFonts w:ascii="Times New Roman" w:hAnsi="Times New Roman"/>
          <w:noProof/>
          <w:sz w:val="24"/>
          <w:szCs w:val="24"/>
        </w:rPr>
        <w:t xml:space="preserve">, </w:t>
      </w:r>
      <w:r w:rsidR="006B4003" w:rsidRPr="006B4003">
        <w:rPr>
          <w:rFonts w:ascii="Times New Roman" w:hAnsi="Times New Roman"/>
          <w:noProof/>
          <w:sz w:val="24"/>
          <w:szCs w:val="24"/>
        </w:rPr>
        <w:t>the introduction of the EU-</w:t>
      </w:r>
      <w:r w:rsidR="00001B2D" w:rsidRPr="00001B2D">
        <w:rPr>
          <w:rFonts w:ascii="Times New Roman" w:hAnsi="Times New Roman"/>
          <w:noProof/>
          <w:sz w:val="24"/>
          <w:szCs w:val="24"/>
        </w:rPr>
        <w:t>Strategic Training Needs Assessment</w:t>
      </w:r>
      <w:r w:rsidR="00001B2D">
        <w:rPr>
          <w:rFonts w:ascii="Times New Roman" w:hAnsi="Times New Roman"/>
          <w:noProof/>
          <w:sz w:val="24"/>
          <w:szCs w:val="24"/>
        </w:rPr>
        <w:t xml:space="preserve"> methodology, developed </w:t>
      </w:r>
      <w:r w:rsidR="00001B2D" w:rsidRPr="00001B2D">
        <w:rPr>
          <w:rFonts w:ascii="Times New Roman" w:hAnsi="Times New Roman"/>
          <w:noProof/>
          <w:sz w:val="24"/>
          <w:szCs w:val="24"/>
        </w:rPr>
        <w:t>to identify gaps in knowledge, skills and competencies and training needs</w:t>
      </w:r>
      <w:r w:rsidR="00001B2D">
        <w:rPr>
          <w:rFonts w:ascii="Times New Roman" w:hAnsi="Times New Roman"/>
          <w:noProof/>
          <w:sz w:val="24"/>
          <w:szCs w:val="24"/>
        </w:rPr>
        <w:t>,</w:t>
      </w:r>
      <w:r w:rsidR="00001B2D" w:rsidRPr="00001B2D">
        <w:rPr>
          <w:rFonts w:ascii="Times New Roman" w:hAnsi="Times New Roman"/>
          <w:noProof/>
          <w:sz w:val="24"/>
          <w:szCs w:val="24"/>
        </w:rPr>
        <w:t xml:space="preserve"> </w:t>
      </w:r>
      <w:r w:rsidR="006B4003" w:rsidRPr="006B4003">
        <w:rPr>
          <w:rFonts w:ascii="Times New Roman" w:hAnsi="Times New Roman"/>
          <w:noProof/>
          <w:sz w:val="24"/>
          <w:szCs w:val="24"/>
        </w:rPr>
        <w:t>has strongly improved the prioritisation of training needs</w:t>
      </w:r>
      <w:r w:rsidR="00E141C3">
        <w:rPr>
          <w:rFonts w:ascii="Times New Roman" w:hAnsi="Times New Roman"/>
          <w:noProof/>
          <w:sz w:val="24"/>
          <w:szCs w:val="24"/>
        </w:rPr>
        <w:t xml:space="preserve">. </w:t>
      </w:r>
      <w:r w:rsidR="00001B2D" w:rsidRPr="00001B2D">
        <w:rPr>
          <w:rFonts w:ascii="Times New Roman" w:hAnsi="Times New Roman"/>
          <w:noProof/>
          <w:sz w:val="24"/>
          <w:szCs w:val="24"/>
        </w:rPr>
        <w:t xml:space="preserve">The </w:t>
      </w:r>
      <w:r w:rsidR="000E6CE4">
        <w:rPr>
          <w:rFonts w:ascii="Times New Roman" w:hAnsi="Times New Roman"/>
          <w:noProof/>
          <w:sz w:val="24"/>
          <w:szCs w:val="24"/>
        </w:rPr>
        <w:t xml:space="preserve">methodology </w:t>
      </w:r>
      <w:r w:rsidR="00001B2D" w:rsidRPr="00001B2D">
        <w:rPr>
          <w:rFonts w:ascii="Times New Roman" w:hAnsi="Times New Roman"/>
          <w:noProof/>
          <w:sz w:val="24"/>
          <w:szCs w:val="24"/>
        </w:rPr>
        <w:t xml:space="preserve">identifies training priorities and aims at coordinating available training </w:t>
      </w:r>
      <w:r w:rsidR="00001B2D">
        <w:rPr>
          <w:rFonts w:ascii="Times New Roman" w:hAnsi="Times New Roman"/>
          <w:noProof/>
          <w:sz w:val="24"/>
          <w:szCs w:val="24"/>
        </w:rPr>
        <w:t xml:space="preserve">activities </w:t>
      </w:r>
      <w:r w:rsidR="00001B2D" w:rsidRPr="00001B2D">
        <w:rPr>
          <w:rFonts w:ascii="Times New Roman" w:hAnsi="Times New Roman"/>
          <w:noProof/>
          <w:sz w:val="24"/>
          <w:szCs w:val="24"/>
        </w:rPr>
        <w:t>to prevent overlaps and duplication</w:t>
      </w:r>
      <w:r w:rsidR="00001B2D">
        <w:rPr>
          <w:rFonts w:ascii="Times New Roman" w:hAnsi="Times New Roman"/>
          <w:noProof/>
          <w:sz w:val="24"/>
          <w:szCs w:val="24"/>
        </w:rPr>
        <w:t>, while indicating</w:t>
      </w:r>
      <w:r w:rsidR="00001B2D" w:rsidRPr="00001B2D">
        <w:rPr>
          <w:rFonts w:ascii="Times New Roman" w:hAnsi="Times New Roman"/>
          <w:noProof/>
          <w:sz w:val="24"/>
          <w:szCs w:val="24"/>
        </w:rPr>
        <w:t xml:space="preserve"> emerging law enforcement trends</w:t>
      </w:r>
      <w:r w:rsidR="00001B2D">
        <w:rPr>
          <w:rFonts w:ascii="Times New Roman" w:hAnsi="Times New Roman"/>
          <w:noProof/>
          <w:sz w:val="24"/>
          <w:szCs w:val="24"/>
        </w:rPr>
        <w:t>.</w:t>
      </w:r>
      <w:r w:rsidR="00001B2D" w:rsidRPr="00001B2D">
        <w:rPr>
          <w:rFonts w:ascii="Times New Roman" w:hAnsi="Times New Roman"/>
          <w:noProof/>
          <w:sz w:val="24"/>
          <w:szCs w:val="24"/>
        </w:rPr>
        <w:t xml:space="preserve"> </w:t>
      </w:r>
      <w:r w:rsidR="00236FE3">
        <w:rPr>
          <w:rFonts w:ascii="Times New Roman" w:hAnsi="Times New Roman"/>
          <w:noProof/>
          <w:sz w:val="24"/>
          <w:szCs w:val="24"/>
        </w:rPr>
        <w:t xml:space="preserve">Yet, the evaluation pointed out that </w:t>
      </w:r>
      <w:r w:rsidR="00E141C3" w:rsidRPr="00E141C3">
        <w:rPr>
          <w:rFonts w:ascii="Times New Roman" w:hAnsi="Times New Roman"/>
          <w:noProof/>
          <w:sz w:val="24"/>
          <w:szCs w:val="24"/>
        </w:rPr>
        <w:t xml:space="preserve">CEPOL’s </w:t>
      </w:r>
      <w:r w:rsidR="002D5314">
        <w:rPr>
          <w:rFonts w:ascii="Times New Roman" w:hAnsi="Times New Roman"/>
          <w:noProof/>
          <w:sz w:val="24"/>
          <w:szCs w:val="24"/>
        </w:rPr>
        <w:t>‘</w:t>
      </w:r>
      <w:r w:rsidR="00451956" w:rsidRPr="00E141C3">
        <w:rPr>
          <w:rFonts w:ascii="Times New Roman" w:hAnsi="Times New Roman"/>
          <w:noProof/>
          <w:sz w:val="24"/>
          <w:szCs w:val="24"/>
        </w:rPr>
        <w:t>train</w:t>
      </w:r>
      <w:r w:rsidR="00451956">
        <w:rPr>
          <w:rFonts w:ascii="Times New Roman" w:hAnsi="Times New Roman"/>
          <w:noProof/>
          <w:sz w:val="24"/>
          <w:szCs w:val="24"/>
        </w:rPr>
        <w:t>-</w:t>
      </w:r>
      <w:r w:rsidR="00451956" w:rsidRPr="00E141C3">
        <w:rPr>
          <w:rFonts w:ascii="Times New Roman" w:hAnsi="Times New Roman"/>
          <w:noProof/>
          <w:sz w:val="24"/>
          <w:szCs w:val="24"/>
        </w:rPr>
        <w:t>the</w:t>
      </w:r>
      <w:r w:rsidR="00451956">
        <w:rPr>
          <w:rFonts w:ascii="Times New Roman" w:hAnsi="Times New Roman"/>
          <w:noProof/>
          <w:sz w:val="24"/>
          <w:szCs w:val="24"/>
        </w:rPr>
        <w:t>-</w:t>
      </w:r>
      <w:r w:rsidR="00E141C3" w:rsidRPr="00E141C3">
        <w:rPr>
          <w:rFonts w:ascii="Times New Roman" w:hAnsi="Times New Roman"/>
          <w:noProof/>
          <w:sz w:val="24"/>
          <w:szCs w:val="24"/>
        </w:rPr>
        <w:t>trainers</w:t>
      </w:r>
      <w:r w:rsidR="002D5314">
        <w:rPr>
          <w:rFonts w:ascii="Times New Roman" w:hAnsi="Times New Roman"/>
          <w:noProof/>
          <w:sz w:val="24"/>
          <w:szCs w:val="24"/>
        </w:rPr>
        <w:t>’</w:t>
      </w:r>
      <w:r w:rsidR="00E141C3" w:rsidRPr="00E141C3">
        <w:rPr>
          <w:rFonts w:ascii="Times New Roman" w:hAnsi="Times New Roman"/>
          <w:noProof/>
          <w:sz w:val="24"/>
          <w:szCs w:val="24"/>
        </w:rPr>
        <w:t xml:space="preserve"> offer</w:t>
      </w:r>
      <w:r w:rsidR="00451956">
        <w:rPr>
          <w:rFonts w:ascii="Times New Roman" w:hAnsi="Times New Roman"/>
          <w:noProof/>
          <w:sz w:val="24"/>
          <w:szCs w:val="24"/>
        </w:rPr>
        <w:t xml:space="preserve">, </w:t>
      </w:r>
      <w:r w:rsidR="00CE0F32">
        <w:rPr>
          <w:rFonts w:ascii="Times New Roman" w:hAnsi="Times New Roman"/>
          <w:noProof/>
          <w:sz w:val="24"/>
          <w:szCs w:val="24"/>
        </w:rPr>
        <w:t xml:space="preserve">an </w:t>
      </w:r>
      <w:r w:rsidR="00CE0F32" w:rsidRPr="00CE0F32">
        <w:rPr>
          <w:rFonts w:ascii="Times New Roman" w:hAnsi="Times New Roman"/>
          <w:noProof/>
          <w:sz w:val="24"/>
          <w:szCs w:val="24"/>
        </w:rPr>
        <w:t xml:space="preserve">activity </w:t>
      </w:r>
      <w:r w:rsidR="00CE0F32">
        <w:rPr>
          <w:rFonts w:ascii="Times New Roman" w:hAnsi="Times New Roman"/>
          <w:noProof/>
          <w:sz w:val="24"/>
          <w:szCs w:val="24"/>
        </w:rPr>
        <w:t>enabling</w:t>
      </w:r>
      <w:r w:rsidR="00CE0F32" w:rsidRPr="00CE0F32">
        <w:rPr>
          <w:rFonts w:ascii="Times New Roman" w:hAnsi="Times New Roman"/>
          <w:noProof/>
          <w:sz w:val="24"/>
          <w:szCs w:val="24"/>
        </w:rPr>
        <w:t xml:space="preserve"> trainers to implement modern delivery methods and blended learning techniques to ensure quality police training</w:t>
      </w:r>
      <w:r w:rsidR="00CE0F32">
        <w:rPr>
          <w:rFonts w:ascii="Times New Roman" w:hAnsi="Times New Roman"/>
          <w:noProof/>
          <w:sz w:val="24"/>
          <w:szCs w:val="24"/>
        </w:rPr>
        <w:t xml:space="preserve"> in</w:t>
      </w:r>
      <w:r w:rsidR="00CE0F32" w:rsidRPr="00CE0F32">
        <w:rPr>
          <w:rFonts w:ascii="Times New Roman" w:hAnsi="Times New Roman"/>
          <w:noProof/>
          <w:sz w:val="24"/>
          <w:szCs w:val="24"/>
        </w:rPr>
        <w:t xml:space="preserve"> </w:t>
      </w:r>
      <w:r w:rsidR="00CE0F32">
        <w:rPr>
          <w:rFonts w:ascii="Times New Roman" w:hAnsi="Times New Roman"/>
          <w:noProof/>
          <w:sz w:val="24"/>
          <w:szCs w:val="24"/>
        </w:rPr>
        <w:t xml:space="preserve">a </w:t>
      </w:r>
      <w:r w:rsidR="00CE0F32" w:rsidRPr="00CE0F32">
        <w:rPr>
          <w:rFonts w:ascii="Times New Roman" w:hAnsi="Times New Roman"/>
          <w:noProof/>
          <w:sz w:val="24"/>
          <w:szCs w:val="24"/>
        </w:rPr>
        <w:t xml:space="preserve">multicultural </w:t>
      </w:r>
      <w:r w:rsidR="00CE0F32">
        <w:rPr>
          <w:rFonts w:ascii="Times New Roman" w:hAnsi="Times New Roman"/>
          <w:noProof/>
          <w:sz w:val="24"/>
          <w:szCs w:val="24"/>
        </w:rPr>
        <w:t xml:space="preserve">environment, </w:t>
      </w:r>
      <w:r w:rsidR="00E141C3" w:rsidRPr="00E141C3">
        <w:rPr>
          <w:rFonts w:ascii="Times New Roman" w:hAnsi="Times New Roman"/>
          <w:noProof/>
          <w:sz w:val="24"/>
          <w:szCs w:val="24"/>
        </w:rPr>
        <w:t xml:space="preserve">is comparatively smaller than </w:t>
      </w:r>
      <w:r w:rsidR="000E6CE4">
        <w:rPr>
          <w:rFonts w:ascii="Times New Roman" w:hAnsi="Times New Roman"/>
          <w:noProof/>
          <w:sz w:val="24"/>
          <w:szCs w:val="24"/>
        </w:rPr>
        <w:t>that the offer</w:t>
      </w:r>
      <w:r w:rsidR="00E141C3" w:rsidRPr="00E141C3">
        <w:rPr>
          <w:rFonts w:ascii="Times New Roman" w:hAnsi="Times New Roman"/>
          <w:noProof/>
          <w:sz w:val="24"/>
          <w:szCs w:val="24"/>
        </w:rPr>
        <w:t xml:space="preserve"> of other EU J</w:t>
      </w:r>
      <w:r w:rsidR="00001B2D">
        <w:rPr>
          <w:rFonts w:ascii="Times New Roman" w:hAnsi="Times New Roman"/>
          <w:noProof/>
          <w:sz w:val="24"/>
          <w:szCs w:val="24"/>
        </w:rPr>
        <w:t xml:space="preserve">ustice and </w:t>
      </w:r>
      <w:r w:rsidR="00E141C3" w:rsidRPr="00E141C3">
        <w:rPr>
          <w:rFonts w:ascii="Times New Roman" w:hAnsi="Times New Roman"/>
          <w:noProof/>
          <w:sz w:val="24"/>
          <w:szCs w:val="24"/>
        </w:rPr>
        <w:t>H</w:t>
      </w:r>
      <w:r w:rsidR="00001B2D">
        <w:rPr>
          <w:rFonts w:ascii="Times New Roman" w:hAnsi="Times New Roman"/>
          <w:noProof/>
          <w:sz w:val="24"/>
          <w:szCs w:val="24"/>
        </w:rPr>
        <w:t xml:space="preserve">ome </w:t>
      </w:r>
      <w:r w:rsidR="00E141C3" w:rsidRPr="00E141C3">
        <w:rPr>
          <w:rFonts w:ascii="Times New Roman" w:hAnsi="Times New Roman"/>
          <w:noProof/>
          <w:sz w:val="24"/>
          <w:szCs w:val="24"/>
        </w:rPr>
        <w:t>A</w:t>
      </w:r>
      <w:r w:rsidR="00001B2D">
        <w:rPr>
          <w:rFonts w:ascii="Times New Roman" w:hAnsi="Times New Roman"/>
          <w:noProof/>
          <w:sz w:val="24"/>
          <w:szCs w:val="24"/>
        </w:rPr>
        <w:t xml:space="preserve">ffairs </w:t>
      </w:r>
      <w:r w:rsidR="00E141C3" w:rsidRPr="00E141C3">
        <w:rPr>
          <w:rFonts w:ascii="Times New Roman" w:hAnsi="Times New Roman"/>
          <w:noProof/>
          <w:sz w:val="24"/>
          <w:szCs w:val="24"/>
        </w:rPr>
        <w:t>agencies</w:t>
      </w:r>
      <w:r w:rsidR="00E141C3">
        <w:rPr>
          <w:rFonts w:ascii="Times New Roman" w:hAnsi="Times New Roman"/>
          <w:noProof/>
          <w:sz w:val="24"/>
          <w:szCs w:val="24"/>
        </w:rPr>
        <w:t xml:space="preserve"> and c</w:t>
      </w:r>
      <w:r w:rsidR="00E141C3" w:rsidRPr="00E141C3">
        <w:rPr>
          <w:rFonts w:ascii="Times New Roman" w:hAnsi="Times New Roman"/>
          <w:noProof/>
          <w:sz w:val="24"/>
          <w:szCs w:val="24"/>
        </w:rPr>
        <w:t>onsideration should be given to expanding it.</w:t>
      </w:r>
    </w:p>
    <w:p w14:paraId="4F463973" w14:textId="3BFBFCDC" w:rsidR="00C13F66" w:rsidRDefault="003D7D20" w:rsidP="00C13F66">
      <w:pPr>
        <w:pStyle w:val="Body"/>
        <w:rPr>
          <w:rFonts w:ascii="Times New Roman" w:hAnsi="Times New Roman"/>
          <w:noProof/>
          <w:sz w:val="24"/>
          <w:szCs w:val="24"/>
        </w:rPr>
      </w:pPr>
      <w:r w:rsidRPr="003D7D20">
        <w:rPr>
          <w:rFonts w:ascii="Times New Roman" w:hAnsi="Times New Roman"/>
          <w:noProof/>
          <w:sz w:val="24"/>
          <w:szCs w:val="24"/>
        </w:rPr>
        <w:t xml:space="preserve">The evaluation </w:t>
      </w:r>
      <w:r w:rsidR="00406D84">
        <w:rPr>
          <w:rFonts w:ascii="Times New Roman" w:hAnsi="Times New Roman"/>
          <w:noProof/>
          <w:sz w:val="24"/>
          <w:szCs w:val="24"/>
        </w:rPr>
        <w:t>concluded</w:t>
      </w:r>
      <w:r w:rsidRPr="003D7D20">
        <w:rPr>
          <w:rFonts w:ascii="Times New Roman" w:hAnsi="Times New Roman"/>
          <w:noProof/>
          <w:sz w:val="24"/>
          <w:szCs w:val="24"/>
        </w:rPr>
        <w:t xml:space="preserve"> that, given CEPOL’s relatively small size (9</w:t>
      </w:r>
      <w:r w:rsidR="002F1767">
        <w:rPr>
          <w:rFonts w:ascii="Times New Roman" w:hAnsi="Times New Roman"/>
          <w:noProof/>
          <w:sz w:val="24"/>
          <w:szCs w:val="24"/>
        </w:rPr>
        <w:t>6</w:t>
      </w:r>
      <w:r w:rsidRPr="003D7D20">
        <w:rPr>
          <w:rFonts w:ascii="Times New Roman" w:hAnsi="Times New Roman"/>
          <w:noProof/>
          <w:sz w:val="24"/>
          <w:szCs w:val="24"/>
        </w:rPr>
        <w:t xml:space="preserve"> staff members </w:t>
      </w:r>
      <w:r w:rsidR="00A4108A">
        <w:rPr>
          <w:rFonts w:ascii="Times New Roman" w:hAnsi="Times New Roman"/>
          <w:noProof/>
          <w:sz w:val="24"/>
          <w:szCs w:val="24"/>
        </w:rPr>
        <w:t>in</w:t>
      </w:r>
      <w:r w:rsidR="00A4108A" w:rsidRPr="003D7D20">
        <w:rPr>
          <w:rFonts w:ascii="Times New Roman" w:hAnsi="Times New Roman"/>
          <w:noProof/>
          <w:sz w:val="24"/>
          <w:szCs w:val="24"/>
        </w:rPr>
        <w:t xml:space="preserve"> </w:t>
      </w:r>
      <w:r w:rsidRPr="003D7D20">
        <w:rPr>
          <w:rFonts w:ascii="Times New Roman" w:hAnsi="Times New Roman"/>
          <w:noProof/>
          <w:sz w:val="24"/>
          <w:szCs w:val="24"/>
        </w:rPr>
        <w:t>20</w:t>
      </w:r>
      <w:r w:rsidR="002F1767">
        <w:rPr>
          <w:rFonts w:ascii="Times New Roman" w:hAnsi="Times New Roman"/>
          <w:noProof/>
          <w:sz w:val="24"/>
          <w:szCs w:val="24"/>
        </w:rPr>
        <w:t>20</w:t>
      </w:r>
      <w:r w:rsidRPr="003D7D20">
        <w:rPr>
          <w:rFonts w:ascii="Times New Roman" w:hAnsi="Times New Roman"/>
          <w:noProof/>
          <w:sz w:val="24"/>
          <w:szCs w:val="24"/>
        </w:rPr>
        <w:t>) and annual budget (</w:t>
      </w:r>
      <w:r w:rsidR="00723E3A">
        <w:rPr>
          <w:rFonts w:ascii="Times New Roman" w:hAnsi="Times New Roman"/>
          <w:noProof/>
          <w:sz w:val="24"/>
          <w:szCs w:val="24"/>
        </w:rPr>
        <w:t xml:space="preserve">EUR </w:t>
      </w:r>
      <w:r w:rsidR="002F1767">
        <w:rPr>
          <w:rFonts w:ascii="Times New Roman" w:hAnsi="Times New Roman"/>
          <w:noProof/>
          <w:sz w:val="24"/>
          <w:szCs w:val="24"/>
        </w:rPr>
        <w:t>10</w:t>
      </w:r>
      <w:r w:rsidRPr="003D7D20">
        <w:rPr>
          <w:rFonts w:ascii="Times New Roman" w:hAnsi="Times New Roman"/>
          <w:noProof/>
          <w:sz w:val="24"/>
          <w:szCs w:val="24"/>
        </w:rPr>
        <w:t>.</w:t>
      </w:r>
      <w:r w:rsidR="002F1767">
        <w:rPr>
          <w:rFonts w:ascii="Times New Roman" w:hAnsi="Times New Roman"/>
          <w:noProof/>
          <w:sz w:val="24"/>
          <w:szCs w:val="24"/>
        </w:rPr>
        <w:t>6</w:t>
      </w:r>
      <w:r w:rsidR="00236FE3">
        <w:rPr>
          <w:rFonts w:ascii="Times New Roman" w:hAnsi="Times New Roman"/>
          <w:noProof/>
          <w:sz w:val="24"/>
          <w:szCs w:val="24"/>
        </w:rPr>
        <w:t xml:space="preserve"> </w:t>
      </w:r>
      <w:r w:rsidRPr="003D7D20">
        <w:rPr>
          <w:rFonts w:ascii="Times New Roman" w:hAnsi="Times New Roman"/>
          <w:noProof/>
          <w:sz w:val="24"/>
          <w:szCs w:val="24"/>
        </w:rPr>
        <w:t>m</w:t>
      </w:r>
      <w:r w:rsidR="00236FE3">
        <w:rPr>
          <w:rFonts w:ascii="Times New Roman" w:hAnsi="Times New Roman"/>
          <w:noProof/>
          <w:sz w:val="24"/>
          <w:szCs w:val="24"/>
        </w:rPr>
        <w:t>illion</w:t>
      </w:r>
      <w:r w:rsidRPr="003D7D20">
        <w:rPr>
          <w:rFonts w:ascii="Times New Roman" w:hAnsi="Times New Roman"/>
          <w:noProof/>
          <w:sz w:val="24"/>
          <w:szCs w:val="24"/>
        </w:rPr>
        <w:t xml:space="preserve"> in 20</w:t>
      </w:r>
      <w:r w:rsidR="002F1767">
        <w:rPr>
          <w:rFonts w:ascii="Times New Roman" w:hAnsi="Times New Roman"/>
          <w:noProof/>
          <w:sz w:val="24"/>
          <w:szCs w:val="24"/>
        </w:rPr>
        <w:t>20</w:t>
      </w:r>
      <w:r w:rsidRPr="003D7D20">
        <w:rPr>
          <w:rFonts w:ascii="Times New Roman" w:hAnsi="Times New Roman"/>
          <w:noProof/>
          <w:sz w:val="24"/>
          <w:szCs w:val="24"/>
        </w:rPr>
        <w:t xml:space="preserve">), </w:t>
      </w:r>
      <w:r w:rsidR="00236FE3">
        <w:rPr>
          <w:rFonts w:ascii="Times New Roman" w:hAnsi="Times New Roman"/>
          <w:noProof/>
          <w:sz w:val="24"/>
          <w:szCs w:val="24"/>
        </w:rPr>
        <w:t>CEPOL</w:t>
      </w:r>
      <w:r w:rsidRPr="003D7D20">
        <w:rPr>
          <w:rFonts w:ascii="Times New Roman" w:hAnsi="Times New Roman"/>
          <w:noProof/>
          <w:sz w:val="24"/>
          <w:szCs w:val="24"/>
        </w:rPr>
        <w:t xml:space="preserve"> cannot be expected </w:t>
      </w:r>
      <w:r w:rsidR="00236FE3">
        <w:rPr>
          <w:rFonts w:ascii="Times New Roman" w:hAnsi="Times New Roman"/>
          <w:noProof/>
          <w:sz w:val="24"/>
          <w:szCs w:val="24"/>
        </w:rPr>
        <w:t xml:space="preserve">to </w:t>
      </w:r>
      <w:r w:rsidRPr="003D7D20">
        <w:rPr>
          <w:rFonts w:ascii="Times New Roman" w:hAnsi="Times New Roman"/>
          <w:noProof/>
          <w:sz w:val="24"/>
          <w:szCs w:val="24"/>
        </w:rPr>
        <w:t xml:space="preserve">directly reach a sizeable proportion of the target audience through residential training activities. </w:t>
      </w:r>
      <w:r w:rsidR="00236FE3">
        <w:rPr>
          <w:rFonts w:ascii="Times New Roman" w:hAnsi="Times New Roman"/>
          <w:noProof/>
          <w:sz w:val="24"/>
          <w:szCs w:val="24"/>
        </w:rPr>
        <w:t xml:space="preserve">The idea </w:t>
      </w:r>
      <w:r w:rsidR="00D61929">
        <w:rPr>
          <w:rFonts w:ascii="Times New Roman" w:hAnsi="Times New Roman"/>
          <w:noProof/>
          <w:sz w:val="24"/>
          <w:szCs w:val="24"/>
        </w:rPr>
        <w:t xml:space="preserve">encompassed in the CEPOL Regulation </w:t>
      </w:r>
      <w:r w:rsidR="00236FE3">
        <w:rPr>
          <w:rFonts w:ascii="Times New Roman" w:hAnsi="Times New Roman"/>
          <w:noProof/>
          <w:sz w:val="24"/>
          <w:szCs w:val="24"/>
        </w:rPr>
        <w:t xml:space="preserve">is for </w:t>
      </w:r>
      <w:r w:rsidR="00D61929">
        <w:rPr>
          <w:rFonts w:ascii="Times New Roman" w:hAnsi="Times New Roman"/>
          <w:noProof/>
          <w:sz w:val="24"/>
          <w:szCs w:val="24"/>
        </w:rPr>
        <w:t>the Agency</w:t>
      </w:r>
      <w:r w:rsidRPr="003D7D20">
        <w:rPr>
          <w:rFonts w:ascii="Times New Roman" w:hAnsi="Times New Roman"/>
          <w:noProof/>
          <w:sz w:val="24"/>
          <w:szCs w:val="24"/>
        </w:rPr>
        <w:t xml:space="preserve"> to broaden the reach of its target audience through a cascading effect, </w:t>
      </w:r>
      <w:r w:rsidR="000F57FF">
        <w:rPr>
          <w:rFonts w:ascii="Times New Roman" w:hAnsi="Times New Roman"/>
          <w:noProof/>
          <w:sz w:val="24"/>
          <w:szCs w:val="24"/>
        </w:rPr>
        <w:t xml:space="preserve">multiplying the outreach as a </w:t>
      </w:r>
      <w:r w:rsidRPr="003D7D20">
        <w:rPr>
          <w:rFonts w:ascii="Times New Roman" w:hAnsi="Times New Roman"/>
          <w:noProof/>
          <w:sz w:val="24"/>
          <w:szCs w:val="24"/>
        </w:rPr>
        <w:t xml:space="preserve">result from the training of trainers and peer-to-peer transfer of knowledge. In its current form, cascading relies heavily on the actions of Member States and is not consistently monitored by CEPOL. Also, CEPOL’s use of the train-the-trainer delivery approach is </w:t>
      </w:r>
      <w:r w:rsidR="00A4108A" w:rsidRPr="003D7D20">
        <w:rPr>
          <w:rFonts w:ascii="Times New Roman" w:hAnsi="Times New Roman"/>
          <w:noProof/>
          <w:sz w:val="24"/>
          <w:szCs w:val="24"/>
        </w:rPr>
        <w:t>limited</w:t>
      </w:r>
      <w:r w:rsidR="00A4108A">
        <w:rPr>
          <w:rFonts w:ascii="Times New Roman" w:hAnsi="Times New Roman"/>
          <w:noProof/>
          <w:sz w:val="24"/>
          <w:szCs w:val="24"/>
        </w:rPr>
        <w:t xml:space="preserve">, </w:t>
      </w:r>
      <w:r w:rsidRPr="003D7D20">
        <w:rPr>
          <w:rFonts w:ascii="Times New Roman" w:hAnsi="Times New Roman"/>
          <w:noProof/>
          <w:sz w:val="24"/>
          <w:szCs w:val="24"/>
        </w:rPr>
        <w:t>delivering only five sessions in 2019</w:t>
      </w:r>
      <w:r w:rsidR="00F311AA">
        <w:rPr>
          <w:rFonts w:ascii="Times New Roman" w:hAnsi="Times New Roman"/>
          <w:noProof/>
          <w:sz w:val="24"/>
          <w:szCs w:val="24"/>
        </w:rPr>
        <w:t xml:space="preserve"> and two in 2020 before the pandemic</w:t>
      </w:r>
      <w:r w:rsidRPr="003D7D20">
        <w:rPr>
          <w:rFonts w:ascii="Times New Roman" w:hAnsi="Times New Roman"/>
          <w:noProof/>
          <w:sz w:val="24"/>
          <w:szCs w:val="24"/>
        </w:rPr>
        <w:t xml:space="preserve">. CEPOL’s investment in upgrading and expanding its online training offer emerged as a positive strategy for extending its outreach, which became paramount in </w:t>
      </w:r>
      <w:r w:rsidR="00406D84">
        <w:rPr>
          <w:rFonts w:ascii="Times New Roman" w:hAnsi="Times New Roman"/>
          <w:noProof/>
          <w:sz w:val="24"/>
          <w:szCs w:val="24"/>
        </w:rPr>
        <w:t>the context of the COVID-19 pandemic</w:t>
      </w:r>
      <w:r w:rsidRPr="003D7D20">
        <w:rPr>
          <w:rFonts w:ascii="Times New Roman" w:hAnsi="Times New Roman"/>
          <w:noProof/>
          <w:sz w:val="24"/>
          <w:szCs w:val="24"/>
        </w:rPr>
        <w:t>.</w:t>
      </w:r>
    </w:p>
    <w:p w14:paraId="5416E2E4" w14:textId="77777777" w:rsidR="00CD35D7" w:rsidRDefault="00CD35D7" w:rsidP="00C13F66">
      <w:pPr>
        <w:pStyle w:val="Body"/>
        <w:rPr>
          <w:rFonts w:ascii="Times New Roman" w:hAnsi="Times New Roman"/>
          <w:noProof/>
          <w:sz w:val="24"/>
          <w:szCs w:val="24"/>
        </w:rPr>
      </w:pPr>
      <w:r w:rsidRPr="00CD35D7">
        <w:rPr>
          <w:rFonts w:ascii="Times New Roman" w:hAnsi="Times New Roman"/>
          <w:noProof/>
          <w:sz w:val="24"/>
          <w:szCs w:val="24"/>
        </w:rPr>
        <w:t>Participants selected for CEPOL’s residential training do not always have a suitable profile in terms of level of expertise and seniority. Activity Managers within CEPOL have the power to vet and decline participants’ applications, but the evaluation finds that this power is hardly ever used, as it is an established practice to accept the first candidate presented by Member States, regardless of his/her profile. This is a well-known issue, which is often discussed among the CEPOL National Units in their regular meetings. However, stakeholders reported that CEPOL Activity Managers are now reported to be reviewing more carefully participant applications.</w:t>
      </w:r>
    </w:p>
    <w:p w14:paraId="0D0B372C" w14:textId="02256885" w:rsidR="00722D0D" w:rsidRDefault="00722D0D" w:rsidP="00C13F66">
      <w:pPr>
        <w:pStyle w:val="Body"/>
        <w:rPr>
          <w:rFonts w:ascii="Times New Roman" w:hAnsi="Times New Roman"/>
          <w:noProof/>
          <w:sz w:val="24"/>
          <w:szCs w:val="24"/>
        </w:rPr>
      </w:pPr>
      <w:r>
        <w:rPr>
          <w:rFonts w:ascii="Times New Roman" w:hAnsi="Times New Roman"/>
          <w:noProof/>
          <w:sz w:val="24"/>
          <w:szCs w:val="24"/>
        </w:rPr>
        <w:t xml:space="preserve">In terms of </w:t>
      </w:r>
      <w:r w:rsidRPr="00083D49">
        <w:rPr>
          <w:rFonts w:ascii="Times New Roman" w:hAnsi="Times New Roman"/>
          <w:b/>
          <w:bCs/>
          <w:noProof/>
          <w:sz w:val="24"/>
          <w:szCs w:val="24"/>
        </w:rPr>
        <w:t>efficiency</w:t>
      </w:r>
      <w:r>
        <w:rPr>
          <w:rFonts w:ascii="Times New Roman" w:hAnsi="Times New Roman"/>
          <w:noProof/>
          <w:sz w:val="24"/>
          <w:szCs w:val="24"/>
        </w:rPr>
        <w:t xml:space="preserve">, </w:t>
      </w:r>
      <w:r w:rsidRPr="00722D0D">
        <w:rPr>
          <w:rFonts w:ascii="Times New Roman" w:hAnsi="Times New Roman"/>
          <w:noProof/>
          <w:sz w:val="24"/>
          <w:szCs w:val="24"/>
        </w:rPr>
        <w:t xml:space="preserve">the </w:t>
      </w:r>
      <w:r>
        <w:rPr>
          <w:rFonts w:ascii="Times New Roman" w:hAnsi="Times New Roman"/>
          <w:noProof/>
          <w:sz w:val="24"/>
          <w:szCs w:val="24"/>
        </w:rPr>
        <w:t xml:space="preserve">evaluation found that the </w:t>
      </w:r>
      <w:r w:rsidRPr="00722D0D">
        <w:rPr>
          <w:rFonts w:ascii="Times New Roman" w:hAnsi="Times New Roman"/>
          <w:noProof/>
          <w:sz w:val="24"/>
          <w:szCs w:val="24"/>
        </w:rPr>
        <w:t>benefits stemming from participating in CEPOL’s activities outweighed the costs for Member States</w:t>
      </w:r>
      <w:r>
        <w:rPr>
          <w:rFonts w:ascii="Times New Roman" w:hAnsi="Times New Roman"/>
          <w:noProof/>
          <w:sz w:val="24"/>
          <w:szCs w:val="24"/>
        </w:rPr>
        <w:t xml:space="preserve">, </w:t>
      </w:r>
      <w:r w:rsidR="007A47AE">
        <w:rPr>
          <w:rFonts w:ascii="Times New Roman" w:hAnsi="Times New Roman"/>
          <w:noProof/>
          <w:sz w:val="24"/>
          <w:szCs w:val="24"/>
        </w:rPr>
        <w:t xml:space="preserve">and </w:t>
      </w:r>
      <w:r>
        <w:rPr>
          <w:rFonts w:ascii="Times New Roman" w:hAnsi="Times New Roman"/>
          <w:noProof/>
          <w:sz w:val="24"/>
          <w:szCs w:val="24"/>
        </w:rPr>
        <w:t xml:space="preserve">that </w:t>
      </w:r>
      <w:r w:rsidRPr="00722D0D">
        <w:rPr>
          <w:rFonts w:ascii="Times New Roman" w:hAnsi="Times New Roman"/>
          <w:noProof/>
          <w:sz w:val="24"/>
          <w:szCs w:val="24"/>
        </w:rPr>
        <w:t>CEPOL’s resources were managed well</w:t>
      </w:r>
      <w:r w:rsidR="00677B3A">
        <w:rPr>
          <w:rFonts w:ascii="Times New Roman" w:hAnsi="Times New Roman"/>
          <w:noProof/>
          <w:sz w:val="24"/>
          <w:szCs w:val="24"/>
        </w:rPr>
        <w:t xml:space="preserve">. The evaluation also concluded that there were </w:t>
      </w:r>
      <w:r>
        <w:rPr>
          <w:rFonts w:ascii="Times New Roman" w:hAnsi="Times New Roman"/>
          <w:noProof/>
          <w:sz w:val="24"/>
          <w:szCs w:val="24"/>
        </w:rPr>
        <w:t>some</w:t>
      </w:r>
      <w:r w:rsidRPr="00722D0D">
        <w:rPr>
          <w:rFonts w:ascii="Times New Roman" w:hAnsi="Times New Roman"/>
          <w:noProof/>
          <w:sz w:val="24"/>
          <w:szCs w:val="24"/>
        </w:rPr>
        <w:t xml:space="preserve"> inefficiencies related to the Management Board’s decision-making process, CEPOL’s planning processes and monitoring procedures</w:t>
      </w:r>
      <w:r>
        <w:rPr>
          <w:rFonts w:ascii="Times New Roman" w:hAnsi="Times New Roman"/>
          <w:noProof/>
          <w:sz w:val="24"/>
          <w:szCs w:val="24"/>
        </w:rPr>
        <w:t>.</w:t>
      </w:r>
      <w:r w:rsidR="00E141C3">
        <w:rPr>
          <w:rFonts w:ascii="Times New Roman" w:hAnsi="Times New Roman"/>
          <w:noProof/>
          <w:sz w:val="24"/>
          <w:szCs w:val="24"/>
        </w:rPr>
        <w:t xml:space="preserve"> </w:t>
      </w:r>
      <w:r w:rsidR="00E141C3" w:rsidRPr="00E141C3">
        <w:rPr>
          <w:rFonts w:ascii="Times New Roman" w:hAnsi="Times New Roman"/>
          <w:noProof/>
          <w:sz w:val="24"/>
          <w:szCs w:val="24"/>
        </w:rPr>
        <w:t>CEPOL</w:t>
      </w:r>
      <w:r w:rsidR="00677B3A">
        <w:rPr>
          <w:rFonts w:ascii="Times New Roman" w:hAnsi="Times New Roman"/>
          <w:noProof/>
          <w:sz w:val="24"/>
          <w:szCs w:val="24"/>
        </w:rPr>
        <w:t>’s</w:t>
      </w:r>
      <w:r w:rsidR="00E141C3" w:rsidRPr="00E141C3">
        <w:rPr>
          <w:rFonts w:ascii="Times New Roman" w:hAnsi="Times New Roman"/>
          <w:noProof/>
          <w:sz w:val="24"/>
          <w:szCs w:val="24"/>
        </w:rPr>
        <w:t xml:space="preserve"> internal structure appears to operate efficiently</w:t>
      </w:r>
      <w:r w:rsidR="00E141C3">
        <w:rPr>
          <w:rFonts w:ascii="Times New Roman" w:hAnsi="Times New Roman"/>
          <w:noProof/>
          <w:sz w:val="24"/>
          <w:szCs w:val="24"/>
        </w:rPr>
        <w:t xml:space="preserve">, although </w:t>
      </w:r>
      <w:r w:rsidR="00E141C3" w:rsidRPr="00E141C3">
        <w:rPr>
          <w:rFonts w:ascii="Times New Roman" w:hAnsi="Times New Roman"/>
          <w:noProof/>
          <w:sz w:val="24"/>
          <w:szCs w:val="24"/>
        </w:rPr>
        <w:t>CEPOL’s staff turnover might have affected the Agency’s overall efficiency during the 2015 to 2020 period</w:t>
      </w:r>
      <w:r w:rsidR="00E141C3">
        <w:rPr>
          <w:rFonts w:ascii="Times New Roman" w:hAnsi="Times New Roman"/>
          <w:noProof/>
          <w:sz w:val="24"/>
          <w:szCs w:val="24"/>
        </w:rPr>
        <w:t>.</w:t>
      </w:r>
      <w:r w:rsidR="00C60B32">
        <w:rPr>
          <w:rFonts w:ascii="Times New Roman" w:hAnsi="Times New Roman"/>
          <w:noProof/>
          <w:sz w:val="24"/>
          <w:szCs w:val="24"/>
        </w:rPr>
        <w:t xml:space="preserve"> </w:t>
      </w:r>
      <w:r w:rsidR="00C60B32" w:rsidRPr="00C60B32">
        <w:rPr>
          <w:rFonts w:ascii="Times New Roman" w:hAnsi="Times New Roman"/>
          <w:noProof/>
          <w:sz w:val="24"/>
          <w:szCs w:val="24"/>
        </w:rPr>
        <w:t>CEPOL now operates under a hybrid business model</w:t>
      </w:r>
      <w:r w:rsidR="009707E4">
        <w:rPr>
          <w:rFonts w:ascii="Times New Roman" w:hAnsi="Times New Roman"/>
          <w:noProof/>
          <w:sz w:val="24"/>
          <w:szCs w:val="24"/>
        </w:rPr>
        <w:t xml:space="preserve">, which combines the </w:t>
      </w:r>
      <w:r w:rsidR="00F00BA1">
        <w:rPr>
          <w:rFonts w:ascii="Times New Roman" w:hAnsi="Times New Roman"/>
          <w:noProof/>
          <w:sz w:val="24"/>
          <w:szCs w:val="24"/>
        </w:rPr>
        <w:t>tradition</w:t>
      </w:r>
      <w:r w:rsidR="009707E4">
        <w:rPr>
          <w:rFonts w:ascii="Times New Roman" w:hAnsi="Times New Roman"/>
          <w:noProof/>
          <w:sz w:val="24"/>
          <w:szCs w:val="24"/>
        </w:rPr>
        <w:t>al grant approach, consisting in tendered topics among the eligible Framework Partners, and the ‘new’ CEPOL Knowledge Centre method, consisting in a cluster of experts specialised in a topic.</w:t>
      </w:r>
      <w:r w:rsidR="00F00BA1">
        <w:rPr>
          <w:rFonts w:ascii="Times New Roman" w:hAnsi="Times New Roman"/>
          <w:noProof/>
          <w:sz w:val="24"/>
          <w:szCs w:val="24"/>
        </w:rPr>
        <w:t xml:space="preserve"> </w:t>
      </w:r>
      <w:r w:rsidR="009707E4">
        <w:rPr>
          <w:rFonts w:ascii="Times New Roman" w:hAnsi="Times New Roman"/>
          <w:noProof/>
          <w:sz w:val="24"/>
          <w:szCs w:val="24"/>
        </w:rPr>
        <w:t xml:space="preserve">This mixed method is </w:t>
      </w:r>
      <w:r w:rsidR="00C60B32" w:rsidRPr="00C60B32">
        <w:rPr>
          <w:rFonts w:ascii="Times New Roman" w:hAnsi="Times New Roman"/>
          <w:noProof/>
          <w:sz w:val="24"/>
          <w:szCs w:val="24"/>
        </w:rPr>
        <w:t>meant to streamline and simplify the grants management</w:t>
      </w:r>
      <w:r w:rsidR="009707E4">
        <w:rPr>
          <w:rFonts w:ascii="Times New Roman" w:hAnsi="Times New Roman"/>
          <w:noProof/>
          <w:sz w:val="24"/>
          <w:szCs w:val="24"/>
        </w:rPr>
        <w:t xml:space="preserve"> and has been put in place after the </w:t>
      </w:r>
      <w:r w:rsidR="005F194B">
        <w:rPr>
          <w:rFonts w:ascii="Times New Roman" w:hAnsi="Times New Roman"/>
          <w:noProof/>
          <w:sz w:val="24"/>
          <w:szCs w:val="24"/>
        </w:rPr>
        <w:t xml:space="preserve">Management Board </w:t>
      </w:r>
      <w:r w:rsidR="009707E4">
        <w:rPr>
          <w:rFonts w:ascii="Times New Roman" w:hAnsi="Times New Roman"/>
          <w:noProof/>
          <w:sz w:val="24"/>
          <w:szCs w:val="24"/>
        </w:rPr>
        <w:t>rejected the complete abolition of the grant system</w:t>
      </w:r>
      <w:r w:rsidR="00C60B32" w:rsidRPr="00C60B32">
        <w:rPr>
          <w:rFonts w:ascii="Times New Roman" w:hAnsi="Times New Roman"/>
          <w:noProof/>
          <w:sz w:val="24"/>
          <w:szCs w:val="24"/>
        </w:rPr>
        <w:t>.</w:t>
      </w:r>
      <w:r w:rsidR="00C60B32">
        <w:rPr>
          <w:rFonts w:ascii="Times New Roman" w:hAnsi="Times New Roman"/>
          <w:noProof/>
          <w:sz w:val="24"/>
          <w:szCs w:val="24"/>
        </w:rPr>
        <w:t xml:space="preserve"> </w:t>
      </w:r>
      <w:r w:rsidR="00C60B32" w:rsidRPr="00C60B32">
        <w:rPr>
          <w:rFonts w:ascii="Times New Roman" w:hAnsi="Times New Roman"/>
          <w:noProof/>
          <w:sz w:val="24"/>
          <w:szCs w:val="24"/>
        </w:rPr>
        <w:t xml:space="preserve">CEPOL was </w:t>
      </w:r>
      <w:r w:rsidR="0058059D">
        <w:rPr>
          <w:rFonts w:ascii="Times New Roman" w:hAnsi="Times New Roman"/>
          <w:noProof/>
          <w:sz w:val="24"/>
          <w:szCs w:val="24"/>
        </w:rPr>
        <w:t xml:space="preserve">generally </w:t>
      </w:r>
      <w:r w:rsidR="00C60B32" w:rsidRPr="00C60B32">
        <w:rPr>
          <w:rFonts w:ascii="Times New Roman" w:hAnsi="Times New Roman"/>
          <w:noProof/>
          <w:sz w:val="24"/>
          <w:szCs w:val="24"/>
        </w:rPr>
        <w:t>capable of absorbing the</w:t>
      </w:r>
      <w:r w:rsidR="00331419">
        <w:rPr>
          <w:rFonts w:ascii="Times New Roman" w:hAnsi="Times New Roman"/>
          <w:noProof/>
          <w:sz w:val="24"/>
          <w:szCs w:val="24"/>
        </w:rPr>
        <w:t xml:space="preserve"> EU</w:t>
      </w:r>
      <w:r w:rsidR="00C60B32" w:rsidRPr="00C60B32">
        <w:rPr>
          <w:rFonts w:ascii="Times New Roman" w:hAnsi="Times New Roman"/>
          <w:noProof/>
          <w:sz w:val="24"/>
          <w:szCs w:val="24"/>
        </w:rPr>
        <w:t xml:space="preserve"> funding </w:t>
      </w:r>
      <w:r w:rsidR="00331419">
        <w:rPr>
          <w:rFonts w:ascii="Times New Roman" w:hAnsi="Times New Roman"/>
          <w:noProof/>
          <w:sz w:val="24"/>
          <w:szCs w:val="24"/>
        </w:rPr>
        <w:t>it received.</w:t>
      </w:r>
    </w:p>
    <w:p w14:paraId="02504D82" w14:textId="69E33CD2" w:rsidR="003D7D20" w:rsidRPr="003D7D20" w:rsidRDefault="003D7D20" w:rsidP="003D7D20">
      <w:pPr>
        <w:pStyle w:val="Body"/>
        <w:rPr>
          <w:rFonts w:ascii="Times New Roman" w:hAnsi="Times New Roman"/>
          <w:noProof/>
          <w:sz w:val="24"/>
          <w:szCs w:val="24"/>
        </w:rPr>
      </w:pPr>
      <w:r w:rsidRPr="003D7D20">
        <w:rPr>
          <w:rFonts w:ascii="Times New Roman" w:hAnsi="Times New Roman"/>
          <w:noProof/>
          <w:sz w:val="24"/>
          <w:szCs w:val="24"/>
        </w:rPr>
        <w:t xml:space="preserve">The yearly development cycle for CEPOL’s training activities is deemed to be too short, jeopardising quality. Prior to CEPOL’s development of training, the Management Board is required to make decisions about topics, guidelines are drafted, and </w:t>
      </w:r>
      <w:r w:rsidR="00F62F38">
        <w:rPr>
          <w:rFonts w:ascii="Times New Roman" w:hAnsi="Times New Roman"/>
          <w:noProof/>
          <w:sz w:val="24"/>
          <w:szCs w:val="24"/>
        </w:rPr>
        <w:t>Framework Partners</w:t>
      </w:r>
      <w:r w:rsidR="00F62F38" w:rsidRPr="003D7D20">
        <w:rPr>
          <w:rFonts w:ascii="Times New Roman" w:hAnsi="Times New Roman"/>
          <w:noProof/>
          <w:sz w:val="24"/>
          <w:szCs w:val="24"/>
        </w:rPr>
        <w:t xml:space="preserve"> </w:t>
      </w:r>
      <w:r w:rsidRPr="003D7D20">
        <w:rPr>
          <w:rFonts w:ascii="Times New Roman" w:hAnsi="Times New Roman"/>
          <w:noProof/>
          <w:sz w:val="24"/>
          <w:szCs w:val="24"/>
        </w:rPr>
        <w:t>undergo selection procedures. Once these processes are complete, according to some stakeholders, there is little time left for quality content development</w:t>
      </w:r>
      <w:r w:rsidR="00EC5AFA">
        <w:rPr>
          <w:rFonts w:ascii="Times New Roman" w:hAnsi="Times New Roman"/>
          <w:noProof/>
          <w:sz w:val="24"/>
          <w:szCs w:val="24"/>
        </w:rPr>
        <w:t>, as the yearly cycle has come to an end</w:t>
      </w:r>
      <w:r w:rsidRPr="003D7D20">
        <w:rPr>
          <w:rFonts w:ascii="Times New Roman" w:hAnsi="Times New Roman"/>
          <w:noProof/>
          <w:sz w:val="24"/>
          <w:szCs w:val="24"/>
        </w:rPr>
        <w:t xml:space="preserve">. Consequently, </w:t>
      </w:r>
      <w:r w:rsidR="00F62F38">
        <w:rPr>
          <w:rFonts w:ascii="Times New Roman" w:hAnsi="Times New Roman"/>
          <w:noProof/>
          <w:sz w:val="24"/>
          <w:szCs w:val="24"/>
        </w:rPr>
        <w:t>Framework Partners</w:t>
      </w:r>
      <w:r w:rsidR="00F62F38" w:rsidRPr="003D7D20">
        <w:rPr>
          <w:rFonts w:ascii="Times New Roman" w:hAnsi="Times New Roman"/>
          <w:noProof/>
          <w:sz w:val="24"/>
          <w:szCs w:val="24"/>
        </w:rPr>
        <w:t xml:space="preserve"> </w:t>
      </w:r>
      <w:r w:rsidRPr="003D7D20">
        <w:rPr>
          <w:rFonts w:ascii="Times New Roman" w:hAnsi="Times New Roman"/>
          <w:noProof/>
          <w:sz w:val="24"/>
          <w:szCs w:val="24"/>
        </w:rPr>
        <w:t xml:space="preserve">with no ‘off-the-shelf’ training solutions </w:t>
      </w:r>
      <w:r w:rsidR="00B073A3">
        <w:rPr>
          <w:rFonts w:ascii="Times New Roman" w:hAnsi="Times New Roman"/>
          <w:noProof/>
          <w:sz w:val="24"/>
          <w:szCs w:val="24"/>
        </w:rPr>
        <w:t xml:space="preserve">that could be offered during this limited timeframe </w:t>
      </w:r>
      <w:r w:rsidRPr="003D7D20">
        <w:rPr>
          <w:rFonts w:ascii="Times New Roman" w:hAnsi="Times New Roman"/>
          <w:noProof/>
          <w:sz w:val="24"/>
          <w:szCs w:val="24"/>
        </w:rPr>
        <w:t xml:space="preserve">are </w:t>
      </w:r>
      <w:r w:rsidR="00F62F38">
        <w:rPr>
          <w:rFonts w:ascii="Times New Roman" w:hAnsi="Times New Roman"/>
          <w:noProof/>
          <w:sz w:val="24"/>
          <w:szCs w:val="24"/>
        </w:rPr>
        <w:t>discouraged</w:t>
      </w:r>
      <w:r w:rsidR="00F62F38" w:rsidRPr="003D7D20">
        <w:rPr>
          <w:rFonts w:ascii="Times New Roman" w:hAnsi="Times New Roman"/>
          <w:noProof/>
          <w:sz w:val="24"/>
          <w:szCs w:val="24"/>
        </w:rPr>
        <w:t xml:space="preserve"> </w:t>
      </w:r>
      <w:r w:rsidRPr="003D7D20">
        <w:rPr>
          <w:rFonts w:ascii="Times New Roman" w:hAnsi="Times New Roman"/>
          <w:noProof/>
          <w:sz w:val="24"/>
          <w:szCs w:val="24"/>
        </w:rPr>
        <w:t>from applying</w:t>
      </w:r>
      <w:r w:rsidR="00EC5AFA">
        <w:rPr>
          <w:rFonts w:ascii="Times New Roman" w:hAnsi="Times New Roman"/>
          <w:noProof/>
          <w:sz w:val="24"/>
          <w:szCs w:val="24"/>
        </w:rPr>
        <w:t xml:space="preserve"> to organise a course</w:t>
      </w:r>
      <w:r w:rsidR="00F62F38">
        <w:rPr>
          <w:rFonts w:ascii="Times New Roman" w:hAnsi="Times New Roman"/>
          <w:noProof/>
          <w:sz w:val="24"/>
          <w:szCs w:val="24"/>
        </w:rPr>
        <w:t xml:space="preserve">. The result </w:t>
      </w:r>
      <w:r w:rsidR="0087076B">
        <w:rPr>
          <w:rFonts w:ascii="Times New Roman" w:hAnsi="Times New Roman"/>
          <w:noProof/>
          <w:sz w:val="24"/>
          <w:szCs w:val="24"/>
        </w:rPr>
        <w:t>is</w:t>
      </w:r>
      <w:r w:rsidR="00F62F38">
        <w:rPr>
          <w:rFonts w:ascii="Times New Roman" w:hAnsi="Times New Roman"/>
          <w:noProof/>
          <w:sz w:val="24"/>
          <w:szCs w:val="24"/>
        </w:rPr>
        <w:t xml:space="preserve"> that </w:t>
      </w:r>
      <w:r w:rsidRPr="003D7D20">
        <w:rPr>
          <w:rFonts w:ascii="Times New Roman" w:hAnsi="Times New Roman"/>
          <w:noProof/>
          <w:sz w:val="24"/>
          <w:szCs w:val="24"/>
        </w:rPr>
        <w:t xml:space="preserve">the number of grant applications from </w:t>
      </w:r>
      <w:r w:rsidR="00F62F38">
        <w:rPr>
          <w:rFonts w:ascii="Times New Roman" w:hAnsi="Times New Roman"/>
          <w:noProof/>
          <w:sz w:val="24"/>
          <w:szCs w:val="24"/>
        </w:rPr>
        <w:t>Framework Partners</w:t>
      </w:r>
      <w:r w:rsidR="00F62F38" w:rsidRPr="003D7D20">
        <w:rPr>
          <w:rFonts w:ascii="Times New Roman" w:hAnsi="Times New Roman"/>
          <w:noProof/>
          <w:sz w:val="24"/>
          <w:szCs w:val="24"/>
        </w:rPr>
        <w:t xml:space="preserve"> </w:t>
      </w:r>
      <w:r w:rsidRPr="003D7D20">
        <w:rPr>
          <w:rFonts w:ascii="Times New Roman" w:hAnsi="Times New Roman"/>
          <w:noProof/>
          <w:sz w:val="24"/>
          <w:szCs w:val="24"/>
        </w:rPr>
        <w:t xml:space="preserve">is </w:t>
      </w:r>
      <w:r w:rsidR="00EC5AFA">
        <w:rPr>
          <w:rFonts w:ascii="Times New Roman" w:hAnsi="Times New Roman"/>
          <w:noProof/>
          <w:sz w:val="24"/>
          <w:szCs w:val="24"/>
        </w:rPr>
        <w:t xml:space="preserve">constantly </w:t>
      </w:r>
      <w:r w:rsidRPr="003D7D20">
        <w:rPr>
          <w:rFonts w:ascii="Times New Roman" w:hAnsi="Times New Roman"/>
          <w:noProof/>
          <w:sz w:val="24"/>
          <w:szCs w:val="24"/>
        </w:rPr>
        <w:t>decreasing.</w:t>
      </w:r>
    </w:p>
    <w:p w14:paraId="5DBA2262" w14:textId="6A657E5E" w:rsidR="003D7D20" w:rsidRPr="003D7D20" w:rsidRDefault="003D7D20" w:rsidP="003D7D20">
      <w:pPr>
        <w:pStyle w:val="Body"/>
        <w:rPr>
          <w:rFonts w:ascii="Times New Roman" w:hAnsi="Times New Roman"/>
          <w:noProof/>
          <w:sz w:val="24"/>
          <w:szCs w:val="24"/>
        </w:rPr>
      </w:pPr>
      <w:r w:rsidRPr="003D7D20">
        <w:rPr>
          <w:rFonts w:ascii="Times New Roman" w:hAnsi="Times New Roman"/>
          <w:noProof/>
          <w:sz w:val="24"/>
          <w:szCs w:val="24"/>
        </w:rPr>
        <w:t>Training activities that have been outsourced to CEPOL’s Framework Partners for development and delivery are less exposed to CEPOL’s quality assurance mechanism</w:t>
      </w:r>
      <w:r w:rsidR="00781FA7">
        <w:rPr>
          <w:rFonts w:ascii="Times New Roman" w:hAnsi="Times New Roman"/>
          <w:noProof/>
          <w:sz w:val="24"/>
          <w:szCs w:val="24"/>
        </w:rPr>
        <w:t>. This results</w:t>
      </w:r>
      <w:r w:rsidRPr="003D7D20">
        <w:rPr>
          <w:rFonts w:ascii="Times New Roman" w:hAnsi="Times New Roman"/>
          <w:noProof/>
          <w:sz w:val="24"/>
          <w:szCs w:val="24"/>
        </w:rPr>
        <w:t xml:space="preserve"> in training activities of variable quality. CEPOL has a quality assurance mechanism in place to control its training activities from development to delivery</w:t>
      </w:r>
      <w:r w:rsidR="0058059D">
        <w:rPr>
          <w:rFonts w:ascii="Times New Roman" w:hAnsi="Times New Roman"/>
          <w:noProof/>
          <w:sz w:val="24"/>
          <w:szCs w:val="24"/>
        </w:rPr>
        <w:t>, which was found to be</w:t>
      </w:r>
      <w:r w:rsidRPr="003D7D20">
        <w:rPr>
          <w:rFonts w:ascii="Times New Roman" w:hAnsi="Times New Roman"/>
          <w:noProof/>
          <w:sz w:val="24"/>
          <w:szCs w:val="24"/>
        </w:rPr>
        <w:t xml:space="preserve"> effective in guaranteeing high-quality content and trainers when CEPOL is responsible for both developing and delivering training.</w:t>
      </w:r>
      <w:r w:rsidR="008D03ED">
        <w:rPr>
          <w:rFonts w:ascii="Times New Roman" w:hAnsi="Times New Roman"/>
          <w:noProof/>
          <w:sz w:val="24"/>
          <w:szCs w:val="24"/>
        </w:rPr>
        <w:t xml:space="preserve"> </w:t>
      </w:r>
      <w:r w:rsidRPr="003D7D20">
        <w:rPr>
          <w:rFonts w:ascii="Times New Roman" w:hAnsi="Times New Roman"/>
          <w:noProof/>
          <w:sz w:val="24"/>
          <w:szCs w:val="24"/>
        </w:rPr>
        <w:t>Training activities outsourced to</w:t>
      </w:r>
      <w:r w:rsidR="00A86CC4" w:rsidRPr="00A86CC4">
        <w:rPr>
          <w:rFonts w:ascii="Times New Roman" w:hAnsi="Times New Roman"/>
          <w:noProof/>
          <w:sz w:val="24"/>
          <w:szCs w:val="24"/>
        </w:rPr>
        <w:t xml:space="preserve"> </w:t>
      </w:r>
      <w:r w:rsidR="00A86CC4">
        <w:rPr>
          <w:rFonts w:ascii="Times New Roman" w:hAnsi="Times New Roman"/>
          <w:noProof/>
          <w:sz w:val="24"/>
          <w:szCs w:val="24"/>
        </w:rPr>
        <w:t>Framework Partners</w:t>
      </w:r>
      <w:r w:rsidRPr="003D7D20">
        <w:rPr>
          <w:rFonts w:ascii="Times New Roman" w:hAnsi="Times New Roman"/>
          <w:noProof/>
          <w:sz w:val="24"/>
          <w:szCs w:val="24"/>
        </w:rPr>
        <w:t xml:space="preserve">, while still appreciated by participants, </w:t>
      </w:r>
      <w:r w:rsidR="00EC5AFA">
        <w:rPr>
          <w:rFonts w:ascii="Times New Roman" w:hAnsi="Times New Roman"/>
          <w:noProof/>
          <w:sz w:val="24"/>
          <w:szCs w:val="24"/>
        </w:rPr>
        <w:t>are sometimes</w:t>
      </w:r>
      <w:r w:rsidRPr="003D7D20">
        <w:rPr>
          <w:rFonts w:ascii="Times New Roman" w:hAnsi="Times New Roman"/>
          <w:noProof/>
          <w:sz w:val="24"/>
          <w:szCs w:val="24"/>
        </w:rPr>
        <w:t xml:space="preserve"> of variable quality</w:t>
      </w:r>
      <w:r w:rsidR="005F194B">
        <w:rPr>
          <w:rFonts w:ascii="Times New Roman" w:hAnsi="Times New Roman"/>
          <w:noProof/>
          <w:sz w:val="24"/>
          <w:szCs w:val="24"/>
        </w:rPr>
        <w:t xml:space="preserve"> as they</w:t>
      </w:r>
      <w:r w:rsidR="00EC5AFA">
        <w:rPr>
          <w:rFonts w:ascii="Times New Roman" w:hAnsi="Times New Roman"/>
          <w:noProof/>
          <w:sz w:val="24"/>
          <w:szCs w:val="24"/>
        </w:rPr>
        <w:t xml:space="preserve"> </w:t>
      </w:r>
      <w:r w:rsidR="005F194B">
        <w:rPr>
          <w:rFonts w:ascii="Times New Roman" w:hAnsi="Times New Roman"/>
          <w:noProof/>
          <w:sz w:val="24"/>
          <w:szCs w:val="24"/>
        </w:rPr>
        <w:t>have not always</w:t>
      </w:r>
      <w:r w:rsidR="00EC5AFA">
        <w:rPr>
          <w:rFonts w:ascii="Times New Roman" w:hAnsi="Times New Roman"/>
          <w:noProof/>
          <w:sz w:val="24"/>
          <w:szCs w:val="24"/>
        </w:rPr>
        <w:t xml:space="preserve"> been systematically screened by the</w:t>
      </w:r>
      <w:r w:rsidRPr="003D7D20">
        <w:rPr>
          <w:rFonts w:ascii="Times New Roman" w:hAnsi="Times New Roman"/>
          <w:noProof/>
          <w:sz w:val="24"/>
          <w:szCs w:val="24"/>
        </w:rPr>
        <w:t xml:space="preserve"> CEPOL’s quality assurance mechanism.</w:t>
      </w:r>
    </w:p>
    <w:p w14:paraId="6A1255F7" w14:textId="52B5CFAB" w:rsidR="003D7D20" w:rsidRDefault="003D7D20" w:rsidP="003D7D20">
      <w:pPr>
        <w:pStyle w:val="Body"/>
        <w:rPr>
          <w:rFonts w:ascii="Times New Roman" w:hAnsi="Times New Roman"/>
          <w:noProof/>
          <w:sz w:val="24"/>
          <w:szCs w:val="24"/>
        </w:rPr>
      </w:pPr>
      <w:r w:rsidRPr="003D7D20">
        <w:rPr>
          <w:rFonts w:ascii="Times New Roman" w:hAnsi="Times New Roman"/>
          <w:noProof/>
          <w:sz w:val="24"/>
          <w:szCs w:val="24"/>
        </w:rPr>
        <w:t>CEPOL’s Cybercrime Academy is perceived to be an important step taken by the Agency to address emerging needs</w:t>
      </w:r>
      <w:r w:rsidR="008D03ED">
        <w:rPr>
          <w:rFonts w:ascii="Times New Roman" w:hAnsi="Times New Roman"/>
          <w:noProof/>
          <w:sz w:val="24"/>
          <w:szCs w:val="24"/>
        </w:rPr>
        <w:t xml:space="preserve"> but should be further improved.</w:t>
      </w:r>
      <w:r w:rsidRPr="003D7D20">
        <w:rPr>
          <w:rFonts w:ascii="Times New Roman" w:hAnsi="Times New Roman"/>
          <w:noProof/>
          <w:sz w:val="24"/>
          <w:szCs w:val="24"/>
        </w:rPr>
        <w:t xml:space="preserve"> The establishment of CEPOL’s Cybercrime Academy received mixed </w:t>
      </w:r>
      <w:r w:rsidR="004F0E6D">
        <w:rPr>
          <w:rFonts w:ascii="Times New Roman" w:hAnsi="Times New Roman"/>
          <w:noProof/>
          <w:sz w:val="24"/>
          <w:szCs w:val="24"/>
        </w:rPr>
        <w:t>reviews</w:t>
      </w:r>
      <w:r w:rsidR="004F0E6D" w:rsidRPr="003D7D20">
        <w:rPr>
          <w:rFonts w:ascii="Times New Roman" w:hAnsi="Times New Roman"/>
          <w:noProof/>
          <w:sz w:val="24"/>
          <w:szCs w:val="24"/>
        </w:rPr>
        <w:t xml:space="preserve"> </w:t>
      </w:r>
      <w:r w:rsidRPr="003D7D20">
        <w:rPr>
          <w:rFonts w:ascii="Times New Roman" w:hAnsi="Times New Roman"/>
          <w:noProof/>
          <w:sz w:val="24"/>
          <w:szCs w:val="24"/>
        </w:rPr>
        <w:t xml:space="preserve">from stakeholders. While covering a very relevant topic and where demand is high, questions were raised on </w:t>
      </w:r>
      <w:r w:rsidR="001928B3">
        <w:rPr>
          <w:rFonts w:ascii="Times New Roman" w:hAnsi="Times New Roman"/>
          <w:noProof/>
          <w:sz w:val="24"/>
          <w:szCs w:val="24"/>
        </w:rPr>
        <w:t>its</w:t>
      </w:r>
      <w:r w:rsidRPr="003D7D20">
        <w:rPr>
          <w:rFonts w:ascii="Times New Roman" w:hAnsi="Times New Roman"/>
          <w:noProof/>
          <w:sz w:val="24"/>
          <w:szCs w:val="24"/>
        </w:rPr>
        <w:t xml:space="preserve"> actual mission, its limited size and the ability to attract experts to deliver trainings with relevant knowledge and skills. The activities delivered through the Cybercrime Academy have also been </w:t>
      </w:r>
      <w:r w:rsidR="00186F9C">
        <w:rPr>
          <w:rFonts w:ascii="Times New Roman" w:hAnsi="Times New Roman"/>
          <w:noProof/>
          <w:sz w:val="24"/>
          <w:szCs w:val="24"/>
        </w:rPr>
        <w:t>negatively affected</w:t>
      </w:r>
      <w:r w:rsidR="00186F9C" w:rsidRPr="003D7D20">
        <w:rPr>
          <w:rFonts w:ascii="Times New Roman" w:hAnsi="Times New Roman"/>
          <w:noProof/>
          <w:sz w:val="24"/>
          <w:szCs w:val="24"/>
        </w:rPr>
        <w:t xml:space="preserve"> </w:t>
      </w:r>
      <w:r w:rsidRPr="003D7D20">
        <w:rPr>
          <w:rFonts w:ascii="Times New Roman" w:hAnsi="Times New Roman"/>
          <w:noProof/>
          <w:sz w:val="24"/>
          <w:szCs w:val="24"/>
        </w:rPr>
        <w:t xml:space="preserve">by </w:t>
      </w:r>
      <w:r w:rsidR="00186F9C">
        <w:rPr>
          <w:rFonts w:ascii="Times New Roman" w:hAnsi="Times New Roman"/>
          <w:noProof/>
          <w:sz w:val="24"/>
          <w:szCs w:val="24"/>
        </w:rPr>
        <w:t xml:space="preserve">the </w:t>
      </w:r>
      <w:r w:rsidRPr="003D7D20">
        <w:rPr>
          <w:rFonts w:ascii="Times New Roman" w:hAnsi="Times New Roman"/>
          <w:noProof/>
          <w:sz w:val="24"/>
          <w:szCs w:val="24"/>
        </w:rPr>
        <w:t>COVID-19</w:t>
      </w:r>
      <w:r w:rsidR="00186F9C">
        <w:rPr>
          <w:rFonts w:ascii="Times New Roman" w:hAnsi="Times New Roman"/>
          <w:noProof/>
          <w:sz w:val="24"/>
          <w:szCs w:val="24"/>
        </w:rPr>
        <w:t xml:space="preserve"> pandemic</w:t>
      </w:r>
      <w:r w:rsidRPr="003D7D20">
        <w:rPr>
          <w:rFonts w:ascii="Times New Roman" w:hAnsi="Times New Roman"/>
          <w:noProof/>
          <w:sz w:val="24"/>
          <w:szCs w:val="24"/>
        </w:rPr>
        <w:t xml:space="preserve">, </w:t>
      </w:r>
      <w:r w:rsidR="001928B3">
        <w:rPr>
          <w:rFonts w:ascii="Times New Roman" w:hAnsi="Times New Roman"/>
          <w:noProof/>
          <w:sz w:val="24"/>
          <w:szCs w:val="24"/>
        </w:rPr>
        <w:t xml:space="preserve">as the </w:t>
      </w:r>
      <w:r w:rsidRPr="003D7D20">
        <w:rPr>
          <w:rFonts w:ascii="Times New Roman" w:hAnsi="Times New Roman"/>
          <w:noProof/>
          <w:sz w:val="24"/>
          <w:szCs w:val="24"/>
        </w:rPr>
        <w:t>on-site residential activities using the specialised facilities</w:t>
      </w:r>
      <w:r w:rsidR="001928B3">
        <w:rPr>
          <w:rFonts w:ascii="Times New Roman" w:hAnsi="Times New Roman"/>
          <w:noProof/>
          <w:sz w:val="24"/>
          <w:szCs w:val="24"/>
        </w:rPr>
        <w:t xml:space="preserve"> could not take place</w:t>
      </w:r>
      <w:r w:rsidRPr="003D7D20">
        <w:rPr>
          <w:rFonts w:ascii="Times New Roman" w:hAnsi="Times New Roman"/>
          <w:noProof/>
          <w:sz w:val="24"/>
          <w:szCs w:val="24"/>
        </w:rPr>
        <w:t>.</w:t>
      </w:r>
      <w:r w:rsidR="009B3DA7">
        <w:rPr>
          <w:rFonts w:ascii="Times New Roman" w:hAnsi="Times New Roman"/>
          <w:noProof/>
          <w:sz w:val="24"/>
          <w:szCs w:val="24"/>
        </w:rPr>
        <w:t xml:space="preserve"> More generally, s</w:t>
      </w:r>
      <w:r w:rsidR="009B3DA7" w:rsidRPr="009B3DA7">
        <w:rPr>
          <w:rFonts w:ascii="Times New Roman" w:hAnsi="Times New Roman"/>
          <w:noProof/>
          <w:sz w:val="24"/>
          <w:szCs w:val="24"/>
        </w:rPr>
        <w:t>ome Member State and EU-level stakeholders were critical of CEPOL’s cybercrime training offering, questioning the quality, consistency and breadth of the training provided.</w:t>
      </w:r>
    </w:p>
    <w:p w14:paraId="5C78DC04" w14:textId="52ADB9F5" w:rsidR="003D7D20" w:rsidRPr="003D7D20" w:rsidRDefault="001275BB" w:rsidP="003D7D20">
      <w:pPr>
        <w:pStyle w:val="Body"/>
        <w:rPr>
          <w:rFonts w:ascii="Times New Roman" w:hAnsi="Times New Roman"/>
          <w:noProof/>
          <w:sz w:val="24"/>
          <w:szCs w:val="24"/>
        </w:rPr>
      </w:pPr>
      <w:r>
        <w:rPr>
          <w:rFonts w:ascii="Times New Roman" w:hAnsi="Times New Roman"/>
          <w:noProof/>
          <w:sz w:val="24"/>
          <w:szCs w:val="24"/>
        </w:rPr>
        <w:t>The evaluation found that, w</w:t>
      </w:r>
      <w:r w:rsidR="003D7D20" w:rsidRPr="003D7D20">
        <w:rPr>
          <w:rFonts w:ascii="Times New Roman" w:hAnsi="Times New Roman"/>
          <w:noProof/>
          <w:sz w:val="24"/>
          <w:szCs w:val="24"/>
        </w:rPr>
        <w:t xml:space="preserve">hile there is a good relationship between the CEPOL Executive Director and the Management Board, Management Board meetings are hampered by </w:t>
      </w:r>
      <w:r>
        <w:rPr>
          <w:rFonts w:ascii="Times New Roman" w:hAnsi="Times New Roman"/>
          <w:noProof/>
          <w:sz w:val="24"/>
          <w:szCs w:val="24"/>
        </w:rPr>
        <w:t xml:space="preserve">the </w:t>
      </w:r>
      <w:r w:rsidR="003D7D20" w:rsidRPr="003D7D20">
        <w:rPr>
          <w:rFonts w:ascii="Times New Roman" w:hAnsi="Times New Roman"/>
          <w:noProof/>
          <w:sz w:val="24"/>
          <w:szCs w:val="24"/>
        </w:rPr>
        <w:t xml:space="preserve">low engagement by some Members and the disproportionate focus on administrative matters. </w:t>
      </w:r>
      <w:r>
        <w:rPr>
          <w:rFonts w:ascii="Times New Roman" w:hAnsi="Times New Roman"/>
          <w:noProof/>
          <w:sz w:val="24"/>
          <w:szCs w:val="24"/>
        </w:rPr>
        <w:t>Furthermore, some r</w:t>
      </w:r>
      <w:r w:rsidR="003D7D20" w:rsidRPr="003D7D20">
        <w:rPr>
          <w:rFonts w:ascii="Times New Roman" w:hAnsi="Times New Roman"/>
          <w:noProof/>
          <w:sz w:val="24"/>
          <w:szCs w:val="24"/>
        </w:rPr>
        <w:t xml:space="preserve">epresentation issues in relation to the CEPOL Management Board </w:t>
      </w:r>
      <w:r>
        <w:rPr>
          <w:rFonts w:ascii="Times New Roman" w:hAnsi="Times New Roman"/>
          <w:noProof/>
          <w:sz w:val="24"/>
          <w:szCs w:val="24"/>
        </w:rPr>
        <w:t xml:space="preserve">emerged </w:t>
      </w:r>
      <w:r w:rsidR="003D7D20" w:rsidRPr="003D7D20">
        <w:rPr>
          <w:rFonts w:ascii="Times New Roman" w:hAnsi="Times New Roman"/>
          <w:noProof/>
          <w:sz w:val="24"/>
          <w:szCs w:val="24"/>
        </w:rPr>
        <w:t xml:space="preserve">(i.e. low engagement of several Member States; gender imbalance; no customs or border officials; the levels of seniority of representatives are varied). Board Meetings are attended by large numbers of </w:t>
      </w:r>
      <w:r w:rsidR="001928B3">
        <w:rPr>
          <w:rFonts w:ascii="Times New Roman" w:hAnsi="Times New Roman"/>
          <w:noProof/>
          <w:sz w:val="24"/>
          <w:szCs w:val="24"/>
        </w:rPr>
        <w:t>delegates per Member State, not always properly representing the full spectrum of the law enforcement bod</w:t>
      </w:r>
      <w:r w:rsidR="00B63C13">
        <w:rPr>
          <w:rFonts w:ascii="Times New Roman" w:hAnsi="Times New Roman"/>
          <w:noProof/>
          <w:sz w:val="24"/>
          <w:szCs w:val="24"/>
        </w:rPr>
        <w:t>i</w:t>
      </w:r>
      <w:r w:rsidR="001928B3">
        <w:rPr>
          <w:rFonts w:ascii="Times New Roman" w:hAnsi="Times New Roman"/>
          <w:noProof/>
          <w:sz w:val="24"/>
          <w:szCs w:val="24"/>
        </w:rPr>
        <w:t>es and their inputs.</w:t>
      </w:r>
      <w:r w:rsidR="003D7D20" w:rsidRPr="003D7D20">
        <w:rPr>
          <w:rFonts w:ascii="Times New Roman" w:hAnsi="Times New Roman"/>
          <w:noProof/>
          <w:sz w:val="24"/>
          <w:szCs w:val="24"/>
        </w:rPr>
        <w:t xml:space="preserve"> </w:t>
      </w:r>
      <w:r w:rsidR="00C91D93">
        <w:rPr>
          <w:rFonts w:ascii="Times New Roman" w:hAnsi="Times New Roman"/>
          <w:noProof/>
          <w:sz w:val="24"/>
          <w:szCs w:val="24"/>
        </w:rPr>
        <w:t>Several stakeholders observed that, w</w:t>
      </w:r>
      <w:r w:rsidR="003D7D20" w:rsidRPr="003D7D20">
        <w:rPr>
          <w:rFonts w:ascii="Times New Roman" w:hAnsi="Times New Roman"/>
          <w:noProof/>
          <w:sz w:val="24"/>
          <w:szCs w:val="24"/>
        </w:rPr>
        <w:t xml:space="preserve">hile most Management Board decisions are related to content and strategy, the agenda of Board meetings is cramped with administrative items, leaving </w:t>
      </w:r>
      <w:r w:rsidR="002106E3">
        <w:rPr>
          <w:rFonts w:ascii="Times New Roman" w:hAnsi="Times New Roman"/>
          <w:noProof/>
          <w:sz w:val="24"/>
          <w:szCs w:val="24"/>
        </w:rPr>
        <w:t xml:space="preserve">relatively </w:t>
      </w:r>
      <w:r w:rsidR="003D7D20" w:rsidRPr="003D7D20">
        <w:rPr>
          <w:rFonts w:ascii="Times New Roman" w:hAnsi="Times New Roman"/>
          <w:noProof/>
          <w:sz w:val="24"/>
          <w:szCs w:val="24"/>
        </w:rPr>
        <w:t>little room for strategic discussion.</w:t>
      </w:r>
    </w:p>
    <w:p w14:paraId="239D65E3" w14:textId="680D2C16" w:rsidR="003D7D20" w:rsidRPr="00C13F66" w:rsidRDefault="006325DE">
      <w:pPr>
        <w:pStyle w:val="Body"/>
        <w:rPr>
          <w:rFonts w:ascii="Times New Roman" w:hAnsi="Times New Roman"/>
          <w:noProof/>
          <w:sz w:val="24"/>
          <w:szCs w:val="24"/>
        </w:rPr>
      </w:pPr>
      <w:r w:rsidRPr="003D7D20">
        <w:rPr>
          <w:rFonts w:ascii="Times New Roman" w:hAnsi="Times New Roman"/>
          <w:noProof/>
          <w:sz w:val="24"/>
          <w:szCs w:val="24"/>
        </w:rPr>
        <w:t xml:space="preserve">The number of CEPOL staff increased steadily </w:t>
      </w:r>
      <w:r w:rsidRPr="002D5314">
        <w:rPr>
          <w:rFonts w:ascii="Times New Roman" w:hAnsi="Times New Roman"/>
          <w:noProof/>
          <w:sz w:val="24"/>
          <w:szCs w:val="24"/>
        </w:rPr>
        <w:t xml:space="preserve">over the </w:t>
      </w:r>
      <w:r w:rsidRPr="007452A4">
        <w:rPr>
          <w:rFonts w:ascii="Times New Roman" w:hAnsi="Times New Roman"/>
          <w:noProof/>
          <w:sz w:val="24"/>
          <w:szCs w:val="24"/>
        </w:rPr>
        <w:t>period 2015 to 20</w:t>
      </w:r>
      <w:r w:rsidRPr="005E6F58">
        <w:rPr>
          <w:rFonts w:ascii="Times New Roman" w:hAnsi="Times New Roman"/>
          <w:noProof/>
          <w:sz w:val="24"/>
          <w:szCs w:val="24"/>
        </w:rPr>
        <w:t>20</w:t>
      </w:r>
      <w:r w:rsidRPr="007452A4">
        <w:rPr>
          <w:rFonts w:ascii="Times New Roman" w:hAnsi="Times New Roman"/>
          <w:noProof/>
          <w:sz w:val="24"/>
          <w:szCs w:val="24"/>
        </w:rPr>
        <w:t xml:space="preserve"> (from 45 to 9</w:t>
      </w:r>
      <w:r w:rsidRPr="005E6F58">
        <w:rPr>
          <w:rFonts w:ascii="Times New Roman" w:hAnsi="Times New Roman"/>
          <w:noProof/>
          <w:sz w:val="24"/>
          <w:szCs w:val="24"/>
        </w:rPr>
        <w:t>6</w:t>
      </w:r>
      <w:r w:rsidRPr="007452A4">
        <w:rPr>
          <w:rFonts w:ascii="Times New Roman" w:hAnsi="Times New Roman"/>
          <w:noProof/>
          <w:sz w:val="24"/>
          <w:szCs w:val="24"/>
        </w:rPr>
        <w:t>).</w:t>
      </w:r>
      <w:r>
        <w:rPr>
          <w:rFonts w:ascii="Times New Roman" w:hAnsi="Times New Roman"/>
          <w:noProof/>
          <w:sz w:val="24"/>
          <w:szCs w:val="24"/>
        </w:rPr>
        <w:t xml:space="preserve"> </w:t>
      </w:r>
      <w:r w:rsidR="00C77DBF">
        <w:rPr>
          <w:rFonts w:ascii="Times New Roman" w:hAnsi="Times New Roman"/>
          <w:noProof/>
          <w:sz w:val="24"/>
          <w:szCs w:val="24"/>
        </w:rPr>
        <w:t xml:space="preserve">It </w:t>
      </w:r>
      <w:r>
        <w:rPr>
          <w:rFonts w:ascii="Times New Roman" w:hAnsi="Times New Roman"/>
          <w:noProof/>
          <w:sz w:val="24"/>
          <w:szCs w:val="24"/>
        </w:rPr>
        <w:t>however e</w:t>
      </w:r>
      <w:r w:rsidR="00C77DBF">
        <w:rPr>
          <w:rFonts w:ascii="Times New Roman" w:hAnsi="Times New Roman"/>
          <w:noProof/>
          <w:sz w:val="24"/>
          <w:szCs w:val="24"/>
        </w:rPr>
        <w:t xml:space="preserve">merged from the </w:t>
      </w:r>
      <w:r w:rsidR="00DC4721">
        <w:rPr>
          <w:rFonts w:ascii="Times New Roman" w:hAnsi="Times New Roman"/>
          <w:noProof/>
          <w:sz w:val="24"/>
          <w:szCs w:val="24"/>
        </w:rPr>
        <w:t xml:space="preserve">evaluation </w:t>
      </w:r>
      <w:r w:rsidR="00C77DBF">
        <w:rPr>
          <w:rFonts w:ascii="Times New Roman" w:hAnsi="Times New Roman"/>
          <w:noProof/>
          <w:sz w:val="24"/>
          <w:szCs w:val="24"/>
        </w:rPr>
        <w:t>that t</w:t>
      </w:r>
      <w:r w:rsidR="003D7D20" w:rsidRPr="003D7D20">
        <w:rPr>
          <w:rFonts w:ascii="Times New Roman" w:hAnsi="Times New Roman"/>
          <w:noProof/>
          <w:sz w:val="24"/>
          <w:szCs w:val="24"/>
        </w:rPr>
        <w:t>he relocation of CEPOL from the U</w:t>
      </w:r>
      <w:r w:rsidR="00445DB7">
        <w:rPr>
          <w:rFonts w:ascii="Times New Roman" w:hAnsi="Times New Roman"/>
          <w:noProof/>
          <w:sz w:val="24"/>
          <w:szCs w:val="24"/>
        </w:rPr>
        <w:t>nited Kingdom</w:t>
      </w:r>
      <w:r w:rsidR="003D7D20" w:rsidRPr="003D7D20">
        <w:rPr>
          <w:rFonts w:ascii="Times New Roman" w:hAnsi="Times New Roman"/>
          <w:noProof/>
          <w:sz w:val="24"/>
          <w:szCs w:val="24"/>
        </w:rPr>
        <w:t xml:space="preserve"> to Hungary </w:t>
      </w:r>
      <w:r>
        <w:rPr>
          <w:rFonts w:ascii="Times New Roman" w:hAnsi="Times New Roman"/>
          <w:noProof/>
          <w:sz w:val="24"/>
          <w:szCs w:val="24"/>
        </w:rPr>
        <w:t xml:space="preserve">and the subsequent </w:t>
      </w:r>
      <w:r w:rsidRPr="003D7D20">
        <w:rPr>
          <w:rFonts w:ascii="Times New Roman" w:hAnsi="Times New Roman"/>
          <w:noProof/>
          <w:sz w:val="24"/>
          <w:szCs w:val="24"/>
        </w:rPr>
        <w:t xml:space="preserve">salary correction coefficient applied to Budapest </w:t>
      </w:r>
      <w:r>
        <w:rPr>
          <w:rFonts w:ascii="Times New Roman" w:hAnsi="Times New Roman"/>
          <w:noProof/>
          <w:sz w:val="24"/>
          <w:szCs w:val="24"/>
        </w:rPr>
        <w:t xml:space="preserve">seems to </w:t>
      </w:r>
      <w:r w:rsidRPr="003D7D20">
        <w:rPr>
          <w:rFonts w:ascii="Times New Roman" w:hAnsi="Times New Roman"/>
          <w:noProof/>
          <w:sz w:val="24"/>
          <w:szCs w:val="24"/>
        </w:rPr>
        <w:t>play a key factor in CEPOL’s difficulty in attracting and retaining staff</w:t>
      </w:r>
      <w:r>
        <w:rPr>
          <w:rFonts w:ascii="Times New Roman" w:hAnsi="Times New Roman"/>
          <w:noProof/>
          <w:sz w:val="24"/>
          <w:szCs w:val="24"/>
        </w:rPr>
        <w:t>. This is however not an isolated complaint among the decentralized Agencies. T</w:t>
      </w:r>
      <w:r w:rsidR="003D7D20" w:rsidRPr="003D7D20">
        <w:rPr>
          <w:rFonts w:ascii="Times New Roman" w:hAnsi="Times New Roman"/>
          <w:noProof/>
          <w:sz w:val="24"/>
          <w:szCs w:val="24"/>
        </w:rPr>
        <w:t>he turnover of staff has resulted in a shift in corporate culture and challenges in attracting appropriately qu</w:t>
      </w:r>
      <w:r w:rsidR="002C1726">
        <w:rPr>
          <w:rFonts w:ascii="Times New Roman" w:hAnsi="Times New Roman"/>
          <w:noProof/>
          <w:sz w:val="24"/>
          <w:szCs w:val="24"/>
        </w:rPr>
        <w:t>alified staff.</w:t>
      </w:r>
    </w:p>
    <w:p w14:paraId="685A8689" w14:textId="29DDC8EE" w:rsidR="00C13F66" w:rsidRDefault="003234FE" w:rsidP="00C13F66">
      <w:pPr>
        <w:pStyle w:val="Body"/>
        <w:rPr>
          <w:rFonts w:ascii="Times New Roman" w:hAnsi="Times New Roman"/>
          <w:noProof/>
          <w:sz w:val="24"/>
          <w:szCs w:val="24"/>
        </w:rPr>
      </w:pPr>
      <w:r w:rsidRPr="006F099D">
        <w:rPr>
          <w:rFonts w:ascii="Times New Roman" w:hAnsi="Times New Roman"/>
          <w:noProof/>
          <w:sz w:val="24"/>
          <w:szCs w:val="24"/>
        </w:rPr>
        <w:t xml:space="preserve">It </w:t>
      </w:r>
      <w:r w:rsidR="007D145C">
        <w:rPr>
          <w:rFonts w:ascii="Times New Roman" w:hAnsi="Times New Roman"/>
          <w:noProof/>
          <w:sz w:val="24"/>
          <w:szCs w:val="24"/>
        </w:rPr>
        <w:t>was confirmed</w:t>
      </w:r>
      <w:r w:rsidR="007D145C" w:rsidRPr="006F099D">
        <w:rPr>
          <w:rFonts w:ascii="Times New Roman" w:hAnsi="Times New Roman"/>
          <w:noProof/>
          <w:sz w:val="24"/>
          <w:szCs w:val="24"/>
        </w:rPr>
        <w:t xml:space="preserve"> </w:t>
      </w:r>
      <w:r w:rsidRPr="006F099D">
        <w:rPr>
          <w:rFonts w:ascii="Times New Roman" w:hAnsi="Times New Roman"/>
          <w:noProof/>
          <w:sz w:val="24"/>
          <w:szCs w:val="24"/>
        </w:rPr>
        <w:t>that</w:t>
      </w:r>
      <w:r w:rsidR="00C13F66" w:rsidRPr="006F099D">
        <w:rPr>
          <w:rFonts w:ascii="Times New Roman" w:hAnsi="Times New Roman"/>
          <w:noProof/>
          <w:sz w:val="24"/>
          <w:szCs w:val="24"/>
        </w:rPr>
        <w:t xml:space="preserve"> CEPOL’s objectives are </w:t>
      </w:r>
      <w:r w:rsidR="00C13F66" w:rsidRPr="00E141C3">
        <w:rPr>
          <w:rFonts w:ascii="Times New Roman" w:hAnsi="Times New Roman"/>
          <w:b/>
          <w:bCs/>
          <w:noProof/>
          <w:sz w:val="24"/>
          <w:szCs w:val="24"/>
        </w:rPr>
        <w:t>relevant</w:t>
      </w:r>
      <w:r w:rsidR="00C13F66" w:rsidRPr="006F099D">
        <w:rPr>
          <w:rFonts w:ascii="Times New Roman" w:hAnsi="Times New Roman"/>
          <w:noProof/>
          <w:sz w:val="24"/>
          <w:szCs w:val="24"/>
        </w:rPr>
        <w:t xml:space="preserve"> to the EU needs and challenges defined by key strategic documents and CEPOL’s training offer is relevant to the needs of EU Member States.</w:t>
      </w:r>
      <w:r w:rsidRPr="006F099D">
        <w:rPr>
          <w:rFonts w:ascii="Times New Roman" w:hAnsi="Times New Roman"/>
          <w:noProof/>
          <w:sz w:val="24"/>
          <w:szCs w:val="24"/>
        </w:rPr>
        <w:t xml:space="preserve"> </w:t>
      </w:r>
      <w:r w:rsidR="00C13F66" w:rsidRPr="00C13F66">
        <w:rPr>
          <w:rFonts w:ascii="Times New Roman" w:hAnsi="Times New Roman"/>
          <w:noProof/>
          <w:sz w:val="24"/>
          <w:szCs w:val="24"/>
        </w:rPr>
        <w:t xml:space="preserve">The </w:t>
      </w:r>
      <w:r w:rsidR="00DC4721">
        <w:rPr>
          <w:rFonts w:ascii="Times New Roman" w:hAnsi="Times New Roman"/>
          <w:noProof/>
          <w:sz w:val="24"/>
          <w:szCs w:val="24"/>
        </w:rPr>
        <w:t xml:space="preserve">evaluation showed </w:t>
      </w:r>
      <w:r w:rsidR="00C13F66" w:rsidRPr="00C13F66">
        <w:rPr>
          <w:rFonts w:ascii="Times New Roman" w:hAnsi="Times New Roman"/>
          <w:noProof/>
          <w:sz w:val="24"/>
          <w:szCs w:val="24"/>
        </w:rPr>
        <w:t>that CEPOL’s objectives respond to or are aligned to key elements included in the Stockholm Programme</w:t>
      </w:r>
      <w:r w:rsidR="00C13F66" w:rsidRPr="00C13F66">
        <w:rPr>
          <w:rStyle w:val="FootnoteReference"/>
          <w:rFonts w:ascii="Times New Roman" w:hAnsi="Times New Roman"/>
          <w:noProof/>
          <w:sz w:val="24"/>
          <w:szCs w:val="24"/>
        </w:rPr>
        <w:footnoteReference w:id="6"/>
      </w:r>
      <w:r w:rsidR="00C13F66" w:rsidRPr="00C13F66">
        <w:rPr>
          <w:rFonts w:ascii="Times New Roman" w:hAnsi="Times New Roman"/>
          <w:noProof/>
          <w:sz w:val="24"/>
          <w:szCs w:val="24"/>
        </w:rPr>
        <w:t>, the EU Agenda for Security</w:t>
      </w:r>
      <w:r w:rsidR="00C13F66" w:rsidRPr="00C13F66">
        <w:rPr>
          <w:rFonts w:ascii="Times New Roman" w:hAnsi="Times New Roman"/>
          <w:noProof/>
          <w:sz w:val="24"/>
          <w:szCs w:val="24"/>
          <w:vertAlign w:val="superscript"/>
        </w:rPr>
        <w:footnoteReference w:id="7"/>
      </w:r>
      <w:r w:rsidR="00C13F66" w:rsidRPr="00C13F66">
        <w:rPr>
          <w:rFonts w:ascii="Times New Roman" w:hAnsi="Times New Roman"/>
          <w:noProof/>
          <w:sz w:val="24"/>
          <w:szCs w:val="24"/>
        </w:rPr>
        <w:t xml:space="preserve"> and the European Law Enforcement Training Scheme</w:t>
      </w:r>
      <w:r w:rsidR="00C13F66" w:rsidRPr="00C13F66">
        <w:rPr>
          <w:rStyle w:val="FootnoteReference"/>
          <w:rFonts w:ascii="Times New Roman" w:hAnsi="Times New Roman"/>
          <w:noProof/>
          <w:sz w:val="24"/>
          <w:szCs w:val="24"/>
        </w:rPr>
        <w:footnoteReference w:id="8"/>
      </w:r>
      <w:r w:rsidR="00C13F66" w:rsidRPr="00C13F66">
        <w:rPr>
          <w:rFonts w:ascii="Times New Roman" w:hAnsi="Times New Roman"/>
          <w:noProof/>
          <w:sz w:val="24"/>
          <w:szCs w:val="24"/>
        </w:rPr>
        <w:t>. Training participants across the 27 EU Member States also indicated that over the 2015 to 2020 period</w:t>
      </w:r>
      <w:r w:rsidR="004E2EDD">
        <w:rPr>
          <w:rFonts w:ascii="Times New Roman" w:hAnsi="Times New Roman"/>
          <w:noProof/>
          <w:sz w:val="24"/>
          <w:szCs w:val="24"/>
        </w:rPr>
        <w:t>,</w:t>
      </w:r>
      <w:r w:rsidR="00C13F66" w:rsidRPr="00C13F66">
        <w:rPr>
          <w:rFonts w:ascii="Times New Roman" w:hAnsi="Times New Roman"/>
          <w:noProof/>
          <w:sz w:val="24"/>
          <w:szCs w:val="24"/>
        </w:rPr>
        <w:t xml:space="preserve"> CEPOL’s training offer adequately addressed the needs and expectations of their countries.</w:t>
      </w:r>
      <w:r>
        <w:rPr>
          <w:rFonts w:ascii="Times New Roman" w:hAnsi="Times New Roman"/>
          <w:noProof/>
          <w:sz w:val="24"/>
          <w:szCs w:val="24"/>
        </w:rPr>
        <w:t xml:space="preserve"> </w:t>
      </w:r>
      <w:r w:rsidR="00C13F66" w:rsidRPr="00C13F66">
        <w:rPr>
          <w:rFonts w:ascii="Times New Roman" w:hAnsi="Times New Roman"/>
          <w:noProof/>
          <w:sz w:val="24"/>
          <w:szCs w:val="24"/>
        </w:rPr>
        <w:t>The relevance of CEPOL’s objectives and training activities is attributed to: (1) the alignment of CEPOL’s Annual Work Programmes with the European Agenda on Security</w:t>
      </w:r>
      <w:r w:rsidR="00C13F66" w:rsidRPr="00C13F66">
        <w:rPr>
          <w:rStyle w:val="FootnoteReference"/>
          <w:rFonts w:ascii="Times New Roman" w:hAnsi="Times New Roman"/>
          <w:noProof/>
          <w:sz w:val="24"/>
          <w:szCs w:val="24"/>
        </w:rPr>
        <w:footnoteReference w:id="9"/>
      </w:r>
      <w:r w:rsidR="00C13F66" w:rsidRPr="00C13F66">
        <w:rPr>
          <w:rFonts w:ascii="Times New Roman" w:hAnsi="Times New Roman"/>
          <w:noProof/>
          <w:sz w:val="24"/>
          <w:szCs w:val="24"/>
        </w:rPr>
        <w:t xml:space="preserve"> (as mentioned above); (2) the introduction of the EU Strategic Training Need Assessment, which has allowed CEPOL to link training priorities to the needs of its target groups; and (3) the embedding of </w:t>
      </w:r>
      <w:r w:rsidR="004E2EDD">
        <w:rPr>
          <w:rFonts w:ascii="Times New Roman" w:hAnsi="Times New Roman"/>
          <w:noProof/>
          <w:sz w:val="24"/>
          <w:szCs w:val="24"/>
        </w:rPr>
        <w:t xml:space="preserve">the </w:t>
      </w:r>
      <w:r w:rsidR="004E2EDD" w:rsidRPr="004E2EDD">
        <w:rPr>
          <w:rFonts w:ascii="Times New Roman" w:hAnsi="Times New Roman"/>
          <w:noProof/>
          <w:sz w:val="24"/>
          <w:szCs w:val="24"/>
        </w:rPr>
        <w:t>European Multidisciplinary Platform Against Criminal Threats</w:t>
      </w:r>
      <w:r w:rsidR="004E2EDD">
        <w:rPr>
          <w:rFonts w:ascii="Times New Roman" w:hAnsi="Times New Roman"/>
          <w:noProof/>
          <w:sz w:val="24"/>
          <w:szCs w:val="24"/>
        </w:rPr>
        <w:t>’</w:t>
      </w:r>
      <w:r w:rsidR="004E2EDD" w:rsidRPr="004E2EDD">
        <w:rPr>
          <w:rFonts w:ascii="Times New Roman" w:hAnsi="Times New Roman"/>
          <w:noProof/>
          <w:sz w:val="24"/>
          <w:szCs w:val="24"/>
        </w:rPr>
        <w:t xml:space="preserve"> </w:t>
      </w:r>
      <w:r w:rsidR="00C13F66" w:rsidRPr="00C13F66">
        <w:rPr>
          <w:rFonts w:ascii="Times New Roman" w:hAnsi="Times New Roman"/>
          <w:noProof/>
          <w:sz w:val="24"/>
          <w:szCs w:val="24"/>
        </w:rPr>
        <w:t xml:space="preserve">priorities into its residential </w:t>
      </w:r>
      <w:r>
        <w:rPr>
          <w:rFonts w:ascii="Times New Roman" w:hAnsi="Times New Roman"/>
          <w:noProof/>
          <w:sz w:val="24"/>
          <w:szCs w:val="24"/>
        </w:rPr>
        <w:t>and online training activities.</w:t>
      </w:r>
      <w:r w:rsidR="005027F9">
        <w:rPr>
          <w:rFonts w:ascii="Times New Roman" w:hAnsi="Times New Roman"/>
          <w:noProof/>
          <w:sz w:val="24"/>
          <w:szCs w:val="24"/>
        </w:rPr>
        <w:t xml:space="preserve"> </w:t>
      </w:r>
      <w:r w:rsidR="005027F9" w:rsidRPr="005027F9">
        <w:rPr>
          <w:rFonts w:ascii="Times New Roman" w:hAnsi="Times New Roman"/>
          <w:noProof/>
          <w:sz w:val="24"/>
          <w:szCs w:val="24"/>
        </w:rPr>
        <w:t>Furthermore, CEPOL activities are widely recognised for building trust and facilitating the development of cooperation among law enforcement services.</w:t>
      </w:r>
      <w:r w:rsidR="00C60B32">
        <w:rPr>
          <w:rFonts w:ascii="Times New Roman" w:hAnsi="Times New Roman"/>
          <w:noProof/>
          <w:sz w:val="24"/>
          <w:szCs w:val="24"/>
        </w:rPr>
        <w:t xml:space="preserve"> </w:t>
      </w:r>
      <w:r w:rsidR="007D145C">
        <w:rPr>
          <w:rFonts w:ascii="Times New Roman" w:hAnsi="Times New Roman"/>
          <w:noProof/>
          <w:sz w:val="24"/>
          <w:szCs w:val="24"/>
        </w:rPr>
        <w:t>Indeed</w:t>
      </w:r>
      <w:r w:rsidR="00C60B32">
        <w:rPr>
          <w:rFonts w:ascii="Times New Roman" w:hAnsi="Times New Roman"/>
          <w:noProof/>
          <w:sz w:val="24"/>
          <w:szCs w:val="24"/>
        </w:rPr>
        <w:t>, t</w:t>
      </w:r>
      <w:r w:rsidR="00C60B32" w:rsidRPr="00C60B32">
        <w:rPr>
          <w:rFonts w:ascii="Times New Roman" w:hAnsi="Times New Roman"/>
          <w:noProof/>
          <w:sz w:val="24"/>
          <w:szCs w:val="24"/>
        </w:rPr>
        <w:t xml:space="preserve">he introduction of </w:t>
      </w:r>
      <w:r w:rsidR="004E2EDD" w:rsidRPr="00C13F66">
        <w:rPr>
          <w:rFonts w:ascii="Times New Roman" w:hAnsi="Times New Roman"/>
          <w:noProof/>
          <w:sz w:val="24"/>
          <w:szCs w:val="24"/>
        </w:rPr>
        <w:t>EU Strategic Training Need Assessment</w:t>
      </w:r>
      <w:r w:rsidR="00C60B32" w:rsidRPr="00C60B32">
        <w:rPr>
          <w:rFonts w:ascii="Times New Roman" w:hAnsi="Times New Roman"/>
          <w:noProof/>
          <w:sz w:val="24"/>
          <w:szCs w:val="24"/>
        </w:rPr>
        <w:t xml:space="preserve"> and O</w:t>
      </w:r>
      <w:r w:rsidR="00C91D93">
        <w:rPr>
          <w:rFonts w:ascii="Times New Roman" w:hAnsi="Times New Roman"/>
          <w:noProof/>
          <w:sz w:val="24"/>
          <w:szCs w:val="24"/>
        </w:rPr>
        <w:t xml:space="preserve">perational </w:t>
      </w:r>
      <w:r w:rsidR="00C60B32" w:rsidRPr="00C60B32">
        <w:rPr>
          <w:rFonts w:ascii="Times New Roman" w:hAnsi="Times New Roman"/>
          <w:noProof/>
          <w:sz w:val="24"/>
          <w:szCs w:val="24"/>
        </w:rPr>
        <w:t>T</w:t>
      </w:r>
      <w:r w:rsidR="00C91D93">
        <w:rPr>
          <w:rFonts w:ascii="Times New Roman" w:hAnsi="Times New Roman"/>
          <w:noProof/>
          <w:sz w:val="24"/>
          <w:szCs w:val="24"/>
        </w:rPr>
        <w:t xml:space="preserve">raining </w:t>
      </w:r>
      <w:r w:rsidR="00C60B32" w:rsidRPr="00C60B32">
        <w:rPr>
          <w:rFonts w:ascii="Times New Roman" w:hAnsi="Times New Roman"/>
          <w:noProof/>
          <w:sz w:val="24"/>
          <w:szCs w:val="24"/>
        </w:rPr>
        <w:t>N</w:t>
      </w:r>
      <w:r w:rsidR="00C91D93">
        <w:rPr>
          <w:rFonts w:ascii="Times New Roman" w:hAnsi="Times New Roman"/>
          <w:noProof/>
          <w:sz w:val="24"/>
          <w:szCs w:val="24"/>
        </w:rPr>
        <w:t xml:space="preserve">eed </w:t>
      </w:r>
      <w:r w:rsidR="00C60B32" w:rsidRPr="00C60B32">
        <w:rPr>
          <w:rFonts w:ascii="Times New Roman" w:hAnsi="Times New Roman"/>
          <w:noProof/>
          <w:sz w:val="24"/>
          <w:szCs w:val="24"/>
        </w:rPr>
        <w:t>A</w:t>
      </w:r>
      <w:r w:rsidR="00C91D93">
        <w:rPr>
          <w:rFonts w:ascii="Times New Roman" w:hAnsi="Times New Roman"/>
          <w:noProof/>
          <w:sz w:val="24"/>
          <w:szCs w:val="24"/>
        </w:rPr>
        <w:t>ssessments</w:t>
      </w:r>
      <w:r w:rsidR="00C60B32" w:rsidRPr="00C60B32">
        <w:rPr>
          <w:rFonts w:ascii="Times New Roman" w:hAnsi="Times New Roman"/>
          <w:noProof/>
          <w:sz w:val="24"/>
          <w:szCs w:val="24"/>
        </w:rPr>
        <w:t xml:space="preserve"> was an important step forward in ensuring a stronger alignment of training topics and activities to stakeholders’ needs.</w:t>
      </w:r>
      <w:r w:rsidR="003D7D20">
        <w:rPr>
          <w:rFonts w:ascii="Times New Roman" w:hAnsi="Times New Roman"/>
          <w:noProof/>
          <w:sz w:val="24"/>
          <w:szCs w:val="24"/>
        </w:rPr>
        <w:t xml:space="preserve"> </w:t>
      </w:r>
      <w:r w:rsidR="007D145C">
        <w:rPr>
          <w:rFonts w:ascii="Times New Roman" w:hAnsi="Times New Roman"/>
          <w:noProof/>
          <w:sz w:val="24"/>
          <w:szCs w:val="24"/>
        </w:rPr>
        <w:t>Nevertheless, t</w:t>
      </w:r>
      <w:r w:rsidR="003D7D20" w:rsidRPr="003D7D20">
        <w:rPr>
          <w:rFonts w:ascii="Times New Roman" w:hAnsi="Times New Roman"/>
          <w:noProof/>
          <w:sz w:val="24"/>
          <w:szCs w:val="24"/>
        </w:rPr>
        <w:t>here were mixed findings in relation to CEPOL’s ability to adapt its training offer to scientific, technological and socio-political developments.</w:t>
      </w:r>
    </w:p>
    <w:p w14:paraId="3C721273" w14:textId="59D1038C" w:rsidR="008B0D6C" w:rsidRPr="0032198E" w:rsidRDefault="008B0D6C" w:rsidP="00C13F66">
      <w:pPr>
        <w:pStyle w:val="Body"/>
        <w:rPr>
          <w:noProof/>
        </w:rPr>
      </w:pPr>
      <w:r w:rsidRPr="006F099D">
        <w:rPr>
          <w:rFonts w:ascii="Times New Roman" w:hAnsi="Times New Roman"/>
          <w:noProof/>
          <w:sz w:val="24"/>
          <w:szCs w:val="24"/>
        </w:rPr>
        <w:t xml:space="preserve">CEPOL’s remit and activities appear to be </w:t>
      </w:r>
      <w:r w:rsidRPr="00083D49">
        <w:rPr>
          <w:rFonts w:ascii="Times New Roman" w:hAnsi="Times New Roman"/>
          <w:b/>
          <w:bCs/>
          <w:noProof/>
          <w:sz w:val="24"/>
          <w:szCs w:val="24"/>
        </w:rPr>
        <w:t>coherent</w:t>
      </w:r>
      <w:r w:rsidRPr="006F099D">
        <w:rPr>
          <w:rFonts w:ascii="Times New Roman" w:hAnsi="Times New Roman"/>
          <w:noProof/>
          <w:sz w:val="24"/>
          <w:szCs w:val="24"/>
        </w:rPr>
        <w:t xml:space="preserve"> with and complementary to other relevant actors at the EU level. </w:t>
      </w:r>
      <w:r>
        <w:rPr>
          <w:rFonts w:ascii="Times New Roman" w:hAnsi="Times New Roman"/>
          <w:noProof/>
          <w:sz w:val="24"/>
          <w:szCs w:val="24"/>
        </w:rPr>
        <w:t>S</w:t>
      </w:r>
      <w:r w:rsidRPr="00C13F66">
        <w:rPr>
          <w:rFonts w:ascii="Times New Roman" w:hAnsi="Times New Roman"/>
          <w:noProof/>
          <w:sz w:val="24"/>
          <w:szCs w:val="24"/>
        </w:rPr>
        <w:t xml:space="preserve">takeholders </w:t>
      </w:r>
      <w:r>
        <w:rPr>
          <w:rFonts w:ascii="Times New Roman" w:hAnsi="Times New Roman"/>
          <w:noProof/>
          <w:sz w:val="24"/>
          <w:szCs w:val="24"/>
        </w:rPr>
        <w:t xml:space="preserve">from other Justice and Home Affairs Agencies </w:t>
      </w:r>
      <w:r w:rsidRPr="00C13F66">
        <w:rPr>
          <w:rFonts w:ascii="Times New Roman" w:hAnsi="Times New Roman"/>
          <w:noProof/>
          <w:sz w:val="24"/>
          <w:szCs w:val="24"/>
        </w:rPr>
        <w:t xml:space="preserve">were generally positive about their relationship with CEPOL. </w:t>
      </w:r>
      <w:r>
        <w:rPr>
          <w:rFonts w:ascii="Times New Roman" w:hAnsi="Times New Roman"/>
          <w:noProof/>
          <w:sz w:val="24"/>
          <w:szCs w:val="24"/>
        </w:rPr>
        <w:t>Yet, t</w:t>
      </w:r>
      <w:r w:rsidRPr="00C13F66">
        <w:rPr>
          <w:rFonts w:ascii="Times New Roman" w:hAnsi="Times New Roman"/>
          <w:noProof/>
          <w:sz w:val="24"/>
          <w:szCs w:val="24"/>
        </w:rPr>
        <w:t xml:space="preserve">he extent of coordination is ad hoc, varies by Agency and </w:t>
      </w:r>
      <w:r w:rsidR="005A0BA7">
        <w:rPr>
          <w:rFonts w:ascii="Times New Roman" w:hAnsi="Times New Roman"/>
          <w:noProof/>
          <w:sz w:val="24"/>
          <w:szCs w:val="24"/>
        </w:rPr>
        <w:t xml:space="preserve">by </w:t>
      </w:r>
      <w:r w:rsidRPr="00C13F66">
        <w:rPr>
          <w:rFonts w:ascii="Times New Roman" w:hAnsi="Times New Roman"/>
          <w:noProof/>
          <w:sz w:val="24"/>
          <w:szCs w:val="24"/>
        </w:rPr>
        <w:t xml:space="preserve">CEPOL’s </w:t>
      </w:r>
      <w:r>
        <w:rPr>
          <w:rFonts w:ascii="Times New Roman" w:hAnsi="Times New Roman"/>
          <w:noProof/>
          <w:sz w:val="24"/>
          <w:szCs w:val="24"/>
        </w:rPr>
        <w:t xml:space="preserve">level of </w:t>
      </w:r>
      <w:r w:rsidRPr="00C13F66">
        <w:rPr>
          <w:rFonts w:ascii="Times New Roman" w:hAnsi="Times New Roman"/>
          <w:noProof/>
          <w:sz w:val="24"/>
          <w:szCs w:val="24"/>
        </w:rPr>
        <w:t>engagement with JHA agencies and EU institutions</w:t>
      </w:r>
      <w:r>
        <w:rPr>
          <w:rFonts w:ascii="Times New Roman" w:hAnsi="Times New Roman"/>
          <w:noProof/>
          <w:sz w:val="24"/>
          <w:szCs w:val="24"/>
        </w:rPr>
        <w:t>. This means that</w:t>
      </w:r>
      <w:r w:rsidRPr="00C13F66">
        <w:rPr>
          <w:rFonts w:ascii="Times New Roman" w:hAnsi="Times New Roman"/>
          <w:noProof/>
          <w:sz w:val="24"/>
          <w:szCs w:val="24"/>
        </w:rPr>
        <w:t xml:space="preserve"> </w:t>
      </w:r>
      <w:r>
        <w:rPr>
          <w:rFonts w:ascii="Times New Roman" w:hAnsi="Times New Roman"/>
          <w:noProof/>
          <w:sz w:val="24"/>
          <w:szCs w:val="24"/>
        </w:rPr>
        <w:t xml:space="preserve">there is some room for improvement; </w:t>
      </w:r>
      <w:r w:rsidRPr="00C13F66">
        <w:rPr>
          <w:rFonts w:ascii="Times New Roman" w:hAnsi="Times New Roman"/>
          <w:noProof/>
          <w:sz w:val="24"/>
          <w:szCs w:val="24"/>
        </w:rPr>
        <w:t xml:space="preserve">CEPOL could </w:t>
      </w:r>
      <w:r w:rsidR="00820D62">
        <w:rPr>
          <w:rFonts w:ascii="Times New Roman" w:hAnsi="Times New Roman"/>
          <w:noProof/>
          <w:sz w:val="24"/>
          <w:szCs w:val="24"/>
        </w:rPr>
        <w:t xml:space="preserve">therefore </w:t>
      </w:r>
      <w:r w:rsidRPr="00C13F66">
        <w:rPr>
          <w:rFonts w:ascii="Times New Roman" w:hAnsi="Times New Roman"/>
          <w:noProof/>
          <w:sz w:val="24"/>
          <w:szCs w:val="24"/>
        </w:rPr>
        <w:t>adapt its working approach to maximise potential synergies. The JHA Training Matrix</w:t>
      </w:r>
      <w:r>
        <w:rPr>
          <w:rFonts w:ascii="Times New Roman" w:hAnsi="Times New Roman"/>
          <w:noProof/>
          <w:sz w:val="24"/>
          <w:szCs w:val="24"/>
        </w:rPr>
        <w:t xml:space="preserve">, a spreadsheet which Agencies were expected to feed manually, </w:t>
      </w:r>
      <w:r w:rsidRPr="00C13F66">
        <w:rPr>
          <w:rFonts w:ascii="Times New Roman" w:hAnsi="Times New Roman"/>
          <w:noProof/>
          <w:sz w:val="24"/>
          <w:szCs w:val="24"/>
        </w:rPr>
        <w:t>intended to ensure structured coordination</w:t>
      </w:r>
      <w:r>
        <w:rPr>
          <w:rFonts w:ascii="Times New Roman" w:hAnsi="Times New Roman"/>
          <w:noProof/>
          <w:sz w:val="24"/>
          <w:szCs w:val="24"/>
        </w:rPr>
        <w:t>,</w:t>
      </w:r>
      <w:r w:rsidRPr="00C13F66">
        <w:rPr>
          <w:rFonts w:ascii="Times New Roman" w:hAnsi="Times New Roman"/>
          <w:noProof/>
          <w:sz w:val="24"/>
          <w:szCs w:val="24"/>
        </w:rPr>
        <w:t xml:space="preserve"> was </w:t>
      </w:r>
      <w:r w:rsidR="005A0BA7">
        <w:rPr>
          <w:rFonts w:ascii="Times New Roman" w:hAnsi="Times New Roman"/>
          <w:noProof/>
          <w:sz w:val="24"/>
          <w:szCs w:val="24"/>
        </w:rPr>
        <w:t>abandoned</w:t>
      </w:r>
      <w:r w:rsidRPr="00C13F66">
        <w:rPr>
          <w:rFonts w:ascii="Times New Roman" w:hAnsi="Times New Roman"/>
          <w:noProof/>
          <w:sz w:val="24"/>
          <w:szCs w:val="24"/>
        </w:rPr>
        <w:t xml:space="preserve"> in 2019</w:t>
      </w:r>
      <w:r>
        <w:rPr>
          <w:rFonts w:ascii="Times New Roman" w:hAnsi="Times New Roman"/>
          <w:noProof/>
          <w:sz w:val="24"/>
          <w:szCs w:val="24"/>
        </w:rPr>
        <w:t xml:space="preserve"> due to reasons mainly linked to</w:t>
      </w:r>
      <w:r w:rsidRPr="00C13F66">
        <w:rPr>
          <w:rFonts w:ascii="Times New Roman" w:hAnsi="Times New Roman"/>
          <w:noProof/>
          <w:sz w:val="24"/>
          <w:szCs w:val="24"/>
        </w:rPr>
        <w:t xml:space="preserve"> </w:t>
      </w:r>
      <w:r>
        <w:rPr>
          <w:rFonts w:ascii="Times New Roman" w:hAnsi="Times New Roman"/>
          <w:noProof/>
          <w:sz w:val="24"/>
          <w:szCs w:val="24"/>
        </w:rPr>
        <w:t xml:space="preserve">a </w:t>
      </w:r>
      <w:r w:rsidRPr="00C13F66">
        <w:rPr>
          <w:rFonts w:ascii="Times New Roman" w:hAnsi="Times New Roman"/>
          <w:noProof/>
          <w:sz w:val="24"/>
          <w:szCs w:val="24"/>
        </w:rPr>
        <w:t>lack of awareness</w:t>
      </w:r>
      <w:r>
        <w:rPr>
          <w:rFonts w:ascii="Times New Roman" w:hAnsi="Times New Roman"/>
          <w:noProof/>
          <w:sz w:val="24"/>
          <w:szCs w:val="24"/>
        </w:rPr>
        <w:t xml:space="preserve"> and engagement</w:t>
      </w:r>
      <w:r w:rsidRPr="00C13F66">
        <w:rPr>
          <w:rFonts w:ascii="Times New Roman" w:hAnsi="Times New Roman"/>
          <w:noProof/>
          <w:sz w:val="24"/>
          <w:szCs w:val="24"/>
        </w:rPr>
        <w:t xml:space="preserve"> of the tool among JHA agencies</w:t>
      </w:r>
      <w:r>
        <w:rPr>
          <w:rFonts w:ascii="Times New Roman" w:hAnsi="Times New Roman"/>
          <w:noProof/>
          <w:sz w:val="24"/>
          <w:szCs w:val="24"/>
        </w:rPr>
        <w:t>.</w:t>
      </w:r>
      <w:r w:rsidRPr="00C13F66">
        <w:rPr>
          <w:rFonts w:ascii="Times New Roman" w:hAnsi="Times New Roman"/>
          <w:noProof/>
          <w:sz w:val="24"/>
          <w:szCs w:val="24"/>
        </w:rPr>
        <w:t xml:space="preserve"> </w:t>
      </w:r>
      <w:r>
        <w:rPr>
          <w:rFonts w:ascii="Times New Roman" w:hAnsi="Times New Roman"/>
          <w:noProof/>
          <w:sz w:val="24"/>
          <w:szCs w:val="24"/>
        </w:rPr>
        <w:t>However, n</w:t>
      </w:r>
      <w:r w:rsidRPr="00C13F66">
        <w:rPr>
          <w:rFonts w:ascii="Times New Roman" w:hAnsi="Times New Roman"/>
          <w:noProof/>
          <w:sz w:val="24"/>
          <w:szCs w:val="24"/>
        </w:rPr>
        <w:t>o structured methodology has replaced the JHA Training Matrix; instead, CEPOL undertakes coordination through a peer-to-peer approach</w:t>
      </w:r>
      <w:r>
        <w:rPr>
          <w:rFonts w:ascii="Times New Roman" w:hAnsi="Times New Roman"/>
          <w:noProof/>
          <w:sz w:val="24"/>
          <w:szCs w:val="24"/>
        </w:rPr>
        <w:t xml:space="preserve">, notably through interaction in meetings of the Network of the Justice and Home Affairs </w:t>
      </w:r>
      <w:r w:rsidRPr="00D91DBD">
        <w:rPr>
          <w:rFonts w:ascii="Times New Roman" w:hAnsi="Times New Roman"/>
          <w:noProof/>
          <w:sz w:val="24"/>
          <w:szCs w:val="24"/>
        </w:rPr>
        <w:t>Agencies</w:t>
      </w:r>
      <w:r w:rsidRPr="005E6F58">
        <w:rPr>
          <w:rStyle w:val="FootnoteReference"/>
          <w:rFonts w:ascii="Times New Roman" w:hAnsi="Times New Roman"/>
          <w:noProof/>
          <w:sz w:val="20"/>
          <w:szCs w:val="24"/>
        </w:rPr>
        <w:footnoteReference w:id="10"/>
      </w:r>
      <w:r>
        <w:rPr>
          <w:rFonts w:ascii="Times New Roman" w:hAnsi="Times New Roman"/>
          <w:noProof/>
          <w:sz w:val="24"/>
          <w:szCs w:val="24"/>
        </w:rPr>
        <w:t xml:space="preserve"> and/or involvement in specific projects, which does not guarantee the achievement of full synergies.</w:t>
      </w:r>
    </w:p>
    <w:p w14:paraId="73E82423" w14:textId="3EBF041A" w:rsidR="003234FE" w:rsidRDefault="003234FE" w:rsidP="003234FE">
      <w:pPr>
        <w:pStyle w:val="Body"/>
        <w:rPr>
          <w:rFonts w:ascii="Times New Roman" w:hAnsi="Times New Roman"/>
          <w:noProof/>
          <w:sz w:val="24"/>
          <w:szCs w:val="24"/>
        </w:rPr>
      </w:pPr>
      <w:r>
        <w:rPr>
          <w:rFonts w:ascii="Times New Roman" w:hAnsi="Times New Roman"/>
          <w:noProof/>
          <w:sz w:val="24"/>
          <w:szCs w:val="24"/>
        </w:rPr>
        <w:t xml:space="preserve">The evaluation </w:t>
      </w:r>
      <w:r w:rsidR="00DC4721">
        <w:rPr>
          <w:rFonts w:ascii="Times New Roman" w:hAnsi="Times New Roman"/>
          <w:noProof/>
          <w:sz w:val="24"/>
          <w:szCs w:val="24"/>
        </w:rPr>
        <w:t>concluded</w:t>
      </w:r>
      <w:r w:rsidR="00DC4721" w:rsidRPr="003234FE">
        <w:rPr>
          <w:rFonts w:ascii="Times New Roman" w:hAnsi="Times New Roman"/>
          <w:noProof/>
          <w:sz w:val="24"/>
          <w:szCs w:val="24"/>
        </w:rPr>
        <w:t xml:space="preserve"> </w:t>
      </w:r>
      <w:r w:rsidRPr="003234FE">
        <w:rPr>
          <w:rFonts w:ascii="Times New Roman" w:hAnsi="Times New Roman"/>
          <w:noProof/>
          <w:sz w:val="24"/>
          <w:szCs w:val="24"/>
        </w:rPr>
        <w:t>that</w:t>
      </w:r>
      <w:r w:rsidR="008E3B19">
        <w:rPr>
          <w:rFonts w:ascii="Times New Roman" w:hAnsi="Times New Roman"/>
          <w:noProof/>
          <w:sz w:val="24"/>
          <w:szCs w:val="24"/>
        </w:rPr>
        <w:t>,</w:t>
      </w:r>
      <w:r w:rsidRPr="003234FE">
        <w:rPr>
          <w:rFonts w:ascii="Times New Roman" w:hAnsi="Times New Roman"/>
          <w:noProof/>
          <w:sz w:val="24"/>
          <w:szCs w:val="24"/>
        </w:rPr>
        <w:t xml:space="preserve"> </w:t>
      </w:r>
      <w:r w:rsidR="008E3B19">
        <w:rPr>
          <w:rFonts w:ascii="Times New Roman" w:hAnsi="Times New Roman"/>
          <w:noProof/>
          <w:sz w:val="24"/>
          <w:szCs w:val="24"/>
        </w:rPr>
        <w:t>r</w:t>
      </w:r>
      <w:r w:rsidR="00397C71">
        <w:rPr>
          <w:rFonts w:ascii="Times New Roman" w:hAnsi="Times New Roman"/>
          <w:noProof/>
          <w:sz w:val="24"/>
          <w:szCs w:val="24"/>
        </w:rPr>
        <w:t xml:space="preserve">egarding the </w:t>
      </w:r>
      <w:r w:rsidR="00397C71" w:rsidRPr="001B583A">
        <w:rPr>
          <w:rFonts w:ascii="Times New Roman" w:hAnsi="Times New Roman"/>
          <w:b/>
          <w:noProof/>
          <w:sz w:val="24"/>
          <w:szCs w:val="24"/>
        </w:rPr>
        <w:t>EU added value</w:t>
      </w:r>
      <w:r w:rsidR="00397C71">
        <w:rPr>
          <w:rFonts w:ascii="Times New Roman" w:hAnsi="Times New Roman"/>
          <w:noProof/>
          <w:sz w:val="24"/>
          <w:szCs w:val="24"/>
        </w:rPr>
        <w:t xml:space="preserve">, </w:t>
      </w:r>
      <w:r w:rsidR="00CE0F32">
        <w:rPr>
          <w:rFonts w:ascii="Times New Roman" w:hAnsi="Times New Roman"/>
          <w:noProof/>
          <w:sz w:val="24"/>
          <w:szCs w:val="24"/>
        </w:rPr>
        <w:t>a</w:t>
      </w:r>
      <w:r w:rsidR="00CE0F32" w:rsidRPr="00CE0F32">
        <w:rPr>
          <w:rFonts w:ascii="Times New Roman" w:hAnsi="Times New Roman"/>
          <w:noProof/>
          <w:sz w:val="24"/>
          <w:szCs w:val="24"/>
        </w:rPr>
        <w:t>ll consulted stakeholder groups were of the view that CEPOL indeed provides added value with regard to training on specific crime areas compared to what is offered at the national level.</w:t>
      </w:r>
      <w:r w:rsidR="00CE0F32">
        <w:rPr>
          <w:rFonts w:ascii="Times New Roman" w:hAnsi="Times New Roman"/>
          <w:noProof/>
          <w:sz w:val="24"/>
          <w:szCs w:val="24"/>
        </w:rPr>
        <w:t xml:space="preserve"> </w:t>
      </w:r>
      <w:r w:rsidRPr="003234FE">
        <w:rPr>
          <w:rFonts w:ascii="Times New Roman" w:hAnsi="Times New Roman"/>
          <w:noProof/>
          <w:sz w:val="24"/>
          <w:szCs w:val="24"/>
        </w:rPr>
        <w:t xml:space="preserve">CEPOL’s objectives and tasks helped to improve the ability of Member States to train their law enforcement officials compared to what they could have done at the national level. Some </w:t>
      </w:r>
      <w:r w:rsidR="00DC4721">
        <w:rPr>
          <w:rFonts w:ascii="Times New Roman" w:hAnsi="Times New Roman"/>
          <w:noProof/>
          <w:sz w:val="24"/>
          <w:szCs w:val="24"/>
        </w:rPr>
        <w:t xml:space="preserve">consulted officials </w:t>
      </w:r>
      <w:r w:rsidRPr="003234FE">
        <w:rPr>
          <w:rFonts w:ascii="Times New Roman" w:hAnsi="Times New Roman"/>
          <w:noProof/>
          <w:sz w:val="24"/>
          <w:szCs w:val="24"/>
        </w:rPr>
        <w:t xml:space="preserve">stated that CEPOL usefully offered training on EU-level instruments and tools and provided insights into the EU dimension of cross-border </w:t>
      </w:r>
      <w:r w:rsidR="000C5F05">
        <w:rPr>
          <w:rFonts w:ascii="Times New Roman" w:hAnsi="Times New Roman"/>
          <w:noProof/>
          <w:sz w:val="24"/>
          <w:szCs w:val="24"/>
        </w:rPr>
        <w:t>tools</w:t>
      </w:r>
      <w:r w:rsidRPr="003234FE">
        <w:rPr>
          <w:rFonts w:ascii="Times New Roman" w:hAnsi="Times New Roman"/>
          <w:noProof/>
          <w:sz w:val="24"/>
          <w:szCs w:val="24"/>
        </w:rPr>
        <w:t>,</w:t>
      </w:r>
      <w:r w:rsidR="004F0E6D">
        <w:rPr>
          <w:rFonts w:ascii="Times New Roman" w:hAnsi="Times New Roman"/>
          <w:noProof/>
          <w:sz w:val="24"/>
          <w:szCs w:val="24"/>
        </w:rPr>
        <w:t xml:space="preserve"> such as cross-border exchange of electronic evidence and international law enforcement cooperation,</w:t>
      </w:r>
      <w:r w:rsidRPr="003234FE">
        <w:rPr>
          <w:rFonts w:ascii="Times New Roman" w:hAnsi="Times New Roman"/>
          <w:noProof/>
          <w:sz w:val="24"/>
          <w:szCs w:val="24"/>
        </w:rPr>
        <w:t xml:space="preserve"> which were seldom covered in national training. As a by-product of that training, CEPOL’s activities are widely recognised for building trust and facilitating the development of cooperation among law enforcement services. The majority of consulted stakeholders agree</w:t>
      </w:r>
      <w:r w:rsidR="00BF3753">
        <w:rPr>
          <w:rFonts w:ascii="Times New Roman" w:hAnsi="Times New Roman"/>
          <w:noProof/>
          <w:sz w:val="24"/>
          <w:szCs w:val="24"/>
        </w:rPr>
        <w:t>d</w:t>
      </w:r>
      <w:r w:rsidRPr="003234FE">
        <w:rPr>
          <w:rFonts w:ascii="Times New Roman" w:hAnsi="Times New Roman"/>
          <w:noProof/>
          <w:sz w:val="24"/>
          <w:szCs w:val="24"/>
        </w:rPr>
        <w:t xml:space="preserve"> that CEPOL</w:t>
      </w:r>
      <w:r w:rsidR="00871195">
        <w:rPr>
          <w:rFonts w:ascii="Times New Roman" w:hAnsi="Times New Roman"/>
          <w:noProof/>
          <w:sz w:val="24"/>
          <w:szCs w:val="24"/>
        </w:rPr>
        <w:t>’s</w:t>
      </w:r>
      <w:r w:rsidRPr="003234FE">
        <w:rPr>
          <w:rFonts w:ascii="Times New Roman" w:hAnsi="Times New Roman"/>
          <w:noProof/>
          <w:sz w:val="24"/>
          <w:szCs w:val="24"/>
        </w:rPr>
        <w:t xml:space="preserve"> activities as a whole contribute to an increase in mutual trust among law enforcement organisations. Moreover, stakeholders confirm</w:t>
      </w:r>
      <w:r w:rsidR="00D84705">
        <w:rPr>
          <w:rFonts w:ascii="Times New Roman" w:hAnsi="Times New Roman"/>
          <w:noProof/>
          <w:sz w:val="24"/>
          <w:szCs w:val="24"/>
        </w:rPr>
        <w:t>ed</w:t>
      </w:r>
      <w:r w:rsidRPr="003234FE">
        <w:rPr>
          <w:rFonts w:ascii="Times New Roman" w:hAnsi="Times New Roman"/>
          <w:noProof/>
          <w:sz w:val="24"/>
          <w:szCs w:val="24"/>
        </w:rPr>
        <w:t xml:space="preserve"> that CEPOL’s activities have facilitated an increase in the number of opportunities for cooperation and in the quality of cooperation between national law enforcement services at EU level as well as, to a smaller extent, on a bilateral and regional basis. The majority of training participants agree that CEPOL’s training activities provide concrete opportunities to establish networking with their European counterparts and that CEPOL adds unique value to develop cooperation that would not have otherwise been achieved through national means. This outcome is particularly attributed to CEPOL’s exchange program</w:t>
      </w:r>
      <w:r>
        <w:rPr>
          <w:rFonts w:ascii="Times New Roman" w:hAnsi="Times New Roman"/>
          <w:noProof/>
          <w:sz w:val="24"/>
          <w:szCs w:val="24"/>
        </w:rPr>
        <w:t>me and residential activities.</w:t>
      </w:r>
      <w:r w:rsidR="003D7D20">
        <w:rPr>
          <w:rFonts w:ascii="Times New Roman" w:hAnsi="Times New Roman"/>
          <w:noProof/>
          <w:sz w:val="24"/>
          <w:szCs w:val="24"/>
        </w:rPr>
        <w:t xml:space="preserve"> </w:t>
      </w:r>
      <w:r w:rsidR="003D7D20" w:rsidRPr="003D7D20">
        <w:rPr>
          <w:rFonts w:ascii="Times New Roman" w:hAnsi="Times New Roman"/>
          <w:noProof/>
          <w:sz w:val="24"/>
          <w:szCs w:val="24"/>
        </w:rPr>
        <w:t xml:space="preserve">The evaluation found that CEPOL’s work in third countries is highly valued by informed stakeholders, though some within CEPOL’s governance </w:t>
      </w:r>
      <w:r w:rsidR="00BF3753">
        <w:rPr>
          <w:rFonts w:ascii="Times New Roman" w:hAnsi="Times New Roman"/>
          <w:noProof/>
          <w:sz w:val="24"/>
          <w:szCs w:val="24"/>
        </w:rPr>
        <w:t>are not aware</w:t>
      </w:r>
      <w:r w:rsidR="003D7D20" w:rsidRPr="003D7D20">
        <w:rPr>
          <w:rFonts w:ascii="Times New Roman" w:hAnsi="Times New Roman"/>
          <w:noProof/>
          <w:sz w:val="24"/>
          <w:szCs w:val="24"/>
        </w:rPr>
        <w:t xml:space="preserve"> of these activities. In pursuit of its mandate, CEPOL extended its support to the EU external policy by developing the law enforcement capacity in partner countries in the EU neighbourhood. CEPOL capacity building projects in third countries effectively contribute towards improving the stability in the EU neighbourhood and in building trust with neighbouring countries. Although training in third countries is a crowded market, CEPOL is praised for its commitment to provide training responding to the needs of partner third countries. As per mandate, CEPOL manages dedicated Union External Assistance funds to fulfil its objectives in third countries.</w:t>
      </w:r>
    </w:p>
    <w:p w14:paraId="46CAF3DF" w14:textId="2C4D9A27" w:rsidR="00FF306D" w:rsidRDefault="00FF306D" w:rsidP="00C4283F">
      <w:pPr>
        <w:pStyle w:val="Heading1"/>
        <w:numPr>
          <w:ilvl w:val="0"/>
          <w:numId w:val="3"/>
        </w:numPr>
        <w:spacing w:before="0" w:after="240"/>
        <w:ind w:left="357" w:hanging="357"/>
        <w:rPr>
          <w:rFonts w:ascii="Times New Roman" w:hAnsi="Times New Roman"/>
          <w:b/>
          <w:bCs/>
          <w:noProof/>
          <w:color w:val="auto"/>
          <w:sz w:val="24"/>
          <w:szCs w:val="24"/>
        </w:rPr>
      </w:pPr>
      <w:r>
        <w:rPr>
          <w:rFonts w:ascii="Times New Roman" w:hAnsi="Times New Roman"/>
          <w:b/>
          <w:bCs/>
          <w:noProof/>
          <w:color w:val="auto"/>
          <w:sz w:val="24"/>
          <w:szCs w:val="24"/>
        </w:rPr>
        <w:t>LESSONS LEARNED AND RECOMMENDATIONS</w:t>
      </w:r>
    </w:p>
    <w:p w14:paraId="330BF78B" w14:textId="0D89D99E" w:rsidR="008B0D6C" w:rsidRDefault="00FF306D" w:rsidP="0032198E">
      <w:pPr>
        <w:pStyle w:val="Body"/>
        <w:rPr>
          <w:rFonts w:ascii="Times New Roman" w:hAnsi="Times New Roman"/>
          <w:noProof/>
          <w:sz w:val="24"/>
          <w:szCs w:val="24"/>
        </w:rPr>
      </w:pPr>
      <w:r>
        <w:rPr>
          <w:rFonts w:ascii="Times New Roman" w:hAnsi="Times New Roman"/>
          <w:noProof/>
          <w:sz w:val="24"/>
          <w:szCs w:val="24"/>
        </w:rPr>
        <w:t>T</w:t>
      </w:r>
      <w:r w:rsidRPr="00250061">
        <w:rPr>
          <w:rFonts w:ascii="Times New Roman" w:hAnsi="Times New Roman"/>
          <w:noProof/>
          <w:sz w:val="24"/>
          <w:szCs w:val="24"/>
        </w:rPr>
        <w:t xml:space="preserve">he evaluation highlights the importance for CEPOL to streamline its activities to focus on key priorities within </w:t>
      </w:r>
      <w:r>
        <w:rPr>
          <w:rFonts w:ascii="Times New Roman" w:hAnsi="Times New Roman"/>
          <w:noProof/>
          <w:sz w:val="24"/>
          <w:szCs w:val="24"/>
        </w:rPr>
        <w:t xml:space="preserve">the </w:t>
      </w:r>
      <w:r w:rsidRPr="004E2EDD">
        <w:rPr>
          <w:rFonts w:ascii="Times New Roman" w:hAnsi="Times New Roman"/>
          <w:noProof/>
          <w:sz w:val="24"/>
          <w:szCs w:val="24"/>
        </w:rPr>
        <w:t>European Multidisciplinary Platform Against Criminal Threats</w:t>
      </w:r>
      <w:r>
        <w:rPr>
          <w:rFonts w:ascii="Times New Roman" w:hAnsi="Times New Roman"/>
          <w:noProof/>
          <w:sz w:val="24"/>
          <w:szCs w:val="24"/>
        </w:rPr>
        <w:t xml:space="preserve">, </w:t>
      </w:r>
      <w:r w:rsidRPr="00250061">
        <w:rPr>
          <w:rFonts w:ascii="Times New Roman" w:hAnsi="Times New Roman"/>
          <w:noProof/>
          <w:sz w:val="24"/>
          <w:szCs w:val="24"/>
        </w:rPr>
        <w:t>the Security Union Strategy</w:t>
      </w:r>
      <w:r>
        <w:rPr>
          <w:rFonts w:ascii="Times New Roman" w:hAnsi="Times New Roman"/>
          <w:noProof/>
          <w:sz w:val="24"/>
          <w:szCs w:val="24"/>
        </w:rPr>
        <w:t xml:space="preserve"> and recent internal security strategies</w:t>
      </w:r>
      <w:r w:rsidRPr="00250061">
        <w:rPr>
          <w:rFonts w:ascii="Times New Roman" w:hAnsi="Times New Roman"/>
          <w:noProof/>
          <w:sz w:val="24"/>
          <w:szCs w:val="24"/>
        </w:rPr>
        <w:t>, while remaining open to assessing and catering for the specific training requests of Member States within this framework.</w:t>
      </w:r>
      <w:r w:rsidR="008B0D6C">
        <w:rPr>
          <w:rFonts w:ascii="Times New Roman" w:hAnsi="Times New Roman"/>
          <w:noProof/>
          <w:sz w:val="24"/>
          <w:szCs w:val="24"/>
        </w:rPr>
        <w:t xml:space="preserve"> </w:t>
      </w:r>
      <w:r w:rsidR="005A24F3" w:rsidRPr="005A24F3">
        <w:rPr>
          <w:rFonts w:ascii="Times New Roman" w:hAnsi="Times New Roman"/>
          <w:noProof/>
          <w:sz w:val="24"/>
          <w:szCs w:val="24"/>
        </w:rPr>
        <w:t xml:space="preserve">In that regard, CEPOL should increase its cooperation with other Agencies in general, and with Europol in particular, in order to maximise </w:t>
      </w:r>
      <w:r w:rsidR="005A24F3">
        <w:rPr>
          <w:rFonts w:ascii="Times New Roman" w:hAnsi="Times New Roman"/>
          <w:noProof/>
          <w:sz w:val="24"/>
          <w:szCs w:val="24"/>
        </w:rPr>
        <w:t>synergies as widely as possible</w:t>
      </w:r>
      <w:r w:rsidR="005A24F3" w:rsidRPr="005A24F3">
        <w:rPr>
          <w:rFonts w:ascii="Times New Roman" w:hAnsi="Times New Roman"/>
          <w:noProof/>
          <w:sz w:val="24"/>
          <w:szCs w:val="24"/>
        </w:rPr>
        <w:t>. In this context, CEPOL has accepted to take the lead in the coordination of the common horizontal strategic goal on “capacity building through training, networking and innovation” during the upcoming cycle 2022-2025 of the European Multidisciplinary Platform Against Criminal Threats.</w:t>
      </w:r>
      <w:r w:rsidR="005A24F3">
        <w:rPr>
          <w:rFonts w:ascii="Times New Roman" w:hAnsi="Times New Roman"/>
          <w:noProof/>
          <w:sz w:val="24"/>
          <w:szCs w:val="24"/>
        </w:rPr>
        <w:t xml:space="preserve"> Likewise</w:t>
      </w:r>
      <w:r w:rsidR="008B0D6C">
        <w:rPr>
          <w:rFonts w:ascii="Times New Roman" w:hAnsi="Times New Roman"/>
          <w:noProof/>
          <w:sz w:val="24"/>
          <w:szCs w:val="24"/>
        </w:rPr>
        <w:t xml:space="preserve">, CEPOL should increase its </w:t>
      </w:r>
      <w:r w:rsidR="005A24F3">
        <w:rPr>
          <w:rFonts w:ascii="Times New Roman" w:hAnsi="Times New Roman"/>
          <w:noProof/>
          <w:sz w:val="24"/>
          <w:szCs w:val="24"/>
        </w:rPr>
        <w:t xml:space="preserve">coordinating </w:t>
      </w:r>
      <w:r w:rsidR="008B0D6C">
        <w:rPr>
          <w:rFonts w:ascii="Times New Roman" w:hAnsi="Times New Roman"/>
          <w:noProof/>
          <w:sz w:val="24"/>
          <w:szCs w:val="24"/>
        </w:rPr>
        <w:t>role</w:t>
      </w:r>
      <w:r w:rsidR="005A24F3">
        <w:rPr>
          <w:rFonts w:ascii="Times New Roman" w:hAnsi="Times New Roman"/>
          <w:noProof/>
          <w:sz w:val="24"/>
          <w:szCs w:val="24"/>
        </w:rPr>
        <w:t>, also when</w:t>
      </w:r>
      <w:r w:rsidR="008B0D6C">
        <w:rPr>
          <w:rFonts w:ascii="Times New Roman" w:hAnsi="Times New Roman"/>
          <w:noProof/>
          <w:sz w:val="24"/>
          <w:szCs w:val="24"/>
        </w:rPr>
        <w:t xml:space="preserve"> contributing to implement </w:t>
      </w:r>
      <w:r w:rsidR="005A24F3">
        <w:rPr>
          <w:rFonts w:ascii="Times New Roman" w:hAnsi="Times New Roman"/>
          <w:noProof/>
          <w:sz w:val="24"/>
          <w:szCs w:val="24"/>
        </w:rPr>
        <w:t xml:space="preserve">all </w:t>
      </w:r>
      <w:r w:rsidR="008B0D6C">
        <w:rPr>
          <w:rFonts w:ascii="Times New Roman" w:hAnsi="Times New Roman"/>
          <w:noProof/>
          <w:sz w:val="24"/>
          <w:szCs w:val="24"/>
        </w:rPr>
        <w:t>the internal security strategies, including the Counter Terrorism Agenda, adopted in December 2020</w:t>
      </w:r>
      <w:r w:rsidR="007E1110">
        <w:rPr>
          <w:rStyle w:val="FootnoteReference"/>
          <w:noProof/>
          <w:sz w:val="24"/>
          <w:szCs w:val="24"/>
        </w:rPr>
        <w:footnoteReference w:id="11"/>
      </w:r>
      <w:r w:rsidR="008B0D6C">
        <w:rPr>
          <w:rFonts w:ascii="Times New Roman" w:hAnsi="Times New Roman"/>
          <w:noProof/>
          <w:sz w:val="24"/>
          <w:szCs w:val="24"/>
        </w:rPr>
        <w:t>, and both EU Strategies on Organised Crime</w:t>
      </w:r>
      <w:r w:rsidR="007E1110">
        <w:rPr>
          <w:rStyle w:val="FootnoteReference"/>
          <w:noProof/>
          <w:sz w:val="24"/>
          <w:szCs w:val="24"/>
        </w:rPr>
        <w:footnoteReference w:id="12"/>
      </w:r>
      <w:r w:rsidR="008B0D6C">
        <w:rPr>
          <w:rFonts w:ascii="Times New Roman" w:hAnsi="Times New Roman"/>
          <w:noProof/>
          <w:sz w:val="24"/>
          <w:szCs w:val="24"/>
        </w:rPr>
        <w:t xml:space="preserve"> and on Trafficking</w:t>
      </w:r>
      <w:r w:rsidR="007E1110">
        <w:rPr>
          <w:rStyle w:val="FootnoteReference"/>
          <w:noProof/>
          <w:sz w:val="24"/>
          <w:szCs w:val="24"/>
        </w:rPr>
        <w:footnoteReference w:id="13"/>
      </w:r>
      <w:r w:rsidR="008B0D6C">
        <w:rPr>
          <w:rFonts w:ascii="Times New Roman" w:hAnsi="Times New Roman"/>
          <w:noProof/>
          <w:sz w:val="24"/>
          <w:szCs w:val="24"/>
        </w:rPr>
        <w:t>, adopted in early 2021.</w:t>
      </w:r>
    </w:p>
    <w:p w14:paraId="1598443D" w14:textId="77777777" w:rsidR="00FF306D" w:rsidRPr="00EB0FD6" w:rsidRDefault="00FF306D" w:rsidP="0032198E">
      <w:pPr>
        <w:pStyle w:val="Body"/>
        <w:rPr>
          <w:rFonts w:ascii="Times New Roman" w:hAnsi="Times New Roman"/>
          <w:noProof/>
          <w:sz w:val="24"/>
          <w:szCs w:val="24"/>
        </w:rPr>
      </w:pPr>
      <w:r w:rsidRPr="00250061">
        <w:rPr>
          <w:rFonts w:ascii="Times New Roman" w:hAnsi="Times New Roman"/>
          <w:noProof/>
          <w:sz w:val="24"/>
          <w:szCs w:val="24"/>
        </w:rPr>
        <w:t xml:space="preserve">Linked to this, it is paramount for CEPOL to play a central role in coordinating law enforcement training among all different </w:t>
      </w:r>
      <w:r w:rsidRPr="00EB0FD6">
        <w:rPr>
          <w:rFonts w:ascii="Times New Roman" w:hAnsi="Times New Roman"/>
          <w:noProof/>
          <w:sz w:val="24"/>
          <w:szCs w:val="24"/>
        </w:rPr>
        <w:t xml:space="preserve">stakeholders, and notably the other JHA agencies. Rather than being in competition with other EU training stakeholders, CEPOL should aim to become </w:t>
      </w:r>
      <w:r w:rsidRPr="00250061">
        <w:rPr>
          <w:rFonts w:ascii="Times New Roman" w:hAnsi="Times New Roman"/>
          <w:noProof/>
          <w:sz w:val="24"/>
          <w:szCs w:val="24"/>
        </w:rPr>
        <w:t xml:space="preserve">“the” </w:t>
      </w:r>
      <w:r w:rsidRPr="00EB0FD6">
        <w:rPr>
          <w:rFonts w:ascii="Times New Roman" w:hAnsi="Times New Roman"/>
          <w:noProof/>
          <w:sz w:val="24"/>
          <w:szCs w:val="24"/>
        </w:rPr>
        <w:t xml:space="preserve">EU hub for law enforcement training. While the Agency is not in a position to cater for all training needs itself, it has a unique role in mapping and monitoring the catalogue of existing law enforcement training offers provided by </w:t>
      </w:r>
      <w:r w:rsidRPr="00250061">
        <w:rPr>
          <w:rFonts w:ascii="Times New Roman" w:hAnsi="Times New Roman"/>
          <w:noProof/>
          <w:sz w:val="24"/>
          <w:szCs w:val="24"/>
        </w:rPr>
        <w:t>all</w:t>
      </w:r>
      <w:r>
        <w:rPr>
          <w:rFonts w:ascii="Times New Roman" w:hAnsi="Times New Roman"/>
          <w:noProof/>
          <w:sz w:val="24"/>
          <w:szCs w:val="24"/>
        </w:rPr>
        <w:t xml:space="preserve"> </w:t>
      </w:r>
      <w:r w:rsidRPr="00EB0FD6">
        <w:rPr>
          <w:rFonts w:ascii="Times New Roman" w:hAnsi="Times New Roman"/>
          <w:noProof/>
          <w:sz w:val="24"/>
          <w:szCs w:val="24"/>
        </w:rPr>
        <w:t xml:space="preserve">JHA agencies and other stakeholders and to act as a portal for law enforcement </w:t>
      </w:r>
      <w:r>
        <w:rPr>
          <w:rFonts w:ascii="Times New Roman" w:hAnsi="Times New Roman"/>
          <w:noProof/>
          <w:sz w:val="24"/>
          <w:szCs w:val="24"/>
        </w:rPr>
        <w:t xml:space="preserve">practitioners </w:t>
      </w:r>
      <w:r w:rsidRPr="00EB0FD6">
        <w:rPr>
          <w:rFonts w:ascii="Times New Roman" w:hAnsi="Times New Roman"/>
          <w:noProof/>
          <w:sz w:val="24"/>
          <w:szCs w:val="24"/>
        </w:rPr>
        <w:t>looking for suitable training opportunities at the EU level.</w:t>
      </w:r>
    </w:p>
    <w:p w14:paraId="0D7E8BDD" w14:textId="1575DB27" w:rsidR="00FF306D" w:rsidRPr="00250061" w:rsidRDefault="00FF306D" w:rsidP="0032198E">
      <w:pPr>
        <w:pStyle w:val="Body"/>
        <w:rPr>
          <w:rFonts w:ascii="Times New Roman" w:hAnsi="Times New Roman"/>
          <w:noProof/>
          <w:sz w:val="24"/>
          <w:szCs w:val="24"/>
        </w:rPr>
      </w:pPr>
      <w:r w:rsidRPr="00EB0FD6">
        <w:rPr>
          <w:rFonts w:ascii="Times New Roman" w:hAnsi="Times New Roman"/>
          <w:noProof/>
          <w:sz w:val="24"/>
          <w:szCs w:val="24"/>
        </w:rPr>
        <w:t>At the same time, it is equally important for Member State representatives to further strengthen coordination within their countries</w:t>
      </w:r>
      <w:r>
        <w:rPr>
          <w:rFonts w:ascii="Times New Roman" w:hAnsi="Times New Roman"/>
          <w:noProof/>
          <w:sz w:val="24"/>
          <w:szCs w:val="24"/>
        </w:rPr>
        <w:t>, with a view to gathering the views and addressing the needs of the entire law enforcement community</w:t>
      </w:r>
      <w:r w:rsidRPr="00EB0FD6">
        <w:rPr>
          <w:rFonts w:ascii="Times New Roman" w:hAnsi="Times New Roman"/>
          <w:noProof/>
          <w:sz w:val="24"/>
          <w:szCs w:val="24"/>
        </w:rPr>
        <w:t xml:space="preserve">. </w:t>
      </w:r>
      <w:r>
        <w:rPr>
          <w:rFonts w:ascii="Times New Roman" w:hAnsi="Times New Roman"/>
          <w:noProof/>
          <w:sz w:val="24"/>
          <w:szCs w:val="24"/>
        </w:rPr>
        <w:t>I</w:t>
      </w:r>
      <w:r w:rsidRPr="0045667B">
        <w:rPr>
          <w:rFonts w:ascii="Times New Roman" w:hAnsi="Times New Roman"/>
          <w:noProof/>
          <w:sz w:val="24"/>
          <w:szCs w:val="24"/>
        </w:rPr>
        <w:t>n particular</w:t>
      </w:r>
      <w:r>
        <w:rPr>
          <w:rFonts w:ascii="Times New Roman" w:hAnsi="Times New Roman"/>
          <w:noProof/>
          <w:sz w:val="24"/>
          <w:szCs w:val="24"/>
        </w:rPr>
        <w:t>,</w:t>
      </w:r>
      <w:r w:rsidRPr="0045667B">
        <w:rPr>
          <w:rFonts w:ascii="Times New Roman" w:hAnsi="Times New Roman"/>
          <w:noProof/>
          <w:sz w:val="24"/>
          <w:szCs w:val="24"/>
        </w:rPr>
        <w:t xml:space="preserve"> </w:t>
      </w:r>
      <w:r>
        <w:rPr>
          <w:rFonts w:ascii="Times New Roman" w:hAnsi="Times New Roman"/>
          <w:noProof/>
          <w:sz w:val="24"/>
          <w:szCs w:val="24"/>
        </w:rPr>
        <w:t>t</w:t>
      </w:r>
      <w:r w:rsidRPr="00EB0FD6">
        <w:rPr>
          <w:rFonts w:ascii="Times New Roman" w:hAnsi="Times New Roman"/>
          <w:noProof/>
          <w:sz w:val="24"/>
          <w:szCs w:val="24"/>
        </w:rPr>
        <w:t xml:space="preserve">he evaluation highlighted the importance of the role of CEPOL’s Management Board, as </w:t>
      </w:r>
      <w:r>
        <w:rPr>
          <w:rFonts w:ascii="Times New Roman" w:hAnsi="Times New Roman"/>
          <w:noProof/>
          <w:sz w:val="24"/>
          <w:szCs w:val="24"/>
        </w:rPr>
        <w:t xml:space="preserve">a body which should reflect and relay all inputs and </w:t>
      </w:r>
      <w:r w:rsidRPr="00250061">
        <w:rPr>
          <w:rFonts w:ascii="Times New Roman" w:hAnsi="Times New Roman"/>
          <w:noProof/>
          <w:sz w:val="24"/>
          <w:szCs w:val="24"/>
        </w:rPr>
        <w:t>demands beyond the academic world, notably from the operational level in their Member States, to be fed into the B</w:t>
      </w:r>
      <w:r>
        <w:rPr>
          <w:rFonts w:ascii="Times New Roman" w:hAnsi="Times New Roman"/>
          <w:noProof/>
          <w:sz w:val="24"/>
          <w:szCs w:val="24"/>
        </w:rPr>
        <w:t>oard</w:t>
      </w:r>
      <w:r w:rsidRPr="00250061">
        <w:rPr>
          <w:rFonts w:ascii="Times New Roman" w:hAnsi="Times New Roman"/>
          <w:noProof/>
          <w:sz w:val="24"/>
          <w:szCs w:val="24"/>
        </w:rPr>
        <w:t xml:space="preserve">’s strategic decisions. In this context, attention should also be paid to gender representation within the Management Board, as also highlighted by the European Parliament, which </w:t>
      </w:r>
      <w:r>
        <w:rPr>
          <w:rFonts w:ascii="Times New Roman" w:hAnsi="Times New Roman"/>
          <w:noProof/>
          <w:sz w:val="24"/>
          <w:szCs w:val="24"/>
        </w:rPr>
        <w:t xml:space="preserve">– </w:t>
      </w:r>
      <w:r w:rsidRPr="00250061">
        <w:rPr>
          <w:rFonts w:ascii="Times New Roman" w:hAnsi="Times New Roman"/>
          <w:noProof/>
          <w:sz w:val="24"/>
          <w:szCs w:val="24"/>
        </w:rPr>
        <w:t xml:space="preserve">in the context of the 2019 discharge procedure </w:t>
      </w:r>
      <w:r>
        <w:rPr>
          <w:rFonts w:ascii="Times New Roman" w:hAnsi="Times New Roman"/>
          <w:noProof/>
          <w:sz w:val="24"/>
          <w:szCs w:val="24"/>
        </w:rPr>
        <w:t>–</w:t>
      </w:r>
      <w:r w:rsidRPr="00250061">
        <w:rPr>
          <w:rFonts w:ascii="Times New Roman" w:hAnsi="Times New Roman"/>
          <w:noProof/>
          <w:sz w:val="24"/>
          <w:szCs w:val="24"/>
        </w:rPr>
        <w:t xml:space="preserve"> urged CEPOL to ensure gender balance when nominating </w:t>
      </w:r>
      <w:r w:rsidR="00820D62">
        <w:rPr>
          <w:rFonts w:ascii="Times New Roman" w:hAnsi="Times New Roman"/>
          <w:noProof/>
          <w:sz w:val="24"/>
          <w:szCs w:val="24"/>
        </w:rPr>
        <w:t xml:space="preserve">their </w:t>
      </w:r>
      <w:r w:rsidRPr="00250061">
        <w:rPr>
          <w:rFonts w:ascii="Times New Roman" w:hAnsi="Times New Roman"/>
          <w:noProof/>
          <w:sz w:val="24"/>
          <w:szCs w:val="24"/>
        </w:rPr>
        <w:t>members.</w:t>
      </w:r>
    </w:p>
    <w:p w14:paraId="4AC85D80" w14:textId="77777777" w:rsidR="00FF306D" w:rsidRPr="006E102A" w:rsidRDefault="00FF306D" w:rsidP="0032198E">
      <w:pPr>
        <w:pStyle w:val="Body"/>
        <w:rPr>
          <w:rFonts w:ascii="Times New Roman" w:hAnsi="Times New Roman"/>
          <w:noProof/>
          <w:sz w:val="24"/>
          <w:szCs w:val="24"/>
        </w:rPr>
      </w:pPr>
      <w:r w:rsidRPr="00250061">
        <w:rPr>
          <w:rFonts w:ascii="Times New Roman" w:hAnsi="Times New Roman"/>
          <w:noProof/>
          <w:sz w:val="24"/>
          <w:szCs w:val="24"/>
        </w:rPr>
        <w:t>In the same vein, CEPOL should aim to reinforce the outreach and impact of the Agency</w:t>
      </w:r>
      <w:r>
        <w:rPr>
          <w:rFonts w:ascii="Times New Roman" w:hAnsi="Times New Roman"/>
          <w:noProof/>
          <w:sz w:val="24"/>
          <w:szCs w:val="24"/>
        </w:rPr>
        <w:t>. This could be achieved,</w:t>
      </w:r>
      <w:r w:rsidRPr="00250061">
        <w:rPr>
          <w:rFonts w:ascii="Times New Roman" w:hAnsi="Times New Roman"/>
          <w:noProof/>
          <w:sz w:val="24"/>
          <w:szCs w:val="24"/>
        </w:rPr>
        <w:t xml:space="preserve"> for instance, by integrating cascading</w:t>
      </w:r>
      <w:r>
        <w:rPr>
          <w:rFonts w:ascii="Times New Roman" w:hAnsi="Times New Roman"/>
          <w:noProof/>
          <w:sz w:val="24"/>
          <w:szCs w:val="24"/>
        </w:rPr>
        <w:t xml:space="preserve"> (i.e. </w:t>
      </w:r>
      <w:r w:rsidRPr="000C7EA9">
        <w:rPr>
          <w:rFonts w:ascii="Times New Roman" w:hAnsi="Times New Roman"/>
          <w:noProof/>
          <w:sz w:val="24"/>
          <w:szCs w:val="24"/>
        </w:rPr>
        <w:t>multiplying the outreach as a result from the training of trainers and peer-to-peer transfer of knowledge</w:t>
      </w:r>
      <w:r>
        <w:rPr>
          <w:rFonts w:ascii="Times New Roman" w:hAnsi="Times New Roman"/>
          <w:noProof/>
          <w:sz w:val="24"/>
          <w:szCs w:val="24"/>
        </w:rPr>
        <w:t>)</w:t>
      </w:r>
      <w:r w:rsidRPr="00250061">
        <w:rPr>
          <w:rFonts w:ascii="Times New Roman" w:hAnsi="Times New Roman"/>
          <w:noProof/>
          <w:sz w:val="24"/>
          <w:szCs w:val="24"/>
        </w:rPr>
        <w:t xml:space="preserve"> more systematically into all activities, stepping up the </w:t>
      </w:r>
      <w:r w:rsidRPr="006E102A">
        <w:rPr>
          <w:rFonts w:ascii="Times New Roman" w:hAnsi="Times New Roman"/>
          <w:noProof/>
          <w:sz w:val="24"/>
          <w:szCs w:val="24"/>
        </w:rPr>
        <w:t>train-the-trainer programme, with a special focus on law enforcement senior managers</w:t>
      </w:r>
      <w:r>
        <w:rPr>
          <w:rFonts w:ascii="Times New Roman" w:hAnsi="Times New Roman"/>
          <w:noProof/>
          <w:sz w:val="24"/>
          <w:szCs w:val="24"/>
        </w:rPr>
        <w:t xml:space="preserve">, and </w:t>
      </w:r>
      <w:r w:rsidRPr="006E102A">
        <w:rPr>
          <w:rFonts w:ascii="Times New Roman" w:hAnsi="Times New Roman"/>
          <w:noProof/>
          <w:sz w:val="24"/>
          <w:szCs w:val="24"/>
        </w:rPr>
        <w:t>continuing to develop</w:t>
      </w:r>
      <w:r>
        <w:rPr>
          <w:rFonts w:ascii="Times New Roman" w:hAnsi="Times New Roman"/>
          <w:noProof/>
          <w:sz w:val="24"/>
          <w:szCs w:val="24"/>
        </w:rPr>
        <w:t xml:space="preserve"> and </w:t>
      </w:r>
      <w:r w:rsidRPr="005E6F58">
        <w:rPr>
          <w:rFonts w:ascii="Times New Roman" w:hAnsi="Times New Roman"/>
          <w:noProof/>
          <w:sz w:val="24"/>
          <w:szCs w:val="24"/>
        </w:rPr>
        <w:t>strengthen its online offer</w:t>
      </w:r>
      <w:r w:rsidRPr="000C7EA9">
        <w:rPr>
          <w:rFonts w:ascii="Times New Roman" w:hAnsi="Times New Roman"/>
          <w:noProof/>
          <w:sz w:val="24"/>
          <w:szCs w:val="24"/>
        </w:rPr>
        <w:t>.</w:t>
      </w:r>
      <w:r w:rsidRPr="006E102A">
        <w:rPr>
          <w:rFonts w:ascii="Times New Roman" w:hAnsi="Times New Roman"/>
          <w:noProof/>
          <w:sz w:val="24"/>
          <w:szCs w:val="24"/>
        </w:rPr>
        <w:t xml:space="preserve"> </w:t>
      </w:r>
      <w:r>
        <w:rPr>
          <w:rFonts w:ascii="Times New Roman" w:hAnsi="Times New Roman"/>
          <w:noProof/>
          <w:sz w:val="24"/>
          <w:szCs w:val="24"/>
        </w:rPr>
        <w:t xml:space="preserve">This would help CEPOL to better address its target audience, as broadened in </w:t>
      </w:r>
      <w:r w:rsidRPr="006E102A">
        <w:rPr>
          <w:rFonts w:ascii="Times New Roman" w:hAnsi="Times New Roman"/>
          <w:noProof/>
          <w:sz w:val="24"/>
          <w:szCs w:val="24"/>
        </w:rPr>
        <w:t xml:space="preserve">the legal basis in force </w:t>
      </w:r>
      <w:r>
        <w:rPr>
          <w:rFonts w:ascii="Times New Roman" w:hAnsi="Times New Roman"/>
          <w:noProof/>
          <w:sz w:val="24"/>
          <w:szCs w:val="24"/>
        </w:rPr>
        <w:t>since</w:t>
      </w:r>
      <w:r w:rsidRPr="006E102A">
        <w:rPr>
          <w:rFonts w:ascii="Times New Roman" w:hAnsi="Times New Roman"/>
          <w:noProof/>
          <w:sz w:val="24"/>
          <w:szCs w:val="24"/>
        </w:rPr>
        <w:t xml:space="preserve"> 2016</w:t>
      </w:r>
      <w:r>
        <w:rPr>
          <w:rFonts w:ascii="Times New Roman" w:hAnsi="Times New Roman"/>
          <w:noProof/>
          <w:sz w:val="24"/>
          <w:szCs w:val="24"/>
        </w:rPr>
        <w:t>,</w:t>
      </w:r>
      <w:r w:rsidRPr="006E102A">
        <w:rPr>
          <w:rFonts w:ascii="Times New Roman" w:hAnsi="Times New Roman"/>
          <w:noProof/>
          <w:sz w:val="24"/>
          <w:szCs w:val="24"/>
        </w:rPr>
        <w:t xml:space="preserve"> </w:t>
      </w:r>
      <w:r>
        <w:rPr>
          <w:rFonts w:ascii="Times New Roman" w:hAnsi="Times New Roman"/>
          <w:noProof/>
          <w:sz w:val="24"/>
          <w:szCs w:val="24"/>
        </w:rPr>
        <w:t>now</w:t>
      </w:r>
      <w:r w:rsidRPr="006E102A">
        <w:rPr>
          <w:rFonts w:ascii="Times New Roman" w:hAnsi="Times New Roman"/>
          <w:noProof/>
          <w:sz w:val="24"/>
          <w:szCs w:val="24"/>
        </w:rPr>
        <w:t xml:space="preserve"> includ</w:t>
      </w:r>
      <w:r>
        <w:rPr>
          <w:rFonts w:ascii="Times New Roman" w:hAnsi="Times New Roman"/>
          <w:noProof/>
          <w:sz w:val="24"/>
          <w:szCs w:val="24"/>
        </w:rPr>
        <w:t>ing</w:t>
      </w:r>
      <w:r w:rsidRPr="006E102A">
        <w:rPr>
          <w:rFonts w:ascii="Times New Roman" w:hAnsi="Times New Roman"/>
          <w:noProof/>
          <w:sz w:val="24"/>
          <w:szCs w:val="24"/>
        </w:rPr>
        <w:t xml:space="preserve"> prosecutors, customs officials, and other persons involved in law enforcement (e.g. forensic lab personnel).</w:t>
      </w:r>
    </w:p>
    <w:p w14:paraId="03B7C488" w14:textId="1544CA92" w:rsidR="00FF306D" w:rsidRPr="006E102A" w:rsidRDefault="00FF306D" w:rsidP="0032198E">
      <w:pPr>
        <w:pStyle w:val="Body"/>
        <w:rPr>
          <w:rFonts w:ascii="Times New Roman" w:hAnsi="Times New Roman"/>
          <w:noProof/>
          <w:sz w:val="24"/>
          <w:szCs w:val="24"/>
        </w:rPr>
      </w:pPr>
      <w:r w:rsidRPr="006E102A">
        <w:rPr>
          <w:rFonts w:ascii="Times New Roman" w:hAnsi="Times New Roman"/>
          <w:noProof/>
          <w:sz w:val="24"/>
          <w:szCs w:val="24"/>
        </w:rPr>
        <w:t xml:space="preserve">Another sphere needing attention is the Cybercrime Academy, and more generally, the training </w:t>
      </w:r>
      <w:r w:rsidRPr="00250061">
        <w:rPr>
          <w:rFonts w:ascii="Times New Roman" w:hAnsi="Times New Roman"/>
          <w:noProof/>
          <w:sz w:val="24"/>
          <w:szCs w:val="24"/>
        </w:rPr>
        <w:t xml:space="preserve">offers addressing specific technical skills, </w:t>
      </w:r>
      <w:r w:rsidR="00820D62" w:rsidRPr="00820D62">
        <w:rPr>
          <w:rFonts w:ascii="Times New Roman" w:hAnsi="Times New Roman"/>
          <w:noProof/>
          <w:sz w:val="24"/>
          <w:szCs w:val="24"/>
        </w:rPr>
        <w:t>such as cryptocurrency, access to (big) data and encrypted data,</w:t>
      </w:r>
      <w:r w:rsidR="00820D62">
        <w:rPr>
          <w:rFonts w:ascii="Times New Roman" w:hAnsi="Times New Roman"/>
          <w:noProof/>
          <w:sz w:val="24"/>
          <w:szCs w:val="24"/>
        </w:rPr>
        <w:t xml:space="preserve"> </w:t>
      </w:r>
      <w:r w:rsidRPr="00250061">
        <w:rPr>
          <w:rFonts w:ascii="Times New Roman" w:hAnsi="Times New Roman"/>
          <w:noProof/>
          <w:sz w:val="24"/>
          <w:szCs w:val="24"/>
        </w:rPr>
        <w:t xml:space="preserve">which </w:t>
      </w:r>
      <w:r w:rsidR="00820D62">
        <w:rPr>
          <w:rFonts w:ascii="Times New Roman" w:hAnsi="Times New Roman"/>
          <w:noProof/>
          <w:sz w:val="24"/>
          <w:szCs w:val="24"/>
        </w:rPr>
        <w:t>can hardly be covered by</w:t>
      </w:r>
      <w:r w:rsidRPr="00250061">
        <w:rPr>
          <w:rFonts w:ascii="Times New Roman" w:hAnsi="Times New Roman"/>
          <w:noProof/>
          <w:sz w:val="24"/>
          <w:szCs w:val="24"/>
        </w:rPr>
        <w:t xml:space="preserve"> single Member State</w:t>
      </w:r>
      <w:r w:rsidR="00820D62">
        <w:rPr>
          <w:rFonts w:ascii="Times New Roman" w:hAnsi="Times New Roman"/>
          <w:noProof/>
          <w:sz w:val="24"/>
          <w:szCs w:val="24"/>
        </w:rPr>
        <w:t>s</w:t>
      </w:r>
      <w:r w:rsidRPr="00250061">
        <w:rPr>
          <w:rFonts w:ascii="Times New Roman" w:hAnsi="Times New Roman"/>
          <w:noProof/>
          <w:sz w:val="24"/>
          <w:szCs w:val="24"/>
        </w:rPr>
        <w:t xml:space="preserve"> alone.</w:t>
      </w:r>
    </w:p>
    <w:p w14:paraId="381F8942" w14:textId="0B1C0966" w:rsidR="00FF306D" w:rsidRPr="0032198E" w:rsidRDefault="00FF306D" w:rsidP="0032198E">
      <w:pPr>
        <w:rPr>
          <w:noProof/>
        </w:rPr>
      </w:pPr>
      <w:r w:rsidRPr="0032198E">
        <w:rPr>
          <w:rFonts w:ascii="Times New Roman" w:hAnsi="Times New Roman"/>
          <w:noProof/>
          <w:sz w:val="24"/>
          <w:szCs w:val="24"/>
        </w:rPr>
        <w:t xml:space="preserve">Finally, as regards the activities carried out by CEPOL in third countries, it is confirmed that these should continue, where possible, and in line with the EU’s external policy. However, considering the resources available to the Agency, they should not deflect attention from the core priorities referred to above, while ensuring </w:t>
      </w:r>
      <w:r w:rsidR="00820D62">
        <w:rPr>
          <w:rFonts w:ascii="Times New Roman" w:hAnsi="Times New Roman"/>
          <w:noProof/>
          <w:sz w:val="24"/>
          <w:szCs w:val="24"/>
        </w:rPr>
        <w:t>that they</w:t>
      </w:r>
      <w:r w:rsidRPr="0032198E">
        <w:rPr>
          <w:rFonts w:ascii="Times New Roman" w:hAnsi="Times New Roman"/>
          <w:noProof/>
          <w:sz w:val="24"/>
          <w:szCs w:val="24"/>
        </w:rPr>
        <w:t xml:space="preserve"> meet concrete needs and have</w:t>
      </w:r>
      <w:r w:rsidR="00820D62">
        <w:rPr>
          <w:rFonts w:ascii="Times New Roman" w:hAnsi="Times New Roman"/>
          <w:noProof/>
          <w:sz w:val="24"/>
          <w:szCs w:val="24"/>
        </w:rPr>
        <w:t xml:space="preserve"> a</w:t>
      </w:r>
      <w:r w:rsidRPr="0032198E">
        <w:rPr>
          <w:rFonts w:ascii="Times New Roman" w:hAnsi="Times New Roman"/>
          <w:noProof/>
          <w:sz w:val="24"/>
          <w:szCs w:val="24"/>
        </w:rPr>
        <w:t xml:space="preserve"> real added value.</w:t>
      </w:r>
    </w:p>
    <w:p w14:paraId="18B7542A" w14:textId="27F395EA" w:rsidR="007A0A15" w:rsidRPr="00C4283F" w:rsidRDefault="00727E72" w:rsidP="00C4283F">
      <w:pPr>
        <w:pStyle w:val="Heading1"/>
        <w:numPr>
          <w:ilvl w:val="0"/>
          <w:numId w:val="3"/>
        </w:numPr>
        <w:spacing w:before="0" w:after="240"/>
        <w:ind w:left="357" w:hanging="357"/>
        <w:rPr>
          <w:rFonts w:ascii="Times New Roman" w:hAnsi="Times New Roman"/>
          <w:b/>
          <w:bCs/>
          <w:noProof/>
          <w:color w:val="auto"/>
          <w:sz w:val="24"/>
          <w:szCs w:val="24"/>
        </w:rPr>
      </w:pPr>
      <w:r w:rsidRPr="00C4283F">
        <w:rPr>
          <w:rFonts w:ascii="Times New Roman" w:hAnsi="Times New Roman"/>
          <w:b/>
          <w:bCs/>
          <w:noProof/>
          <w:color w:val="auto"/>
          <w:sz w:val="24"/>
          <w:szCs w:val="24"/>
        </w:rPr>
        <w:t>CONCLUSIONS</w:t>
      </w:r>
    </w:p>
    <w:p w14:paraId="4C2494CA" w14:textId="55F42CC4" w:rsidR="00C75627" w:rsidRDefault="00C75627" w:rsidP="005E6F58">
      <w:pPr>
        <w:pStyle w:val="Body"/>
        <w:rPr>
          <w:rFonts w:ascii="Times New Roman" w:hAnsi="Times New Roman"/>
          <w:noProof/>
          <w:sz w:val="24"/>
          <w:szCs w:val="24"/>
        </w:rPr>
      </w:pPr>
      <w:r w:rsidRPr="006E102A">
        <w:rPr>
          <w:rFonts w:ascii="Times New Roman" w:hAnsi="Times New Roman"/>
          <w:noProof/>
          <w:sz w:val="24"/>
          <w:szCs w:val="24"/>
        </w:rPr>
        <w:t xml:space="preserve">The evaluation recognised the </w:t>
      </w:r>
      <w:r w:rsidRPr="005E6F58">
        <w:rPr>
          <w:rFonts w:ascii="Times New Roman" w:hAnsi="Times New Roman"/>
          <w:b/>
          <w:noProof/>
          <w:sz w:val="24"/>
          <w:szCs w:val="24"/>
        </w:rPr>
        <w:t>overall positive contribution of the Agency</w:t>
      </w:r>
      <w:r w:rsidRPr="006E102A">
        <w:rPr>
          <w:rFonts w:ascii="Times New Roman" w:hAnsi="Times New Roman"/>
          <w:noProof/>
          <w:sz w:val="24"/>
          <w:szCs w:val="24"/>
        </w:rPr>
        <w:t xml:space="preserve"> to the policy needs, objectives and values of the Security Union and the</w:t>
      </w:r>
      <w:r w:rsidR="00630F75" w:rsidRPr="006E102A">
        <w:rPr>
          <w:rFonts w:ascii="Times New Roman" w:hAnsi="Times New Roman"/>
          <w:noProof/>
          <w:sz w:val="24"/>
          <w:szCs w:val="24"/>
        </w:rPr>
        <w:t>ir</w:t>
      </w:r>
      <w:r w:rsidRPr="006E102A">
        <w:rPr>
          <w:rFonts w:ascii="Times New Roman" w:hAnsi="Times New Roman"/>
          <w:noProof/>
          <w:sz w:val="24"/>
          <w:szCs w:val="24"/>
        </w:rPr>
        <w:t xml:space="preserve"> valuable activity in third countries.</w:t>
      </w:r>
      <w:r w:rsidR="00630F75" w:rsidRPr="006E102A">
        <w:rPr>
          <w:rFonts w:ascii="Times New Roman" w:hAnsi="Times New Roman"/>
          <w:noProof/>
          <w:sz w:val="24"/>
          <w:szCs w:val="24"/>
        </w:rPr>
        <w:t xml:space="preserve"> In all five criteria evaluated, CEPOL was globally found to score well, being effective in carrying out relevant activities contributing to a European law enforcement culture, providing added value compared to the national level, utilising resources efficiently and in a coherent manner within the EU security architecture.</w:t>
      </w:r>
    </w:p>
    <w:p w14:paraId="11BD2111" w14:textId="2BF632E4" w:rsidR="004E4D31" w:rsidRDefault="00310763" w:rsidP="005E6F58">
      <w:pPr>
        <w:pStyle w:val="Body"/>
        <w:rPr>
          <w:rFonts w:ascii="Times New Roman" w:hAnsi="Times New Roman"/>
          <w:noProof/>
          <w:sz w:val="24"/>
          <w:szCs w:val="24"/>
        </w:rPr>
      </w:pPr>
      <w:r w:rsidRPr="00493F5F">
        <w:rPr>
          <w:rFonts w:ascii="Times New Roman" w:hAnsi="Times New Roman"/>
          <w:noProof/>
          <w:sz w:val="24"/>
          <w:szCs w:val="24"/>
        </w:rPr>
        <w:t>While acknowledging CEPOL’s contribution to enhanc</w:t>
      </w:r>
      <w:r w:rsidR="00820D62">
        <w:rPr>
          <w:rFonts w:ascii="Times New Roman" w:hAnsi="Times New Roman"/>
          <w:noProof/>
          <w:sz w:val="24"/>
          <w:szCs w:val="24"/>
        </w:rPr>
        <w:t>ing</w:t>
      </w:r>
      <w:r w:rsidRPr="00493F5F">
        <w:rPr>
          <w:rFonts w:ascii="Times New Roman" w:hAnsi="Times New Roman"/>
          <w:noProof/>
          <w:sz w:val="24"/>
          <w:szCs w:val="24"/>
        </w:rPr>
        <w:t xml:space="preserve"> security through training of and building a common culture among law enforcement</w:t>
      </w:r>
      <w:r w:rsidR="00820D62">
        <w:rPr>
          <w:rFonts w:ascii="Times New Roman" w:hAnsi="Times New Roman"/>
          <w:noProof/>
          <w:sz w:val="24"/>
          <w:szCs w:val="24"/>
        </w:rPr>
        <w:t xml:space="preserve"> actors</w:t>
      </w:r>
      <w:r w:rsidRPr="00493F5F">
        <w:rPr>
          <w:rFonts w:ascii="Times New Roman" w:hAnsi="Times New Roman"/>
          <w:noProof/>
          <w:sz w:val="24"/>
          <w:szCs w:val="24"/>
        </w:rPr>
        <w:t xml:space="preserve">, the evaluation identified some issues </w:t>
      </w:r>
      <w:r w:rsidR="00820D62">
        <w:rPr>
          <w:rFonts w:ascii="Times New Roman" w:hAnsi="Times New Roman"/>
          <w:noProof/>
          <w:sz w:val="24"/>
          <w:szCs w:val="24"/>
        </w:rPr>
        <w:t xml:space="preserve">deserving attention. Those </w:t>
      </w:r>
      <w:r w:rsidRPr="00493F5F">
        <w:rPr>
          <w:rFonts w:ascii="Times New Roman" w:hAnsi="Times New Roman"/>
          <w:noProof/>
          <w:sz w:val="24"/>
          <w:szCs w:val="24"/>
        </w:rPr>
        <w:t>concern the internal functioning of the Agency, its corporate image and culture, and the relationship with the Management Board.</w:t>
      </w:r>
      <w:r>
        <w:rPr>
          <w:rFonts w:ascii="Times New Roman" w:hAnsi="Times New Roman"/>
          <w:noProof/>
          <w:sz w:val="24"/>
          <w:szCs w:val="24"/>
        </w:rPr>
        <w:t xml:space="preserve"> Based on these</w:t>
      </w:r>
      <w:r w:rsidRPr="00250061">
        <w:rPr>
          <w:rFonts w:ascii="Times New Roman" w:hAnsi="Times New Roman"/>
          <w:noProof/>
          <w:sz w:val="24"/>
          <w:szCs w:val="24"/>
        </w:rPr>
        <w:t xml:space="preserve">, the evaluation issued </w:t>
      </w:r>
      <w:r>
        <w:rPr>
          <w:rFonts w:ascii="Times New Roman" w:hAnsi="Times New Roman"/>
          <w:noProof/>
          <w:sz w:val="24"/>
          <w:szCs w:val="24"/>
        </w:rPr>
        <w:t xml:space="preserve">the </w:t>
      </w:r>
      <w:r w:rsidRPr="00250061">
        <w:rPr>
          <w:rFonts w:ascii="Times New Roman" w:hAnsi="Times New Roman"/>
          <w:noProof/>
          <w:sz w:val="24"/>
          <w:szCs w:val="24"/>
        </w:rPr>
        <w:t>recommendations</w:t>
      </w:r>
      <w:r>
        <w:rPr>
          <w:rFonts w:ascii="Times New Roman" w:hAnsi="Times New Roman"/>
          <w:noProof/>
          <w:sz w:val="24"/>
          <w:szCs w:val="24"/>
        </w:rPr>
        <w:t xml:space="preserve"> outlined in chapter 3 above</w:t>
      </w:r>
      <w:r w:rsidRPr="00250061">
        <w:rPr>
          <w:rFonts w:ascii="Times New Roman" w:hAnsi="Times New Roman"/>
          <w:noProof/>
          <w:sz w:val="24"/>
          <w:szCs w:val="24"/>
        </w:rPr>
        <w:t xml:space="preserve">, which do not require changes affecting either the budgetary resources or the legal framework, and </w:t>
      </w:r>
      <w:r w:rsidR="00820D62">
        <w:rPr>
          <w:rFonts w:ascii="Times New Roman" w:hAnsi="Times New Roman"/>
          <w:noProof/>
          <w:sz w:val="24"/>
          <w:szCs w:val="24"/>
        </w:rPr>
        <w:t xml:space="preserve">are </w:t>
      </w:r>
      <w:r w:rsidRPr="00250061">
        <w:rPr>
          <w:rFonts w:ascii="Times New Roman" w:hAnsi="Times New Roman"/>
          <w:noProof/>
          <w:sz w:val="24"/>
          <w:szCs w:val="24"/>
        </w:rPr>
        <w:t>therefore relatively eas</w:t>
      </w:r>
      <w:r w:rsidR="00820D62">
        <w:rPr>
          <w:rFonts w:ascii="Times New Roman" w:hAnsi="Times New Roman"/>
          <w:noProof/>
          <w:sz w:val="24"/>
          <w:szCs w:val="24"/>
        </w:rPr>
        <w:t>y to implement</w:t>
      </w:r>
      <w:r w:rsidRPr="00250061">
        <w:rPr>
          <w:rFonts w:ascii="Times New Roman" w:hAnsi="Times New Roman"/>
          <w:noProof/>
          <w:sz w:val="24"/>
          <w:szCs w:val="24"/>
        </w:rPr>
        <w:t>.</w:t>
      </w:r>
    </w:p>
    <w:p w14:paraId="50978B58" w14:textId="77777777" w:rsidR="004E4D31" w:rsidRDefault="005A0BA7" w:rsidP="005E6F58">
      <w:pPr>
        <w:pStyle w:val="Body"/>
        <w:rPr>
          <w:rFonts w:ascii="Times New Roman" w:hAnsi="Times New Roman"/>
          <w:noProof/>
          <w:sz w:val="24"/>
          <w:szCs w:val="24"/>
        </w:rPr>
      </w:pPr>
      <w:r>
        <w:rPr>
          <w:rFonts w:ascii="Times New Roman" w:hAnsi="Times New Roman"/>
          <w:noProof/>
          <w:sz w:val="24"/>
          <w:szCs w:val="24"/>
        </w:rPr>
        <w:t>As envisaged in Article 32 of the CEPOL Regulation, the next five-year evaluation will assess how these recommendations have been addressed.</w:t>
      </w:r>
    </w:p>
    <w:p w14:paraId="43E3C61F" w14:textId="22AFE2AB" w:rsidR="00E14807" w:rsidRDefault="00493F5F" w:rsidP="005E6F58">
      <w:pPr>
        <w:pStyle w:val="Body"/>
        <w:rPr>
          <w:rFonts w:ascii="Times New Roman" w:hAnsi="Times New Roman"/>
          <w:noProof/>
          <w:sz w:val="24"/>
          <w:szCs w:val="24"/>
        </w:rPr>
      </w:pPr>
      <w:r>
        <w:rPr>
          <w:rFonts w:ascii="Times New Roman" w:hAnsi="Times New Roman"/>
          <w:noProof/>
          <w:sz w:val="24"/>
          <w:szCs w:val="24"/>
        </w:rPr>
        <w:t xml:space="preserve">Looking at the medium to long term, </w:t>
      </w:r>
      <w:r w:rsidRPr="00493F5F">
        <w:rPr>
          <w:rFonts w:ascii="Times New Roman" w:hAnsi="Times New Roman"/>
          <w:noProof/>
          <w:sz w:val="24"/>
          <w:szCs w:val="24"/>
        </w:rPr>
        <w:t>key questions will have to be raised, as to the very future of training of EU law enforcement and the role of the Agency,</w:t>
      </w:r>
      <w:r>
        <w:rPr>
          <w:rFonts w:ascii="Times New Roman" w:hAnsi="Times New Roman"/>
          <w:noProof/>
          <w:sz w:val="24"/>
          <w:szCs w:val="24"/>
        </w:rPr>
        <w:t xml:space="preserve"> in a rapidly evolving security environment and in a digital age.</w:t>
      </w:r>
    </w:p>
    <w:p w14:paraId="4625B1AD" w14:textId="35FFAD31" w:rsidR="000D076F" w:rsidRPr="00137CBF" w:rsidRDefault="00493F5F" w:rsidP="005E6F58">
      <w:pPr>
        <w:pStyle w:val="Body"/>
        <w:rPr>
          <w:noProof/>
        </w:rPr>
      </w:pPr>
      <w:r>
        <w:rPr>
          <w:rFonts w:ascii="Times New Roman" w:hAnsi="Times New Roman"/>
          <w:noProof/>
          <w:sz w:val="24"/>
          <w:szCs w:val="24"/>
        </w:rPr>
        <w:t xml:space="preserve">Notably, consideration should be given to </w:t>
      </w:r>
      <w:r w:rsidR="000C7EA9">
        <w:rPr>
          <w:rFonts w:ascii="Times New Roman" w:hAnsi="Times New Roman"/>
          <w:noProof/>
          <w:sz w:val="24"/>
          <w:szCs w:val="24"/>
        </w:rPr>
        <w:t>how the Agency should best play its role given its</w:t>
      </w:r>
      <w:r w:rsidR="00856ADB" w:rsidRPr="00250061">
        <w:rPr>
          <w:rFonts w:ascii="Times New Roman" w:hAnsi="Times New Roman"/>
          <w:noProof/>
          <w:sz w:val="24"/>
          <w:szCs w:val="24"/>
        </w:rPr>
        <w:t xml:space="preserve"> </w:t>
      </w:r>
      <w:r w:rsidR="0045667B" w:rsidRPr="00250061">
        <w:rPr>
          <w:rFonts w:ascii="Times New Roman" w:hAnsi="Times New Roman"/>
          <w:noProof/>
          <w:sz w:val="24"/>
          <w:szCs w:val="24"/>
        </w:rPr>
        <w:t>mandate</w:t>
      </w:r>
      <w:r w:rsidR="00926CCB" w:rsidRPr="00250061">
        <w:rPr>
          <w:rFonts w:ascii="Times New Roman" w:hAnsi="Times New Roman"/>
          <w:noProof/>
          <w:sz w:val="24"/>
          <w:szCs w:val="24"/>
        </w:rPr>
        <w:t xml:space="preserve"> </w:t>
      </w:r>
      <w:r w:rsidR="00856ADB" w:rsidRPr="00250061">
        <w:rPr>
          <w:rFonts w:ascii="Times New Roman" w:hAnsi="Times New Roman"/>
          <w:noProof/>
          <w:sz w:val="24"/>
          <w:szCs w:val="24"/>
        </w:rPr>
        <w:t>and resources.</w:t>
      </w:r>
      <w:bookmarkEnd w:id="0"/>
    </w:p>
    <w:sectPr w:rsidR="000D076F" w:rsidRPr="00137CBF" w:rsidSect="007A0A15">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71287A" w14:textId="77777777" w:rsidR="003651E6" w:rsidRDefault="003651E6" w:rsidP="00C13F66">
      <w:pPr>
        <w:spacing w:after="0"/>
      </w:pPr>
      <w:r>
        <w:separator/>
      </w:r>
    </w:p>
  </w:endnote>
  <w:endnote w:type="continuationSeparator" w:id="0">
    <w:p w14:paraId="1128829A" w14:textId="77777777" w:rsidR="003651E6" w:rsidRDefault="003651E6" w:rsidP="00C13F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EYInterstate Light">
    <w:altName w:val="Calibri"/>
    <w:charset w:val="00"/>
    <w:family w:val="auto"/>
    <w:pitch w:val="variable"/>
    <w:sig w:usb0="A00002AF" w:usb1="5000206A"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06716" w14:textId="77777777" w:rsidR="00CC3217" w:rsidRPr="00CC3217" w:rsidRDefault="00CC3217" w:rsidP="00CC32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83309" w14:textId="2567A6D4" w:rsidR="00405FF8" w:rsidRPr="00CC3217" w:rsidRDefault="00CC3217" w:rsidP="00CC3217">
    <w:pPr>
      <w:pStyle w:val="FooterCoverPage"/>
      <w:rPr>
        <w:rFonts w:ascii="Arial" w:hAnsi="Arial" w:cs="Arial"/>
        <w:b/>
        <w:sz w:val="48"/>
      </w:rPr>
    </w:pPr>
    <w:r w:rsidRPr="00CC3217">
      <w:rPr>
        <w:rFonts w:ascii="Arial" w:hAnsi="Arial" w:cs="Arial"/>
        <w:b/>
        <w:sz w:val="48"/>
      </w:rPr>
      <w:t>EN</w:t>
    </w:r>
    <w:r w:rsidRPr="00CC3217">
      <w:rPr>
        <w:rFonts w:ascii="Arial" w:hAnsi="Arial" w:cs="Arial"/>
        <w:b/>
        <w:sz w:val="48"/>
      </w:rPr>
      <w:tab/>
    </w:r>
    <w:r w:rsidRPr="00CC3217">
      <w:rPr>
        <w:rFonts w:ascii="Arial" w:hAnsi="Arial" w:cs="Arial"/>
        <w:b/>
        <w:sz w:val="48"/>
      </w:rPr>
      <w:tab/>
    </w:r>
    <w:r w:rsidRPr="00CC3217">
      <w:tab/>
    </w:r>
    <w:r w:rsidRPr="00CC3217">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70E5C" w14:textId="77777777" w:rsidR="00CC3217" w:rsidRPr="00CC3217" w:rsidRDefault="00CC3217" w:rsidP="00CC3217">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EA140" w14:textId="77777777" w:rsidR="00E17B35" w:rsidRDefault="00E17B3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22633"/>
      <w:docPartObj>
        <w:docPartGallery w:val="Page Numbers (Bottom of Page)"/>
        <w:docPartUnique/>
      </w:docPartObj>
    </w:sdtPr>
    <w:sdtEndPr>
      <w:rPr>
        <w:noProof/>
      </w:rPr>
    </w:sdtEndPr>
    <w:sdtContent>
      <w:p w14:paraId="0848CD3B" w14:textId="4C0C04FA" w:rsidR="00874772" w:rsidRDefault="00874772">
        <w:pPr>
          <w:pStyle w:val="Footer"/>
          <w:jc w:val="center"/>
        </w:pPr>
        <w:r>
          <w:fldChar w:fldCharType="begin"/>
        </w:r>
        <w:r>
          <w:instrText xml:space="preserve"> PAGE   \* MERGEFORMAT </w:instrText>
        </w:r>
        <w:r>
          <w:fldChar w:fldCharType="separate"/>
        </w:r>
        <w:r w:rsidR="00CC3217">
          <w:rPr>
            <w:noProof/>
          </w:rPr>
          <w:t>1</w:t>
        </w:r>
        <w:r>
          <w:rPr>
            <w:noProof/>
          </w:rPr>
          <w:fldChar w:fldCharType="end"/>
        </w:r>
      </w:p>
    </w:sdtContent>
  </w:sdt>
  <w:p w14:paraId="2259CFD0" w14:textId="43932F08" w:rsidR="00E17B35" w:rsidRDefault="00E17B3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DE9E8" w14:textId="77777777" w:rsidR="00E17B35" w:rsidRDefault="00E17B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51CCF4" w14:textId="77777777" w:rsidR="003651E6" w:rsidRDefault="003651E6" w:rsidP="00C13F66">
      <w:pPr>
        <w:spacing w:after="0"/>
      </w:pPr>
      <w:r>
        <w:separator/>
      </w:r>
    </w:p>
  </w:footnote>
  <w:footnote w:type="continuationSeparator" w:id="0">
    <w:p w14:paraId="09FF9347" w14:textId="77777777" w:rsidR="003651E6" w:rsidRDefault="003651E6" w:rsidP="00C13F66">
      <w:pPr>
        <w:spacing w:after="0"/>
      </w:pPr>
      <w:r>
        <w:continuationSeparator/>
      </w:r>
    </w:p>
  </w:footnote>
  <w:footnote w:id="1">
    <w:p w14:paraId="6899D2EA" w14:textId="77777777" w:rsidR="009767F3" w:rsidRPr="005E6F58" w:rsidRDefault="009767F3">
      <w:pPr>
        <w:pStyle w:val="FootnoteText"/>
        <w:rPr>
          <w:rFonts w:ascii="Times New Roman" w:hAnsi="Times New Roman"/>
          <w:szCs w:val="16"/>
        </w:rPr>
      </w:pPr>
      <w:r w:rsidRPr="005E6F58">
        <w:rPr>
          <w:rStyle w:val="FootnoteReference"/>
          <w:rFonts w:ascii="Times New Roman" w:hAnsi="Times New Roman"/>
          <w:szCs w:val="16"/>
        </w:rPr>
        <w:footnoteRef/>
      </w:r>
      <w:r w:rsidRPr="005E6F58">
        <w:rPr>
          <w:rFonts w:ascii="Times New Roman" w:hAnsi="Times New Roman"/>
          <w:szCs w:val="16"/>
        </w:rPr>
        <w:t xml:space="preserve"> Regulatio</w:t>
      </w:r>
      <w:r w:rsidRPr="009767F3">
        <w:rPr>
          <w:rFonts w:ascii="Times New Roman" w:hAnsi="Times New Roman"/>
          <w:szCs w:val="16"/>
        </w:rPr>
        <w:t xml:space="preserve">n (EU) 2015/2219 of the </w:t>
      </w:r>
      <w:r w:rsidRPr="005F194B">
        <w:rPr>
          <w:rFonts w:ascii="Times New Roman" w:hAnsi="Times New Roman"/>
          <w:szCs w:val="16"/>
        </w:rPr>
        <w:t>European Parliament and of the Council of 25 November 2015 on the European Union Agency for Law Enforcement Training (CEPOL).</w:t>
      </w:r>
    </w:p>
  </w:footnote>
  <w:footnote w:id="2">
    <w:p w14:paraId="703D579C" w14:textId="72B0CE7F" w:rsidR="007D18C1" w:rsidRPr="005E6F58" w:rsidRDefault="007D18C1">
      <w:pPr>
        <w:pStyle w:val="FootnoteText"/>
        <w:jc w:val="left"/>
        <w:rPr>
          <w:rFonts w:ascii="Times New Roman" w:hAnsi="Times New Roman"/>
          <w:szCs w:val="16"/>
        </w:rPr>
      </w:pPr>
      <w:r w:rsidRPr="005E6F58">
        <w:rPr>
          <w:rStyle w:val="FootnoteReference"/>
          <w:rFonts w:ascii="Times New Roman" w:hAnsi="Times New Roman"/>
          <w:szCs w:val="16"/>
        </w:rPr>
        <w:footnoteRef/>
      </w:r>
      <w:r w:rsidR="009767F3" w:rsidRPr="009767F3">
        <w:rPr>
          <w:rFonts w:ascii="Times New Roman" w:hAnsi="Times New Roman"/>
          <w:szCs w:val="16"/>
        </w:rPr>
        <w:t xml:space="preserve"> </w:t>
      </w:r>
      <w:r w:rsidRPr="005E6F58">
        <w:rPr>
          <w:rFonts w:ascii="Times New Roman" w:hAnsi="Times New Roman"/>
          <w:szCs w:val="16"/>
        </w:rPr>
        <w:t>Article 3</w:t>
      </w:r>
      <w:r w:rsidR="009767F3" w:rsidRPr="009767F3">
        <w:rPr>
          <w:rFonts w:ascii="Times New Roman" w:hAnsi="Times New Roman"/>
          <w:szCs w:val="16"/>
        </w:rPr>
        <w:t xml:space="preserve"> of</w:t>
      </w:r>
      <w:r w:rsidRPr="005E6F58">
        <w:rPr>
          <w:rFonts w:ascii="Times New Roman" w:hAnsi="Times New Roman"/>
          <w:szCs w:val="16"/>
        </w:rPr>
        <w:t xml:space="preserve"> Regulation (EU) 2015/2219.</w:t>
      </w:r>
    </w:p>
  </w:footnote>
  <w:footnote w:id="3">
    <w:p w14:paraId="7C56FE7E" w14:textId="7C2554BF" w:rsidR="00DC4721" w:rsidRPr="005E6F58" w:rsidRDefault="00DC4721" w:rsidP="00DC4721">
      <w:pPr>
        <w:pStyle w:val="Body"/>
        <w:rPr>
          <w:rFonts w:ascii="Times New Roman" w:hAnsi="Times New Roman"/>
          <w:sz w:val="16"/>
          <w:szCs w:val="16"/>
        </w:rPr>
      </w:pPr>
      <w:r w:rsidRPr="005E6F58">
        <w:rPr>
          <w:rStyle w:val="FootnoteReference"/>
          <w:rFonts w:ascii="Times New Roman" w:hAnsi="Times New Roman"/>
          <w:sz w:val="16"/>
          <w:szCs w:val="16"/>
        </w:rPr>
        <w:footnoteRef/>
      </w:r>
      <w:r w:rsidR="009767F3" w:rsidRPr="005E6F58">
        <w:rPr>
          <w:rFonts w:ascii="Times New Roman" w:hAnsi="Times New Roman"/>
          <w:sz w:val="16"/>
          <w:szCs w:val="16"/>
        </w:rPr>
        <w:t xml:space="preserve"> </w:t>
      </w:r>
      <w:r w:rsidRPr="009767F3">
        <w:rPr>
          <w:rFonts w:ascii="Times New Roman" w:hAnsi="Times New Roman"/>
          <w:sz w:val="16"/>
          <w:szCs w:val="16"/>
        </w:rPr>
        <w:t>The final report of the supporting study is available online at https://data.europa.eu/doi/10.2837/540159.</w:t>
      </w:r>
    </w:p>
    <w:p w14:paraId="306E2DAC" w14:textId="77777777" w:rsidR="00DC4721" w:rsidRDefault="00DC4721">
      <w:pPr>
        <w:pStyle w:val="FootnoteText"/>
      </w:pPr>
    </w:p>
  </w:footnote>
  <w:footnote w:id="4">
    <w:p w14:paraId="10D95622" w14:textId="6C4FCC9E" w:rsidR="005103DF" w:rsidRDefault="005103DF">
      <w:pPr>
        <w:pStyle w:val="FootnoteText"/>
      </w:pPr>
      <w:r>
        <w:rPr>
          <w:rStyle w:val="FootnoteReference"/>
        </w:rPr>
        <w:footnoteRef/>
      </w:r>
      <w:r>
        <w:t xml:space="preserve"> T</w:t>
      </w:r>
      <w:r w:rsidRPr="0032198E">
        <w:rPr>
          <w:rFonts w:ascii="Times New Roman" w:hAnsi="Times New Roman"/>
        </w:rPr>
        <w:t>hese are the five criteria used as a basis in the evaluation</w:t>
      </w:r>
      <w:r>
        <w:rPr>
          <w:rFonts w:ascii="Times New Roman" w:hAnsi="Times New Roman"/>
        </w:rPr>
        <w:t>.</w:t>
      </w:r>
    </w:p>
  </w:footnote>
  <w:footnote w:id="5">
    <w:p w14:paraId="0DDAE9BE" w14:textId="5CCFF6C6" w:rsidR="00C13F66" w:rsidRPr="00D91DBD" w:rsidRDefault="00C13F66">
      <w:pPr>
        <w:pStyle w:val="FootnoteText"/>
        <w:rPr>
          <w:rFonts w:ascii="Times New Roman" w:hAnsi="Times New Roman"/>
        </w:rPr>
      </w:pPr>
      <w:r w:rsidRPr="005F194B">
        <w:rPr>
          <w:rStyle w:val="FootnoteReference"/>
          <w:rFonts w:ascii="Times New Roman" w:hAnsi="Times New Roman"/>
        </w:rPr>
        <w:footnoteRef/>
      </w:r>
      <w:r w:rsidR="005F194B" w:rsidRPr="005F194B">
        <w:rPr>
          <w:rFonts w:ascii="Times New Roman" w:hAnsi="Times New Roman"/>
        </w:rPr>
        <w:t xml:space="preserve"> </w:t>
      </w:r>
      <w:r w:rsidRPr="00D91DBD">
        <w:rPr>
          <w:rFonts w:ascii="Times New Roman" w:hAnsi="Times New Roman"/>
        </w:rPr>
        <w:t>Denmark is not considered a Member State in accordance with Protocol 22 on the position of Denmark.</w:t>
      </w:r>
    </w:p>
  </w:footnote>
  <w:footnote w:id="6">
    <w:p w14:paraId="439B43B5" w14:textId="55152585" w:rsidR="00C13F66" w:rsidRPr="00083D49" w:rsidRDefault="00C13F66">
      <w:pPr>
        <w:pStyle w:val="FootnoteText"/>
        <w:rPr>
          <w:rFonts w:ascii="Times New Roman" w:hAnsi="Times New Roman"/>
        </w:rPr>
      </w:pPr>
      <w:r w:rsidRPr="006F099D">
        <w:rPr>
          <w:rStyle w:val="FootnoteReference"/>
        </w:rPr>
        <w:footnoteRef/>
      </w:r>
      <w:r w:rsidR="00D27FEF">
        <w:t xml:space="preserve"> </w:t>
      </w:r>
      <w:r w:rsidRPr="006F099D">
        <w:rPr>
          <w:rFonts w:ascii="Times New Roman" w:hAnsi="Times New Roman"/>
        </w:rPr>
        <w:t>Council of the European Union. 2009. The Stockholm Programme – An open and secure Europe serving and protecting the citizens.</w:t>
      </w:r>
    </w:p>
  </w:footnote>
  <w:footnote w:id="7">
    <w:p w14:paraId="36815E4E" w14:textId="274D3D94" w:rsidR="00C13F66" w:rsidRPr="00083D49" w:rsidRDefault="00C13F66">
      <w:pPr>
        <w:pStyle w:val="FootnoteText"/>
        <w:rPr>
          <w:rFonts w:ascii="Times New Roman" w:hAnsi="Times New Roman"/>
        </w:rPr>
      </w:pPr>
      <w:r w:rsidRPr="006F099D">
        <w:rPr>
          <w:rStyle w:val="FootnoteReference"/>
          <w:rFonts w:ascii="Times New Roman" w:hAnsi="Times New Roman"/>
        </w:rPr>
        <w:footnoteRef/>
      </w:r>
      <w:r w:rsidR="00D27FEF">
        <w:rPr>
          <w:rFonts w:ascii="Times New Roman" w:hAnsi="Times New Roman"/>
        </w:rPr>
        <w:t xml:space="preserve"> </w:t>
      </w:r>
      <w:r w:rsidRPr="006F099D">
        <w:rPr>
          <w:rFonts w:ascii="Times New Roman" w:hAnsi="Times New Roman"/>
        </w:rPr>
        <w:t>European Commission (2015). The European Agenda on Security. COM(2015) 185 final. Retrieved from: https://ec.europa.eu/home-affairs/sites/homeaffairs/files/e-library/documents/basic-documents/docs/eu_agenda_on_security_en.pdf</w:t>
      </w:r>
    </w:p>
  </w:footnote>
  <w:footnote w:id="8">
    <w:p w14:paraId="1C0BB13A" w14:textId="59401D92" w:rsidR="00C13F66" w:rsidRPr="00083D49" w:rsidRDefault="00C13F66">
      <w:pPr>
        <w:pStyle w:val="FootnoteText"/>
        <w:rPr>
          <w:rFonts w:ascii="Times New Roman" w:hAnsi="Times New Roman"/>
        </w:rPr>
      </w:pPr>
      <w:r w:rsidRPr="006F099D">
        <w:rPr>
          <w:rStyle w:val="FootnoteReference"/>
          <w:rFonts w:ascii="Times New Roman" w:hAnsi="Times New Roman"/>
        </w:rPr>
        <w:footnoteRef/>
      </w:r>
      <w:r w:rsidR="00D27FEF">
        <w:rPr>
          <w:rFonts w:ascii="Times New Roman" w:hAnsi="Times New Roman"/>
        </w:rPr>
        <w:t xml:space="preserve"> </w:t>
      </w:r>
      <w:r w:rsidRPr="006F099D">
        <w:rPr>
          <w:rFonts w:ascii="Times New Roman" w:hAnsi="Times New Roman"/>
        </w:rPr>
        <w:t>COM(2013) 172 final, Establishing a European Law Enforcement Training Scheme.</w:t>
      </w:r>
    </w:p>
  </w:footnote>
  <w:footnote w:id="9">
    <w:p w14:paraId="079ABE36" w14:textId="0BBB5CD5" w:rsidR="00C13F66" w:rsidRPr="00083D49" w:rsidRDefault="00C13F66">
      <w:pPr>
        <w:pStyle w:val="FootnoteText"/>
        <w:rPr>
          <w:rFonts w:ascii="Times New Roman" w:hAnsi="Times New Roman"/>
        </w:rPr>
      </w:pPr>
      <w:r w:rsidRPr="006F099D">
        <w:rPr>
          <w:rStyle w:val="FootnoteReference"/>
          <w:rFonts w:ascii="Times New Roman" w:hAnsi="Times New Roman"/>
        </w:rPr>
        <w:footnoteRef/>
      </w:r>
      <w:r w:rsidR="00D27FEF">
        <w:rPr>
          <w:rFonts w:ascii="Times New Roman" w:hAnsi="Times New Roman"/>
        </w:rPr>
        <w:t xml:space="preserve"> </w:t>
      </w:r>
      <w:r w:rsidRPr="006F099D">
        <w:rPr>
          <w:rFonts w:ascii="Times New Roman" w:hAnsi="Times New Roman"/>
        </w:rPr>
        <w:t>European Commission. (2015). The European Agenda on Security. COM(2015) 185 final. Retrieved from: https://ec.europa.eu/home-affairs/sites/homeaffairs/files/e-library/documents/basic-documents/docs/eu_agenda_on_security_en.pdf</w:t>
      </w:r>
    </w:p>
  </w:footnote>
  <w:footnote w:id="10">
    <w:p w14:paraId="14DE366F" w14:textId="77777777" w:rsidR="008B0D6C" w:rsidRPr="005E6F58" w:rsidRDefault="008B0D6C" w:rsidP="008B0D6C">
      <w:pPr>
        <w:rPr>
          <w:rFonts w:ascii="Times New Roman" w:hAnsi="Times New Roman"/>
          <w:szCs w:val="16"/>
        </w:rPr>
      </w:pPr>
      <w:r w:rsidRPr="005E6F58">
        <w:rPr>
          <w:rStyle w:val="FootnoteReference"/>
          <w:rFonts w:ascii="Times New Roman" w:hAnsi="Times New Roman"/>
          <w:sz w:val="16"/>
          <w:szCs w:val="16"/>
        </w:rPr>
        <w:footnoteRef/>
      </w:r>
      <w:r w:rsidRPr="005E6F58">
        <w:rPr>
          <w:rFonts w:ascii="Times New Roman" w:hAnsi="Times New Roman"/>
          <w:sz w:val="16"/>
          <w:szCs w:val="16"/>
        </w:rPr>
        <w:t xml:space="preserve"> The Justice and Home Affairs (JHA) agencies’ </w:t>
      </w:r>
      <w:r w:rsidRPr="00D91DBD">
        <w:rPr>
          <w:rFonts w:ascii="Times New Roman" w:hAnsi="Times New Roman"/>
          <w:sz w:val="16"/>
          <w:szCs w:val="16"/>
        </w:rPr>
        <w:t>N</w:t>
      </w:r>
      <w:r w:rsidRPr="005E6F58">
        <w:rPr>
          <w:rFonts w:ascii="Times New Roman" w:hAnsi="Times New Roman"/>
          <w:sz w:val="16"/>
          <w:szCs w:val="16"/>
        </w:rPr>
        <w:t xml:space="preserve">etwork includes nine agencies: CEPOL, EASO, EIGE, EMCDDA, eu-LISA, Eurojust, Europol, FRA and Frontex. Since 2010, the JHA agencies have in turn hosted the </w:t>
      </w:r>
      <w:r w:rsidRPr="00D91DBD">
        <w:rPr>
          <w:rFonts w:ascii="Times New Roman" w:hAnsi="Times New Roman"/>
          <w:sz w:val="16"/>
          <w:szCs w:val="16"/>
        </w:rPr>
        <w:t>N</w:t>
      </w:r>
      <w:r w:rsidRPr="005E6F58">
        <w:rPr>
          <w:rFonts w:ascii="Times New Roman" w:hAnsi="Times New Roman"/>
          <w:sz w:val="16"/>
          <w:szCs w:val="16"/>
        </w:rPr>
        <w:t>etwork. In 202</w:t>
      </w:r>
      <w:r w:rsidRPr="00D91DBD">
        <w:rPr>
          <w:rFonts w:ascii="Times New Roman" w:hAnsi="Times New Roman"/>
          <w:sz w:val="16"/>
          <w:szCs w:val="16"/>
        </w:rPr>
        <w:t>1</w:t>
      </w:r>
      <w:r w:rsidRPr="005E6F58">
        <w:rPr>
          <w:rFonts w:ascii="Times New Roman" w:hAnsi="Times New Roman"/>
          <w:sz w:val="16"/>
          <w:szCs w:val="16"/>
        </w:rPr>
        <w:t xml:space="preserve">, </w:t>
      </w:r>
      <w:r w:rsidRPr="00D91DBD">
        <w:rPr>
          <w:rFonts w:ascii="Times New Roman" w:hAnsi="Times New Roman"/>
          <w:sz w:val="16"/>
          <w:szCs w:val="16"/>
        </w:rPr>
        <w:t>Frontex</w:t>
      </w:r>
      <w:r w:rsidRPr="005E6F58">
        <w:rPr>
          <w:rFonts w:ascii="Times New Roman" w:hAnsi="Times New Roman"/>
          <w:sz w:val="16"/>
          <w:szCs w:val="16"/>
        </w:rPr>
        <w:t xml:space="preserve"> hosted the network, coordinating its activities and carrying out the secretariat function. </w:t>
      </w:r>
      <w:r w:rsidRPr="00D91DBD">
        <w:rPr>
          <w:rFonts w:ascii="Times New Roman" w:hAnsi="Times New Roman"/>
          <w:sz w:val="16"/>
          <w:szCs w:val="16"/>
        </w:rPr>
        <w:t>In 2022 it will be CEPOL’s turn to chair the Network. T</w:t>
      </w:r>
      <w:r w:rsidRPr="005E6F58">
        <w:rPr>
          <w:rFonts w:ascii="Times New Roman" w:hAnsi="Times New Roman"/>
          <w:sz w:val="16"/>
          <w:szCs w:val="16"/>
        </w:rPr>
        <w:t xml:space="preserve">he agencies work on a wide range of important areas, including migration and border management, drug trafficking and combating organised crime, human trafficking and gender equality. Since these areas have a lot in common, the </w:t>
      </w:r>
      <w:r w:rsidRPr="00D91DBD">
        <w:rPr>
          <w:rFonts w:ascii="Times New Roman" w:hAnsi="Times New Roman"/>
          <w:sz w:val="16"/>
          <w:szCs w:val="16"/>
        </w:rPr>
        <w:t>N</w:t>
      </w:r>
      <w:r w:rsidRPr="005E6F58">
        <w:rPr>
          <w:rFonts w:ascii="Times New Roman" w:hAnsi="Times New Roman"/>
          <w:sz w:val="16"/>
          <w:szCs w:val="16"/>
        </w:rPr>
        <w:t>etwork was established to make use of the synergies and share information.</w:t>
      </w:r>
      <w:r w:rsidRPr="00D91DBD">
        <w:rPr>
          <w:rFonts w:ascii="Times New Roman" w:hAnsi="Times New Roman"/>
          <w:sz w:val="16"/>
          <w:szCs w:val="16"/>
        </w:rPr>
        <w:t xml:space="preserve"> </w:t>
      </w:r>
      <w:r w:rsidRPr="005E6F58">
        <w:rPr>
          <w:rFonts w:ascii="Times New Roman" w:hAnsi="Times New Roman"/>
          <w:sz w:val="16"/>
          <w:szCs w:val="16"/>
        </w:rPr>
        <w:t>The hosting agency reports to the Council’s Standing Committee on Operational Cooperation on Internal</w:t>
      </w:r>
      <w:r w:rsidRPr="00D91DBD">
        <w:rPr>
          <w:rFonts w:ascii="Times New Roman" w:hAnsi="Times New Roman"/>
          <w:sz w:val="16"/>
          <w:szCs w:val="16"/>
        </w:rPr>
        <w:t xml:space="preserve"> Security (COSI) regarding the N</w:t>
      </w:r>
      <w:r w:rsidRPr="005E6F58">
        <w:rPr>
          <w:rFonts w:ascii="Times New Roman" w:hAnsi="Times New Roman"/>
          <w:sz w:val="16"/>
          <w:szCs w:val="16"/>
        </w:rPr>
        <w:t>etwork’s progress and achievements</w:t>
      </w:r>
      <w:r w:rsidRPr="00D91DBD">
        <w:rPr>
          <w:rFonts w:ascii="Times New Roman" w:hAnsi="Times New Roman"/>
          <w:sz w:val="16"/>
          <w:szCs w:val="16"/>
        </w:rPr>
        <w:t>.</w:t>
      </w:r>
    </w:p>
  </w:footnote>
  <w:footnote w:id="11">
    <w:p w14:paraId="35C1AFBE" w14:textId="57E8E0F2" w:rsidR="007E1110" w:rsidRDefault="007E1110">
      <w:pPr>
        <w:pStyle w:val="FootnoteText"/>
      </w:pPr>
      <w:r>
        <w:rPr>
          <w:rStyle w:val="FootnoteReference"/>
        </w:rPr>
        <w:footnoteRef/>
      </w:r>
      <w:r>
        <w:tab/>
      </w:r>
      <w:r w:rsidRPr="007E1110">
        <w:rPr>
          <w:rFonts w:ascii="Times New Roman" w:hAnsi="Times New Roman"/>
        </w:rPr>
        <w:t>COM(2020) 795 final</w:t>
      </w:r>
      <w:r>
        <w:rPr>
          <w:rFonts w:ascii="Times New Roman" w:hAnsi="Times New Roman"/>
        </w:rPr>
        <w:t>.</w:t>
      </w:r>
    </w:p>
  </w:footnote>
  <w:footnote w:id="12">
    <w:p w14:paraId="03BD7CA7" w14:textId="2AAF4FE9" w:rsidR="007E1110" w:rsidRDefault="007E1110">
      <w:pPr>
        <w:pStyle w:val="FootnoteText"/>
      </w:pPr>
      <w:r>
        <w:rPr>
          <w:rStyle w:val="FootnoteReference"/>
        </w:rPr>
        <w:footnoteRef/>
      </w:r>
      <w:r>
        <w:tab/>
      </w:r>
      <w:r w:rsidRPr="007E1110">
        <w:rPr>
          <w:rFonts w:ascii="Times New Roman" w:hAnsi="Times New Roman"/>
          <w:color w:val="000000"/>
          <w:shd w:val="clear" w:color="auto" w:fill="FFFFFF"/>
        </w:rPr>
        <w:t>COM(2021) 170 final.</w:t>
      </w:r>
    </w:p>
  </w:footnote>
  <w:footnote w:id="13">
    <w:p w14:paraId="7C6E454E" w14:textId="7C159C6C" w:rsidR="007E1110" w:rsidRPr="006F7070" w:rsidRDefault="007E1110">
      <w:pPr>
        <w:pStyle w:val="FootnoteText"/>
        <w:rPr>
          <w:rFonts w:ascii="Times New Roman" w:hAnsi="Times New Roman"/>
        </w:rPr>
      </w:pPr>
      <w:r>
        <w:rPr>
          <w:rStyle w:val="FootnoteReference"/>
        </w:rPr>
        <w:footnoteRef/>
      </w:r>
      <w:r>
        <w:tab/>
      </w:r>
      <w:r w:rsidR="006F7070" w:rsidRPr="006F7070">
        <w:rPr>
          <w:rFonts w:ascii="Times New Roman" w:hAnsi="Times New Roman"/>
        </w:rPr>
        <w:t>COM(2021) 171 final.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6D6B9" w14:textId="77777777" w:rsidR="00CC3217" w:rsidRPr="00CC3217" w:rsidRDefault="00CC3217" w:rsidP="00CC32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CFB75" w14:textId="77777777" w:rsidR="00CC3217" w:rsidRPr="00CC3217" w:rsidRDefault="00CC3217" w:rsidP="00CC3217">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37BDE" w14:textId="77777777" w:rsidR="00CC3217" w:rsidRPr="00CC3217" w:rsidRDefault="00CC3217" w:rsidP="00CC3217">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6FEF8" w14:textId="77777777" w:rsidR="00E17B35" w:rsidRDefault="00E17B3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17E83" w14:textId="77777777" w:rsidR="00E17B35" w:rsidRDefault="00E17B3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19A12" w14:textId="77777777" w:rsidR="00E17B35" w:rsidRDefault="00E17B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10752"/>
    <w:multiLevelType w:val="hybridMultilevel"/>
    <w:tmpl w:val="18CA5A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8E164C"/>
    <w:multiLevelType w:val="hybridMultilevel"/>
    <w:tmpl w:val="3E40777C"/>
    <w:lvl w:ilvl="0" w:tplc="74C4243E">
      <w:start w:val="1"/>
      <w:numFmt w:val="bullet"/>
      <w:pStyle w:val="Bulletpoin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C82604"/>
    <w:multiLevelType w:val="hybridMultilevel"/>
    <w:tmpl w:val="397A7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312668"/>
    <w:multiLevelType w:val="hybridMultilevel"/>
    <w:tmpl w:val="4F0C0E78"/>
    <w:lvl w:ilvl="0" w:tplc="F8D6EBCA">
      <w:start w:val="1"/>
      <w:numFmt w:val="bullet"/>
      <w:lvlText w:val="-"/>
      <w:lvlJc w:val="left"/>
      <w:pPr>
        <w:ind w:left="720" w:hanging="360"/>
      </w:pPr>
      <w:rPr>
        <w:rFonts w:ascii="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2B073F"/>
    <w:multiLevelType w:val="hybridMultilevel"/>
    <w:tmpl w:val="F2BEEA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ctiveWritingStyle w:appName="MSWord" w:lang="nl-BE"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r-BE" w:vendorID="64" w:dllVersion="131078" w:nlCheck="1" w:checkStyle="0"/>
  <w:activeWritingStyle w:appName="MSWord" w:lang="fr-FR" w:vendorID="64" w:dllVersion="131078" w:nlCheck="1" w:checkStyle="0"/>
  <w:revisionView w:markup="0"/>
  <w:defaultTabStop w:val="720"/>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9CC457CC-35B9-4E05-8278-117BDC6ED26F"/>
    <w:docVar w:name="LW_COVERPAGE_TYPE" w:val="1"/>
    <w:docVar w:name="LW_CROSSREFERENCE" w:val="{SWD(2022) 103 final}"/>
    <w:docVar w:name="LW_DocType" w:val="NORMAL"/>
    <w:docVar w:name="LW_EMISSION" w:val="6.4.2022"/>
    <w:docVar w:name="LW_EMISSION_ISODATE" w:val="2022-04-06"/>
    <w:docVar w:name="LW_EMISSION_LOCATION" w:val="BRX"/>
    <w:docVar w:name="LW_EMISSION_PREFIX" w:val="Brussels, "/>
    <w:docVar w:name="LW_EMISSION_SUFFIX" w:val=" "/>
    <w:docVar w:name="LW_ID_DOCTYPE_NONLW" w:val="CP-006"/>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22) 15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Evaluation of the European Union Agency for Law Enforcement Training _x000d__x000d__x000b__x000d__x000b_based on Article 32 of the CEPOL Regulation (EU) 2015/2219 of the European Parliament and of the Council of 25 November 2015 on the European Union Agency for Law Enforcement Training (CEPOL) and replacing and repealing Council Decision 2005/681/JHA_x000d__x000d__x000d__x000d__x000b__x000d__x000d__x000d__x000d__x000b_"/>
    <w:docVar w:name="LW_TYPE.DOC.CP" w:val="REPORT FROM THE COMMISSION TO THE EUROPEAN PARLIAMENT AND THE COUNCIL"/>
    <w:docVar w:name="LwApiVersions" w:val="LW4CoDe 1.23.2.0; LW 8.0, Build 20211117"/>
  </w:docVars>
  <w:rsids>
    <w:rsidRoot w:val="00C13F66"/>
    <w:rsid w:val="00001B2D"/>
    <w:rsid w:val="000362EB"/>
    <w:rsid w:val="00040121"/>
    <w:rsid w:val="00061E44"/>
    <w:rsid w:val="000722FC"/>
    <w:rsid w:val="00080A07"/>
    <w:rsid w:val="00083D49"/>
    <w:rsid w:val="00090599"/>
    <w:rsid w:val="000919D5"/>
    <w:rsid w:val="000A76D7"/>
    <w:rsid w:val="000A787A"/>
    <w:rsid w:val="000C5913"/>
    <w:rsid w:val="000C5F05"/>
    <w:rsid w:val="000C7EA9"/>
    <w:rsid w:val="000D076F"/>
    <w:rsid w:val="000D17DB"/>
    <w:rsid w:val="000D4682"/>
    <w:rsid w:val="000E2F40"/>
    <w:rsid w:val="000E6CE4"/>
    <w:rsid w:val="000F57FF"/>
    <w:rsid w:val="00102F20"/>
    <w:rsid w:val="00103B66"/>
    <w:rsid w:val="00121596"/>
    <w:rsid w:val="001275BB"/>
    <w:rsid w:val="001360C6"/>
    <w:rsid w:val="00137CBF"/>
    <w:rsid w:val="00146B40"/>
    <w:rsid w:val="00153386"/>
    <w:rsid w:val="00186F9C"/>
    <w:rsid w:val="001928B3"/>
    <w:rsid w:val="001A05BD"/>
    <w:rsid w:val="001A190A"/>
    <w:rsid w:val="001A7092"/>
    <w:rsid w:val="001B583A"/>
    <w:rsid w:val="001F10D5"/>
    <w:rsid w:val="001F7C5E"/>
    <w:rsid w:val="00205C32"/>
    <w:rsid w:val="002106E3"/>
    <w:rsid w:val="00214DA6"/>
    <w:rsid w:val="0022219A"/>
    <w:rsid w:val="00236FE3"/>
    <w:rsid w:val="00237CE3"/>
    <w:rsid w:val="00243F2F"/>
    <w:rsid w:val="00250061"/>
    <w:rsid w:val="002572C8"/>
    <w:rsid w:val="00262952"/>
    <w:rsid w:val="00276AE8"/>
    <w:rsid w:val="002810B0"/>
    <w:rsid w:val="002832EA"/>
    <w:rsid w:val="00291AE7"/>
    <w:rsid w:val="0029486B"/>
    <w:rsid w:val="002B22AB"/>
    <w:rsid w:val="002B38D7"/>
    <w:rsid w:val="002B4B82"/>
    <w:rsid w:val="002C1726"/>
    <w:rsid w:val="002D5314"/>
    <w:rsid w:val="002E06D6"/>
    <w:rsid w:val="002F1767"/>
    <w:rsid w:val="002F18DE"/>
    <w:rsid w:val="00305B48"/>
    <w:rsid w:val="00310763"/>
    <w:rsid w:val="003161F3"/>
    <w:rsid w:val="0032198E"/>
    <w:rsid w:val="003234FE"/>
    <w:rsid w:val="00323FFB"/>
    <w:rsid w:val="00327124"/>
    <w:rsid w:val="00331419"/>
    <w:rsid w:val="0034150F"/>
    <w:rsid w:val="00345F0A"/>
    <w:rsid w:val="003651E6"/>
    <w:rsid w:val="00374CEA"/>
    <w:rsid w:val="00375BCD"/>
    <w:rsid w:val="00384152"/>
    <w:rsid w:val="003853C5"/>
    <w:rsid w:val="00397C71"/>
    <w:rsid w:val="003A3C84"/>
    <w:rsid w:val="003A5EF9"/>
    <w:rsid w:val="003A7427"/>
    <w:rsid w:val="003B06E1"/>
    <w:rsid w:val="003B5011"/>
    <w:rsid w:val="003D7D20"/>
    <w:rsid w:val="003F1C7F"/>
    <w:rsid w:val="00405FF8"/>
    <w:rsid w:val="00406D84"/>
    <w:rsid w:val="00414B70"/>
    <w:rsid w:val="00441F70"/>
    <w:rsid w:val="00442243"/>
    <w:rsid w:val="00443448"/>
    <w:rsid w:val="00445DB7"/>
    <w:rsid w:val="00446EA0"/>
    <w:rsid w:val="00451956"/>
    <w:rsid w:val="00455ED4"/>
    <w:rsid w:val="0045667B"/>
    <w:rsid w:val="00462901"/>
    <w:rsid w:val="00470756"/>
    <w:rsid w:val="00487885"/>
    <w:rsid w:val="00493919"/>
    <w:rsid w:val="00493F5F"/>
    <w:rsid w:val="004C7D01"/>
    <w:rsid w:val="004D124C"/>
    <w:rsid w:val="004D367F"/>
    <w:rsid w:val="004E2EDD"/>
    <w:rsid w:val="004E4D31"/>
    <w:rsid w:val="004E727F"/>
    <w:rsid w:val="004F0E6D"/>
    <w:rsid w:val="005027F9"/>
    <w:rsid w:val="005103DF"/>
    <w:rsid w:val="005217D4"/>
    <w:rsid w:val="00521C28"/>
    <w:rsid w:val="005265FF"/>
    <w:rsid w:val="0053641B"/>
    <w:rsid w:val="00545BA9"/>
    <w:rsid w:val="00565859"/>
    <w:rsid w:val="0058059D"/>
    <w:rsid w:val="005A0BA7"/>
    <w:rsid w:val="005A24F3"/>
    <w:rsid w:val="005A3158"/>
    <w:rsid w:val="005B2691"/>
    <w:rsid w:val="005C4DE8"/>
    <w:rsid w:val="005D458B"/>
    <w:rsid w:val="005D747C"/>
    <w:rsid w:val="005D76A1"/>
    <w:rsid w:val="005E657E"/>
    <w:rsid w:val="005E6F58"/>
    <w:rsid w:val="005F194B"/>
    <w:rsid w:val="005F2B13"/>
    <w:rsid w:val="006010F5"/>
    <w:rsid w:val="00612E34"/>
    <w:rsid w:val="00622B19"/>
    <w:rsid w:val="0062421B"/>
    <w:rsid w:val="00630F75"/>
    <w:rsid w:val="006325DE"/>
    <w:rsid w:val="00635EE0"/>
    <w:rsid w:val="00641371"/>
    <w:rsid w:val="00677B3A"/>
    <w:rsid w:val="006B4003"/>
    <w:rsid w:val="006E102A"/>
    <w:rsid w:val="006F099D"/>
    <w:rsid w:val="006F7070"/>
    <w:rsid w:val="00705DC9"/>
    <w:rsid w:val="00716625"/>
    <w:rsid w:val="00722D0D"/>
    <w:rsid w:val="00723E3A"/>
    <w:rsid w:val="00724843"/>
    <w:rsid w:val="00725DD9"/>
    <w:rsid w:val="00727E72"/>
    <w:rsid w:val="00741DD0"/>
    <w:rsid w:val="007423BF"/>
    <w:rsid w:val="00742E74"/>
    <w:rsid w:val="00744FC3"/>
    <w:rsid w:val="007452A4"/>
    <w:rsid w:val="00756943"/>
    <w:rsid w:val="007644C5"/>
    <w:rsid w:val="0078009C"/>
    <w:rsid w:val="00781FA7"/>
    <w:rsid w:val="00793AD6"/>
    <w:rsid w:val="007A0A15"/>
    <w:rsid w:val="007A47AE"/>
    <w:rsid w:val="007A53AD"/>
    <w:rsid w:val="007C25A8"/>
    <w:rsid w:val="007C4859"/>
    <w:rsid w:val="007D1197"/>
    <w:rsid w:val="007D145C"/>
    <w:rsid w:val="007D18C1"/>
    <w:rsid w:val="007D3284"/>
    <w:rsid w:val="007D5FB8"/>
    <w:rsid w:val="007E1110"/>
    <w:rsid w:val="007E458B"/>
    <w:rsid w:val="007E4EDF"/>
    <w:rsid w:val="007F6335"/>
    <w:rsid w:val="00807182"/>
    <w:rsid w:val="00811283"/>
    <w:rsid w:val="00815715"/>
    <w:rsid w:val="00820D62"/>
    <w:rsid w:val="008310F5"/>
    <w:rsid w:val="008328DB"/>
    <w:rsid w:val="00841544"/>
    <w:rsid w:val="00856ADB"/>
    <w:rsid w:val="00860E15"/>
    <w:rsid w:val="0087076B"/>
    <w:rsid w:val="00871195"/>
    <w:rsid w:val="00871432"/>
    <w:rsid w:val="00874772"/>
    <w:rsid w:val="00892F90"/>
    <w:rsid w:val="00896638"/>
    <w:rsid w:val="008B0D6C"/>
    <w:rsid w:val="008D03ED"/>
    <w:rsid w:val="008D1C58"/>
    <w:rsid w:val="008D2CA7"/>
    <w:rsid w:val="008D61FD"/>
    <w:rsid w:val="008E3B19"/>
    <w:rsid w:val="00901B33"/>
    <w:rsid w:val="009052B8"/>
    <w:rsid w:val="00926CCB"/>
    <w:rsid w:val="00930DDE"/>
    <w:rsid w:val="009344EE"/>
    <w:rsid w:val="00942E33"/>
    <w:rsid w:val="00952B36"/>
    <w:rsid w:val="009707E4"/>
    <w:rsid w:val="00976793"/>
    <w:rsid w:val="009767F3"/>
    <w:rsid w:val="00986B79"/>
    <w:rsid w:val="009909ED"/>
    <w:rsid w:val="00992CD4"/>
    <w:rsid w:val="00996B97"/>
    <w:rsid w:val="009B3DA7"/>
    <w:rsid w:val="009B7B72"/>
    <w:rsid w:val="009C20BC"/>
    <w:rsid w:val="009E023B"/>
    <w:rsid w:val="00A0372D"/>
    <w:rsid w:val="00A145A0"/>
    <w:rsid w:val="00A1728D"/>
    <w:rsid w:val="00A35A23"/>
    <w:rsid w:val="00A4108A"/>
    <w:rsid w:val="00A47257"/>
    <w:rsid w:val="00A56D67"/>
    <w:rsid w:val="00A74099"/>
    <w:rsid w:val="00A86CC4"/>
    <w:rsid w:val="00A94A02"/>
    <w:rsid w:val="00AA508C"/>
    <w:rsid w:val="00AA7E65"/>
    <w:rsid w:val="00AB006B"/>
    <w:rsid w:val="00AB4806"/>
    <w:rsid w:val="00AD2A14"/>
    <w:rsid w:val="00AD3B7C"/>
    <w:rsid w:val="00B01076"/>
    <w:rsid w:val="00B073A3"/>
    <w:rsid w:val="00B166D7"/>
    <w:rsid w:val="00B63C13"/>
    <w:rsid w:val="00B67839"/>
    <w:rsid w:val="00B82653"/>
    <w:rsid w:val="00BA4AA6"/>
    <w:rsid w:val="00BB0591"/>
    <w:rsid w:val="00BB2D61"/>
    <w:rsid w:val="00BC07A9"/>
    <w:rsid w:val="00BC737E"/>
    <w:rsid w:val="00BC7438"/>
    <w:rsid w:val="00BD000D"/>
    <w:rsid w:val="00BD7FFE"/>
    <w:rsid w:val="00BE5FF9"/>
    <w:rsid w:val="00BE6C2D"/>
    <w:rsid w:val="00BF3753"/>
    <w:rsid w:val="00C014C4"/>
    <w:rsid w:val="00C1338B"/>
    <w:rsid w:val="00C13F66"/>
    <w:rsid w:val="00C20B0F"/>
    <w:rsid w:val="00C4283F"/>
    <w:rsid w:val="00C42EF6"/>
    <w:rsid w:val="00C43DC6"/>
    <w:rsid w:val="00C5066E"/>
    <w:rsid w:val="00C568BE"/>
    <w:rsid w:val="00C57FB1"/>
    <w:rsid w:val="00C60B32"/>
    <w:rsid w:val="00C75627"/>
    <w:rsid w:val="00C77DBF"/>
    <w:rsid w:val="00C868C1"/>
    <w:rsid w:val="00C91D93"/>
    <w:rsid w:val="00C94233"/>
    <w:rsid w:val="00C97B4D"/>
    <w:rsid w:val="00CA530B"/>
    <w:rsid w:val="00CC3217"/>
    <w:rsid w:val="00CD35D7"/>
    <w:rsid w:val="00CE0F32"/>
    <w:rsid w:val="00CF5CA0"/>
    <w:rsid w:val="00D113BD"/>
    <w:rsid w:val="00D27FEF"/>
    <w:rsid w:val="00D4014E"/>
    <w:rsid w:val="00D41AEC"/>
    <w:rsid w:val="00D42869"/>
    <w:rsid w:val="00D433AA"/>
    <w:rsid w:val="00D55A63"/>
    <w:rsid w:val="00D56FA1"/>
    <w:rsid w:val="00D61929"/>
    <w:rsid w:val="00D62D1C"/>
    <w:rsid w:val="00D640CE"/>
    <w:rsid w:val="00D678C0"/>
    <w:rsid w:val="00D763EC"/>
    <w:rsid w:val="00D84705"/>
    <w:rsid w:val="00D87339"/>
    <w:rsid w:val="00D91AA0"/>
    <w:rsid w:val="00D91DBD"/>
    <w:rsid w:val="00D95A9A"/>
    <w:rsid w:val="00DA4C5B"/>
    <w:rsid w:val="00DC4721"/>
    <w:rsid w:val="00DD3EF5"/>
    <w:rsid w:val="00DD7CE8"/>
    <w:rsid w:val="00DE38E7"/>
    <w:rsid w:val="00DF301A"/>
    <w:rsid w:val="00E141C3"/>
    <w:rsid w:val="00E14807"/>
    <w:rsid w:val="00E17B35"/>
    <w:rsid w:val="00E20D2E"/>
    <w:rsid w:val="00E36FC1"/>
    <w:rsid w:val="00E421B7"/>
    <w:rsid w:val="00E436E8"/>
    <w:rsid w:val="00E52F93"/>
    <w:rsid w:val="00E556EA"/>
    <w:rsid w:val="00E85B01"/>
    <w:rsid w:val="00E94730"/>
    <w:rsid w:val="00EA1428"/>
    <w:rsid w:val="00EA515E"/>
    <w:rsid w:val="00EB0FD6"/>
    <w:rsid w:val="00EC376D"/>
    <w:rsid w:val="00EC5AFA"/>
    <w:rsid w:val="00ED5B0B"/>
    <w:rsid w:val="00ED6E9F"/>
    <w:rsid w:val="00EE410D"/>
    <w:rsid w:val="00EE43D4"/>
    <w:rsid w:val="00EF30F9"/>
    <w:rsid w:val="00F004BD"/>
    <w:rsid w:val="00F00BA1"/>
    <w:rsid w:val="00F11ADF"/>
    <w:rsid w:val="00F25C58"/>
    <w:rsid w:val="00F311AA"/>
    <w:rsid w:val="00F32D8E"/>
    <w:rsid w:val="00F379CC"/>
    <w:rsid w:val="00F41D05"/>
    <w:rsid w:val="00F62F38"/>
    <w:rsid w:val="00F63FDB"/>
    <w:rsid w:val="00F6593E"/>
    <w:rsid w:val="00F66586"/>
    <w:rsid w:val="00F9562F"/>
    <w:rsid w:val="00F9619A"/>
    <w:rsid w:val="00FA3B6C"/>
    <w:rsid w:val="00FB2056"/>
    <w:rsid w:val="00FE40B8"/>
    <w:rsid w:val="00FE7967"/>
    <w:rsid w:val="00FF306D"/>
    <w:rsid w:val="01DC6EB6"/>
    <w:rsid w:val="0E5C8C4C"/>
    <w:rsid w:val="312B4337"/>
    <w:rsid w:val="556305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7D9E4A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3F66"/>
    <w:pPr>
      <w:spacing w:after="240" w:line="240" w:lineRule="auto"/>
      <w:jc w:val="both"/>
    </w:pPr>
    <w:rPr>
      <w:rFonts w:ascii="Verdana" w:eastAsia="Calibri" w:hAnsi="Verdana" w:cs="Times New Roman"/>
      <w:sz w:val="18"/>
      <w:szCs w:val="20"/>
    </w:rPr>
  </w:style>
  <w:style w:type="paragraph" w:styleId="Heading1">
    <w:name w:val="heading 1"/>
    <w:basedOn w:val="Normal"/>
    <w:next w:val="Normal"/>
    <w:link w:val="Heading1Char"/>
    <w:uiPriority w:val="9"/>
    <w:qFormat/>
    <w:rsid w:val="007D18C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B059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Document,Doc,Body Text2,doc,Standard paragraph,BodyText, (Norm),Body Text 12,bt,gl,uvlaka 2,(Norm),heading3,Body Text - Level 2,1body,BodText,body text,Body Txt,Body Text-10,Body Text Char2,Text Char1,Τίτλος Μελέτης,- TF,Te,-"/>
    <w:basedOn w:val="Normal"/>
    <w:link w:val="BodyTextChar"/>
    <w:qFormat/>
    <w:rsid w:val="00C13F66"/>
    <w:pPr>
      <w:spacing w:after="120"/>
    </w:pPr>
  </w:style>
  <w:style w:type="character" w:customStyle="1" w:styleId="BodyTextChar">
    <w:name w:val="Body Text Char"/>
    <w:aliases w:val="Document Char,Doc Char,Body Text2 Char,doc Char,Standard paragraph Char,BodyText Char, (Norm) Char,Body Text 12 Char,bt Char,gl Char,uvlaka 2 Char,(Norm) Char,heading3 Char,Body Text - Level 2 Char,1body Char,BodText Char,body text Char"/>
    <w:basedOn w:val="DefaultParagraphFont"/>
    <w:link w:val="BodyText"/>
    <w:rsid w:val="00C13F66"/>
    <w:rPr>
      <w:rFonts w:ascii="Verdana" w:eastAsia="Calibri" w:hAnsi="Verdana" w:cs="Times New Roman"/>
      <w:sz w:val="18"/>
      <w:szCs w:val="20"/>
    </w:rPr>
  </w:style>
  <w:style w:type="paragraph" w:styleId="Caption">
    <w:name w:val="caption"/>
    <w:aliases w:val="TABLE CAPTION,Caption (ALL),Caption - Centre Graphic,Caption (all),Inscription,Beschriftung Char Char Char,Beschriftung Char,Caption2,figura,figura1,figura2,ITT d,Table Title,cp + Justified,Left:  2,5 cm,First ...,cp,ref,Fig &amp; Table Title,Ca,Ch"/>
    <w:basedOn w:val="Normal"/>
    <w:next w:val="Normal"/>
    <w:link w:val="CaptionChar"/>
    <w:qFormat/>
    <w:rsid w:val="00C13F66"/>
    <w:pPr>
      <w:keepNext/>
      <w:keepLines/>
      <w:spacing w:before="120" w:after="60"/>
      <w:jc w:val="center"/>
    </w:pPr>
    <w:rPr>
      <w:b/>
    </w:rPr>
  </w:style>
  <w:style w:type="paragraph" w:styleId="FootnoteText">
    <w:name w:val="footnote text"/>
    <w:aliases w:val="Fußnotentextf,Note de bas de page Car Car,Note de bas de page Car Car Car Car Car,Note de bas de page Car Car Car Car,Note de bas de page Car Car Car,stile 1,Footnote,Footnote1,Footnote2,Footnote3,Footnote4,Footnote5,Footnote6,ft,Fußnote,o"/>
    <w:basedOn w:val="Normal"/>
    <w:link w:val="FootnoteTextChar"/>
    <w:uiPriority w:val="99"/>
    <w:qFormat/>
    <w:rsid w:val="00C13F66"/>
    <w:pPr>
      <w:spacing w:after="0"/>
    </w:pPr>
    <w:rPr>
      <w:sz w:val="16"/>
    </w:rPr>
  </w:style>
  <w:style w:type="character" w:customStyle="1" w:styleId="FootnoteTextChar">
    <w:name w:val="Footnote Text Char"/>
    <w:aliases w:val="Fußnotentextf Char,Note de bas de page Car Car Char,Note de bas de page Car Car Car Car Car Char,Note de bas de page Car Car Car Car Char,Note de bas de page Car Car Car Char,stile 1 Char,Footnote Char,Footnote1 Char,Footnote2 Char"/>
    <w:basedOn w:val="DefaultParagraphFont"/>
    <w:link w:val="FootnoteText"/>
    <w:uiPriority w:val="99"/>
    <w:qFormat/>
    <w:rsid w:val="00C13F66"/>
    <w:rPr>
      <w:rFonts w:ascii="Verdana" w:eastAsia="Calibri" w:hAnsi="Verdana" w:cs="Times New Roman"/>
      <w:sz w:val="16"/>
      <w:szCs w:val="20"/>
    </w:rPr>
  </w:style>
  <w:style w:type="character" w:styleId="Hyperlink">
    <w:name w:val="Hyperlink"/>
    <w:basedOn w:val="DefaultParagraphFont"/>
    <w:uiPriority w:val="99"/>
    <w:rsid w:val="00C13F66"/>
    <w:rPr>
      <w:rFonts w:cs="Times New Roman"/>
      <w:color w:val="0000FF"/>
      <w:u w:val="single"/>
    </w:rPr>
  </w:style>
  <w:style w:type="character" w:styleId="FootnoteReference">
    <w:name w:val="footnote reference"/>
    <w:aliases w:val="Footnote Reference Superscript,Footnote symbol,Voetnootverwijzing,Times 10 Point,Exposant 3 Point,Footnote Reference Number,Footnote reference number,Ref,de nota al pie,note TESI,SUPERS,EN Footnote Reference,footnote ref,FR,Footnote7"/>
    <w:basedOn w:val="Emphasis"/>
    <w:link w:val="SUPERSCharCharCharCharCharCharCharChar"/>
    <w:uiPriority w:val="99"/>
    <w:qFormat/>
    <w:rsid w:val="00C13F66"/>
    <w:rPr>
      <w:rFonts w:ascii="Verdana" w:eastAsia="Calibri" w:hAnsi="Verdana"/>
      <w:i w:val="0"/>
      <w:iCs w:val="0"/>
      <w:vertAlign w:val="superscript"/>
    </w:rPr>
  </w:style>
  <w:style w:type="paragraph" w:customStyle="1" w:styleId="Bulletpoint1">
    <w:name w:val="Bullet point1"/>
    <w:basedOn w:val="ListParagraph"/>
    <w:link w:val="Bulletpoint1Char"/>
    <w:qFormat/>
    <w:rsid w:val="00C13F66"/>
    <w:pPr>
      <w:numPr>
        <w:numId w:val="1"/>
      </w:numPr>
    </w:pPr>
  </w:style>
  <w:style w:type="character" w:customStyle="1" w:styleId="Bulletpoint1Char">
    <w:name w:val="Bullet point1 Char"/>
    <w:basedOn w:val="DefaultParagraphFont"/>
    <w:link w:val="Bulletpoint1"/>
    <w:locked/>
    <w:rsid w:val="00C13F66"/>
    <w:rPr>
      <w:rFonts w:ascii="Verdana" w:eastAsia="Calibri" w:hAnsi="Verdana" w:cs="Times New Roman"/>
      <w:sz w:val="18"/>
      <w:szCs w:val="20"/>
    </w:rPr>
  </w:style>
  <w:style w:type="paragraph" w:customStyle="1" w:styleId="Body">
    <w:name w:val="Body"/>
    <w:basedOn w:val="Normal"/>
    <w:link w:val="BodyChar"/>
    <w:qFormat/>
    <w:rsid w:val="00C13F66"/>
  </w:style>
  <w:style w:type="character" w:customStyle="1" w:styleId="BodyChar">
    <w:name w:val="Body Char"/>
    <w:link w:val="Body"/>
    <w:locked/>
    <w:rsid w:val="00C13F66"/>
    <w:rPr>
      <w:rFonts w:ascii="Verdana" w:eastAsia="Calibri" w:hAnsi="Verdana" w:cs="Times New Roman"/>
      <w:sz w:val="18"/>
      <w:szCs w:val="20"/>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qFormat/>
    <w:rsid w:val="00C13F66"/>
    <w:pPr>
      <w:spacing w:before="60" w:after="160" w:line="240" w:lineRule="exact"/>
    </w:pPr>
    <w:rPr>
      <w:rFonts w:cstheme="minorBidi"/>
      <w:sz w:val="22"/>
      <w:szCs w:val="22"/>
      <w:vertAlign w:val="superscript"/>
    </w:rPr>
  </w:style>
  <w:style w:type="character" w:customStyle="1" w:styleId="CaptionChar">
    <w:name w:val="Caption Char"/>
    <w:aliases w:val="TABLE CAPTION Char,Caption (ALL) Char,Caption - Centre Graphic Char,Caption (all) Char,Inscription Char,Beschriftung Char Char Char Char,Beschriftung Char Char,Caption2 Char,figura Char,figura1 Char,figura2 Char,ITT d Char,Table Title Char"/>
    <w:basedOn w:val="DefaultParagraphFont"/>
    <w:link w:val="Caption"/>
    <w:qFormat/>
    <w:locked/>
    <w:rsid w:val="00C13F66"/>
    <w:rPr>
      <w:rFonts w:ascii="Verdana" w:eastAsia="Calibri" w:hAnsi="Verdana" w:cs="Times New Roman"/>
      <w:b/>
      <w:sz w:val="18"/>
      <w:szCs w:val="20"/>
    </w:rPr>
  </w:style>
  <w:style w:type="paragraph" w:customStyle="1" w:styleId="Table">
    <w:name w:val="Table"/>
    <w:basedOn w:val="Normal"/>
    <w:link w:val="TableChar"/>
    <w:qFormat/>
    <w:rsid w:val="00C13F66"/>
    <w:pPr>
      <w:spacing w:after="60"/>
    </w:pPr>
    <w:rPr>
      <w:sz w:val="16"/>
      <w:szCs w:val="16"/>
      <w:lang w:val="en-US"/>
    </w:rPr>
  </w:style>
  <w:style w:type="character" w:customStyle="1" w:styleId="TableChar">
    <w:name w:val="Table Char"/>
    <w:basedOn w:val="DefaultParagraphFont"/>
    <w:link w:val="Table"/>
    <w:rsid w:val="00C13F66"/>
    <w:rPr>
      <w:rFonts w:ascii="Verdana" w:eastAsia="Calibri" w:hAnsi="Verdana" w:cs="Times New Roman"/>
      <w:sz w:val="16"/>
      <w:szCs w:val="16"/>
      <w:lang w:val="en-US"/>
    </w:rPr>
  </w:style>
  <w:style w:type="paragraph" w:customStyle="1" w:styleId="Boxtext">
    <w:name w:val="Box text"/>
    <w:basedOn w:val="Normal"/>
    <w:link w:val="BoxtextChar"/>
    <w:qFormat/>
    <w:rsid w:val="00C13F66"/>
    <w:pPr>
      <w:spacing w:before="240" w:after="0"/>
    </w:pPr>
    <w:rPr>
      <w:rFonts w:ascii="EYInterstate Light" w:hAnsi="EYInterstate Light"/>
      <w:szCs w:val="18"/>
    </w:rPr>
  </w:style>
  <w:style w:type="table" w:customStyle="1" w:styleId="CV111">
    <w:name w:val="CV111"/>
    <w:basedOn w:val="TableNormal"/>
    <w:next w:val="TableGrid"/>
    <w:rsid w:val="00C13F66"/>
    <w:pPr>
      <w:spacing w:after="0" w:line="240" w:lineRule="auto"/>
    </w:pPr>
    <w:rPr>
      <w:rFonts w:ascii="Verdana" w:eastAsia="Times New Roman" w:hAnsi="Verdana" w:cs="Times New Roman"/>
      <w:sz w:val="18"/>
      <w:szCs w:val="20"/>
      <w:lang w:val="nl-BE" w:eastAsia="nl-BE"/>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rPr>
        <w:rFonts w:cs="Times New Roman"/>
        <w:color w:val="FFFFFF"/>
      </w:rPr>
      <w:tblPr/>
      <w:tcPr>
        <w:shd w:val="clear" w:color="auto" w:fill="00AEF0"/>
      </w:tcPr>
    </w:tblStylePr>
  </w:style>
  <w:style w:type="character" w:customStyle="1" w:styleId="BoxtextChar">
    <w:name w:val="Box text Char"/>
    <w:basedOn w:val="BodyChar"/>
    <w:link w:val="Boxtext"/>
    <w:rsid w:val="00C13F66"/>
    <w:rPr>
      <w:rFonts w:ascii="EYInterstate Light" w:eastAsia="Calibri" w:hAnsi="EYInterstate Light" w:cs="Times New Roman"/>
      <w:sz w:val="18"/>
      <w:szCs w:val="18"/>
    </w:rPr>
  </w:style>
  <w:style w:type="character" w:styleId="Emphasis">
    <w:name w:val="Emphasis"/>
    <w:basedOn w:val="DefaultParagraphFont"/>
    <w:uiPriority w:val="20"/>
    <w:qFormat/>
    <w:rsid w:val="00C13F66"/>
    <w:rPr>
      <w:i/>
      <w:iCs/>
    </w:rPr>
  </w:style>
  <w:style w:type="paragraph" w:styleId="ListParagraph">
    <w:name w:val="List Paragraph"/>
    <w:basedOn w:val="Normal"/>
    <w:uiPriority w:val="34"/>
    <w:qFormat/>
    <w:rsid w:val="00C13F66"/>
    <w:pPr>
      <w:ind w:left="720"/>
      <w:contextualSpacing/>
    </w:pPr>
  </w:style>
  <w:style w:type="table" w:styleId="TableGrid">
    <w:name w:val="Table Grid"/>
    <w:basedOn w:val="TableNormal"/>
    <w:uiPriority w:val="39"/>
    <w:rsid w:val="00C13F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D18C1"/>
    <w:rPr>
      <w:rFonts w:asciiTheme="majorHAnsi" w:eastAsiaTheme="majorEastAsia" w:hAnsiTheme="majorHAnsi" w:cstheme="majorBidi"/>
      <w:color w:val="2E74B5" w:themeColor="accent1" w:themeShade="BF"/>
      <w:sz w:val="32"/>
      <w:szCs w:val="32"/>
    </w:rPr>
  </w:style>
  <w:style w:type="character" w:customStyle="1" w:styleId="Marker">
    <w:name w:val="Marker"/>
    <w:basedOn w:val="DefaultParagraphFont"/>
    <w:rsid w:val="00EE43D4"/>
    <w:rPr>
      <w:color w:val="0000FF"/>
      <w:shd w:val="clear" w:color="auto" w:fill="auto"/>
    </w:rPr>
  </w:style>
  <w:style w:type="paragraph" w:customStyle="1" w:styleId="Pagedecouverture">
    <w:name w:val="Page de couverture"/>
    <w:basedOn w:val="Normal"/>
    <w:next w:val="Normal"/>
    <w:rsid w:val="00EE43D4"/>
    <w:pPr>
      <w:spacing w:after="0"/>
    </w:pPr>
    <w:rPr>
      <w:rFonts w:ascii="Times New Roman" w:eastAsiaTheme="minorHAnsi" w:hAnsi="Times New Roman"/>
      <w:sz w:val="24"/>
      <w:szCs w:val="22"/>
    </w:rPr>
  </w:style>
  <w:style w:type="paragraph" w:styleId="Header">
    <w:name w:val="header"/>
    <w:basedOn w:val="Normal"/>
    <w:link w:val="HeaderChar"/>
    <w:uiPriority w:val="99"/>
    <w:unhideWhenUsed/>
    <w:rsid w:val="00EE43D4"/>
    <w:pPr>
      <w:tabs>
        <w:tab w:val="center" w:pos="4513"/>
        <w:tab w:val="right" w:pos="9026"/>
      </w:tabs>
      <w:spacing w:after="0"/>
    </w:pPr>
  </w:style>
  <w:style w:type="character" w:customStyle="1" w:styleId="HeaderChar">
    <w:name w:val="Header Char"/>
    <w:basedOn w:val="DefaultParagraphFont"/>
    <w:link w:val="Header"/>
    <w:uiPriority w:val="99"/>
    <w:rsid w:val="00EE43D4"/>
    <w:rPr>
      <w:rFonts w:ascii="Verdana" w:eastAsia="Calibri" w:hAnsi="Verdana" w:cs="Times New Roman"/>
      <w:sz w:val="18"/>
      <w:szCs w:val="20"/>
    </w:rPr>
  </w:style>
  <w:style w:type="paragraph" w:styleId="Footer">
    <w:name w:val="footer"/>
    <w:basedOn w:val="Normal"/>
    <w:link w:val="FooterChar"/>
    <w:uiPriority w:val="99"/>
    <w:unhideWhenUsed/>
    <w:rsid w:val="00EE43D4"/>
    <w:pPr>
      <w:tabs>
        <w:tab w:val="center" w:pos="4513"/>
        <w:tab w:val="right" w:pos="9026"/>
      </w:tabs>
      <w:spacing w:after="0"/>
    </w:pPr>
  </w:style>
  <w:style w:type="character" w:customStyle="1" w:styleId="FooterChar">
    <w:name w:val="Footer Char"/>
    <w:basedOn w:val="DefaultParagraphFont"/>
    <w:link w:val="Footer"/>
    <w:uiPriority w:val="99"/>
    <w:rsid w:val="00EE43D4"/>
    <w:rPr>
      <w:rFonts w:ascii="Verdana" w:eastAsia="Calibri" w:hAnsi="Verdana" w:cs="Times New Roman"/>
      <w:sz w:val="18"/>
      <w:szCs w:val="20"/>
    </w:rPr>
  </w:style>
  <w:style w:type="paragraph" w:customStyle="1" w:styleId="FooterCoverPage">
    <w:name w:val="Footer Cover Page"/>
    <w:basedOn w:val="Normal"/>
    <w:link w:val="FooterCoverPageChar"/>
    <w:rsid w:val="00EE43D4"/>
    <w:pPr>
      <w:tabs>
        <w:tab w:val="center" w:pos="4535"/>
        <w:tab w:val="right" w:pos="9071"/>
        <w:tab w:val="right" w:pos="9921"/>
      </w:tabs>
      <w:spacing w:before="360" w:after="0"/>
      <w:ind w:left="-850" w:right="-850"/>
      <w:jc w:val="left"/>
    </w:pPr>
    <w:rPr>
      <w:rFonts w:ascii="Times New Roman" w:hAnsi="Times New Roman"/>
      <w:sz w:val="24"/>
    </w:rPr>
  </w:style>
  <w:style w:type="character" w:customStyle="1" w:styleId="FooterCoverPageChar">
    <w:name w:val="Footer Cover Page Char"/>
    <w:basedOn w:val="Heading1Char"/>
    <w:link w:val="FooterCoverPage"/>
    <w:rsid w:val="00EE43D4"/>
    <w:rPr>
      <w:rFonts w:ascii="Times New Roman" w:eastAsia="Calibri" w:hAnsi="Times New Roman" w:cs="Times New Roman"/>
      <w:color w:val="2E74B5" w:themeColor="accent1" w:themeShade="BF"/>
      <w:sz w:val="24"/>
      <w:szCs w:val="20"/>
    </w:rPr>
  </w:style>
  <w:style w:type="paragraph" w:customStyle="1" w:styleId="FooterSensitivity">
    <w:name w:val="Footer Sensitivity"/>
    <w:basedOn w:val="Normal"/>
    <w:link w:val="FooterSensitivityChar"/>
    <w:rsid w:val="00EE43D4"/>
    <w:pPr>
      <w:pBdr>
        <w:top w:val="single" w:sz="4" w:space="1" w:color="auto"/>
        <w:left w:val="single" w:sz="4" w:space="4" w:color="auto"/>
        <w:bottom w:val="single" w:sz="4" w:space="1" w:color="auto"/>
        <w:right w:val="single" w:sz="4" w:space="4" w:color="auto"/>
      </w:pBdr>
      <w:spacing w:before="360" w:after="0"/>
      <w:ind w:left="113" w:right="113"/>
      <w:jc w:val="center"/>
    </w:pPr>
    <w:rPr>
      <w:rFonts w:ascii="Times New Roman" w:hAnsi="Times New Roman"/>
      <w:b/>
      <w:sz w:val="32"/>
    </w:rPr>
  </w:style>
  <w:style w:type="character" w:customStyle="1" w:styleId="FooterSensitivityChar">
    <w:name w:val="Footer Sensitivity Char"/>
    <w:basedOn w:val="Heading1Char"/>
    <w:link w:val="FooterSensitivity"/>
    <w:rsid w:val="00EE43D4"/>
    <w:rPr>
      <w:rFonts w:ascii="Times New Roman" w:eastAsia="Calibri" w:hAnsi="Times New Roman" w:cs="Times New Roman"/>
      <w:b/>
      <w:color w:val="2E74B5" w:themeColor="accent1" w:themeShade="BF"/>
      <w:sz w:val="32"/>
      <w:szCs w:val="20"/>
    </w:rPr>
  </w:style>
  <w:style w:type="paragraph" w:customStyle="1" w:styleId="HeaderCoverPage">
    <w:name w:val="Header Cover Page"/>
    <w:basedOn w:val="Normal"/>
    <w:link w:val="HeaderCoverPageChar"/>
    <w:rsid w:val="00EE43D4"/>
    <w:pPr>
      <w:tabs>
        <w:tab w:val="center" w:pos="4535"/>
        <w:tab w:val="right" w:pos="9071"/>
      </w:tabs>
      <w:spacing w:after="120"/>
    </w:pPr>
    <w:rPr>
      <w:rFonts w:ascii="Times New Roman" w:hAnsi="Times New Roman"/>
      <w:sz w:val="24"/>
    </w:rPr>
  </w:style>
  <w:style w:type="character" w:customStyle="1" w:styleId="HeaderCoverPageChar">
    <w:name w:val="Header Cover Page Char"/>
    <w:basedOn w:val="Heading1Char"/>
    <w:link w:val="HeaderCoverPage"/>
    <w:rsid w:val="00EE43D4"/>
    <w:rPr>
      <w:rFonts w:ascii="Times New Roman" w:eastAsia="Calibri" w:hAnsi="Times New Roman" w:cs="Times New Roman"/>
      <w:color w:val="2E74B5" w:themeColor="accent1" w:themeShade="BF"/>
      <w:sz w:val="24"/>
      <w:szCs w:val="20"/>
    </w:rPr>
  </w:style>
  <w:style w:type="paragraph" w:customStyle="1" w:styleId="HeaderSensitivity">
    <w:name w:val="Header Sensitivity"/>
    <w:basedOn w:val="Normal"/>
    <w:link w:val="HeaderSensitivityChar"/>
    <w:rsid w:val="00EE43D4"/>
    <w:pPr>
      <w:pBdr>
        <w:top w:val="single" w:sz="4" w:space="1" w:color="auto"/>
        <w:left w:val="single" w:sz="4" w:space="4" w:color="auto"/>
        <w:bottom w:val="single" w:sz="4" w:space="1" w:color="auto"/>
        <w:right w:val="single" w:sz="4" w:space="4" w:color="auto"/>
      </w:pBdr>
      <w:spacing w:after="120"/>
      <w:ind w:left="113" w:right="113"/>
      <w:jc w:val="center"/>
    </w:pPr>
    <w:rPr>
      <w:rFonts w:ascii="Times New Roman" w:hAnsi="Times New Roman"/>
      <w:b/>
      <w:sz w:val="32"/>
    </w:rPr>
  </w:style>
  <w:style w:type="character" w:customStyle="1" w:styleId="HeaderSensitivityChar">
    <w:name w:val="Header Sensitivity Char"/>
    <w:basedOn w:val="Heading1Char"/>
    <w:link w:val="HeaderSensitivity"/>
    <w:rsid w:val="00EE43D4"/>
    <w:rPr>
      <w:rFonts w:ascii="Times New Roman" w:eastAsia="Calibri" w:hAnsi="Times New Roman" w:cs="Times New Roman"/>
      <w:b/>
      <w:color w:val="2E74B5" w:themeColor="accent1" w:themeShade="BF"/>
      <w:sz w:val="32"/>
      <w:szCs w:val="20"/>
    </w:rPr>
  </w:style>
  <w:style w:type="paragraph" w:customStyle="1" w:styleId="HeaderSensitivityRight">
    <w:name w:val="Header Sensitivity Right"/>
    <w:basedOn w:val="Normal"/>
    <w:link w:val="HeaderSensitivityRightChar"/>
    <w:rsid w:val="00FF306D"/>
    <w:pPr>
      <w:spacing w:after="120"/>
      <w:jc w:val="right"/>
    </w:pPr>
    <w:rPr>
      <w:rFonts w:ascii="Times New Roman" w:hAnsi="Times New Roman"/>
      <w:sz w:val="28"/>
    </w:rPr>
  </w:style>
  <w:style w:type="character" w:customStyle="1" w:styleId="HeaderSensitivityRightChar">
    <w:name w:val="Header Sensitivity Right Char"/>
    <w:basedOn w:val="Heading1Char"/>
    <w:link w:val="HeaderSensitivityRight"/>
    <w:rsid w:val="00EE43D4"/>
    <w:rPr>
      <w:rFonts w:ascii="Times New Roman" w:eastAsia="Calibri" w:hAnsi="Times New Roman" w:cs="Times New Roman"/>
      <w:color w:val="2E74B5" w:themeColor="accent1" w:themeShade="BF"/>
      <w:sz w:val="28"/>
      <w:szCs w:val="20"/>
    </w:rPr>
  </w:style>
  <w:style w:type="paragraph" w:styleId="BalloonText">
    <w:name w:val="Balloon Text"/>
    <w:basedOn w:val="Normal"/>
    <w:link w:val="BalloonTextChar"/>
    <w:uiPriority w:val="99"/>
    <w:semiHidden/>
    <w:unhideWhenUsed/>
    <w:rsid w:val="00E436E8"/>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E436E8"/>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E436E8"/>
    <w:rPr>
      <w:sz w:val="16"/>
      <w:szCs w:val="16"/>
    </w:rPr>
  </w:style>
  <w:style w:type="paragraph" w:styleId="CommentText">
    <w:name w:val="annotation text"/>
    <w:basedOn w:val="Normal"/>
    <w:link w:val="CommentTextChar"/>
    <w:uiPriority w:val="99"/>
    <w:semiHidden/>
    <w:unhideWhenUsed/>
    <w:rsid w:val="00E436E8"/>
    <w:rPr>
      <w:sz w:val="20"/>
    </w:rPr>
  </w:style>
  <w:style w:type="character" w:customStyle="1" w:styleId="CommentTextChar">
    <w:name w:val="Comment Text Char"/>
    <w:basedOn w:val="DefaultParagraphFont"/>
    <w:link w:val="CommentText"/>
    <w:uiPriority w:val="99"/>
    <w:semiHidden/>
    <w:rsid w:val="00E436E8"/>
    <w:rPr>
      <w:rFonts w:ascii="Verdana" w:eastAsia="Calibri" w:hAnsi="Verdana" w:cs="Times New Roman"/>
      <w:sz w:val="20"/>
      <w:szCs w:val="20"/>
    </w:rPr>
  </w:style>
  <w:style w:type="paragraph" w:styleId="CommentSubject">
    <w:name w:val="annotation subject"/>
    <w:basedOn w:val="CommentText"/>
    <w:next w:val="CommentText"/>
    <w:link w:val="CommentSubjectChar"/>
    <w:uiPriority w:val="99"/>
    <w:semiHidden/>
    <w:unhideWhenUsed/>
    <w:rsid w:val="00E436E8"/>
    <w:rPr>
      <w:b/>
      <w:bCs/>
    </w:rPr>
  </w:style>
  <w:style w:type="character" w:customStyle="1" w:styleId="CommentSubjectChar">
    <w:name w:val="Comment Subject Char"/>
    <w:basedOn w:val="CommentTextChar"/>
    <w:link w:val="CommentSubject"/>
    <w:uiPriority w:val="99"/>
    <w:semiHidden/>
    <w:rsid w:val="00E436E8"/>
    <w:rPr>
      <w:rFonts w:ascii="Verdana" w:eastAsia="Calibri" w:hAnsi="Verdana" w:cs="Times New Roman"/>
      <w:b/>
      <w:bCs/>
      <w:sz w:val="20"/>
      <w:szCs w:val="20"/>
    </w:rPr>
  </w:style>
  <w:style w:type="paragraph" w:styleId="Revision">
    <w:name w:val="Revision"/>
    <w:hidden/>
    <w:uiPriority w:val="99"/>
    <w:semiHidden/>
    <w:rsid w:val="00001B2D"/>
    <w:pPr>
      <w:spacing w:after="0" w:line="240" w:lineRule="auto"/>
    </w:pPr>
    <w:rPr>
      <w:rFonts w:ascii="Verdana" w:eastAsia="Calibri" w:hAnsi="Verdana" w:cs="Times New Roman"/>
      <w:sz w:val="18"/>
      <w:szCs w:val="20"/>
    </w:rPr>
  </w:style>
  <w:style w:type="character" w:customStyle="1" w:styleId="Heading2Char">
    <w:name w:val="Heading 2 Char"/>
    <w:basedOn w:val="DefaultParagraphFont"/>
    <w:link w:val="Heading2"/>
    <w:uiPriority w:val="9"/>
    <w:rsid w:val="00BB0591"/>
    <w:rPr>
      <w:rFonts w:asciiTheme="majorHAnsi" w:eastAsiaTheme="majorEastAsia" w:hAnsiTheme="majorHAnsi" w:cstheme="majorBidi"/>
      <w:color w:val="2E74B5" w:themeColor="accent1" w:themeShade="BF"/>
      <w:sz w:val="26"/>
      <w:szCs w:val="26"/>
    </w:rPr>
  </w:style>
  <w:style w:type="paragraph" w:customStyle="1" w:styleId="Disclaimer">
    <w:name w:val="Disclaimer"/>
    <w:basedOn w:val="Normal"/>
    <w:rsid w:val="00FF306D"/>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ascii="Times New Roman" w:eastAsiaTheme="minorHAnsi" w:hAnsi="Times New Roman"/>
      <w:sz w:val="24"/>
      <w:szCs w:val="22"/>
    </w:rPr>
  </w:style>
  <w:style w:type="paragraph" w:customStyle="1" w:styleId="SecurityMarking">
    <w:name w:val="SecurityMarking"/>
    <w:basedOn w:val="Normal"/>
    <w:rsid w:val="00FF306D"/>
    <w:pPr>
      <w:spacing w:after="0" w:line="276" w:lineRule="auto"/>
      <w:ind w:left="5103"/>
      <w:jc w:val="left"/>
    </w:pPr>
    <w:rPr>
      <w:rFonts w:ascii="Times New Roman" w:eastAsiaTheme="minorHAnsi" w:hAnsi="Times New Roman"/>
      <w:sz w:val="28"/>
      <w:szCs w:val="22"/>
    </w:rPr>
  </w:style>
  <w:style w:type="paragraph" w:customStyle="1" w:styleId="DateMarking">
    <w:name w:val="DateMarking"/>
    <w:basedOn w:val="Normal"/>
    <w:rsid w:val="00FF306D"/>
    <w:pPr>
      <w:spacing w:after="0" w:line="276" w:lineRule="auto"/>
      <w:ind w:left="5103"/>
      <w:jc w:val="left"/>
    </w:pPr>
    <w:rPr>
      <w:rFonts w:ascii="Times New Roman" w:eastAsiaTheme="minorHAnsi" w:hAnsi="Times New Roman"/>
      <w:i/>
      <w:sz w:val="28"/>
      <w:szCs w:val="22"/>
    </w:rPr>
  </w:style>
  <w:style w:type="paragraph" w:customStyle="1" w:styleId="ReleasableTo">
    <w:name w:val="ReleasableTo"/>
    <w:basedOn w:val="Normal"/>
    <w:rsid w:val="00FF306D"/>
    <w:pPr>
      <w:spacing w:after="0" w:line="276" w:lineRule="auto"/>
      <w:ind w:left="5103"/>
      <w:jc w:val="left"/>
    </w:pPr>
    <w:rPr>
      <w:rFonts w:ascii="Times New Roman" w:eastAsiaTheme="minorHAnsi" w:hAnsi="Times New Roman"/>
      <w:i/>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0541B-68C5-4103-88A4-5DDDA2A74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3321</Words>
  <Characters>19134</Characters>
  <Application>Microsoft Office Word</Application>
  <DocSecurity>0</DocSecurity>
  <Lines>277</Lines>
  <Paragraphs>56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2022-03-23T17:26:00Z</dcterms:created>
  <dcterms:modified xsi:type="dcterms:W3CDTF">2022-03-28T07:45:00Z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evel of sensitivity">
    <vt:lpwstr>Standard treatment</vt:lpwstr>
  </property>
  <property fmtid="{D5CDD505-2E9C-101B-9397-08002B2CF9AE}" pid="4" name="Last edited using">
    <vt:lpwstr>LW 8.0, Build 20220128</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CP-006</vt:lpwstr>
  </property>
</Properties>
</file>