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81F84" w14:textId="41209E38" w:rsidR="00083D3F" w:rsidRDefault="007220A9" w:rsidP="007220A9">
      <w:pPr>
        <w:pStyle w:val="Pagedecouverture"/>
        <w:rPr>
          <w:noProof/>
        </w:rPr>
      </w:pPr>
      <w:r>
        <w:rPr>
          <w:noProof/>
        </w:rPr>
        <w:pict w14:anchorId="25DFC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F736DF3-E4A7-4345-91FF-9895119859D0" style="width:455.25pt;height:396.75pt">
            <v:imagedata r:id="rId8" o:title=""/>
          </v:shape>
        </w:pict>
      </w:r>
    </w:p>
    <w:p w14:paraId="5E1DE0BF" w14:textId="77777777" w:rsidR="00083D3F" w:rsidRDefault="00083D3F" w:rsidP="00083D3F">
      <w:pPr>
        <w:rPr>
          <w:noProof/>
        </w:rPr>
        <w:sectPr w:rsidR="00083D3F" w:rsidSect="007220A9">
          <w:footerReference w:type="default" r:id="rId9"/>
          <w:pgSz w:w="11907" w:h="16839"/>
          <w:pgMar w:top="1134" w:right="1417" w:bottom="1134" w:left="1417" w:header="709" w:footer="709" w:gutter="0"/>
          <w:pgNumType w:start="0"/>
          <w:cols w:space="720"/>
          <w:docGrid w:linePitch="360"/>
        </w:sectPr>
      </w:pPr>
    </w:p>
    <w:p w14:paraId="3B43D867" w14:textId="77777777" w:rsidR="002B304A" w:rsidRPr="002B304A" w:rsidRDefault="00083D3F" w:rsidP="002B304A">
      <w:pPr>
        <w:pStyle w:val="Exposdesmotifstitre"/>
        <w:rPr>
          <w:noProof/>
        </w:rPr>
      </w:pPr>
      <w:bookmarkStart w:id="0" w:name="_GoBack"/>
      <w:bookmarkEnd w:id="0"/>
      <w:r w:rsidRPr="006F770D">
        <w:rPr>
          <w:noProof/>
        </w:rPr>
        <w:lastRenderedPageBreak/>
        <w:t>EXPLANATORY MEMORANDUM</w:t>
      </w:r>
    </w:p>
    <w:p w14:paraId="34D1B92A" w14:textId="73F4FB29" w:rsidR="002B304A" w:rsidRPr="002B304A" w:rsidRDefault="00C03630" w:rsidP="00C03630">
      <w:pPr>
        <w:pStyle w:val="ManualHeading1"/>
        <w:rPr>
          <w:noProof/>
        </w:rPr>
      </w:pPr>
      <w:r w:rsidRPr="00C03630">
        <w:t>1.</w:t>
      </w:r>
      <w:r w:rsidRPr="00C03630">
        <w:tab/>
      </w:r>
      <w:r w:rsidR="002B304A" w:rsidRPr="002B304A">
        <w:rPr>
          <w:noProof/>
        </w:rPr>
        <w:t>Subject matter of the proposal</w:t>
      </w:r>
    </w:p>
    <w:p w14:paraId="6CB9609D" w14:textId="77777777" w:rsidR="002B304A" w:rsidRPr="002B304A" w:rsidRDefault="002B304A" w:rsidP="002B304A">
      <w:pPr>
        <w:rPr>
          <w:noProof/>
        </w:rPr>
      </w:pPr>
      <w:r w:rsidRPr="002B304A">
        <w:rPr>
          <w:noProof/>
        </w:rPr>
        <w:t>This proposal concerns the decision establishing the position to be taken on the Union's behalf in the EU-Jordan Association Council in connection with the envisaged adoption of EU-Jordan Partnership Priorities for the period 2021-2027.</w:t>
      </w:r>
    </w:p>
    <w:p w14:paraId="1EBC5781" w14:textId="36765057" w:rsidR="002B304A" w:rsidRPr="002B304A" w:rsidRDefault="00C03630" w:rsidP="00C03630">
      <w:pPr>
        <w:pStyle w:val="ManualHeading1"/>
        <w:rPr>
          <w:noProof/>
        </w:rPr>
      </w:pPr>
      <w:r w:rsidRPr="00C03630">
        <w:t>2.</w:t>
      </w:r>
      <w:r w:rsidRPr="00C03630">
        <w:tab/>
      </w:r>
      <w:r w:rsidR="002B304A" w:rsidRPr="002B304A">
        <w:rPr>
          <w:noProof/>
        </w:rPr>
        <w:t>Context of the proposal</w:t>
      </w:r>
    </w:p>
    <w:p w14:paraId="3A75BC11" w14:textId="0C766E68" w:rsidR="003F05E5" w:rsidRPr="003F05E5" w:rsidRDefault="00C03630" w:rsidP="00C03630">
      <w:pPr>
        <w:pStyle w:val="ManualHeading2"/>
        <w:rPr>
          <w:noProof/>
        </w:rPr>
      </w:pPr>
      <w:r w:rsidRPr="00C03630">
        <w:t>2.1.</w:t>
      </w:r>
      <w:r w:rsidRPr="00C03630">
        <w:tab/>
      </w:r>
      <w:r w:rsidR="003F05E5" w:rsidRPr="003F05E5">
        <w:rPr>
          <w:noProof/>
        </w:rPr>
        <w:t xml:space="preserve">The Euro-Mediterranean Agreement </w:t>
      </w:r>
    </w:p>
    <w:p w14:paraId="51BCA799" w14:textId="77777777" w:rsidR="003F05E5" w:rsidRPr="003F05E5" w:rsidRDefault="003F05E5" w:rsidP="003F05E5">
      <w:pPr>
        <w:rPr>
          <w:rFonts w:eastAsia="Calibri"/>
          <w:noProof/>
          <w:szCs w:val="24"/>
        </w:rPr>
      </w:pPr>
      <w:r w:rsidRPr="003F05E5">
        <w:rPr>
          <w:rFonts w:eastAsia="Arial Unicode MS"/>
          <w:noProof/>
          <w:szCs w:val="24"/>
        </w:rPr>
        <w:t xml:space="preserve">The </w:t>
      </w:r>
      <w:r w:rsidRPr="003F05E5">
        <w:rPr>
          <w:rFonts w:eastAsia="Calibri"/>
          <w:noProof/>
          <w:szCs w:val="24"/>
        </w:rPr>
        <w:t xml:space="preserve">Euro-Mediterranean Agreement (Association Agreement) was </w:t>
      </w:r>
      <w:r w:rsidRPr="003F05E5">
        <w:rPr>
          <w:rFonts w:eastAsia="Calibri"/>
          <w:noProof/>
        </w:rPr>
        <w:t xml:space="preserve">signed in Brussels on 24 November 1997 and entered into force on 1 May 2002 (‘the Agreement’). </w:t>
      </w:r>
      <w:r w:rsidRPr="003F05E5">
        <w:rPr>
          <w:rFonts w:eastAsia="Calibri"/>
          <w:noProof/>
          <w:szCs w:val="24"/>
        </w:rPr>
        <w:t xml:space="preserve">It forms the legal basis for the bilateral relations between the EU and Jordan. </w:t>
      </w:r>
    </w:p>
    <w:p w14:paraId="4D76871A" w14:textId="77777777" w:rsidR="003F05E5" w:rsidRPr="00021D89" w:rsidRDefault="003F05E5" w:rsidP="005A0D5B">
      <w:pPr>
        <w:rPr>
          <w:noProof/>
          <w:bdr w:val="none" w:sz="0" w:space="0" w:color="auto" w:frame="1"/>
        </w:rPr>
      </w:pPr>
      <w:r w:rsidRPr="005A0D5B">
        <w:rPr>
          <w:rFonts w:eastAsia="Calibri"/>
          <w:noProof/>
        </w:rPr>
        <w:t>The</w:t>
      </w:r>
      <w:r w:rsidRPr="003F05E5">
        <w:rPr>
          <w:noProof/>
          <w:bdr w:val="none" w:sz="0" w:space="0" w:color="auto" w:frame="1"/>
        </w:rPr>
        <w:t xml:space="preserve"> Agreement aims to</w:t>
      </w:r>
    </w:p>
    <w:p w14:paraId="5729C736" w14:textId="77777777" w:rsidR="003F05E5" w:rsidRPr="003F05E5" w:rsidRDefault="003F05E5" w:rsidP="005A0D5B">
      <w:pPr>
        <w:pStyle w:val="Tiret1"/>
        <w:numPr>
          <w:ilvl w:val="0"/>
          <w:numId w:val="44"/>
        </w:numPr>
        <w:rPr>
          <w:noProof/>
        </w:rPr>
      </w:pPr>
      <w:r w:rsidRPr="003F05E5">
        <w:rPr>
          <w:noProof/>
        </w:rPr>
        <w:t>provide an appropriate framework for the political dialogue, allowing the development of close political relations between the Parties,</w:t>
      </w:r>
    </w:p>
    <w:p w14:paraId="78CC497E" w14:textId="77777777" w:rsidR="003F05E5" w:rsidRPr="003F05E5" w:rsidRDefault="003F05E5" w:rsidP="005A0D5B">
      <w:pPr>
        <w:pStyle w:val="Tiret1"/>
        <w:rPr>
          <w:noProof/>
        </w:rPr>
      </w:pPr>
      <w:r w:rsidRPr="003F05E5">
        <w:rPr>
          <w:noProof/>
        </w:rPr>
        <w:t>establish the conditions for the progressive liberalisation of trade in goods, services and capital,</w:t>
      </w:r>
    </w:p>
    <w:p w14:paraId="502C4FAC" w14:textId="77777777" w:rsidR="003F05E5" w:rsidRPr="003F05E5" w:rsidRDefault="003F05E5" w:rsidP="005A0D5B">
      <w:pPr>
        <w:pStyle w:val="Tiret1"/>
        <w:rPr>
          <w:noProof/>
        </w:rPr>
      </w:pPr>
      <w:r w:rsidRPr="003F05E5">
        <w:rPr>
          <w:noProof/>
        </w:rPr>
        <w:t>foster the development of balanced economic and social relations between the Parties through dialogue and cooperation,</w:t>
      </w:r>
    </w:p>
    <w:p w14:paraId="4EF95EB6" w14:textId="77777777" w:rsidR="003F05E5" w:rsidRPr="003F05E5" w:rsidRDefault="003F05E5" w:rsidP="005A0D5B">
      <w:pPr>
        <w:pStyle w:val="Tiret1"/>
        <w:rPr>
          <w:noProof/>
        </w:rPr>
      </w:pPr>
      <w:r w:rsidRPr="003F05E5">
        <w:rPr>
          <w:noProof/>
        </w:rPr>
        <w:t>improve living and employment conditions, and enhance productivity and financial stability,</w:t>
      </w:r>
    </w:p>
    <w:p w14:paraId="4FB3552B" w14:textId="77777777" w:rsidR="003F05E5" w:rsidRPr="003F05E5" w:rsidRDefault="003F05E5" w:rsidP="005A0D5B">
      <w:pPr>
        <w:pStyle w:val="Tiret1"/>
        <w:rPr>
          <w:noProof/>
        </w:rPr>
      </w:pPr>
      <w:r w:rsidRPr="003F05E5">
        <w:rPr>
          <w:noProof/>
        </w:rPr>
        <w:t>encourage regional cooperation with a view to the consolidation of peaceful coexistence and economic and political stability,</w:t>
      </w:r>
    </w:p>
    <w:p w14:paraId="2DD71F6D" w14:textId="77777777" w:rsidR="00021D89" w:rsidRPr="00021D89" w:rsidRDefault="003F05E5" w:rsidP="005A0D5B">
      <w:pPr>
        <w:pStyle w:val="Tiret1"/>
        <w:rPr>
          <w:noProof/>
        </w:rPr>
      </w:pPr>
      <w:r w:rsidRPr="003F05E5">
        <w:rPr>
          <w:noProof/>
        </w:rPr>
        <w:t>promote cooperation in other areas which are of reciprocal interest.</w:t>
      </w:r>
    </w:p>
    <w:p w14:paraId="30DD530B" w14:textId="75BDC689" w:rsidR="003F05E5" w:rsidRPr="003F05E5" w:rsidRDefault="00C03630" w:rsidP="00C03630">
      <w:pPr>
        <w:pStyle w:val="ManualHeading2"/>
        <w:rPr>
          <w:noProof/>
        </w:rPr>
      </w:pPr>
      <w:r w:rsidRPr="00C03630">
        <w:t>2.2.</w:t>
      </w:r>
      <w:r w:rsidRPr="00C03630">
        <w:tab/>
      </w:r>
      <w:r w:rsidR="003F05E5" w:rsidRPr="003F05E5">
        <w:rPr>
          <w:noProof/>
        </w:rPr>
        <w:t>The EU-Jordan Association Council</w:t>
      </w:r>
    </w:p>
    <w:p w14:paraId="35C79A8C" w14:textId="77777777" w:rsidR="003F05E5" w:rsidRPr="003F05E5" w:rsidRDefault="003F05E5" w:rsidP="003F05E5">
      <w:pPr>
        <w:rPr>
          <w:rFonts w:eastAsia="Calibri"/>
          <w:noProof/>
        </w:rPr>
      </w:pPr>
      <w:r w:rsidRPr="003F05E5">
        <w:rPr>
          <w:rFonts w:eastAsia="Arial Unicode MS"/>
          <w:noProof/>
        </w:rPr>
        <w:t xml:space="preserve">The EU-Jordan Association Council </w:t>
      </w:r>
      <w:r w:rsidRPr="003F05E5">
        <w:rPr>
          <w:rFonts w:eastAsia="Calibri"/>
          <w:noProof/>
        </w:rPr>
        <w:t>was created in the framework of the Euro-Mediterranean Agreement (Article 89) establishing an association between the European Communities and their Member States, of the one part, and the Hashemite Kingdom of Jordan, of the other part, which was signed on 24 November 1997 and entered into force on 1 May 2002</w:t>
      </w:r>
      <w:r w:rsidRPr="00C27B62">
        <w:rPr>
          <w:rStyle w:val="FootnoteReference"/>
          <w:noProof/>
        </w:rPr>
        <w:footnoteReference w:id="1"/>
      </w:r>
      <w:r w:rsidRPr="003F05E5">
        <w:rPr>
          <w:rFonts w:eastAsia="Calibri"/>
          <w:noProof/>
        </w:rPr>
        <w:t>.</w:t>
      </w:r>
    </w:p>
    <w:p w14:paraId="4580C6A0" w14:textId="77777777" w:rsidR="003F05E5" w:rsidRPr="00021D89" w:rsidRDefault="003F05E5" w:rsidP="003F05E5">
      <w:pPr>
        <w:rPr>
          <w:rFonts w:eastAsia="Calibri"/>
          <w:noProof/>
          <w:shd w:val="clear" w:color="auto" w:fill="FFFFFF"/>
        </w:rPr>
      </w:pPr>
      <w:r w:rsidRPr="003F05E5">
        <w:rPr>
          <w:rFonts w:eastAsia="Calibri"/>
          <w:noProof/>
          <w:shd w:val="clear" w:color="auto" w:fill="FFFFFF"/>
        </w:rPr>
        <w:t>The Association Council has the power to take decisions for the purpose of attaining the objectives of the Agreement in the cases provided for therein. The decisions are binding on the Parties. According to the Rules of Procedure, the Association Council is presided over, alternately for a period of 12 months, by the EU and Jordan. The Association Council meets regularly at ministerial level once a year.</w:t>
      </w:r>
    </w:p>
    <w:p w14:paraId="7850B2D3" w14:textId="334B95C7" w:rsidR="003F05E5" w:rsidRPr="003F05E5" w:rsidRDefault="00C03630" w:rsidP="00C03630">
      <w:pPr>
        <w:pStyle w:val="ManualHeading2"/>
        <w:rPr>
          <w:noProof/>
        </w:rPr>
      </w:pPr>
      <w:r w:rsidRPr="00C03630">
        <w:t>2.3.</w:t>
      </w:r>
      <w:r w:rsidRPr="00C03630">
        <w:tab/>
      </w:r>
      <w:r w:rsidR="003F05E5" w:rsidRPr="003F05E5">
        <w:rPr>
          <w:noProof/>
        </w:rPr>
        <w:t>The envisaged act of the EU-Jordan Association Council</w:t>
      </w:r>
      <w:r w:rsidR="003F05E5" w:rsidRPr="003F05E5" w:rsidDel="00D55067">
        <w:rPr>
          <w:noProof/>
        </w:rPr>
        <w:t xml:space="preserve"> </w:t>
      </w:r>
    </w:p>
    <w:p w14:paraId="4AE94C87" w14:textId="781A651C" w:rsidR="003F05E5" w:rsidRPr="003F05E5" w:rsidRDefault="00C55853" w:rsidP="003F05E5">
      <w:pPr>
        <w:rPr>
          <w:rFonts w:eastAsia="Arial Unicode MS"/>
          <w:noProof/>
        </w:rPr>
      </w:pPr>
      <w:r>
        <w:rPr>
          <w:rFonts w:eastAsia="Arial Unicode MS"/>
          <w:noProof/>
        </w:rPr>
        <w:t>D</w:t>
      </w:r>
      <w:r w:rsidR="003F05E5" w:rsidRPr="003F05E5">
        <w:rPr>
          <w:rFonts w:eastAsia="Arial Unicode MS"/>
          <w:noProof/>
        </w:rPr>
        <w:t xml:space="preserve">uring its XIV meeting, the </w:t>
      </w:r>
      <w:r w:rsidR="003F05E5" w:rsidRPr="003F05E5">
        <w:rPr>
          <w:rFonts w:eastAsia="Calibri"/>
          <w:noProof/>
        </w:rPr>
        <w:t xml:space="preserve">EU-Jordan Association Council </w:t>
      </w:r>
      <w:r w:rsidR="003F05E5" w:rsidRPr="003F05E5">
        <w:rPr>
          <w:rFonts w:eastAsia="Arial Unicode MS"/>
          <w:noProof/>
        </w:rPr>
        <w:t>is to adopt a decision regarding the EU-Jordan Partnership Priorities for the period 2021-2027 (‘the envisaged act’).</w:t>
      </w:r>
    </w:p>
    <w:p w14:paraId="7329A4E4" w14:textId="77777777" w:rsidR="003F05E5" w:rsidRPr="003F05E5" w:rsidRDefault="003F05E5" w:rsidP="003F05E5">
      <w:pPr>
        <w:rPr>
          <w:rFonts w:eastAsia="Arial Unicode MS"/>
          <w:noProof/>
        </w:rPr>
      </w:pPr>
      <w:r w:rsidRPr="003F05E5">
        <w:rPr>
          <w:rFonts w:eastAsia="Arial Unicode MS"/>
          <w:noProof/>
        </w:rPr>
        <w:t>The purpose of the envisaged act is to guide and inform the EU-Jordan partnership during the period 2021-2027.</w:t>
      </w:r>
    </w:p>
    <w:p w14:paraId="1FA7B478" w14:textId="77777777" w:rsidR="003F05E5" w:rsidRPr="003F05E5" w:rsidRDefault="003F05E5" w:rsidP="003F05E5">
      <w:pPr>
        <w:rPr>
          <w:rFonts w:eastAsia="Calibri"/>
          <w:noProof/>
        </w:rPr>
      </w:pPr>
      <w:r w:rsidRPr="003F05E5">
        <w:rPr>
          <w:rFonts w:eastAsia="Calibri"/>
          <w:noProof/>
          <w:szCs w:val="24"/>
        </w:rPr>
        <w:t>The revised European Neighbourhood policy</w:t>
      </w:r>
      <w:r w:rsidRPr="00C27B62">
        <w:rPr>
          <w:rStyle w:val="FootnoteReference"/>
          <w:noProof/>
        </w:rPr>
        <w:footnoteReference w:id="2"/>
      </w:r>
      <w:r w:rsidRPr="003F05E5">
        <w:rPr>
          <w:rFonts w:eastAsia="Calibri"/>
          <w:noProof/>
          <w:sz w:val="16"/>
          <w:szCs w:val="16"/>
        </w:rPr>
        <w:t xml:space="preserve"> </w:t>
      </w:r>
      <w:r w:rsidRPr="003F05E5">
        <w:rPr>
          <w:rFonts w:eastAsia="Calibri"/>
          <w:noProof/>
          <w:szCs w:val="24"/>
        </w:rPr>
        <w:t xml:space="preserve">adopted in November 2015 sets a framework to define bilateral relations with partners. These should be captured in a political document defined as "Partnership Priorities", which are a key point of reference with partner countries in agreeing on a limited set of targeted priorities for the coming years. </w:t>
      </w:r>
      <w:r w:rsidRPr="003F05E5">
        <w:rPr>
          <w:rFonts w:eastAsia="Calibri"/>
          <w:noProof/>
        </w:rPr>
        <w:t xml:space="preserve">The EU and Jordan have a strong partnership. Jordan is a key partner of the EU, and the EU highly values the important moderating role that Jordan plays in the region. With a view to further strengthening the solid and multi-faceted relationship between the two partners, Partnership priorities have been identified to support the implementation of the EU-Jordan Association Agreement. </w:t>
      </w:r>
    </w:p>
    <w:p w14:paraId="7FC319F6" w14:textId="77777777" w:rsidR="003F05E5" w:rsidRPr="003F05E5" w:rsidRDefault="003F05E5" w:rsidP="003F05E5">
      <w:pPr>
        <w:rPr>
          <w:rFonts w:eastAsia="Calibri"/>
          <w:noProof/>
        </w:rPr>
      </w:pPr>
      <w:r w:rsidRPr="003F05E5">
        <w:rPr>
          <w:rFonts w:eastAsia="Calibri"/>
          <w:noProof/>
          <w:szCs w:val="24"/>
        </w:rPr>
        <w:t>The "Partnership Priorities" reflect shared interests and focus on areas where cooperation between the EU and Jordan is of mutual benefit. The main political priorities identified in EU-Jordan relations</w:t>
      </w:r>
      <w:r w:rsidRPr="003F05E5">
        <w:rPr>
          <w:rFonts w:eastAsia="Calibri"/>
          <w:noProof/>
        </w:rPr>
        <w:t xml:space="preserve"> for the period 2021-2027 are: (i) strengthening cooperation on regional stability and security, including counter-terrorism; (ii) promoting economic recovery and stability, a green, digital, inclusive and knowledge-based growth, quality of education and decent job creation, including for youth; (iii) strengthening good governance, the rule of law, democratic reform and human rights, including social and labour rights. </w:t>
      </w:r>
      <w:r w:rsidRPr="003F05E5">
        <w:rPr>
          <w:rFonts w:eastAsia="Calibri"/>
          <w:noProof/>
          <w:szCs w:val="24"/>
        </w:rPr>
        <w:t xml:space="preserve">It is in that light that the EU and Jordan are committed to furthering cooperation on cross-cutting issues ranging from stabilisation and security to rule of law and human rights, gender equality and empowerment of women, dialogue with civil society, migration and mobility and addressing violent extremism. </w:t>
      </w:r>
      <w:r w:rsidRPr="003F05E5">
        <w:rPr>
          <w:rFonts w:eastAsia="Calibri"/>
          <w:noProof/>
        </w:rPr>
        <w:t>Progress on the effective implementation of the different components of the Mobility Partnership is a cross-cutting priority.</w:t>
      </w:r>
    </w:p>
    <w:p w14:paraId="7AC7DF4F" w14:textId="7654EE6C" w:rsidR="003F05E5" w:rsidRPr="003F05E5" w:rsidRDefault="00C03630" w:rsidP="00C03630">
      <w:pPr>
        <w:pStyle w:val="ManualHeading1"/>
        <w:rPr>
          <w:noProof/>
        </w:rPr>
      </w:pPr>
      <w:r w:rsidRPr="00C03630">
        <w:t>3.</w:t>
      </w:r>
      <w:r w:rsidRPr="00C03630">
        <w:tab/>
      </w:r>
      <w:r w:rsidR="003F05E5" w:rsidRPr="003F05E5">
        <w:rPr>
          <w:noProof/>
        </w:rPr>
        <w:t>Position to be taken on the Union's behalf</w:t>
      </w:r>
    </w:p>
    <w:p w14:paraId="60CEDE19" w14:textId="77777777" w:rsidR="003F05E5" w:rsidRPr="003F05E5" w:rsidRDefault="003F05E5" w:rsidP="003F05E5">
      <w:pPr>
        <w:rPr>
          <w:rFonts w:eastAsia="Calibri"/>
          <w:noProof/>
        </w:rPr>
      </w:pPr>
      <w:r w:rsidRPr="003F05E5">
        <w:rPr>
          <w:rFonts w:eastAsia="Calibri"/>
          <w:noProof/>
        </w:rPr>
        <w:t xml:space="preserve">The position to be taken on the Union’s behalf should be to approve the draft EU-Jordan Partnership Priorities as annexed to this proposal. </w:t>
      </w:r>
    </w:p>
    <w:p w14:paraId="7B2B3D6B" w14:textId="77777777" w:rsidR="003F05E5" w:rsidRPr="003F05E5" w:rsidRDefault="003F05E5" w:rsidP="003F05E5">
      <w:pPr>
        <w:rPr>
          <w:rFonts w:eastAsia="Calibri"/>
          <w:noProof/>
        </w:rPr>
      </w:pPr>
      <w:r w:rsidRPr="003F05E5">
        <w:rPr>
          <w:rFonts w:eastAsia="Calibri"/>
          <w:noProof/>
        </w:rPr>
        <w:t>The EU-Jordan Partnership Priorities embody the shared goals of the European Neighbourhood Policy as a common area of peace, prosperity and stability. They embody its main features, differentiation and co-ownership, but also flexibility to allow for the adaptation to changing circumstances as agreed by the EU and Jordan. Moreover, they match the aspiration stated in the European Council conclusions of 10-11 December 2020</w:t>
      </w:r>
      <w:r w:rsidRPr="00C27B62">
        <w:rPr>
          <w:rStyle w:val="FootnoteReference"/>
          <w:noProof/>
        </w:rPr>
        <w:footnoteReference w:id="3"/>
      </w:r>
      <w:r w:rsidRPr="003F05E5">
        <w:rPr>
          <w:rFonts w:eastAsia="Calibri"/>
          <w:noProof/>
        </w:rPr>
        <w:t xml:space="preserve"> for a democratic, more stable, greener and more prosperous Southern Neighbourhood as a strategic priority for the EU. </w:t>
      </w:r>
    </w:p>
    <w:p w14:paraId="44E037FE" w14:textId="77777777" w:rsidR="003F05E5" w:rsidRPr="003F05E5" w:rsidRDefault="003F05E5" w:rsidP="003F05E5">
      <w:pPr>
        <w:rPr>
          <w:rFonts w:eastAsia="Calibri"/>
          <w:noProof/>
        </w:rPr>
      </w:pPr>
      <w:r w:rsidRPr="003F05E5">
        <w:rPr>
          <w:rFonts w:eastAsia="Calibri"/>
          <w:noProof/>
        </w:rPr>
        <w:t>The Partnership Priorities also embody the objectives of the new, ambitious and innovative Agenda for the Mediterranean, set out in the Joint Communication from the Commission and the High Representative on the Southern Neighbourhood of 9 February 2021</w:t>
      </w:r>
      <w:r w:rsidRPr="00C27B62">
        <w:rPr>
          <w:rStyle w:val="FootnoteReference"/>
          <w:noProof/>
        </w:rPr>
        <w:footnoteReference w:id="4"/>
      </w:r>
      <w:r w:rsidRPr="003F05E5">
        <w:rPr>
          <w:rFonts w:eastAsia="Calibri"/>
          <w:noProof/>
        </w:rPr>
        <w:t>, and in the subsequent Council conclusions on a renewed Partnership with the Southern Neighbourhood of 16 April 2021</w:t>
      </w:r>
      <w:r w:rsidRPr="00C27B62">
        <w:rPr>
          <w:rStyle w:val="FootnoteReference"/>
          <w:noProof/>
        </w:rPr>
        <w:footnoteReference w:id="5"/>
      </w:r>
      <w:r w:rsidRPr="003F05E5">
        <w:rPr>
          <w:rFonts w:eastAsia="Calibri"/>
          <w:noProof/>
        </w:rPr>
        <w:t xml:space="preserve">, that aims at relaunching the cooperation and realising the untapped potential of the relationship. </w:t>
      </w:r>
      <w:r w:rsidRPr="003F05E5">
        <w:rPr>
          <w:rFonts w:eastAsia="Calibri"/>
          <w:noProof/>
          <w:spacing w:val="-3"/>
        </w:rPr>
        <w:t xml:space="preserve">It </w:t>
      </w:r>
      <w:r w:rsidRPr="003F05E5">
        <w:rPr>
          <w:rFonts w:eastAsia="Calibri"/>
          <w:noProof/>
        </w:rPr>
        <w:t>supports the efficient and timely implementation of mutually agreed flagship initiatives of the Economic and Investment Plan for the Southern Neighbours</w:t>
      </w:r>
      <w:r w:rsidRPr="00C27B62">
        <w:rPr>
          <w:rStyle w:val="FootnoteReference"/>
          <w:noProof/>
        </w:rPr>
        <w:footnoteReference w:id="6"/>
      </w:r>
      <w:r w:rsidRPr="003F05E5">
        <w:rPr>
          <w:rFonts w:eastAsia="Calibri"/>
          <w:noProof/>
        </w:rPr>
        <w:t xml:space="preserve"> that will reinforce the EU’s partnership with Jordan and help protect our Mediterranean common goods.</w:t>
      </w:r>
    </w:p>
    <w:p w14:paraId="68D0EA81" w14:textId="77777777" w:rsidR="003F05E5" w:rsidRPr="003F05E5" w:rsidRDefault="003F05E5" w:rsidP="003F05E5">
      <w:pPr>
        <w:rPr>
          <w:rFonts w:eastAsia="Calibri"/>
          <w:noProof/>
        </w:rPr>
      </w:pPr>
      <w:r w:rsidRPr="003F05E5">
        <w:rPr>
          <w:rFonts w:eastAsia="Calibri"/>
          <w:noProof/>
        </w:rPr>
        <w:t xml:space="preserve">The new Agenda for the Mediterranean offers opportunities for new partnerships on strategic priorities of green and digital transitions that will contribute to sustainability, prosperity and resilience. In these efforts, the EU and Jordan will build on the partnership with Jordan and the continued implementation of Jordan’s reform agenda. The EU and Jordan will continue to work constructively together as co-presidencies of the Union for the Mediterranean to foster a strong partnership across the Mediterranean. </w:t>
      </w:r>
    </w:p>
    <w:p w14:paraId="31C151E6" w14:textId="77777777" w:rsidR="003F05E5" w:rsidRPr="003F05E5" w:rsidRDefault="003F05E5" w:rsidP="003F05E5">
      <w:pPr>
        <w:rPr>
          <w:rFonts w:eastAsia="Calibri"/>
          <w:b/>
          <w:i/>
          <w:noProof/>
        </w:rPr>
      </w:pPr>
      <w:r w:rsidRPr="003F05E5">
        <w:rPr>
          <w:rFonts w:eastAsia="Calibri"/>
          <w:iCs/>
          <w:noProof/>
        </w:rPr>
        <w:t>The EU and Jordan have confirmed shared objectives and common interests in pursuing both a peace process and a return to stability and peace in Syria. This would eventually allow for the voluntary, safe and dignified return of refugees. Meanwhile, it is important to sustain assistance levels and access to protection, education, livelihoods and services for Syrian refugees in Jordan.</w:t>
      </w:r>
    </w:p>
    <w:p w14:paraId="606FA1C5" w14:textId="77777777" w:rsidR="003F05E5" w:rsidRPr="003F05E5" w:rsidRDefault="003F05E5" w:rsidP="003F05E5">
      <w:pPr>
        <w:rPr>
          <w:rFonts w:eastAsia="Calibri"/>
          <w:noProof/>
        </w:rPr>
      </w:pPr>
      <w:r w:rsidRPr="003F05E5">
        <w:rPr>
          <w:rFonts w:eastAsia="Calibri"/>
          <w:noProof/>
        </w:rPr>
        <w:t xml:space="preserve">In accordance with the new Agenda for the Mediterranean, </w:t>
      </w:r>
      <w:r w:rsidRPr="003F05E5">
        <w:rPr>
          <w:rFonts w:eastAsia="Calibri"/>
          <w:noProof/>
          <w:spacing w:val="2"/>
        </w:rPr>
        <w:t xml:space="preserve">the </w:t>
      </w:r>
      <w:r w:rsidRPr="003F05E5">
        <w:rPr>
          <w:rFonts w:eastAsia="Calibri"/>
          <w:noProof/>
        </w:rPr>
        <w:t xml:space="preserve">EU-Jordan partnership will continue to be based on common values and dialogue, and will progress on a shared socio-economic and political agenda, including on reforms and their implementation in areas such as good governance, the rule of law, human rights, social cohesion and equal opportunities for all, non-discrimination, environmental and climate protection, macroeconomic stability and the business environment. </w:t>
      </w:r>
      <w:r w:rsidRPr="003F05E5">
        <w:rPr>
          <w:rFonts w:eastAsia="Calibri"/>
          <w:noProof/>
          <w:spacing w:val="-3"/>
        </w:rPr>
        <w:t xml:space="preserve">It </w:t>
      </w:r>
      <w:r w:rsidRPr="003F05E5">
        <w:rPr>
          <w:rFonts w:eastAsia="Calibri"/>
          <w:noProof/>
        </w:rPr>
        <w:t>will aim at a green, digital, resilient and just recovery after COVID-19, in line with the 2030 Agenda for Sustainable Development, the Paris Agreement and the European Green</w:t>
      </w:r>
      <w:r w:rsidRPr="003F05E5">
        <w:rPr>
          <w:rFonts w:eastAsia="Calibri"/>
          <w:noProof/>
          <w:spacing w:val="-2"/>
        </w:rPr>
        <w:t xml:space="preserve"> </w:t>
      </w:r>
      <w:r w:rsidRPr="003F05E5">
        <w:rPr>
          <w:rFonts w:eastAsia="Calibri"/>
          <w:noProof/>
        </w:rPr>
        <w:t>Deal.</w:t>
      </w:r>
    </w:p>
    <w:p w14:paraId="359DEBC4" w14:textId="77777777" w:rsidR="003F05E5" w:rsidRPr="003F05E5" w:rsidRDefault="003F05E5" w:rsidP="003F05E5">
      <w:pPr>
        <w:rPr>
          <w:rFonts w:eastAsia="Calibri"/>
          <w:noProof/>
        </w:rPr>
      </w:pPr>
      <w:r w:rsidRPr="003F05E5">
        <w:rPr>
          <w:rFonts w:eastAsia="Calibri"/>
          <w:noProof/>
        </w:rPr>
        <w:t>Spurring long-term sustainable socio-economic recovery and job creation in the Southern Neighbourhood is a key shared priority and the innovative cornerstone of the new Agenda for the Mediterranean. The joint staff working document on an economic and investment plan for the Southern Neighbourhood annexed to the Joint Communication, in which Jordan features prominently, is a determined effort to give substance to this partnership and focus on key projects reinforcing EU’s partnership with Jordan. The implementation of the flagship initiatives of the Economic and Investment Plan of the New Agenda for the Mediterranean will contribute to delivering on the Partnership Priorities and constitute an important part of the EU cooperation with</w:t>
      </w:r>
      <w:r w:rsidRPr="003F05E5">
        <w:rPr>
          <w:rFonts w:eastAsia="Calibri"/>
          <w:noProof/>
          <w:spacing w:val="-3"/>
        </w:rPr>
        <w:t xml:space="preserve"> </w:t>
      </w:r>
      <w:r w:rsidRPr="003F05E5">
        <w:rPr>
          <w:rFonts w:eastAsia="Calibri"/>
          <w:noProof/>
        </w:rPr>
        <w:t>Jordan.</w:t>
      </w:r>
    </w:p>
    <w:p w14:paraId="066A98F2" w14:textId="77777777" w:rsidR="003F05E5" w:rsidRPr="003F05E5" w:rsidRDefault="003F05E5" w:rsidP="003F05E5">
      <w:pPr>
        <w:rPr>
          <w:rFonts w:eastAsia="Calibri"/>
          <w:noProof/>
        </w:rPr>
      </w:pPr>
      <w:r w:rsidRPr="003F05E5">
        <w:rPr>
          <w:rFonts w:eastAsia="Calibri"/>
          <w:noProof/>
        </w:rPr>
        <w:t>The partnership and the priority areas of cooperation will continue to be sustained through regular high-level political meetings; economic, employment and social affairs, trade, justice, human rights, democratic processes, climate and environment dialogues; the EU-Jordan Mobility Partnership; the EU-Jordan Science and Technology Agreement and other existing areas of cooperation; the EU-Jordan commitment to strengthen dialogue and cooperation on security, including on countering violent extremism and terrorism and cybersecurity; as well as the on-going bilateral cooperation in support of Jordan.</w:t>
      </w:r>
    </w:p>
    <w:p w14:paraId="427A2E1E" w14:textId="77777777" w:rsidR="003F05E5" w:rsidRPr="003F05E5" w:rsidRDefault="003F05E5" w:rsidP="003F05E5">
      <w:pPr>
        <w:rPr>
          <w:rFonts w:eastAsia="Calibri"/>
          <w:noProof/>
          <w:szCs w:val="24"/>
        </w:rPr>
      </w:pPr>
      <w:r w:rsidRPr="003F05E5">
        <w:rPr>
          <w:rFonts w:eastAsia="Calibri"/>
          <w:noProof/>
        </w:rPr>
        <w:t>The Partnership Priorities document takes into account inter alia the promotion of human rights and good governance, the external dimension of EU migration policies, the increased focus on international cooperation to counter terrorism and violent extremism and the potential of trade to generate fair growth and decent employment.</w:t>
      </w:r>
    </w:p>
    <w:p w14:paraId="64480332" w14:textId="77777777" w:rsidR="003F05E5" w:rsidRPr="003F05E5" w:rsidRDefault="003F05E5" w:rsidP="003F05E5">
      <w:pPr>
        <w:rPr>
          <w:rFonts w:eastAsia="Arial Unicode MS"/>
          <w:noProof/>
        </w:rPr>
      </w:pPr>
      <w:r w:rsidRPr="003F05E5">
        <w:rPr>
          <w:rFonts w:eastAsia="Calibri"/>
          <w:noProof/>
          <w:szCs w:val="24"/>
        </w:rPr>
        <w:t xml:space="preserve">The EU-Jordan Partnership Priorities were drafted following close consultation with relevant Commission services and with EU Member States' representatives in the Council Working Group on Maghreb and Mashrek, as well as discussions with the Jordanian counterparts. Consultations with a wide range of civil society stakeholders took place </w:t>
      </w:r>
      <w:r w:rsidRPr="003F05E5">
        <w:rPr>
          <w:rFonts w:eastAsia="Calibri"/>
          <w:noProof/>
        </w:rPr>
        <w:t>through the EU Delegation to Jordan, including those working on social, economic, human rights and democratisation issues, as well as the business sector.</w:t>
      </w:r>
    </w:p>
    <w:p w14:paraId="39AF8E40" w14:textId="13351435" w:rsidR="003F05E5" w:rsidRPr="003F05E5" w:rsidRDefault="00C03630" w:rsidP="00C03630">
      <w:pPr>
        <w:pStyle w:val="ManualHeading1"/>
        <w:rPr>
          <w:noProof/>
        </w:rPr>
      </w:pPr>
      <w:r w:rsidRPr="00C03630">
        <w:t>4.</w:t>
      </w:r>
      <w:r w:rsidRPr="00C03630">
        <w:tab/>
      </w:r>
      <w:r w:rsidR="003F05E5" w:rsidRPr="003F05E5">
        <w:rPr>
          <w:noProof/>
        </w:rPr>
        <w:t>Legal basis</w:t>
      </w:r>
    </w:p>
    <w:p w14:paraId="1EF0F51C" w14:textId="71C44FC4" w:rsidR="003F05E5" w:rsidRPr="003F05E5" w:rsidRDefault="00C03630" w:rsidP="00C03630">
      <w:pPr>
        <w:pStyle w:val="ManualHeading2"/>
        <w:rPr>
          <w:noProof/>
        </w:rPr>
      </w:pPr>
      <w:r w:rsidRPr="00C03630">
        <w:t>4.1.</w:t>
      </w:r>
      <w:r w:rsidRPr="00C03630">
        <w:tab/>
      </w:r>
      <w:r w:rsidR="003F05E5" w:rsidRPr="003F05E5">
        <w:rPr>
          <w:noProof/>
        </w:rPr>
        <w:t>Procedural legal basis</w:t>
      </w:r>
    </w:p>
    <w:p w14:paraId="1CF7EE11" w14:textId="735A7EED" w:rsidR="003F05E5" w:rsidRPr="003F05E5" w:rsidRDefault="00C03630" w:rsidP="00C03630">
      <w:pPr>
        <w:pStyle w:val="ManualHeading3"/>
        <w:rPr>
          <w:noProof/>
        </w:rPr>
      </w:pPr>
      <w:r w:rsidRPr="00C03630">
        <w:t>4.1.1.</w:t>
      </w:r>
      <w:r w:rsidRPr="00C03630">
        <w:tab/>
      </w:r>
      <w:r w:rsidR="003F05E5" w:rsidRPr="003F05E5">
        <w:rPr>
          <w:noProof/>
        </w:rPr>
        <w:t>Principles</w:t>
      </w:r>
    </w:p>
    <w:p w14:paraId="6E74D32C" w14:textId="77777777" w:rsidR="003F05E5" w:rsidRPr="003F05E5" w:rsidRDefault="003F05E5" w:rsidP="003F05E5">
      <w:pPr>
        <w:rPr>
          <w:rFonts w:eastAsia="Calibri"/>
          <w:noProof/>
        </w:rPr>
      </w:pPr>
      <w:r w:rsidRPr="003F05E5">
        <w:rPr>
          <w:rFonts w:eastAsia="Calibri"/>
          <w:noProof/>
        </w:rPr>
        <w:t>Article 218(9) of the Treaty on the Functioning of the European Union (TFEU) provides for decisions establishing ‘</w:t>
      </w:r>
      <w:r w:rsidRPr="003F05E5">
        <w:rPr>
          <w:rFonts w:eastAsia="Calibri"/>
          <w:i/>
          <w:noProof/>
        </w:rPr>
        <w:t>the positions to be adopted on the Union’s behalf in a body set up by an agreement, when that body is called upon to adopt acts having legal effects, with the exception of acts supplementing or amending the institutional framework of the agreement</w:t>
      </w:r>
      <w:r w:rsidRPr="003F05E5">
        <w:rPr>
          <w:rFonts w:eastAsia="Calibri"/>
          <w:noProof/>
        </w:rPr>
        <w:t>.’</w:t>
      </w:r>
    </w:p>
    <w:p w14:paraId="12D62663" w14:textId="77777777" w:rsidR="003F05E5" w:rsidRPr="003F05E5" w:rsidRDefault="003F05E5" w:rsidP="003F05E5">
      <w:pPr>
        <w:rPr>
          <w:rFonts w:eastAsia="Calibri"/>
          <w:noProof/>
        </w:rPr>
      </w:pPr>
      <w:r w:rsidRPr="003F05E5">
        <w:rPr>
          <w:rFonts w:eastAsia="Calibri"/>
          <w:noProof/>
        </w:rPr>
        <w:t>The concept of ‘</w:t>
      </w:r>
      <w:r w:rsidRPr="003F05E5">
        <w:rPr>
          <w:rFonts w:eastAsia="Calibri"/>
          <w:i/>
          <w:noProof/>
        </w:rPr>
        <w:t>acts having legal effects</w:t>
      </w:r>
      <w:r w:rsidRPr="003F05E5">
        <w:rPr>
          <w:rFonts w:eastAsia="Calibri"/>
          <w:noProof/>
        </w:rPr>
        <w:t>’ includes acts that have legal effects by virtue of the rules of international law governing the body in question. It also includes instruments that do not have a binding effect under international law, but that are ‘</w:t>
      </w:r>
      <w:r w:rsidRPr="003F05E5">
        <w:rPr>
          <w:rFonts w:eastAsia="Calibri"/>
          <w:i/>
          <w:noProof/>
        </w:rPr>
        <w:t>capable of decisively influencing the content of the legislation adopted by the EU legislature</w:t>
      </w:r>
      <w:r w:rsidRPr="003F05E5">
        <w:rPr>
          <w:rFonts w:eastAsia="Calibri"/>
          <w:noProof/>
        </w:rPr>
        <w:t>’</w:t>
      </w:r>
      <w:r w:rsidRPr="00C27B62">
        <w:rPr>
          <w:rStyle w:val="FootnoteReference"/>
          <w:noProof/>
        </w:rPr>
        <w:footnoteReference w:id="7"/>
      </w:r>
      <w:r w:rsidRPr="003F05E5">
        <w:rPr>
          <w:rFonts w:eastAsia="Calibri"/>
          <w:noProof/>
        </w:rPr>
        <w:t>.</w:t>
      </w:r>
    </w:p>
    <w:p w14:paraId="3C8B70EB" w14:textId="17DC23EA" w:rsidR="003F05E5" w:rsidRPr="003F05E5" w:rsidRDefault="00C03630" w:rsidP="00C03630">
      <w:pPr>
        <w:pStyle w:val="ManualHeading3"/>
        <w:rPr>
          <w:noProof/>
        </w:rPr>
      </w:pPr>
      <w:r w:rsidRPr="00C03630">
        <w:t>4.1.2.</w:t>
      </w:r>
      <w:r w:rsidRPr="00C03630">
        <w:tab/>
      </w:r>
      <w:r w:rsidR="003F05E5" w:rsidRPr="003F05E5">
        <w:rPr>
          <w:noProof/>
        </w:rPr>
        <w:t>Application to the present case</w:t>
      </w:r>
    </w:p>
    <w:p w14:paraId="4C77AFC0" w14:textId="77777777" w:rsidR="003F05E5" w:rsidRPr="003F05E5" w:rsidRDefault="003F05E5" w:rsidP="003F05E5">
      <w:pPr>
        <w:rPr>
          <w:rFonts w:eastAsia="Calibri"/>
          <w:noProof/>
        </w:rPr>
      </w:pPr>
      <w:r w:rsidRPr="003F05E5">
        <w:rPr>
          <w:rFonts w:eastAsia="Calibri"/>
          <w:noProof/>
        </w:rPr>
        <w:t>The EU-Jordan Association Council is a body set up by an agreement, namely the Euro-Mediterranean Agreement establishing an association between the European Communities and their Member States, of the one part, and the Hashemite Kingdom of Jordan, of the other part, which was signed on 24 November 1997 and entered into force on 1 May 2002.</w:t>
      </w:r>
    </w:p>
    <w:p w14:paraId="269E446D" w14:textId="77777777" w:rsidR="003F05E5" w:rsidRPr="003F05E5" w:rsidRDefault="003F05E5" w:rsidP="003F05E5">
      <w:pPr>
        <w:rPr>
          <w:rFonts w:eastAsia="Calibri"/>
          <w:noProof/>
        </w:rPr>
      </w:pPr>
      <w:r w:rsidRPr="003F05E5">
        <w:rPr>
          <w:rFonts w:eastAsia="Calibri"/>
          <w:noProof/>
        </w:rPr>
        <w:t>The act which the EU-Jordan Association Council is called upon to adopt constitutes an act having legal effects. The envisaged act is capable of decisively influencing the content of EU legislation, namely: its development cooperation policy vis-à-vis Jordan. This is because the EU-Jordan Partnership Priorities will guide and inform the future EU-Jordan relations, including the programming of aid in the context of development cooperation under the new Neighbourhood, Development and International Cooperation Instrument (NDICI), during the period 2021-2027. The envisaged act does not supplement or amend the institutional framework of the Agreement.</w:t>
      </w:r>
    </w:p>
    <w:p w14:paraId="20B3BDC0" w14:textId="77777777" w:rsidR="003F05E5" w:rsidRPr="003F05E5" w:rsidRDefault="003F05E5" w:rsidP="003F05E5">
      <w:pPr>
        <w:rPr>
          <w:rFonts w:eastAsia="Calibri"/>
          <w:noProof/>
        </w:rPr>
      </w:pPr>
      <w:r w:rsidRPr="003F05E5">
        <w:rPr>
          <w:rFonts w:eastAsia="Calibri"/>
          <w:noProof/>
        </w:rPr>
        <w:t>Therefore, the procedural legal basis for the proposed decision is Article 218(9) TFEU.</w:t>
      </w:r>
    </w:p>
    <w:p w14:paraId="2A833269" w14:textId="1F8A4DEC" w:rsidR="003F05E5" w:rsidRPr="003F05E5" w:rsidRDefault="00C03630" w:rsidP="00C03630">
      <w:pPr>
        <w:pStyle w:val="ManualHeading2"/>
        <w:rPr>
          <w:noProof/>
        </w:rPr>
      </w:pPr>
      <w:r w:rsidRPr="00C03630">
        <w:t>4.2.</w:t>
      </w:r>
      <w:r w:rsidRPr="00C03630">
        <w:tab/>
      </w:r>
      <w:r w:rsidR="003F05E5" w:rsidRPr="003F05E5">
        <w:rPr>
          <w:noProof/>
        </w:rPr>
        <w:t>Substantive legal basis</w:t>
      </w:r>
    </w:p>
    <w:p w14:paraId="0631C0D0" w14:textId="30E6C117" w:rsidR="003F05E5" w:rsidRPr="003F05E5" w:rsidRDefault="00C03630" w:rsidP="00C03630">
      <w:pPr>
        <w:pStyle w:val="ManualHeading3"/>
        <w:rPr>
          <w:noProof/>
        </w:rPr>
      </w:pPr>
      <w:r w:rsidRPr="00C03630">
        <w:t>4.2.1.</w:t>
      </w:r>
      <w:r w:rsidRPr="00C03630">
        <w:tab/>
      </w:r>
      <w:r w:rsidR="003F05E5" w:rsidRPr="003F05E5">
        <w:rPr>
          <w:noProof/>
        </w:rPr>
        <w:t>Principles</w:t>
      </w:r>
    </w:p>
    <w:p w14:paraId="3DBE96CC" w14:textId="77777777" w:rsidR="003F05E5" w:rsidRPr="003F05E5" w:rsidRDefault="003F05E5" w:rsidP="003F05E5">
      <w:pPr>
        <w:rPr>
          <w:rFonts w:eastAsia="Calibri"/>
          <w:noProof/>
        </w:rPr>
      </w:pPr>
      <w:r w:rsidRPr="003F05E5">
        <w:rPr>
          <w:rFonts w:eastAsia="Calibri"/>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14:paraId="53ABE288" w14:textId="7EA59234" w:rsidR="003F05E5" w:rsidRPr="003F05E5" w:rsidRDefault="00C03630" w:rsidP="00C03630">
      <w:pPr>
        <w:pStyle w:val="ManualHeading3"/>
        <w:rPr>
          <w:noProof/>
        </w:rPr>
      </w:pPr>
      <w:r w:rsidRPr="00C03630">
        <w:t>4.2.2.</w:t>
      </w:r>
      <w:r w:rsidRPr="00C03630">
        <w:tab/>
      </w:r>
      <w:r w:rsidR="003F05E5" w:rsidRPr="003F05E5">
        <w:rPr>
          <w:noProof/>
        </w:rPr>
        <w:t>Application to the present case</w:t>
      </w:r>
    </w:p>
    <w:p w14:paraId="041E4DC2" w14:textId="77777777" w:rsidR="003F05E5" w:rsidRPr="003F05E5" w:rsidRDefault="003F05E5" w:rsidP="003F05E5">
      <w:pPr>
        <w:rPr>
          <w:rFonts w:eastAsia="Calibri"/>
          <w:noProof/>
        </w:rPr>
      </w:pPr>
      <w:r w:rsidRPr="003F05E5">
        <w:rPr>
          <w:rFonts w:eastAsia="Calibri"/>
          <w:noProof/>
        </w:rPr>
        <w:t xml:space="preserve">The main objective and content of the envisaged act relate to cooperation </w:t>
      </w:r>
      <w:r w:rsidRPr="003F05E5">
        <w:rPr>
          <w:rFonts w:eastAsia="Calibri"/>
          <w:noProof/>
          <w:shd w:val="clear" w:color="auto" w:fill="FFFFFF"/>
        </w:rPr>
        <w:t>with a third country in the framework of an association agreement and the European Neighbourhood Policy.</w:t>
      </w:r>
      <w:r w:rsidRPr="003F05E5" w:rsidDel="00CE3457">
        <w:rPr>
          <w:rFonts w:eastAsia="Calibri"/>
          <w:noProof/>
        </w:rPr>
        <w:t xml:space="preserve"> </w:t>
      </w:r>
      <w:r w:rsidRPr="003F05E5">
        <w:rPr>
          <w:rFonts w:eastAsia="Calibri"/>
          <w:noProof/>
          <w:shd w:val="clear" w:color="auto" w:fill="FFFFFF"/>
        </w:rPr>
        <w:t>The measures whose adoption was envisaged concern, generally, the whole of the areas covered by the Association Agreement and aim at further implementing and deepening the association between the Parties. It follows that the field within which the contested decision falls must be determined in the light of the Association Agreement as a whole.</w:t>
      </w:r>
      <w:r w:rsidRPr="003F05E5" w:rsidDel="00CE3457">
        <w:rPr>
          <w:rFonts w:eastAsia="Calibri"/>
          <w:noProof/>
        </w:rPr>
        <w:t xml:space="preserve"> </w:t>
      </w:r>
      <w:r w:rsidRPr="003F05E5">
        <w:rPr>
          <w:rFonts w:eastAsia="Calibri"/>
          <w:noProof/>
        </w:rPr>
        <w:t>Therefore, the substantive legal basis of the proposed decision is Article 217 TFEU.</w:t>
      </w:r>
    </w:p>
    <w:p w14:paraId="1999B07E" w14:textId="6777EBFF" w:rsidR="003F05E5" w:rsidRPr="003F05E5" w:rsidRDefault="00C03630" w:rsidP="00C03630">
      <w:pPr>
        <w:pStyle w:val="ManualHeading2"/>
        <w:rPr>
          <w:noProof/>
        </w:rPr>
      </w:pPr>
      <w:r w:rsidRPr="00C03630">
        <w:t>4.3.</w:t>
      </w:r>
      <w:r w:rsidRPr="00C03630">
        <w:tab/>
      </w:r>
      <w:r w:rsidR="003F05E5" w:rsidRPr="003F05E5">
        <w:rPr>
          <w:noProof/>
        </w:rPr>
        <w:t>Conclusion</w:t>
      </w:r>
    </w:p>
    <w:p w14:paraId="3814A146" w14:textId="77777777" w:rsidR="003F05E5" w:rsidRPr="003F05E5" w:rsidRDefault="003F05E5" w:rsidP="003F05E5">
      <w:pPr>
        <w:rPr>
          <w:rFonts w:eastAsia="Calibri"/>
          <w:noProof/>
        </w:rPr>
      </w:pPr>
      <w:r w:rsidRPr="003F05E5">
        <w:rPr>
          <w:rFonts w:eastAsia="Calibri"/>
          <w:noProof/>
        </w:rPr>
        <w:t>The legal basis of the proposed decision should be Article 217, in conjunction with Article 218(9) TFEU.</w:t>
      </w:r>
    </w:p>
    <w:p w14:paraId="0A7BC98F" w14:textId="0BF23F6D" w:rsidR="003F05E5" w:rsidRPr="003F05E5" w:rsidRDefault="00C03630" w:rsidP="00C03630">
      <w:pPr>
        <w:pStyle w:val="ManualHeading1"/>
        <w:rPr>
          <w:noProof/>
        </w:rPr>
      </w:pPr>
      <w:r w:rsidRPr="00C03630">
        <w:t>5.</w:t>
      </w:r>
      <w:r w:rsidRPr="00C03630">
        <w:tab/>
      </w:r>
      <w:r w:rsidR="003F05E5" w:rsidRPr="003F05E5">
        <w:rPr>
          <w:noProof/>
        </w:rPr>
        <w:t>Publication of the envisaged act</w:t>
      </w:r>
    </w:p>
    <w:p w14:paraId="49F01F3B" w14:textId="77777777" w:rsidR="003F05E5" w:rsidRPr="003F05E5" w:rsidRDefault="003F05E5" w:rsidP="003F05E5">
      <w:pPr>
        <w:autoSpaceDE w:val="0"/>
        <w:autoSpaceDN w:val="0"/>
        <w:rPr>
          <w:rFonts w:eastAsia="Calibri"/>
          <w:noProof/>
        </w:rPr>
      </w:pPr>
      <w:r w:rsidRPr="003F05E5">
        <w:rPr>
          <w:rFonts w:eastAsia="Calibri"/>
          <w:noProof/>
        </w:rPr>
        <w:t xml:space="preserve">As the act of the EU-Jordan Association Council will replace </w:t>
      </w:r>
      <w:r w:rsidRPr="003F05E5">
        <w:rPr>
          <w:rFonts w:eastAsia="Calibri"/>
          <w:noProof/>
          <w:szCs w:val="24"/>
        </w:rPr>
        <w:t>the previous EU-Jordan Partnership Priorities adopted by Decision N 1/2016 of the EU-Jordan Association Council of 19 December 2016</w:t>
      </w:r>
      <w:r w:rsidRPr="003F05E5">
        <w:rPr>
          <w:rFonts w:eastAsia="Calibri"/>
          <w:noProof/>
        </w:rPr>
        <w:t xml:space="preserve">, it is appropriate to publish it in the </w:t>
      </w:r>
      <w:r w:rsidRPr="003F05E5">
        <w:rPr>
          <w:rFonts w:eastAsia="Calibri"/>
          <w:i/>
          <w:noProof/>
        </w:rPr>
        <w:t xml:space="preserve">Official Journal of the European Union </w:t>
      </w:r>
      <w:r w:rsidRPr="003F05E5">
        <w:rPr>
          <w:rFonts w:eastAsia="Calibri"/>
          <w:noProof/>
        </w:rPr>
        <w:t>after its adoption.</w:t>
      </w:r>
    </w:p>
    <w:p w14:paraId="1BEB01B0" w14:textId="77777777" w:rsidR="003F05E5" w:rsidRPr="003F05E5" w:rsidRDefault="003F05E5" w:rsidP="003F05E5">
      <w:pPr>
        <w:rPr>
          <w:rFonts w:eastAsia="Calibri"/>
          <w:noProof/>
        </w:rPr>
        <w:sectPr w:rsidR="003F05E5" w:rsidRPr="003F05E5" w:rsidSect="007220A9">
          <w:footerReference w:type="default" r:id="rId10"/>
          <w:footerReference w:type="first" r:id="rId11"/>
          <w:pgSz w:w="11907" w:h="16839"/>
          <w:pgMar w:top="1134" w:right="1417" w:bottom="1134" w:left="1417" w:header="709" w:footer="709" w:gutter="0"/>
          <w:cols w:space="708"/>
          <w:docGrid w:linePitch="360"/>
        </w:sectPr>
      </w:pPr>
    </w:p>
    <w:p w14:paraId="293BEEC9" w14:textId="43AB90EE" w:rsidR="001E0404" w:rsidRDefault="001E0404" w:rsidP="001E0404">
      <w:pPr>
        <w:pStyle w:val="Rfrenceinterinstitutionnelle"/>
        <w:rPr>
          <w:noProof/>
        </w:rPr>
      </w:pPr>
      <w:r w:rsidRPr="001E0404">
        <w:t>2022/0107 (NLE)</w:t>
      </w:r>
    </w:p>
    <w:p w14:paraId="21AC7BF4" w14:textId="19E96106" w:rsidR="003F05E5" w:rsidRPr="003F05E5" w:rsidRDefault="003F05E5" w:rsidP="00590399">
      <w:pPr>
        <w:pStyle w:val="Statut"/>
        <w:rPr>
          <w:noProof/>
        </w:rPr>
      </w:pPr>
      <w:r w:rsidRPr="003F05E5">
        <w:rPr>
          <w:noProof/>
        </w:rPr>
        <w:t>Proposal for a</w:t>
      </w:r>
    </w:p>
    <w:p w14:paraId="711C1043" w14:textId="77777777" w:rsidR="003F05E5" w:rsidRPr="003F05E5" w:rsidRDefault="003F05E5" w:rsidP="00590399">
      <w:pPr>
        <w:pStyle w:val="Typedudocument"/>
        <w:rPr>
          <w:noProof/>
        </w:rPr>
      </w:pPr>
      <w:r w:rsidRPr="003F05E5">
        <w:rPr>
          <w:noProof/>
        </w:rPr>
        <w:t>COUNCIL DECISION</w:t>
      </w:r>
    </w:p>
    <w:p w14:paraId="5CA8C543" w14:textId="77777777" w:rsidR="003F05E5" w:rsidRPr="003F05E5" w:rsidRDefault="003F05E5" w:rsidP="00590399">
      <w:pPr>
        <w:pStyle w:val="Titreobjet"/>
        <w:rPr>
          <w:noProof/>
        </w:rPr>
      </w:pPr>
      <w:r w:rsidRPr="003F05E5">
        <w:rPr>
          <w:noProof/>
        </w:rPr>
        <w:t>on the position to be taken on behalf of the European Union in the Association Council set up by the Euro-Mediterranean Agreement establishing an association between the European Communities and their Member States, of the one part, and the Hashemite Kingdom of Jordan, of the other part, with regard to the adoption of EU-Jordan Partnership Priorities</w:t>
      </w:r>
    </w:p>
    <w:p w14:paraId="51A47CF8" w14:textId="77777777" w:rsidR="003F05E5" w:rsidRPr="003F05E5" w:rsidRDefault="003F05E5" w:rsidP="00590399">
      <w:pPr>
        <w:pStyle w:val="Institutionquiagit"/>
        <w:rPr>
          <w:noProof/>
        </w:rPr>
      </w:pPr>
      <w:r w:rsidRPr="003F05E5">
        <w:rPr>
          <w:noProof/>
        </w:rPr>
        <w:t>THE COUNCIL OF THE EUROPEAN UNION,</w:t>
      </w:r>
    </w:p>
    <w:p w14:paraId="2E5B29EF" w14:textId="38AC610A" w:rsidR="003F05E5" w:rsidRPr="003F05E5" w:rsidRDefault="003F05E5" w:rsidP="003F05E5">
      <w:pPr>
        <w:rPr>
          <w:rFonts w:eastAsia="Calibri"/>
          <w:noProof/>
        </w:rPr>
      </w:pPr>
      <w:r w:rsidRPr="003F05E5">
        <w:rPr>
          <w:rFonts w:eastAsia="Calibri"/>
          <w:noProof/>
        </w:rPr>
        <w:t>Having regard to the Treaty on the Functioning of the European Union, and in particular Article 217, in conjunction with Article 218(9) thereof,</w:t>
      </w:r>
    </w:p>
    <w:p w14:paraId="7A64889E" w14:textId="77777777" w:rsidR="003F05E5" w:rsidRPr="003F05E5" w:rsidRDefault="003F05E5" w:rsidP="003F05E5">
      <w:pPr>
        <w:rPr>
          <w:rFonts w:eastAsia="Calibri"/>
          <w:noProof/>
        </w:rPr>
      </w:pPr>
      <w:r w:rsidRPr="003F05E5">
        <w:rPr>
          <w:rFonts w:eastAsia="Calibri"/>
          <w:noProof/>
        </w:rPr>
        <w:t>Having regard to the proposal from the European Commission,</w:t>
      </w:r>
    </w:p>
    <w:p w14:paraId="7DDA0A95" w14:textId="77777777" w:rsidR="003F05E5" w:rsidRPr="003F05E5" w:rsidRDefault="003F05E5" w:rsidP="003F05E5">
      <w:pPr>
        <w:rPr>
          <w:rFonts w:eastAsia="Calibri"/>
          <w:noProof/>
        </w:rPr>
      </w:pPr>
      <w:r w:rsidRPr="003F05E5">
        <w:rPr>
          <w:rFonts w:eastAsia="Calibri"/>
          <w:noProof/>
        </w:rPr>
        <w:t>Whereas:</w:t>
      </w:r>
    </w:p>
    <w:p w14:paraId="30D4F9A1" w14:textId="00E27D6C" w:rsidR="00101CF6" w:rsidRDefault="00C03630" w:rsidP="00C03630">
      <w:pPr>
        <w:pStyle w:val="ManualConsidrant"/>
        <w:rPr>
          <w:noProof/>
        </w:rPr>
      </w:pPr>
      <w:r w:rsidRPr="00C03630">
        <w:t>(1)</w:t>
      </w:r>
      <w:r w:rsidRPr="00C03630">
        <w:tab/>
      </w:r>
      <w:r w:rsidR="003F05E5" w:rsidRPr="003F05E5">
        <w:rPr>
          <w:noProof/>
        </w:rPr>
        <w:t>The Euro-Mediterranean Agreement establishing an association between the European Communities and their Member States, of the one part, and the Hashemite Kingdom of Jordan, of the other part (‘the Agreement’) was signed on 24 November 1997</w:t>
      </w:r>
      <w:r w:rsidR="003F05E5" w:rsidRPr="00C27B62">
        <w:rPr>
          <w:rStyle w:val="FootnoteReference"/>
          <w:noProof/>
        </w:rPr>
        <w:footnoteReference w:id="8"/>
      </w:r>
      <w:r w:rsidR="003F05E5" w:rsidRPr="003F05E5">
        <w:rPr>
          <w:noProof/>
        </w:rPr>
        <w:t xml:space="preserve"> and entered into force on 1 May 2002. </w:t>
      </w:r>
    </w:p>
    <w:p w14:paraId="757966EF" w14:textId="73939C5C" w:rsidR="00101CF6" w:rsidRDefault="00C03630" w:rsidP="00C03630">
      <w:pPr>
        <w:pStyle w:val="ManualConsidrant"/>
        <w:rPr>
          <w:noProof/>
        </w:rPr>
      </w:pPr>
      <w:r w:rsidRPr="00C03630">
        <w:t>(2)</w:t>
      </w:r>
      <w:r w:rsidRPr="00C03630">
        <w:tab/>
      </w:r>
      <w:r w:rsidR="003F05E5" w:rsidRPr="003F05E5">
        <w:rPr>
          <w:noProof/>
        </w:rPr>
        <w:t xml:space="preserve">Pursuant to </w:t>
      </w:r>
      <w:r w:rsidR="003F05E5" w:rsidRPr="003F05E5">
        <w:rPr>
          <w:noProof/>
          <w:bdr w:val="none" w:sz="0" w:space="0" w:color="auto" w:frame="1"/>
          <w:shd w:val="clear" w:color="auto" w:fill="FFFFFF"/>
        </w:rPr>
        <w:t>Article 91(1) of the Euro-Mediterranean Agreement, the Association Council may take decisions for the purpose of attaining the objectives of the Agreement.</w:t>
      </w:r>
      <w:r w:rsidR="003F05E5" w:rsidRPr="00101CF6">
        <w:rPr>
          <w:noProof/>
        </w:rPr>
        <w:t xml:space="preserve"> </w:t>
      </w:r>
      <w:r w:rsidR="003F05E5" w:rsidRPr="003F05E5">
        <w:rPr>
          <w:noProof/>
        </w:rPr>
        <w:t xml:space="preserve">The EU-Jordan </w:t>
      </w:r>
      <w:r w:rsidR="003F05E5" w:rsidRPr="00101CF6">
        <w:rPr>
          <w:noProof/>
        </w:rPr>
        <w:t>Association Council,</w:t>
      </w:r>
      <w:r w:rsidR="003F05E5" w:rsidRPr="003F05E5">
        <w:rPr>
          <w:noProof/>
        </w:rPr>
        <w:t xml:space="preserve"> during its </w:t>
      </w:r>
      <w:r w:rsidR="003F05E5" w:rsidRPr="00101CF6">
        <w:rPr>
          <w:noProof/>
        </w:rPr>
        <w:t xml:space="preserve">XIV </w:t>
      </w:r>
      <w:r w:rsidR="003F05E5" w:rsidRPr="003F05E5">
        <w:rPr>
          <w:noProof/>
        </w:rPr>
        <w:t>meeting</w:t>
      </w:r>
      <w:r w:rsidR="005A0D5B">
        <w:rPr>
          <w:noProof/>
        </w:rPr>
        <w:t>,</w:t>
      </w:r>
      <w:r w:rsidR="003F05E5" w:rsidRPr="003F05E5">
        <w:rPr>
          <w:noProof/>
        </w:rPr>
        <w:t xml:space="preserve"> is to adopt the </w:t>
      </w:r>
      <w:r w:rsidR="003F05E5" w:rsidRPr="00101CF6">
        <w:rPr>
          <w:noProof/>
        </w:rPr>
        <w:t>EU-Jordan Partnership Priorities</w:t>
      </w:r>
      <w:r w:rsidR="003F05E5" w:rsidRPr="003F05E5">
        <w:rPr>
          <w:noProof/>
        </w:rPr>
        <w:t>.</w:t>
      </w:r>
    </w:p>
    <w:p w14:paraId="4D6EC9AC" w14:textId="3A914F15" w:rsidR="00101CF6" w:rsidRDefault="00C03630" w:rsidP="00C03630">
      <w:pPr>
        <w:pStyle w:val="ManualConsidrant"/>
        <w:rPr>
          <w:noProof/>
        </w:rPr>
      </w:pPr>
      <w:r w:rsidRPr="00C03630">
        <w:t>(3)</w:t>
      </w:r>
      <w:r w:rsidRPr="00C03630">
        <w:tab/>
      </w:r>
      <w:r w:rsidR="003F05E5" w:rsidRPr="003F05E5">
        <w:rPr>
          <w:noProof/>
        </w:rPr>
        <w:t>It is appropriate to establish the position to be taken on the Union's behalf in the EU-Jordan Association Council</w:t>
      </w:r>
      <w:r w:rsidR="003F05E5" w:rsidRPr="00101CF6">
        <w:rPr>
          <w:noProof/>
        </w:rPr>
        <w:t>,</w:t>
      </w:r>
      <w:r w:rsidR="003F05E5" w:rsidRPr="003F05E5">
        <w:rPr>
          <w:noProof/>
        </w:rPr>
        <w:t xml:space="preserve"> as the </w:t>
      </w:r>
      <w:r w:rsidR="003F05E5" w:rsidRPr="00101CF6">
        <w:rPr>
          <w:noProof/>
        </w:rPr>
        <w:t>decision</w:t>
      </w:r>
      <w:r w:rsidR="003F05E5" w:rsidRPr="003F05E5">
        <w:rPr>
          <w:noProof/>
        </w:rPr>
        <w:t xml:space="preserve"> will be binding on the Union.</w:t>
      </w:r>
    </w:p>
    <w:p w14:paraId="2E3BA639" w14:textId="1BFFACB5" w:rsidR="003F05E5" w:rsidRPr="003F05E5" w:rsidRDefault="00C03630" w:rsidP="00C03630">
      <w:pPr>
        <w:pStyle w:val="ManualConsidrant"/>
        <w:rPr>
          <w:noProof/>
        </w:rPr>
      </w:pPr>
      <w:r w:rsidRPr="00C03630">
        <w:t>(4)</w:t>
      </w:r>
      <w:r w:rsidRPr="00C03630">
        <w:tab/>
      </w:r>
      <w:r w:rsidR="003F05E5" w:rsidRPr="003F05E5">
        <w:rPr>
          <w:noProof/>
        </w:rPr>
        <w:t>The purpose of the envisaged act is to</w:t>
      </w:r>
      <w:r w:rsidR="003F05E5" w:rsidRPr="00101CF6">
        <w:rPr>
          <w:rFonts w:eastAsia="Arial Unicode MS"/>
          <w:noProof/>
        </w:rPr>
        <w:t xml:space="preserve"> guide and inform the EU-Jordan partnership during the period 2021-2027. </w:t>
      </w:r>
      <w:r w:rsidR="003F05E5" w:rsidRPr="003F05E5">
        <w:rPr>
          <w:noProof/>
        </w:rPr>
        <w:t>The EU and Jordan have a strong partnership. Jordan is a key partner of the EU, and the EU highly values the important moderating role that Jordan plays in the region. With a view to further strengthening the solid and multi-faceted relationship between the two partners, Partnership priorities have been identified to support the implementation of the EU-Jordan Association Agreement, which will guide the partnership for the period</w:t>
      </w:r>
      <w:r w:rsidR="003F05E5" w:rsidRPr="003F05E5">
        <w:rPr>
          <w:noProof/>
          <w:spacing w:val="-4"/>
        </w:rPr>
        <w:t xml:space="preserve"> </w:t>
      </w:r>
      <w:r w:rsidR="003F05E5" w:rsidRPr="003F05E5">
        <w:rPr>
          <w:noProof/>
        </w:rPr>
        <w:t>2021-2027</w:t>
      </w:r>
      <w:r w:rsidR="00B17403">
        <w:rPr>
          <w:noProof/>
        </w:rPr>
        <w:t>,</w:t>
      </w:r>
      <w:r w:rsidR="003F05E5" w:rsidRPr="003F05E5">
        <w:rPr>
          <w:noProof/>
        </w:rPr>
        <w:t xml:space="preserve"> </w:t>
      </w:r>
    </w:p>
    <w:p w14:paraId="4164B146" w14:textId="77777777" w:rsidR="003F05E5" w:rsidRPr="003F05E5" w:rsidRDefault="003F05E5" w:rsidP="007A4989">
      <w:pPr>
        <w:pStyle w:val="Formuledadoption"/>
        <w:rPr>
          <w:noProof/>
        </w:rPr>
      </w:pPr>
      <w:r w:rsidRPr="003F05E5">
        <w:rPr>
          <w:noProof/>
        </w:rPr>
        <w:t>HAS ADOPTED THIS DECISION:</w:t>
      </w:r>
    </w:p>
    <w:p w14:paraId="4EF198BB" w14:textId="77777777" w:rsidR="003F05E5" w:rsidRPr="003F05E5" w:rsidRDefault="003F05E5" w:rsidP="007A4989">
      <w:pPr>
        <w:pStyle w:val="Titrearticle"/>
        <w:rPr>
          <w:noProof/>
        </w:rPr>
      </w:pPr>
      <w:r w:rsidRPr="003F05E5">
        <w:rPr>
          <w:noProof/>
        </w:rPr>
        <w:t>Article 1</w:t>
      </w:r>
    </w:p>
    <w:p w14:paraId="257D10A8" w14:textId="77777777" w:rsidR="003F05E5" w:rsidRPr="003F05E5" w:rsidRDefault="003F05E5" w:rsidP="003F05E5">
      <w:pPr>
        <w:rPr>
          <w:rFonts w:eastAsia="Calibri"/>
          <w:i/>
          <w:noProof/>
        </w:rPr>
      </w:pPr>
      <w:r w:rsidRPr="003F05E5">
        <w:rPr>
          <w:rFonts w:eastAsia="Calibri"/>
          <w:noProof/>
        </w:rPr>
        <w:t>The position to be taken on the Union's behalf in the XIV meeting of the EU-Jordan Association Council shall be based on the draft decision of the EU-Jordan Association Council adopting the EU-Jordan Partnership Priorities attached to this Decision.</w:t>
      </w:r>
    </w:p>
    <w:p w14:paraId="49F4C4E3" w14:textId="77777777" w:rsidR="003F05E5" w:rsidRPr="003F05E5" w:rsidRDefault="003F05E5" w:rsidP="00C62674">
      <w:pPr>
        <w:pStyle w:val="Titrearticle"/>
        <w:rPr>
          <w:noProof/>
        </w:rPr>
      </w:pPr>
      <w:r w:rsidRPr="003F05E5">
        <w:rPr>
          <w:noProof/>
        </w:rPr>
        <w:t>Article 2</w:t>
      </w:r>
    </w:p>
    <w:p w14:paraId="4E3219B9" w14:textId="77777777" w:rsidR="003F05E5" w:rsidRPr="003F05E5" w:rsidRDefault="003F05E5" w:rsidP="003F05E5">
      <w:pPr>
        <w:rPr>
          <w:rFonts w:eastAsia="Calibri"/>
          <w:noProof/>
        </w:rPr>
      </w:pPr>
      <w:r w:rsidRPr="003F05E5">
        <w:rPr>
          <w:rFonts w:eastAsia="Calibri"/>
          <w:noProof/>
        </w:rPr>
        <w:t>This Decision is addressed to the Commission and to the High Representative of the Union for Foreign Affairs and Security Policy.</w:t>
      </w:r>
    </w:p>
    <w:p w14:paraId="73119F34" w14:textId="799560F0" w:rsidR="003F05E5" w:rsidRPr="003F05E5" w:rsidRDefault="00A97690" w:rsidP="00C62674">
      <w:pPr>
        <w:pStyle w:val="Fait"/>
        <w:rPr>
          <w:noProof/>
        </w:rPr>
      </w:pPr>
      <w:r w:rsidRPr="00A97690">
        <w:t>Done at Brussels,</w:t>
      </w:r>
    </w:p>
    <w:p w14:paraId="0615754C" w14:textId="77777777" w:rsidR="003F05E5" w:rsidRPr="003F05E5" w:rsidRDefault="003F05E5" w:rsidP="00C62674">
      <w:pPr>
        <w:pStyle w:val="Institutionquisigne"/>
        <w:rPr>
          <w:noProof/>
        </w:rPr>
      </w:pPr>
      <w:r w:rsidRPr="003F05E5">
        <w:rPr>
          <w:noProof/>
        </w:rPr>
        <w:tab/>
        <w:t>For the Council</w:t>
      </w:r>
    </w:p>
    <w:p w14:paraId="00418B34" w14:textId="77777777" w:rsidR="003F05E5" w:rsidRPr="007A4989" w:rsidRDefault="003F05E5" w:rsidP="005A0D5B">
      <w:pPr>
        <w:pStyle w:val="Personnequisigne"/>
        <w:rPr>
          <w:noProof/>
        </w:rPr>
      </w:pPr>
      <w:r w:rsidRPr="003F05E5">
        <w:rPr>
          <w:noProof/>
        </w:rPr>
        <w:tab/>
        <w:t>The President</w:t>
      </w:r>
    </w:p>
    <w:sectPr w:rsidR="003F05E5" w:rsidRPr="007A4989" w:rsidSect="007220A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4C292" w14:textId="77777777" w:rsidR="00F3140B" w:rsidRDefault="00F3140B" w:rsidP="00083D3F">
      <w:pPr>
        <w:spacing w:before="0" w:after="0"/>
      </w:pPr>
      <w:r>
        <w:separator/>
      </w:r>
    </w:p>
  </w:endnote>
  <w:endnote w:type="continuationSeparator" w:id="0">
    <w:p w14:paraId="11D0992B" w14:textId="77777777" w:rsidR="00F3140B" w:rsidRDefault="00F3140B" w:rsidP="00083D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BA16" w14:textId="509B27FD" w:rsidR="003162E5" w:rsidRPr="007220A9" w:rsidRDefault="007220A9" w:rsidP="007220A9">
    <w:pPr>
      <w:pStyle w:val="Footer"/>
      <w:rPr>
        <w:rFonts w:ascii="Arial" w:hAnsi="Arial" w:cs="Arial"/>
        <w:b/>
        <w:sz w:val="48"/>
      </w:rPr>
    </w:pPr>
    <w:r w:rsidRPr="007220A9">
      <w:rPr>
        <w:rFonts w:ascii="Arial" w:hAnsi="Arial" w:cs="Arial"/>
        <w:b/>
        <w:sz w:val="48"/>
      </w:rPr>
      <w:t>EN</w:t>
    </w:r>
    <w:r w:rsidRPr="007220A9">
      <w:rPr>
        <w:rFonts w:ascii="Arial" w:hAnsi="Arial" w:cs="Arial"/>
        <w:b/>
        <w:sz w:val="48"/>
      </w:rPr>
      <w:tab/>
    </w:r>
    <w:r w:rsidRPr="007220A9">
      <w:rPr>
        <w:rFonts w:ascii="Arial" w:hAnsi="Arial" w:cs="Arial"/>
        <w:b/>
        <w:sz w:val="48"/>
      </w:rPr>
      <w:tab/>
    </w:r>
    <w:r w:rsidRPr="007220A9">
      <w:tab/>
    </w:r>
    <w:r w:rsidRPr="007220A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3C9D1" w14:textId="7CE7B5E1" w:rsidR="007220A9" w:rsidRPr="007220A9" w:rsidRDefault="007220A9" w:rsidP="007220A9">
    <w:pPr>
      <w:pStyle w:val="Footer"/>
      <w:rPr>
        <w:rFonts w:ascii="Arial" w:hAnsi="Arial" w:cs="Arial"/>
        <w:b/>
        <w:sz w:val="48"/>
      </w:rPr>
    </w:pPr>
    <w:r w:rsidRPr="007220A9">
      <w:rPr>
        <w:rFonts w:ascii="Arial" w:hAnsi="Arial" w:cs="Arial"/>
        <w:b/>
        <w:sz w:val="48"/>
      </w:rPr>
      <w:t>EN</w:t>
    </w:r>
    <w:r w:rsidRPr="007220A9">
      <w:rPr>
        <w:rFonts w:ascii="Arial" w:hAnsi="Arial" w:cs="Arial"/>
        <w:b/>
        <w:sz w:val="48"/>
      </w:rPr>
      <w:tab/>
    </w:r>
    <w:r>
      <w:fldChar w:fldCharType="begin"/>
    </w:r>
    <w:r>
      <w:instrText xml:space="preserve"> PAGE  \* MERGEFORMAT </w:instrText>
    </w:r>
    <w:r>
      <w:fldChar w:fldCharType="separate"/>
    </w:r>
    <w:r w:rsidR="00C62674">
      <w:rPr>
        <w:noProof/>
      </w:rPr>
      <w:t>7</w:t>
    </w:r>
    <w:r>
      <w:fldChar w:fldCharType="end"/>
    </w:r>
    <w:r>
      <w:tab/>
    </w:r>
    <w:r w:rsidRPr="007220A9">
      <w:tab/>
    </w:r>
    <w:r w:rsidRPr="007220A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3857" w14:textId="77777777" w:rsidR="007220A9" w:rsidRPr="007220A9" w:rsidRDefault="007220A9" w:rsidP="0072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4A8E9" w14:textId="77777777" w:rsidR="00F3140B" w:rsidRDefault="00F3140B" w:rsidP="00083D3F">
      <w:pPr>
        <w:spacing w:before="0" w:after="0"/>
      </w:pPr>
      <w:r>
        <w:separator/>
      </w:r>
    </w:p>
  </w:footnote>
  <w:footnote w:type="continuationSeparator" w:id="0">
    <w:p w14:paraId="335068DB" w14:textId="77777777" w:rsidR="00F3140B" w:rsidRDefault="00F3140B" w:rsidP="00083D3F">
      <w:pPr>
        <w:spacing w:before="0" w:after="0"/>
      </w:pPr>
      <w:r>
        <w:continuationSeparator/>
      </w:r>
    </w:p>
  </w:footnote>
  <w:footnote w:id="1">
    <w:p w14:paraId="4A160A9A" w14:textId="77777777" w:rsidR="003F05E5" w:rsidRPr="001B6904" w:rsidRDefault="003F05E5" w:rsidP="0096438D">
      <w:pPr>
        <w:pStyle w:val="FootnoteText"/>
        <w:ind w:left="142" w:hanging="142"/>
      </w:pPr>
      <w:r>
        <w:rPr>
          <w:rStyle w:val="FootnoteReference"/>
        </w:rPr>
        <w:footnoteRef/>
      </w:r>
      <w:r>
        <w:tab/>
        <w:t>Euro-Mediterranean Agreement establishing an Association between the European Community and its Member States, of the one part, and the Hashemite Kingdom of Jordan, of the other part; OJ L 129/3; 15.5.2002</w:t>
      </w:r>
    </w:p>
  </w:footnote>
  <w:footnote w:id="2">
    <w:p w14:paraId="4AA18EBC" w14:textId="77777777" w:rsidR="003F05E5" w:rsidRPr="00E0289A" w:rsidRDefault="003F05E5" w:rsidP="0096438D">
      <w:pPr>
        <w:pStyle w:val="FootnoteText"/>
        <w:ind w:left="142" w:hanging="142"/>
      </w:pPr>
      <w:r w:rsidRPr="00C27B62">
        <w:rPr>
          <w:rStyle w:val="FootnoteReference"/>
        </w:rPr>
        <w:footnoteRef/>
      </w:r>
      <w:r w:rsidR="00C27B62">
        <w:tab/>
      </w:r>
      <w:r>
        <w:t xml:space="preserve">Joint Communication to the European Parliament, the Council, the European Economic and Social Committee and the Committee of the Regions: </w:t>
      </w:r>
      <w:r w:rsidRPr="00E0289A">
        <w:rPr>
          <w:rStyle w:val="markedcontent"/>
        </w:rPr>
        <w:t xml:space="preserve">Review of the European Neighbourhood Policy SWD(2015) 500 </w:t>
      </w:r>
    </w:p>
  </w:footnote>
  <w:footnote w:id="3">
    <w:p w14:paraId="32EDA581" w14:textId="77777777" w:rsidR="003F05E5" w:rsidRDefault="003F05E5" w:rsidP="0096438D">
      <w:pPr>
        <w:pStyle w:val="FootnoteText"/>
        <w:ind w:left="142" w:hanging="142"/>
      </w:pPr>
      <w:r w:rsidRPr="00C27B62">
        <w:rPr>
          <w:rStyle w:val="FootnoteReference"/>
        </w:rPr>
        <w:footnoteRef/>
      </w:r>
      <w:r w:rsidR="00C27B62">
        <w:tab/>
      </w:r>
      <w:r>
        <w:t>EUCO 22/20 of 11.12.2020</w:t>
      </w:r>
    </w:p>
  </w:footnote>
  <w:footnote w:id="4">
    <w:p w14:paraId="61F30C38" w14:textId="77777777" w:rsidR="003F05E5" w:rsidRDefault="003F05E5" w:rsidP="0096438D">
      <w:pPr>
        <w:pStyle w:val="FootnoteText"/>
        <w:ind w:left="142" w:hanging="142"/>
      </w:pPr>
      <w:r>
        <w:rPr>
          <w:rStyle w:val="FootnoteReference"/>
        </w:rPr>
        <w:footnoteRef/>
      </w:r>
      <w:r>
        <w:tab/>
      </w:r>
      <w:r>
        <w:rPr>
          <w:noProof/>
        </w:rPr>
        <w:t>JOIN(2021) 2 final.</w:t>
      </w:r>
    </w:p>
  </w:footnote>
  <w:footnote w:id="5">
    <w:p w14:paraId="4428AFB0" w14:textId="77777777" w:rsidR="003F05E5" w:rsidRDefault="003F05E5" w:rsidP="0096438D">
      <w:pPr>
        <w:pStyle w:val="FootnoteText"/>
        <w:ind w:left="142" w:hanging="142"/>
      </w:pPr>
      <w:r>
        <w:rPr>
          <w:rStyle w:val="FootnoteReference"/>
        </w:rPr>
        <w:footnoteRef/>
      </w:r>
      <w:r>
        <w:tab/>
        <w:t>https://data.consilium.europa.eu/doc/document/ST-7931-2021-INIT/en/pdf</w:t>
      </w:r>
    </w:p>
  </w:footnote>
  <w:footnote w:id="6">
    <w:p w14:paraId="67E8C9A1" w14:textId="77777777" w:rsidR="003F05E5" w:rsidRPr="004C7A91" w:rsidRDefault="003F05E5" w:rsidP="0096438D">
      <w:pPr>
        <w:pStyle w:val="FootnoteText"/>
        <w:ind w:left="142" w:hanging="142"/>
      </w:pPr>
      <w:r w:rsidRPr="00C27B62">
        <w:rPr>
          <w:rStyle w:val="FootnoteReference"/>
        </w:rPr>
        <w:footnoteRef/>
      </w:r>
      <w:r w:rsidR="00C27B62">
        <w:tab/>
      </w:r>
      <w:r w:rsidRPr="004C7A91">
        <w:t>Joint staff working document: Renewed Partnership with the Southern Neighbourhood Economic and Investment Plan for the Southern Neighbours. SWD/2021/23 final</w:t>
      </w:r>
      <w:r>
        <w:t xml:space="preserve">. </w:t>
      </w:r>
    </w:p>
  </w:footnote>
  <w:footnote w:id="7">
    <w:p w14:paraId="688C0565" w14:textId="77777777" w:rsidR="003F05E5" w:rsidRDefault="003F05E5" w:rsidP="0096438D">
      <w:pPr>
        <w:pStyle w:val="FootnoteText"/>
        <w:ind w:left="142" w:hanging="142"/>
      </w:pPr>
      <w:r w:rsidRPr="00C27B62">
        <w:rPr>
          <w:rStyle w:val="FootnoteReference"/>
        </w:rPr>
        <w:footnoteRef/>
      </w:r>
      <w:r w:rsidR="00C27B62">
        <w:tab/>
      </w:r>
      <w:r w:rsidRPr="00B035F8">
        <w:t>Judgment of the Court of Justice of 7 October 2014, Germany v Council, C-399/12,</w:t>
      </w:r>
      <w:r>
        <w:t xml:space="preserve"> </w:t>
      </w:r>
      <w:r w:rsidRPr="00361FEC">
        <w:t xml:space="preserve">ECLI:EU:C:2014:2258, </w:t>
      </w:r>
    </w:p>
    <w:p w14:paraId="5EB7E0B6" w14:textId="77777777" w:rsidR="003F05E5" w:rsidRPr="00361FEC" w:rsidRDefault="003F05E5" w:rsidP="0096438D">
      <w:pPr>
        <w:pStyle w:val="FootnoteText"/>
        <w:ind w:left="142" w:hanging="142"/>
      </w:pPr>
      <w:r w:rsidRPr="00361FEC">
        <w:t xml:space="preserve">paragraphs 61 to 64. </w:t>
      </w:r>
    </w:p>
  </w:footnote>
  <w:footnote w:id="8">
    <w:p w14:paraId="4F348AF8" w14:textId="77777777" w:rsidR="003F05E5" w:rsidRPr="001B6904" w:rsidRDefault="003F05E5" w:rsidP="003F05E5">
      <w:pPr>
        <w:pStyle w:val="FootnoteText"/>
        <w:ind w:left="142" w:hanging="142"/>
      </w:pPr>
      <w:r w:rsidRPr="00C27B62">
        <w:rPr>
          <w:rStyle w:val="FootnoteReference"/>
        </w:rPr>
        <w:footnoteRef/>
      </w:r>
      <w:r w:rsidR="00C27B62">
        <w:tab/>
      </w:r>
      <w:r>
        <w:t>Euro-Mediterranean Agreement establishing an Association between the European Community and its Member States, of the one part, and the Hashemite Kingdom of Jordan, of the other part; OJ L 129/3; 15.5.2002</w:t>
      </w:r>
    </w:p>
    <w:p w14:paraId="2DC438AB" w14:textId="77777777" w:rsidR="003F05E5" w:rsidRDefault="003F05E5" w:rsidP="003F05E5">
      <w:pPr>
        <w:pStyle w:val="FootnoteText"/>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04D9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EA8C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1042A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D4C4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362B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C689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0DE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CEB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4CA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6CF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38600C9D"/>
    <w:multiLevelType w:val="hybridMultilevel"/>
    <w:tmpl w:val="224C03BC"/>
    <w:lvl w:ilvl="0" w:tplc="93BE4FF4">
      <w:numFmt w:val="bullet"/>
      <w:pStyle w:val="Ii"/>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num>
  <w:num w:numId="12">
    <w:abstractNumId w:val="22"/>
  </w:num>
  <w:num w:numId="13">
    <w:abstractNumId w:val="15"/>
  </w:num>
  <w:num w:numId="14">
    <w:abstractNumId w:val="24"/>
  </w:num>
  <w:num w:numId="15">
    <w:abstractNumId w:val="13"/>
  </w:num>
  <w:num w:numId="16">
    <w:abstractNumId w:val="16"/>
  </w:num>
  <w:num w:numId="17">
    <w:abstractNumId w:val="17"/>
  </w:num>
  <w:num w:numId="18">
    <w:abstractNumId w:val="11"/>
  </w:num>
  <w:num w:numId="19">
    <w:abstractNumId w:val="23"/>
  </w:num>
  <w:num w:numId="20">
    <w:abstractNumId w:val="10"/>
  </w:num>
  <w:num w:numId="21">
    <w:abstractNumId w:val="18"/>
  </w:num>
  <w:num w:numId="22">
    <w:abstractNumId w:val="20"/>
  </w:num>
  <w:num w:numId="23">
    <w:abstractNumId w:val="21"/>
  </w:num>
  <w:num w:numId="24">
    <w:abstractNumId w:val="12"/>
  </w:num>
  <w:num w:numId="25">
    <w:abstractNumId w:val="19"/>
  </w:num>
  <w:num w:numId="26">
    <w:abstractNumId w:val="25"/>
  </w:num>
  <w:num w:numId="27">
    <w:abstractNumId w:val="4"/>
  </w:num>
  <w:num w:numId="28">
    <w:abstractNumId w:val="0"/>
  </w:num>
  <w:num w:numId="29">
    <w:abstractNumId w:val="22"/>
  </w:num>
  <w:num w:numId="30">
    <w:abstractNumId w:val="15"/>
  </w:num>
  <w:num w:numId="31">
    <w:abstractNumId w:val="24"/>
  </w:num>
  <w:num w:numId="32">
    <w:abstractNumId w:val="13"/>
  </w:num>
  <w:num w:numId="33">
    <w:abstractNumId w:val="16"/>
  </w:num>
  <w:num w:numId="34">
    <w:abstractNumId w:val="17"/>
  </w:num>
  <w:num w:numId="35">
    <w:abstractNumId w:val="11"/>
  </w:num>
  <w:num w:numId="36">
    <w:abstractNumId w:val="23"/>
  </w:num>
  <w:num w:numId="37">
    <w:abstractNumId w:val="10"/>
  </w:num>
  <w:num w:numId="38">
    <w:abstractNumId w:val="18"/>
  </w:num>
  <w:num w:numId="39">
    <w:abstractNumId w:val="20"/>
  </w:num>
  <w:num w:numId="40">
    <w:abstractNumId w:val="21"/>
  </w:num>
  <w:num w:numId="41">
    <w:abstractNumId w:val="12"/>
  </w:num>
  <w:num w:numId="42">
    <w:abstractNumId w:val="19"/>
  </w:num>
  <w:num w:numId="43">
    <w:abstractNumId w:val="25"/>
  </w:num>
  <w:num w:numId="44">
    <w:abstractNumId w:val="15"/>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2-04-01 11:27:3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AF736DF3-E4A7-4345-91FF-9895119859D0"/>
    <w:docVar w:name="LW_COVERPAGE_TYPE" w:val="1"/>
    <w:docVar w:name="LW_CROSSREFERENCE" w:val="&lt;UNUSED&gt;"/>
    <w:docVar w:name="LW_DocType" w:val="COM"/>
    <w:docVar w:name="LW_EMISSION" w:val="6.4.2022"/>
    <w:docVar w:name="LW_EMISSION_ISODATE" w:val="2022-04-06"/>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07"/>
    <w:docVar w:name="LW_REF.II.NEW.CP_YEAR" w:val="2022"/>
    <w:docVar w:name="LW_REF.INST.NEW" w:val="COM"/>
    <w:docVar w:name="LW_REF.INST.NEW_ADOPTED" w:val="final"/>
    <w:docVar w:name="LW_REF.INST.NEW_TEXT" w:val="(2022) 1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Association Council set up by the Euro-Mediterranean Agreement establishing an association between the European Communities and their Member States, of the one part, and the Hashemite Kingdom of Jordan, of the other part, with regard to the adoption of EU-Jordan Partnership Priorities"/>
    <w:docVar w:name="LW_TYPE.DOC.CP" w:val="COUNCIL DECISION"/>
    <w:docVar w:name="LwApiVersions" w:val="LW4CoDe 1.23.2.0; LW 8.0, Build 20211117"/>
  </w:docVars>
  <w:rsids>
    <w:rsidRoot w:val="00083D3F"/>
    <w:rsid w:val="00016B20"/>
    <w:rsid w:val="00021D89"/>
    <w:rsid w:val="000411EC"/>
    <w:rsid w:val="00083D3F"/>
    <w:rsid w:val="000B7A7D"/>
    <w:rsid w:val="000D37CE"/>
    <w:rsid w:val="00101CF6"/>
    <w:rsid w:val="00115139"/>
    <w:rsid w:val="00133145"/>
    <w:rsid w:val="00152894"/>
    <w:rsid w:val="001671CB"/>
    <w:rsid w:val="001A7E8B"/>
    <w:rsid w:val="001B6904"/>
    <w:rsid w:val="001D2640"/>
    <w:rsid w:val="001E0404"/>
    <w:rsid w:val="001E582E"/>
    <w:rsid w:val="001E7EF3"/>
    <w:rsid w:val="001F37D0"/>
    <w:rsid w:val="00203D5E"/>
    <w:rsid w:val="00213421"/>
    <w:rsid w:val="00263E57"/>
    <w:rsid w:val="00273BF4"/>
    <w:rsid w:val="00276478"/>
    <w:rsid w:val="002B304A"/>
    <w:rsid w:val="00305E47"/>
    <w:rsid w:val="003162E5"/>
    <w:rsid w:val="00320BC9"/>
    <w:rsid w:val="00321AC8"/>
    <w:rsid w:val="003454AA"/>
    <w:rsid w:val="00355C88"/>
    <w:rsid w:val="00361AE0"/>
    <w:rsid w:val="00361FEC"/>
    <w:rsid w:val="00383DFD"/>
    <w:rsid w:val="00396ACD"/>
    <w:rsid w:val="003A07F4"/>
    <w:rsid w:val="003B04A0"/>
    <w:rsid w:val="003F05E5"/>
    <w:rsid w:val="003F3CF4"/>
    <w:rsid w:val="003F55CB"/>
    <w:rsid w:val="003F602B"/>
    <w:rsid w:val="003F7FC4"/>
    <w:rsid w:val="00406073"/>
    <w:rsid w:val="00427459"/>
    <w:rsid w:val="00430EF2"/>
    <w:rsid w:val="00437AA5"/>
    <w:rsid w:val="00492396"/>
    <w:rsid w:val="00494648"/>
    <w:rsid w:val="004A4A13"/>
    <w:rsid w:val="004C7A91"/>
    <w:rsid w:val="004E19F9"/>
    <w:rsid w:val="004E5AEF"/>
    <w:rsid w:val="00510D60"/>
    <w:rsid w:val="00514D2B"/>
    <w:rsid w:val="00517205"/>
    <w:rsid w:val="005174E5"/>
    <w:rsid w:val="005320D0"/>
    <w:rsid w:val="00542487"/>
    <w:rsid w:val="00582810"/>
    <w:rsid w:val="00590399"/>
    <w:rsid w:val="0059259E"/>
    <w:rsid w:val="00595540"/>
    <w:rsid w:val="005960A6"/>
    <w:rsid w:val="005A0D5B"/>
    <w:rsid w:val="005A2980"/>
    <w:rsid w:val="005B5FA6"/>
    <w:rsid w:val="005C535E"/>
    <w:rsid w:val="006654AB"/>
    <w:rsid w:val="006867FA"/>
    <w:rsid w:val="006904FA"/>
    <w:rsid w:val="006B3070"/>
    <w:rsid w:val="006B7B8F"/>
    <w:rsid w:val="006D45FF"/>
    <w:rsid w:val="006D6ABF"/>
    <w:rsid w:val="006E2273"/>
    <w:rsid w:val="006F3363"/>
    <w:rsid w:val="006F7EFE"/>
    <w:rsid w:val="0071261B"/>
    <w:rsid w:val="007220A9"/>
    <w:rsid w:val="00747965"/>
    <w:rsid w:val="00751000"/>
    <w:rsid w:val="007578F8"/>
    <w:rsid w:val="0076632D"/>
    <w:rsid w:val="00771656"/>
    <w:rsid w:val="007A4989"/>
    <w:rsid w:val="007B09F3"/>
    <w:rsid w:val="007B284B"/>
    <w:rsid w:val="007B3D90"/>
    <w:rsid w:val="007D0748"/>
    <w:rsid w:val="007D0861"/>
    <w:rsid w:val="007D0C90"/>
    <w:rsid w:val="007D5BF7"/>
    <w:rsid w:val="007E010B"/>
    <w:rsid w:val="007E4E2C"/>
    <w:rsid w:val="00802FC2"/>
    <w:rsid w:val="00830F17"/>
    <w:rsid w:val="00840C2F"/>
    <w:rsid w:val="00856116"/>
    <w:rsid w:val="008577B8"/>
    <w:rsid w:val="00891052"/>
    <w:rsid w:val="008926BC"/>
    <w:rsid w:val="008A4A29"/>
    <w:rsid w:val="008E2694"/>
    <w:rsid w:val="008F4D55"/>
    <w:rsid w:val="00940731"/>
    <w:rsid w:val="00956CC5"/>
    <w:rsid w:val="0096438D"/>
    <w:rsid w:val="00967C20"/>
    <w:rsid w:val="0098242A"/>
    <w:rsid w:val="0098287C"/>
    <w:rsid w:val="009957C5"/>
    <w:rsid w:val="009B3670"/>
    <w:rsid w:val="009C3637"/>
    <w:rsid w:val="009E1E5C"/>
    <w:rsid w:val="00A20D80"/>
    <w:rsid w:val="00A318F3"/>
    <w:rsid w:val="00A414EE"/>
    <w:rsid w:val="00A42E53"/>
    <w:rsid w:val="00A50124"/>
    <w:rsid w:val="00A565C7"/>
    <w:rsid w:val="00A97690"/>
    <w:rsid w:val="00AE55DC"/>
    <w:rsid w:val="00AF47B1"/>
    <w:rsid w:val="00B17403"/>
    <w:rsid w:val="00B223B6"/>
    <w:rsid w:val="00B47A37"/>
    <w:rsid w:val="00B66F19"/>
    <w:rsid w:val="00B77F4D"/>
    <w:rsid w:val="00B831D5"/>
    <w:rsid w:val="00B85358"/>
    <w:rsid w:val="00BE74A7"/>
    <w:rsid w:val="00C00627"/>
    <w:rsid w:val="00C0198A"/>
    <w:rsid w:val="00C03630"/>
    <w:rsid w:val="00C27B62"/>
    <w:rsid w:val="00C3731F"/>
    <w:rsid w:val="00C44045"/>
    <w:rsid w:val="00C55853"/>
    <w:rsid w:val="00C62674"/>
    <w:rsid w:val="00CA13AD"/>
    <w:rsid w:val="00CB4172"/>
    <w:rsid w:val="00CC122C"/>
    <w:rsid w:val="00CE3457"/>
    <w:rsid w:val="00D27A08"/>
    <w:rsid w:val="00D55067"/>
    <w:rsid w:val="00D75C74"/>
    <w:rsid w:val="00DB4B20"/>
    <w:rsid w:val="00DC39FE"/>
    <w:rsid w:val="00DE0FCB"/>
    <w:rsid w:val="00DF2429"/>
    <w:rsid w:val="00E0289A"/>
    <w:rsid w:val="00E06CFA"/>
    <w:rsid w:val="00E07235"/>
    <w:rsid w:val="00E33C9F"/>
    <w:rsid w:val="00E423C0"/>
    <w:rsid w:val="00E43477"/>
    <w:rsid w:val="00E71A81"/>
    <w:rsid w:val="00E84CDE"/>
    <w:rsid w:val="00E8746E"/>
    <w:rsid w:val="00E979AB"/>
    <w:rsid w:val="00EC38DC"/>
    <w:rsid w:val="00EC39BC"/>
    <w:rsid w:val="00EE140B"/>
    <w:rsid w:val="00EE648D"/>
    <w:rsid w:val="00EF2A54"/>
    <w:rsid w:val="00F05061"/>
    <w:rsid w:val="00F14CF7"/>
    <w:rsid w:val="00F219A4"/>
    <w:rsid w:val="00F3140B"/>
    <w:rsid w:val="00F33B20"/>
    <w:rsid w:val="00F82E75"/>
    <w:rsid w:val="00FC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5EF443"/>
  <w15:docId w15:val="{4145F3E9-FD83-4AE2-A1D9-AF76524D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E84CDE"/>
    <w:pPr>
      <w:numPr>
        <w:numId w:val="1"/>
      </w:numPr>
      <w:contextualSpacing/>
    </w:pPr>
  </w:style>
  <w:style w:type="paragraph" w:styleId="ListBullet2">
    <w:name w:val="List Bullet 2"/>
    <w:basedOn w:val="Normal"/>
    <w:uiPriority w:val="99"/>
    <w:semiHidden/>
    <w:unhideWhenUsed/>
    <w:rsid w:val="00E84CDE"/>
    <w:pPr>
      <w:numPr>
        <w:numId w:val="2"/>
      </w:numPr>
      <w:contextualSpacing/>
    </w:pPr>
  </w:style>
  <w:style w:type="paragraph" w:styleId="ListBullet3">
    <w:name w:val="List Bullet 3"/>
    <w:basedOn w:val="Normal"/>
    <w:uiPriority w:val="99"/>
    <w:semiHidden/>
    <w:unhideWhenUsed/>
    <w:rsid w:val="00E84CDE"/>
    <w:pPr>
      <w:numPr>
        <w:numId w:val="3"/>
      </w:numPr>
      <w:contextualSpacing/>
    </w:pPr>
  </w:style>
  <w:style w:type="paragraph" w:styleId="ListBullet4">
    <w:name w:val="List Bullet 4"/>
    <w:basedOn w:val="Normal"/>
    <w:uiPriority w:val="99"/>
    <w:semiHidden/>
    <w:unhideWhenUsed/>
    <w:rsid w:val="00E84CDE"/>
    <w:pPr>
      <w:numPr>
        <w:numId w:val="4"/>
      </w:numPr>
      <w:contextualSpacing/>
    </w:pPr>
  </w:style>
  <w:style w:type="paragraph" w:styleId="Caption">
    <w:name w:val="caption"/>
    <w:basedOn w:val="Normal"/>
    <w:next w:val="Normal"/>
    <w:uiPriority w:val="35"/>
    <w:semiHidden/>
    <w:unhideWhenUsed/>
    <w:qFormat/>
    <w:rsid w:val="00830F17"/>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30F17"/>
    <w:pPr>
      <w:spacing w:after="0"/>
    </w:pPr>
  </w:style>
  <w:style w:type="paragraph" w:styleId="ListNumber">
    <w:name w:val="List Number"/>
    <w:basedOn w:val="Normal"/>
    <w:uiPriority w:val="99"/>
    <w:semiHidden/>
    <w:unhideWhenUsed/>
    <w:rsid w:val="00830F17"/>
    <w:pPr>
      <w:numPr>
        <w:numId w:val="5"/>
      </w:numPr>
      <w:contextualSpacing/>
    </w:pPr>
  </w:style>
  <w:style w:type="paragraph" w:styleId="ListNumber2">
    <w:name w:val="List Number 2"/>
    <w:basedOn w:val="Normal"/>
    <w:uiPriority w:val="99"/>
    <w:semiHidden/>
    <w:unhideWhenUsed/>
    <w:rsid w:val="00830F17"/>
    <w:pPr>
      <w:numPr>
        <w:numId w:val="6"/>
      </w:numPr>
      <w:contextualSpacing/>
    </w:pPr>
  </w:style>
  <w:style w:type="paragraph" w:styleId="ListNumber3">
    <w:name w:val="List Number 3"/>
    <w:basedOn w:val="Normal"/>
    <w:uiPriority w:val="99"/>
    <w:semiHidden/>
    <w:unhideWhenUsed/>
    <w:rsid w:val="00830F17"/>
    <w:pPr>
      <w:numPr>
        <w:numId w:val="7"/>
      </w:numPr>
      <w:contextualSpacing/>
    </w:pPr>
  </w:style>
  <w:style w:type="paragraph" w:styleId="ListNumber4">
    <w:name w:val="List Number 4"/>
    <w:basedOn w:val="Normal"/>
    <w:uiPriority w:val="99"/>
    <w:semiHidden/>
    <w:unhideWhenUsed/>
    <w:rsid w:val="00830F17"/>
    <w:pPr>
      <w:numPr>
        <w:numId w:val="8"/>
      </w:numPr>
      <w:contextualSpacing/>
    </w:pPr>
  </w:style>
  <w:style w:type="paragraph" w:styleId="BalloonText">
    <w:name w:val="Balloon Text"/>
    <w:basedOn w:val="Normal"/>
    <w:link w:val="BalloonTextChar"/>
    <w:uiPriority w:val="99"/>
    <w:semiHidden/>
    <w:unhideWhenUsed/>
    <w:rsid w:val="007B3D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D90"/>
    <w:rPr>
      <w:rFonts w:ascii="Segoe UI" w:hAnsi="Segoe UI" w:cs="Segoe UI"/>
      <w:sz w:val="18"/>
      <w:szCs w:val="18"/>
      <w:lang w:val="en-GB"/>
    </w:rPr>
  </w:style>
  <w:style w:type="paragraph" w:customStyle="1" w:styleId="Normal1">
    <w:name w:val="Normal1"/>
    <w:basedOn w:val="Normal"/>
    <w:rsid w:val="003F602B"/>
    <w:pPr>
      <w:spacing w:before="100" w:beforeAutospacing="1" w:after="100" w:afterAutospacing="1"/>
      <w:jc w:val="left"/>
    </w:pPr>
    <w:rPr>
      <w:rFonts w:eastAsia="Times New Roman"/>
      <w:szCs w:val="24"/>
      <w:lang w:eastAsia="en-GB"/>
    </w:rPr>
  </w:style>
  <w:style w:type="paragraph" w:customStyle="1" w:styleId="li">
    <w:name w:val="li"/>
    <w:basedOn w:val="Normal"/>
    <w:rsid w:val="003F602B"/>
    <w:pPr>
      <w:spacing w:before="100" w:beforeAutospacing="1" w:after="100" w:afterAutospacing="1"/>
      <w:jc w:val="left"/>
    </w:pPr>
    <w:rPr>
      <w:rFonts w:eastAsia="Times New Roman"/>
      <w:szCs w:val="24"/>
      <w:lang w:eastAsia="en-GB"/>
    </w:rPr>
  </w:style>
  <w:style w:type="character" w:customStyle="1" w:styleId="num">
    <w:name w:val="num"/>
    <w:basedOn w:val="DefaultParagraphFont"/>
    <w:rsid w:val="003F602B"/>
  </w:style>
  <w:style w:type="character" w:styleId="CommentReference">
    <w:name w:val="annotation reference"/>
    <w:basedOn w:val="DefaultParagraphFont"/>
    <w:uiPriority w:val="99"/>
    <w:semiHidden/>
    <w:unhideWhenUsed/>
    <w:rsid w:val="001E582E"/>
    <w:rPr>
      <w:sz w:val="16"/>
      <w:szCs w:val="16"/>
    </w:rPr>
  </w:style>
  <w:style w:type="paragraph" w:styleId="CommentText">
    <w:name w:val="annotation text"/>
    <w:basedOn w:val="Normal"/>
    <w:link w:val="CommentTextChar"/>
    <w:uiPriority w:val="99"/>
    <w:semiHidden/>
    <w:unhideWhenUsed/>
    <w:rsid w:val="001E582E"/>
    <w:rPr>
      <w:sz w:val="20"/>
      <w:szCs w:val="20"/>
    </w:rPr>
  </w:style>
  <w:style w:type="character" w:customStyle="1" w:styleId="CommentTextChar">
    <w:name w:val="Comment Text Char"/>
    <w:basedOn w:val="DefaultParagraphFont"/>
    <w:link w:val="CommentText"/>
    <w:uiPriority w:val="99"/>
    <w:semiHidden/>
    <w:rsid w:val="001E582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E582E"/>
    <w:rPr>
      <w:b/>
      <w:bCs/>
    </w:rPr>
  </w:style>
  <w:style w:type="character" w:customStyle="1" w:styleId="CommentSubjectChar">
    <w:name w:val="Comment Subject Char"/>
    <w:basedOn w:val="CommentTextChar"/>
    <w:link w:val="CommentSubject"/>
    <w:uiPriority w:val="99"/>
    <w:semiHidden/>
    <w:rsid w:val="001E582E"/>
    <w:rPr>
      <w:rFonts w:ascii="Times New Roman" w:hAnsi="Times New Roman" w:cs="Times New Roman"/>
      <w:b/>
      <w:bCs/>
      <w:sz w:val="20"/>
      <w:szCs w:val="20"/>
      <w:lang w:val="en-GB"/>
    </w:rPr>
  </w:style>
  <w:style w:type="paragraph" w:styleId="ListParagraph">
    <w:name w:val="List Paragraph"/>
    <w:basedOn w:val="Normal"/>
    <w:uiPriority w:val="34"/>
    <w:qFormat/>
    <w:rsid w:val="00E43477"/>
    <w:pPr>
      <w:ind w:left="720"/>
      <w:contextualSpacing/>
    </w:pPr>
  </w:style>
  <w:style w:type="character" w:customStyle="1" w:styleId="tlid-translation">
    <w:name w:val="tlid-translation"/>
    <w:basedOn w:val="DefaultParagraphFont"/>
    <w:rsid w:val="00E423C0"/>
  </w:style>
  <w:style w:type="character" w:customStyle="1" w:styleId="markedcontent">
    <w:name w:val="markedcontent"/>
    <w:basedOn w:val="DefaultParagraphFont"/>
    <w:rsid w:val="00E0289A"/>
  </w:style>
  <w:style w:type="paragraph" w:styleId="NormalWeb">
    <w:name w:val="Normal (Web)"/>
    <w:basedOn w:val="Normal"/>
    <w:uiPriority w:val="99"/>
    <w:semiHidden/>
    <w:unhideWhenUsed/>
    <w:rsid w:val="004C7A91"/>
    <w:pPr>
      <w:spacing w:before="100" w:beforeAutospacing="1" w:after="100" w:afterAutospacing="1"/>
      <w:jc w:val="left"/>
    </w:pPr>
    <w:rPr>
      <w:rFonts w:eastAsia="Times New Roman"/>
      <w:szCs w:val="24"/>
      <w:lang w:eastAsia="en-GB"/>
    </w:rPr>
  </w:style>
  <w:style w:type="paragraph" w:customStyle="1" w:styleId="Ii">
    <w:name w:val="Ii"/>
    <w:basedOn w:val="Normal"/>
    <w:rsid w:val="00021D89"/>
    <w:pPr>
      <w:numPr>
        <w:numId w:val="9"/>
      </w:numPr>
      <w:shd w:val="clear" w:color="auto" w:fill="FFFFFF"/>
      <w:spacing w:before="0" w:after="0"/>
      <w:textAlignment w:val="baseline"/>
    </w:pPr>
    <w:rPr>
      <w:rFonts w:eastAsia="Times New Roman"/>
      <w:szCs w:val="24"/>
      <w:bdr w:val="none" w:sz="0" w:space="0" w:color="auto" w:frame="1"/>
      <w:lang w:eastAsia="en-GB"/>
    </w:rPr>
  </w:style>
  <w:style w:type="paragraph" w:styleId="Header">
    <w:name w:val="header"/>
    <w:basedOn w:val="Normal"/>
    <w:link w:val="HeaderChar"/>
    <w:uiPriority w:val="99"/>
    <w:unhideWhenUsed/>
    <w:rsid w:val="007220A9"/>
    <w:pPr>
      <w:tabs>
        <w:tab w:val="center" w:pos="4535"/>
        <w:tab w:val="right" w:pos="9071"/>
      </w:tabs>
      <w:spacing w:before="0"/>
    </w:pPr>
  </w:style>
  <w:style w:type="character" w:customStyle="1" w:styleId="HeaderChar">
    <w:name w:val="Header Char"/>
    <w:basedOn w:val="DefaultParagraphFont"/>
    <w:link w:val="Header"/>
    <w:uiPriority w:val="99"/>
    <w:rsid w:val="007220A9"/>
    <w:rPr>
      <w:rFonts w:ascii="Times New Roman" w:hAnsi="Times New Roman" w:cs="Times New Roman"/>
      <w:sz w:val="24"/>
      <w:lang w:val="en-GB"/>
    </w:rPr>
  </w:style>
  <w:style w:type="paragraph" w:styleId="Footer">
    <w:name w:val="footer"/>
    <w:basedOn w:val="Normal"/>
    <w:link w:val="FooterChar"/>
    <w:uiPriority w:val="99"/>
    <w:unhideWhenUsed/>
    <w:rsid w:val="007220A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220A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7220A9"/>
    <w:pPr>
      <w:tabs>
        <w:tab w:val="center" w:pos="7285"/>
        <w:tab w:val="right" w:pos="14003"/>
      </w:tabs>
      <w:spacing w:before="0"/>
    </w:pPr>
  </w:style>
  <w:style w:type="paragraph" w:customStyle="1" w:styleId="FooterLandscape">
    <w:name w:val="FooterLandscape"/>
    <w:basedOn w:val="Normal"/>
    <w:rsid w:val="007220A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7220A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220A9"/>
    <w:pPr>
      <w:spacing w:before="0"/>
      <w:jc w:val="right"/>
    </w:pPr>
    <w:rPr>
      <w:sz w:val="28"/>
    </w:rPr>
  </w:style>
  <w:style w:type="paragraph" w:customStyle="1" w:styleId="FooterSensitivity">
    <w:name w:val="Footer Sensitivity"/>
    <w:basedOn w:val="Normal"/>
    <w:rsid w:val="007220A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9"/>
      </w:numPr>
    </w:pPr>
  </w:style>
  <w:style w:type="paragraph" w:customStyle="1" w:styleId="Tiret1">
    <w:name w:val="Tiret 1"/>
    <w:basedOn w:val="Point1"/>
    <w:rsid w:val="00517205"/>
    <w:pPr>
      <w:numPr>
        <w:numId w:val="30"/>
      </w:numPr>
    </w:pPr>
  </w:style>
  <w:style w:type="paragraph" w:customStyle="1" w:styleId="Tiret2">
    <w:name w:val="Tiret 2"/>
    <w:basedOn w:val="Point2"/>
    <w:rsid w:val="00517205"/>
    <w:pPr>
      <w:numPr>
        <w:numId w:val="31"/>
      </w:numPr>
    </w:pPr>
  </w:style>
  <w:style w:type="paragraph" w:customStyle="1" w:styleId="Tiret3">
    <w:name w:val="Tiret 3"/>
    <w:basedOn w:val="Point3"/>
    <w:rsid w:val="00517205"/>
    <w:pPr>
      <w:numPr>
        <w:numId w:val="32"/>
      </w:numPr>
    </w:pPr>
  </w:style>
  <w:style w:type="paragraph" w:customStyle="1" w:styleId="Tiret4">
    <w:name w:val="Tiret 4"/>
    <w:basedOn w:val="Point4"/>
    <w:rsid w:val="00517205"/>
    <w:pPr>
      <w:numPr>
        <w:numId w:val="33"/>
      </w:numPr>
    </w:pPr>
  </w:style>
  <w:style w:type="paragraph" w:customStyle="1" w:styleId="Tiret5">
    <w:name w:val="Tiret 5"/>
    <w:basedOn w:val="Point5"/>
    <w:rsid w:val="00517205"/>
    <w:pPr>
      <w:numPr>
        <w:numId w:val="34"/>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5"/>
      </w:numPr>
    </w:pPr>
  </w:style>
  <w:style w:type="paragraph" w:customStyle="1" w:styleId="NumPar2">
    <w:name w:val="NumPar 2"/>
    <w:basedOn w:val="Normal"/>
    <w:next w:val="Text1"/>
    <w:rsid w:val="00517205"/>
    <w:pPr>
      <w:numPr>
        <w:ilvl w:val="1"/>
        <w:numId w:val="35"/>
      </w:numPr>
    </w:pPr>
  </w:style>
  <w:style w:type="paragraph" w:customStyle="1" w:styleId="NumPar3">
    <w:name w:val="NumPar 3"/>
    <w:basedOn w:val="Normal"/>
    <w:next w:val="Text1"/>
    <w:rsid w:val="00517205"/>
    <w:pPr>
      <w:numPr>
        <w:ilvl w:val="2"/>
        <w:numId w:val="35"/>
      </w:numPr>
    </w:pPr>
  </w:style>
  <w:style w:type="paragraph" w:customStyle="1" w:styleId="NumPar4">
    <w:name w:val="NumPar 4"/>
    <w:basedOn w:val="Normal"/>
    <w:next w:val="Text1"/>
    <w:rsid w:val="00517205"/>
    <w:pPr>
      <w:numPr>
        <w:ilvl w:val="3"/>
        <w:numId w:val="35"/>
      </w:numPr>
    </w:pPr>
  </w:style>
  <w:style w:type="paragraph" w:customStyle="1" w:styleId="NumPar5">
    <w:name w:val="NumPar 5"/>
    <w:basedOn w:val="Normal"/>
    <w:next w:val="Text2"/>
    <w:rsid w:val="00517205"/>
    <w:pPr>
      <w:numPr>
        <w:ilvl w:val="4"/>
        <w:numId w:val="35"/>
      </w:numPr>
    </w:pPr>
  </w:style>
  <w:style w:type="paragraph" w:customStyle="1" w:styleId="NumPar6">
    <w:name w:val="NumPar 6"/>
    <w:basedOn w:val="Normal"/>
    <w:next w:val="Text2"/>
    <w:rsid w:val="00517205"/>
    <w:pPr>
      <w:numPr>
        <w:ilvl w:val="5"/>
        <w:numId w:val="35"/>
      </w:numPr>
    </w:pPr>
  </w:style>
  <w:style w:type="paragraph" w:customStyle="1" w:styleId="NumPar7">
    <w:name w:val="NumPar 7"/>
    <w:basedOn w:val="Normal"/>
    <w:next w:val="Text2"/>
    <w:rsid w:val="00517205"/>
    <w:pPr>
      <w:numPr>
        <w:ilvl w:val="6"/>
        <w:numId w:val="35"/>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7"/>
      </w:numPr>
    </w:pPr>
  </w:style>
  <w:style w:type="paragraph" w:customStyle="1" w:styleId="Point1number">
    <w:name w:val="Point 1 (number)"/>
    <w:basedOn w:val="Normal"/>
    <w:rsid w:val="00517205"/>
    <w:pPr>
      <w:numPr>
        <w:ilvl w:val="2"/>
        <w:numId w:val="37"/>
      </w:numPr>
    </w:pPr>
  </w:style>
  <w:style w:type="paragraph" w:customStyle="1" w:styleId="Point2number">
    <w:name w:val="Point 2 (number)"/>
    <w:basedOn w:val="Normal"/>
    <w:rsid w:val="00517205"/>
    <w:pPr>
      <w:numPr>
        <w:ilvl w:val="4"/>
        <w:numId w:val="37"/>
      </w:numPr>
    </w:pPr>
  </w:style>
  <w:style w:type="paragraph" w:customStyle="1" w:styleId="Point3number">
    <w:name w:val="Point 3 (number)"/>
    <w:basedOn w:val="Normal"/>
    <w:rsid w:val="00517205"/>
    <w:pPr>
      <w:numPr>
        <w:ilvl w:val="6"/>
        <w:numId w:val="37"/>
      </w:numPr>
    </w:pPr>
  </w:style>
  <w:style w:type="paragraph" w:customStyle="1" w:styleId="Point0letter">
    <w:name w:val="Point 0 (letter)"/>
    <w:basedOn w:val="Normal"/>
    <w:rsid w:val="00517205"/>
    <w:pPr>
      <w:numPr>
        <w:ilvl w:val="1"/>
        <w:numId w:val="37"/>
      </w:numPr>
    </w:pPr>
  </w:style>
  <w:style w:type="paragraph" w:customStyle="1" w:styleId="Point1letter">
    <w:name w:val="Point 1 (letter)"/>
    <w:basedOn w:val="Normal"/>
    <w:rsid w:val="00517205"/>
    <w:pPr>
      <w:numPr>
        <w:ilvl w:val="3"/>
        <w:numId w:val="37"/>
      </w:numPr>
    </w:pPr>
  </w:style>
  <w:style w:type="paragraph" w:customStyle="1" w:styleId="Point2letter">
    <w:name w:val="Point 2 (letter)"/>
    <w:basedOn w:val="Normal"/>
    <w:rsid w:val="00517205"/>
    <w:pPr>
      <w:numPr>
        <w:ilvl w:val="5"/>
        <w:numId w:val="37"/>
      </w:numPr>
    </w:pPr>
  </w:style>
  <w:style w:type="paragraph" w:customStyle="1" w:styleId="Point3letter">
    <w:name w:val="Point 3 (letter)"/>
    <w:basedOn w:val="Normal"/>
    <w:rsid w:val="00517205"/>
    <w:pPr>
      <w:numPr>
        <w:ilvl w:val="7"/>
        <w:numId w:val="37"/>
      </w:numPr>
    </w:pPr>
  </w:style>
  <w:style w:type="paragraph" w:customStyle="1" w:styleId="Point4letter">
    <w:name w:val="Point 4 (letter)"/>
    <w:basedOn w:val="Normal"/>
    <w:rsid w:val="00517205"/>
    <w:pPr>
      <w:numPr>
        <w:ilvl w:val="8"/>
        <w:numId w:val="37"/>
      </w:numPr>
    </w:pPr>
  </w:style>
  <w:style w:type="paragraph" w:customStyle="1" w:styleId="Bullet0">
    <w:name w:val="Bullet 0"/>
    <w:basedOn w:val="Normal"/>
    <w:rsid w:val="00517205"/>
    <w:pPr>
      <w:numPr>
        <w:numId w:val="38"/>
      </w:numPr>
    </w:pPr>
  </w:style>
  <w:style w:type="paragraph" w:customStyle="1" w:styleId="Bullet1">
    <w:name w:val="Bullet 1"/>
    <w:basedOn w:val="Normal"/>
    <w:rsid w:val="00517205"/>
    <w:pPr>
      <w:numPr>
        <w:numId w:val="39"/>
      </w:numPr>
    </w:pPr>
  </w:style>
  <w:style w:type="paragraph" w:customStyle="1" w:styleId="Bullet2">
    <w:name w:val="Bullet 2"/>
    <w:basedOn w:val="Normal"/>
    <w:rsid w:val="00517205"/>
    <w:pPr>
      <w:numPr>
        <w:numId w:val="40"/>
      </w:numPr>
    </w:pPr>
  </w:style>
  <w:style w:type="paragraph" w:customStyle="1" w:styleId="Bullet3">
    <w:name w:val="Bullet 3"/>
    <w:basedOn w:val="Normal"/>
    <w:rsid w:val="00517205"/>
    <w:pPr>
      <w:numPr>
        <w:numId w:val="41"/>
      </w:numPr>
    </w:pPr>
  </w:style>
  <w:style w:type="paragraph" w:customStyle="1" w:styleId="Bullet4">
    <w:name w:val="Bullet 4"/>
    <w:basedOn w:val="Normal"/>
    <w:rsid w:val="00517205"/>
    <w:pPr>
      <w:numPr>
        <w:numId w:val="42"/>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3"/>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65">
      <w:bodyDiv w:val="1"/>
      <w:marLeft w:val="0"/>
      <w:marRight w:val="0"/>
      <w:marTop w:val="0"/>
      <w:marBottom w:val="0"/>
      <w:divBdr>
        <w:top w:val="none" w:sz="0" w:space="0" w:color="auto"/>
        <w:left w:val="none" w:sz="0" w:space="0" w:color="auto"/>
        <w:bottom w:val="none" w:sz="0" w:space="0" w:color="auto"/>
        <w:right w:val="none" w:sz="0" w:space="0" w:color="auto"/>
      </w:divBdr>
    </w:div>
    <w:div w:id="277415882">
      <w:bodyDiv w:val="1"/>
      <w:marLeft w:val="0"/>
      <w:marRight w:val="0"/>
      <w:marTop w:val="0"/>
      <w:marBottom w:val="0"/>
      <w:divBdr>
        <w:top w:val="none" w:sz="0" w:space="0" w:color="auto"/>
        <w:left w:val="none" w:sz="0" w:space="0" w:color="auto"/>
        <w:bottom w:val="none" w:sz="0" w:space="0" w:color="auto"/>
        <w:right w:val="none" w:sz="0" w:space="0" w:color="auto"/>
      </w:divBdr>
    </w:div>
    <w:div w:id="334186285">
      <w:bodyDiv w:val="1"/>
      <w:marLeft w:val="0"/>
      <w:marRight w:val="0"/>
      <w:marTop w:val="0"/>
      <w:marBottom w:val="0"/>
      <w:divBdr>
        <w:top w:val="none" w:sz="0" w:space="0" w:color="auto"/>
        <w:left w:val="none" w:sz="0" w:space="0" w:color="auto"/>
        <w:bottom w:val="none" w:sz="0" w:space="0" w:color="auto"/>
        <w:right w:val="none" w:sz="0" w:space="0" w:color="auto"/>
      </w:divBdr>
    </w:div>
    <w:div w:id="392123116">
      <w:bodyDiv w:val="1"/>
      <w:marLeft w:val="0"/>
      <w:marRight w:val="0"/>
      <w:marTop w:val="0"/>
      <w:marBottom w:val="0"/>
      <w:divBdr>
        <w:top w:val="none" w:sz="0" w:space="0" w:color="auto"/>
        <w:left w:val="none" w:sz="0" w:space="0" w:color="auto"/>
        <w:bottom w:val="none" w:sz="0" w:space="0" w:color="auto"/>
        <w:right w:val="none" w:sz="0" w:space="0" w:color="auto"/>
      </w:divBdr>
    </w:div>
    <w:div w:id="537933821">
      <w:bodyDiv w:val="1"/>
      <w:marLeft w:val="0"/>
      <w:marRight w:val="0"/>
      <w:marTop w:val="0"/>
      <w:marBottom w:val="0"/>
      <w:divBdr>
        <w:top w:val="none" w:sz="0" w:space="0" w:color="auto"/>
        <w:left w:val="none" w:sz="0" w:space="0" w:color="auto"/>
        <w:bottom w:val="none" w:sz="0" w:space="0" w:color="auto"/>
        <w:right w:val="none" w:sz="0" w:space="0" w:color="auto"/>
      </w:divBdr>
    </w:div>
    <w:div w:id="595750652">
      <w:bodyDiv w:val="1"/>
      <w:marLeft w:val="0"/>
      <w:marRight w:val="0"/>
      <w:marTop w:val="0"/>
      <w:marBottom w:val="0"/>
      <w:divBdr>
        <w:top w:val="none" w:sz="0" w:space="0" w:color="auto"/>
        <w:left w:val="none" w:sz="0" w:space="0" w:color="auto"/>
        <w:bottom w:val="none" w:sz="0" w:space="0" w:color="auto"/>
        <w:right w:val="none" w:sz="0" w:space="0" w:color="auto"/>
      </w:divBdr>
    </w:div>
    <w:div w:id="718087568">
      <w:bodyDiv w:val="1"/>
      <w:marLeft w:val="0"/>
      <w:marRight w:val="0"/>
      <w:marTop w:val="0"/>
      <w:marBottom w:val="0"/>
      <w:divBdr>
        <w:top w:val="none" w:sz="0" w:space="0" w:color="auto"/>
        <w:left w:val="none" w:sz="0" w:space="0" w:color="auto"/>
        <w:bottom w:val="none" w:sz="0" w:space="0" w:color="auto"/>
        <w:right w:val="none" w:sz="0" w:space="0" w:color="auto"/>
      </w:divBdr>
    </w:div>
    <w:div w:id="1149133690">
      <w:bodyDiv w:val="1"/>
      <w:marLeft w:val="0"/>
      <w:marRight w:val="0"/>
      <w:marTop w:val="0"/>
      <w:marBottom w:val="0"/>
      <w:divBdr>
        <w:top w:val="none" w:sz="0" w:space="0" w:color="auto"/>
        <w:left w:val="none" w:sz="0" w:space="0" w:color="auto"/>
        <w:bottom w:val="none" w:sz="0" w:space="0" w:color="auto"/>
        <w:right w:val="none" w:sz="0" w:space="0" w:color="auto"/>
      </w:divBdr>
    </w:div>
    <w:div w:id="1194079296">
      <w:bodyDiv w:val="1"/>
      <w:marLeft w:val="0"/>
      <w:marRight w:val="0"/>
      <w:marTop w:val="0"/>
      <w:marBottom w:val="0"/>
      <w:divBdr>
        <w:top w:val="none" w:sz="0" w:space="0" w:color="auto"/>
        <w:left w:val="none" w:sz="0" w:space="0" w:color="auto"/>
        <w:bottom w:val="none" w:sz="0" w:space="0" w:color="auto"/>
        <w:right w:val="none" w:sz="0" w:space="0" w:color="auto"/>
      </w:divBdr>
    </w:div>
    <w:div w:id="1257323954">
      <w:bodyDiv w:val="1"/>
      <w:marLeft w:val="0"/>
      <w:marRight w:val="0"/>
      <w:marTop w:val="0"/>
      <w:marBottom w:val="0"/>
      <w:divBdr>
        <w:top w:val="none" w:sz="0" w:space="0" w:color="auto"/>
        <w:left w:val="none" w:sz="0" w:space="0" w:color="auto"/>
        <w:bottom w:val="none" w:sz="0" w:space="0" w:color="auto"/>
        <w:right w:val="none" w:sz="0" w:space="0" w:color="auto"/>
      </w:divBdr>
    </w:div>
    <w:div w:id="1323698586">
      <w:bodyDiv w:val="1"/>
      <w:marLeft w:val="0"/>
      <w:marRight w:val="0"/>
      <w:marTop w:val="0"/>
      <w:marBottom w:val="0"/>
      <w:divBdr>
        <w:top w:val="none" w:sz="0" w:space="0" w:color="auto"/>
        <w:left w:val="none" w:sz="0" w:space="0" w:color="auto"/>
        <w:bottom w:val="none" w:sz="0" w:space="0" w:color="auto"/>
        <w:right w:val="none" w:sz="0" w:space="0" w:color="auto"/>
      </w:divBdr>
    </w:div>
    <w:div w:id="1420565489">
      <w:bodyDiv w:val="1"/>
      <w:marLeft w:val="0"/>
      <w:marRight w:val="0"/>
      <w:marTop w:val="0"/>
      <w:marBottom w:val="0"/>
      <w:divBdr>
        <w:top w:val="none" w:sz="0" w:space="0" w:color="auto"/>
        <w:left w:val="none" w:sz="0" w:space="0" w:color="auto"/>
        <w:bottom w:val="none" w:sz="0" w:space="0" w:color="auto"/>
        <w:right w:val="none" w:sz="0" w:space="0" w:color="auto"/>
      </w:divBdr>
    </w:div>
    <w:div w:id="17467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352D-DEE9-4DFE-AD60-A156CD84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8</Pages>
  <Words>2327</Words>
  <Characters>13084</Characters>
  <Application>Microsoft Office Word</Application>
  <DocSecurity>0</DocSecurity>
  <Lines>218</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dcterms:created xsi:type="dcterms:W3CDTF">2022-03-29T08:09:00Z</dcterms:created>
  <dcterms:modified xsi:type="dcterms:W3CDTF">2022-04-01T09:27:00Z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8.0.19.5</vt:lpwstr>
  </property>
  <property fmtid="{D5CDD505-2E9C-101B-9397-08002B2CF9AE}" pid="4" name="Last edited using">
    <vt:lpwstr>LW 8.0, Build 20220128</vt:lpwstr>
  </property>
  <property fmtid="{D5CDD505-2E9C-101B-9397-08002B2CF9AE}" pid="5" name="Created using">
    <vt:lpwstr>LW 8.0, Build 20210915</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