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B69A4" w14:textId="3AC4D7A0" w:rsidR="004F6EBB" w:rsidRDefault="003C36B4" w:rsidP="003C36B4">
      <w:pPr>
        <w:pStyle w:val="Pagedecouverture"/>
        <w:rPr>
          <w:noProof/>
        </w:rPr>
      </w:pPr>
      <w:bookmarkStart w:id="0" w:name="LW_BM_COVERPAGE"/>
      <w:r>
        <w:rPr>
          <w:noProof/>
        </w:rPr>
        <w:pict w14:anchorId="78128A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ED0ED350-8A86-4604-AB8B-2F51DB685201" style="width:455.25pt;height:452.25pt">
            <v:imagedata r:id="rId11" o:title=""/>
          </v:shape>
        </w:pict>
      </w:r>
    </w:p>
    <w:bookmarkEnd w:id="0"/>
    <w:p w14:paraId="7A4B45FC" w14:textId="77777777" w:rsidR="004F6EBB" w:rsidRPr="004F6EBB" w:rsidRDefault="004F6EBB" w:rsidP="004F6EBB">
      <w:pPr>
        <w:pStyle w:val="Pagedecouverture"/>
        <w:rPr>
          <w:noProof/>
        </w:rPr>
        <w:sectPr w:rsidR="004F6EBB" w:rsidRPr="004F6EBB" w:rsidSect="003C36B4">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0"/>
          <w:cols w:space="720"/>
          <w:docGrid w:linePitch="326"/>
        </w:sectPr>
      </w:pPr>
    </w:p>
    <w:p w14:paraId="41BEF06F" w14:textId="0BAAB482" w:rsidR="00A96C32" w:rsidRDefault="00A96C32" w:rsidP="00A96C32">
      <w:pPr>
        <w:pStyle w:val="Registtr"/>
        <w:rPr>
          <w:noProof/>
        </w:rPr>
        <w:sectPr w:rsidR="00A96C32" w:rsidSect="004F6EBB">
          <w:headerReference w:type="even" r:id="rId18"/>
          <w:headerReference w:type="default" r:id="rId19"/>
          <w:footerReference w:type="even" r:id="rId20"/>
          <w:footerReference w:type="default" r:id="rId21"/>
          <w:headerReference w:type="first" r:id="rId22"/>
          <w:footerReference w:type="first" r:id="rId23"/>
          <w:pgSz w:w="11906" w:h="16838"/>
          <w:pgMar w:top="1134" w:right="1417" w:bottom="1134" w:left="1417" w:header="709" w:footer="709" w:gutter="0"/>
          <w:pgNumType w:start="0"/>
          <w:cols w:space="720"/>
          <w:docGrid w:linePitch="299"/>
        </w:sectPr>
      </w:pPr>
      <w:bookmarkStart w:id="1" w:name="_GoBack"/>
      <w:bookmarkEnd w:id="1"/>
    </w:p>
    <w:p w14:paraId="6A7A7D56" w14:textId="77777777" w:rsidR="006B087E" w:rsidRPr="00AF77BE" w:rsidRDefault="3982CBDC" w:rsidP="004F6EBB">
      <w:pPr>
        <w:pStyle w:val="TOCHeading"/>
        <w:rPr>
          <w:noProof/>
          <w:sz w:val="28"/>
          <w:szCs w:val="28"/>
        </w:rPr>
      </w:pPr>
      <w:r w:rsidRPr="3982CBDC">
        <w:rPr>
          <w:noProof/>
          <w:sz w:val="28"/>
          <w:szCs w:val="28"/>
        </w:rPr>
        <w:t>Table of contents</w:t>
      </w:r>
    </w:p>
    <w:p w14:paraId="6B73BFA9" w14:textId="4AF586D2" w:rsidR="005967CE" w:rsidRDefault="00501849">
      <w:pPr>
        <w:pStyle w:val="TOC1"/>
        <w:rPr>
          <w:rFonts w:asciiTheme="minorHAnsi" w:eastAsiaTheme="minorEastAsia" w:hAnsiTheme="minorHAnsi" w:cstheme="minorBidi"/>
          <w:caps w:val="0"/>
          <w:noProof/>
          <w:sz w:val="22"/>
          <w:szCs w:val="22"/>
          <w:lang w:eastAsia="en-GB"/>
        </w:rPr>
      </w:pPr>
      <w:r w:rsidRPr="006A1415">
        <w:rPr>
          <w:caps w:val="0"/>
          <w:noProof/>
          <w:sz w:val="24"/>
          <w:szCs w:val="24"/>
        </w:rPr>
        <w:fldChar w:fldCharType="begin"/>
      </w:r>
      <w:r w:rsidRPr="006A1415">
        <w:rPr>
          <w:caps w:val="0"/>
          <w:noProof/>
          <w:sz w:val="24"/>
          <w:szCs w:val="24"/>
        </w:rPr>
        <w:instrText xml:space="preserve"> TOC \o "1-1" \h \z \t "Heading 2;2;Heading 3;3;Annex Title;1" </w:instrText>
      </w:r>
      <w:r w:rsidRPr="006A1415">
        <w:rPr>
          <w:caps w:val="0"/>
          <w:noProof/>
          <w:sz w:val="24"/>
          <w:szCs w:val="24"/>
        </w:rPr>
        <w:fldChar w:fldCharType="separate"/>
      </w:r>
      <w:hyperlink w:anchor="_Toc98857729" w:history="1">
        <w:r w:rsidR="005967CE" w:rsidRPr="00170B71">
          <w:rPr>
            <w:rStyle w:val="Hyperlink"/>
            <w:noProof/>
          </w:rPr>
          <w:t>1.</w:t>
        </w:r>
        <w:r w:rsidR="005967CE">
          <w:rPr>
            <w:rFonts w:asciiTheme="minorHAnsi" w:eastAsiaTheme="minorEastAsia" w:hAnsiTheme="minorHAnsi" w:cstheme="minorBidi"/>
            <w:caps w:val="0"/>
            <w:noProof/>
            <w:sz w:val="22"/>
            <w:szCs w:val="22"/>
            <w:lang w:eastAsia="en-GB"/>
          </w:rPr>
          <w:tab/>
        </w:r>
        <w:r w:rsidR="005967CE" w:rsidRPr="00170B71">
          <w:rPr>
            <w:rStyle w:val="Hyperlink"/>
            <w:noProof/>
          </w:rPr>
          <w:t>Introduction: Political, sectoral and legal context</w:t>
        </w:r>
        <w:r w:rsidR="005967CE">
          <w:rPr>
            <w:noProof/>
            <w:webHidden/>
          </w:rPr>
          <w:tab/>
        </w:r>
        <w:r w:rsidR="005967CE">
          <w:rPr>
            <w:noProof/>
            <w:webHidden/>
          </w:rPr>
          <w:fldChar w:fldCharType="begin"/>
        </w:r>
        <w:r w:rsidR="005967CE">
          <w:rPr>
            <w:noProof/>
            <w:webHidden/>
          </w:rPr>
          <w:instrText xml:space="preserve"> PAGEREF _Toc98857729 \h </w:instrText>
        </w:r>
        <w:r w:rsidR="005967CE">
          <w:rPr>
            <w:noProof/>
            <w:webHidden/>
          </w:rPr>
        </w:r>
        <w:r w:rsidR="005967CE">
          <w:rPr>
            <w:noProof/>
            <w:webHidden/>
          </w:rPr>
          <w:fldChar w:fldCharType="separate"/>
        </w:r>
        <w:r w:rsidR="005967CE">
          <w:rPr>
            <w:noProof/>
            <w:webHidden/>
          </w:rPr>
          <w:t>1</w:t>
        </w:r>
        <w:r w:rsidR="005967CE">
          <w:rPr>
            <w:noProof/>
            <w:webHidden/>
          </w:rPr>
          <w:fldChar w:fldCharType="end"/>
        </w:r>
      </w:hyperlink>
    </w:p>
    <w:p w14:paraId="528C9660" w14:textId="73D7D984" w:rsidR="005967CE" w:rsidRDefault="003C36B4">
      <w:pPr>
        <w:pStyle w:val="TOC2"/>
        <w:tabs>
          <w:tab w:val="left" w:pos="1077"/>
        </w:tabs>
        <w:rPr>
          <w:rFonts w:asciiTheme="minorHAnsi" w:eastAsiaTheme="minorEastAsia" w:hAnsiTheme="minorHAnsi" w:cstheme="minorBidi"/>
          <w:noProof/>
          <w:sz w:val="22"/>
          <w:szCs w:val="22"/>
          <w:lang w:eastAsia="en-GB"/>
        </w:rPr>
      </w:pPr>
      <w:hyperlink w:anchor="_Toc98857730" w:history="1">
        <w:r w:rsidR="005967CE" w:rsidRPr="00170B71">
          <w:rPr>
            <w:rStyle w:val="Hyperlink"/>
            <w:noProof/>
            <w:lang w:eastAsia="de-DE"/>
          </w:rPr>
          <w:t>1.1.</w:t>
        </w:r>
        <w:r w:rsidR="005967CE">
          <w:rPr>
            <w:rFonts w:asciiTheme="minorHAnsi" w:eastAsiaTheme="minorEastAsia" w:hAnsiTheme="minorHAnsi" w:cstheme="minorBidi"/>
            <w:noProof/>
            <w:sz w:val="22"/>
            <w:szCs w:val="22"/>
            <w:lang w:eastAsia="en-GB"/>
          </w:rPr>
          <w:tab/>
        </w:r>
        <w:r w:rsidR="005967CE" w:rsidRPr="00170B71">
          <w:rPr>
            <w:rStyle w:val="Hyperlink"/>
            <w:noProof/>
            <w:lang w:eastAsia="de-DE"/>
          </w:rPr>
          <w:t>EU Climate Ambition, Paris Agreement and Montreal Protocol</w:t>
        </w:r>
        <w:r w:rsidR="005967CE">
          <w:rPr>
            <w:noProof/>
            <w:webHidden/>
          </w:rPr>
          <w:tab/>
        </w:r>
        <w:r w:rsidR="005967CE">
          <w:rPr>
            <w:noProof/>
            <w:webHidden/>
          </w:rPr>
          <w:fldChar w:fldCharType="begin"/>
        </w:r>
        <w:r w:rsidR="005967CE">
          <w:rPr>
            <w:noProof/>
            <w:webHidden/>
          </w:rPr>
          <w:instrText xml:space="preserve"> PAGEREF _Toc98857730 \h </w:instrText>
        </w:r>
        <w:r w:rsidR="005967CE">
          <w:rPr>
            <w:noProof/>
            <w:webHidden/>
          </w:rPr>
        </w:r>
        <w:r w:rsidR="005967CE">
          <w:rPr>
            <w:noProof/>
            <w:webHidden/>
          </w:rPr>
          <w:fldChar w:fldCharType="separate"/>
        </w:r>
        <w:r w:rsidR="005967CE">
          <w:rPr>
            <w:noProof/>
            <w:webHidden/>
          </w:rPr>
          <w:t>1</w:t>
        </w:r>
        <w:r w:rsidR="005967CE">
          <w:rPr>
            <w:noProof/>
            <w:webHidden/>
          </w:rPr>
          <w:fldChar w:fldCharType="end"/>
        </w:r>
      </w:hyperlink>
    </w:p>
    <w:p w14:paraId="7671D4F0" w14:textId="48D28244" w:rsidR="005967CE" w:rsidRDefault="003C36B4">
      <w:pPr>
        <w:pStyle w:val="TOC2"/>
        <w:tabs>
          <w:tab w:val="left" w:pos="1077"/>
        </w:tabs>
        <w:rPr>
          <w:rFonts w:asciiTheme="minorHAnsi" w:eastAsiaTheme="minorEastAsia" w:hAnsiTheme="minorHAnsi" w:cstheme="minorBidi"/>
          <w:noProof/>
          <w:sz w:val="22"/>
          <w:szCs w:val="22"/>
          <w:lang w:eastAsia="en-GB"/>
        </w:rPr>
      </w:pPr>
      <w:hyperlink w:anchor="_Toc98857731" w:history="1">
        <w:r w:rsidR="005967CE" w:rsidRPr="00170B71">
          <w:rPr>
            <w:rStyle w:val="Hyperlink"/>
            <w:rFonts w:eastAsia="Calibri"/>
            <w:noProof/>
          </w:rPr>
          <w:t>1.2.</w:t>
        </w:r>
        <w:r w:rsidR="005967CE">
          <w:rPr>
            <w:rFonts w:asciiTheme="minorHAnsi" w:eastAsiaTheme="minorEastAsia" w:hAnsiTheme="minorHAnsi" w:cstheme="minorBidi"/>
            <w:noProof/>
            <w:sz w:val="22"/>
            <w:szCs w:val="22"/>
            <w:lang w:eastAsia="en-GB"/>
          </w:rPr>
          <w:tab/>
        </w:r>
        <w:r w:rsidR="005967CE" w:rsidRPr="00170B71">
          <w:rPr>
            <w:rStyle w:val="Hyperlink"/>
            <w:noProof/>
            <w:lang w:eastAsia="de-DE"/>
          </w:rPr>
          <w:t>Sectors involved and need to perform a sectoral analysis</w:t>
        </w:r>
        <w:r w:rsidR="005967CE">
          <w:rPr>
            <w:noProof/>
            <w:webHidden/>
          </w:rPr>
          <w:tab/>
        </w:r>
        <w:r w:rsidR="005967CE">
          <w:rPr>
            <w:noProof/>
            <w:webHidden/>
          </w:rPr>
          <w:fldChar w:fldCharType="begin"/>
        </w:r>
        <w:r w:rsidR="005967CE">
          <w:rPr>
            <w:noProof/>
            <w:webHidden/>
          </w:rPr>
          <w:instrText xml:space="preserve"> PAGEREF _Toc98857731 \h </w:instrText>
        </w:r>
        <w:r w:rsidR="005967CE">
          <w:rPr>
            <w:noProof/>
            <w:webHidden/>
          </w:rPr>
        </w:r>
        <w:r w:rsidR="005967CE">
          <w:rPr>
            <w:noProof/>
            <w:webHidden/>
          </w:rPr>
          <w:fldChar w:fldCharType="separate"/>
        </w:r>
        <w:r w:rsidR="005967CE">
          <w:rPr>
            <w:noProof/>
            <w:webHidden/>
          </w:rPr>
          <w:t>3</w:t>
        </w:r>
        <w:r w:rsidR="005967CE">
          <w:rPr>
            <w:noProof/>
            <w:webHidden/>
          </w:rPr>
          <w:fldChar w:fldCharType="end"/>
        </w:r>
      </w:hyperlink>
    </w:p>
    <w:p w14:paraId="0802E2E4" w14:textId="3EC4BACF" w:rsidR="005967CE" w:rsidRDefault="003C36B4">
      <w:pPr>
        <w:pStyle w:val="TOC2"/>
        <w:tabs>
          <w:tab w:val="left" w:pos="1077"/>
        </w:tabs>
        <w:rPr>
          <w:rFonts w:asciiTheme="minorHAnsi" w:eastAsiaTheme="minorEastAsia" w:hAnsiTheme="minorHAnsi" w:cstheme="minorBidi"/>
          <w:noProof/>
          <w:sz w:val="22"/>
          <w:szCs w:val="22"/>
          <w:lang w:eastAsia="en-GB"/>
        </w:rPr>
      </w:pPr>
      <w:hyperlink w:anchor="_Toc98857732" w:history="1">
        <w:r w:rsidR="005967CE" w:rsidRPr="00170B71">
          <w:rPr>
            <w:rStyle w:val="Hyperlink"/>
            <w:noProof/>
          </w:rPr>
          <w:t>1.3.</w:t>
        </w:r>
        <w:r w:rsidR="005967CE">
          <w:rPr>
            <w:rFonts w:asciiTheme="minorHAnsi" w:eastAsiaTheme="minorEastAsia" w:hAnsiTheme="minorHAnsi" w:cstheme="minorBidi"/>
            <w:noProof/>
            <w:sz w:val="22"/>
            <w:szCs w:val="22"/>
            <w:lang w:eastAsia="en-GB"/>
          </w:rPr>
          <w:tab/>
        </w:r>
        <w:r w:rsidR="005967CE" w:rsidRPr="00170B71">
          <w:rPr>
            <w:rStyle w:val="Hyperlink"/>
            <w:noProof/>
          </w:rPr>
          <w:t>The EU F-gas Regulation (Regulation (EU) No 517/2014)</w:t>
        </w:r>
        <w:r w:rsidR="005967CE">
          <w:rPr>
            <w:noProof/>
            <w:webHidden/>
          </w:rPr>
          <w:tab/>
        </w:r>
        <w:r w:rsidR="005967CE">
          <w:rPr>
            <w:noProof/>
            <w:webHidden/>
          </w:rPr>
          <w:fldChar w:fldCharType="begin"/>
        </w:r>
        <w:r w:rsidR="005967CE">
          <w:rPr>
            <w:noProof/>
            <w:webHidden/>
          </w:rPr>
          <w:instrText xml:space="preserve"> PAGEREF _Toc98857732 \h </w:instrText>
        </w:r>
        <w:r w:rsidR="005967CE">
          <w:rPr>
            <w:noProof/>
            <w:webHidden/>
          </w:rPr>
        </w:r>
        <w:r w:rsidR="005967CE">
          <w:rPr>
            <w:noProof/>
            <w:webHidden/>
          </w:rPr>
          <w:fldChar w:fldCharType="separate"/>
        </w:r>
        <w:r w:rsidR="005967CE">
          <w:rPr>
            <w:noProof/>
            <w:webHidden/>
          </w:rPr>
          <w:t>3</w:t>
        </w:r>
        <w:r w:rsidR="005967CE">
          <w:rPr>
            <w:noProof/>
            <w:webHidden/>
          </w:rPr>
          <w:fldChar w:fldCharType="end"/>
        </w:r>
      </w:hyperlink>
    </w:p>
    <w:p w14:paraId="71C70749" w14:textId="1FA32777" w:rsidR="005967CE" w:rsidRDefault="003C36B4">
      <w:pPr>
        <w:pStyle w:val="TOC1"/>
        <w:rPr>
          <w:rFonts w:asciiTheme="minorHAnsi" w:eastAsiaTheme="minorEastAsia" w:hAnsiTheme="minorHAnsi" w:cstheme="minorBidi"/>
          <w:caps w:val="0"/>
          <w:noProof/>
          <w:sz w:val="22"/>
          <w:szCs w:val="22"/>
          <w:lang w:eastAsia="en-GB"/>
        </w:rPr>
      </w:pPr>
      <w:hyperlink w:anchor="_Toc98857733" w:history="1">
        <w:r w:rsidR="005967CE" w:rsidRPr="00170B71">
          <w:rPr>
            <w:rStyle w:val="Hyperlink"/>
            <w:noProof/>
          </w:rPr>
          <w:t>2.</w:t>
        </w:r>
        <w:r w:rsidR="005967CE">
          <w:rPr>
            <w:rFonts w:asciiTheme="minorHAnsi" w:eastAsiaTheme="minorEastAsia" w:hAnsiTheme="minorHAnsi" w:cstheme="minorBidi"/>
            <w:caps w:val="0"/>
            <w:noProof/>
            <w:sz w:val="22"/>
            <w:szCs w:val="22"/>
            <w:lang w:eastAsia="en-GB"/>
          </w:rPr>
          <w:tab/>
        </w:r>
        <w:r w:rsidR="005967CE" w:rsidRPr="00170B71">
          <w:rPr>
            <w:rStyle w:val="Hyperlink"/>
            <w:noProof/>
          </w:rPr>
          <w:t>Problem definition</w:t>
        </w:r>
        <w:r w:rsidR="005967CE">
          <w:rPr>
            <w:noProof/>
            <w:webHidden/>
          </w:rPr>
          <w:tab/>
        </w:r>
        <w:r w:rsidR="005967CE">
          <w:rPr>
            <w:noProof/>
            <w:webHidden/>
          </w:rPr>
          <w:fldChar w:fldCharType="begin"/>
        </w:r>
        <w:r w:rsidR="005967CE">
          <w:rPr>
            <w:noProof/>
            <w:webHidden/>
          </w:rPr>
          <w:instrText xml:space="preserve"> PAGEREF _Toc98857733 \h </w:instrText>
        </w:r>
        <w:r w:rsidR="005967CE">
          <w:rPr>
            <w:noProof/>
            <w:webHidden/>
          </w:rPr>
        </w:r>
        <w:r w:rsidR="005967CE">
          <w:rPr>
            <w:noProof/>
            <w:webHidden/>
          </w:rPr>
          <w:fldChar w:fldCharType="separate"/>
        </w:r>
        <w:r w:rsidR="005967CE">
          <w:rPr>
            <w:noProof/>
            <w:webHidden/>
          </w:rPr>
          <w:t>6</w:t>
        </w:r>
        <w:r w:rsidR="005967CE">
          <w:rPr>
            <w:noProof/>
            <w:webHidden/>
          </w:rPr>
          <w:fldChar w:fldCharType="end"/>
        </w:r>
      </w:hyperlink>
    </w:p>
    <w:p w14:paraId="7B6F8024" w14:textId="1D390B0E" w:rsidR="005967CE" w:rsidRDefault="003C36B4">
      <w:pPr>
        <w:pStyle w:val="TOC2"/>
        <w:tabs>
          <w:tab w:val="left" w:pos="1077"/>
        </w:tabs>
        <w:rPr>
          <w:rFonts w:asciiTheme="minorHAnsi" w:eastAsiaTheme="minorEastAsia" w:hAnsiTheme="minorHAnsi" w:cstheme="minorBidi"/>
          <w:noProof/>
          <w:sz w:val="22"/>
          <w:szCs w:val="22"/>
          <w:lang w:eastAsia="en-GB"/>
        </w:rPr>
      </w:pPr>
      <w:hyperlink w:anchor="_Toc98857734" w:history="1">
        <w:r w:rsidR="005967CE" w:rsidRPr="00170B71">
          <w:rPr>
            <w:rStyle w:val="Hyperlink"/>
            <w:noProof/>
          </w:rPr>
          <w:t>2.1.</w:t>
        </w:r>
        <w:r w:rsidR="005967CE">
          <w:rPr>
            <w:rFonts w:asciiTheme="minorHAnsi" w:eastAsiaTheme="minorEastAsia" w:hAnsiTheme="minorHAnsi" w:cstheme="minorBidi"/>
            <w:noProof/>
            <w:sz w:val="22"/>
            <w:szCs w:val="22"/>
            <w:lang w:eastAsia="en-GB"/>
          </w:rPr>
          <w:tab/>
        </w:r>
        <w:r w:rsidR="005967CE" w:rsidRPr="00170B71">
          <w:rPr>
            <w:rStyle w:val="Hyperlink"/>
            <w:noProof/>
          </w:rPr>
          <w:t>What is the problem?</w:t>
        </w:r>
        <w:r w:rsidR="005967CE">
          <w:rPr>
            <w:noProof/>
            <w:webHidden/>
          </w:rPr>
          <w:tab/>
        </w:r>
        <w:r w:rsidR="005967CE">
          <w:rPr>
            <w:noProof/>
            <w:webHidden/>
          </w:rPr>
          <w:fldChar w:fldCharType="begin"/>
        </w:r>
        <w:r w:rsidR="005967CE">
          <w:rPr>
            <w:noProof/>
            <w:webHidden/>
          </w:rPr>
          <w:instrText xml:space="preserve"> PAGEREF _Toc98857734 \h </w:instrText>
        </w:r>
        <w:r w:rsidR="005967CE">
          <w:rPr>
            <w:noProof/>
            <w:webHidden/>
          </w:rPr>
        </w:r>
        <w:r w:rsidR="005967CE">
          <w:rPr>
            <w:noProof/>
            <w:webHidden/>
          </w:rPr>
          <w:fldChar w:fldCharType="separate"/>
        </w:r>
        <w:r w:rsidR="005967CE">
          <w:rPr>
            <w:noProof/>
            <w:webHidden/>
          </w:rPr>
          <w:t>6</w:t>
        </w:r>
        <w:r w:rsidR="005967CE">
          <w:rPr>
            <w:noProof/>
            <w:webHidden/>
          </w:rPr>
          <w:fldChar w:fldCharType="end"/>
        </w:r>
      </w:hyperlink>
    </w:p>
    <w:p w14:paraId="7F93D265" w14:textId="63E7F51E" w:rsidR="005967CE" w:rsidRDefault="003C36B4">
      <w:pPr>
        <w:pStyle w:val="TOC3"/>
        <w:tabs>
          <w:tab w:val="left" w:pos="1400"/>
          <w:tab w:val="right" w:leader="dot" w:pos="8608"/>
        </w:tabs>
        <w:rPr>
          <w:rFonts w:asciiTheme="minorHAnsi" w:eastAsiaTheme="minorEastAsia" w:hAnsiTheme="minorHAnsi"/>
          <w:noProof/>
          <w:sz w:val="22"/>
          <w:lang w:eastAsia="en-GB"/>
        </w:rPr>
      </w:pPr>
      <w:hyperlink w:anchor="_Toc98857735" w:history="1">
        <w:r w:rsidR="005967CE" w:rsidRPr="00170B71">
          <w:rPr>
            <w:rStyle w:val="Hyperlink"/>
            <w:noProof/>
          </w:rPr>
          <w:t>2.1.1.</w:t>
        </w:r>
        <w:r w:rsidR="005967CE">
          <w:rPr>
            <w:rFonts w:asciiTheme="minorHAnsi" w:eastAsiaTheme="minorEastAsia" w:hAnsiTheme="minorHAnsi"/>
            <w:noProof/>
            <w:sz w:val="22"/>
            <w:lang w:eastAsia="en-GB"/>
          </w:rPr>
          <w:tab/>
        </w:r>
        <w:r w:rsidR="005967CE" w:rsidRPr="00170B71">
          <w:rPr>
            <w:rStyle w:val="Hyperlink"/>
            <w:noProof/>
          </w:rPr>
          <w:t>Insufficient emission savings</w:t>
        </w:r>
        <w:r w:rsidR="005967CE">
          <w:rPr>
            <w:noProof/>
            <w:webHidden/>
          </w:rPr>
          <w:tab/>
        </w:r>
        <w:r w:rsidR="005967CE">
          <w:rPr>
            <w:noProof/>
            <w:webHidden/>
          </w:rPr>
          <w:fldChar w:fldCharType="begin"/>
        </w:r>
        <w:r w:rsidR="005967CE">
          <w:rPr>
            <w:noProof/>
            <w:webHidden/>
          </w:rPr>
          <w:instrText xml:space="preserve"> PAGEREF _Toc98857735 \h </w:instrText>
        </w:r>
        <w:r w:rsidR="005967CE">
          <w:rPr>
            <w:noProof/>
            <w:webHidden/>
          </w:rPr>
        </w:r>
        <w:r w:rsidR="005967CE">
          <w:rPr>
            <w:noProof/>
            <w:webHidden/>
          </w:rPr>
          <w:fldChar w:fldCharType="separate"/>
        </w:r>
        <w:r w:rsidR="005967CE">
          <w:rPr>
            <w:noProof/>
            <w:webHidden/>
          </w:rPr>
          <w:t>7</w:t>
        </w:r>
        <w:r w:rsidR="005967CE">
          <w:rPr>
            <w:noProof/>
            <w:webHidden/>
          </w:rPr>
          <w:fldChar w:fldCharType="end"/>
        </w:r>
      </w:hyperlink>
    </w:p>
    <w:p w14:paraId="64FB6D7E" w14:textId="36504D77" w:rsidR="005967CE" w:rsidRDefault="003C36B4">
      <w:pPr>
        <w:pStyle w:val="TOC3"/>
        <w:tabs>
          <w:tab w:val="left" w:pos="1400"/>
          <w:tab w:val="right" w:leader="dot" w:pos="8608"/>
        </w:tabs>
        <w:rPr>
          <w:rFonts w:asciiTheme="minorHAnsi" w:eastAsiaTheme="minorEastAsia" w:hAnsiTheme="minorHAnsi"/>
          <w:noProof/>
          <w:sz w:val="22"/>
          <w:lang w:eastAsia="en-GB"/>
        </w:rPr>
      </w:pPr>
      <w:hyperlink w:anchor="_Toc98857736" w:history="1">
        <w:r w:rsidR="005967CE" w:rsidRPr="00170B71">
          <w:rPr>
            <w:rStyle w:val="Hyperlink"/>
            <w:noProof/>
          </w:rPr>
          <w:t>2.1.2.</w:t>
        </w:r>
        <w:r w:rsidR="005967CE">
          <w:rPr>
            <w:rFonts w:asciiTheme="minorHAnsi" w:eastAsiaTheme="minorEastAsia" w:hAnsiTheme="minorHAnsi"/>
            <w:noProof/>
            <w:sz w:val="22"/>
            <w:lang w:eastAsia="en-GB"/>
          </w:rPr>
          <w:tab/>
        </w:r>
        <w:r w:rsidR="005967CE" w:rsidRPr="00170B71">
          <w:rPr>
            <w:rStyle w:val="Hyperlink"/>
            <w:noProof/>
          </w:rPr>
          <w:t>Long-term compliance issues with the Montreal Protocol</w:t>
        </w:r>
        <w:r w:rsidR="005967CE">
          <w:rPr>
            <w:noProof/>
            <w:webHidden/>
          </w:rPr>
          <w:tab/>
        </w:r>
        <w:r w:rsidR="005967CE">
          <w:rPr>
            <w:noProof/>
            <w:webHidden/>
          </w:rPr>
          <w:fldChar w:fldCharType="begin"/>
        </w:r>
        <w:r w:rsidR="005967CE">
          <w:rPr>
            <w:noProof/>
            <w:webHidden/>
          </w:rPr>
          <w:instrText xml:space="preserve"> PAGEREF _Toc98857736 \h </w:instrText>
        </w:r>
        <w:r w:rsidR="005967CE">
          <w:rPr>
            <w:noProof/>
            <w:webHidden/>
          </w:rPr>
        </w:r>
        <w:r w:rsidR="005967CE">
          <w:rPr>
            <w:noProof/>
            <w:webHidden/>
          </w:rPr>
          <w:fldChar w:fldCharType="separate"/>
        </w:r>
        <w:r w:rsidR="005967CE">
          <w:rPr>
            <w:noProof/>
            <w:webHidden/>
          </w:rPr>
          <w:t>9</w:t>
        </w:r>
        <w:r w:rsidR="005967CE">
          <w:rPr>
            <w:noProof/>
            <w:webHidden/>
          </w:rPr>
          <w:fldChar w:fldCharType="end"/>
        </w:r>
      </w:hyperlink>
    </w:p>
    <w:p w14:paraId="1CA45DE8" w14:textId="52333491" w:rsidR="005967CE" w:rsidRDefault="003C36B4">
      <w:pPr>
        <w:pStyle w:val="TOC3"/>
        <w:tabs>
          <w:tab w:val="left" w:pos="1400"/>
          <w:tab w:val="right" w:leader="dot" w:pos="8608"/>
        </w:tabs>
        <w:rPr>
          <w:rFonts w:asciiTheme="minorHAnsi" w:eastAsiaTheme="minorEastAsia" w:hAnsiTheme="minorHAnsi"/>
          <w:noProof/>
          <w:sz w:val="22"/>
          <w:lang w:eastAsia="en-GB"/>
        </w:rPr>
      </w:pPr>
      <w:hyperlink w:anchor="_Toc98857737" w:history="1">
        <w:r w:rsidR="005967CE" w:rsidRPr="00170B71">
          <w:rPr>
            <w:rStyle w:val="Hyperlink"/>
            <w:noProof/>
          </w:rPr>
          <w:t>2.1.3.</w:t>
        </w:r>
        <w:r w:rsidR="005967CE">
          <w:rPr>
            <w:rFonts w:asciiTheme="minorHAnsi" w:eastAsiaTheme="minorEastAsia" w:hAnsiTheme="minorHAnsi"/>
            <w:noProof/>
            <w:sz w:val="22"/>
            <w:lang w:eastAsia="en-GB"/>
          </w:rPr>
          <w:tab/>
        </w:r>
        <w:r w:rsidR="005967CE" w:rsidRPr="00170B71">
          <w:rPr>
            <w:rStyle w:val="Hyperlink"/>
            <w:noProof/>
          </w:rPr>
          <w:t>Challenges to implementation and enforcement</w:t>
        </w:r>
        <w:r w:rsidR="005967CE">
          <w:rPr>
            <w:noProof/>
            <w:webHidden/>
          </w:rPr>
          <w:tab/>
        </w:r>
        <w:r w:rsidR="005967CE">
          <w:rPr>
            <w:noProof/>
            <w:webHidden/>
          </w:rPr>
          <w:fldChar w:fldCharType="begin"/>
        </w:r>
        <w:r w:rsidR="005967CE">
          <w:rPr>
            <w:noProof/>
            <w:webHidden/>
          </w:rPr>
          <w:instrText xml:space="preserve"> PAGEREF _Toc98857737 \h </w:instrText>
        </w:r>
        <w:r w:rsidR="005967CE">
          <w:rPr>
            <w:noProof/>
            <w:webHidden/>
          </w:rPr>
        </w:r>
        <w:r w:rsidR="005967CE">
          <w:rPr>
            <w:noProof/>
            <w:webHidden/>
          </w:rPr>
          <w:fldChar w:fldCharType="separate"/>
        </w:r>
        <w:r w:rsidR="005967CE">
          <w:rPr>
            <w:noProof/>
            <w:webHidden/>
          </w:rPr>
          <w:t>10</w:t>
        </w:r>
        <w:r w:rsidR="005967CE">
          <w:rPr>
            <w:noProof/>
            <w:webHidden/>
          </w:rPr>
          <w:fldChar w:fldCharType="end"/>
        </w:r>
      </w:hyperlink>
    </w:p>
    <w:p w14:paraId="68B34CAB" w14:textId="1F201454" w:rsidR="005967CE" w:rsidRDefault="003C36B4">
      <w:pPr>
        <w:pStyle w:val="TOC3"/>
        <w:tabs>
          <w:tab w:val="left" w:pos="1400"/>
          <w:tab w:val="right" w:leader="dot" w:pos="8608"/>
        </w:tabs>
        <w:rPr>
          <w:rFonts w:asciiTheme="minorHAnsi" w:eastAsiaTheme="minorEastAsia" w:hAnsiTheme="minorHAnsi"/>
          <w:noProof/>
          <w:sz w:val="22"/>
          <w:lang w:eastAsia="en-GB"/>
        </w:rPr>
      </w:pPr>
      <w:hyperlink w:anchor="_Toc98857738" w:history="1">
        <w:r w:rsidR="005967CE" w:rsidRPr="00170B71">
          <w:rPr>
            <w:rStyle w:val="Hyperlink"/>
            <w:bCs/>
            <w:noProof/>
          </w:rPr>
          <w:t>2.1.4.</w:t>
        </w:r>
        <w:r w:rsidR="005967CE">
          <w:rPr>
            <w:rFonts w:asciiTheme="minorHAnsi" w:eastAsiaTheme="minorEastAsia" w:hAnsiTheme="minorHAnsi"/>
            <w:noProof/>
            <w:sz w:val="22"/>
            <w:lang w:eastAsia="en-GB"/>
          </w:rPr>
          <w:tab/>
        </w:r>
        <w:r w:rsidR="005967CE" w:rsidRPr="00170B71">
          <w:rPr>
            <w:rStyle w:val="Hyperlink"/>
            <w:noProof/>
          </w:rPr>
          <w:t xml:space="preserve">Monitoring gaps: Gases and activities covered </w:t>
        </w:r>
        <w:r w:rsidR="005967CE" w:rsidRPr="00170B71">
          <w:rPr>
            <w:rStyle w:val="Hyperlink"/>
            <w:bCs/>
            <w:noProof/>
          </w:rPr>
          <w:t>as well as rules on reporting process and data verification</w:t>
        </w:r>
        <w:r w:rsidR="005967CE">
          <w:rPr>
            <w:noProof/>
            <w:webHidden/>
          </w:rPr>
          <w:tab/>
        </w:r>
        <w:r w:rsidR="005967CE">
          <w:rPr>
            <w:noProof/>
            <w:webHidden/>
          </w:rPr>
          <w:fldChar w:fldCharType="begin"/>
        </w:r>
        <w:r w:rsidR="005967CE">
          <w:rPr>
            <w:noProof/>
            <w:webHidden/>
          </w:rPr>
          <w:instrText xml:space="preserve"> PAGEREF _Toc98857738 \h </w:instrText>
        </w:r>
        <w:r w:rsidR="005967CE">
          <w:rPr>
            <w:noProof/>
            <w:webHidden/>
          </w:rPr>
        </w:r>
        <w:r w:rsidR="005967CE">
          <w:rPr>
            <w:noProof/>
            <w:webHidden/>
          </w:rPr>
          <w:fldChar w:fldCharType="separate"/>
        </w:r>
        <w:r w:rsidR="005967CE">
          <w:rPr>
            <w:noProof/>
            <w:webHidden/>
          </w:rPr>
          <w:t>14</w:t>
        </w:r>
        <w:r w:rsidR="005967CE">
          <w:rPr>
            <w:noProof/>
            <w:webHidden/>
          </w:rPr>
          <w:fldChar w:fldCharType="end"/>
        </w:r>
      </w:hyperlink>
    </w:p>
    <w:p w14:paraId="41912F96" w14:textId="73056215" w:rsidR="005967CE" w:rsidRDefault="003C36B4">
      <w:pPr>
        <w:pStyle w:val="TOC3"/>
        <w:tabs>
          <w:tab w:val="left" w:pos="1400"/>
          <w:tab w:val="right" w:leader="dot" w:pos="8608"/>
        </w:tabs>
        <w:rPr>
          <w:rFonts w:asciiTheme="minorHAnsi" w:eastAsiaTheme="minorEastAsia" w:hAnsiTheme="minorHAnsi"/>
          <w:noProof/>
          <w:sz w:val="22"/>
          <w:lang w:eastAsia="en-GB"/>
        </w:rPr>
      </w:pPr>
      <w:hyperlink w:anchor="_Toc98857739" w:history="1">
        <w:r w:rsidR="005967CE" w:rsidRPr="00170B71">
          <w:rPr>
            <w:rStyle w:val="Hyperlink"/>
            <w:noProof/>
          </w:rPr>
          <w:t>2.1.5.</w:t>
        </w:r>
        <w:r w:rsidR="005967CE">
          <w:rPr>
            <w:rFonts w:asciiTheme="minorHAnsi" w:eastAsiaTheme="minorEastAsia" w:hAnsiTheme="minorHAnsi"/>
            <w:noProof/>
            <w:sz w:val="22"/>
            <w:lang w:eastAsia="en-GB"/>
          </w:rPr>
          <w:tab/>
        </w:r>
        <w:r w:rsidR="005967CE" w:rsidRPr="00170B71">
          <w:rPr>
            <w:rStyle w:val="Hyperlink"/>
            <w:noProof/>
          </w:rPr>
          <w:t>Lack of clarity and coherence</w:t>
        </w:r>
        <w:r w:rsidR="005967CE">
          <w:rPr>
            <w:noProof/>
            <w:webHidden/>
          </w:rPr>
          <w:tab/>
        </w:r>
        <w:r w:rsidR="005967CE">
          <w:rPr>
            <w:noProof/>
            <w:webHidden/>
          </w:rPr>
          <w:fldChar w:fldCharType="begin"/>
        </w:r>
        <w:r w:rsidR="005967CE">
          <w:rPr>
            <w:noProof/>
            <w:webHidden/>
          </w:rPr>
          <w:instrText xml:space="preserve"> PAGEREF _Toc98857739 \h </w:instrText>
        </w:r>
        <w:r w:rsidR="005967CE">
          <w:rPr>
            <w:noProof/>
            <w:webHidden/>
          </w:rPr>
        </w:r>
        <w:r w:rsidR="005967CE">
          <w:rPr>
            <w:noProof/>
            <w:webHidden/>
          </w:rPr>
          <w:fldChar w:fldCharType="separate"/>
        </w:r>
        <w:r w:rsidR="005967CE">
          <w:rPr>
            <w:noProof/>
            <w:webHidden/>
          </w:rPr>
          <w:t>15</w:t>
        </w:r>
        <w:r w:rsidR="005967CE">
          <w:rPr>
            <w:noProof/>
            <w:webHidden/>
          </w:rPr>
          <w:fldChar w:fldCharType="end"/>
        </w:r>
      </w:hyperlink>
    </w:p>
    <w:p w14:paraId="79DB63CE" w14:textId="0A8E98CF" w:rsidR="005967CE" w:rsidRDefault="003C36B4">
      <w:pPr>
        <w:pStyle w:val="TOC1"/>
        <w:rPr>
          <w:rFonts w:asciiTheme="minorHAnsi" w:eastAsiaTheme="minorEastAsia" w:hAnsiTheme="minorHAnsi" w:cstheme="minorBidi"/>
          <w:caps w:val="0"/>
          <w:noProof/>
          <w:sz w:val="22"/>
          <w:szCs w:val="22"/>
          <w:lang w:eastAsia="en-GB"/>
        </w:rPr>
      </w:pPr>
      <w:hyperlink w:anchor="_Toc98857740" w:history="1">
        <w:r w:rsidR="005967CE" w:rsidRPr="00170B71">
          <w:rPr>
            <w:rStyle w:val="Hyperlink"/>
            <w:noProof/>
          </w:rPr>
          <w:t>3.</w:t>
        </w:r>
        <w:r w:rsidR="005967CE">
          <w:rPr>
            <w:rFonts w:asciiTheme="minorHAnsi" w:eastAsiaTheme="minorEastAsia" w:hAnsiTheme="minorHAnsi" w:cstheme="minorBidi"/>
            <w:caps w:val="0"/>
            <w:noProof/>
            <w:sz w:val="22"/>
            <w:szCs w:val="22"/>
            <w:lang w:eastAsia="en-GB"/>
          </w:rPr>
          <w:tab/>
        </w:r>
        <w:r w:rsidR="005967CE" w:rsidRPr="00170B71">
          <w:rPr>
            <w:rStyle w:val="Hyperlink"/>
            <w:noProof/>
          </w:rPr>
          <w:t>Why should the EU act?</w:t>
        </w:r>
        <w:r w:rsidR="005967CE">
          <w:rPr>
            <w:noProof/>
            <w:webHidden/>
          </w:rPr>
          <w:tab/>
        </w:r>
        <w:r w:rsidR="005967CE">
          <w:rPr>
            <w:noProof/>
            <w:webHidden/>
          </w:rPr>
          <w:fldChar w:fldCharType="begin"/>
        </w:r>
        <w:r w:rsidR="005967CE">
          <w:rPr>
            <w:noProof/>
            <w:webHidden/>
          </w:rPr>
          <w:instrText xml:space="preserve"> PAGEREF _Toc98857740 \h </w:instrText>
        </w:r>
        <w:r w:rsidR="005967CE">
          <w:rPr>
            <w:noProof/>
            <w:webHidden/>
          </w:rPr>
        </w:r>
        <w:r w:rsidR="005967CE">
          <w:rPr>
            <w:noProof/>
            <w:webHidden/>
          </w:rPr>
          <w:fldChar w:fldCharType="separate"/>
        </w:r>
        <w:r w:rsidR="005967CE">
          <w:rPr>
            <w:noProof/>
            <w:webHidden/>
          </w:rPr>
          <w:t>15</w:t>
        </w:r>
        <w:r w:rsidR="005967CE">
          <w:rPr>
            <w:noProof/>
            <w:webHidden/>
          </w:rPr>
          <w:fldChar w:fldCharType="end"/>
        </w:r>
      </w:hyperlink>
    </w:p>
    <w:p w14:paraId="7090DFA0" w14:textId="71BB0D7A" w:rsidR="005967CE" w:rsidRDefault="003C36B4">
      <w:pPr>
        <w:pStyle w:val="TOC2"/>
        <w:tabs>
          <w:tab w:val="left" w:pos="1077"/>
        </w:tabs>
        <w:rPr>
          <w:rFonts w:asciiTheme="minorHAnsi" w:eastAsiaTheme="minorEastAsia" w:hAnsiTheme="minorHAnsi" w:cstheme="minorBidi"/>
          <w:noProof/>
          <w:sz w:val="22"/>
          <w:szCs w:val="22"/>
          <w:lang w:eastAsia="en-GB"/>
        </w:rPr>
      </w:pPr>
      <w:hyperlink w:anchor="_Toc98857741" w:history="1">
        <w:r w:rsidR="005967CE" w:rsidRPr="00170B71">
          <w:rPr>
            <w:rStyle w:val="Hyperlink"/>
            <w:noProof/>
          </w:rPr>
          <w:t>3.1.</w:t>
        </w:r>
        <w:r w:rsidR="005967CE">
          <w:rPr>
            <w:rFonts w:asciiTheme="minorHAnsi" w:eastAsiaTheme="minorEastAsia" w:hAnsiTheme="minorHAnsi" w:cstheme="minorBidi"/>
            <w:noProof/>
            <w:sz w:val="22"/>
            <w:szCs w:val="22"/>
            <w:lang w:eastAsia="en-GB"/>
          </w:rPr>
          <w:tab/>
        </w:r>
        <w:r w:rsidR="005967CE" w:rsidRPr="00170B71">
          <w:rPr>
            <w:rStyle w:val="Hyperlink"/>
            <w:noProof/>
          </w:rPr>
          <w:t>Legal basis</w:t>
        </w:r>
        <w:r w:rsidR="005967CE">
          <w:rPr>
            <w:noProof/>
            <w:webHidden/>
          </w:rPr>
          <w:tab/>
        </w:r>
        <w:r w:rsidR="005967CE">
          <w:rPr>
            <w:noProof/>
            <w:webHidden/>
          </w:rPr>
          <w:fldChar w:fldCharType="begin"/>
        </w:r>
        <w:r w:rsidR="005967CE">
          <w:rPr>
            <w:noProof/>
            <w:webHidden/>
          </w:rPr>
          <w:instrText xml:space="preserve"> PAGEREF _Toc98857741 \h </w:instrText>
        </w:r>
        <w:r w:rsidR="005967CE">
          <w:rPr>
            <w:noProof/>
            <w:webHidden/>
          </w:rPr>
        </w:r>
        <w:r w:rsidR="005967CE">
          <w:rPr>
            <w:noProof/>
            <w:webHidden/>
          </w:rPr>
          <w:fldChar w:fldCharType="separate"/>
        </w:r>
        <w:r w:rsidR="005967CE">
          <w:rPr>
            <w:noProof/>
            <w:webHidden/>
          </w:rPr>
          <w:t>15</w:t>
        </w:r>
        <w:r w:rsidR="005967CE">
          <w:rPr>
            <w:noProof/>
            <w:webHidden/>
          </w:rPr>
          <w:fldChar w:fldCharType="end"/>
        </w:r>
      </w:hyperlink>
    </w:p>
    <w:p w14:paraId="00DFFED4" w14:textId="1B492C43" w:rsidR="005967CE" w:rsidRDefault="003C36B4">
      <w:pPr>
        <w:pStyle w:val="TOC2"/>
        <w:tabs>
          <w:tab w:val="left" w:pos="1077"/>
        </w:tabs>
        <w:rPr>
          <w:rFonts w:asciiTheme="minorHAnsi" w:eastAsiaTheme="minorEastAsia" w:hAnsiTheme="minorHAnsi" w:cstheme="minorBidi"/>
          <w:noProof/>
          <w:sz w:val="22"/>
          <w:szCs w:val="22"/>
          <w:lang w:eastAsia="en-GB"/>
        </w:rPr>
      </w:pPr>
      <w:hyperlink w:anchor="_Toc98857742" w:history="1">
        <w:r w:rsidR="005967CE" w:rsidRPr="00170B71">
          <w:rPr>
            <w:rStyle w:val="Hyperlink"/>
            <w:noProof/>
          </w:rPr>
          <w:t>3.2.</w:t>
        </w:r>
        <w:r w:rsidR="005967CE">
          <w:rPr>
            <w:rFonts w:asciiTheme="minorHAnsi" w:eastAsiaTheme="minorEastAsia" w:hAnsiTheme="minorHAnsi" w:cstheme="minorBidi"/>
            <w:noProof/>
            <w:sz w:val="22"/>
            <w:szCs w:val="22"/>
            <w:lang w:eastAsia="en-GB"/>
          </w:rPr>
          <w:tab/>
        </w:r>
        <w:r w:rsidR="005967CE" w:rsidRPr="00170B71">
          <w:rPr>
            <w:rStyle w:val="Hyperlink"/>
            <w:noProof/>
          </w:rPr>
          <w:t>Subsidiarity: Necessity of EU action</w:t>
        </w:r>
        <w:r w:rsidR="005967CE">
          <w:rPr>
            <w:noProof/>
            <w:webHidden/>
          </w:rPr>
          <w:tab/>
        </w:r>
        <w:r w:rsidR="005967CE">
          <w:rPr>
            <w:noProof/>
            <w:webHidden/>
          </w:rPr>
          <w:fldChar w:fldCharType="begin"/>
        </w:r>
        <w:r w:rsidR="005967CE">
          <w:rPr>
            <w:noProof/>
            <w:webHidden/>
          </w:rPr>
          <w:instrText xml:space="preserve"> PAGEREF _Toc98857742 \h </w:instrText>
        </w:r>
        <w:r w:rsidR="005967CE">
          <w:rPr>
            <w:noProof/>
            <w:webHidden/>
          </w:rPr>
        </w:r>
        <w:r w:rsidR="005967CE">
          <w:rPr>
            <w:noProof/>
            <w:webHidden/>
          </w:rPr>
          <w:fldChar w:fldCharType="separate"/>
        </w:r>
        <w:r w:rsidR="005967CE">
          <w:rPr>
            <w:noProof/>
            <w:webHidden/>
          </w:rPr>
          <w:t>15</w:t>
        </w:r>
        <w:r w:rsidR="005967CE">
          <w:rPr>
            <w:noProof/>
            <w:webHidden/>
          </w:rPr>
          <w:fldChar w:fldCharType="end"/>
        </w:r>
      </w:hyperlink>
    </w:p>
    <w:p w14:paraId="2C3FCEAD" w14:textId="71C2BCD6" w:rsidR="005967CE" w:rsidRDefault="003C36B4">
      <w:pPr>
        <w:pStyle w:val="TOC2"/>
        <w:tabs>
          <w:tab w:val="left" w:pos="1077"/>
        </w:tabs>
        <w:rPr>
          <w:rFonts w:asciiTheme="minorHAnsi" w:eastAsiaTheme="minorEastAsia" w:hAnsiTheme="minorHAnsi" w:cstheme="minorBidi"/>
          <w:noProof/>
          <w:sz w:val="22"/>
          <w:szCs w:val="22"/>
          <w:lang w:eastAsia="en-GB"/>
        </w:rPr>
      </w:pPr>
      <w:hyperlink w:anchor="_Toc98857743" w:history="1">
        <w:r w:rsidR="005967CE" w:rsidRPr="00170B71">
          <w:rPr>
            <w:rStyle w:val="Hyperlink"/>
            <w:noProof/>
          </w:rPr>
          <w:t>3.3.</w:t>
        </w:r>
        <w:r w:rsidR="005967CE">
          <w:rPr>
            <w:rFonts w:asciiTheme="minorHAnsi" w:eastAsiaTheme="minorEastAsia" w:hAnsiTheme="minorHAnsi" w:cstheme="minorBidi"/>
            <w:noProof/>
            <w:sz w:val="22"/>
            <w:szCs w:val="22"/>
            <w:lang w:eastAsia="en-GB"/>
          </w:rPr>
          <w:tab/>
        </w:r>
        <w:r w:rsidR="005967CE" w:rsidRPr="00170B71">
          <w:rPr>
            <w:rStyle w:val="Hyperlink"/>
            <w:noProof/>
          </w:rPr>
          <w:t>Subsidiarity: Added value of EU action</w:t>
        </w:r>
        <w:r w:rsidR="005967CE">
          <w:rPr>
            <w:noProof/>
            <w:webHidden/>
          </w:rPr>
          <w:tab/>
        </w:r>
        <w:r w:rsidR="005967CE">
          <w:rPr>
            <w:noProof/>
            <w:webHidden/>
          </w:rPr>
          <w:fldChar w:fldCharType="begin"/>
        </w:r>
        <w:r w:rsidR="005967CE">
          <w:rPr>
            <w:noProof/>
            <w:webHidden/>
          </w:rPr>
          <w:instrText xml:space="preserve"> PAGEREF _Toc98857743 \h </w:instrText>
        </w:r>
        <w:r w:rsidR="005967CE">
          <w:rPr>
            <w:noProof/>
            <w:webHidden/>
          </w:rPr>
        </w:r>
        <w:r w:rsidR="005967CE">
          <w:rPr>
            <w:noProof/>
            <w:webHidden/>
          </w:rPr>
          <w:fldChar w:fldCharType="separate"/>
        </w:r>
        <w:r w:rsidR="005967CE">
          <w:rPr>
            <w:noProof/>
            <w:webHidden/>
          </w:rPr>
          <w:t>16</w:t>
        </w:r>
        <w:r w:rsidR="005967CE">
          <w:rPr>
            <w:noProof/>
            <w:webHidden/>
          </w:rPr>
          <w:fldChar w:fldCharType="end"/>
        </w:r>
      </w:hyperlink>
    </w:p>
    <w:p w14:paraId="26E89D84" w14:textId="7FF5F509" w:rsidR="005967CE" w:rsidRDefault="003C36B4">
      <w:pPr>
        <w:pStyle w:val="TOC1"/>
        <w:rPr>
          <w:rFonts w:asciiTheme="minorHAnsi" w:eastAsiaTheme="minorEastAsia" w:hAnsiTheme="minorHAnsi" w:cstheme="minorBidi"/>
          <w:caps w:val="0"/>
          <w:noProof/>
          <w:sz w:val="22"/>
          <w:szCs w:val="22"/>
          <w:lang w:eastAsia="en-GB"/>
        </w:rPr>
      </w:pPr>
      <w:hyperlink w:anchor="_Toc98857744" w:history="1">
        <w:r w:rsidR="005967CE" w:rsidRPr="00170B71">
          <w:rPr>
            <w:rStyle w:val="Hyperlink"/>
            <w:noProof/>
          </w:rPr>
          <w:t>4.</w:t>
        </w:r>
        <w:r w:rsidR="005967CE">
          <w:rPr>
            <w:rFonts w:asciiTheme="minorHAnsi" w:eastAsiaTheme="minorEastAsia" w:hAnsiTheme="minorHAnsi" w:cstheme="minorBidi"/>
            <w:caps w:val="0"/>
            <w:noProof/>
            <w:sz w:val="22"/>
            <w:szCs w:val="22"/>
            <w:lang w:eastAsia="en-GB"/>
          </w:rPr>
          <w:tab/>
        </w:r>
        <w:r w:rsidR="005967CE" w:rsidRPr="00170B71">
          <w:rPr>
            <w:rStyle w:val="Hyperlink"/>
            <w:noProof/>
          </w:rPr>
          <w:t>Objectives: What is to be achieved?</w:t>
        </w:r>
        <w:r w:rsidR="005967CE">
          <w:rPr>
            <w:noProof/>
            <w:webHidden/>
          </w:rPr>
          <w:tab/>
        </w:r>
        <w:r w:rsidR="005967CE">
          <w:rPr>
            <w:noProof/>
            <w:webHidden/>
          </w:rPr>
          <w:fldChar w:fldCharType="begin"/>
        </w:r>
        <w:r w:rsidR="005967CE">
          <w:rPr>
            <w:noProof/>
            <w:webHidden/>
          </w:rPr>
          <w:instrText xml:space="preserve"> PAGEREF _Toc98857744 \h </w:instrText>
        </w:r>
        <w:r w:rsidR="005967CE">
          <w:rPr>
            <w:noProof/>
            <w:webHidden/>
          </w:rPr>
        </w:r>
        <w:r w:rsidR="005967CE">
          <w:rPr>
            <w:noProof/>
            <w:webHidden/>
          </w:rPr>
          <w:fldChar w:fldCharType="separate"/>
        </w:r>
        <w:r w:rsidR="005967CE">
          <w:rPr>
            <w:noProof/>
            <w:webHidden/>
          </w:rPr>
          <w:t>16</w:t>
        </w:r>
        <w:r w:rsidR="005967CE">
          <w:rPr>
            <w:noProof/>
            <w:webHidden/>
          </w:rPr>
          <w:fldChar w:fldCharType="end"/>
        </w:r>
      </w:hyperlink>
    </w:p>
    <w:p w14:paraId="44EF87B0" w14:textId="02D3B6BB" w:rsidR="005967CE" w:rsidRDefault="003C36B4">
      <w:pPr>
        <w:pStyle w:val="TOC2"/>
        <w:tabs>
          <w:tab w:val="left" w:pos="1077"/>
        </w:tabs>
        <w:rPr>
          <w:rFonts w:asciiTheme="minorHAnsi" w:eastAsiaTheme="minorEastAsia" w:hAnsiTheme="minorHAnsi" w:cstheme="minorBidi"/>
          <w:noProof/>
          <w:sz w:val="22"/>
          <w:szCs w:val="22"/>
          <w:lang w:eastAsia="en-GB"/>
        </w:rPr>
      </w:pPr>
      <w:hyperlink w:anchor="_Toc98857745" w:history="1">
        <w:r w:rsidR="005967CE" w:rsidRPr="00170B71">
          <w:rPr>
            <w:rStyle w:val="Hyperlink"/>
            <w:noProof/>
          </w:rPr>
          <w:t>4.1.</w:t>
        </w:r>
        <w:r w:rsidR="005967CE">
          <w:rPr>
            <w:rFonts w:asciiTheme="minorHAnsi" w:eastAsiaTheme="minorEastAsia" w:hAnsiTheme="minorHAnsi" w:cstheme="minorBidi"/>
            <w:noProof/>
            <w:sz w:val="22"/>
            <w:szCs w:val="22"/>
            <w:lang w:eastAsia="en-GB"/>
          </w:rPr>
          <w:tab/>
        </w:r>
        <w:r w:rsidR="005967CE" w:rsidRPr="00170B71">
          <w:rPr>
            <w:rStyle w:val="Hyperlink"/>
            <w:noProof/>
          </w:rPr>
          <w:t>General (review) objectives</w:t>
        </w:r>
        <w:r w:rsidR="005967CE">
          <w:rPr>
            <w:noProof/>
            <w:webHidden/>
          </w:rPr>
          <w:tab/>
        </w:r>
        <w:r w:rsidR="005967CE">
          <w:rPr>
            <w:noProof/>
            <w:webHidden/>
          </w:rPr>
          <w:fldChar w:fldCharType="begin"/>
        </w:r>
        <w:r w:rsidR="005967CE">
          <w:rPr>
            <w:noProof/>
            <w:webHidden/>
          </w:rPr>
          <w:instrText xml:space="preserve"> PAGEREF _Toc98857745 \h </w:instrText>
        </w:r>
        <w:r w:rsidR="005967CE">
          <w:rPr>
            <w:noProof/>
            <w:webHidden/>
          </w:rPr>
        </w:r>
        <w:r w:rsidR="005967CE">
          <w:rPr>
            <w:noProof/>
            <w:webHidden/>
          </w:rPr>
          <w:fldChar w:fldCharType="separate"/>
        </w:r>
        <w:r w:rsidR="005967CE">
          <w:rPr>
            <w:noProof/>
            <w:webHidden/>
          </w:rPr>
          <w:t>16</w:t>
        </w:r>
        <w:r w:rsidR="005967CE">
          <w:rPr>
            <w:noProof/>
            <w:webHidden/>
          </w:rPr>
          <w:fldChar w:fldCharType="end"/>
        </w:r>
      </w:hyperlink>
    </w:p>
    <w:p w14:paraId="34354C02" w14:textId="3C1B7E4C" w:rsidR="005967CE" w:rsidRDefault="003C36B4">
      <w:pPr>
        <w:pStyle w:val="TOC2"/>
        <w:tabs>
          <w:tab w:val="left" w:pos="1077"/>
        </w:tabs>
        <w:rPr>
          <w:rFonts w:asciiTheme="minorHAnsi" w:eastAsiaTheme="minorEastAsia" w:hAnsiTheme="minorHAnsi" w:cstheme="minorBidi"/>
          <w:noProof/>
          <w:sz w:val="22"/>
          <w:szCs w:val="22"/>
          <w:lang w:eastAsia="en-GB"/>
        </w:rPr>
      </w:pPr>
      <w:hyperlink w:anchor="_Toc98857746" w:history="1">
        <w:r w:rsidR="005967CE" w:rsidRPr="00170B71">
          <w:rPr>
            <w:rStyle w:val="Hyperlink"/>
            <w:noProof/>
          </w:rPr>
          <w:t>4.2.</w:t>
        </w:r>
        <w:r w:rsidR="005967CE">
          <w:rPr>
            <w:rFonts w:asciiTheme="minorHAnsi" w:eastAsiaTheme="minorEastAsia" w:hAnsiTheme="minorHAnsi" w:cstheme="minorBidi"/>
            <w:noProof/>
            <w:sz w:val="22"/>
            <w:szCs w:val="22"/>
            <w:lang w:eastAsia="en-GB"/>
          </w:rPr>
          <w:tab/>
        </w:r>
        <w:r w:rsidR="005967CE" w:rsidRPr="00170B71">
          <w:rPr>
            <w:rStyle w:val="Hyperlink"/>
            <w:noProof/>
          </w:rPr>
          <w:t>Specific (review) objectives</w:t>
        </w:r>
        <w:r w:rsidR="005967CE">
          <w:rPr>
            <w:noProof/>
            <w:webHidden/>
          </w:rPr>
          <w:tab/>
        </w:r>
        <w:r w:rsidR="005967CE">
          <w:rPr>
            <w:noProof/>
            <w:webHidden/>
          </w:rPr>
          <w:fldChar w:fldCharType="begin"/>
        </w:r>
        <w:r w:rsidR="005967CE">
          <w:rPr>
            <w:noProof/>
            <w:webHidden/>
          </w:rPr>
          <w:instrText xml:space="preserve"> PAGEREF _Toc98857746 \h </w:instrText>
        </w:r>
        <w:r w:rsidR="005967CE">
          <w:rPr>
            <w:noProof/>
            <w:webHidden/>
          </w:rPr>
        </w:r>
        <w:r w:rsidR="005967CE">
          <w:rPr>
            <w:noProof/>
            <w:webHidden/>
          </w:rPr>
          <w:fldChar w:fldCharType="separate"/>
        </w:r>
        <w:r w:rsidR="005967CE">
          <w:rPr>
            <w:noProof/>
            <w:webHidden/>
          </w:rPr>
          <w:t>16</w:t>
        </w:r>
        <w:r w:rsidR="005967CE">
          <w:rPr>
            <w:noProof/>
            <w:webHidden/>
          </w:rPr>
          <w:fldChar w:fldCharType="end"/>
        </w:r>
      </w:hyperlink>
    </w:p>
    <w:p w14:paraId="7BB1BB72" w14:textId="1AAE883E" w:rsidR="005967CE" w:rsidRDefault="003C36B4">
      <w:pPr>
        <w:pStyle w:val="TOC1"/>
        <w:rPr>
          <w:rFonts w:asciiTheme="minorHAnsi" w:eastAsiaTheme="minorEastAsia" w:hAnsiTheme="minorHAnsi" w:cstheme="minorBidi"/>
          <w:caps w:val="0"/>
          <w:noProof/>
          <w:sz w:val="22"/>
          <w:szCs w:val="22"/>
          <w:lang w:eastAsia="en-GB"/>
        </w:rPr>
      </w:pPr>
      <w:hyperlink w:anchor="_Toc98857747" w:history="1">
        <w:r w:rsidR="005967CE" w:rsidRPr="00170B71">
          <w:rPr>
            <w:rStyle w:val="Hyperlink"/>
            <w:noProof/>
          </w:rPr>
          <w:t>5.</w:t>
        </w:r>
        <w:r w:rsidR="005967CE">
          <w:rPr>
            <w:rFonts w:asciiTheme="minorHAnsi" w:eastAsiaTheme="minorEastAsia" w:hAnsiTheme="minorHAnsi" w:cstheme="minorBidi"/>
            <w:caps w:val="0"/>
            <w:noProof/>
            <w:sz w:val="22"/>
            <w:szCs w:val="22"/>
            <w:lang w:eastAsia="en-GB"/>
          </w:rPr>
          <w:tab/>
        </w:r>
        <w:r w:rsidR="005967CE" w:rsidRPr="00170B71">
          <w:rPr>
            <w:rStyle w:val="Hyperlink"/>
            <w:noProof/>
          </w:rPr>
          <w:t>What are the available policy options?</w:t>
        </w:r>
        <w:r w:rsidR="005967CE">
          <w:rPr>
            <w:noProof/>
            <w:webHidden/>
          </w:rPr>
          <w:tab/>
        </w:r>
        <w:r w:rsidR="005967CE">
          <w:rPr>
            <w:noProof/>
            <w:webHidden/>
          </w:rPr>
          <w:fldChar w:fldCharType="begin"/>
        </w:r>
        <w:r w:rsidR="005967CE">
          <w:rPr>
            <w:noProof/>
            <w:webHidden/>
          </w:rPr>
          <w:instrText xml:space="preserve"> PAGEREF _Toc98857747 \h </w:instrText>
        </w:r>
        <w:r w:rsidR="005967CE">
          <w:rPr>
            <w:noProof/>
            <w:webHidden/>
          </w:rPr>
        </w:r>
        <w:r w:rsidR="005967CE">
          <w:rPr>
            <w:noProof/>
            <w:webHidden/>
          </w:rPr>
          <w:fldChar w:fldCharType="separate"/>
        </w:r>
        <w:r w:rsidR="005967CE">
          <w:rPr>
            <w:noProof/>
            <w:webHidden/>
          </w:rPr>
          <w:t>17</w:t>
        </w:r>
        <w:r w:rsidR="005967CE">
          <w:rPr>
            <w:noProof/>
            <w:webHidden/>
          </w:rPr>
          <w:fldChar w:fldCharType="end"/>
        </w:r>
      </w:hyperlink>
    </w:p>
    <w:p w14:paraId="6C70F2A2" w14:textId="6B9F2452" w:rsidR="005967CE" w:rsidRDefault="003C36B4">
      <w:pPr>
        <w:pStyle w:val="TOC2"/>
        <w:tabs>
          <w:tab w:val="left" w:pos="1077"/>
        </w:tabs>
        <w:rPr>
          <w:rFonts w:asciiTheme="minorHAnsi" w:eastAsiaTheme="minorEastAsia" w:hAnsiTheme="minorHAnsi" w:cstheme="minorBidi"/>
          <w:noProof/>
          <w:sz w:val="22"/>
          <w:szCs w:val="22"/>
          <w:lang w:eastAsia="en-GB"/>
        </w:rPr>
      </w:pPr>
      <w:hyperlink w:anchor="_Toc98857748" w:history="1">
        <w:r w:rsidR="005967CE" w:rsidRPr="00170B71">
          <w:rPr>
            <w:rStyle w:val="Hyperlink"/>
            <w:noProof/>
          </w:rPr>
          <w:t>5.1.</w:t>
        </w:r>
        <w:r w:rsidR="005967CE">
          <w:rPr>
            <w:rFonts w:asciiTheme="minorHAnsi" w:eastAsiaTheme="minorEastAsia" w:hAnsiTheme="minorHAnsi" w:cstheme="minorBidi"/>
            <w:noProof/>
            <w:sz w:val="22"/>
            <w:szCs w:val="22"/>
            <w:lang w:eastAsia="en-GB"/>
          </w:rPr>
          <w:tab/>
        </w:r>
        <w:r w:rsidR="005967CE" w:rsidRPr="00170B71">
          <w:rPr>
            <w:rStyle w:val="Hyperlink"/>
            <w:noProof/>
          </w:rPr>
          <w:t>What is the baseline from which options are assessed?</w:t>
        </w:r>
        <w:r w:rsidR="005967CE">
          <w:rPr>
            <w:noProof/>
            <w:webHidden/>
          </w:rPr>
          <w:tab/>
        </w:r>
        <w:r w:rsidR="005967CE">
          <w:rPr>
            <w:noProof/>
            <w:webHidden/>
          </w:rPr>
          <w:fldChar w:fldCharType="begin"/>
        </w:r>
        <w:r w:rsidR="005967CE">
          <w:rPr>
            <w:noProof/>
            <w:webHidden/>
          </w:rPr>
          <w:instrText xml:space="preserve"> PAGEREF _Toc98857748 \h </w:instrText>
        </w:r>
        <w:r w:rsidR="005967CE">
          <w:rPr>
            <w:noProof/>
            <w:webHidden/>
          </w:rPr>
        </w:r>
        <w:r w:rsidR="005967CE">
          <w:rPr>
            <w:noProof/>
            <w:webHidden/>
          </w:rPr>
          <w:fldChar w:fldCharType="separate"/>
        </w:r>
        <w:r w:rsidR="005967CE">
          <w:rPr>
            <w:noProof/>
            <w:webHidden/>
          </w:rPr>
          <w:t>17</w:t>
        </w:r>
        <w:r w:rsidR="005967CE">
          <w:rPr>
            <w:noProof/>
            <w:webHidden/>
          </w:rPr>
          <w:fldChar w:fldCharType="end"/>
        </w:r>
      </w:hyperlink>
    </w:p>
    <w:p w14:paraId="4419122F" w14:textId="5379BDA1" w:rsidR="005967CE" w:rsidRDefault="003C36B4">
      <w:pPr>
        <w:pStyle w:val="TOC2"/>
        <w:tabs>
          <w:tab w:val="left" w:pos="1077"/>
        </w:tabs>
        <w:rPr>
          <w:rFonts w:asciiTheme="minorHAnsi" w:eastAsiaTheme="minorEastAsia" w:hAnsiTheme="minorHAnsi" w:cstheme="minorBidi"/>
          <w:noProof/>
          <w:sz w:val="22"/>
          <w:szCs w:val="22"/>
          <w:lang w:eastAsia="en-GB"/>
        </w:rPr>
      </w:pPr>
      <w:hyperlink w:anchor="_Toc98857749" w:history="1">
        <w:r w:rsidR="005967CE" w:rsidRPr="00170B71">
          <w:rPr>
            <w:rStyle w:val="Hyperlink"/>
            <w:noProof/>
          </w:rPr>
          <w:t>5.2.</w:t>
        </w:r>
        <w:r w:rsidR="005967CE">
          <w:rPr>
            <w:rFonts w:asciiTheme="minorHAnsi" w:eastAsiaTheme="minorEastAsia" w:hAnsiTheme="minorHAnsi" w:cstheme="minorBidi"/>
            <w:noProof/>
            <w:sz w:val="22"/>
            <w:szCs w:val="22"/>
            <w:lang w:eastAsia="en-GB"/>
          </w:rPr>
          <w:tab/>
        </w:r>
        <w:r w:rsidR="005967CE" w:rsidRPr="00170B71">
          <w:rPr>
            <w:rStyle w:val="Hyperlink"/>
            <w:noProof/>
          </w:rPr>
          <w:t>Description of the policy options</w:t>
        </w:r>
        <w:r w:rsidR="005967CE">
          <w:rPr>
            <w:noProof/>
            <w:webHidden/>
          </w:rPr>
          <w:tab/>
        </w:r>
        <w:r w:rsidR="005967CE">
          <w:rPr>
            <w:noProof/>
            <w:webHidden/>
          </w:rPr>
          <w:fldChar w:fldCharType="begin"/>
        </w:r>
        <w:r w:rsidR="005967CE">
          <w:rPr>
            <w:noProof/>
            <w:webHidden/>
          </w:rPr>
          <w:instrText xml:space="preserve"> PAGEREF _Toc98857749 \h </w:instrText>
        </w:r>
        <w:r w:rsidR="005967CE">
          <w:rPr>
            <w:noProof/>
            <w:webHidden/>
          </w:rPr>
        </w:r>
        <w:r w:rsidR="005967CE">
          <w:rPr>
            <w:noProof/>
            <w:webHidden/>
          </w:rPr>
          <w:fldChar w:fldCharType="separate"/>
        </w:r>
        <w:r w:rsidR="005967CE">
          <w:rPr>
            <w:noProof/>
            <w:webHidden/>
          </w:rPr>
          <w:t>20</w:t>
        </w:r>
        <w:r w:rsidR="005967CE">
          <w:rPr>
            <w:noProof/>
            <w:webHidden/>
          </w:rPr>
          <w:fldChar w:fldCharType="end"/>
        </w:r>
      </w:hyperlink>
    </w:p>
    <w:p w14:paraId="10DB6D1E" w14:textId="0BC34339" w:rsidR="005967CE" w:rsidRDefault="003C36B4">
      <w:pPr>
        <w:pStyle w:val="TOC2"/>
        <w:tabs>
          <w:tab w:val="left" w:pos="1077"/>
        </w:tabs>
        <w:rPr>
          <w:rFonts w:asciiTheme="minorHAnsi" w:eastAsiaTheme="minorEastAsia" w:hAnsiTheme="minorHAnsi" w:cstheme="minorBidi"/>
          <w:noProof/>
          <w:sz w:val="22"/>
          <w:szCs w:val="22"/>
          <w:lang w:eastAsia="en-GB"/>
        </w:rPr>
      </w:pPr>
      <w:hyperlink w:anchor="_Toc98857750" w:history="1">
        <w:r w:rsidR="005967CE" w:rsidRPr="00170B71">
          <w:rPr>
            <w:rStyle w:val="Hyperlink"/>
            <w:noProof/>
          </w:rPr>
          <w:t>5.3.</w:t>
        </w:r>
        <w:r w:rsidR="005967CE">
          <w:rPr>
            <w:rFonts w:asciiTheme="minorHAnsi" w:eastAsiaTheme="minorEastAsia" w:hAnsiTheme="minorHAnsi" w:cstheme="minorBidi"/>
            <w:noProof/>
            <w:sz w:val="22"/>
            <w:szCs w:val="22"/>
            <w:lang w:eastAsia="en-GB"/>
          </w:rPr>
          <w:tab/>
        </w:r>
        <w:r w:rsidR="005967CE" w:rsidRPr="00170B71">
          <w:rPr>
            <w:rStyle w:val="Hyperlink"/>
            <w:noProof/>
          </w:rPr>
          <w:t>Options discarded at an early stage</w:t>
        </w:r>
        <w:r w:rsidR="005967CE">
          <w:rPr>
            <w:noProof/>
            <w:webHidden/>
          </w:rPr>
          <w:tab/>
        </w:r>
        <w:r w:rsidR="005967CE">
          <w:rPr>
            <w:noProof/>
            <w:webHidden/>
          </w:rPr>
          <w:fldChar w:fldCharType="begin"/>
        </w:r>
        <w:r w:rsidR="005967CE">
          <w:rPr>
            <w:noProof/>
            <w:webHidden/>
          </w:rPr>
          <w:instrText xml:space="preserve"> PAGEREF _Toc98857750 \h </w:instrText>
        </w:r>
        <w:r w:rsidR="005967CE">
          <w:rPr>
            <w:noProof/>
            <w:webHidden/>
          </w:rPr>
        </w:r>
        <w:r w:rsidR="005967CE">
          <w:rPr>
            <w:noProof/>
            <w:webHidden/>
          </w:rPr>
          <w:fldChar w:fldCharType="separate"/>
        </w:r>
        <w:r w:rsidR="005967CE">
          <w:rPr>
            <w:noProof/>
            <w:webHidden/>
          </w:rPr>
          <w:t>27</w:t>
        </w:r>
        <w:r w:rsidR="005967CE">
          <w:rPr>
            <w:noProof/>
            <w:webHidden/>
          </w:rPr>
          <w:fldChar w:fldCharType="end"/>
        </w:r>
      </w:hyperlink>
    </w:p>
    <w:p w14:paraId="4CF5DBC8" w14:textId="086123C1" w:rsidR="005967CE" w:rsidRDefault="003C36B4">
      <w:pPr>
        <w:pStyle w:val="TOC1"/>
        <w:rPr>
          <w:rFonts w:asciiTheme="minorHAnsi" w:eastAsiaTheme="minorEastAsia" w:hAnsiTheme="minorHAnsi" w:cstheme="minorBidi"/>
          <w:caps w:val="0"/>
          <w:noProof/>
          <w:sz w:val="22"/>
          <w:szCs w:val="22"/>
          <w:lang w:eastAsia="en-GB"/>
        </w:rPr>
      </w:pPr>
      <w:hyperlink w:anchor="_Toc98857751" w:history="1">
        <w:r w:rsidR="005967CE" w:rsidRPr="00170B71">
          <w:rPr>
            <w:rStyle w:val="Hyperlink"/>
            <w:noProof/>
          </w:rPr>
          <w:t>6.</w:t>
        </w:r>
        <w:r w:rsidR="005967CE">
          <w:rPr>
            <w:rFonts w:asciiTheme="minorHAnsi" w:eastAsiaTheme="minorEastAsia" w:hAnsiTheme="minorHAnsi" w:cstheme="minorBidi"/>
            <w:caps w:val="0"/>
            <w:noProof/>
            <w:sz w:val="22"/>
            <w:szCs w:val="22"/>
            <w:lang w:eastAsia="en-GB"/>
          </w:rPr>
          <w:tab/>
        </w:r>
        <w:r w:rsidR="005967CE" w:rsidRPr="00170B71">
          <w:rPr>
            <w:rStyle w:val="Hyperlink"/>
            <w:noProof/>
          </w:rPr>
          <w:t>What are the impacts of the policy options?</w:t>
        </w:r>
        <w:r w:rsidR="005967CE">
          <w:rPr>
            <w:noProof/>
            <w:webHidden/>
          </w:rPr>
          <w:tab/>
        </w:r>
        <w:r w:rsidR="005967CE">
          <w:rPr>
            <w:noProof/>
            <w:webHidden/>
          </w:rPr>
          <w:fldChar w:fldCharType="begin"/>
        </w:r>
        <w:r w:rsidR="005967CE">
          <w:rPr>
            <w:noProof/>
            <w:webHidden/>
          </w:rPr>
          <w:instrText xml:space="preserve"> PAGEREF _Toc98857751 \h </w:instrText>
        </w:r>
        <w:r w:rsidR="005967CE">
          <w:rPr>
            <w:noProof/>
            <w:webHidden/>
          </w:rPr>
        </w:r>
        <w:r w:rsidR="005967CE">
          <w:rPr>
            <w:noProof/>
            <w:webHidden/>
          </w:rPr>
          <w:fldChar w:fldCharType="separate"/>
        </w:r>
        <w:r w:rsidR="005967CE">
          <w:rPr>
            <w:noProof/>
            <w:webHidden/>
          </w:rPr>
          <w:t>27</w:t>
        </w:r>
        <w:r w:rsidR="005967CE">
          <w:rPr>
            <w:noProof/>
            <w:webHidden/>
          </w:rPr>
          <w:fldChar w:fldCharType="end"/>
        </w:r>
      </w:hyperlink>
    </w:p>
    <w:p w14:paraId="0EFD773A" w14:textId="70CD4C0E" w:rsidR="005967CE" w:rsidRDefault="003C36B4">
      <w:pPr>
        <w:pStyle w:val="TOC2"/>
        <w:tabs>
          <w:tab w:val="left" w:pos="1077"/>
        </w:tabs>
        <w:rPr>
          <w:rFonts w:asciiTheme="minorHAnsi" w:eastAsiaTheme="minorEastAsia" w:hAnsiTheme="minorHAnsi" w:cstheme="minorBidi"/>
          <w:noProof/>
          <w:sz w:val="22"/>
          <w:szCs w:val="22"/>
          <w:lang w:eastAsia="en-GB"/>
        </w:rPr>
      </w:pPr>
      <w:hyperlink w:anchor="_Toc98857752" w:history="1">
        <w:r w:rsidR="005967CE" w:rsidRPr="00170B71">
          <w:rPr>
            <w:rStyle w:val="Hyperlink"/>
            <w:noProof/>
          </w:rPr>
          <w:t>6.1.</w:t>
        </w:r>
        <w:r w:rsidR="005967CE">
          <w:rPr>
            <w:rFonts w:asciiTheme="minorHAnsi" w:eastAsiaTheme="minorEastAsia" w:hAnsiTheme="minorHAnsi" w:cstheme="minorBidi"/>
            <w:noProof/>
            <w:sz w:val="22"/>
            <w:szCs w:val="22"/>
            <w:lang w:eastAsia="en-GB"/>
          </w:rPr>
          <w:tab/>
        </w:r>
        <w:r w:rsidR="005967CE" w:rsidRPr="00170B71">
          <w:rPr>
            <w:rStyle w:val="Hyperlink"/>
            <w:noProof/>
          </w:rPr>
          <w:t>Environmental impacts</w:t>
        </w:r>
        <w:r w:rsidR="005967CE">
          <w:rPr>
            <w:noProof/>
            <w:webHidden/>
          </w:rPr>
          <w:tab/>
        </w:r>
        <w:r w:rsidR="005967CE">
          <w:rPr>
            <w:noProof/>
            <w:webHidden/>
          </w:rPr>
          <w:fldChar w:fldCharType="begin"/>
        </w:r>
        <w:r w:rsidR="005967CE">
          <w:rPr>
            <w:noProof/>
            <w:webHidden/>
          </w:rPr>
          <w:instrText xml:space="preserve"> PAGEREF _Toc98857752 \h </w:instrText>
        </w:r>
        <w:r w:rsidR="005967CE">
          <w:rPr>
            <w:noProof/>
            <w:webHidden/>
          </w:rPr>
        </w:r>
        <w:r w:rsidR="005967CE">
          <w:rPr>
            <w:noProof/>
            <w:webHidden/>
          </w:rPr>
          <w:fldChar w:fldCharType="separate"/>
        </w:r>
        <w:r w:rsidR="005967CE">
          <w:rPr>
            <w:noProof/>
            <w:webHidden/>
          </w:rPr>
          <w:t>28</w:t>
        </w:r>
        <w:r w:rsidR="005967CE">
          <w:rPr>
            <w:noProof/>
            <w:webHidden/>
          </w:rPr>
          <w:fldChar w:fldCharType="end"/>
        </w:r>
      </w:hyperlink>
    </w:p>
    <w:p w14:paraId="2CD3B14E" w14:textId="55397C03" w:rsidR="005967CE" w:rsidRDefault="003C36B4">
      <w:pPr>
        <w:pStyle w:val="TOC3"/>
        <w:tabs>
          <w:tab w:val="left" w:pos="1400"/>
          <w:tab w:val="right" w:leader="dot" w:pos="8608"/>
        </w:tabs>
        <w:rPr>
          <w:rFonts w:asciiTheme="minorHAnsi" w:eastAsiaTheme="minorEastAsia" w:hAnsiTheme="minorHAnsi"/>
          <w:noProof/>
          <w:sz w:val="22"/>
          <w:lang w:eastAsia="en-GB"/>
        </w:rPr>
      </w:pPr>
      <w:hyperlink w:anchor="_Toc98857753" w:history="1">
        <w:r w:rsidR="005967CE" w:rsidRPr="00170B71">
          <w:rPr>
            <w:rStyle w:val="Hyperlink"/>
            <w:noProof/>
          </w:rPr>
          <w:t>6.1.1.</w:t>
        </w:r>
        <w:r w:rsidR="005967CE">
          <w:rPr>
            <w:rFonts w:asciiTheme="minorHAnsi" w:eastAsiaTheme="minorEastAsia" w:hAnsiTheme="minorHAnsi"/>
            <w:noProof/>
            <w:sz w:val="22"/>
            <w:lang w:eastAsia="en-GB"/>
          </w:rPr>
          <w:tab/>
        </w:r>
        <w:r w:rsidR="005967CE" w:rsidRPr="00170B71">
          <w:rPr>
            <w:rStyle w:val="Hyperlink"/>
            <w:noProof/>
          </w:rPr>
          <w:t>Emission savings from quota system and prohibitions</w:t>
        </w:r>
        <w:r w:rsidR="005967CE">
          <w:rPr>
            <w:noProof/>
            <w:webHidden/>
          </w:rPr>
          <w:tab/>
        </w:r>
        <w:r w:rsidR="005967CE">
          <w:rPr>
            <w:noProof/>
            <w:webHidden/>
          </w:rPr>
          <w:fldChar w:fldCharType="begin"/>
        </w:r>
        <w:r w:rsidR="005967CE">
          <w:rPr>
            <w:noProof/>
            <w:webHidden/>
          </w:rPr>
          <w:instrText xml:space="preserve"> PAGEREF _Toc98857753 \h </w:instrText>
        </w:r>
        <w:r w:rsidR="005967CE">
          <w:rPr>
            <w:noProof/>
            <w:webHidden/>
          </w:rPr>
        </w:r>
        <w:r w:rsidR="005967CE">
          <w:rPr>
            <w:noProof/>
            <w:webHidden/>
          </w:rPr>
          <w:fldChar w:fldCharType="separate"/>
        </w:r>
        <w:r w:rsidR="005967CE">
          <w:rPr>
            <w:noProof/>
            <w:webHidden/>
          </w:rPr>
          <w:t>28</w:t>
        </w:r>
        <w:r w:rsidR="005967CE">
          <w:rPr>
            <w:noProof/>
            <w:webHidden/>
          </w:rPr>
          <w:fldChar w:fldCharType="end"/>
        </w:r>
      </w:hyperlink>
    </w:p>
    <w:p w14:paraId="5045D0E1" w14:textId="1E8418AF" w:rsidR="005967CE" w:rsidRDefault="003C36B4">
      <w:pPr>
        <w:pStyle w:val="TOC3"/>
        <w:tabs>
          <w:tab w:val="left" w:pos="1400"/>
          <w:tab w:val="right" w:leader="dot" w:pos="8608"/>
        </w:tabs>
        <w:rPr>
          <w:rFonts w:asciiTheme="minorHAnsi" w:eastAsiaTheme="minorEastAsia" w:hAnsiTheme="minorHAnsi"/>
          <w:noProof/>
          <w:sz w:val="22"/>
          <w:lang w:eastAsia="en-GB"/>
        </w:rPr>
      </w:pPr>
      <w:hyperlink w:anchor="_Toc98857754" w:history="1">
        <w:r w:rsidR="005967CE" w:rsidRPr="00170B71">
          <w:rPr>
            <w:rStyle w:val="Hyperlink"/>
            <w:noProof/>
          </w:rPr>
          <w:t>6.1.2.</w:t>
        </w:r>
        <w:r w:rsidR="005967CE">
          <w:rPr>
            <w:rFonts w:asciiTheme="minorHAnsi" w:eastAsiaTheme="minorEastAsia" w:hAnsiTheme="minorHAnsi"/>
            <w:noProof/>
            <w:sz w:val="22"/>
            <w:lang w:eastAsia="en-GB"/>
          </w:rPr>
          <w:tab/>
        </w:r>
        <w:r w:rsidR="005967CE" w:rsidRPr="00170B71">
          <w:rPr>
            <w:rStyle w:val="Hyperlink"/>
            <w:noProof/>
          </w:rPr>
          <w:t>Other emission savings</w:t>
        </w:r>
        <w:r w:rsidR="005967CE">
          <w:rPr>
            <w:noProof/>
            <w:webHidden/>
          </w:rPr>
          <w:tab/>
        </w:r>
        <w:r w:rsidR="005967CE">
          <w:rPr>
            <w:noProof/>
            <w:webHidden/>
          </w:rPr>
          <w:fldChar w:fldCharType="begin"/>
        </w:r>
        <w:r w:rsidR="005967CE">
          <w:rPr>
            <w:noProof/>
            <w:webHidden/>
          </w:rPr>
          <w:instrText xml:space="preserve"> PAGEREF _Toc98857754 \h </w:instrText>
        </w:r>
        <w:r w:rsidR="005967CE">
          <w:rPr>
            <w:noProof/>
            <w:webHidden/>
          </w:rPr>
        </w:r>
        <w:r w:rsidR="005967CE">
          <w:rPr>
            <w:noProof/>
            <w:webHidden/>
          </w:rPr>
          <w:fldChar w:fldCharType="separate"/>
        </w:r>
        <w:r w:rsidR="005967CE">
          <w:rPr>
            <w:noProof/>
            <w:webHidden/>
          </w:rPr>
          <w:t>30</w:t>
        </w:r>
        <w:r w:rsidR="005967CE">
          <w:rPr>
            <w:noProof/>
            <w:webHidden/>
          </w:rPr>
          <w:fldChar w:fldCharType="end"/>
        </w:r>
      </w:hyperlink>
    </w:p>
    <w:p w14:paraId="216B35E3" w14:textId="2A91E09C" w:rsidR="005967CE" w:rsidRDefault="003C36B4">
      <w:pPr>
        <w:pStyle w:val="TOC3"/>
        <w:tabs>
          <w:tab w:val="left" w:pos="1400"/>
          <w:tab w:val="right" w:leader="dot" w:pos="8608"/>
        </w:tabs>
        <w:rPr>
          <w:rFonts w:asciiTheme="minorHAnsi" w:eastAsiaTheme="minorEastAsia" w:hAnsiTheme="minorHAnsi"/>
          <w:noProof/>
          <w:sz w:val="22"/>
          <w:lang w:eastAsia="en-GB"/>
        </w:rPr>
      </w:pPr>
      <w:hyperlink w:anchor="_Toc98857755" w:history="1">
        <w:r w:rsidR="005967CE" w:rsidRPr="00170B71">
          <w:rPr>
            <w:rStyle w:val="Hyperlink"/>
            <w:noProof/>
          </w:rPr>
          <w:t>6.1.3.</w:t>
        </w:r>
        <w:r w:rsidR="005967CE">
          <w:rPr>
            <w:rFonts w:asciiTheme="minorHAnsi" w:eastAsiaTheme="minorEastAsia" w:hAnsiTheme="minorHAnsi"/>
            <w:noProof/>
            <w:sz w:val="22"/>
            <w:lang w:eastAsia="en-GB"/>
          </w:rPr>
          <w:tab/>
        </w:r>
        <w:r w:rsidR="005967CE" w:rsidRPr="00170B71">
          <w:rPr>
            <w:rStyle w:val="Hyperlink"/>
            <w:noProof/>
          </w:rPr>
          <w:t>Energy use</w:t>
        </w:r>
        <w:r w:rsidR="005967CE">
          <w:rPr>
            <w:noProof/>
            <w:webHidden/>
          </w:rPr>
          <w:tab/>
        </w:r>
        <w:r w:rsidR="005967CE">
          <w:rPr>
            <w:noProof/>
            <w:webHidden/>
          </w:rPr>
          <w:fldChar w:fldCharType="begin"/>
        </w:r>
        <w:r w:rsidR="005967CE">
          <w:rPr>
            <w:noProof/>
            <w:webHidden/>
          </w:rPr>
          <w:instrText xml:space="preserve"> PAGEREF _Toc98857755 \h </w:instrText>
        </w:r>
        <w:r w:rsidR="005967CE">
          <w:rPr>
            <w:noProof/>
            <w:webHidden/>
          </w:rPr>
        </w:r>
        <w:r w:rsidR="005967CE">
          <w:rPr>
            <w:noProof/>
            <w:webHidden/>
          </w:rPr>
          <w:fldChar w:fldCharType="separate"/>
        </w:r>
        <w:r w:rsidR="005967CE">
          <w:rPr>
            <w:noProof/>
            <w:webHidden/>
          </w:rPr>
          <w:t>30</w:t>
        </w:r>
        <w:r w:rsidR="005967CE">
          <w:rPr>
            <w:noProof/>
            <w:webHidden/>
          </w:rPr>
          <w:fldChar w:fldCharType="end"/>
        </w:r>
      </w:hyperlink>
    </w:p>
    <w:p w14:paraId="28FEF964" w14:textId="7E8CC670" w:rsidR="005967CE" w:rsidRDefault="003C36B4">
      <w:pPr>
        <w:pStyle w:val="TOC3"/>
        <w:tabs>
          <w:tab w:val="left" w:pos="1400"/>
          <w:tab w:val="right" w:leader="dot" w:pos="8608"/>
        </w:tabs>
        <w:rPr>
          <w:rFonts w:asciiTheme="minorHAnsi" w:eastAsiaTheme="minorEastAsia" w:hAnsiTheme="minorHAnsi"/>
          <w:noProof/>
          <w:sz w:val="22"/>
          <w:lang w:eastAsia="en-GB"/>
        </w:rPr>
      </w:pPr>
      <w:hyperlink w:anchor="_Toc98857756" w:history="1">
        <w:r w:rsidR="005967CE" w:rsidRPr="00170B71">
          <w:rPr>
            <w:rStyle w:val="Hyperlink"/>
            <w:noProof/>
          </w:rPr>
          <w:t>6.1.4.</w:t>
        </w:r>
        <w:r w:rsidR="005967CE">
          <w:rPr>
            <w:rFonts w:asciiTheme="minorHAnsi" w:eastAsiaTheme="minorEastAsia" w:hAnsiTheme="minorHAnsi"/>
            <w:noProof/>
            <w:sz w:val="22"/>
            <w:lang w:eastAsia="en-GB"/>
          </w:rPr>
          <w:tab/>
        </w:r>
        <w:r w:rsidR="005967CE" w:rsidRPr="00170B71">
          <w:rPr>
            <w:rStyle w:val="Hyperlink"/>
            <w:noProof/>
          </w:rPr>
          <w:t>Other environmental effects</w:t>
        </w:r>
        <w:r w:rsidR="005967CE">
          <w:rPr>
            <w:noProof/>
            <w:webHidden/>
          </w:rPr>
          <w:tab/>
        </w:r>
        <w:r w:rsidR="005967CE">
          <w:rPr>
            <w:noProof/>
            <w:webHidden/>
          </w:rPr>
          <w:fldChar w:fldCharType="begin"/>
        </w:r>
        <w:r w:rsidR="005967CE">
          <w:rPr>
            <w:noProof/>
            <w:webHidden/>
          </w:rPr>
          <w:instrText xml:space="preserve"> PAGEREF _Toc98857756 \h </w:instrText>
        </w:r>
        <w:r w:rsidR="005967CE">
          <w:rPr>
            <w:noProof/>
            <w:webHidden/>
          </w:rPr>
        </w:r>
        <w:r w:rsidR="005967CE">
          <w:rPr>
            <w:noProof/>
            <w:webHidden/>
          </w:rPr>
          <w:fldChar w:fldCharType="separate"/>
        </w:r>
        <w:r w:rsidR="005967CE">
          <w:rPr>
            <w:noProof/>
            <w:webHidden/>
          </w:rPr>
          <w:t>31</w:t>
        </w:r>
        <w:r w:rsidR="005967CE">
          <w:rPr>
            <w:noProof/>
            <w:webHidden/>
          </w:rPr>
          <w:fldChar w:fldCharType="end"/>
        </w:r>
      </w:hyperlink>
    </w:p>
    <w:p w14:paraId="58B24672" w14:textId="7EC3FDCE" w:rsidR="005967CE" w:rsidRDefault="003C36B4">
      <w:pPr>
        <w:pStyle w:val="TOC2"/>
        <w:tabs>
          <w:tab w:val="left" w:pos="1077"/>
        </w:tabs>
        <w:rPr>
          <w:rFonts w:asciiTheme="minorHAnsi" w:eastAsiaTheme="minorEastAsia" w:hAnsiTheme="minorHAnsi" w:cstheme="minorBidi"/>
          <w:noProof/>
          <w:sz w:val="22"/>
          <w:szCs w:val="22"/>
          <w:lang w:eastAsia="en-GB"/>
        </w:rPr>
      </w:pPr>
      <w:hyperlink w:anchor="_Toc98857757" w:history="1">
        <w:r w:rsidR="005967CE" w:rsidRPr="00170B71">
          <w:rPr>
            <w:rStyle w:val="Hyperlink"/>
            <w:noProof/>
          </w:rPr>
          <w:t>6.2.</w:t>
        </w:r>
        <w:r w:rsidR="005967CE">
          <w:rPr>
            <w:rFonts w:asciiTheme="minorHAnsi" w:eastAsiaTheme="minorEastAsia" w:hAnsiTheme="minorHAnsi" w:cstheme="minorBidi"/>
            <w:noProof/>
            <w:sz w:val="22"/>
            <w:szCs w:val="22"/>
            <w:lang w:eastAsia="en-GB"/>
          </w:rPr>
          <w:tab/>
        </w:r>
        <w:r w:rsidR="005967CE" w:rsidRPr="00170B71">
          <w:rPr>
            <w:rStyle w:val="Hyperlink"/>
            <w:noProof/>
          </w:rPr>
          <w:t>Cost to business</w:t>
        </w:r>
        <w:r w:rsidR="005967CE">
          <w:rPr>
            <w:noProof/>
            <w:webHidden/>
          </w:rPr>
          <w:tab/>
        </w:r>
        <w:r w:rsidR="005967CE">
          <w:rPr>
            <w:noProof/>
            <w:webHidden/>
          </w:rPr>
          <w:fldChar w:fldCharType="begin"/>
        </w:r>
        <w:r w:rsidR="005967CE">
          <w:rPr>
            <w:noProof/>
            <w:webHidden/>
          </w:rPr>
          <w:instrText xml:space="preserve"> PAGEREF _Toc98857757 \h </w:instrText>
        </w:r>
        <w:r w:rsidR="005967CE">
          <w:rPr>
            <w:noProof/>
            <w:webHidden/>
          </w:rPr>
        </w:r>
        <w:r w:rsidR="005967CE">
          <w:rPr>
            <w:noProof/>
            <w:webHidden/>
          </w:rPr>
          <w:fldChar w:fldCharType="separate"/>
        </w:r>
        <w:r w:rsidR="005967CE">
          <w:rPr>
            <w:noProof/>
            <w:webHidden/>
          </w:rPr>
          <w:t>33</w:t>
        </w:r>
        <w:r w:rsidR="005967CE">
          <w:rPr>
            <w:noProof/>
            <w:webHidden/>
          </w:rPr>
          <w:fldChar w:fldCharType="end"/>
        </w:r>
      </w:hyperlink>
    </w:p>
    <w:p w14:paraId="4A456A71" w14:textId="6B9391F6" w:rsidR="005967CE" w:rsidRDefault="003C36B4">
      <w:pPr>
        <w:pStyle w:val="TOC3"/>
        <w:tabs>
          <w:tab w:val="left" w:pos="1400"/>
          <w:tab w:val="right" w:leader="dot" w:pos="8608"/>
        </w:tabs>
        <w:rPr>
          <w:rFonts w:asciiTheme="minorHAnsi" w:eastAsiaTheme="minorEastAsia" w:hAnsiTheme="minorHAnsi"/>
          <w:noProof/>
          <w:sz w:val="22"/>
          <w:lang w:eastAsia="en-GB"/>
        </w:rPr>
      </w:pPr>
      <w:hyperlink w:anchor="_Toc98857758" w:history="1">
        <w:r w:rsidR="005967CE" w:rsidRPr="00170B71">
          <w:rPr>
            <w:rStyle w:val="Hyperlink"/>
            <w:rFonts w:eastAsia="MS Gothic"/>
            <w:noProof/>
          </w:rPr>
          <w:t>6.2.1.</w:t>
        </w:r>
        <w:r w:rsidR="005967CE">
          <w:rPr>
            <w:rFonts w:asciiTheme="minorHAnsi" w:eastAsiaTheme="minorEastAsia" w:hAnsiTheme="minorHAnsi"/>
            <w:noProof/>
            <w:sz w:val="22"/>
            <w:lang w:eastAsia="en-GB"/>
          </w:rPr>
          <w:tab/>
        </w:r>
        <w:r w:rsidR="005967CE" w:rsidRPr="00170B71">
          <w:rPr>
            <w:rStyle w:val="Hyperlink"/>
            <w:rFonts w:eastAsia="MS Gothic"/>
            <w:noProof/>
          </w:rPr>
          <w:t>Technological costs and HFC costs for F-gas using industries / equipment operators</w:t>
        </w:r>
        <w:r w:rsidR="005967CE">
          <w:rPr>
            <w:noProof/>
            <w:webHidden/>
          </w:rPr>
          <w:tab/>
        </w:r>
        <w:r w:rsidR="005967CE">
          <w:rPr>
            <w:noProof/>
            <w:webHidden/>
          </w:rPr>
          <w:fldChar w:fldCharType="begin"/>
        </w:r>
        <w:r w:rsidR="005967CE">
          <w:rPr>
            <w:noProof/>
            <w:webHidden/>
          </w:rPr>
          <w:instrText xml:space="preserve"> PAGEREF _Toc98857758 \h </w:instrText>
        </w:r>
        <w:r w:rsidR="005967CE">
          <w:rPr>
            <w:noProof/>
            <w:webHidden/>
          </w:rPr>
        </w:r>
        <w:r w:rsidR="005967CE">
          <w:rPr>
            <w:noProof/>
            <w:webHidden/>
          </w:rPr>
          <w:fldChar w:fldCharType="separate"/>
        </w:r>
        <w:r w:rsidR="005967CE">
          <w:rPr>
            <w:noProof/>
            <w:webHidden/>
          </w:rPr>
          <w:t>33</w:t>
        </w:r>
        <w:r w:rsidR="005967CE">
          <w:rPr>
            <w:noProof/>
            <w:webHidden/>
          </w:rPr>
          <w:fldChar w:fldCharType="end"/>
        </w:r>
      </w:hyperlink>
    </w:p>
    <w:p w14:paraId="64114186" w14:textId="7AFFBE69" w:rsidR="005967CE" w:rsidRDefault="003C36B4">
      <w:pPr>
        <w:pStyle w:val="TOC3"/>
        <w:tabs>
          <w:tab w:val="left" w:pos="1400"/>
          <w:tab w:val="right" w:leader="dot" w:pos="8608"/>
        </w:tabs>
        <w:rPr>
          <w:rFonts w:asciiTheme="minorHAnsi" w:eastAsiaTheme="minorEastAsia" w:hAnsiTheme="minorHAnsi"/>
          <w:noProof/>
          <w:sz w:val="22"/>
          <w:lang w:eastAsia="en-GB"/>
        </w:rPr>
      </w:pPr>
      <w:hyperlink w:anchor="_Toc98857759" w:history="1">
        <w:r w:rsidR="005967CE" w:rsidRPr="00170B71">
          <w:rPr>
            <w:rStyle w:val="Hyperlink"/>
            <w:noProof/>
          </w:rPr>
          <w:t>6.2.2.</w:t>
        </w:r>
        <w:r w:rsidR="005967CE">
          <w:rPr>
            <w:rFonts w:asciiTheme="minorHAnsi" w:eastAsiaTheme="minorEastAsia" w:hAnsiTheme="minorHAnsi"/>
            <w:noProof/>
            <w:sz w:val="22"/>
            <w:lang w:eastAsia="en-GB"/>
          </w:rPr>
          <w:tab/>
        </w:r>
        <w:r w:rsidR="005967CE" w:rsidRPr="00170B71">
          <w:rPr>
            <w:rStyle w:val="Hyperlink"/>
            <w:noProof/>
          </w:rPr>
          <w:t>Administrative Costs</w:t>
        </w:r>
        <w:r w:rsidR="005967CE">
          <w:rPr>
            <w:noProof/>
            <w:webHidden/>
          </w:rPr>
          <w:tab/>
        </w:r>
        <w:r w:rsidR="005967CE">
          <w:rPr>
            <w:noProof/>
            <w:webHidden/>
          </w:rPr>
          <w:fldChar w:fldCharType="begin"/>
        </w:r>
        <w:r w:rsidR="005967CE">
          <w:rPr>
            <w:noProof/>
            <w:webHidden/>
          </w:rPr>
          <w:instrText xml:space="preserve"> PAGEREF _Toc98857759 \h </w:instrText>
        </w:r>
        <w:r w:rsidR="005967CE">
          <w:rPr>
            <w:noProof/>
            <w:webHidden/>
          </w:rPr>
        </w:r>
        <w:r w:rsidR="005967CE">
          <w:rPr>
            <w:noProof/>
            <w:webHidden/>
          </w:rPr>
          <w:fldChar w:fldCharType="separate"/>
        </w:r>
        <w:r w:rsidR="005967CE">
          <w:rPr>
            <w:noProof/>
            <w:webHidden/>
          </w:rPr>
          <w:t>38</w:t>
        </w:r>
        <w:r w:rsidR="005967CE">
          <w:rPr>
            <w:noProof/>
            <w:webHidden/>
          </w:rPr>
          <w:fldChar w:fldCharType="end"/>
        </w:r>
      </w:hyperlink>
    </w:p>
    <w:p w14:paraId="050B8EAB" w14:textId="3CCAB758" w:rsidR="005967CE" w:rsidRDefault="003C36B4">
      <w:pPr>
        <w:pStyle w:val="TOC2"/>
        <w:tabs>
          <w:tab w:val="left" w:pos="1077"/>
        </w:tabs>
        <w:rPr>
          <w:rFonts w:asciiTheme="minorHAnsi" w:eastAsiaTheme="minorEastAsia" w:hAnsiTheme="minorHAnsi" w:cstheme="minorBidi"/>
          <w:noProof/>
          <w:sz w:val="22"/>
          <w:szCs w:val="22"/>
          <w:lang w:eastAsia="en-GB"/>
        </w:rPr>
      </w:pPr>
      <w:hyperlink w:anchor="_Toc98857760" w:history="1">
        <w:r w:rsidR="005967CE" w:rsidRPr="00170B71">
          <w:rPr>
            <w:rStyle w:val="Hyperlink"/>
            <w:noProof/>
          </w:rPr>
          <w:t>6.3.</w:t>
        </w:r>
        <w:r w:rsidR="005967CE">
          <w:rPr>
            <w:rFonts w:asciiTheme="minorHAnsi" w:eastAsiaTheme="minorEastAsia" w:hAnsiTheme="minorHAnsi" w:cstheme="minorBidi"/>
            <w:noProof/>
            <w:sz w:val="22"/>
            <w:szCs w:val="22"/>
            <w:lang w:eastAsia="en-GB"/>
          </w:rPr>
          <w:tab/>
        </w:r>
        <w:r w:rsidR="005967CE" w:rsidRPr="00170B71">
          <w:rPr>
            <w:rStyle w:val="Hyperlink"/>
            <w:noProof/>
          </w:rPr>
          <w:t>Macroeconomic effects</w:t>
        </w:r>
        <w:r w:rsidR="005967CE">
          <w:rPr>
            <w:noProof/>
            <w:webHidden/>
          </w:rPr>
          <w:tab/>
        </w:r>
        <w:r w:rsidR="005967CE">
          <w:rPr>
            <w:noProof/>
            <w:webHidden/>
          </w:rPr>
          <w:fldChar w:fldCharType="begin"/>
        </w:r>
        <w:r w:rsidR="005967CE">
          <w:rPr>
            <w:noProof/>
            <w:webHidden/>
          </w:rPr>
          <w:instrText xml:space="preserve"> PAGEREF _Toc98857760 \h </w:instrText>
        </w:r>
        <w:r w:rsidR="005967CE">
          <w:rPr>
            <w:noProof/>
            <w:webHidden/>
          </w:rPr>
        </w:r>
        <w:r w:rsidR="005967CE">
          <w:rPr>
            <w:noProof/>
            <w:webHidden/>
          </w:rPr>
          <w:fldChar w:fldCharType="separate"/>
        </w:r>
        <w:r w:rsidR="005967CE">
          <w:rPr>
            <w:noProof/>
            <w:webHidden/>
          </w:rPr>
          <w:t>41</w:t>
        </w:r>
        <w:r w:rsidR="005967CE">
          <w:rPr>
            <w:noProof/>
            <w:webHidden/>
          </w:rPr>
          <w:fldChar w:fldCharType="end"/>
        </w:r>
      </w:hyperlink>
    </w:p>
    <w:p w14:paraId="276CF98F" w14:textId="2642FC79" w:rsidR="005967CE" w:rsidRDefault="003C36B4">
      <w:pPr>
        <w:pStyle w:val="TOC3"/>
        <w:tabs>
          <w:tab w:val="left" w:pos="1400"/>
          <w:tab w:val="right" w:leader="dot" w:pos="8608"/>
        </w:tabs>
        <w:rPr>
          <w:rFonts w:asciiTheme="minorHAnsi" w:eastAsiaTheme="minorEastAsia" w:hAnsiTheme="minorHAnsi"/>
          <w:noProof/>
          <w:sz w:val="22"/>
          <w:lang w:eastAsia="en-GB"/>
        </w:rPr>
      </w:pPr>
      <w:hyperlink w:anchor="_Toc98857761" w:history="1">
        <w:r w:rsidR="005967CE" w:rsidRPr="00170B71">
          <w:rPr>
            <w:rStyle w:val="Hyperlink"/>
            <w:noProof/>
          </w:rPr>
          <w:t>6.3.1.</w:t>
        </w:r>
        <w:r w:rsidR="005967CE">
          <w:rPr>
            <w:rFonts w:asciiTheme="minorHAnsi" w:eastAsiaTheme="minorEastAsia" w:hAnsiTheme="minorHAnsi"/>
            <w:noProof/>
            <w:sz w:val="22"/>
            <w:lang w:eastAsia="en-GB"/>
          </w:rPr>
          <w:tab/>
        </w:r>
        <w:r w:rsidR="005967CE" w:rsidRPr="00170B71">
          <w:rPr>
            <w:rStyle w:val="Hyperlink"/>
            <w:noProof/>
          </w:rPr>
          <w:t>Effects on GDP</w:t>
        </w:r>
        <w:r w:rsidR="005967CE">
          <w:rPr>
            <w:noProof/>
            <w:webHidden/>
          </w:rPr>
          <w:tab/>
        </w:r>
        <w:r w:rsidR="005967CE">
          <w:rPr>
            <w:noProof/>
            <w:webHidden/>
          </w:rPr>
          <w:fldChar w:fldCharType="begin"/>
        </w:r>
        <w:r w:rsidR="005967CE">
          <w:rPr>
            <w:noProof/>
            <w:webHidden/>
          </w:rPr>
          <w:instrText xml:space="preserve"> PAGEREF _Toc98857761 \h </w:instrText>
        </w:r>
        <w:r w:rsidR="005967CE">
          <w:rPr>
            <w:noProof/>
            <w:webHidden/>
          </w:rPr>
        </w:r>
        <w:r w:rsidR="005967CE">
          <w:rPr>
            <w:noProof/>
            <w:webHidden/>
          </w:rPr>
          <w:fldChar w:fldCharType="separate"/>
        </w:r>
        <w:r w:rsidR="005967CE">
          <w:rPr>
            <w:noProof/>
            <w:webHidden/>
          </w:rPr>
          <w:t>41</w:t>
        </w:r>
        <w:r w:rsidR="005967CE">
          <w:rPr>
            <w:noProof/>
            <w:webHidden/>
          </w:rPr>
          <w:fldChar w:fldCharType="end"/>
        </w:r>
      </w:hyperlink>
    </w:p>
    <w:p w14:paraId="1AAEA8B6" w14:textId="40301DDD" w:rsidR="005967CE" w:rsidRDefault="003C36B4">
      <w:pPr>
        <w:pStyle w:val="TOC3"/>
        <w:tabs>
          <w:tab w:val="left" w:pos="1400"/>
          <w:tab w:val="right" w:leader="dot" w:pos="8608"/>
        </w:tabs>
        <w:rPr>
          <w:rFonts w:asciiTheme="minorHAnsi" w:eastAsiaTheme="minorEastAsia" w:hAnsiTheme="minorHAnsi"/>
          <w:noProof/>
          <w:sz w:val="22"/>
          <w:lang w:eastAsia="en-GB"/>
        </w:rPr>
      </w:pPr>
      <w:hyperlink w:anchor="_Toc98857762" w:history="1">
        <w:r w:rsidR="005967CE" w:rsidRPr="00170B71">
          <w:rPr>
            <w:rStyle w:val="Hyperlink"/>
            <w:noProof/>
          </w:rPr>
          <w:t>6.3.2.</w:t>
        </w:r>
        <w:r w:rsidR="005967CE">
          <w:rPr>
            <w:rFonts w:asciiTheme="minorHAnsi" w:eastAsiaTheme="minorEastAsia" w:hAnsiTheme="minorHAnsi"/>
            <w:noProof/>
            <w:sz w:val="22"/>
            <w:lang w:eastAsia="en-GB"/>
          </w:rPr>
          <w:tab/>
        </w:r>
        <w:r w:rsidR="005967CE" w:rsidRPr="00170B71">
          <w:rPr>
            <w:rStyle w:val="Hyperlink"/>
            <w:noProof/>
          </w:rPr>
          <w:t>Effects at sectoral level</w:t>
        </w:r>
        <w:r w:rsidR="005967CE">
          <w:rPr>
            <w:noProof/>
            <w:webHidden/>
          </w:rPr>
          <w:tab/>
        </w:r>
        <w:r w:rsidR="005967CE">
          <w:rPr>
            <w:noProof/>
            <w:webHidden/>
          </w:rPr>
          <w:fldChar w:fldCharType="begin"/>
        </w:r>
        <w:r w:rsidR="005967CE">
          <w:rPr>
            <w:noProof/>
            <w:webHidden/>
          </w:rPr>
          <w:instrText xml:space="preserve"> PAGEREF _Toc98857762 \h </w:instrText>
        </w:r>
        <w:r w:rsidR="005967CE">
          <w:rPr>
            <w:noProof/>
            <w:webHidden/>
          </w:rPr>
        </w:r>
        <w:r w:rsidR="005967CE">
          <w:rPr>
            <w:noProof/>
            <w:webHidden/>
          </w:rPr>
          <w:fldChar w:fldCharType="separate"/>
        </w:r>
        <w:r w:rsidR="005967CE">
          <w:rPr>
            <w:noProof/>
            <w:webHidden/>
          </w:rPr>
          <w:t>41</w:t>
        </w:r>
        <w:r w:rsidR="005967CE">
          <w:rPr>
            <w:noProof/>
            <w:webHidden/>
          </w:rPr>
          <w:fldChar w:fldCharType="end"/>
        </w:r>
      </w:hyperlink>
    </w:p>
    <w:p w14:paraId="398B05B7" w14:textId="5AC9F80A" w:rsidR="005967CE" w:rsidRDefault="003C36B4">
      <w:pPr>
        <w:pStyle w:val="TOC3"/>
        <w:tabs>
          <w:tab w:val="left" w:pos="1400"/>
          <w:tab w:val="right" w:leader="dot" w:pos="8608"/>
        </w:tabs>
        <w:rPr>
          <w:rFonts w:asciiTheme="minorHAnsi" w:eastAsiaTheme="minorEastAsia" w:hAnsiTheme="minorHAnsi"/>
          <w:noProof/>
          <w:sz w:val="22"/>
          <w:lang w:eastAsia="en-GB"/>
        </w:rPr>
      </w:pPr>
      <w:hyperlink w:anchor="_Toc98857763" w:history="1">
        <w:r w:rsidR="005967CE" w:rsidRPr="00170B71">
          <w:rPr>
            <w:rStyle w:val="Hyperlink"/>
            <w:noProof/>
          </w:rPr>
          <w:t>6.3.3.</w:t>
        </w:r>
        <w:r w:rsidR="005967CE">
          <w:rPr>
            <w:rFonts w:asciiTheme="minorHAnsi" w:eastAsiaTheme="minorEastAsia" w:hAnsiTheme="minorHAnsi"/>
            <w:noProof/>
            <w:sz w:val="22"/>
            <w:lang w:eastAsia="en-GB"/>
          </w:rPr>
          <w:tab/>
        </w:r>
        <w:r w:rsidR="005967CE" w:rsidRPr="00170B71">
          <w:rPr>
            <w:rStyle w:val="Hyperlink"/>
            <w:noProof/>
          </w:rPr>
          <w:t>Effects on consumption, investment and innovation</w:t>
        </w:r>
        <w:r w:rsidR="005967CE">
          <w:rPr>
            <w:noProof/>
            <w:webHidden/>
          </w:rPr>
          <w:tab/>
        </w:r>
        <w:r w:rsidR="005967CE">
          <w:rPr>
            <w:noProof/>
            <w:webHidden/>
          </w:rPr>
          <w:fldChar w:fldCharType="begin"/>
        </w:r>
        <w:r w:rsidR="005967CE">
          <w:rPr>
            <w:noProof/>
            <w:webHidden/>
          </w:rPr>
          <w:instrText xml:space="preserve"> PAGEREF _Toc98857763 \h </w:instrText>
        </w:r>
        <w:r w:rsidR="005967CE">
          <w:rPr>
            <w:noProof/>
            <w:webHidden/>
          </w:rPr>
        </w:r>
        <w:r w:rsidR="005967CE">
          <w:rPr>
            <w:noProof/>
            <w:webHidden/>
          </w:rPr>
          <w:fldChar w:fldCharType="separate"/>
        </w:r>
        <w:r w:rsidR="005967CE">
          <w:rPr>
            <w:noProof/>
            <w:webHidden/>
          </w:rPr>
          <w:t>42</w:t>
        </w:r>
        <w:r w:rsidR="005967CE">
          <w:rPr>
            <w:noProof/>
            <w:webHidden/>
          </w:rPr>
          <w:fldChar w:fldCharType="end"/>
        </w:r>
      </w:hyperlink>
    </w:p>
    <w:p w14:paraId="25670EC8" w14:textId="603E68ED" w:rsidR="005967CE" w:rsidRDefault="003C36B4">
      <w:pPr>
        <w:pStyle w:val="TOC3"/>
        <w:tabs>
          <w:tab w:val="left" w:pos="1400"/>
          <w:tab w:val="right" w:leader="dot" w:pos="8608"/>
        </w:tabs>
        <w:rPr>
          <w:rFonts w:asciiTheme="minorHAnsi" w:eastAsiaTheme="minorEastAsia" w:hAnsiTheme="minorHAnsi"/>
          <w:noProof/>
          <w:sz w:val="22"/>
          <w:lang w:eastAsia="en-GB"/>
        </w:rPr>
      </w:pPr>
      <w:hyperlink w:anchor="_Toc98857764" w:history="1">
        <w:r w:rsidR="005967CE" w:rsidRPr="00170B71">
          <w:rPr>
            <w:rStyle w:val="Hyperlink"/>
            <w:noProof/>
          </w:rPr>
          <w:t>6.3.4.</w:t>
        </w:r>
        <w:r w:rsidR="005967CE">
          <w:rPr>
            <w:rFonts w:asciiTheme="minorHAnsi" w:eastAsiaTheme="minorEastAsia" w:hAnsiTheme="minorHAnsi"/>
            <w:noProof/>
            <w:sz w:val="22"/>
            <w:lang w:eastAsia="en-GB"/>
          </w:rPr>
          <w:tab/>
        </w:r>
        <w:r w:rsidR="005967CE" w:rsidRPr="00170B71">
          <w:rPr>
            <w:rStyle w:val="Hyperlink"/>
            <w:noProof/>
          </w:rPr>
          <w:t>Distribution of cost across EU regions</w:t>
        </w:r>
        <w:r w:rsidR="005967CE">
          <w:rPr>
            <w:noProof/>
            <w:webHidden/>
          </w:rPr>
          <w:tab/>
        </w:r>
        <w:r w:rsidR="005967CE">
          <w:rPr>
            <w:noProof/>
            <w:webHidden/>
          </w:rPr>
          <w:fldChar w:fldCharType="begin"/>
        </w:r>
        <w:r w:rsidR="005967CE">
          <w:rPr>
            <w:noProof/>
            <w:webHidden/>
          </w:rPr>
          <w:instrText xml:space="preserve"> PAGEREF _Toc98857764 \h </w:instrText>
        </w:r>
        <w:r w:rsidR="005967CE">
          <w:rPr>
            <w:noProof/>
            <w:webHidden/>
          </w:rPr>
        </w:r>
        <w:r w:rsidR="005967CE">
          <w:rPr>
            <w:noProof/>
            <w:webHidden/>
          </w:rPr>
          <w:fldChar w:fldCharType="separate"/>
        </w:r>
        <w:r w:rsidR="005967CE">
          <w:rPr>
            <w:noProof/>
            <w:webHidden/>
          </w:rPr>
          <w:t>42</w:t>
        </w:r>
        <w:r w:rsidR="005967CE">
          <w:rPr>
            <w:noProof/>
            <w:webHidden/>
          </w:rPr>
          <w:fldChar w:fldCharType="end"/>
        </w:r>
      </w:hyperlink>
    </w:p>
    <w:p w14:paraId="7DAEC533" w14:textId="4D38BF35" w:rsidR="005967CE" w:rsidRDefault="003C36B4">
      <w:pPr>
        <w:pStyle w:val="TOC3"/>
        <w:tabs>
          <w:tab w:val="left" w:pos="1400"/>
          <w:tab w:val="right" w:leader="dot" w:pos="8608"/>
        </w:tabs>
        <w:rPr>
          <w:rFonts w:asciiTheme="minorHAnsi" w:eastAsiaTheme="minorEastAsia" w:hAnsiTheme="minorHAnsi"/>
          <w:noProof/>
          <w:sz w:val="22"/>
          <w:lang w:eastAsia="en-GB"/>
        </w:rPr>
      </w:pPr>
      <w:hyperlink w:anchor="_Toc98857765" w:history="1">
        <w:r w:rsidR="005967CE" w:rsidRPr="00170B71">
          <w:rPr>
            <w:rStyle w:val="Hyperlink"/>
            <w:noProof/>
          </w:rPr>
          <w:t>6.3.5.</w:t>
        </w:r>
        <w:r w:rsidR="005967CE">
          <w:rPr>
            <w:rFonts w:asciiTheme="minorHAnsi" w:eastAsiaTheme="minorEastAsia" w:hAnsiTheme="minorHAnsi"/>
            <w:noProof/>
            <w:sz w:val="22"/>
            <w:lang w:eastAsia="en-GB"/>
          </w:rPr>
          <w:tab/>
        </w:r>
        <w:r w:rsidR="005967CE" w:rsidRPr="00170B71">
          <w:rPr>
            <w:rStyle w:val="Hyperlink"/>
            <w:noProof/>
          </w:rPr>
          <w:t>Impact on consumer prices</w:t>
        </w:r>
        <w:r w:rsidR="005967CE">
          <w:rPr>
            <w:noProof/>
            <w:webHidden/>
          </w:rPr>
          <w:tab/>
        </w:r>
        <w:r w:rsidR="005967CE">
          <w:rPr>
            <w:noProof/>
            <w:webHidden/>
          </w:rPr>
          <w:fldChar w:fldCharType="begin"/>
        </w:r>
        <w:r w:rsidR="005967CE">
          <w:rPr>
            <w:noProof/>
            <w:webHidden/>
          </w:rPr>
          <w:instrText xml:space="preserve"> PAGEREF _Toc98857765 \h </w:instrText>
        </w:r>
        <w:r w:rsidR="005967CE">
          <w:rPr>
            <w:noProof/>
            <w:webHidden/>
          </w:rPr>
        </w:r>
        <w:r w:rsidR="005967CE">
          <w:rPr>
            <w:noProof/>
            <w:webHidden/>
          </w:rPr>
          <w:fldChar w:fldCharType="separate"/>
        </w:r>
        <w:r w:rsidR="005967CE">
          <w:rPr>
            <w:noProof/>
            <w:webHidden/>
          </w:rPr>
          <w:t>43</w:t>
        </w:r>
        <w:r w:rsidR="005967CE">
          <w:rPr>
            <w:noProof/>
            <w:webHidden/>
          </w:rPr>
          <w:fldChar w:fldCharType="end"/>
        </w:r>
      </w:hyperlink>
    </w:p>
    <w:p w14:paraId="34D03EB9" w14:textId="61D5C528" w:rsidR="005967CE" w:rsidRDefault="003C36B4">
      <w:pPr>
        <w:pStyle w:val="TOC3"/>
        <w:tabs>
          <w:tab w:val="left" w:pos="1400"/>
          <w:tab w:val="right" w:leader="dot" w:pos="8608"/>
        </w:tabs>
        <w:rPr>
          <w:rFonts w:asciiTheme="minorHAnsi" w:eastAsiaTheme="minorEastAsia" w:hAnsiTheme="minorHAnsi"/>
          <w:noProof/>
          <w:sz w:val="22"/>
          <w:lang w:eastAsia="en-GB"/>
        </w:rPr>
      </w:pPr>
      <w:hyperlink w:anchor="_Toc98857766" w:history="1">
        <w:r w:rsidR="005967CE" w:rsidRPr="00170B71">
          <w:rPr>
            <w:rStyle w:val="Hyperlink"/>
            <w:noProof/>
          </w:rPr>
          <w:t>6.3.6.</w:t>
        </w:r>
        <w:r w:rsidR="005967CE">
          <w:rPr>
            <w:rFonts w:asciiTheme="minorHAnsi" w:eastAsiaTheme="minorEastAsia" w:hAnsiTheme="minorHAnsi"/>
            <w:noProof/>
            <w:sz w:val="22"/>
            <w:lang w:eastAsia="en-GB"/>
          </w:rPr>
          <w:tab/>
        </w:r>
        <w:r w:rsidR="005967CE" w:rsidRPr="00170B71">
          <w:rPr>
            <w:rStyle w:val="Hyperlink"/>
            <w:noProof/>
          </w:rPr>
          <w:t>Distribution of cost across business size</w:t>
        </w:r>
        <w:r w:rsidR="005967CE">
          <w:rPr>
            <w:noProof/>
            <w:webHidden/>
          </w:rPr>
          <w:tab/>
        </w:r>
        <w:r w:rsidR="005967CE">
          <w:rPr>
            <w:noProof/>
            <w:webHidden/>
          </w:rPr>
          <w:fldChar w:fldCharType="begin"/>
        </w:r>
        <w:r w:rsidR="005967CE">
          <w:rPr>
            <w:noProof/>
            <w:webHidden/>
          </w:rPr>
          <w:instrText xml:space="preserve"> PAGEREF _Toc98857766 \h </w:instrText>
        </w:r>
        <w:r w:rsidR="005967CE">
          <w:rPr>
            <w:noProof/>
            <w:webHidden/>
          </w:rPr>
        </w:r>
        <w:r w:rsidR="005967CE">
          <w:rPr>
            <w:noProof/>
            <w:webHidden/>
          </w:rPr>
          <w:fldChar w:fldCharType="separate"/>
        </w:r>
        <w:r w:rsidR="005967CE">
          <w:rPr>
            <w:noProof/>
            <w:webHidden/>
          </w:rPr>
          <w:t>44</w:t>
        </w:r>
        <w:r w:rsidR="005967CE">
          <w:rPr>
            <w:noProof/>
            <w:webHidden/>
          </w:rPr>
          <w:fldChar w:fldCharType="end"/>
        </w:r>
      </w:hyperlink>
    </w:p>
    <w:p w14:paraId="3403092A" w14:textId="28A41D94" w:rsidR="005967CE" w:rsidRDefault="003C36B4">
      <w:pPr>
        <w:pStyle w:val="TOC3"/>
        <w:tabs>
          <w:tab w:val="left" w:pos="1400"/>
          <w:tab w:val="right" w:leader="dot" w:pos="8608"/>
        </w:tabs>
        <w:rPr>
          <w:rFonts w:asciiTheme="minorHAnsi" w:eastAsiaTheme="minorEastAsia" w:hAnsiTheme="minorHAnsi"/>
          <w:noProof/>
          <w:sz w:val="22"/>
          <w:lang w:eastAsia="en-GB"/>
        </w:rPr>
      </w:pPr>
      <w:hyperlink w:anchor="_Toc98857767" w:history="1">
        <w:r w:rsidR="005967CE" w:rsidRPr="00170B71">
          <w:rPr>
            <w:rStyle w:val="Hyperlink"/>
            <w:noProof/>
          </w:rPr>
          <w:t>6.3.7.</w:t>
        </w:r>
        <w:r w:rsidR="005967CE">
          <w:rPr>
            <w:rFonts w:asciiTheme="minorHAnsi" w:eastAsiaTheme="minorEastAsia" w:hAnsiTheme="minorHAnsi"/>
            <w:noProof/>
            <w:sz w:val="22"/>
            <w:lang w:eastAsia="en-GB"/>
          </w:rPr>
          <w:tab/>
        </w:r>
        <w:r w:rsidR="005967CE" w:rsidRPr="00170B71">
          <w:rPr>
            <w:rStyle w:val="Hyperlink"/>
            <w:noProof/>
          </w:rPr>
          <w:t>Impact on competitiveness</w:t>
        </w:r>
        <w:r w:rsidR="005967CE">
          <w:rPr>
            <w:noProof/>
            <w:webHidden/>
          </w:rPr>
          <w:tab/>
        </w:r>
        <w:r w:rsidR="005967CE">
          <w:rPr>
            <w:noProof/>
            <w:webHidden/>
          </w:rPr>
          <w:fldChar w:fldCharType="begin"/>
        </w:r>
        <w:r w:rsidR="005967CE">
          <w:rPr>
            <w:noProof/>
            <w:webHidden/>
          </w:rPr>
          <w:instrText xml:space="preserve"> PAGEREF _Toc98857767 \h </w:instrText>
        </w:r>
        <w:r w:rsidR="005967CE">
          <w:rPr>
            <w:noProof/>
            <w:webHidden/>
          </w:rPr>
        </w:r>
        <w:r w:rsidR="005967CE">
          <w:rPr>
            <w:noProof/>
            <w:webHidden/>
          </w:rPr>
          <w:fldChar w:fldCharType="separate"/>
        </w:r>
        <w:r w:rsidR="005967CE">
          <w:rPr>
            <w:noProof/>
            <w:webHidden/>
          </w:rPr>
          <w:t>45</w:t>
        </w:r>
        <w:r w:rsidR="005967CE">
          <w:rPr>
            <w:noProof/>
            <w:webHidden/>
          </w:rPr>
          <w:fldChar w:fldCharType="end"/>
        </w:r>
      </w:hyperlink>
    </w:p>
    <w:p w14:paraId="73834E72" w14:textId="12D4AC8D" w:rsidR="005967CE" w:rsidRDefault="003C36B4">
      <w:pPr>
        <w:pStyle w:val="TOC3"/>
        <w:tabs>
          <w:tab w:val="left" w:pos="1400"/>
          <w:tab w:val="right" w:leader="dot" w:pos="8608"/>
        </w:tabs>
        <w:rPr>
          <w:rFonts w:asciiTheme="minorHAnsi" w:eastAsiaTheme="minorEastAsia" w:hAnsiTheme="minorHAnsi"/>
          <w:noProof/>
          <w:sz w:val="22"/>
          <w:lang w:eastAsia="en-GB"/>
        </w:rPr>
      </w:pPr>
      <w:hyperlink w:anchor="_Toc98857768" w:history="1">
        <w:r w:rsidR="005967CE" w:rsidRPr="00170B71">
          <w:rPr>
            <w:rStyle w:val="Hyperlink"/>
            <w:noProof/>
          </w:rPr>
          <w:t>6.3.8.</w:t>
        </w:r>
        <w:r w:rsidR="005967CE">
          <w:rPr>
            <w:rFonts w:asciiTheme="minorHAnsi" w:eastAsiaTheme="minorEastAsia" w:hAnsiTheme="minorHAnsi"/>
            <w:noProof/>
            <w:sz w:val="22"/>
            <w:lang w:eastAsia="en-GB"/>
          </w:rPr>
          <w:tab/>
        </w:r>
        <w:r w:rsidR="005967CE" w:rsidRPr="00170B71">
          <w:rPr>
            <w:rStyle w:val="Hyperlink"/>
            <w:noProof/>
          </w:rPr>
          <w:t>Impact on trade flows (imports and export)</w:t>
        </w:r>
        <w:r w:rsidR="005967CE">
          <w:rPr>
            <w:noProof/>
            <w:webHidden/>
          </w:rPr>
          <w:tab/>
        </w:r>
        <w:r w:rsidR="005967CE">
          <w:rPr>
            <w:noProof/>
            <w:webHidden/>
          </w:rPr>
          <w:fldChar w:fldCharType="begin"/>
        </w:r>
        <w:r w:rsidR="005967CE">
          <w:rPr>
            <w:noProof/>
            <w:webHidden/>
          </w:rPr>
          <w:instrText xml:space="preserve"> PAGEREF _Toc98857768 \h </w:instrText>
        </w:r>
        <w:r w:rsidR="005967CE">
          <w:rPr>
            <w:noProof/>
            <w:webHidden/>
          </w:rPr>
        </w:r>
        <w:r w:rsidR="005967CE">
          <w:rPr>
            <w:noProof/>
            <w:webHidden/>
          </w:rPr>
          <w:fldChar w:fldCharType="separate"/>
        </w:r>
        <w:r w:rsidR="005967CE">
          <w:rPr>
            <w:noProof/>
            <w:webHidden/>
          </w:rPr>
          <w:t>45</w:t>
        </w:r>
        <w:r w:rsidR="005967CE">
          <w:rPr>
            <w:noProof/>
            <w:webHidden/>
          </w:rPr>
          <w:fldChar w:fldCharType="end"/>
        </w:r>
      </w:hyperlink>
    </w:p>
    <w:p w14:paraId="0F65627A" w14:textId="26CA41CE" w:rsidR="005967CE" w:rsidRDefault="003C36B4">
      <w:pPr>
        <w:pStyle w:val="TOC2"/>
        <w:tabs>
          <w:tab w:val="left" w:pos="1077"/>
        </w:tabs>
        <w:rPr>
          <w:rFonts w:asciiTheme="minorHAnsi" w:eastAsiaTheme="minorEastAsia" w:hAnsiTheme="minorHAnsi" w:cstheme="minorBidi"/>
          <w:noProof/>
          <w:sz w:val="22"/>
          <w:szCs w:val="22"/>
          <w:lang w:eastAsia="en-GB"/>
        </w:rPr>
      </w:pPr>
      <w:hyperlink w:anchor="_Toc98857769" w:history="1">
        <w:r w:rsidR="005967CE" w:rsidRPr="00170B71">
          <w:rPr>
            <w:rStyle w:val="Hyperlink"/>
            <w:noProof/>
          </w:rPr>
          <w:t>6.4.</w:t>
        </w:r>
        <w:r w:rsidR="005967CE">
          <w:rPr>
            <w:rFonts w:asciiTheme="minorHAnsi" w:eastAsiaTheme="minorEastAsia" w:hAnsiTheme="minorHAnsi" w:cstheme="minorBidi"/>
            <w:noProof/>
            <w:sz w:val="22"/>
            <w:szCs w:val="22"/>
            <w:lang w:eastAsia="en-GB"/>
          </w:rPr>
          <w:tab/>
        </w:r>
        <w:r w:rsidR="005967CE" w:rsidRPr="00170B71">
          <w:rPr>
            <w:rStyle w:val="Hyperlink"/>
            <w:noProof/>
          </w:rPr>
          <w:t>Social effects</w:t>
        </w:r>
        <w:r w:rsidR="005967CE">
          <w:rPr>
            <w:noProof/>
            <w:webHidden/>
          </w:rPr>
          <w:tab/>
        </w:r>
        <w:r w:rsidR="005967CE">
          <w:rPr>
            <w:noProof/>
            <w:webHidden/>
          </w:rPr>
          <w:fldChar w:fldCharType="begin"/>
        </w:r>
        <w:r w:rsidR="005967CE">
          <w:rPr>
            <w:noProof/>
            <w:webHidden/>
          </w:rPr>
          <w:instrText xml:space="preserve"> PAGEREF _Toc98857769 \h </w:instrText>
        </w:r>
        <w:r w:rsidR="005967CE">
          <w:rPr>
            <w:noProof/>
            <w:webHidden/>
          </w:rPr>
        </w:r>
        <w:r w:rsidR="005967CE">
          <w:rPr>
            <w:noProof/>
            <w:webHidden/>
          </w:rPr>
          <w:fldChar w:fldCharType="separate"/>
        </w:r>
        <w:r w:rsidR="005967CE">
          <w:rPr>
            <w:noProof/>
            <w:webHidden/>
          </w:rPr>
          <w:t>46</w:t>
        </w:r>
        <w:r w:rsidR="005967CE">
          <w:rPr>
            <w:noProof/>
            <w:webHidden/>
          </w:rPr>
          <w:fldChar w:fldCharType="end"/>
        </w:r>
      </w:hyperlink>
    </w:p>
    <w:p w14:paraId="3F7FADEC" w14:textId="456C7CFB" w:rsidR="005967CE" w:rsidRDefault="003C36B4">
      <w:pPr>
        <w:pStyle w:val="TOC3"/>
        <w:tabs>
          <w:tab w:val="left" w:pos="1400"/>
          <w:tab w:val="right" w:leader="dot" w:pos="8608"/>
        </w:tabs>
        <w:rPr>
          <w:rFonts w:asciiTheme="minorHAnsi" w:eastAsiaTheme="minorEastAsia" w:hAnsiTheme="minorHAnsi"/>
          <w:noProof/>
          <w:sz w:val="22"/>
          <w:lang w:eastAsia="en-GB"/>
        </w:rPr>
      </w:pPr>
      <w:hyperlink w:anchor="_Toc98857770" w:history="1">
        <w:r w:rsidR="005967CE" w:rsidRPr="00170B71">
          <w:rPr>
            <w:rStyle w:val="Hyperlink"/>
            <w:noProof/>
          </w:rPr>
          <w:t>6.4.1.</w:t>
        </w:r>
        <w:r w:rsidR="005967CE">
          <w:rPr>
            <w:rFonts w:asciiTheme="minorHAnsi" w:eastAsiaTheme="minorEastAsia" w:hAnsiTheme="minorHAnsi"/>
            <w:noProof/>
            <w:sz w:val="22"/>
            <w:lang w:eastAsia="en-GB"/>
          </w:rPr>
          <w:tab/>
        </w:r>
        <w:r w:rsidR="005967CE" w:rsidRPr="00170B71">
          <w:rPr>
            <w:rStyle w:val="Hyperlink"/>
            <w:noProof/>
          </w:rPr>
          <w:t>Effects on employment</w:t>
        </w:r>
        <w:r w:rsidR="005967CE">
          <w:rPr>
            <w:noProof/>
            <w:webHidden/>
          </w:rPr>
          <w:tab/>
        </w:r>
        <w:r w:rsidR="005967CE">
          <w:rPr>
            <w:noProof/>
            <w:webHidden/>
          </w:rPr>
          <w:fldChar w:fldCharType="begin"/>
        </w:r>
        <w:r w:rsidR="005967CE">
          <w:rPr>
            <w:noProof/>
            <w:webHidden/>
          </w:rPr>
          <w:instrText xml:space="preserve"> PAGEREF _Toc98857770 \h </w:instrText>
        </w:r>
        <w:r w:rsidR="005967CE">
          <w:rPr>
            <w:noProof/>
            <w:webHidden/>
          </w:rPr>
        </w:r>
        <w:r w:rsidR="005967CE">
          <w:rPr>
            <w:noProof/>
            <w:webHidden/>
          </w:rPr>
          <w:fldChar w:fldCharType="separate"/>
        </w:r>
        <w:r w:rsidR="005967CE">
          <w:rPr>
            <w:noProof/>
            <w:webHidden/>
          </w:rPr>
          <w:t>46</w:t>
        </w:r>
        <w:r w:rsidR="005967CE">
          <w:rPr>
            <w:noProof/>
            <w:webHidden/>
          </w:rPr>
          <w:fldChar w:fldCharType="end"/>
        </w:r>
      </w:hyperlink>
    </w:p>
    <w:p w14:paraId="20401B24" w14:textId="47402E6F" w:rsidR="005967CE" w:rsidRDefault="003C36B4">
      <w:pPr>
        <w:pStyle w:val="TOC1"/>
        <w:rPr>
          <w:rFonts w:asciiTheme="minorHAnsi" w:eastAsiaTheme="minorEastAsia" w:hAnsiTheme="minorHAnsi" w:cstheme="minorBidi"/>
          <w:caps w:val="0"/>
          <w:noProof/>
          <w:sz w:val="22"/>
          <w:szCs w:val="22"/>
          <w:lang w:eastAsia="en-GB"/>
        </w:rPr>
      </w:pPr>
      <w:hyperlink w:anchor="_Toc98857771" w:history="1">
        <w:r w:rsidR="005967CE" w:rsidRPr="00170B71">
          <w:rPr>
            <w:rStyle w:val="Hyperlink"/>
            <w:noProof/>
          </w:rPr>
          <w:t>7.</w:t>
        </w:r>
        <w:r w:rsidR="005967CE">
          <w:rPr>
            <w:rFonts w:asciiTheme="minorHAnsi" w:eastAsiaTheme="minorEastAsia" w:hAnsiTheme="minorHAnsi" w:cstheme="minorBidi"/>
            <w:caps w:val="0"/>
            <w:noProof/>
            <w:sz w:val="22"/>
            <w:szCs w:val="22"/>
            <w:lang w:eastAsia="en-GB"/>
          </w:rPr>
          <w:tab/>
        </w:r>
        <w:r w:rsidR="005967CE" w:rsidRPr="00170B71">
          <w:rPr>
            <w:rStyle w:val="Hyperlink"/>
            <w:noProof/>
          </w:rPr>
          <w:t>How do the options compare?</w:t>
        </w:r>
        <w:r w:rsidR="005967CE">
          <w:rPr>
            <w:noProof/>
            <w:webHidden/>
          </w:rPr>
          <w:tab/>
        </w:r>
        <w:r w:rsidR="005967CE">
          <w:rPr>
            <w:noProof/>
            <w:webHidden/>
          </w:rPr>
          <w:fldChar w:fldCharType="begin"/>
        </w:r>
        <w:r w:rsidR="005967CE">
          <w:rPr>
            <w:noProof/>
            <w:webHidden/>
          </w:rPr>
          <w:instrText xml:space="preserve"> PAGEREF _Toc98857771 \h </w:instrText>
        </w:r>
        <w:r w:rsidR="005967CE">
          <w:rPr>
            <w:noProof/>
            <w:webHidden/>
          </w:rPr>
        </w:r>
        <w:r w:rsidR="005967CE">
          <w:rPr>
            <w:noProof/>
            <w:webHidden/>
          </w:rPr>
          <w:fldChar w:fldCharType="separate"/>
        </w:r>
        <w:r w:rsidR="005967CE">
          <w:rPr>
            <w:noProof/>
            <w:webHidden/>
          </w:rPr>
          <w:t>46</w:t>
        </w:r>
        <w:r w:rsidR="005967CE">
          <w:rPr>
            <w:noProof/>
            <w:webHidden/>
          </w:rPr>
          <w:fldChar w:fldCharType="end"/>
        </w:r>
      </w:hyperlink>
    </w:p>
    <w:p w14:paraId="565DF6D7" w14:textId="33E76A1B" w:rsidR="005967CE" w:rsidRDefault="003C36B4">
      <w:pPr>
        <w:pStyle w:val="TOC1"/>
        <w:rPr>
          <w:rFonts w:asciiTheme="minorHAnsi" w:eastAsiaTheme="minorEastAsia" w:hAnsiTheme="minorHAnsi" w:cstheme="minorBidi"/>
          <w:caps w:val="0"/>
          <w:noProof/>
          <w:sz w:val="22"/>
          <w:szCs w:val="22"/>
          <w:lang w:eastAsia="en-GB"/>
        </w:rPr>
      </w:pPr>
      <w:hyperlink w:anchor="_Toc98857772" w:history="1">
        <w:r w:rsidR="005967CE" w:rsidRPr="00170B71">
          <w:rPr>
            <w:rStyle w:val="Hyperlink"/>
            <w:noProof/>
          </w:rPr>
          <w:t>8.</w:t>
        </w:r>
        <w:r w:rsidR="005967CE">
          <w:rPr>
            <w:rFonts w:asciiTheme="minorHAnsi" w:eastAsiaTheme="minorEastAsia" w:hAnsiTheme="minorHAnsi" w:cstheme="minorBidi"/>
            <w:caps w:val="0"/>
            <w:noProof/>
            <w:sz w:val="22"/>
            <w:szCs w:val="22"/>
            <w:lang w:eastAsia="en-GB"/>
          </w:rPr>
          <w:tab/>
        </w:r>
        <w:r w:rsidR="005967CE" w:rsidRPr="00170B71">
          <w:rPr>
            <w:rStyle w:val="Hyperlink"/>
            <w:noProof/>
          </w:rPr>
          <w:t>Preferred option</w:t>
        </w:r>
        <w:r w:rsidR="005967CE">
          <w:rPr>
            <w:noProof/>
            <w:webHidden/>
          </w:rPr>
          <w:tab/>
        </w:r>
        <w:r w:rsidR="005967CE">
          <w:rPr>
            <w:noProof/>
            <w:webHidden/>
          </w:rPr>
          <w:fldChar w:fldCharType="begin"/>
        </w:r>
        <w:r w:rsidR="005967CE">
          <w:rPr>
            <w:noProof/>
            <w:webHidden/>
          </w:rPr>
          <w:instrText xml:space="preserve"> PAGEREF _Toc98857772 \h </w:instrText>
        </w:r>
        <w:r w:rsidR="005967CE">
          <w:rPr>
            <w:noProof/>
            <w:webHidden/>
          </w:rPr>
        </w:r>
        <w:r w:rsidR="005967CE">
          <w:rPr>
            <w:noProof/>
            <w:webHidden/>
          </w:rPr>
          <w:fldChar w:fldCharType="separate"/>
        </w:r>
        <w:r w:rsidR="005967CE">
          <w:rPr>
            <w:noProof/>
            <w:webHidden/>
          </w:rPr>
          <w:t>49</w:t>
        </w:r>
        <w:r w:rsidR="005967CE">
          <w:rPr>
            <w:noProof/>
            <w:webHidden/>
          </w:rPr>
          <w:fldChar w:fldCharType="end"/>
        </w:r>
      </w:hyperlink>
    </w:p>
    <w:p w14:paraId="6DD369DF" w14:textId="434EE019" w:rsidR="005967CE" w:rsidRDefault="003C36B4">
      <w:pPr>
        <w:pStyle w:val="TOC1"/>
        <w:rPr>
          <w:rFonts w:asciiTheme="minorHAnsi" w:eastAsiaTheme="minorEastAsia" w:hAnsiTheme="minorHAnsi" w:cstheme="minorBidi"/>
          <w:caps w:val="0"/>
          <w:noProof/>
          <w:sz w:val="22"/>
          <w:szCs w:val="22"/>
          <w:lang w:eastAsia="en-GB"/>
        </w:rPr>
      </w:pPr>
      <w:hyperlink w:anchor="_Toc98857773" w:history="1">
        <w:r w:rsidR="005967CE" w:rsidRPr="00170B71">
          <w:rPr>
            <w:rStyle w:val="Hyperlink"/>
            <w:noProof/>
          </w:rPr>
          <w:t>9.</w:t>
        </w:r>
        <w:r w:rsidR="005967CE">
          <w:rPr>
            <w:rFonts w:asciiTheme="minorHAnsi" w:eastAsiaTheme="minorEastAsia" w:hAnsiTheme="minorHAnsi" w:cstheme="minorBidi"/>
            <w:caps w:val="0"/>
            <w:noProof/>
            <w:sz w:val="22"/>
            <w:szCs w:val="22"/>
            <w:lang w:eastAsia="en-GB"/>
          </w:rPr>
          <w:tab/>
        </w:r>
        <w:r w:rsidR="005967CE" w:rsidRPr="00170B71">
          <w:rPr>
            <w:rStyle w:val="Hyperlink"/>
            <w:noProof/>
          </w:rPr>
          <w:t>How will actual impacts be monitored and evaluated?</w:t>
        </w:r>
        <w:r w:rsidR="005967CE">
          <w:rPr>
            <w:noProof/>
            <w:webHidden/>
          </w:rPr>
          <w:tab/>
        </w:r>
        <w:r w:rsidR="005967CE">
          <w:rPr>
            <w:noProof/>
            <w:webHidden/>
          </w:rPr>
          <w:fldChar w:fldCharType="begin"/>
        </w:r>
        <w:r w:rsidR="005967CE">
          <w:rPr>
            <w:noProof/>
            <w:webHidden/>
          </w:rPr>
          <w:instrText xml:space="preserve"> PAGEREF _Toc98857773 \h </w:instrText>
        </w:r>
        <w:r w:rsidR="005967CE">
          <w:rPr>
            <w:noProof/>
            <w:webHidden/>
          </w:rPr>
        </w:r>
        <w:r w:rsidR="005967CE">
          <w:rPr>
            <w:noProof/>
            <w:webHidden/>
          </w:rPr>
          <w:fldChar w:fldCharType="separate"/>
        </w:r>
        <w:r w:rsidR="005967CE">
          <w:rPr>
            <w:noProof/>
            <w:webHidden/>
          </w:rPr>
          <w:t>52</w:t>
        </w:r>
        <w:r w:rsidR="005967CE">
          <w:rPr>
            <w:noProof/>
            <w:webHidden/>
          </w:rPr>
          <w:fldChar w:fldCharType="end"/>
        </w:r>
      </w:hyperlink>
    </w:p>
    <w:p w14:paraId="6291930F" w14:textId="111F0636" w:rsidR="005967CE" w:rsidRDefault="003C36B4">
      <w:pPr>
        <w:pStyle w:val="TOC1"/>
        <w:rPr>
          <w:rFonts w:asciiTheme="minorHAnsi" w:eastAsiaTheme="minorEastAsia" w:hAnsiTheme="minorHAnsi" w:cstheme="minorBidi"/>
          <w:caps w:val="0"/>
          <w:noProof/>
          <w:sz w:val="22"/>
          <w:szCs w:val="22"/>
          <w:lang w:eastAsia="en-GB"/>
        </w:rPr>
      </w:pPr>
      <w:hyperlink w:anchor="_Toc98857774" w:history="1">
        <w:r w:rsidR="005967CE" w:rsidRPr="00170B71">
          <w:rPr>
            <w:rStyle w:val="Hyperlink"/>
            <w:noProof/>
          </w:rPr>
          <w:t>A1</w:t>
        </w:r>
        <w:r w:rsidR="005967CE">
          <w:rPr>
            <w:rFonts w:asciiTheme="minorHAnsi" w:eastAsiaTheme="minorEastAsia" w:hAnsiTheme="minorHAnsi" w:cstheme="minorBidi"/>
            <w:caps w:val="0"/>
            <w:noProof/>
            <w:sz w:val="22"/>
            <w:szCs w:val="22"/>
            <w:lang w:eastAsia="en-GB"/>
          </w:rPr>
          <w:tab/>
        </w:r>
        <w:r w:rsidR="005967CE" w:rsidRPr="00170B71">
          <w:rPr>
            <w:rStyle w:val="Hyperlink"/>
            <w:noProof/>
          </w:rPr>
          <w:t>Procedural information</w:t>
        </w:r>
        <w:r w:rsidR="005967CE">
          <w:rPr>
            <w:noProof/>
            <w:webHidden/>
          </w:rPr>
          <w:tab/>
        </w:r>
        <w:r w:rsidR="005967CE">
          <w:rPr>
            <w:noProof/>
            <w:webHidden/>
          </w:rPr>
          <w:fldChar w:fldCharType="begin"/>
        </w:r>
        <w:r w:rsidR="005967CE">
          <w:rPr>
            <w:noProof/>
            <w:webHidden/>
          </w:rPr>
          <w:instrText xml:space="preserve"> PAGEREF _Toc98857774 \h </w:instrText>
        </w:r>
        <w:r w:rsidR="005967CE">
          <w:rPr>
            <w:noProof/>
            <w:webHidden/>
          </w:rPr>
        </w:r>
        <w:r w:rsidR="005967CE">
          <w:rPr>
            <w:noProof/>
            <w:webHidden/>
          </w:rPr>
          <w:fldChar w:fldCharType="separate"/>
        </w:r>
        <w:r w:rsidR="005967CE">
          <w:rPr>
            <w:noProof/>
            <w:webHidden/>
          </w:rPr>
          <w:t>54</w:t>
        </w:r>
        <w:r w:rsidR="005967CE">
          <w:rPr>
            <w:noProof/>
            <w:webHidden/>
          </w:rPr>
          <w:fldChar w:fldCharType="end"/>
        </w:r>
      </w:hyperlink>
    </w:p>
    <w:p w14:paraId="05C39AD1" w14:textId="21390217" w:rsidR="005967CE" w:rsidRDefault="003C36B4">
      <w:pPr>
        <w:pStyle w:val="TOC1"/>
        <w:rPr>
          <w:rFonts w:asciiTheme="minorHAnsi" w:eastAsiaTheme="minorEastAsia" w:hAnsiTheme="minorHAnsi" w:cstheme="minorBidi"/>
          <w:caps w:val="0"/>
          <w:noProof/>
          <w:sz w:val="22"/>
          <w:szCs w:val="22"/>
          <w:lang w:eastAsia="en-GB"/>
        </w:rPr>
      </w:pPr>
      <w:hyperlink w:anchor="_Toc98857775" w:history="1">
        <w:r w:rsidR="005967CE" w:rsidRPr="00170B71">
          <w:rPr>
            <w:rStyle w:val="Hyperlink"/>
            <w:noProof/>
          </w:rPr>
          <w:t>A2</w:t>
        </w:r>
        <w:r w:rsidR="005967CE">
          <w:rPr>
            <w:rFonts w:asciiTheme="minorHAnsi" w:eastAsiaTheme="minorEastAsia" w:hAnsiTheme="minorHAnsi" w:cstheme="minorBidi"/>
            <w:caps w:val="0"/>
            <w:noProof/>
            <w:sz w:val="22"/>
            <w:szCs w:val="22"/>
            <w:lang w:eastAsia="en-GB"/>
          </w:rPr>
          <w:tab/>
        </w:r>
        <w:r w:rsidR="005967CE" w:rsidRPr="00170B71">
          <w:rPr>
            <w:rStyle w:val="Hyperlink"/>
            <w:noProof/>
          </w:rPr>
          <w:t>Synopsis report of stakeholder consultations</w:t>
        </w:r>
        <w:r w:rsidR="005967CE">
          <w:rPr>
            <w:noProof/>
            <w:webHidden/>
          </w:rPr>
          <w:tab/>
        </w:r>
        <w:r w:rsidR="005967CE">
          <w:rPr>
            <w:noProof/>
            <w:webHidden/>
          </w:rPr>
          <w:fldChar w:fldCharType="begin"/>
        </w:r>
        <w:r w:rsidR="005967CE">
          <w:rPr>
            <w:noProof/>
            <w:webHidden/>
          </w:rPr>
          <w:instrText xml:space="preserve"> PAGEREF _Toc98857775 \h </w:instrText>
        </w:r>
        <w:r w:rsidR="005967CE">
          <w:rPr>
            <w:noProof/>
            <w:webHidden/>
          </w:rPr>
        </w:r>
        <w:r w:rsidR="005967CE">
          <w:rPr>
            <w:noProof/>
            <w:webHidden/>
          </w:rPr>
          <w:fldChar w:fldCharType="separate"/>
        </w:r>
        <w:r w:rsidR="005967CE">
          <w:rPr>
            <w:noProof/>
            <w:webHidden/>
          </w:rPr>
          <w:t>64</w:t>
        </w:r>
        <w:r w:rsidR="005967CE">
          <w:rPr>
            <w:noProof/>
            <w:webHidden/>
          </w:rPr>
          <w:fldChar w:fldCharType="end"/>
        </w:r>
      </w:hyperlink>
    </w:p>
    <w:p w14:paraId="3C16FAC6" w14:textId="2E38FEF8" w:rsidR="005967CE" w:rsidRDefault="003C36B4">
      <w:pPr>
        <w:pStyle w:val="TOC1"/>
        <w:rPr>
          <w:rFonts w:asciiTheme="minorHAnsi" w:eastAsiaTheme="minorEastAsia" w:hAnsiTheme="minorHAnsi" w:cstheme="minorBidi"/>
          <w:caps w:val="0"/>
          <w:noProof/>
          <w:sz w:val="22"/>
          <w:szCs w:val="22"/>
          <w:lang w:eastAsia="en-GB"/>
        </w:rPr>
      </w:pPr>
      <w:hyperlink w:anchor="_Toc98857776" w:history="1">
        <w:r w:rsidR="005967CE" w:rsidRPr="00170B71">
          <w:rPr>
            <w:rStyle w:val="Hyperlink"/>
            <w:noProof/>
          </w:rPr>
          <w:t>A3</w:t>
        </w:r>
        <w:r w:rsidR="005967CE">
          <w:rPr>
            <w:rFonts w:asciiTheme="minorHAnsi" w:eastAsiaTheme="minorEastAsia" w:hAnsiTheme="minorHAnsi" w:cstheme="minorBidi"/>
            <w:caps w:val="0"/>
            <w:noProof/>
            <w:sz w:val="22"/>
            <w:szCs w:val="22"/>
            <w:lang w:eastAsia="en-GB"/>
          </w:rPr>
          <w:tab/>
        </w:r>
        <w:r w:rsidR="005967CE" w:rsidRPr="00170B71">
          <w:rPr>
            <w:rStyle w:val="Hyperlink"/>
            <w:noProof/>
          </w:rPr>
          <w:t>Who is affected and how?</w:t>
        </w:r>
        <w:r w:rsidR="005967CE">
          <w:rPr>
            <w:noProof/>
            <w:webHidden/>
          </w:rPr>
          <w:tab/>
        </w:r>
        <w:r w:rsidR="005967CE">
          <w:rPr>
            <w:noProof/>
            <w:webHidden/>
          </w:rPr>
          <w:fldChar w:fldCharType="begin"/>
        </w:r>
        <w:r w:rsidR="005967CE">
          <w:rPr>
            <w:noProof/>
            <w:webHidden/>
          </w:rPr>
          <w:instrText xml:space="preserve"> PAGEREF _Toc98857776 \h </w:instrText>
        </w:r>
        <w:r w:rsidR="005967CE">
          <w:rPr>
            <w:noProof/>
            <w:webHidden/>
          </w:rPr>
        </w:r>
        <w:r w:rsidR="005967CE">
          <w:rPr>
            <w:noProof/>
            <w:webHidden/>
          </w:rPr>
          <w:fldChar w:fldCharType="separate"/>
        </w:r>
        <w:r w:rsidR="005967CE">
          <w:rPr>
            <w:noProof/>
            <w:webHidden/>
          </w:rPr>
          <w:t>81</w:t>
        </w:r>
        <w:r w:rsidR="005967CE">
          <w:rPr>
            <w:noProof/>
            <w:webHidden/>
          </w:rPr>
          <w:fldChar w:fldCharType="end"/>
        </w:r>
      </w:hyperlink>
    </w:p>
    <w:p w14:paraId="589F5645" w14:textId="7DB27D55" w:rsidR="005967CE" w:rsidRDefault="003C36B4">
      <w:pPr>
        <w:pStyle w:val="TOC1"/>
        <w:rPr>
          <w:rFonts w:asciiTheme="minorHAnsi" w:eastAsiaTheme="minorEastAsia" w:hAnsiTheme="minorHAnsi" w:cstheme="minorBidi"/>
          <w:caps w:val="0"/>
          <w:noProof/>
          <w:sz w:val="22"/>
          <w:szCs w:val="22"/>
          <w:lang w:eastAsia="en-GB"/>
        </w:rPr>
      </w:pPr>
      <w:hyperlink w:anchor="_Toc98857777" w:history="1">
        <w:r w:rsidR="005967CE" w:rsidRPr="00170B71">
          <w:rPr>
            <w:rStyle w:val="Hyperlink"/>
            <w:noProof/>
          </w:rPr>
          <w:t>A4</w:t>
        </w:r>
        <w:r w:rsidR="005967CE">
          <w:rPr>
            <w:rFonts w:asciiTheme="minorHAnsi" w:eastAsiaTheme="minorEastAsia" w:hAnsiTheme="minorHAnsi" w:cstheme="minorBidi"/>
            <w:caps w:val="0"/>
            <w:noProof/>
            <w:sz w:val="22"/>
            <w:szCs w:val="22"/>
            <w:lang w:eastAsia="en-GB"/>
          </w:rPr>
          <w:tab/>
        </w:r>
        <w:r w:rsidR="005967CE" w:rsidRPr="00170B71">
          <w:rPr>
            <w:rStyle w:val="Hyperlink"/>
            <w:noProof/>
          </w:rPr>
          <w:t>Analytical methods</w:t>
        </w:r>
        <w:r w:rsidR="005967CE">
          <w:rPr>
            <w:noProof/>
            <w:webHidden/>
          </w:rPr>
          <w:tab/>
        </w:r>
        <w:r w:rsidR="005967CE">
          <w:rPr>
            <w:noProof/>
            <w:webHidden/>
          </w:rPr>
          <w:fldChar w:fldCharType="begin"/>
        </w:r>
        <w:r w:rsidR="005967CE">
          <w:rPr>
            <w:noProof/>
            <w:webHidden/>
          </w:rPr>
          <w:instrText xml:space="preserve"> PAGEREF _Toc98857777 \h </w:instrText>
        </w:r>
        <w:r w:rsidR="005967CE">
          <w:rPr>
            <w:noProof/>
            <w:webHidden/>
          </w:rPr>
        </w:r>
        <w:r w:rsidR="005967CE">
          <w:rPr>
            <w:noProof/>
            <w:webHidden/>
          </w:rPr>
          <w:fldChar w:fldCharType="separate"/>
        </w:r>
        <w:r w:rsidR="005967CE">
          <w:rPr>
            <w:noProof/>
            <w:webHidden/>
          </w:rPr>
          <w:t>86</w:t>
        </w:r>
        <w:r w:rsidR="005967CE">
          <w:rPr>
            <w:noProof/>
            <w:webHidden/>
          </w:rPr>
          <w:fldChar w:fldCharType="end"/>
        </w:r>
      </w:hyperlink>
    </w:p>
    <w:p w14:paraId="73BD74D2" w14:textId="2D784259" w:rsidR="005967CE" w:rsidRDefault="003C36B4">
      <w:pPr>
        <w:pStyle w:val="TOC1"/>
        <w:rPr>
          <w:rFonts w:asciiTheme="minorHAnsi" w:eastAsiaTheme="minorEastAsia" w:hAnsiTheme="minorHAnsi" w:cstheme="minorBidi"/>
          <w:caps w:val="0"/>
          <w:noProof/>
          <w:sz w:val="22"/>
          <w:szCs w:val="22"/>
          <w:lang w:eastAsia="en-GB"/>
        </w:rPr>
      </w:pPr>
      <w:hyperlink w:anchor="_Toc98857778" w:history="1">
        <w:r w:rsidR="005967CE" w:rsidRPr="00170B71">
          <w:rPr>
            <w:rStyle w:val="Hyperlink"/>
            <w:noProof/>
          </w:rPr>
          <w:t>A5</w:t>
        </w:r>
        <w:r w:rsidR="005967CE">
          <w:rPr>
            <w:rFonts w:asciiTheme="minorHAnsi" w:eastAsiaTheme="minorEastAsia" w:hAnsiTheme="minorHAnsi" w:cstheme="minorBidi"/>
            <w:caps w:val="0"/>
            <w:noProof/>
            <w:sz w:val="22"/>
            <w:szCs w:val="22"/>
            <w:lang w:eastAsia="en-GB"/>
          </w:rPr>
          <w:tab/>
        </w:r>
        <w:r w:rsidR="005967CE" w:rsidRPr="00170B71">
          <w:rPr>
            <w:rStyle w:val="Hyperlink"/>
            <w:noProof/>
          </w:rPr>
          <w:t>Evaluation of Regulation (EU) No 517/2014</w:t>
        </w:r>
        <w:r w:rsidR="005967CE">
          <w:rPr>
            <w:noProof/>
            <w:webHidden/>
          </w:rPr>
          <w:tab/>
        </w:r>
        <w:r w:rsidR="005967CE">
          <w:rPr>
            <w:noProof/>
            <w:webHidden/>
          </w:rPr>
          <w:fldChar w:fldCharType="begin"/>
        </w:r>
        <w:r w:rsidR="005967CE">
          <w:rPr>
            <w:noProof/>
            <w:webHidden/>
          </w:rPr>
          <w:instrText xml:space="preserve"> PAGEREF _Toc98857778 \h </w:instrText>
        </w:r>
        <w:r w:rsidR="005967CE">
          <w:rPr>
            <w:noProof/>
            <w:webHidden/>
          </w:rPr>
        </w:r>
        <w:r w:rsidR="005967CE">
          <w:rPr>
            <w:noProof/>
            <w:webHidden/>
          </w:rPr>
          <w:fldChar w:fldCharType="separate"/>
        </w:r>
        <w:r w:rsidR="005967CE">
          <w:rPr>
            <w:noProof/>
            <w:webHidden/>
          </w:rPr>
          <w:t>117</w:t>
        </w:r>
        <w:r w:rsidR="005967CE">
          <w:rPr>
            <w:noProof/>
            <w:webHidden/>
          </w:rPr>
          <w:fldChar w:fldCharType="end"/>
        </w:r>
      </w:hyperlink>
    </w:p>
    <w:p w14:paraId="4637A1BC" w14:textId="1C4B636C" w:rsidR="005967CE" w:rsidRDefault="003C36B4">
      <w:pPr>
        <w:pStyle w:val="TOC1"/>
        <w:rPr>
          <w:rFonts w:asciiTheme="minorHAnsi" w:eastAsiaTheme="minorEastAsia" w:hAnsiTheme="minorHAnsi" w:cstheme="minorBidi"/>
          <w:caps w:val="0"/>
          <w:noProof/>
          <w:sz w:val="22"/>
          <w:szCs w:val="22"/>
          <w:lang w:eastAsia="en-GB"/>
        </w:rPr>
      </w:pPr>
      <w:hyperlink w:anchor="_Toc98857779" w:history="1">
        <w:r w:rsidR="005967CE" w:rsidRPr="00170B71">
          <w:rPr>
            <w:rStyle w:val="Hyperlink"/>
            <w:noProof/>
          </w:rPr>
          <w:t>A6</w:t>
        </w:r>
        <w:r w:rsidR="005967CE">
          <w:rPr>
            <w:rFonts w:asciiTheme="minorHAnsi" w:eastAsiaTheme="minorEastAsia" w:hAnsiTheme="minorHAnsi" w:cstheme="minorBidi"/>
            <w:caps w:val="0"/>
            <w:noProof/>
            <w:sz w:val="22"/>
            <w:szCs w:val="22"/>
            <w:lang w:eastAsia="en-GB"/>
          </w:rPr>
          <w:tab/>
        </w:r>
        <w:r w:rsidR="005967CE" w:rsidRPr="00170B71">
          <w:rPr>
            <w:rStyle w:val="Hyperlink"/>
            <w:noProof/>
          </w:rPr>
          <w:t>Individual Measures</w:t>
        </w:r>
        <w:r w:rsidR="005967CE">
          <w:rPr>
            <w:noProof/>
            <w:webHidden/>
          </w:rPr>
          <w:tab/>
        </w:r>
        <w:r w:rsidR="005967CE">
          <w:rPr>
            <w:noProof/>
            <w:webHidden/>
          </w:rPr>
          <w:fldChar w:fldCharType="begin"/>
        </w:r>
        <w:r w:rsidR="005967CE">
          <w:rPr>
            <w:noProof/>
            <w:webHidden/>
          </w:rPr>
          <w:instrText xml:space="preserve"> PAGEREF _Toc98857779 \h </w:instrText>
        </w:r>
        <w:r w:rsidR="005967CE">
          <w:rPr>
            <w:noProof/>
            <w:webHidden/>
          </w:rPr>
        </w:r>
        <w:r w:rsidR="005967CE">
          <w:rPr>
            <w:noProof/>
            <w:webHidden/>
          </w:rPr>
          <w:fldChar w:fldCharType="separate"/>
        </w:r>
        <w:r w:rsidR="005967CE">
          <w:rPr>
            <w:noProof/>
            <w:webHidden/>
          </w:rPr>
          <w:t>175</w:t>
        </w:r>
        <w:r w:rsidR="005967CE">
          <w:rPr>
            <w:noProof/>
            <w:webHidden/>
          </w:rPr>
          <w:fldChar w:fldCharType="end"/>
        </w:r>
      </w:hyperlink>
    </w:p>
    <w:p w14:paraId="5F449677" w14:textId="4EE0B93F" w:rsidR="005967CE" w:rsidRDefault="003C36B4">
      <w:pPr>
        <w:pStyle w:val="TOC1"/>
        <w:rPr>
          <w:rFonts w:asciiTheme="minorHAnsi" w:eastAsiaTheme="minorEastAsia" w:hAnsiTheme="minorHAnsi" w:cstheme="minorBidi"/>
          <w:caps w:val="0"/>
          <w:noProof/>
          <w:sz w:val="22"/>
          <w:szCs w:val="22"/>
          <w:lang w:eastAsia="en-GB"/>
        </w:rPr>
      </w:pPr>
      <w:hyperlink w:anchor="_Toc98857780" w:history="1">
        <w:r w:rsidR="005967CE" w:rsidRPr="00170B71">
          <w:rPr>
            <w:rStyle w:val="Hyperlink"/>
            <w:noProof/>
          </w:rPr>
          <w:t>A7</w:t>
        </w:r>
        <w:r w:rsidR="005967CE">
          <w:rPr>
            <w:rFonts w:asciiTheme="minorHAnsi" w:eastAsiaTheme="minorEastAsia" w:hAnsiTheme="minorHAnsi" w:cstheme="minorBidi"/>
            <w:caps w:val="0"/>
            <w:noProof/>
            <w:sz w:val="22"/>
            <w:szCs w:val="22"/>
            <w:lang w:eastAsia="en-GB"/>
          </w:rPr>
          <w:tab/>
        </w:r>
        <w:r w:rsidR="005967CE" w:rsidRPr="00170B71">
          <w:rPr>
            <w:rStyle w:val="Hyperlink"/>
            <w:noProof/>
          </w:rPr>
          <w:t>Operationalising the HFC placing on the market (POM) quota system (phase-down) going forward</w:t>
        </w:r>
        <w:r w:rsidR="005967CE">
          <w:rPr>
            <w:noProof/>
            <w:webHidden/>
          </w:rPr>
          <w:tab/>
        </w:r>
        <w:r w:rsidR="005967CE">
          <w:rPr>
            <w:noProof/>
            <w:webHidden/>
          </w:rPr>
          <w:fldChar w:fldCharType="begin"/>
        </w:r>
        <w:r w:rsidR="005967CE">
          <w:rPr>
            <w:noProof/>
            <w:webHidden/>
          </w:rPr>
          <w:instrText xml:space="preserve"> PAGEREF _Toc98857780 \h </w:instrText>
        </w:r>
        <w:r w:rsidR="005967CE">
          <w:rPr>
            <w:noProof/>
            <w:webHidden/>
          </w:rPr>
        </w:r>
        <w:r w:rsidR="005967CE">
          <w:rPr>
            <w:noProof/>
            <w:webHidden/>
          </w:rPr>
          <w:fldChar w:fldCharType="separate"/>
        </w:r>
        <w:r w:rsidR="005967CE">
          <w:rPr>
            <w:noProof/>
            <w:webHidden/>
          </w:rPr>
          <w:t>194</w:t>
        </w:r>
        <w:r w:rsidR="005967CE">
          <w:rPr>
            <w:noProof/>
            <w:webHidden/>
          </w:rPr>
          <w:fldChar w:fldCharType="end"/>
        </w:r>
      </w:hyperlink>
    </w:p>
    <w:p w14:paraId="654D4605" w14:textId="0ACB42AD" w:rsidR="005967CE" w:rsidRDefault="003C36B4">
      <w:pPr>
        <w:pStyle w:val="TOC1"/>
        <w:rPr>
          <w:rFonts w:asciiTheme="minorHAnsi" w:eastAsiaTheme="minorEastAsia" w:hAnsiTheme="minorHAnsi" w:cstheme="minorBidi"/>
          <w:caps w:val="0"/>
          <w:noProof/>
          <w:sz w:val="22"/>
          <w:szCs w:val="22"/>
          <w:lang w:eastAsia="en-GB"/>
        </w:rPr>
      </w:pPr>
      <w:hyperlink w:anchor="_Toc98857781" w:history="1">
        <w:r w:rsidR="005967CE" w:rsidRPr="00170B71">
          <w:rPr>
            <w:rStyle w:val="Hyperlink"/>
            <w:noProof/>
          </w:rPr>
          <w:t>A8</w:t>
        </w:r>
        <w:r w:rsidR="005967CE">
          <w:rPr>
            <w:rFonts w:asciiTheme="minorHAnsi" w:eastAsiaTheme="minorEastAsia" w:hAnsiTheme="minorHAnsi" w:cstheme="minorBidi"/>
            <w:caps w:val="0"/>
            <w:noProof/>
            <w:sz w:val="22"/>
            <w:szCs w:val="22"/>
            <w:lang w:eastAsia="en-GB"/>
          </w:rPr>
          <w:tab/>
        </w:r>
        <w:r w:rsidR="005967CE" w:rsidRPr="00170B71">
          <w:rPr>
            <w:rStyle w:val="Hyperlink"/>
            <w:noProof/>
          </w:rPr>
          <w:t>Separate production phase-down</w:t>
        </w:r>
        <w:r w:rsidR="005967CE">
          <w:rPr>
            <w:noProof/>
            <w:webHidden/>
          </w:rPr>
          <w:tab/>
        </w:r>
        <w:r w:rsidR="005967CE">
          <w:rPr>
            <w:noProof/>
            <w:webHidden/>
          </w:rPr>
          <w:fldChar w:fldCharType="begin"/>
        </w:r>
        <w:r w:rsidR="005967CE">
          <w:rPr>
            <w:noProof/>
            <w:webHidden/>
          </w:rPr>
          <w:instrText xml:space="preserve"> PAGEREF _Toc98857781 \h </w:instrText>
        </w:r>
        <w:r w:rsidR="005967CE">
          <w:rPr>
            <w:noProof/>
            <w:webHidden/>
          </w:rPr>
        </w:r>
        <w:r w:rsidR="005967CE">
          <w:rPr>
            <w:noProof/>
            <w:webHidden/>
          </w:rPr>
          <w:fldChar w:fldCharType="separate"/>
        </w:r>
        <w:r w:rsidR="005967CE">
          <w:rPr>
            <w:noProof/>
            <w:webHidden/>
          </w:rPr>
          <w:t>199</w:t>
        </w:r>
        <w:r w:rsidR="005967CE">
          <w:rPr>
            <w:noProof/>
            <w:webHidden/>
          </w:rPr>
          <w:fldChar w:fldCharType="end"/>
        </w:r>
      </w:hyperlink>
    </w:p>
    <w:p w14:paraId="60841225" w14:textId="226E5CD7" w:rsidR="005967CE" w:rsidRDefault="003C36B4">
      <w:pPr>
        <w:pStyle w:val="TOC1"/>
        <w:rPr>
          <w:rFonts w:asciiTheme="minorHAnsi" w:eastAsiaTheme="minorEastAsia" w:hAnsiTheme="minorHAnsi" w:cstheme="minorBidi"/>
          <w:caps w:val="0"/>
          <w:noProof/>
          <w:sz w:val="22"/>
          <w:szCs w:val="22"/>
          <w:lang w:eastAsia="en-GB"/>
        </w:rPr>
      </w:pPr>
      <w:hyperlink w:anchor="_Toc98857782" w:history="1">
        <w:r w:rsidR="005967CE" w:rsidRPr="00170B71">
          <w:rPr>
            <w:rStyle w:val="Hyperlink"/>
            <w:noProof/>
          </w:rPr>
          <w:t>A9</w:t>
        </w:r>
        <w:r w:rsidR="005967CE">
          <w:rPr>
            <w:rFonts w:asciiTheme="minorHAnsi" w:eastAsiaTheme="minorEastAsia" w:hAnsiTheme="minorHAnsi" w:cstheme="minorBidi"/>
            <w:caps w:val="0"/>
            <w:noProof/>
            <w:sz w:val="22"/>
            <w:szCs w:val="22"/>
            <w:lang w:eastAsia="en-GB"/>
          </w:rPr>
          <w:tab/>
        </w:r>
        <w:r w:rsidR="005967CE" w:rsidRPr="00170B71">
          <w:rPr>
            <w:rStyle w:val="Hyperlink"/>
            <w:noProof/>
          </w:rPr>
          <w:t>Prohibitions considered in the impact assessment</w:t>
        </w:r>
        <w:r w:rsidR="005967CE">
          <w:rPr>
            <w:noProof/>
            <w:webHidden/>
          </w:rPr>
          <w:tab/>
        </w:r>
        <w:r w:rsidR="005967CE">
          <w:rPr>
            <w:noProof/>
            <w:webHidden/>
          </w:rPr>
          <w:fldChar w:fldCharType="begin"/>
        </w:r>
        <w:r w:rsidR="005967CE">
          <w:rPr>
            <w:noProof/>
            <w:webHidden/>
          </w:rPr>
          <w:instrText xml:space="preserve"> PAGEREF _Toc98857782 \h </w:instrText>
        </w:r>
        <w:r w:rsidR="005967CE">
          <w:rPr>
            <w:noProof/>
            <w:webHidden/>
          </w:rPr>
        </w:r>
        <w:r w:rsidR="005967CE">
          <w:rPr>
            <w:noProof/>
            <w:webHidden/>
          </w:rPr>
          <w:fldChar w:fldCharType="separate"/>
        </w:r>
        <w:r w:rsidR="005967CE">
          <w:rPr>
            <w:noProof/>
            <w:webHidden/>
          </w:rPr>
          <w:t>203</w:t>
        </w:r>
        <w:r w:rsidR="005967CE">
          <w:rPr>
            <w:noProof/>
            <w:webHidden/>
          </w:rPr>
          <w:fldChar w:fldCharType="end"/>
        </w:r>
      </w:hyperlink>
    </w:p>
    <w:p w14:paraId="45B8F799" w14:textId="5E396192" w:rsidR="005967CE" w:rsidRDefault="003C36B4">
      <w:pPr>
        <w:pStyle w:val="TOC1"/>
        <w:rPr>
          <w:rFonts w:asciiTheme="minorHAnsi" w:eastAsiaTheme="minorEastAsia" w:hAnsiTheme="minorHAnsi" w:cstheme="minorBidi"/>
          <w:caps w:val="0"/>
          <w:noProof/>
          <w:sz w:val="22"/>
          <w:szCs w:val="22"/>
          <w:lang w:eastAsia="en-GB"/>
        </w:rPr>
      </w:pPr>
      <w:hyperlink w:anchor="_Toc98857783" w:history="1">
        <w:r w:rsidR="005967CE" w:rsidRPr="00170B71">
          <w:rPr>
            <w:rStyle w:val="Hyperlink"/>
            <w:noProof/>
          </w:rPr>
          <w:t>A10</w:t>
        </w:r>
        <w:r w:rsidR="005967CE">
          <w:rPr>
            <w:rFonts w:asciiTheme="minorHAnsi" w:eastAsiaTheme="minorEastAsia" w:hAnsiTheme="minorHAnsi" w:cstheme="minorBidi"/>
            <w:caps w:val="0"/>
            <w:noProof/>
            <w:sz w:val="22"/>
            <w:szCs w:val="22"/>
            <w:lang w:eastAsia="en-GB"/>
          </w:rPr>
          <w:tab/>
        </w:r>
        <w:r w:rsidR="005967CE" w:rsidRPr="00170B71">
          <w:rPr>
            <w:rStyle w:val="Hyperlink"/>
            <w:noProof/>
          </w:rPr>
          <w:t>Detailed analysis on reporting and verification thresholds</w:t>
        </w:r>
        <w:r w:rsidR="005967CE">
          <w:rPr>
            <w:noProof/>
            <w:webHidden/>
          </w:rPr>
          <w:tab/>
        </w:r>
        <w:r w:rsidR="005967CE">
          <w:rPr>
            <w:noProof/>
            <w:webHidden/>
          </w:rPr>
          <w:fldChar w:fldCharType="begin"/>
        </w:r>
        <w:r w:rsidR="005967CE">
          <w:rPr>
            <w:noProof/>
            <w:webHidden/>
          </w:rPr>
          <w:instrText xml:space="preserve"> PAGEREF _Toc98857783 \h </w:instrText>
        </w:r>
        <w:r w:rsidR="005967CE">
          <w:rPr>
            <w:noProof/>
            <w:webHidden/>
          </w:rPr>
        </w:r>
        <w:r w:rsidR="005967CE">
          <w:rPr>
            <w:noProof/>
            <w:webHidden/>
          </w:rPr>
          <w:fldChar w:fldCharType="separate"/>
        </w:r>
        <w:r w:rsidR="005967CE">
          <w:rPr>
            <w:noProof/>
            <w:webHidden/>
          </w:rPr>
          <w:t>207</w:t>
        </w:r>
        <w:r w:rsidR="005967CE">
          <w:rPr>
            <w:noProof/>
            <w:webHidden/>
          </w:rPr>
          <w:fldChar w:fldCharType="end"/>
        </w:r>
      </w:hyperlink>
    </w:p>
    <w:p w14:paraId="63FF8079" w14:textId="4035DFA2" w:rsidR="005967CE" w:rsidRDefault="003C36B4">
      <w:pPr>
        <w:pStyle w:val="TOC1"/>
        <w:rPr>
          <w:rFonts w:asciiTheme="minorHAnsi" w:eastAsiaTheme="minorEastAsia" w:hAnsiTheme="minorHAnsi" w:cstheme="minorBidi"/>
          <w:caps w:val="0"/>
          <w:noProof/>
          <w:sz w:val="22"/>
          <w:szCs w:val="22"/>
          <w:lang w:eastAsia="en-GB"/>
        </w:rPr>
      </w:pPr>
      <w:hyperlink w:anchor="_Toc98857784" w:history="1">
        <w:r w:rsidR="005967CE" w:rsidRPr="00170B71">
          <w:rPr>
            <w:rStyle w:val="Hyperlink"/>
            <w:noProof/>
          </w:rPr>
          <w:t>A11</w:t>
        </w:r>
        <w:r w:rsidR="005967CE">
          <w:rPr>
            <w:rFonts w:asciiTheme="minorHAnsi" w:eastAsiaTheme="minorEastAsia" w:hAnsiTheme="minorHAnsi" w:cstheme="minorBidi"/>
            <w:caps w:val="0"/>
            <w:noProof/>
            <w:sz w:val="22"/>
            <w:szCs w:val="22"/>
            <w:lang w:eastAsia="en-GB"/>
          </w:rPr>
          <w:tab/>
        </w:r>
        <w:r w:rsidR="005967CE" w:rsidRPr="00170B71">
          <w:rPr>
            <w:rStyle w:val="Hyperlink"/>
            <w:noProof/>
          </w:rPr>
          <w:t>Detailed information on emissions</w:t>
        </w:r>
        <w:r w:rsidR="005967CE">
          <w:rPr>
            <w:noProof/>
            <w:webHidden/>
          </w:rPr>
          <w:tab/>
        </w:r>
        <w:r w:rsidR="005967CE">
          <w:rPr>
            <w:noProof/>
            <w:webHidden/>
          </w:rPr>
          <w:fldChar w:fldCharType="begin"/>
        </w:r>
        <w:r w:rsidR="005967CE">
          <w:rPr>
            <w:noProof/>
            <w:webHidden/>
          </w:rPr>
          <w:instrText xml:space="preserve"> PAGEREF _Toc98857784 \h </w:instrText>
        </w:r>
        <w:r w:rsidR="005967CE">
          <w:rPr>
            <w:noProof/>
            <w:webHidden/>
          </w:rPr>
        </w:r>
        <w:r w:rsidR="005967CE">
          <w:rPr>
            <w:noProof/>
            <w:webHidden/>
          </w:rPr>
          <w:fldChar w:fldCharType="separate"/>
        </w:r>
        <w:r w:rsidR="005967CE">
          <w:rPr>
            <w:noProof/>
            <w:webHidden/>
          </w:rPr>
          <w:t>212</w:t>
        </w:r>
        <w:r w:rsidR="005967CE">
          <w:rPr>
            <w:noProof/>
            <w:webHidden/>
          </w:rPr>
          <w:fldChar w:fldCharType="end"/>
        </w:r>
      </w:hyperlink>
    </w:p>
    <w:p w14:paraId="5BF07E44" w14:textId="22465F6D" w:rsidR="005967CE" w:rsidRDefault="003C36B4">
      <w:pPr>
        <w:pStyle w:val="TOC1"/>
        <w:rPr>
          <w:rFonts w:asciiTheme="minorHAnsi" w:eastAsiaTheme="minorEastAsia" w:hAnsiTheme="minorHAnsi" w:cstheme="minorBidi"/>
          <w:caps w:val="0"/>
          <w:noProof/>
          <w:sz w:val="22"/>
          <w:szCs w:val="22"/>
          <w:lang w:eastAsia="en-GB"/>
        </w:rPr>
      </w:pPr>
      <w:hyperlink w:anchor="_Toc98857785" w:history="1">
        <w:r w:rsidR="005967CE" w:rsidRPr="00170B71">
          <w:rPr>
            <w:rStyle w:val="Hyperlink"/>
            <w:noProof/>
          </w:rPr>
          <w:t>A12</w:t>
        </w:r>
        <w:r w:rsidR="005967CE">
          <w:rPr>
            <w:rFonts w:asciiTheme="minorHAnsi" w:eastAsiaTheme="minorEastAsia" w:hAnsiTheme="minorHAnsi" w:cstheme="minorBidi"/>
            <w:caps w:val="0"/>
            <w:noProof/>
            <w:sz w:val="22"/>
            <w:szCs w:val="22"/>
            <w:lang w:eastAsia="en-GB"/>
          </w:rPr>
          <w:tab/>
        </w:r>
        <w:r w:rsidR="005967CE" w:rsidRPr="00170B71">
          <w:rPr>
            <w:rStyle w:val="Hyperlink"/>
            <w:noProof/>
          </w:rPr>
          <w:t>AnaFgas Cost Modelling Results</w:t>
        </w:r>
        <w:r w:rsidR="005967CE">
          <w:rPr>
            <w:noProof/>
            <w:webHidden/>
          </w:rPr>
          <w:tab/>
        </w:r>
        <w:r w:rsidR="005967CE">
          <w:rPr>
            <w:noProof/>
            <w:webHidden/>
          </w:rPr>
          <w:fldChar w:fldCharType="begin"/>
        </w:r>
        <w:r w:rsidR="005967CE">
          <w:rPr>
            <w:noProof/>
            <w:webHidden/>
          </w:rPr>
          <w:instrText xml:space="preserve"> PAGEREF _Toc98857785 \h </w:instrText>
        </w:r>
        <w:r w:rsidR="005967CE">
          <w:rPr>
            <w:noProof/>
            <w:webHidden/>
          </w:rPr>
        </w:r>
        <w:r w:rsidR="005967CE">
          <w:rPr>
            <w:noProof/>
            <w:webHidden/>
          </w:rPr>
          <w:fldChar w:fldCharType="separate"/>
        </w:r>
        <w:r w:rsidR="005967CE">
          <w:rPr>
            <w:noProof/>
            <w:webHidden/>
          </w:rPr>
          <w:t>220</w:t>
        </w:r>
        <w:r w:rsidR="005967CE">
          <w:rPr>
            <w:noProof/>
            <w:webHidden/>
          </w:rPr>
          <w:fldChar w:fldCharType="end"/>
        </w:r>
      </w:hyperlink>
    </w:p>
    <w:p w14:paraId="3428EE84" w14:textId="080B5A9D" w:rsidR="005967CE" w:rsidRDefault="003C36B4">
      <w:pPr>
        <w:pStyle w:val="TOC1"/>
        <w:rPr>
          <w:rFonts w:asciiTheme="minorHAnsi" w:eastAsiaTheme="minorEastAsia" w:hAnsiTheme="minorHAnsi" w:cstheme="minorBidi"/>
          <w:caps w:val="0"/>
          <w:noProof/>
          <w:sz w:val="22"/>
          <w:szCs w:val="22"/>
          <w:lang w:eastAsia="en-GB"/>
        </w:rPr>
      </w:pPr>
      <w:hyperlink w:anchor="_Toc98857786" w:history="1">
        <w:r w:rsidR="005967CE" w:rsidRPr="00170B71">
          <w:rPr>
            <w:rStyle w:val="Hyperlink"/>
            <w:rFonts w:eastAsia="Calibri"/>
            <w:noProof/>
          </w:rPr>
          <w:t>A13</w:t>
        </w:r>
        <w:r w:rsidR="005967CE">
          <w:rPr>
            <w:rFonts w:asciiTheme="minorHAnsi" w:eastAsiaTheme="minorEastAsia" w:hAnsiTheme="minorHAnsi" w:cstheme="minorBidi"/>
            <w:caps w:val="0"/>
            <w:noProof/>
            <w:sz w:val="22"/>
            <w:szCs w:val="22"/>
            <w:lang w:eastAsia="en-GB"/>
          </w:rPr>
          <w:tab/>
        </w:r>
        <w:r w:rsidR="005967CE" w:rsidRPr="00170B71">
          <w:rPr>
            <w:rStyle w:val="Hyperlink"/>
            <w:rFonts w:eastAsia="Calibri"/>
            <w:noProof/>
          </w:rPr>
          <w:t>Detailed modelling results of GEM-E3</w:t>
        </w:r>
        <w:r w:rsidR="005967CE">
          <w:rPr>
            <w:noProof/>
            <w:webHidden/>
          </w:rPr>
          <w:tab/>
        </w:r>
        <w:r w:rsidR="005967CE">
          <w:rPr>
            <w:noProof/>
            <w:webHidden/>
          </w:rPr>
          <w:fldChar w:fldCharType="begin"/>
        </w:r>
        <w:r w:rsidR="005967CE">
          <w:rPr>
            <w:noProof/>
            <w:webHidden/>
          </w:rPr>
          <w:instrText xml:space="preserve"> PAGEREF _Toc98857786 \h </w:instrText>
        </w:r>
        <w:r w:rsidR="005967CE">
          <w:rPr>
            <w:noProof/>
            <w:webHidden/>
          </w:rPr>
        </w:r>
        <w:r w:rsidR="005967CE">
          <w:rPr>
            <w:noProof/>
            <w:webHidden/>
          </w:rPr>
          <w:fldChar w:fldCharType="separate"/>
        </w:r>
        <w:r w:rsidR="005967CE">
          <w:rPr>
            <w:noProof/>
            <w:webHidden/>
          </w:rPr>
          <w:t>251</w:t>
        </w:r>
        <w:r w:rsidR="005967CE">
          <w:rPr>
            <w:noProof/>
            <w:webHidden/>
          </w:rPr>
          <w:fldChar w:fldCharType="end"/>
        </w:r>
      </w:hyperlink>
    </w:p>
    <w:p w14:paraId="21530271" w14:textId="7738C1E6" w:rsidR="005967CE" w:rsidRDefault="003C36B4">
      <w:pPr>
        <w:pStyle w:val="TOC1"/>
        <w:rPr>
          <w:rFonts w:asciiTheme="minorHAnsi" w:eastAsiaTheme="minorEastAsia" w:hAnsiTheme="minorHAnsi" w:cstheme="minorBidi"/>
          <w:caps w:val="0"/>
          <w:noProof/>
          <w:sz w:val="22"/>
          <w:szCs w:val="22"/>
          <w:lang w:eastAsia="en-GB"/>
        </w:rPr>
      </w:pPr>
      <w:hyperlink w:anchor="_Toc98857787" w:history="1">
        <w:r w:rsidR="005967CE" w:rsidRPr="00170B71">
          <w:rPr>
            <w:rStyle w:val="Hyperlink"/>
            <w:noProof/>
          </w:rPr>
          <w:t>A14</w:t>
        </w:r>
        <w:r w:rsidR="005967CE">
          <w:rPr>
            <w:rFonts w:asciiTheme="minorHAnsi" w:eastAsiaTheme="minorEastAsia" w:hAnsiTheme="minorHAnsi" w:cstheme="minorBidi"/>
            <w:caps w:val="0"/>
            <w:noProof/>
            <w:sz w:val="22"/>
            <w:szCs w:val="22"/>
            <w:lang w:eastAsia="en-GB"/>
          </w:rPr>
          <w:tab/>
        </w:r>
        <w:r w:rsidR="005967CE" w:rsidRPr="00170B71">
          <w:rPr>
            <w:rStyle w:val="Hyperlink"/>
            <w:noProof/>
          </w:rPr>
          <w:t>Detailed information on administrative costs</w:t>
        </w:r>
        <w:r w:rsidR="005967CE">
          <w:rPr>
            <w:noProof/>
            <w:webHidden/>
          </w:rPr>
          <w:tab/>
        </w:r>
        <w:r w:rsidR="005967CE">
          <w:rPr>
            <w:noProof/>
            <w:webHidden/>
          </w:rPr>
          <w:fldChar w:fldCharType="begin"/>
        </w:r>
        <w:r w:rsidR="005967CE">
          <w:rPr>
            <w:noProof/>
            <w:webHidden/>
          </w:rPr>
          <w:instrText xml:space="preserve"> PAGEREF _Toc98857787 \h </w:instrText>
        </w:r>
        <w:r w:rsidR="005967CE">
          <w:rPr>
            <w:noProof/>
            <w:webHidden/>
          </w:rPr>
        </w:r>
        <w:r w:rsidR="005967CE">
          <w:rPr>
            <w:noProof/>
            <w:webHidden/>
          </w:rPr>
          <w:fldChar w:fldCharType="separate"/>
        </w:r>
        <w:r w:rsidR="005967CE">
          <w:rPr>
            <w:noProof/>
            <w:webHidden/>
          </w:rPr>
          <w:t>253</w:t>
        </w:r>
        <w:r w:rsidR="005967CE">
          <w:rPr>
            <w:noProof/>
            <w:webHidden/>
          </w:rPr>
          <w:fldChar w:fldCharType="end"/>
        </w:r>
      </w:hyperlink>
    </w:p>
    <w:p w14:paraId="08915D48" w14:textId="460A2F8F" w:rsidR="005967CE" w:rsidRDefault="003C36B4">
      <w:pPr>
        <w:pStyle w:val="TOC1"/>
        <w:rPr>
          <w:rFonts w:asciiTheme="minorHAnsi" w:eastAsiaTheme="minorEastAsia" w:hAnsiTheme="minorHAnsi" w:cstheme="minorBidi"/>
          <w:caps w:val="0"/>
          <w:noProof/>
          <w:sz w:val="22"/>
          <w:szCs w:val="22"/>
          <w:lang w:eastAsia="en-GB"/>
        </w:rPr>
      </w:pPr>
      <w:hyperlink w:anchor="_Toc98857788" w:history="1">
        <w:r w:rsidR="005967CE" w:rsidRPr="00170B71">
          <w:rPr>
            <w:rStyle w:val="Hyperlink"/>
            <w:noProof/>
          </w:rPr>
          <w:t>A15</w:t>
        </w:r>
        <w:r w:rsidR="005967CE">
          <w:rPr>
            <w:rFonts w:asciiTheme="minorHAnsi" w:eastAsiaTheme="minorEastAsia" w:hAnsiTheme="minorHAnsi" w:cstheme="minorBidi"/>
            <w:caps w:val="0"/>
            <w:noProof/>
            <w:sz w:val="22"/>
            <w:szCs w:val="22"/>
            <w:lang w:eastAsia="en-GB"/>
          </w:rPr>
          <w:tab/>
        </w:r>
        <w:r w:rsidR="005967CE" w:rsidRPr="00170B71">
          <w:rPr>
            <w:rStyle w:val="Hyperlink"/>
            <w:noProof/>
          </w:rPr>
          <w:t>Detailed information on foams recovery</w:t>
        </w:r>
        <w:r w:rsidR="005967CE">
          <w:rPr>
            <w:noProof/>
            <w:webHidden/>
          </w:rPr>
          <w:tab/>
        </w:r>
        <w:r w:rsidR="005967CE">
          <w:rPr>
            <w:noProof/>
            <w:webHidden/>
          </w:rPr>
          <w:fldChar w:fldCharType="begin"/>
        </w:r>
        <w:r w:rsidR="005967CE">
          <w:rPr>
            <w:noProof/>
            <w:webHidden/>
          </w:rPr>
          <w:instrText xml:space="preserve"> PAGEREF _Toc98857788 \h </w:instrText>
        </w:r>
        <w:r w:rsidR="005967CE">
          <w:rPr>
            <w:noProof/>
            <w:webHidden/>
          </w:rPr>
        </w:r>
        <w:r w:rsidR="005967CE">
          <w:rPr>
            <w:noProof/>
            <w:webHidden/>
          </w:rPr>
          <w:fldChar w:fldCharType="separate"/>
        </w:r>
        <w:r w:rsidR="005967CE">
          <w:rPr>
            <w:noProof/>
            <w:webHidden/>
          </w:rPr>
          <w:t>291</w:t>
        </w:r>
        <w:r w:rsidR="005967CE">
          <w:rPr>
            <w:noProof/>
            <w:webHidden/>
          </w:rPr>
          <w:fldChar w:fldCharType="end"/>
        </w:r>
      </w:hyperlink>
    </w:p>
    <w:p w14:paraId="40422DF3" w14:textId="73930D57" w:rsidR="006B087E" w:rsidRPr="006A1415" w:rsidRDefault="00501849" w:rsidP="006B087E">
      <w:pPr>
        <w:rPr>
          <w:rFonts w:cs="Times New Roman"/>
          <w:b/>
          <w:noProof/>
          <w:szCs w:val="24"/>
        </w:rPr>
      </w:pPr>
      <w:r w:rsidRPr="006A1415">
        <w:rPr>
          <w:rFonts w:eastAsia="Times New Roman" w:cs="Times New Roman"/>
          <w:caps/>
          <w:noProof/>
          <w:szCs w:val="24"/>
        </w:rPr>
        <w:fldChar w:fldCharType="end"/>
      </w:r>
    </w:p>
    <w:p w14:paraId="45E99FE4" w14:textId="77777777" w:rsidR="00522B82" w:rsidRPr="006A1415" w:rsidRDefault="00522B82">
      <w:pPr>
        <w:rPr>
          <w:rFonts w:cs="Times New Roman"/>
          <w:b/>
          <w:noProof/>
          <w:szCs w:val="24"/>
        </w:rPr>
      </w:pPr>
      <w:r w:rsidRPr="006A1415">
        <w:rPr>
          <w:rFonts w:cs="Times New Roman"/>
          <w:b/>
          <w:noProof/>
          <w:szCs w:val="24"/>
        </w:rPr>
        <w:br w:type="page"/>
      </w:r>
    </w:p>
    <w:p w14:paraId="2EA7B4C9" w14:textId="77777777" w:rsidR="006B087E" w:rsidRPr="00C83358" w:rsidRDefault="3982CBDC" w:rsidP="3982CBDC">
      <w:pPr>
        <w:jc w:val="center"/>
        <w:rPr>
          <w:b/>
          <w:bCs/>
          <w:noProof/>
          <w:sz w:val="28"/>
          <w:szCs w:val="28"/>
        </w:rPr>
      </w:pPr>
      <w:r w:rsidRPr="3982CBDC">
        <w:rPr>
          <w:b/>
          <w:bCs/>
          <w:noProof/>
          <w:sz w:val="28"/>
          <w:szCs w:val="28"/>
        </w:rPr>
        <w:t>Glossary</w:t>
      </w:r>
    </w:p>
    <w:tbl>
      <w:tblPr>
        <w:tblStyle w:val="TableGrid"/>
        <w:tblW w:w="9606" w:type="dxa"/>
        <w:tblLook w:val="04A0" w:firstRow="1" w:lastRow="0" w:firstColumn="1" w:lastColumn="0" w:noHBand="0" w:noVBand="1"/>
      </w:tblPr>
      <w:tblGrid>
        <w:gridCol w:w="3227"/>
        <w:gridCol w:w="6379"/>
      </w:tblGrid>
      <w:tr w:rsidR="006B087E" w14:paraId="2A43C6EB" w14:textId="77777777" w:rsidTr="3F3807E4">
        <w:tc>
          <w:tcPr>
            <w:tcW w:w="3227" w:type="dxa"/>
            <w:tcBorders>
              <w:bottom w:val="double" w:sz="4" w:space="0" w:color="auto"/>
            </w:tcBorders>
            <w:shd w:val="clear" w:color="auto" w:fill="F2F2F2" w:themeFill="background1" w:themeFillShade="F2"/>
          </w:tcPr>
          <w:p w14:paraId="72CF5D61" w14:textId="77777777" w:rsidR="006B087E" w:rsidRPr="001548C7" w:rsidRDefault="3982CBDC" w:rsidP="3982CBDC">
            <w:pPr>
              <w:spacing w:before="120" w:after="120"/>
              <w:jc w:val="center"/>
              <w:rPr>
                <w:b/>
                <w:bCs/>
                <w:i/>
                <w:iCs/>
                <w:noProof/>
              </w:rPr>
            </w:pPr>
            <w:r w:rsidRPr="3982CBDC">
              <w:rPr>
                <w:b/>
                <w:bCs/>
                <w:i/>
                <w:iCs/>
                <w:noProof/>
              </w:rPr>
              <w:t>Term or acronym</w:t>
            </w:r>
          </w:p>
        </w:tc>
        <w:tc>
          <w:tcPr>
            <w:tcW w:w="6379" w:type="dxa"/>
            <w:tcBorders>
              <w:bottom w:val="double" w:sz="4" w:space="0" w:color="auto"/>
            </w:tcBorders>
            <w:shd w:val="clear" w:color="auto" w:fill="F2F2F2" w:themeFill="background1" w:themeFillShade="F2"/>
          </w:tcPr>
          <w:p w14:paraId="183E54B1" w14:textId="77777777" w:rsidR="006B087E" w:rsidRPr="001548C7" w:rsidRDefault="3982CBDC" w:rsidP="3982CBDC">
            <w:pPr>
              <w:spacing w:before="120" w:after="120"/>
              <w:jc w:val="center"/>
              <w:rPr>
                <w:b/>
                <w:bCs/>
                <w:i/>
                <w:iCs/>
                <w:noProof/>
              </w:rPr>
            </w:pPr>
            <w:r w:rsidRPr="3982CBDC">
              <w:rPr>
                <w:b/>
                <w:bCs/>
                <w:i/>
                <w:iCs/>
                <w:noProof/>
              </w:rPr>
              <w:t>Meaning or definition</w:t>
            </w:r>
          </w:p>
        </w:tc>
      </w:tr>
      <w:tr w:rsidR="000B5765" w:rsidRPr="006F2487" w14:paraId="6726A139" w14:textId="77777777" w:rsidTr="3F3807E4">
        <w:tc>
          <w:tcPr>
            <w:tcW w:w="3227" w:type="dxa"/>
            <w:tcBorders>
              <w:top w:val="nil"/>
              <w:left w:val="single" w:sz="4" w:space="0" w:color="auto"/>
              <w:bottom w:val="single" w:sz="4" w:space="0" w:color="auto"/>
              <w:right w:val="single" w:sz="4" w:space="0" w:color="auto"/>
            </w:tcBorders>
            <w:shd w:val="clear" w:color="auto" w:fill="auto"/>
            <w:tcMar>
              <w:top w:w="85" w:type="dxa"/>
              <w:left w:w="57" w:type="dxa"/>
              <w:bottom w:w="85" w:type="dxa"/>
              <w:right w:w="57" w:type="dxa"/>
            </w:tcMar>
            <w:vAlign w:val="center"/>
          </w:tcPr>
          <w:p w14:paraId="0532FD31" w14:textId="77777777" w:rsidR="000B5765" w:rsidRPr="006F2487" w:rsidRDefault="3982CBDC" w:rsidP="3982CBDC">
            <w:pPr>
              <w:rPr>
                <w:rFonts w:asciiTheme="minorHAnsi" w:hAnsiTheme="minorHAnsi" w:cs="Calibri"/>
                <w:noProof/>
                <w:color w:val="000000" w:themeColor="text1"/>
                <w:sz w:val="20"/>
              </w:rPr>
            </w:pPr>
            <w:r w:rsidRPr="3982CBDC">
              <w:rPr>
                <w:rFonts w:asciiTheme="minorHAnsi" w:hAnsiTheme="minorHAnsi" w:cs="Calibri"/>
                <w:noProof/>
                <w:color w:val="000000" w:themeColor="text1"/>
                <w:sz w:val="20"/>
              </w:rPr>
              <w:t>AC</w:t>
            </w:r>
          </w:p>
        </w:tc>
        <w:tc>
          <w:tcPr>
            <w:tcW w:w="6379" w:type="dxa"/>
            <w:tcBorders>
              <w:top w:val="nil"/>
              <w:left w:val="nil"/>
              <w:bottom w:val="single" w:sz="4" w:space="0" w:color="auto"/>
              <w:right w:val="single" w:sz="4" w:space="0" w:color="auto"/>
            </w:tcBorders>
            <w:shd w:val="clear" w:color="auto" w:fill="auto"/>
            <w:tcMar>
              <w:top w:w="85" w:type="dxa"/>
              <w:left w:w="57" w:type="dxa"/>
              <w:bottom w:w="85" w:type="dxa"/>
              <w:right w:w="57" w:type="dxa"/>
            </w:tcMar>
            <w:vAlign w:val="center"/>
          </w:tcPr>
          <w:p w14:paraId="1027EFC9" w14:textId="02AE0664" w:rsidR="000B5765" w:rsidRPr="006F2487" w:rsidRDefault="000B5765" w:rsidP="3982CBDC">
            <w:pPr>
              <w:rPr>
                <w:rFonts w:asciiTheme="minorHAnsi" w:hAnsiTheme="minorHAnsi" w:cs="Calibri"/>
                <w:noProof/>
                <w:color w:val="000000" w:themeColor="text1"/>
                <w:sz w:val="20"/>
              </w:rPr>
            </w:pPr>
            <w:r w:rsidRPr="3982CBDC">
              <w:rPr>
                <w:rFonts w:asciiTheme="minorHAnsi" w:hAnsiTheme="minorHAnsi" w:cs="Calibri"/>
                <w:noProof/>
                <w:color w:val="000000" w:themeColor="text1"/>
                <w:sz w:val="20"/>
              </w:rPr>
              <w:t>Air conditioning</w:t>
            </w:r>
            <w:r w:rsidR="000E3DC9" w:rsidRPr="3982CBDC">
              <w:rPr>
                <w:rFonts w:asciiTheme="minorHAnsi" w:hAnsiTheme="minorHAnsi" w:cs="Calibri"/>
                <w:noProof/>
                <w:color w:val="000000" w:themeColor="text1"/>
                <w:sz w:val="20"/>
              </w:rPr>
              <w:t xml:space="preserve"> which here is considered to also include heat pumps</w:t>
            </w:r>
          </w:p>
        </w:tc>
      </w:tr>
      <w:tr w:rsidR="00C933DD" w:rsidRPr="006F2487" w14:paraId="2AE8D386" w14:textId="77777777" w:rsidTr="3F3807E4">
        <w:tc>
          <w:tcPr>
            <w:tcW w:w="3227" w:type="dxa"/>
            <w:tcBorders>
              <w:top w:val="nil"/>
              <w:left w:val="single" w:sz="4" w:space="0" w:color="auto"/>
              <w:bottom w:val="single" w:sz="4" w:space="0" w:color="auto"/>
              <w:right w:val="single" w:sz="4" w:space="0" w:color="auto"/>
            </w:tcBorders>
            <w:shd w:val="clear" w:color="auto" w:fill="auto"/>
            <w:tcMar>
              <w:top w:w="85" w:type="dxa"/>
              <w:left w:w="57" w:type="dxa"/>
              <w:bottom w:w="85" w:type="dxa"/>
              <w:right w:w="57" w:type="dxa"/>
            </w:tcMar>
            <w:vAlign w:val="center"/>
          </w:tcPr>
          <w:p w14:paraId="5003F22E" w14:textId="77777777" w:rsidR="00C933DD" w:rsidRPr="006F2487" w:rsidRDefault="3982CBDC" w:rsidP="3982CBDC">
            <w:pPr>
              <w:rPr>
                <w:rFonts w:asciiTheme="minorHAnsi" w:hAnsiTheme="minorHAnsi" w:cs="Calibri"/>
                <w:noProof/>
                <w:color w:val="000000" w:themeColor="text1"/>
                <w:sz w:val="20"/>
                <w:highlight w:val="yellow"/>
              </w:rPr>
            </w:pPr>
            <w:r w:rsidRPr="3982CBDC">
              <w:rPr>
                <w:rFonts w:asciiTheme="minorHAnsi" w:hAnsiTheme="minorHAnsi" w:cs="Calibri"/>
                <w:noProof/>
                <w:color w:val="000000" w:themeColor="text1"/>
                <w:sz w:val="20"/>
              </w:rPr>
              <w:t xml:space="preserve">AnaFgas model </w:t>
            </w:r>
          </w:p>
        </w:tc>
        <w:tc>
          <w:tcPr>
            <w:tcW w:w="6379" w:type="dxa"/>
            <w:tcMar>
              <w:top w:w="85" w:type="dxa"/>
              <w:left w:w="57" w:type="dxa"/>
              <w:bottom w:w="85" w:type="dxa"/>
              <w:right w:w="57" w:type="dxa"/>
            </w:tcMar>
          </w:tcPr>
          <w:p w14:paraId="426EACD2" w14:textId="77777777" w:rsidR="00C933DD" w:rsidRPr="006F2487" w:rsidRDefault="3982CBDC" w:rsidP="3982CBDC">
            <w:pPr>
              <w:rPr>
                <w:rFonts w:asciiTheme="minorHAnsi" w:hAnsiTheme="minorHAnsi" w:cs="Calibri"/>
                <w:noProof/>
                <w:color w:val="000000" w:themeColor="text1"/>
                <w:sz w:val="20"/>
                <w:highlight w:val="yellow"/>
              </w:rPr>
            </w:pPr>
            <w:r w:rsidRPr="3982CBDC">
              <w:rPr>
                <w:rFonts w:asciiTheme="minorHAnsi" w:hAnsiTheme="minorHAnsi"/>
                <w:noProof/>
                <w:sz w:val="20"/>
              </w:rPr>
              <w:t>Detailed bottom-up model for sectors and sub-sectors using F-gases. AnaFgas = „Analysis of fluorinated greenhouse gases in the EU“</w:t>
            </w:r>
          </w:p>
        </w:tc>
      </w:tr>
      <w:tr w:rsidR="008C5ADD" w:rsidRPr="006F2487" w14:paraId="79DE8C9D" w14:textId="77777777" w:rsidTr="3F3807E4">
        <w:tc>
          <w:tcPr>
            <w:tcW w:w="3227" w:type="dxa"/>
            <w:tcBorders>
              <w:top w:val="nil"/>
              <w:left w:val="single" w:sz="4" w:space="0" w:color="auto"/>
              <w:bottom w:val="single" w:sz="4" w:space="0" w:color="auto"/>
              <w:right w:val="single" w:sz="4" w:space="0" w:color="auto"/>
            </w:tcBorders>
            <w:shd w:val="clear" w:color="auto" w:fill="auto"/>
            <w:tcMar>
              <w:top w:w="85" w:type="dxa"/>
              <w:left w:w="57" w:type="dxa"/>
              <w:bottom w:w="85" w:type="dxa"/>
              <w:right w:w="57" w:type="dxa"/>
            </w:tcMar>
            <w:vAlign w:val="center"/>
          </w:tcPr>
          <w:p w14:paraId="2981A29B" w14:textId="15DAC511" w:rsidR="008C5ADD" w:rsidRPr="00B001A8" w:rsidRDefault="3982CBDC" w:rsidP="3982CBDC">
            <w:pPr>
              <w:rPr>
                <w:rFonts w:asciiTheme="minorHAnsi" w:hAnsiTheme="minorHAnsi" w:cs="Calibri"/>
                <w:noProof/>
                <w:color w:val="000000" w:themeColor="text1"/>
                <w:sz w:val="20"/>
              </w:rPr>
            </w:pPr>
            <w:r w:rsidRPr="3982CBDC">
              <w:rPr>
                <w:rFonts w:asciiTheme="minorHAnsi" w:hAnsiTheme="minorHAnsi" w:cs="Calibri"/>
                <w:noProof/>
                <w:color w:val="000000" w:themeColor="text1"/>
                <w:sz w:val="20"/>
              </w:rPr>
              <w:t>AR (4/5/6)</w:t>
            </w:r>
          </w:p>
        </w:tc>
        <w:tc>
          <w:tcPr>
            <w:tcW w:w="6379" w:type="dxa"/>
            <w:tcBorders>
              <w:top w:val="nil"/>
              <w:left w:val="nil"/>
              <w:bottom w:val="single" w:sz="4" w:space="0" w:color="auto"/>
              <w:right w:val="single" w:sz="4" w:space="0" w:color="auto"/>
            </w:tcBorders>
            <w:shd w:val="clear" w:color="auto" w:fill="auto"/>
            <w:tcMar>
              <w:top w:w="85" w:type="dxa"/>
              <w:left w:w="57" w:type="dxa"/>
              <w:bottom w:w="85" w:type="dxa"/>
              <w:right w:w="57" w:type="dxa"/>
            </w:tcMar>
            <w:vAlign w:val="center"/>
          </w:tcPr>
          <w:p w14:paraId="6D47E30E" w14:textId="1BD958B5" w:rsidR="008C5ADD" w:rsidRPr="00B001A8" w:rsidRDefault="3982CBDC" w:rsidP="3982CBDC">
            <w:pPr>
              <w:rPr>
                <w:rFonts w:asciiTheme="minorHAnsi" w:hAnsiTheme="minorHAnsi" w:cs="Calibri"/>
                <w:noProof/>
                <w:color w:val="000000" w:themeColor="text1"/>
                <w:sz w:val="20"/>
              </w:rPr>
            </w:pPr>
            <w:r w:rsidRPr="3982CBDC">
              <w:rPr>
                <w:rFonts w:asciiTheme="minorHAnsi" w:hAnsiTheme="minorHAnsi" w:cs="Calibri"/>
                <w:noProof/>
                <w:color w:val="000000" w:themeColor="text1"/>
                <w:sz w:val="20"/>
              </w:rPr>
              <w:t>4</w:t>
            </w:r>
            <w:r w:rsidRPr="3982CBDC">
              <w:rPr>
                <w:rFonts w:asciiTheme="minorHAnsi" w:hAnsiTheme="minorHAnsi" w:cs="Calibri"/>
                <w:noProof/>
                <w:color w:val="000000" w:themeColor="text1"/>
                <w:sz w:val="20"/>
                <w:vertAlign w:val="superscript"/>
              </w:rPr>
              <w:t>th</w:t>
            </w:r>
            <w:r w:rsidRPr="3982CBDC">
              <w:rPr>
                <w:rFonts w:asciiTheme="minorHAnsi" w:hAnsiTheme="minorHAnsi" w:cs="Calibri"/>
                <w:noProof/>
                <w:color w:val="000000" w:themeColor="text1"/>
                <w:sz w:val="20"/>
              </w:rPr>
              <w:t>, 5</w:t>
            </w:r>
            <w:r w:rsidRPr="3982CBDC">
              <w:rPr>
                <w:rFonts w:asciiTheme="minorHAnsi" w:hAnsiTheme="minorHAnsi" w:cs="Calibri"/>
                <w:noProof/>
                <w:color w:val="000000" w:themeColor="text1"/>
                <w:sz w:val="20"/>
                <w:vertAlign w:val="superscript"/>
              </w:rPr>
              <w:t>th</w:t>
            </w:r>
            <w:r w:rsidRPr="3982CBDC">
              <w:rPr>
                <w:rFonts w:asciiTheme="minorHAnsi" w:hAnsiTheme="minorHAnsi" w:cs="Calibri"/>
                <w:noProof/>
                <w:color w:val="000000" w:themeColor="text1"/>
                <w:sz w:val="20"/>
              </w:rPr>
              <w:t xml:space="preserve"> or 6</w:t>
            </w:r>
            <w:r w:rsidRPr="3982CBDC">
              <w:rPr>
                <w:rFonts w:asciiTheme="minorHAnsi" w:hAnsiTheme="minorHAnsi" w:cs="Calibri"/>
                <w:noProof/>
                <w:color w:val="000000" w:themeColor="text1"/>
                <w:sz w:val="20"/>
                <w:vertAlign w:val="superscript"/>
              </w:rPr>
              <w:t>th</w:t>
            </w:r>
            <w:r w:rsidRPr="3982CBDC">
              <w:rPr>
                <w:rFonts w:asciiTheme="minorHAnsi" w:hAnsiTheme="minorHAnsi" w:cs="Calibri"/>
                <w:noProof/>
                <w:color w:val="000000" w:themeColor="text1"/>
                <w:sz w:val="20"/>
              </w:rPr>
              <w:t xml:space="preserve"> Assessment Report of the </w:t>
            </w:r>
            <w:r w:rsidR="00761D8A">
              <w:rPr>
                <w:rFonts w:asciiTheme="minorHAnsi" w:hAnsiTheme="minorHAnsi" w:cs="Calibri"/>
                <w:noProof/>
                <w:color w:val="000000" w:themeColor="text1"/>
                <w:sz w:val="20"/>
              </w:rPr>
              <w:t>International Panel on Climate Change (</w:t>
            </w:r>
            <w:r w:rsidRPr="3982CBDC">
              <w:rPr>
                <w:rFonts w:asciiTheme="minorHAnsi" w:hAnsiTheme="minorHAnsi" w:cs="Calibri"/>
                <w:noProof/>
                <w:color w:val="000000" w:themeColor="text1"/>
                <w:sz w:val="20"/>
              </w:rPr>
              <w:t>IPCC</w:t>
            </w:r>
            <w:r w:rsidR="00761D8A">
              <w:rPr>
                <w:rFonts w:asciiTheme="minorHAnsi" w:hAnsiTheme="minorHAnsi" w:cs="Calibri"/>
                <w:noProof/>
                <w:color w:val="000000" w:themeColor="text1"/>
                <w:sz w:val="20"/>
              </w:rPr>
              <w:t>)</w:t>
            </w:r>
          </w:p>
        </w:tc>
      </w:tr>
      <w:tr w:rsidR="00C933DD" w:rsidRPr="006F2487" w14:paraId="6C6C98D7" w14:textId="77777777" w:rsidTr="3F3807E4">
        <w:tc>
          <w:tcPr>
            <w:tcW w:w="3227" w:type="dxa"/>
            <w:tcBorders>
              <w:top w:val="nil"/>
              <w:left w:val="single" w:sz="4" w:space="0" w:color="auto"/>
              <w:bottom w:val="single" w:sz="4" w:space="0" w:color="auto"/>
              <w:right w:val="single" w:sz="4" w:space="0" w:color="auto"/>
            </w:tcBorders>
            <w:shd w:val="clear" w:color="auto" w:fill="auto"/>
            <w:tcMar>
              <w:top w:w="85" w:type="dxa"/>
              <w:left w:w="57" w:type="dxa"/>
              <w:bottom w:w="85" w:type="dxa"/>
              <w:right w:w="57" w:type="dxa"/>
            </w:tcMar>
            <w:vAlign w:val="center"/>
          </w:tcPr>
          <w:p w14:paraId="41079059" w14:textId="77777777" w:rsidR="00C933DD" w:rsidRPr="00B001A8" w:rsidRDefault="3982CBDC" w:rsidP="3982CBDC">
            <w:pPr>
              <w:rPr>
                <w:rFonts w:asciiTheme="minorHAnsi" w:hAnsiTheme="minorHAnsi"/>
                <w:noProof/>
                <w:sz w:val="20"/>
              </w:rPr>
            </w:pPr>
            <w:r w:rsidRPr="3982CBDC">
              <w:rPr>
                <w:rFonts w:asciiTheme="minorHAnsi" w:hAnsiTheme="minorHAnsi" w:cs="Calibri"/>
                <w:noProof/>
                <w:color w:val="000000" w:themeColor="text1"/>
                <w:sz w:val="20"/>
              </w:rPr>
              <w:t>Bank(s)</w:t>
            </w:r>
          </w:p>
        </w:tc>
        <w:tc>
          <w:tcPr>
            <w:tcW w:w="6379" w:type="dxa"/>
            <w:tcBorders>
              <w:top w:val="nil"/>
              <w:left w:val="nil"/>
              <w:bottom w:val="single" w:sz="4" w:space="0" w:color="auto"/>
              <w:right w:val="single" w:sz="4" w:space="0" w:color="auto"/>
            </w:tcBorders>
            <w:shd w:val="clear" w:color="auto" w:fill="auto"/>
            <w:tcMar>
              <w:top w:w="85" w:type="dxa"/>
              <w:left w:w="57" w:type="dxa"/>
              <w:bottom w:w="85" w:type="dxa"/>
              <w:right w:w="57" w:type="dxa"/>
            </w:tcMar>
            <w:vAlign w:val="center"/>
          </w:tcPr>
          <w:p w14:paraId="5A3989E9" w14:textId="77777777" w:rsidR="00C933DD" w:rsidRPr="00B001A8" w:rsidRDefault="3982CBDC" w:rsidP="3982CBDC">
            <w:pPr>
              <w:rPr>
                <w:rFonts w:asciiTheme="minorHAnsi" w:hAnsiTheme="minorHAnsi"/>
                <w:noProof/>
                <w:sz w:val="20"/>
              </w:rPr>
            </w:pPr>
            <w:r w:rsidRPr="3982CBDC">
              <w:rPr>
                <w:rFonts w:asciiTheme="minorHAnsi" w:hAnsiTheme="minorHAnsi" w:cs="Calibri"/>
                <w:noProof/>
                <w:color w:val="000000" w:themeColor="text1"/>
                <w:sz w:val="20"/>
              </w:rPr>
              <w:t>The amount of substance (e.g. HFC) contained in existing equipment (e.g. refrigerators, foams), chemical stockpiles and other products, including after their end of useful life; or recovered and stored ready for use</w:t>
            </w:r>
          </w:p>
        </w:tc>
      </w:tr>
      <w:tr w:rsidR="00C933DD" w:rsidRPr="006F2487" w14:paraId="0507E477" w14:textId="77777777" w:rsidTr="3F3807E4">
        <w:tc>
          <w:tcPr>
            <w:tcW w:w="3227" w:type="dxa"/>
            <w:tcBorders>
              <w:top w:val="nil"/>
              <w:left w:val="single" w:sz="4" w:space="0" w:color="auto"/>
              <w:bottom w:val="single" w:sz="4" w:space="0" w:color="auto"/>
              <w:right w:val="single" w:sz="4" w:space="0" w:color="auto"/>
            </w:tcBorders>
            <w:shd w:val="clear" w:color="auto" w:fill="auto"/>
            <w:tcMar>
              <w:top w:w="85" w:type="dxa"/>
              <w:left w:w="57" w:type="dxa"/>
              <w:bottom w:w="85" w:type="dxa"/>
              <w:right w:w="57" w:type="dxa"/>
            </w:tcMar>
            <w:vAlign w:val="center"/>
          </w:tcPr>
          <w:p w14:paraId="1D307136" w14:textId="77777777" w:rsidR="00C933DD" w:rsidRPr="006F2487" w:rsidRDefault="3982CBDC" w:rsidP="3982CBDC">
            <w:pPr>
              <w:rPr>
                <w:rFonts w:asciiTheme="minorHAnsi" w:hAnsiTheme="minorHAnsi" w:cs="Calibri"/>
                <w:noProof/>
                <w:color w:val="000000" w:themeColor="text1"/>
                <w:sz w:val="20"/>
              </w:rPr>
            </w:pPr>
            <w:r w:rsidRPr="3982CBDC">
              <w:rPr>
                <w:rFonts w:asciiTheme="minorHAnsi" w:hAnsiTheme="minorHAnsi" w:cs="Calibri"/>
                <w:noProof/>
                <w:color w:val="000000" w:themeColor="text1"/>
                <w:sz w:val="20"/>
              </w:rPr>
              <w:t>BDR</w:t>
            </w:r>
          </w:p>
        </w:tc>
        <w:tc>
          <w:tcPr>
            <w:tcW w:w="6379" w:type="dxa"/>
            <w:tcBorders>
              <w:top w:val="nil"/>
              <w:left w:val="nil"/>
              <w:bottom w:val="single" w:sz="4" w:space="0" w:color="auto"/>
              <w:right w:val="single" w:sz="4" w:space="0" w:color="auto"/>
            </w:tcBorders>
            <w:shd w:val="clear" w:color="auto" w:fill="auto"/>
            <w:tcMar>
              <w:top w:w="85" w:type="dxa"/>
              <w:left w:w="57" w:type="dxa"/>
              <w:bottom w:w="85" w:type="dxa"/>
              <w:right w:w="57" w:type="dxa"/>
            </w:tcMar>
            <w:vAlign w:val="center"/>
          </w:tcPr>
          <w:p w14:paraId="6673D6E4" w14:textId="77777777" w:rsidR="00C933DD" w:rsidRPr="006F2487" w:rsidRDefault="3982CBDC" w:rsidP="3982CBDC">
            <w:pPr>
              <w:rPr>
                <w:rFonts w:asciiTheme="minorHAnsi" w:hAnsiTheme="minorHAnsi" w:cs="Calibri"/>
                <w:noProof/>
                <w:color w:val="000000" w:themeColor="text1"/>
                <w:sz w:val="20"/>
              </w:rPr>
            </w:pPr>
            <w:r w:rsidRPr="3982CBDC">
              <w:rPr>
                <w:rFonts w:asciiTheme="minorHAnsi" w:hAnsiTheme="minorHAnsi" w:cs="Calibri"/>
                <w:noProof/>
                <w:color w:val="000000" w:themeColor="text1"/>
                <w:sz w:val="20"/>
              </w:rPr>
              <w:t xml:space="preserve">EEA’s “business data repository”, where annual reporting by companies is received and stored </w:t>
            </w:r>
          </w:p>
        </w:tc>
      </w:tr>
      <w:tr w:rsidR="00C933DD" w:rsidRPr="006F2487" w14:paraId="45CBEC63" w14:textId="77777777" w:rsidTr="3F3807E4">
        <w:tc>
          <w:tcPr>
            <w:tcW w:w="3227" w:type="dxa"/>
            <w:tcBorders>
              <w:top w:val="nil"/>
              <w:left w:val="single" w:sz="4" w:space="0" w:color="auto"/>
              <w:bottom w:val="single" w:sz="4" w:space="0" w:color="auto"/>
              <w:right w:val="single" w:sz="4" w:space="0" w:color="auto"/>
            </w:tcBorders>
            <w:shd w:val="clear" w:color="auto" w:fill="auto"/>
            <w:tcMar>
              <w:top w:w="85" w:type="dxa"/>
              <w:left w:w="57" w:type="dxa"/>
              <w:bottom w:w="85" w:type="dxa"/>
              <w:right w:w="57" w:type="dxa"/>
            </w:tcMar>
            <w:vAlign w:val="center"/>
          </w:tcPr>
          <w:p w14:paraId="1AD45178" w14:textId="77777777" w:rsidR="00C933DD" w:rsidRPr="006F2487" w:rsidRDefault="3982CBDC" w:rsidP="3982CBDC">
            <w:pPr>
              <w:rPr>
                <w:rFonts w:asciiTheme="minorHAnsi" w:hAnsiTheme="minorHAnsi" w:cs="Calibri"/>
                <w:noProof/>
                <w:color w:val="000000" w:themeColor="text1"/>
                <w:sz w:val="20"/>
                <w:highlight w:val="yellow"/>
              </w:rPr>
            </w:pPr>
            <w:r w:rsidRPr="3982CBDC">
              <w:rPr>
                <w:rFonts w:asciiTheme="minorHAnsi" w:hAnsiTheme="minorHAnsi" w:cs="Calibri"/>
                <w:noProof/>
                <w:color w:val="000000" w:themeColor="text1"/>
                <w:sz w:val="20"/>
              </w:rPr>
              <w:t>Bulk (HFC, F-gas)</w:t>
            </w:r>
          </w:p>
        </w:tc>
        <w:tc>
          <w:tcPr>
            <w:tcW w:w="6379" w:type="dxa"/>
            <w:tcBorders>
              <w:top w:val="nil"/>
              <w:left w:val="nil"/>
              <w:bottom w:val="single" w:sz="4" w:space="0" w:color="auto"/>
              <w:right w:val="single" w:sz="4" w:space="0" w:color="auto"/>
            </w:tcBorders>
            <w:shd w:val="clear" w:color="auto" w:fill="auto"/>
            <w:tcMar>
              <w:top w:w="85" w:type="dxa"/>
              <w:left w:w="57" w:type="dxa"/>
              <w:bottom w:w="85" w:type="dxa"/>
              <w:right w:w="57" w:type="dxa"/>
            </w:tcMar>
            <w:vAlign w:val="center"/>
          </w:tcPr>
          <w:p w14:paraId="5E4630D3" w14:textId="77777777" w:rsidR="00C933DD" w:rsidRPr="006F2487" w:rsidRDefault="3982CBDC" w:rsidP="3982CBDC">
            <w:pPr>
              <w:rPr>
                <w:rFonts w:asciiTheme="minorHAnsi" w:hAnsiTheme="minorHAnsi" w:cs="Calibri"/>
                <w:noProof/>
                <w:color w:val="000000" w:themeColor="text1"/>
                <w:sz w:val="20"/>
              </w:rPr>
            </w:pPr>
            <w:r w:rsidRPr="3982CBDC">
              <w:rPr>
                <w:rFonts w:asciiTheme="minorHAnsi" w:hAnsiTheme="minorHAnsi" w:cs="Calibri"/>
                <w:noProof/>
                <w:color w:val="000000" w:themeColor="text1"/>
                <w:sz w:val="20"/>
              </w:rPr>
              <w:t>Refers to HFC gas/F-gases in containers (for transport, storage etc.) as opposed to already filled into products (e.g. an aerosol spray can) or equipment (e.g. an air conditioner)</w:t>
            </w:r>
          </w:p>
        </w:tc>
      </w:tr>
      <w:tr w:rsidR="001E394B" w:rsidRPr="006F2487" w14:paraId="4F8A5708" w14:textId="77777777" w:rsidTr="3F3807E4">
        <w:tc>
          <w:tcPr>
            <w:tcW w:w="3227" w:type="dxa"/>
            <w:tcBorders>
              <w:top w:val="nil"/>
              <w:left w:val="single" w:sz="4" w:space="0" w:color="auto"/>
              <w:bottom w:val="single" w:sz="4" w:space="0" w:color="auto"/>
              <w:right w:val="single" w:sz="4" w:space="0" w:color="auto"/>
            </w:tcBorders>
            <w:shd w:val="clear" w:color="auto" w:fill="auto"/>
            <w:tcMar>
              <w:top w:w="85" w:type="dxa"/>
              <w:left w:w="57" w:type="dxa"/>
              <w:bottom w:w="85" w:type="dxa"/>
              <w:right w:w="57" w:type="dxa"/>
            </w:tcMar>
            <w:vAlign w:val="center"/>
          </w:tcPr>
          <w:p w14:paraId="6B67A16F" w14:textId="494347E3" w:rsidR="001E394B" w:rsidRPr="3982CBDC" w:rsidRDefault="001E394B" w:rsidP="3982CBDC">
            <w:pPr>
              <w:rPr>
                <w:rFonts w:asciiTheme="minorHAnsi" w:hAnsiTheme="minorHAnsi" w:cs="Calibri"/>
                <w:noProof/>
                <w:color w:val="000000" w:themeColor="text1"/>
                <w:sz w:val="20"/>
              </w:rPr>
            </w:pPr>
            <w:r>
              <w:rPr>
                <w:rFonts w:asciiTheme="minorHAnsi" w:hAnsiTheme="minorHAnsi" w:cs="Calibri"/>
                <w:noProof/>
                <w:color w:val="000000" w:themeColor="text1"/>
                <w:sz w:val="20"/>
              </w:rPr>
              <w:t>Capex</w:t>
            </w:r>
          </w:p>
        </w:tc>
        <w:tc>
          <w:tcPr>
            <w:tcW w:w="6379" w:type="dxa"/>
            <w:tcBorders>
              <w:top w:val="nil"/>
              <w:left w:val="nil"/>
              <w:bottom w:val="single" w:sz="4" w:space="0" w:color="auto"/>
              <w:right w:val="single" w:sz="4" w:space="0" w:color="auto"/>
            </w:tcBorders>
            <w:shd w:val="clear" w:color="auto" w:fill="auto"/>
            <w:tcMar>
              <w:top w:w="85" w:type="dxa"/>
              <w:left w:w="57" w:type="dxa"/>
              <w:bottom w:w="85" w:type="dxa"/>
              <w:right w:w="57" w:type="dxa"/>
            </w:tcMar>
            <w:vAlign w:val="center"/>
          </w:tcPr>
          <w:p w14:paraId="01A91B56" w14:textId="67566121" w:rsidR="001E394B" w:rsidRPr="3982CBDC" w:rsidRDefault="001E394B" w:rsidP="3982CBDC">
            <w:pPr>
              <w:rPr>
                <w:rFonts w:asciiTheme="minorHAnsi" w:hAnsiTheme="minorHAnsi" w:cs="Calibri"/>
                <w:noProof/>
                <w:color w:val="000000" w:themeColor="text1"/>
                <w:sz w:val="20"/>
              </w:rPr>
            </w:pPr>
            <w:r>
              <w:rPr>
                <w:rFonts w:asciiTheme="minorHAnsi" w:hAnsiTheme="minorHAnsi" w:cs="Calibri"/>
                <w:noProof/>
                <w:color w:val="000000" w:themeColor="text1"/>
                <w:sz w:val="20"/>
              </w:rPr>
              <w:t>Capital expenditure</w:t>
            </w:r>
          </w:p>
        </w:tc>
      </w:tr>
      <w:tr w:rsidR="00C933DD" w:rsidRPr="006F2487" w14:paraId="3425809B" w14:textId="77777777" w:rsidTr="3F3807E4">
        <w:tc>
          <w:tcPr>
            <w:tcW w:w="3227" w:type="dxa"/>
            <w:tcBorders>
              <w:top w:val="nil"/>
              <w:left w:val="single" w:sz="4" w:space="0" w:color="auto"/>
              <w:bottom w:val="single" w:sz="4" w:space="0" w:color="auto"/>
              <w:right w:val="single" w:sz="4" w:space="0" w:color="auto"/>
            </w:tcBorders>
            <w:shd w:val="clear" w:color="auto" w:fill="auto"/>
            <w:tcMar>
              <w:top w:w="85" w:type="dxa"/>
              <w:left w:w="57" w:type="dxa"/>
              <w:bottom w:w="85" w:type="dxa"/>
              <w:right w:w="57" w:type="dxa"/>
            </w:tcMar>
            <w:vAlign w:val="center"/>
          </w:tcPr>
          <w:p w14:paraId="3B3874B9" w14:textId="77777777" w:rsidR="00C933DD" w:rsidRPr="00B001A8" w:rsidRDefault="3982CBDC" w:rsidP="3982CBDC">
            <w:pPr>
              <w:rPr>
                <w:rFonts w:asciiTheme="minorHAnsi" w:hAnsiTheme="minorHAnsi" w:cs="Calibri"/>
                <w:noProof/>
                <w:color w:val="000000" w:themeColor="text1"/>
                <w:sz w:val="20"/>
              </w:rPr>
            </w:pPr>
            <w:r w:rsidRPr="3982CBDC">
              <w:rPr>
                <w:rFonts w:asciiTheme="minorHAnsi" w:hAnsiTheme="minorHAnsi" w:cs="Calibri"/>
                <w:noProof/>
                <w:color w:val="000000" w:themeColor="text1"/>
                <w:sz w:val="20"/>
              </w:rPr>
              <w:t>CERTEX</w:t>
            </w:r>
          </w:p>
        </w:tc>
        <w:tc>
          <w:tcPr>
            <w:tcW w:w="6379" w:type="dxa"/>
            <w:tcBorders>
              <w:top w:val="nil"/>
              <w:left w:val="nil"/>
              <w:bottom w:val="single" w:sz="4" w:space="0" w:color="auto"/>
              <w:right w:val="single" w:sz="4" w:space="0" w:color="auto"/>
            </w:tcBorders>
            <w:shd w:val="clear" w:color="auto" w:fill="auto"/>
            <w:tcMar>
              <w:top w:w="85" w:type="dxa"/>
              <w:left w:w="57" w:type="dxa"/>
              <w:bottom w:w="85" w:type="dxa"/>
              <w:right w:w="57" w:type="dxa"/>
            </w:tcMar>
            <w:vAlign w:val="center"/>
          </w:tcPr>
          <w:p w14:paraId="7FE2A01D" w14:textId="77777777" w:rsidR="00C933DD" w:rsidRPr="00B001A8" w:rsidRDefault="3982CBDC" w:rsidP="3982CBDC">
            <w:pPr>
              <w:rPr>
                <w:rFonts w:asciiTheme="minorHAnsi" w:hAnsiTheme="minorHAnsi" w:cs="Calibri"/>
                <w:noProof/>
                <w:color w:val="000000" w:themeColor="text1"/>
                <w:sz w:val="20"/>
              </w:rPr>
            </w:pPr>
            <w:r w:rsidRPr="3982CBDC">
              <w:rPr>
                <w:rFonts w:asciiTheme="minorHAnsi" w:hAnsiTheme="minorHAnsi" w:cs="Calibri"/>
                <w:noProof/>
                <w:color w:val="000000" w:themeColor="text1"/>
                <w:sz w:val="20"/>
              </w:rPr>
              <w:t xml:space="preserve">IT system that allows to exchange data (“certificates”) on relevant F-gas shipments between the central EU F-gas Portal &amp; HFC Licensing System and custom offices in the Member States directly; IT precursor of the European Single Window Environment for Customs </w:t>
            </w:r>
          </w:p>
        </w:tc>
      </w:tr>
      <w:tr w:rsidR="00C933DD" w:rsidRPr="006F2487" w14:paraId="5B502495" w14:textId="77777777" w:rsidTr="3F3807E4">
        <w:tc>
          <w:tcPr>
            <w:tcW w:w="3227" w:type="dxa"/>
            <w:tcBorders>
              <w:top w:val="nil"/>
              <w:left w:val="single" w:sz="4" w:space="0" w:color="auto"/>
              <w:bottom w:val="single" w:sz="4" w:space="0" w:color="auto"/>
              <w:right w:val="single" w:sz="4" w:space="0" w:color="auto"/>
            </w:tcBorders>
            <w:shd w:val="clear" w:color="auto" w:fill="auto"/>
            <w:tcMar>
              <w:top w:w="85" w:type="dxa"/>
              <w:left w:w="57" w:type="dxa"/>
              <w:bottom w:w="85" w:type="dxa"/>
              <w:right w:w="57" w:type="dxa"/>
            </w:tcMar>
            <w:vAlign w:val="center"/>
          </w:tcPr>
          <w:p w14:paraId="1DC38EC1" w14:textId="77777777" w:rsidR="00C933DD" w:rsidRPr="00B001A8" w:rsidRDefault="3982CBDC" w:rsidP="3982CBDC">
            <w:pPr>
              <w:rPr>
                <w:rFonts w:asciiTheme="minorHAnsi" w:hAnsiTheme="minorHAnsi" w:cs="Calibri"/>
                <w:noProof/>
                <w:color w:val="000000" w:themeColor="text1"/>
                <w:sz w:val="20"/>
              </w:rPr>
            </w:pPr>
            <w:r w:rsidRPr="3982CBDC">
              <w:rPr>
                <w:rFonts w:asciiTheme="minorHAnsi" w:hAnsiTheme="minorHAnsi" w:cs="Calibri"/>
                <w:noProof/>
                <w:color w:val="000000" w:themeColor="text1"/>
                <w:sz w:val="20"/>
              </w:rPr>
              <w:t>CDW</w:t>
            </w:r>
          </w:p>
        </w:tc>
        <w:tc>
          <w:tcPr>
            <w:tcW w:w="6379" w:type="dxa"/>
            <w:tcBorders>
              <w:top w:val="nil"/>
              <w:left w:val="nil"/>
              <w:bottom w:val="single" w:sz="4" w:space="0" w:color="auto"/>
              <w:right w:val="single" w:sz="4" w:space="0" w:color="auto"/>
            </w:tcBorders>
            <w:shd w:val="clear" w:color="auto" w:fill="auto"/>
            <w:tcMar>
              <w:top w:w="85" w:type="dxa"/>
              <w:left w:w="57" w:type="dxa"/>
              <w:bottom w:w="85" w:type="dxa"/>
              <w:right w:w="57" w:type="dxa"/>
            </w:tcMar>
            <w:vAlign w:val="center"/>
          </w:tcPr>
          <w:p w14:paraId="724850C9" w14:textId="77777777" w:rsidR="00C933DD" w:rsidRPr="00B001A8" w:rsidRDefault="3982CBDC" w:rsidP="3982CBDC">
            <w:pPr>
              <w:rPr>
                <w:rFonts w:asciiTheme="minorHAnsi" w:hAnsiTheme="minorHAnsi" w:cs="Calibri"/>
                <w:noProof/>
                <w:color w:val="000000" w:themeColor="text1"/>
                <w:sz w:val="20"/>
              </w:rPr>
            </w:pPr>
            <w:r w:rsidRPr="3982CBDC">
              <w:rPr>
                <w:rFonts w:asciiTheme="minorHAnsi" w:hAnsiTheme="minorHAnsi" w:cs="Calibri"/>
                <w:noProof/>
                <w:color w:val="000000" w:themeColor="text1"/>
                <w:sz w:val="20"/>
              </w:rPr>
              <w:t>Construction and demolition wastes</w:t>
            </w:r>
          </w:p>
        </w:tc>
      </w:tr>
      <w:tr w:rsidR="00D255EA" w:rsidRPr="006F2487" w14:paraId="428839AB" w14:textId="77777777" w:rsidTr="3F3807E4">
        <w:tc>
          <w:tcPr>
            <w:tcW w:w="3227" w:type="dxa"/>
            <w:tcBorders>
              <w:top w:val="nil"/>
              <w:left w:val="single" w:sz="4" w:space="0" w:color="auto"/>
              <w:bottom w:val="single" w:sz="4" w:space="0" w:color="auto"/>
              <w:right w:val="single" w:sz="4" w:space="0" w:color="auto"/>
            </w:tcBorders>
            <w:shd w:val="clear" w:color="auto" w:fill="auto"/>
            <w:tcMar>
              <w:top w:w="85" w:type="dxa"/>
              <w:left w:w="57" w:type="dxa"/>
              <w:bottom w:w="85" w:type="dxa"/>
              <w:right w:w="57" w:type="dxa"/>
            </w:tcMar>
            <w:vAlign w:val="center"/>
          </w:tcPr>
          <w:p w14:paraId="2EB8C004" w14:textId="5635E830" w:rsidR="00D255EA" w:rsidRPr="3982CBDC" w:rsidRDefault="00D255EA" w:rsidP="3982CBDC">
            <w:pPr>
              <w:rPr>
                <w:rFonts w:asciiTheme="minorHAnsi" w:hAnsiTheme="minorHAnsi" w:cs="Calibri"/>
                <w:noProof/>
                <w:color w:val="000000" w:themeColor="text1"/>
                <w:sz w:val="20"/>
              </w:rPr>
            </w:pPr>
            <w:r>
              <w:rPr>
                <w:rFonts w:asciiTheme="minorHAnsi" w:hAnsiTheme="minorHAnsi" w:cs="Calibri"/>
                <w:noProof/>
                <w:color w:val="000000" w:themeColor="text1"/>
                <w:sz w:val="20"/>
              </w:rPr>
              <w:t xml:space="preserve">CN </w:t>
            </w:r>
          </w:p>
        </w:tc>
        <w:tc>
          <w:tcPr>
            <w:tcW w:w="6379" w:type="dxa"/>
            <w:tcBorders>
              <w:top w:val="nil"/>
              <w:left w:val="nil"/>
              <w:bottom w:val="single" w:sz="4" w:space="0" w:color="auto"/>
              <w:right w:val="single" w:sz="4" w:space="0" w:color="auto"/>
            </w:tcBorders>
            <w:shd w:val="clear" w:color="auto" w:fill="auto"/>
            <w:tcMar>
              <w:top w:w="85" w:type="dxa"/>
              <w:left w:w="57" w:type="dxa"/>
              <w:bottom w:w="85" w:type="dxa"/>
              <w:right w:w="57" w:type="dxa"/>
            </w:tcMar>
            <w:vAlign w:val="center"/>
          </w:tcPr>
          <w:p w14:paraId="00AB3120" w14:textId="249857D2" w:rsidR="00D255EA" w:rsidRPr="3982CBDC" w:rsidRDefault="00DE3174" w:rsidP="00D255EA">
            <w:pPr>
              <w:jc w:val="left"/>
              <w:rPr>
                <w:rFonts w:asciiTheme="minorHAnsi" w:hAnsiTheme="minorHAnsi" w:cs="Calibri"/>
                <w:noProof/>
                <w:color w:val="000000" w:themeColor="text1"/>
                <w:sz w:val="20"/>
              </w:rPr>
            </w:pPr>
            <w:r>
              <w:rPr>
                <w:rFonts w:asciiTheme="minorHAnsi" w:hAnsiTheme="minorHAnsi" w:cs="Calibri"/>
                <w:noProof/>
                <w:color w:val="000000" w:themeColor="text1"/>
                <w:sz w:val="20"/>
              </w:rPr>
              <w:t xml:space="preserve">EU </w:t>
            </w:r>
            <w:r w:rsidR="00D255EA" w:rsidRPr="00D255EA">
              <w:rPr>
                <w:rFonts w:asciiTheme="minorHAnsi" w:hAnsiTheme="minorHAnsi" w:cs="Calibri"/>
                <w:noProof/>
                <w:color w:val="000000" w:themeColor="text1"/>
                <w:sz w:val="20"/>
              </w:rPr>
              <w:t>Combined Nomenclature</w:t>
            </w:r>
            <w:r>
              <w:rPr>
                <w:rFonts w:asciiTheme="minorHAnsi" w:hAnsiTheme="minorHAnsi" w:cs="Calibri"/>
                <w:noProof/>
                <w:color w:val="000000" w:themeColor="text1"/>
                <w:sz w:val="20"/>
              </w:rPr>
              <w:t>; tool for classifying goods to meet the requirements of common customs tariff and external trade statistics</w:t>
            </w:r>
            <w:r w:rsidR="00D255EA" w:rsidRPr="00D255EA">
              <w:rPr>
                <w:rFonts w:asciiTheme="minorHAnsi" w:hAnsiTheme="minorHAnsi" w:cs="Calibri"/>
                <w:noProof/>
                <w:color w:val="000000" w:themeColor="text1"/>
                <w:sz w:val="20"/>
              </w:rPr>
              <w:t xml:space="preserve"> </w:t>
            </w:r>
            <w:hyperlink r:id="rId24" w:history="1">
              <w:r w:rsidR="00D255EA" w:rsidRPr="00D255EA">
                <w:rPr>
                  <w:rStyle w:val="Hyperlink"/>
                  <w:rFonts w:asciiTheme="minorHAnsi" w:hAnsiTheme="minorHAnsi" w:cs="Calibri"/>
                  <w:noProof/>
                  <w:sz w:val="20"/>
                </w:rPr>
                <w:t>https://ec.europa.eu/taxation_customs/business/calculation-customs-duties/customs-tariff/combined-nomenclature_en</w:t>
              </w:r>
            </w:hyperlink>
          </w:p>
        </w:tc>
      </w:tr>
      <w:tr w:rsidR="00C933DD" w:rsidRPr="006F2487" w14:paraId="758F9CCF" w14:textId="77777777" w:rsidTr="3F3807E4">
        <w:tc>
          <w:tcPr>
            <w:tcW w:w="3227" w:type="dxa"/>
            <w:tcBorders>
              <w:top w:val="nil"/>
              <w:left w:val="single" w:sz="4" w:space="0" w:color="auto"/>
              <w:bottom w:val="single" w:sz="4" w:space="0" w:color="auto"/>
              <w:right w:val="single" w:sz="4" w:space="0" w:color="auto"/>
            </w:tcBorders>
            <w:shd w:val="clear" w:color="auto" w:fill="auto"/>
            <w:tcMar>
              <w:top w:w="85" w:type="dxa"/>
              <w:left w:w="57" w:type="dxa"/>
              <w:bottom w:w="85" w:type="dxa"/>
              <w:right w:w="57" w:type="dxa"/>
            </w:tcMar>
            <w:vAlign w:val="center"/>
          </w:tcPr>
          <w:p w14:paraId="2C9841D2" w14:textId="77777777" w:rsidR="00C933DD" w:rsidRPr="00B001A8" w:rsidRDefault="3982CBDC" w:rsidP="3982CBDC">
            <w:pPr>
              <w:rPr>
                <w:rFonts w:asciiTheme="minorHAnsi" w:hAnsiTheme="minorHAnsi"/>
                <w:noProof/>
                <w:sz w:val="20"/>
              </w:rPr>
            </w:pPr>
            <w:r w:rsidRPr="3982CBDC">
              <w:rPr>
                <w:rFonts w:asciiTheme="minorHAnsi" w:hAnsiTheme="minorHAnsi" w:cs="Calibri"/>
                <w:noProof/>
                <w:color w:val="000000" w:themeColor="text1"/>
                <w:sz w:val="20"/>
              </w:rPr>
              <w:t>CO</w:t>
            </w:r>
            <w:r w:rsidRPr="3982CBDC">
              <w:rPr>
                <w:rFonts w:asciiTheme="minorHAnsi" w:hAnsiTheme="minorHAnsi" w:cs="Calibri"/>
                <w:noProof/>
                <w:color w:val="000000" w:themeColor="text1"/>
                <w:sz w:val="20"/>
                <w:vertAlign w:val="subscript"/>
              </w:rPr>
              <w:t>2</w:t>
            </w:r>
            <w:r w:rsidRPr="3982CBDC">
              <w:rPr>
                <w:rFonts w:asciiTheme="minorHAnsi" w:hAnsiTheme="minorHAnsi" w:cs="Calibri"/>
                <w:noProof/>
                <w:color w:val="000000" w:themeColor="text1"/>
                <w:sz w:val="20"/>
              </w:rPr>
              <w:t>e(quivalent)</w:t>
            </w:r>
          </w:p>
        </w:tc>
        <w:tc>
          <w:tcPr>
            <w:tcW w:w="6379" w:type="dxa"/>
            <w:tcBorders>
              <w:top w:val="nil"/>
              <w:left w:val="nil"/>
              <w:bottom w:val="single" w:sz="4" w:space="0" w:color="auto"/>
              <w:right w:val="single" w:sz="4" w:space="0" w:color="auto"/>
            </w:tcBorders>
            <w:shd w:val="clear" w:color="auto" w:fill="auto"/>
            <w:tcMar>
              <w:top w:w="85" w:type="dxa"/>
              <w:left w:w="57" w:type="dxa"/>
              <w:bottom w:w="85" w:type="dxa"/>
              <w:right w:w="57" w:type="dxa"/>
            </w:tcMar>
            <w:vAlign w:val="center"/>
          </w:tcPr>
          <w:p w14:paraId="6821D906" w14:textId="77777777" w:rsidR="00C933DD" w:rsidRPr="00B001A8" w:rsidRDefault="3982CBDC" w:rsidP="3982CBDC">
            <w:pPr>
              <w:rPr>
                <w:rFonts w:asciiTheme="minorHAnsi" w:hAnsiTheme="minorHAnsi"/>
                <w:noProof/>
                <w:sz w:val="20"/>
              </w:rPr>
            </w:pPr>
            <w:r w:rsidRPr="3982CBDC">
              <w:rPr>
                <w:rFonts w:asciiTheme="minorHAnsi" w:hAnsiTheme="minorHAnsi" w:cs="Calibri"/>
                <w:noProof/>
                <w:color w:val="000000" w:themeColor="text1"/>
                <w:sz w:val="20"/>
              </w:rPr>
              <w:t>The CO</w:t>
            </w:r>
            <w:r w:rsidRPr="3982CBDC">
              <w:rPr>
                <w:rFonts w:asciiTheme="minorHAnsi" w:hAnsiTheme="minorHAnsi" w:cs="Calibri"/>
                <w:noProof/>
                <w:color w:val="000000" w:themeColor="text1"/>
                <w:sz w:val="20"/>
                <w:vertAlign w:val="subscript"/>
              </w:rPr>
              <w:t>2</w:t>
            </w:r>
            <w:r w:rsidRPr="3982CBDC">
              <w:rPr>
                <w:rFonts w:asciiTheme="minorHAnsi" w:hAnsiTheme="minorHAnsi" w:cs="Calibri"/>
                <w:noProof/>
                <w:color w:val="000000" w:themeColor="text1"/>
                <w:sz w:val="20"/>
              </w:rPr>
              <w:t xml:space="preserve"> equivalent is the quantity of a gas in metric tonnes multiplied by its associated global warming potential (GWP). This is used to compare the emissions from various greenhouse gases based upon their global warming potential</w:t>
            </w:r>
          </w:p>
        </w:tc>
      </w:tr>
      <w:tr w:rsidR="00C933DD" w:rsidRPr="006F2487" w14:paraId="348C6187" w14:textId="77777777" w:rsidTr="3F3807E4">
        <w:tc>
          <w:tcPr>
            <w:tcW w:w="3227" w:type="dxa"/>
            <w:tcBorders>
              <w:top w:val="nil"/>
              <w:left w:val="single" w:sz="4" w:space="0" w:color="auto"/>
              <w:bottom w:val="single" w:sz="4" w:space="0" w:color="auto"/>
              <w:right w:val="single" w:sz="4" w:space="0" w:color="auto"/>
            </w:tcBorders>
            <w:shd w:val="clear" w:color="auto" w:fill="auto"/>
            <w:tcMar>
              <w:top w:w="85" w:type="dxa"/>
              <w:left w:w="57" w:type="dxa"/>
              <w:bottom w:w="85" w:type="dxa"/>
              <w:right w:w="57" w:type="dxa"/>
            </w:tcMar>
            <w:vAlign w:val="center"/>
          </w:tcPr>
          <w:p w14:paraId="217FA50A" w14:textId="77777777" w:rsidR="00C933DD" w:rsidRPr="00B001A8" w:rsidRDefault="3982CBDC" w:rsidP="3982CBDC">
            <w:pPr>
              <w:rPr>
                <w:rFonts w:asciiTheme="minorHAnsi" w:hAnsiTheme="minorHAnsi"/>
                <w:noProof/>
                <w:sz w:val="20"/>
              </w:rPr>
            </w:pPr>
            <w:r w:rsidRPr="3982CBDC">
              <w:rPr>
                <w:rFonts w:asciiTheme="minorHAnsi" w:hAnsiTheme="minorHAnsi" w:cs="Calibri"/>
                <w:noProof/>
                <w:color w:val="000000" w:themeColor="text1"/>
                <w:sz w:val="20"/>
              </w:rPr>
              <w:t>Consumption</w:t>
            </w:r>
          </w:p>
        </w:tc>
        <w:tc>
          <w:tcPr>
            <w:tcW w:w="6379" w:type="dxa"/>
            <w:tcBorders>
              <w:top w:val="nil"/>
              <w:left w:val="nil"/>
              <w:bottom w:val="single" w:sz="4" w:space="0" w:color="auto"/>
              <w:right w:val="single" w:sz="4" w:space="0" w:color="auto"/>
            </w:tcBorders>
            <w:shd w:val="clear" w:color="auto" w:fill="auto"/>
            <w:tcMar>
              <w:top w:w="85" w:type="dxa"/>
              <w:left w:w="57" w:type="dxa"/>
              <w:bottom w:w="85" w:type="dxa"/>
              <w:right w:w="57" w:type="dxa"/>
            </w:tcMar>
            <w:vAlign w:val="center"/>
          </w:tcPr>
          <w:p w14:paraId="38EB4394" w14:textId="77777777" w:rsidR="00C933DD" w:rsidRPr="00B001A8" w:rsidRDefault="3982CBDC" w:rsidP="3982CBDC">
            <w:pPr>
              <w:rPr>
                <w:rFonts w:asciiTheme="minorHAnsi" w:hAnsiTheme="minorHAnsi"/>
                <w:noProof/>
                <w:sz w:val="20"/>
              </w:rPr>
            </w:pPr>
            <w:r w:rsidRPr="3982CBDC">
              <w:rPr>
                <w:rFonts w:asciiTheme="minorHAnsi" w:hAnsiTheme="minorHAnsi" w:cs="Calibri"/>
                <w:noProof/>
                <w:color w:val="000000" w:themeColor="text1"/>
                <w:sz w:val="20"/>
              </w:rPr>
              <w:t>The quantity of HFC produced plus imported, minus exported minus destroyed. Calculation of consumption under the Montreal Protocol excludes non-virgin bulk imports and exports, as well as substances intended for feedstock and process agent use</w:t>
            </w:r>
          </w:p>
        </w:tc>
      </w:tr>
      <w:tr w:rsidR="00CC03E3" w:rsidRPr="006F2487" w14:paraId="1EBB0C15" w14:textId="77777777" w:rsidTr="3F3807E4">
        <w:tc>
          <w:tcPr>
            <w:tcW w:w="3227" w:type="dxa"/>
            <w:tcBorders>
              <w:top w:val="nil"/>
              <w:left w:val="single" w:sz="4" w:space="0" w:color="auto"/>
              <w:bottom w:val="single" w:sz="4" w:space="0" w:color="auto"/>
              <w:right w:val="single" w:sz="4" w:space="0" w:color="auto"/>
            </w:tcBorders>
            <w:shd w:val="clear" w:color="auto" w:fill="FFFFFF" w:themeFill="background1"/>
            <w:tcMar>
              <w:top w:w="85" w:type="dxa"/>
              <w:left w:w="57" w:type="dxa"/>
              <w:bottom w:w="85" w:type="dxa"/>
              <w:right w:w="57" w:type="dxa"/>
            </w:tcMar>
            <w:vAlign w:val="center"/>
          </w:tcPr>
          <w:p w14:paraId="50B68729" w14:textId="2575668B" w:rsidR="00CC03E3" w:rsidRPr="3982CBDC" w:rsidRDefault="00CC03E3" w:rsidP="3982CBDC">
            <w:pPr>
              <w:rPr>
                <w:rFonts w:asciiTheme="minorHAnsi" w:hAnsiTheme="minorHAnsi" w:cs="Calibri"/>
                <w:noProof/>
                <w:color w:val="000000" w:themeColor="text1"/>
                <w:sz w:val="20"/>
              </w:rPr>
            </w:pPr>
            <w:r>
              <w:rPr>
                <w:rFonts w:asciiTheme="minorHAnsi" w:hAnsiTheme="minorHAnsi" w:cs="Calibri"/>
                <w:noProof/>
                <w:color w:val="000000" w:themeColor="text1"/>
                <w:sz w:val="20"/>
              </w:rPr>
              <w:t>ECHA</w:t>
            </w:r>
          </w:p>
        </w:tc>
        <w:tc>
          <w:tcPr>
            <w:tcW w:w="6379" w:type="dxa"/>
            <w:tcBorders>
              <w:top w:val="nil"/>
              <w:left w:val="nil"/>
              <w:bottom w:val="single" w:sz="4" w:space="0" w:color="auto"/>
              <w:right w:val="single" w:sz="4" w:space="0" w:color="auto"/>
            </w:tcBorders>
            <w:shd w:val="clear" w:color="auto" w:fill="FFFFFF" w:themeFill="background1"/>
            <w:tcMar>
              <w:top w:w="85" w:type="dxa"/>
              <w:left w:w="57" w:type="dxa"/>
              <w:bottom w:w="85" w:type="dxa"/>
              <w:right w:w="57" w:type="dxa"/>
            </w:tcMar>
            <w:vAlign w:val="center"/>
          </w:tcPr>
          <w:p w14:paraId="056C1700" w14:textId="6328BD14" w:rsidR="00CC03E3" w:rsidRPr="3982CBDC" w:rsidRDefault="00CC03E3" w:rsidP="3982CBDC">
            <w:pPr>
              <w:rPr>
                <w:rFonts w:asciiTheme="minorHAnsi" w:hAnsiTheme="minorHAnsi" w:cs="Calibri"/>
                <w:noProof/>
                <w:color w:val="000000" w:themeColor="text1"/>
                <w:sz w:val="20"/>
              </w:rPr>
            </w:pPr>
            <w:r>
              <w:rPr>
                <w:rFonts w:asciiTheme="minorHAnsi" w:hAnsiTheme="minorHAnsi" w:cs="Calibri"/>
                <w:noProof/>
                <w:color w:val="000000" w:themeColor="text1"/>
                <w:sz w:val="20"/>
              </w:rPr>
              <w:t>European Chemicals Agency</w:t>
            </w:r>
          </w:p>
        </w:tc>
      </w:tr>
      <w:tr w:rsidR="00C933DD" w:rsidRPr="006F2487" w14:paraId="45356489" w14:textId="77777777" w:rsidTr="3F3807E4">
        <w:tc>
          <w:tcPr>
            <w:tcW w:w="3227" w:type="dxa"/>
            <w:tcBorders>
              <w:top w:val="nil"/>
              <w:left w:val="single" w:sz="4" w:space="0" w:color="auto"/>
              <w:bottom w:val="single" w:sz="4" w:space="0" w:color="auto"/>
              <w:right w:val="single" w:sz="4" w:space="0" w:color="auto"/>
            </w:tcBorders>
            <w:shd w:val="clear" w:color="auto" w:fill="FFFFFF" w:themeFill="background1"/>
            <w:tcMar>
              <w:top w:w="85" w:type="dxa"/>
              <w:left w:w="57" w:type="dxa"/>
              <w:bottom w:w="85" w:type="dxa"/>
              <w:right w:w="57" w:type="dxa"/>
            </w:tcMar>
            <w:vAlign w:val="center"/>
          </w:tcPr>
          <w:p w14:paraId="08864CF1" w14:textId="77777777" w:rsidR="00C933DD" w:rsidRPr="006F2487" w:rsidRDefault="3982CBDC" w:rsidP="3982CBDC">
            <w:pPr>
              <w:rPr>
                <w:rFonts w:asciiTheme="minorHAnsi" w:hAnsiTheme="minorHAnsi"/>
                <w:noProof/>
                <w:sz w:val="20"/>
              </w:rPr>
            </w:pPr>
            <w:r w:rsidRPr="3982CBDC">
              <w:rPr>
                <w:rFonts w:asciiTheme="minorHAnsi" w:hAnsiTheme="minorHAnsi" w:cs="Calibri"/>
                <w:noProof/>
                <w:color w:val="000000" w:themeColor="text1"/>
                <w:sz w:val="20"/>
              </w:rPr>
              <w:t>EEA</w:t>
            </w:r>
          </w:p>
        </w:tc>
        <w:tc>
          <w:tcPr>
            <w:tcW w:w="6379" w:type="dxa"/>
            <w:tcBorders>
              <w:top w:val="nil"/>
              <w:left w:val="nil"/>
              <w:bottom w:val="single" w:sz="4" w:space="0" w:color="auto"/>
              <w:right w:val="single" w:sz="4" w:space="0" w:color="auto"/>
            </w:tcBorders>
            <w:shd w:val="clear" w:color="auto" w:fill="FFFFFF" w:themeFill="background1"/>
            <w:tcMar>
              <w:top w:w="85" w:type="dxa"/>
              <w:left w:w="57" w:type="dxa"/>
              <w:bottom w:w="85" w:type="dxa"/>
              <w:right w:w="57" w:type="dxa"/>
            </w:tcMar>
            <w:vAlign w:val="center"/>
          </w:tcPr>
          <w:p w14:paraId="23426550" w14:textId="77777777" w:rsidR="00C933DD" w:rsidRPr="006F2487" w:rsidRDefault="3982CBDC" w:rsidP="3982CBDC">
            <w:pPr>
              <w:rPr>
                <w:rFonts w:asciiTheme="minorHAnsi" w:hAnsiTheme="minorHAnsi"/>
                <w:noProof/>
                <w:sz w:val="20"/>
              </w:rPr>
            </w:pPr>
            <w:r w:rsidRPr="3982CBDC">
              <w:rPr>
                <w:rFonts w:asciiTheme="minorHAnsi" w:hAnsiTheme="minorHAnsi" w:cs="Calibri"/>
                <w:noProof/>
                <w:color w:val="000000" w:themeColor="text1"/>
                <w:sz w:val="20"/>
              </w:rPr>
              <w:t>European Environment Agency</w:t>
            </w:r>
          </w:p>
        </w:tc>
      </w:tr>
      <w:tr w:rsidR="00C933DD" w:rsidRPr="006F2487" w14:paraId="45167B68" w14:textId="77777777" w:rsidTr="3F3807E4">
        <w:tc>
          <w:tcPr>
            <w:tcW w:w="3227" w:type="dxa"/>
            <w:tcBorders>
              <w:top w:val="nil"/>
              <w:left w:val="single" w:sz="4" w:space="0" w:color="auto"/>
              <w:bottom w:val="single" w:sz="4" w:space="0" w:color="auto"/>
              <w:right w:val="single" w:sz="4" w:space="0" w:color="auto"/>
            </w:tcBorders>
            <w:shd w:val="clear" w:color="auto" w:fill="auto"/>
            <w:tcMar>
              <w:top w:w="85" w:type="dxa"/>
              <w:left w:w="57" w:type="dxa"/>
              <w:bottom w:w="85" w:type="dxa"/>
              <w:right w:w="57" w:type="dxa"/>
            </w:tcMar>
            <w:vAlign w:val="center"/>
          </w:tcPr>
          <w:p w14:paraId="2C5EB7A2" w14:textId="77777777" w:rsidR="00C933DD" w:rsidRPr="006F2487" w:rsidRDefault="3982CBDC" w:rsidP="3982CBDC">
            <w:pPr>
              <w:rPr>
                <w:rFonts w:asciiTheme="minorHAnsi" w:hAnsiTheme="minorHAnsi" w:cs="Calibri"/>
                <w:noProof/>
                <w:color w:val="000000" w:themeColor="text1"/>
                <w:sz w:val="20"/>
                <w:highlight w:val="yellow"/>
              </w:rPr>
            </w:pPr>
            <w:r w:rsidRPr="3982CBDC">
              <w:rPr>
                <w:rFonts w:asciiTheme="minorHAnsi" w:hAnsiTheme="minorHAnsi" w:cs="Calibri"/>
                <w:noProof/>
                <w:color w:val="000000" w:themeColor="text1"/>
                <w:sz w:val="20"/>
              </w:rPr>
              <w:t>EPEE</w:t>
            </w:r>
          </w:p>
        </w:tc>
        <w:tc>
          <w:tcPr>
            <w:tcW w:w="6379" w:type="dxa"/>
            <w:tcBorders>
              <w:top w:val="nil"/>
              <w:left w:val="nil"/>
              <w:bottom w:val="single" w:sz="4" w:space="0" w:color="auto"/>
              <w:right w:val="single" w:sz="4" w:space="0" w:color="auto"/>
            </w:tcBorders>
            <w:shd w:val="clear" w:color="auto" w:fill="auto"/>
            <w:tcMar>
              <w:top w:w="85" w:type="dxa"/>
              <w:left w:w="57" w:type="dxa"/>
              <w:bottom w:w="85" w:type="dxa"/>
              <w:right w:w="57" w:type="dxa"/>
            </w:tcMar>
            <w:vAlign w:val="center"/>
          </w:tcPr>
          <w:p w14:paraId="48B78FDA" w14:textId="77777777" w:rsidR="00C933DD" w:rsidRPr="006F2487" w:rsidRDefault="3982CBDC" w:rsidP="3982CBDC">
            <w:pPr>
              <w:rPr>
                <w:rFonts w:asciiTheme="minorHAnsi" w:hAnsiTheme="minorHAnsi" w:cs="Calibri"/>
                <w:noProof/>
                <w:color w:val="000000" w:themeColor="text1"/>
                <w:sz w:val="20"/>
                <w:highlight w:val="yellow"/>
              </w:rPr>
            </w:pPr>
            <w:r w:rsidRPr="3982CBDC">
              <w:rPr>
                <w:rFonts w:asciiTheme="minorHAnsi" w:hAnsiTheme="minorHAnsi" w:cs="Calibri"/>
                <w:noProof/>
                <w:color w:val="000000" w:themeColor="text1"/>
                <w:sz w:val="20"/>
              </w:rPr>
              <w:t>European Partnership for Energy &amp; Environment. An industry association that includes inter alia large F-gas producers, large equipment manufacturers and service personnel representatives</w:t>
            </w:r>
          </w:p>
        </w:tc>
      </w:tr>
      <w:tr w:rsidR="00DC1DF1" w:rsidRPr="006F2487" w14:paraId="1E7C6A71" w14:textId="77777777" w:rsidTr="3F3807E4">
        <w:tc>
          <w:tcPr>
            <w:tcW w:w="3227" w:type="dxa"/>
            <w:tcBorders>
              <w:top w:val="nil"/>
              <w:left w:val="single" w:sz="4" w:space="0" w:color="auto"/>
              <w:bottom w:val="single" w:sz="4" w:space="0" w:color="auto"/>
              <w:right w:val="single" w:sz="4" w:space="0" w:color="auto"/>
            </w:tcBorders>
            <w:shd w:val="clear" w:color="auto" w:fill="auto"/>
            <w:tcMar>
              <w:top w:w="85" w:type="dxa"/>
              <w:left w:w="57" w:type="dxa"/>
              <w:bottom w:w="85" w:type="dxa"/>
              <w:right w:w="57" w:type="dxa"/>
            </w:tcMar>
            <w:vAlign w:val="center"/>
          </w:tcPr>
          <w:p w14:paraId="6B70B9E6" w14:textId="089080F9" w:rsidR="00DC1DF1" w:rsidRDefault="00DC1DF1" w:rsidP="3982CBDC">
            <w:pPr>
              <w:rPr>
                <w:rFonts w:asciiTheme="minorHAnsi" w:hAnsiTheme="minorHAnsi" w:cs="Calibri"/>
                <w:noProof/>
                <w:color w:val="000000" w:themeColor="text1"/>
                <w:sz w:val="20"/>
              </w:rPr>
            </w:pPr>
            <w:r>
              <w:rPr>
                <w:rFonts w:asciiTheme="minorHAnsi" w:hAnsiTheme="minorHAnsi" w:cs="Calibri"/>
                <w:noProof/>
                <w:color w:val="000000" w:themeColor="text1"/>
                <w:sz w:val="20"/>
              </w:rPr>
              <w:t>ESR</w:t>
            </w:r>
          </w:p>
        </w:tc>
        <w:tc>
          <w:tcPr>
            <w:tcW w:w="6379" w:type="dxa"/>
            <w:tcBorders>
              <w:top w:val="nil"/>
              <w:left w:val="nil"/>
              <w:bottom w:val="single" w:sz="4" w:space="0" w:color="auto"/>
              <w:right w:val="single" w:sz="4" w:space="0" w:color="auto"/>
            </w:tcBorders>
            <w:shd w:val="clear" w:color="auto" w:fill="auto"/>
            <w:tcMar>
              <w:top w:w="85" w:type="dxa"/>
              <w:left w:w="57" w:type="dxa"/>
              <w:bottom w:w="85" w:type="dxa"/>
              <w:right w:w="57" w:type="dxa"/>
            </w:tcMar>
            <w:vAlign w:val="center"/>
          </w:tcPr>
          <w:p w14:paraId="5E989441" w14:textId="340BA78A" w:rsidR="00DC1DF1" w:rsidRDefault="00DC1DF1" w:rsidP="008B23F9">
            <w:pPr>
              <w:rPr>
                <w:rFonts w:asciiTheme="minorHAnsi" w:hAnsiTheme="minorHAnsi" w:cs="Calibri"/>
                <w:noProof/>
                <w:color w:val="000000" w:themeColor="text1"/>
                <w:sz w:val="20"/>
              </w:rPr>
            </w:pPr>
            <w:r>
              <w:rPr>
                <w:rFonts w:asciiTheme="minorHAnsi" w:hAnsiTheme="minorHAnsi" w:cs="Calibri"/>
                <w:noProof/>
                <w:color w:val="000000" w:themeColor="text1"/>
                <w:sz w:val="20"/>
              </w:rPr>
              <w:t>Effort Sharing Regulation</w:t>
            </w:r>
            <w:r w:rsidR="004E7B07">
              <w:rPr>
                <w:rFonts w:asciiTheme="minorHAnsi" w:hAnsiTheme="minorHAnsi" w:cs="Calibri"/>
                <w:noProof/>
                <w:color w:val="000000" w:themeColor="text1"/>
                <w:sz w:val="20"/>
              </w:rPr>
              <w:t xml:space="preserve">: </w:t>
            </w:r>
            <w:r w:rsidR="004E7B07">
              <w:rPr>
                <w:noProof/>
                <w:sz w:val="20"/>
              </w:rPr>
              <w:t xml:space="preserve">Regulation (EU) 2018/842 </w:t>
            </w:r>
            <w:r w:rsidR="008B23F9">
              <w:rPr>
                <w:noProof/>
                <w:sz w:val="20"/>
              </w:rPr>
              <w:t>as well as the proposal for a Regulation amending this regulation (</w:t>
            </w:r>
            <w:r w:rsidR="008B23F9" w:rsidRPr="008B23F9">
              <w:rPr>
                <w:noProof/>
                <w:sz w:val="20"/>
              </w:rPr>
              <w:t>COM(2021) 555 final</w:t>
            </w:r>
            <w:r w:rsidR="008B23F9">
              <w:rPr>
                <w:noProof/>
                <w:sz w:val="20"/>
              </w:rPr>
              <w:t>)</w:t>
            </w:r>
          </w:p>
        </w:tc>
      </w:tr>
      <w:tr w:rsidR="00A562F5" w:rsidRPr="006F2487" w14:paraId="5098CB31" w14:textId="77777777" w:rsidTr="3F3807E4">
        <w:tc>
          <w:tcPr>
            <w:tcW w:w="3227" w:type="dxa"/>
            <w:tcBorders>
              <w:top w:val="nil"/>
              <w:left w:val="single" w:sz="4" w:space="0" w:color="auto"/>
              <w:bottom w:val="single" w:sz="4" w:space="0" w:color="auto"/>
              <w:right w:val="single" w:sz="4" w:space="0" w:color="auto"/>
            </w:tcBorders>
            <w:shd w:val="clear" w:color="auto" w:fill="auto"/>
            <w:tcMar>
              <w:top w:w="85" w:type="dxa"/>
              <w:left w:w="57" w:type="dxa"/>
              <w:bottom w:w="85" w:type="dxa"/>
              <w:right w:w="57" w:type="dxa"/>
            </w:tcMar>
            <w:vAlign w:val="center"/>
          </w:tcPr>
          <w:p w14:paraId="543E3D96" w14:textId="6462BF7F" w:rsidR="00A562F5" w:rsidRPr="3982CBDC" w:rsidRDefault="00A562F5" w:rsidP="3982CBDC">
            <w:pPr>
              <w:rPr>
                <w:rFonts w:asciiTheme="minorHAnsi" w:hAnsiTheme="minorHAnsi" w:cs="Calibri"/>
                <w:noProof/>
                <w:color w:val="000000" w:themeColor="text1"/>
                <w:sz w:val="20"/>
              </w:rPr>
            </w:pPr>
            <w:r>
              <w:rPr>
                <w:rFonts w:asciiTheme="minorHAnsi" w:hAnsiTheme="minorHAnsi" w:cs="Calibri"/>
                <w:noProof/>
                <w:color w:val="000000" w:themeColor="text1"/>
                <w:sz w:val="20"/>
              </w:rPr>
              <w:t>ETS</w:t>
            </w:r>
          </w:p>
        </w:tc>
        <w:tc>
          <w:tcPr>
            <w:tcW w:w="6379" w:type="dxa"/>
            <w:tcBorders>
              <w:top w:val="nil"/>
              <w:left w:val="nil"/>
              <w:bottom w:val="single" w:sz="4" w:space="0" w:color="auto"/>
              <w:right w:val="single" w:sz="4" w:space="0" w:color="auto"/>
            </w:tcBorders>
            <w:shd w:val="clear" w:color="auto" w:fill="auto"/>
            <w:tcMar>
              <w:top w:w="85" w:type="dxa"/>
              <w:left w:w="57" w:type="dxa"/>
              <w:bottom w:w="85" w:type="dxa"/>
              <w:right w:w="57" w:type="dxa"/>
            </w:tcMar>
            <w:vAlign w:val="center"/>
          </w:tcPr>
          <w:p w14:paraId="72CD7F47" w14:textId="03B50B05" w:rsidR="00A562F5" w:rsidRPr="3982CBDC" w:rsidRDefault="00A562F5" w:rsidP="3982CBDC">
            <w:pPr>
              <w:rPr>
                <w:rFonts w:asciiTheme="minorHAnsi" w:hAnsiTheme="minorHAnsi" w:cs="Calibri"/>
                <w:noProof/>
                <w:color w:val="000000" w:themeColor="text1"/>
                <w:sz w:val="20"/>
              </w:rPr>
            </w:pPr>
            <w:r>
              <w:rPr>
                <w:rFonts w:asciiTheme="minorHAnsi" w:hAnsiTheme="minorHAnsi" w:cs="Calibri"/>
                <w:noProof/>
                <w:color w:val="000000" w:themeColor="text1"/>
                <w:sz w:val="20"/>
              </w:rPr>
              <w:t>EU’s Emission Trading System</w:t>
            </w:r>
          </w:p>
        </w:tc>
      </w:tr>
      <w:tr w:rsidR="00C933DD" w:rsidRPr="006F2487" w14:paraId="2D39B4E7" w14:textId="77777777" w:rsidTr="3F3807E4">
        <w:tc>
          <w:tcPr>
            <w:tcW w:w="3227" w:type="dxa"/>
            <w:tcBorders>
              <w:top w:val="nil"/>
              <w:left w:val="single" w:sz="4" w:space="0" w:color="auto"/>
              <w:bottom w:val="single" w:sz="4" w:space="0" w:color="auto"/>
              <w:right w:val="single" w:sz="4" w:space="0" w:color="auto"/>
            </w:tcBorders>
            <w:shd w:val="clear" w:color="auto" w:fill="auto"/>
            <w:tcMar>
              <w:top w:w="85" w:type="dxa"/>
              <w:left w:w="57" w:type="dxa"/>
              <w:bottom w:w="85" w:type="dxa"/>
              <w:right w:w="57" w:type="dxa"/>
            </w:tcMar>
            <w:vAlign w:val="center"/>
          </w:tcPr>
          <w:p w14:paraId="0A891D20" w14:textId="77777777" w:rsidR="00C933DD" w:rsidRPr="006F2487" w:rsidRDefault="3982CBDC" w:rsidP="3982CBDC">
            <w:pPr>
              <w:rPr>
                <w:rFonts w:asciiTheme="minorHAnsi" w:hAnsiTheme="minorHAnsi"/>
                <w:noProof/>
                <w:sz w:val="20"/>
              </w:rPr>
            </w:pPr>
            <w:r w:rsidRPr="3982CBDC">
              <w:rPr>
                <w:rFonts w:asciiTheme="minorHAnsi" w:hAnsiTheme="minorHAnsi" w:cs="Calibri"/>
                <w:noProof/>
                <w:color w:val="000000" w:themeColor="text1"/>
                <w:sz w:val="20"/>
              </w:rPr>
              <w:t>F-gases</w:t>
            </w:r>
          </w:p>
        </w:tc>
        <w:tc>
          <w:tcPr>
            <w:tcW w:w="6379" w:type="dxa"/>
            <w:tcBorders>
              <w:top w:val="nil"/>
              <w:left w:val="nil"/>
              <w:bottom w:val="single" w:sz="4" w:space="0" w:color="auto"/>
              <w:right w:val="single" w:sz="4" w:space="0" w:color="auto"/>
            </w:tcBorders>
            <w:shd w:val="clear" w:color="auto" w:fill="auto"/>
            <w:tcMar>
              <w:top w:w="85" w:type="dxa"/>
              <w:left w:w="57" w:type="dxa"/>
              <w:bottom w:w="85" w:type="dxa"/>
              <w:right w:w="57" w:type="dxa"/>
            </w:tcMar>
            <w:vAlign w:val="center"/>
          </w:tcPr>
          <w:p w14:paraId="492F0E05" w14:textId="77777777" w:rsidR="00C933DD" w:rsidRPr="006F2487" w:rsidRDefault="3982CBDC" w:rsidP="3982CBDC">
            <w:pPr>
              <w:rPr>
                <w:rFonts w:asciiTheme="minorHAnsi" w:hAnsiTheme="minorHAnsi"/>
                <w:noProof/>
                <w:sz w:val="20"/>
              </w:rPr>
            </w:pPr>
            <w:r w:rsidRPr="3982CBDC">
              <w:rPr>
                <w:rFonts w:asciiTheme="minorHAnsi" w:hAnsiTheme="minorHAnsi" w:cs="Calibri"/>
                <w:noProof/>
                <w:color w:val="000000" w:themeColor="text1"/>
                <w:sz w:val="20"/>
              </w:rPr>
              <w:t>Fluorinated greenhouse gases</w:t>
            </w:r>
          </w:p>
        </w:tc>
      </w:tr>
      <w:tr w:rsidR="006439C2" w:rsidRPr="006F2487" w14:paraId="57DED813" w14:textId="77777777" w:rsidTr="3F3807E4">
        <w:tc>
          <w:tcPr>
            <w:tcW w:w="3227" w:type="dxa"/>
            <w:tcBorders>
              <w:top w:val="nil"/>
              <w:left w:val="single" w:sz="4" w:space="0" w:color="auto"/>
              <w:bottom w:val="single" w:sz="4" w:space="0" w:color="auto"/>
              <w:right w:val="single" w:sz="4" w:space="0" w:color="auto"/>
            </w:tcBorders>
            <w:shd w:val="clear" w:color="auto" w:fill="auto"/>
            <w:tcMar>
              <w:top w:w="85" w:type="dxa"/>
              <w:left w:w="57" w:type="dxa"/>
              <w:bottom w:w="85" w:type="dxa"/>
              <w:right w:w="57" w:type="dxa"/>
            </w:tcMar>
            <w:vAlign w:val="center"/>
          </w:tcPr>
          <w:p w14:paraId="19DDC8A7" w14:textId="77777777" w:rsidR="006439C2" w:rsidRPr="006F2487" w:rsidRDefault="3982CBDC" w:rsidP="3982CBDC">
            <w:pPr>
              <w:rPr>
                <w:rFonts w:asciiTheme="minorHAnsi" w:hAnsiTheme="minorHAnsi" w:cs="Calibri"/>
                <w:noProof/>
                <w:color w:val="000000" w:themeColor="text1"/>
                <w:sz w:val="20"/>
              </w:rPr>
            </w:pPr>
            <w:r w:rsidRPr="3982CBDC">
              <w:rPr>
                <w:rFonts w:asciiTheme="minorHAnsi" w:hAnsiTheme="minorHAnsi" w:cs="Calibri"/>
                <w:noProof/>
                <w:color w:val="000000" w:themeColor="text1"/>
                <w:sz w:val="20"/>
              </w:rPr>
              <w:t>Feedstock use</w:t>
            </w:r>
          </w:p>
        </w:tc>
        <w:tc>
          <w:tcPr>
            <w:tcW w:w="6379" w:type="dxa"/>
            <w:tcBorders>
              <w:top w:val="nil"/>
              <w:left w:val="nil"/>
              <w:bottom w:val="single" w:sz="4" w:space="0" w:color="auto"/>
              <w:right w:val="single" w:sz="4" w:space="0" w:color="auto"/>
            </w:tcBorders>
            <w:shd w:val="clear" w:color="auto" w:fill="auto"/>
            <w:tcMar>
              <w:top w:w="85" w:type="dxa"/>
              <w:left w:w="57" w:type="dxa"/>
              <w:bottom w:w="85" w:type="dxa"/>
              <w:right w:w="57" w:type="dxa"/>
            </w:tcMar>
            <w:vAlign w:val="center"/>
          </w:tcPr>
          <w:p w14:paraId="6C677420" w14:textId="77777777" w:rsidR="006439C2" w:rsidRPr="006F2487" w:rsidRDefault="3982CBDC" w:rsidP="3982CBDC">
            <w:pPr>
              <w:rPr>
                <w:rFonts w:asciiTheme="minorHAnsi" w:hAnsiTheme="minorHAnsi" w:cs="Calibri"/>
                <w:noProof/>
                <w:color w:val="000000" w:themeColor="text1"/>
                <w:sz w:val="20"/>
              </w:rPr>
            </w:pPr>
            <w:r w:rsidRPr="3982CBDC">
              <w:rPr>
                <w:rFonts w:asciiTheme="minorHAnsi" w:hAnsiTheme="minorHAnsi" w:cs="Calibri"/>
                <w:noProof/>
                <w:color w:val="000000" w:themeColor="text1"/>
                <w:sz w:val="20"/>
              </w:rPr>
              <w:t>Use of a substance, e.g. an F-gas, in a process where it undergoes chemical transformation to synthesise other chemicals and in which the substance is entirely converted from its original composition</w:t>
            </w:r>
          </w:p>
        </w:tc>
      </w:tr>
      <w:tr w:rsidR="00C933DD" w:rsidRPr="006F2487" w14:paraId="1BAF0E3F" w14:textId="77777777" w:rsidTr="3F3807E4">
        <w:tc>
          <w:tcPr>
            <w:tcW w:w="3227" w:type="dxa"/>
            <w:tcBorders>
              <w:top w:val="nil"/>
              <w:left w:val="single" w:sz="4" w:space="0" w:color="auto"/>
              <w:bottom w:val="single" w:sz="4" w:space="0" w:color="auto"/>
              <w:right w:val="single" w:sz="4" w:space="0" w:color="auto"/>
            </w:tcBorders>
            <w:shd w:val="clear" w:color="auto" w:fill="auto"/>
            <w:tcMar>
              <w:top w:w="85" w:type="dxa"/>
              <w:left w:w="57" w:type="dxa"/>
              <w:bottom w:w="85" w:type="dxa"/>
              <w:right w:w="57" w:type="dxa"/>
            </w:tcMar>
            <w:vAlign w:val="center"/>
          </w:tcPr>
          <w:p w14:paraId="1B1432D6" w14:textId="77777777" w:rsidR="00C933DD" w:rsidRPr="006F2487" w:rsidRDefault="3982CBDC" w:rsidP="3982CBDC">
            <w:pPr>
              <w:rPr>
                <w:rFonts w:asciiTheme="minorHAnsi" w:hAnsiTheme="minorHAnsi" w:cs="Calibri"/>
                <w:noProof/>
                <w:color w:val="000000" w:themeColor="text1"/>
                <w:sz w:val="20"/>
              </w:rPr>
            </w:pPr>
            <w:r w:rsidRPr="3982CBDC">
              <w:rPr>
                <w:rFonts w:asciiTheme="minorHAnsi" w:hAnsiTheme="minorHAnsi" w:cs="Calibri"/>
                <w:noProof/>
                <w:color w:val="000000" w:themeColor="text1"/>
                <w:sz w:val="20"/>
              </w:rPr>
              <w:t>F-gas Regulation</w:t>
            </w:r>
          </w:p>
        </w:tc>
        <w:tc>
          <w:tcPr>
            <w:tcW w:w="6379" w:type="dxa"/>
            <w:tcBorders>
              <w:top w:val="nil"/>
              <w:left w:val="nil"/>
              <w:bottom w:val="single" w:sz="4" w:space="0" w:color="auto"/>
              <w:right w:val="single" w:sz="4" w:space="0" w:color="auto"/>
            </w:tcBorders>
            <w:shd w:val="clear" w:color="auto" w:fill="auto"/>
            <w:tcMar>
              <w:top w:w="85" w:type="dxa"/>
              <w:left w:w="57" w:type="dxa"/>
              <w:bottom w:w="85" w:type="dxa"/>
              <w:right w:w="57" w:type="dxa"/>
            </w:tcMar>
            <w:vAlign w:val="center"/>
          </w:tcPr>
          <w:p w14:paraId="70EEFEBA" w14:textId="77777777" w:rsidR="00C933DD" w:rsidRPr="006F2487" w:rsidRDefault="3982CBDC" w:rsidP="3982CBDC">
            <w:pPr>
              <w:rPr>
                <w:rFonts w:asciiTheme="minorHAnsi" w:hAnsiTheme="minorHAnsi" w:cs="Calibri"/>
                <w:noProof/>
                <w:color w:val="000000" w:themeColor="text1"/>
                <w:sz w:val="20"/>
              </w:rPr>
            </w:pPr>
            <w:r w:rsidRPr="3982CBDC">
              <w:rPr>
                <w:rFonts w:asciiTheme="minorHAnsi" w:hAnsiTheme="minorHAnsi" w:cs="Calibri"/>
                <w:noProof/>
                <w:color w:val="000000" w:themeColor="text1"/>
                <w:sz w:val="20"/>
              </w:rPr>
              <w:t>Regulation (EU) No 517/2014</w:t>
            </w:r>
          </w:p>
        </w:tc>
      </w:tr>
      <w:tr w:rsidR="00C933DD" w:rsidRPr="006F2487" w14:paraId="02F9B2B2" w14:textId="77777777" w:rsidTr="3F3807E4">
        <w:tc>
          <w:tcPr>
            <w:tcW w:w="3227" w:type="dxa"/>
            <w:tcBorders>
              <w:top w:val="nil"/>
              <w:left w:val="single" w:sz="4" w:space="0" w:color="auto"/>
              <w:bottom w:val="single" w:sz="4" w:space="0" w:color="auto"/>
              <w:right w:val="single" w:sz="4" w:space="0" w:color="auto"/>
            </w:tcBorders>
            <w:shd w:val="clear" w:color="auto" w:fill="auto"/>
            <w:tcMar>
              <w:top w:w="85" w:type="dxa"/>
              <w:left w:w="57" w:type="dxa"/>
              <w:bottom w:w="85" w:type="dxa"/>
              <w:right w:w="57" w:type="dxa"/>
            </w:tcMar>
            <w:vAlign w:val="center"/>
          </w:tcPr>
          <w:p w14:paraId="25C25749" w14:textId="77777777" w:rsidR="00C933DD" w:rsidRPr="006F2487" w:rsidRDefault="3982CBDC" w:rsidP="3982CBDC">
            <w:pPr>
              <w:rPr>
                <w:rFonts w:asciiTheme="minorHAnsi" w:hAnsiTheme="minorHAnsi" w:cs="Calibri"/>
                <w:noProof/>
                <w:color w:val="000000" w:themeColor="text1"/>
                <w:sz w:val="20"/>
              </w:rPr>
            </w:pPr>
            <w:r w:rsidRPr="3982CBDC">
              <w:rPr>
                <w:rFonts w:asciiTheme="minorHAnsi" w:hAnsiTheme="minorHAnsi" w:cs="Calibri"/>
                <w:noProof/>
                <w:color w:val="000000" w:themeColor="text1"/>
                <w:sz w:val="20"/>
              </w:rPr>
              <w:t>GDP</w:t>
            </w:r>
          </w:p>
        </w:tc>
        <w:tc>
          <w:tcPr>
            <w:tcW w:w="6379" w:type="dxa"/>
            <w:tcBorders>
              <w:top w:val="nil"/>
              <w:left w:val="nil"/>
              <w:bottom w:val="single" w:sz="4" w:space="0" w:color="auto"/>
              <w:right w:val="single" w:sz="4" w:space="0" w:color="auto"/>
            </w:tcBorders>
            <w:shd w:val="clear" w:color="auto" w:fill="auto"/>
            <w:tcMar>
              <w:top w:w="85" w:type="dxa"/>
              <w:left w:w="57" w:type="dxa"/>
              <w:bottom w:w="85" w:type="dxa"/>
              <w:right w:w="57" w:type="dxa"/>
            </w:tcMar>
            <w:vAlign w:val="center"/>
          </w:tcPr>
          <w:p w14:paraId="2B9B618A" w14:textId="77777777" w:rsidR="00C933DD" w:rsidRPr="006F2487" w:rsidRDefault="3982CBDC" w:rsidP="3982CBDC">
            <w:pPr>
              <w:rPr>
                <w:rFonts w:asciiTheme="minorHAnsi" w:hAnsiTheme="minorHAnsi" w:cs="Calibri"/>
                <w:noProof/>
                <w:color w:val="000000" w:themeColor="text1"/>
                <w:sz w:val="20"/>
              </w:rPr>
            </w:pPr>
            <w:r w:rsidRPr="3982CBDC">
              <w:rPr>
                <w:rFonts w:asciiTheme="minorHAnsi" w:hAnsiTheme="minorHAnsi" w:cs="Calibri"/>
                <w:noProof/>
                <w:color w:val="000000" w:themeColor="text1"/>
                <w:sz w:val="20"/>
              </w:rPr>
              <w:t>Gross domestic product</w:t>
            </w:r>
          </w:p>
        </w:tc>
      </w:tr>
      <w:tr w:rsidR="00C933DD" w:rsidRPr="006F2487" w14:paraId="676F41FD" w14:textId="77777777" w:rsidTr="3F3807E4">
        <w:tc>
          <w:tcPr>
            <w:tcW w:w="3227" w:type="dxa"/>
            <w:tcBorders>
              <w:top w:val="nil"/>
              <w:left w:val="single" w:sz="4" w:space="0" w:color="auto"/>
              <w:bottom w:val="single" w:sz="4" w:space="0" w:color="auto"/>
              <w:right w:val="single" w:sz="4" w:space="0" w:color="auto"/>
            </w:tcBorders>
            <w:shd w:val="clear" w:color="auto" w:fill="auto"/>
            <w:tcMar>
              <w:top w:w="85" w:type="dxa"/>
              <w:left w:w="57" w:type="dxa"/>
              <w:bottom w:w="85" w:type="dxa"/>
              <w:right w:w="57" w:type="dxa"/>
            </w:tcMar>
            <w:vAlign w:val="center"/>
          </w:tcPr>
          <w:p w14:paraId="4048F5AF" w14:textId="77777777" w:rsidR="00C933DD" w:rsidRPr="006F2487" w:rsidRDefault="3982CBDC" w:rsidP="3982CBDC">
            <w:pPr>
              <w:rPr>
                <w:rFonts w:asciiTheme="minorHAnsi" w:hAnsiTheme="minorHAnsi" w:cs="Calibri"/>
                <w:noProof/>
                <w:color w:val="000000" w:themeColor="text1"/>
                <w:sz w:val="20"/>
              </w:rPr>
            </w:pPr>
            <w:r w:rsidRPr="3982CBDC">
              <w:rPr>
                <w:rFonts w:asciiTheme="minorHAnsi" w:hAnsiTheme="minorHAnsi" w:cs="Calibri"/>
                <w:noProof/>
                <w:color w:val="000000" w:themeColor="text1"/>
                <w:sz w:val="20"/>
              </w:rPr>
              <w:t>GHG(s)</w:t>
            </w:r>
          </w:p>
        </w:tc>
        <w:tc>
          <w:tcPr>
            <w:tcW w:w="6379" w:type="dxa"/>
            <w:tcBorders>
              <w:top w:val="nil"/>
              <w:left w:val="nil"/>
              <w:bottom w:val="single" w:sz="4" w:space="0" w:color="auto"/>
              <w:right w:val="single" w:sz="4" w:space="0" w:color="auto"/>
            </w:tcBorders>
            <w:shd w:val="clear" w:color="auto" w:fill="auto"/>
            <w:tcMar>
              <w:top w:w="85" w:type="dxa"/>
              <w:left w:w="57" w:type="dxa"/>
              <w:bottom w:w="85" w:type="dxa"/>
              <w:right w:w="57" w:type="dxa"/>
            </w:tcMar>
            <w:vAlign w:val="center"/>
          </w:tcPr>
          <w:p w14:paraId="4A061C0F" w14:textId="77777777" w:rsidR="00C933DD" w:rsidRPr="006F2487" w:rsidRDefault="3982CBDC" w:rsidP="3982CBDC">
            <w:pPr>
              <w:rPr>
                <w:rFonts w:asciiTheme="minorHAnsi" w:hAnsiTheme="minorHAnsi" w:cs="Calibri"/>
                <w:noProof/>
                <w:color w:val="000000" w:themeColor="text1"/>
                <w:sz w:val="20"/>
              </w:rPr>
            </w:pPr>
            <w:r w:rsidRPr="3982CBDC">
              <w:rPr>
                <w:rFonts w:asciiTheme="minorHAnsi" w:hAnsiTheme="minorHAnsi" w:cs="Calibri"/>
                <w:noProof/>
                <w:color w:val="000000" w:themeColor="text1"/>
                <w:sz w:val="20"/>
              </w:rPr>
              <w:t>Greenhouse gas(es)</w:t>
            </w:r>
          </w:p>
        </w:tc>
      </w:tr>
      <w:tr w:rsidR="00C933DD" w:rsidRPr="006F2487" w14:paraId="4C5B9D20" w14:textId="77777777" w:rsidTr="3F3807E4">
        <w:tc>
          <w:tcPr>
            <w:tcW w:w="3227" w:type="dxa"/>
            <w:tcBorders>
              <w:top w:val="nil"/>
              <w:left w:val="single" w:sz="4" w:space="0" w:color="auto"/>
              <w:bottom w:val="single" w:sz="4" w:space="0" w:color="auto"/>
              <w:right w:val="single" w:sz="4" w:space="0" w:color="auto"/>
            </w:tcBorders>
            <w:shd w:val="clear" w:color="auto" w:fill="auto"/>
            <w:tcMar>
              <w:top w:w="85" w:type="dxa"/>
              <w:left w:w="57" w:type="dxa"/>
              <w:bottom w:w="85" w:type="dxa"/>
              <w:right w:w="57" w:type="dxa"/>
            </w:tcMar>
            <w:vAlign w:val="center"/>
          </w:tcPr>
          <w:p w14:paraId="32437F3F" w14:textId="77777777" w:rsidR="00C933DD" w:rsidRPr="006F2487" w:rsidRDefault="3982CBDC" w:rsidP="3982CBDC">
            <w:pPr>
              <w:rPr>
                <w:rFonts w:asciiTheme="minorHAnsi" w:hAnsiTheme="minorHAnsi"/>
                <w:noProof/>
                <w:sz w:val="20"/>
              </w:rPr>
            </w:pPr>
            <w:r w:rsidRPr="3982CBDC">
              <w:rPr>
                <w:rFonts w:asciiTheme="minorHAnsi" w:hAnsiTheme="minorHAnsi" w:cs="Calibri"/>
                <w:noProof/>
                <w:color w:val="000000" w:themeColor="text1"/>
                <w:sz w:val="20"/>
              </w:rPr>
              <w:t>GWP</w:t>
            </w:r>
          </w:p>
        </w:tc>
        <w:tc>
          <w:tcPr>
            <w:tcW w:w="6379" w:type="dxa"/>
            <w:tcBorders>
              <w:top w:val="nil"/>
              <w:left w:val="nil"/>
              <w:bottom w:val="single" w:sz="4" w:space="0" w:color="auto"/>
              <w:right w:val="single" w:sz="4" w:space="0" w:color="auto"/>
            </w:tcBorders>
            <w:shd w:val="clear" w:color="auto" w:fill="auto"/>
            <w:tcMar>
              <w:top w:w="85" w:type="dxa"/>
              <w:left w:w="57" w:type="dxa"/>
              <w:bottom w:w="85" w:type="dxa"/>
              <w:right w:w="57" w:type="dxa"/>
            </w:tcMar>
            <w:vAlign w:val="center"/>
          </w:tcPr>
          <w:p w14:paraId="627562C9" w14:textId="77777777" w:rsidR="00C933DD" w:rsidRPr="006F2487" w:rsidRDefault="3982CBDC" w:rsidP="3982CBDC">
            <w:pPr>
              <w:rPr>
                <w:rFonts w:asciiTheme="minorHAnsi" w:hAnsiTheme="minorHAnsi"/>
                <w:noProof/>
                <w:sz w:val="20"/>
              </w:rPr>
            </w:pPr>
            <w:r w:rsidRPr="3982CBDC">
              <w:rPr>
                <w:rFonts w:asciiTheme="minorHAnsi" w:hAnsiTheme="minorHAnsi" w:cs="Calibri"/>
                <w:noProof/>
                <w:color w:val="000000" w:themeColor="text1"/>
                <w:sz w:val="20"/>
              </w:rPr>
              <w:t>Global Warming Potential. It is a metric for determining the relative contribution of a substance to climate warming. The GWP indicates how much (solar) energy the emissions of 1 ton of a gas will absorb (and thus contribute to climate warming) over a given period of time, e.g. 100 years for GWP</w:t>
            </w:r>
            <w:r w:rsidRPr="3982CBDC">
              <w:rPr>
                <w:rFonts w:asciiTheme="minorHAnsi" w:hAnsiTheme="minorHAnsi" w:cs="Calibri"/>
                <w:noProof/>
                <w:color w:val="000000" w:themeColor="text1"/>
                <w:sz w:val="20"/>
                <w:vertAlign w:val="subscript"/>
              </w:rPr>
              <w:t>100</w:t>
            </w:r>
            <w:r w:rsidRPr="3982CBDC">
              <w:rPr>
                <w:rFonts w:asciiTheme="minorHAnsi" w:hAnsiTheme="minorHAnsi" w:cs="Calibri"/>
                <w:noProof/>
                <w:color w:val="000000" w:themeColor="text1"/>
                <w:sz w:val="20"/>
              </w:rPr>
              <w:t>, relative to the emissions of 1 ton of carbon dioxide (CO</w:t>
            </w:r>
            <w:r w:rsidRPr="3982CBDC">
              <w:rPr>
                <w:rFonts w:asciiTheme="minorHAnsi" w:hAnsiTheme="minorHAnsi" w:cs="Calibri"/>
                <w:noProof/>
                <w:color w:val="000000" w:themeColor="text1"/>
                <w:sz w:val="20"/>
                <w:vertAlign w:val="subscript"/>
              </w:rPr>
              <w:t>2</w:t>
            </w:r>
            <w:r w:rsidRPr="3982CBDC">
              <w:rPr>
                <w:rFonts w:asciiTheme="minorHAnsi" w:hAnsiTheme="minorHAnsi" w:cs="Calibri"/>
                <w:noProof/>
                <w:color w:val="000000" w:themeColor="text1"/>
                <w:sz w:val="20"/>
              </w:rPr>
              <w:t>).</w:t>
            </w:r>
          </w:p>
        </w:tc>
      </w:tr>
      <w:tr w:rsidR="00C933DD" w:rsidRPr="006F2487" w14:paraId="7DDDE5D3" w14:textId="77777777" w:rsidTr="3F3807E4">
        <w:tc>
          <w:tcPr>
            <w:tcW w:w="3227" w:type="dxa"/>
            <w:tcBorders>
              <w:top w:val="nil"/>
              <w:left w:val="single" w:sz="4" w:space="0" w:color="auto"/>
              <w:bottom w:val="single" w:sz="4" w:space="0" w:color="auto"/>
              <w:right w:val="single" w:sz="4" w:space="0" w:color="auto"/>
            </w:tcBorders>
            <w:shd w:val="clear" w:color="auto" w:fill="auto"/>
            <w:tcMar>
              <w:top w:w="85" w:type="dxa"/>
              <w:left w:w="57" w:type="dxa"/>
              <w:bottom w:w="85" w:type="dxa"/>
              <w:right w:w="57" w:type="dxa"/>
            </w:tcMar>
            <w:vAlign w:val="center"/>
          </w:tcPr>
          <w:p w14:paraId="71A7A1E0" w14:textId="77777777" w:rsidR="00C933DD" w:rsidRPr="006F2487" w:rsidRDefault="3982CBDC" w:rsidP="3982CBDC">
            <w:pPr>
              <w:rPr>
                <w:rFonts w:asciiTheme="minorHAnsi" w:hAnsiTheme="minorHAnsi" w:cstheme="minorBidi"/>
                <w:noProof/>
                <w:sz w:val="20"/>
              </w:rPr>
            </w:pPr>
            <w:r w:rsidRPr="3982CBDC">
              <w:rPr>
                <w:rFonts w:asciiTheme="minorHAnsi" w:hAnsiTheme="minorHAnsi" w:cstheme="minorBidi"/>
                <w:noProof/>
                <w:color w:val="000000" w:themeColor="text1"/>
                <w:sz w:val="20"/>
              </w:rPr>
              <w:t>HFCs</w:t>
            </w:r>
          </w:p>
        </w:tc>
        <w:tc>
          <w:tcPr>
            <w:tcW w:w="6379" w:type="dxa"/>
            <w:tcBorders>
              <w:top w:val="nil"/>
              <w:left w:val="nil"/>
              <w:bottom w:val="single" w:sz="4" w:space="0" w:color="auto"/>
              <w:right w:val="single" w:sz="4" w:space="0" w:color="auto"/>
            </w:tcBorders>
            <w:shd w:val="clear" w:color="auto" w:fill="auto"/>
            <w:tcMar>
              <w:top w:w="85" w:type="dxa"/>
              <w:left w:w="57" w:type="dxa"/>
              <w:bottom w:w="85" w:type="dxa"/>
              <w:right w:w="57" w:type="dxa"/>
            </w:tcMar>
            <w:vAlign w:val="center"/>
          </w:tcPr>
          <w:p w14:paraId="46F9F2A1" w14:textId="77777777" w:rsidR="00C933DD" w:rsidRPr="006F2487" w:rsidRDefault="3982CBDC" w:rsidP="3982CBDC">
            <w:pPr>
              <w:rPr>
                <w:rFonts w:asciiTheme="minorHAnsi" w:hAnsiTheme="minorHAnsi" w:cstheme="minorBidi"/>
                <w:noProof/>
                <w:sz w:val="20"/>
              </w:rPr>
            </w:pPr>
            <w:r w:rsidRPr="3982CBDC">
              <w:rPr>
                <w:rFonts w:asciiTheme="minorHAnsi" w:hAnsiTheme="minorHAnsi" w:cstheme="minorBidi"/>
                <w:noProof/>
                <w:color w:val="000000" w:themeColor="text1"/>
                <w:sz w:val="20"/>
              </w:rPr>
              <w:t xml:space="preserve">Hydrofluorocarbons; F-gases listed in Annex I of F-gas Regulation </w:t>
            </w:r>
          </w:p>
        </w:tc>
      </w:tr>
      <w:tr w:rsidR="00C933DD" w:rsidRPr="006F2487" w14:paraId="091C550B" w14:textId="77777777" w:rsidTr="3F3807E4">
        <w:tc>
          <w:tcPr>
            <w:tcW w:w="3227" w:type="dxa"/>
            <w:tcBorders>
              <w:top w:val="nil"/>
              <w:left w:val="single" w:sz="4" w:space="0" w:color="auto"/>
              <w:bottom w:val="single" w:sz="4" w:space="0" w:color="auto"/>
              <w:right w:val="single" w:sz="4" w:space="0" w:color="auto"/>
            </w:tcBorders>
            <w:shd w:val="clear" w:color="auto" w:fill="auto"/>
            <w:tcMar>
              <w:top w:w="85" w:type="dxa"/>
              <w:left w:w="57" w:type="dxa"/>
              <w:bottom w:w="85" w:type="dxa"/>
              <w:right w:w="57" w:type="dxa"/>
            </w:tcMar>
            <w:vAlign w:val="center"/>
          </w:tcPr>
          <w:p w14:paraId="44C6B99A" w14:textId="77777777" w:rsidR="00C933DD" w:rsidRPr="006F2487" w:rsidRDefault="3982CBDC" w:rsidP="3982CBDC">
            <w:pPr>
              <w:rPr>
                <w:rFonts w:asciiTheme="minorHAnsi" w:hAnsiTheme="minorHAnsi" w:cstheme="minorBidi"/>
                <w:noProof/>
                <w:color w:val="000000" w:themeColor="text1"/>
                <w:sz w:val="20"/>
              </w:rPr>
            </w:pPr>
            <w:r w:rsidRPr="3982CBDC">
              <w:rPr>
                <w:rFonts w:asciiTheme="minorHAnsi" w:hAnsiTheme="minorHAnsi" w:cstheme="minorBidi"/>
                <w:noProof/>
                <w:color w:val="000000" w:themeColor="text1"/>
                <w:sz w:val="20"/>
              </w:rPr>
              <w:t>HFC-23</w:t>
            </w:r>
          </w:p>
        </w:tc>
        <w:tc>
          <w:tcPr>
            <w:tcW w:w="6379" w:type="dxa"/>
            <w:tcBorders>
              <w:top w:val="nil"/>
              <w:left w:val="nil"/>
              <w:bottom w:val="single" w:sz="4" w:space="0" w:color="auto"/>
              <w:right w:val="single" w:sz="4" w:space="0" w:color="auto"/>
            </w:tcBorders>
            <w:shd w:val="clear" w:color="auto" w:fill="auto"/>
            <w:tcMar>
              <w:top w:w="85" w:type="dxa"/>
              <w:left w:w="57" w:type="dxa"/>
              <w:bottom w:w="85" w:type="dxa"/>
              <w:right w:w="57" w:type="dxa"/>
            </w:tcMar>
            <w:vAlign w:val="center"/>
          </w:tcPr>
          <w:p w14:paraId="16CB1CCB" w14:textId="77777777" w:rsidR="00C933DD" w:rsidRPr="006F2487" w:rsidRDefault="3982CBDC" w:rsidP="3982CBDC">
            <w:pPr>
              <w:rPr>
                <w:rFonts w:asciiTheme="minorHAnsi" w:hAnsiTheme="minorHAnsi" w:cstheme="minorBidi"/>
                <w:noProof/>
                <w:color w:val="000000" w:themeColor="text1"/>
                <w:sz w:val="20"/>
              </w:rPr>
            </w:pPr>
            <w:r w:rsidRPr="3982CBDC">
              <w:rPr>
                <w:rFonts w:asciiTheme="minorHAnsi" w:hAnsiTheme="minorHAnsi" w:cstheme="minorBidi"/>
                <w:noProof/>
                <w:color w:val="000000" w:themeColor="text1"/>
                <w:sz w:val="20"/>
              </w:rPr>
              <w:t>Trifluoromethane; an HFC with a very high GWP (14,500 according the IPPC`s 4</w:t>
            </w:r>
            <w:r w:rsidRPr="3982CBDC">
              <w:rPr>
                <w:rFonts w:asciiTheme="minorHAnsi" w:hAnsiTheme="minorHAnsi" w:cstheme="minorBidi"/>
                <w:noProof/>
                <w:color w:val="000000" w:themeColor="text1"/>
                <w:sz w:val="20"/>
                <w:vertAlign w:val="superscript"/>
              </w:rPr>
              <w:t>th</w:t>
            </w:r>
            <w:r w:rsidRPr="3982CBDC">
              <w:rPr>
                <w:rFonts w:asciiTheme="minorHAnsi" w:hAnsiTheme="minorHAnsi" w:cstheme="minorBidi"/>
                <w:noProof/>
                <w:color w:val="000000" w:themeColor="text1"/>
                <w:sz w:val="20"/>
              </w:rPr>
              <w:t xml:space="preserve"> Assessment Report)</w:t>
            </w:r>
          </w:p>
        </w:tc>
      </w:tr>
      <w:tr w:rsidR="00C933DD" w:rsidRPr="006F2487" w14:paraId="7A874646" w14:textId="77777777" w:rsidTr="3F3807E4">
        <w:tc>
          <w:tcPr>
            <w:tcW w:w="3227" w:type="dxa"/>
            <w:tcBorders>
              <w:top w:val="nil"/>
              <w:left w:val="single" w:sz="4" w:space="0" w:color="auto"/>
              <w:bottom w:val="single" w:sz="4" w:space="0" w:color="auto"/>
              <w:right w:val="single" w:sz="4" w:space="0" w:color="auto"/>
            </w:tcBorders>
            <w:shd w:val="clear" w:color="auto" w:fill="auto"/>
            <w:tcMar>
              <w:top w:w="85" w:type="dxa"/>
              <w:left w:w="57" w:type="dxa"/>
              <w:bottom w:w="85" w:type="dxa"/>
              <w:right w:w="57" w:type="dxa"/>
            </w:tcMar>
            <w:vAlign w:val="center"/>
          </w:tcPr>
          <w:p w14:paraId="1EF72A71" w14:textId="77777777" w:rsidR="00C933DD" w:rsidRPr="006F2487" w:rsidRDefault="3982CBDC" w:rsidP="3982CBDC">
            <w:pPr>
              <w:rPr>
                <w:rFonts w:asciiTheme="minorHAnsi" w:hAnsiTheme="minorHAnsi" w:cstheme="minorBidi"/>
                <w:noProof/>
                <w:color w:val="000000" w:themeColor="text1"/>
                <w:sz w:val="20"/>
              </w:rPr>
            </w:pPr>
            <w:r w:rsidRPr="3982CBDC">
              <w:rPr>
                <w:rFonts w:asciiTheme="minorHAnsi" w:hAnsiTheme="minorHAnsi" w:cstheme="minorBidi"/>
                <w:noProof/>
                <w:color w:val="000000" w:themeColor="text1"/>
                <w:sz w:val="20"/>
              </w:rPr>
              <w:t>HFOs, HCFOs</w:t>
            </w:r>
          </w:p>
        </w:tc>
        <w:tc>
          <w:tcPr>
            <w:tcW w:w="6379" w:type="dxa"/>
            <w:tcBorders>
              <w:top w:val="nil"/>
              <w:left w:val="nil"/>
              <w:bottom w:val="single" w:sz="4" w:space="0" w:color="auto"/>
              <w:right w:val="single" w:sz="4" w:space="0" w:color="auto"/>
            </w:tcBorders>
            <w:shd w:val="clear" w:color="auto" w:fill="auto"/>
            <w:tcMar>
              <w:top w:w="85" w:type="dxa"/>
              <w:left w:w="57" w:type="dxa"/>
              <w:bottom w:w="85" w:type="dxa"/>
              <w:right w:w="57" w:type="dxa"/>
            </w:tcMar>
            <w:vAlign w:val="center"/>
          </w:tcPr>
          <w:p w14:paraId="0B23E14F" w14:textId="77777777" w:rsidR="00C933DD" w:rsidRPr="006F2487" w:rsidRDefault="3982CBDC" w:rsidP="3982CBDC">
            <w:pPr>
              <w:rPr>
                <w:rFonts w:asciiTheme="minorHAnsi" w:hAnsiTheme="minorHAnsi" w:cstheme="minorBidi"/>
                <w:noProof/>
                <w:color w:val="000000" w:themeColor="text1"/>
                <w:sz w:val="20"/>
              </w:rPr>
            </w:pPr>
            <w:r w:rsidRPr="3982CBDC">
              <w:rPr>
                <w:rFonts w:asciiTheme="minorHAnsi" w:hAnsiTheme="minorHAnsi" w:cstheme="minorBidi"/>
                <w:noProof/>
                <w:color w:val="000000" w:themeColor="text1"/>
                <w:sz w:val="20"/>
              </w:rPr>
              <w:t>Unsaturated HFCs that can substitute HFCs in many applications. Synthetically produced substances that break up quickly in the atmosphere and therefore have a low GWP. HCFOs are slightly different chemically as they also include a chlorine atom in the molecule. Both are listed in Annex II, Section I.</w:t>
            </w:r>
          </w:p>
        </w:tc>
      </w:tr>
      <w:tr w:rsidR="001D337A" w:rsidRPr="006F2487" w14:paraId="08F5C4CA" w14:textId="77777777" w:rsidTr="3F3807E4">
        <w:tc>
          <w:tcPr>
            <w:tcW w:w="3227" w:type="dxa"/>
            <w:tcBorders>
              <w:top w:val="nil"/>
              <w:left w:val="single" w:sz="4" w:space="0" w:color="auto"/>
              <w:bottom w:val="single" w:sz="4" w:space="0" w:color="auto"/>
              <w:right w:val="single" w:sz="4" w:space="0" w:color="auto"/>
            </w:tcBorders>
            <w:shd w:val="clear" w:color="auto" w:fill="auto"/>
            <w:tcMar>
              <w:top w:w="85" w:type="dxa"/>
              <w:left w:w="57" w:type="dxa"/>
              <w:bottom w:w="85" w:type="dxa"/>
              <w:right w:w="57" w:type="dxa"/>
            </w:tcMar>
            <w:vAlign w:val="center"/>
          </w:tcPr>
          <w:p w14:paraId="329FDC93" w14:textId="77777777" w:rsidR="001D337A" w:rsidRPr="006F2487" w:rsidRDefault="3982CBDC" w:rsidP="3982CBDC">
            <w:pPr>
              <w:rPr>
                <w:rFonts w:asciiTheme="minorHAnsi" w:hAnsiTheme="minorHAnsi" w:cstheme="minorBidi"/>
                <w:noProof/>
                <w:color w:val="000000" w:themeColor="text1"/>
                <w:sz w:val="20"/>
              </w:rPr>
            </w:pPr>
            <w:r w:rsidRPr="3982CBDC">
              <w:rPr>
                <w:rFonts w:asciiTheme="minorHAnsi" w:hAnsiTheme="minorHAnsi" w:cstheme="minorBidi"/>
                <w:noProof/>
                <w:color w:val="000000" w:themeColor="text1"/>
                <w:sz w:val="20"/>
              </w:rPr>
              <w:t>HFEs</w:t>
            </w:r>
          </w:p>
        </w:tc>
        <w:tc>
          <w:tcPr>
            <w:tcW w:w="6379" w:type="dxa"/>
            <w:tcBorders>
              <w:top w:val="nil"/>
              <w:left w:val="nil"/>
              <w:bottom w:val="single" w:sz="4" w:space="0" w:color="auto"/>
              <w:right w:val="single" w:sz="4" w:space="0" w:color="auto"/>
            </w:tcBorders>
            <w:shd w:val="clear" w:color="auto" w:fill="auto"/>
            <w:tcMar>
              <w:top w:w="85" w:type="dxa"/>
              <w:left w:w="57" w:type="dxa"/>
              <w:bottom w:w="85" w:type="dxa"/>
              <w:right w:w="57" w:type="dxa"/>
            </w:tcMar>
            <w:vAlign w:val="center"/>
          </w:tcPr>
          <w:p w14:paraId="39DDB1AB" w14:textId="77777777" w:rsidR="001D337A" w:rsidRPr="006F2487" w:rsidRDefault="3982CBDC" w:rsidP="3982CBDC">
            <w:pPr>
              <w:rPr>
                <w:rFonts w:asciiTheme="minorHAnsi" w:hAnsiTheme="minorHAnsi" w:cstheme="minorBidi"/>
                <w:noProof/>
                <w:color w:val="000000" w:themeColor="text1"/>
                <w:sz w:val="20"/>
              </w:rPr>
            </w:pPr>
            <w:r w:rsidRPr="3982CBDC">
              <w:rPr>
                <w:rFonts w:asciiTheme="minorHAnsi" w:hAnsiTheme="minorHAnsi" w:cstheme="minorBidi"/>
                <w:noProof/>
                <w:color w:val="000000" w:themeColor="text1"/>
                <w:sz w:val="20"/>
              </w:rPr>
              <w:t>Fluorinated ethers, listed in Annex II</w:t>
            </w:r>
          </w:p>
        </w:tc>
      </w:tr>
      <w:tr w:rsidR="00D02406" w:rsidRPr="006F2487" w14:paraId="2B873887" w14:textId="77777777" w:rsidTr="3F3807E4">
        <w:tc>
          <w:tcPr>
            <w:tcW w:w="3227" w:type="dxa"/>
            <w:tcBorders>
              <w:top w:val="nil"/>
              <w:left w:val="single" w:sz="4" w:space="0" w:color="auto"/>
              <w:bottom w:val="single" w:sz="4" w:space="0" w:color="auto"/>
              <w:right w:val="single" w:sz="4" w:space="0" w:color="auto"/>
            </w:tcBorders>
            <w:shd w:val="clear" w:color="auto" w:fill="auto"/>
            <w:tcMar>
              <w:top w:w="85" w:type="dxa"/>
              <w:left w:w="57" w:type="dxa"/>
              <w:bottom w:w="85" w:type="dxa"/>
              <w:right w:w="57" w:type="dxa"/>
            </w:tcMar>
            <w:vAlign w:val="center"/>
          </w:tcPr>
          <w:p w14:paraId="578B40CA" w14:textId="77777777" w:rsidR="00D02406" w:rsidRPr="00B001A8" w:rsidRDefault="3982CBDC" w:rsidP="3982CBDC">
            <w:pPr>
              <w:rPr>
                <w:rFonts w:asciiTheme="minorHAnsi" w:hAnsiTheme="minorHAnsi" w:cstheme="minorBidi"/>
                <w:noProof/>
                <w:color w:val="000000" w:themeColor="text1"/>
                <w:sz w:val="20"/>
              </w:rPr>
            </w:pPr>
            <w:r w:rsidRPr="3982CBDC">
              <w:rPr>
                <w:rFonts w:asciiTheme="minorHAnsi" w:hAnsiTheme="minorHAnsi" w:cstheme="minorBidi"/>
                <w:noProof/>
                <w:color w:val="000000" w:themeColor="text1"/>
                <w:sz w:val="20"/>
              </w:rPr>
              <w:t>HV</w:t>
            </w:r>
          </w:p>
        </w:tc>
        <w:tc>
          <w:tcPr>
            <w:tcW w:w="6379" w:type="dxa"/>
            <w:tcBorders>
              <w:top w:val="nil"/>
              <w:left w:val="nil"/>
              <w:bottom w:val="single" w:sz="4" w:space="0" w:color="auto"/>
              <w:right w:val="single" w:sz="4" w:space="0" w:color="auto"/>
            </w:tcBorders>
            <w:shd w:val="clear" w:color="auto" w:fill="auto"/>
            <w:tcMar>
              <w:top w:w="85" w:type="dxa"/>
              <w:left w:w="57" w:type="dxa"/>
              <w:bottom w:w="85" w:type="dxa"/>
              <w:right w:w="57" w:type="dxa"/>
            </w:tcMar>
            <w:vAlign w:val="center"/>
          </w:tcPr>
          <w:p w14:paraId="14416332" w14:textId="77777777" w:rsidR="00D02406" w:rsidRPr="00B001A8" w:rsidRDefault="3982CBDC" w:rsidP="3982CBDC">
            <w:pPr>
              <w:rPr>
                <w:rFonts w:asciiTheme="minorHAnsi" w:hAnsiTheme="minorHAnsi" w:cstheme="minorBidi"/>
                <w:noProof/>
                <w:color w:val="000000" w:themeColor="text1"/>
                <w:sz w:val="20"/>
              </w:rPr>
            </w:pPr>
            <w:r w:rsidRPr="3982CBDC">
              <w:rPr>
                <w:rFonts w:asciiTheme="minorHAnsi" w:hAnsiTheme="minorHAnsi" w:cstheme="minorBidi"/>
                <w:noProof/>
                <w:color w:val="000000" w:themeColor="text1"/>
                <w:sz w:val="20"/>
              </w:rPr>
              <w:t>High-voltage</w:t>
            </w:r>
          </w:p>
        </w:tc>
      </w:tr>
    </w:tbl>
    <w:tbl>
      <w:tblPr>
        <w:tblW w:w="9610" w:type="dxa"/>
        <w:tblInd w:w="-34" w:type="dxa"/>
        <w:tblLook w:val="04A0" w:firstRow="1" w:lastRow="0" w:firstColumn="1" w:lastColumn="0" w:noHBand="0" w:noVBand="1"/>
      </w:tblPr>
      <w:tblGrid>
        <w:gridCol w:w="3261"/>
        <w:gridCol w:w="6349"/>
      </w:tblGrid>
      <w:tr w:rsidR="001D337A" w:rsidRPr="006F2487" w14:paraId="31EF91DE" w14:textId="77777777" w:rsidTr="3982CBDC">
        <w:trPr>
          <w:trHeight w:val="340"/>
        </w:trPr>
        <w:tc>
          <w:tcPr>
            <w:tcW w:w="3261" w:type="dxa"/>
            <w:tcBorders>
              <w:top w:val="nil"/>
              <w:left w:val="single" w:sz="4" w:space="0" w:color="auto"/>
              <w:bottom w:val="single" w:sz="4" w:space="0" w:color="auto"/>
              <w:right w:val="single" w:sz="4" w:space="0" w:color="auto"/>
            </w:tcBorders>
            <w:shd w:val="clear" w:color="auto" w:fill="auto"/>
            <w:vAlign w:val="center"/>
          </w:tcPr>
          <w:p w14:paraId="7D9051D4" w14:textId="77777777" w:rsidR="001D337A" w:rsidRPr="006F2487" w:rsidRDefault="3982CBDC" w:rsidP="3982CBDC">
            <w:pPr>
              <w:spacing w:after="0"/>
              <w:rPr>
                <w:rFonts w:asciiTheme="minorHAnsi" w:hAnsiTheme="minorHAnsi"/>
                <w:noProof/>
                <w:color w:val="000000" w:themeColor="text1"/>
                <w:sz w:val="20"/>
                <w:szCs w:val="20"/>
                <w:lang w:eastAsia="en-GB"/>
              </w:rPr>
            </w:pPr>
            <w:r w:rsidRPr="3982CBDC">
              <w:rPr>
                <w:rFonts w:asciiTheme="minorHAnsi" w:hAnsiTheme="minorHAnsi"/>
                <w:noProof/>
                <w:color w:val="000000" w:themeColor="text1"/>
                <w:sz w:val="20"/>
                <w:szCs w:val="20"/>
                <w:lang w:eastAsia="en-GB"/>
              </w:rPr>
              <w:t>IPCC</w:t>
            </w:r>
          </w:p>
        </w:tc>
        <w:tc>
          <w:tcPr>
            <w:tcW w:w="6349" w:type="dxa"/>
            <w:tcBorders>
              <w:top w:val="nil"/>
              <w:left w:val="nil"/>
              <w:bottom w:val="single" w:sz="4" w:space="0" w:color="auto"/>
              <w:right w:val="single" w:sz="4" w:space="0" w:color="auto"/>
            </w:tcBorders>
            <w:shd w:val="clear" w:color="auto" w:fill="auto"/>
            <w:vAlign w:val="center"/>
          </w:tcPr>
          <w:p w14:paraId="24A03A76" w14:textId="0EF6F556" w:rsidR="001D337A" w:rsidRPr="006F2487" w:rsidRDefault="3982CBDC" w:rsidP="3982CBDC">
            <w:pPr>
              <w:spacing w:before="60" w:after="60"/>
              <w:rPr>
                <w:rFonts w:asciiTheme="minorHAnsi" w:hAnsiTheme="minorHAnsi"/>
                <w:b/>
                <w:bCs/>
                <w:noProof/>
                <w:color w:val="000000" w:themeColor="text1"/>
                <w:sz w:val="20"/>
                <w:szCs w:val="20"/>
                <w:lang w:eastAsia="en-GB"/>
              </w:rPr>
            </w:pPr>
            <w:r w:rsidRPr="3982CBDC">
              <w:rPr>
                <w:rFonts w:asciiTheme="minorHAnsi" w:hAnsiTheme="minorHAnsi"/>
                <w:noProof/>
                <w:color w:val="000000" w:themeColor="text1"/>
                <w:sz w:val="20"/>
                <w:szCs w:val="20"/>
                <w:lang w:eastAsia="en-GB"/>
              </w:rPr>
              <w:t xml:space="preserve">Intergovernmental Panel on Climate Change. United Nations body for assessing the science related to climate change. </w:t>
            </w:r>
            <w:hyperlink r:id="rId25">
              <w:r w:rsidRPr="3982CBDC">
                <w:rPr>
                  <w:rStyle w:val="Hyperlink"/>
                  <w:rFonts w:asciiTheme="minorHAnsi" w:hAnsiTheme="minorHAnsi"/>
                  <w:noProof/>
                  <w:sz w:val="20"/>
                  <w:szCs w:val="20"/>
                  <w:lang w:eastAsia="en-GB"/>
                </w:rPr>
                <w:t>https://www.ipcc.ch/</w:t>
              </w:r>
            </w:hyperlink>
            <w:r w:rsidRPr="3982CBDC">
              <w:rPr>
                <w:rFonts w:asciiTheme="minorHAnsi" w:hAnsiTheme="minorHAnsi"/>
                <w:noProof/>
                <w:color w:val="000000" w:themeColor="text1"/>
                <w:sz w:val="20"/>
                <w:szCs w:val="20"/>
                <w:lang w:eastAsia="en-GB"/>
              </w:rPr>
              <w:t xml:space="preserve"> </w:t>
            </w:r>
          </w:p>
        </w:tc>
      </w:tr>
      <w:tr w:rsidR="007B1431" w:rsidRPr="006F2487" w14:paraId="7ABAB135" w14:textId="77777777" w:rsidTr="3982CBDC">
        <w:trPr>
          <w:trHeight w:val="340"/>
        </w:trPr>
        <w:tc>
          <w:tcPr>
            <w:tcW w:w="3261" w:type="dxa"/>
            <w:tcBorders>
              <w:top w:val="nil"/>
              <w:left w:val="single" w:sz="4" w:space="0" w:color="auto"/>
              <w:bottom w:val="single" w:sz="4" w:space="0" w:color="auto"/>
              <w:right w:val="single" w:sz="4" w:space="0" w:color="auto"/>
            </w:tcBorders>
            <w:shd w:val="clear" w:color="auto" w:fill="auto"/>
            <w:vAlign w:val="center"/>
          </w:tcPr>
          <w:p w14:paraId="4EBBB2B0" w14:textId="77777777" w:rsidR="007B1431" w:rsidRPr="006F2487" w:rsidRDefault="3982CBDC" w:rsidP="3982CBDC">
            <w:pPr>
              <w:spacing w:after="0"/>
              <w:rPr>
                <w:rFonts w:asciiTheme="minorHAnsi" w:eastAsia="Times New Roman" w:hAnsiTheme="minorHAnsi"/>
                <w:noProof/>
                <w:color w:val="000000" w:themeColor="text1"/>
                <w:sz w:val="20"/>
                <w:szCs w:val="20"/>
                <w:lang w:eastAsia="en-GB"/>
              </w:rPr>
            </w:pPr>
            <w:r w:rsidRPr="3982CBDC">
              <w:rPr>
                <w:rFonts w:asciiTheme="minorHAnsi" w:hAnsiTheme="minorHAnsi"/>
                <w:noProof/>
                <w:color w:val="000000" w:themeColor="text1"/>
                <w:sz w:val="20"/>
                <w:szCs w:val="20"/>
                <w:lang w:eastAsia="en-GB"/>
              </w:rPr>
              <w:t>ISG</w:t>
            </w:r>
          </w:p>
        </w:tc>
        <w:tc>
          <w:tcPr>
            <w:tcW w:w="6349" w:type="dxa"/>
            <w:tcBorders>
              <w:top w:val="nil"/>
              <w:left w:val="nil"/>
              <w:bottom w:val="single" w:sz="4" w:space="0" w:color="auto"/>
              <w:right w:val="single" w:sz="4" w:space="0" w:color="auto"/>
            </w:tcBorders>
            <w:shd w:val="clear" w:color="auto" w:fill="auto"/>
            <w:vAlign w:val="center"/>
          </w:tcPr>
          <w:p w14:paraId="11C2D6E4" w14:textId="77777777" w:rsidR="007B1431" w:rsidRPr="006F2487" w:rsidRDefault="3982CBDC" w:rsidP="3982CBDC">
            <w:pPr>
              <w:spacing w:before="60" w:after="60"/>
              <w:rPr>
                <w:rFonts w:asciiTheme="minorHAnsi" w:eastAsia="Times New Roman" w:hAnsiTheme="minorHAnsi"/>
                <w:noProof/>
                <w:color w:val="000000" w:themeColor="text1"/>
                <w:sz w:val="20"/>
                <w:szCs w:val="20"/>
                <w:lang w:eastAsia="en-GB"/>
              </w:rPr>
            </w:pPr>
            <w:r w:rsidRPr="3982CBDC">
              <w:rPr>
                <w:rFonts w:asciiTheme="minorHAnsi" w:hAnsiTheme="minorHAnsi"/>
                <w:noProof/>
                <w:color w:val="000000" w:themeColor="text1"/>
                <w:sz w:val="20"/>
                <w:szCs w:val="20"/>
                <w:lang w:eastAsia="en-GB"/>
              </w:rPr>
              <w:t>European Commission Inter Service Group accompanying the impact assessment</w:t>
            </w:r>
          </w:p>
        </w:tc>
      </w:tr>
      <w:tr w:rsidR="001D337A" w:rsidRPr="006F2487" w14:paraId="1A678192" w14:textId="77777777" w:rsidTr="3982CBDC">
        <w:trPr>
          <w:trHeight w:val="850"/>
        </w:trPr>
        <w:tc>
          <w:tcPr>
            <w:tcW w:w="3261" w:type="dxa"/>
            <w:tcBorders>
              <w:top w:val="nil"/>
              <w:left w:val="single" w:sz="4" w:space="0" w:color="auto"/>
              <w:bottom w:val="single" w:sz="4" w:space="0" w:color="auto"/>
              <w:right w:val="single" w:sz="4" w:space="0" w:color="auto"/>
            </w:tcBorders>
            <w:shd w:val="clear" w:color="auto" w:fill="auto"/>
            <w:vAlign w:val="center"/>
          </w:tcPr>
          <w:p w14:paraId="672D29EC" w14:textId="77777777" w:rsidR="001D337A" w:rsidRPr="006F2487" w:rsidRDefault="3982CBDC" w:rsidP="3982CBDC">
            <w:pPr>
              <w:spacing w:after="0"/>
              <w:rPr>
                <w:rFonts w:asciiTheme="minorHAnsi" w:eastAsia="Times New Roman" w:hAnsiTheme="minorHAnsi"/>
                <w:noProof/>
                <w:color w:val="000000" w:themeColor="text1"/>
                <w:sz w:val="20"/>
                <w:szCs w:val="20"/>
                <w:lang w:eastAsia="en-GB"/>
              </w:rPr>
            </w:pPr>
            <w:r w:rsidRPr="3982CBDC">
              <w:rPr>
                <w:rFonts w:asciiTheme="minorHAnsi" w:eastAsia="Times New Roman" w:hAnsiTheme="minorHAnsi"/>
                <w:noProof/>
                <w:color w:val="000000" w:themeColor="text1"/>
                <w:sz w:val="20"/>
                <w:szCs w:val="20"/>
                <w:lang w:eastAsia="en-GB"/>
              </w:rPr>
              <w:t>Kigali Amendment</w:t>
            </w:r>
          </w:p>
        </w:tc>
        <w:tc>
          <w:tcPr>
            <w:tcW w:w="6349" w:type="dxa"/>
            <w:tcBorders>
              <w:top w:val="nil"/>
              <w:left w:val="nil"/>
              <w:bottom w:val="single" w:sz="4" w:space="0" w:color="auto"/>
              <w:right w:val="single" w:sz="4" w:space="0" w:color="auto"/>
            </w:tcBorders>
            <w:shd w:val="clear" w:color="auto" w:fill="auto"/>
            <w:vAlign w:val="center"/>
          </w:tcPr>
          <w:p w14:paraId="4AAE43B0" w14:textId="77777777" w:rsidR="001D337A" w:rsidRPr="006F2487" w:rsidRDefault="3982CBDC" w:rsidP="3982CBDC">
            <w:pPr>
              <w:spacing w:before="60" w:after="60"/>
              <w:rPr>
                <w:rFonts w:asciiTheme="minorHAnsi" w:eastAsia="Times New Roman" w:hAnsiTheme="minorHAnsi"/>
                <w:noProof/>
                <w:color w:val="000000" w:themeColor="text1"/>
                <w:sz w:val="20"/>
                <w:szCs w:val="20"/>
                <w:lang w:eastAsia="en-GB"/>
              </w:rPr>
            </w:pPr>
            <w:r w:rsidRPr="3982CBDC">
              <w:rPr>
                <w:rFonts w:asciiTheme="minorHAnsi" w:eastAsia="Times New Roman" w:hAnsiTheme="minorHAnsi"/>
                <w:noProof/>
                <w:color w:val="000000" w:themeColor="text1"/>
                <w:sz w:val="20"/>
                <w:szCs w:val="20"/>
                <w:lang w:eastAsia="en-GB"/>
              </w:rPr>
              <w:t xml:space="preserve">Added HFCs to the regulated substances under the Montreal Protocol </w:t>
            </w:r>
          </w:p>
        </w:tc>
      </w:tr>
      <w:tr w:rsidR="007B1431" w:rsidRPr="006F2487" w14:paraId="4DCFEE53" w14:textId="77777777" w:rsidTr="3982CBDC">
        <w:trPr>
          <w:trHeight w:val="850"/>
        </w:trPr>
        <w:tc>
          <w:tcPr>
            <w:tcW w:w="3261" w:type="dxa"/>
            <w:tcBorders>
              <w:top w:val="nil"/>
              <w:left w:val="single" w:sz="4" w:space="0" w:color="auto"/>
              <w:bottom w:val="single" w:sz="4" w:space="0" w:color="auto"/>
              <w:right w:val="single" w:sz="4" w:space="0" w:color="auto"/>
            </w:tcBorders>
            <w:shd w:val="clear" w:color="auto" w:fill="auto"/>
            <w:vAlign w:val="center"/>
          </w:tcPr>
          <w:p w14:paraId="0FE26E39" w14:textId="77777777" w:rsidR="007B1431" w:rsidRPr="006F2487" w:rsidRDefault="3982CBDC" w:rsidP="3982CBDC">
            <w:pPr>
              <w:spacing w:after="0"/>
              <w:rPr>
                <w:rFonts w:asciiTheme="minorHAnsi" w:eastAsia="Times New Roman" w:hAnsiTheme="minorHAnsi"/>
                <w:noProof/>
                <w:color w:val="000000" w:themeColor="text1"/>
                <w:sz w:val="20"/>
                <w:szCs w:val="20"/>
                <w:lang w:eastAsia="en-GB"/>
              </w:rPr>
            </w:pPr>
            <w:r w:rsidRPr="3982CBDC">
              <w:rPr>
                <w:rFonts w:asciiTheme="minorHAnsi" w:eastAsia="Times New Roman" w:hAnsiTheme="minorHAnsi"/>
                <w:noProof/>
                <w:color w:val="000000" w:themeColor="text1"/>
                <w:sz w:val="20"/>
                <w:szCs w:val="20"/>
                <w:lang w:eastAsia="en-GB"/>
              </w:rPr>
              <w:t>MAC</w:t>
            </w:r>
          </w:p>
        </w:tc>
        <w:tc>
          <w:tcPr>
            <w:tcW w:w="6349" w:type="dxa"/>
            <w:tcBorders>
              <w:top w:val="nil"/>
              <w:left w:val="nil"/>
              <w:bottom w:val="single" w:sz="4" w:space="0" w:color="auto"/>
              <w:right w:val="single" w:sz="4" w:space="0" w:color="auto"/>
            </w:tcBorders>
            <w:shd w:val="clear" w:color="auto" w:fill="auto"/>
            <w:vAlign w:val="center"/>
          </w:tcPr>
          <w:p w14:paraId="7CAB2C50" w14:textId="77777777" w:rsidR="007B1431" w:rsidRPr="006F2487" w:rsidRDefault="3982CBDC" w:rsidP="3982CBDC">
            <w:pPr>
              <w:spacing w:before="60" w:after="60"/>
              <w:rPr>
                <w:rFonts w:asciiTheme="minorHAnsi" w:eastAsia="Times New Roman" w:hAnsiTheme="minorHAnsi"/>
                <w:noProof/>
                <w:color w:val="000000" w:themeColor="text1"/>
                <w:sz w:val="20"/>
                <w:szCs w:val="20"/>
                <w:lang w:eastAsia="en-GB"/>
              </w:rPr>
            </w:pPr>
            <w:r w:rsidRPr="3982CBDC">
              <w:rPr>
                <w:rFonts w:asciiTheme="minorHAnsi" w:eastAsia="Times New Roman" w:hAnsiTheme="minorHAnsi"/>
                <w:noProof/>
                <w:color w:val="000000" w:themeColor="text1"/>
                <w:sz w:val="20"/>
                <w:szCs w:val="20"/>
                <w:lang w:eastAsia="en-GB"/>
              </w:rPr>
              <w:t>Mobile air conditioning (in particular as relating to AC in passenger cars)</w:t>
            </w:r>
          </w:p>
        </w:tc>
      </w:tr>
      <w:tr w:rsidR="00433464" w:rsidRPr="006F2487" w14:paraId="05C6E638" w14:textId="77777777" w:rsidTr="3982CBDC">
        <w:trPr>
          <w:trHeight w:val="300"/>
        </w:trPr>
        <w:tc>
          <w:tcPr>
            <w:tcW w:w="3261" w:type="dxa"/>
            <w:tcBorders>
              <w:top w:val="nil"/>
              <w:left w:val="single" w:sz="4" w:space="0" w:color="auto"/>
              <w:bottom w:val="single" w:sz="4" w:space="0" w:color="auto"/>
              <w:right w:val="single" w:sz="4" w:space="0" w:color="auto"/>
            </w:tcBorders>
            <w:shd w:val="clear" w:color="auto" w:fill="auto"/>
            <w:vAlign w:val="center"/>
          </w:tcPr>
          <w:p w14:paraId="3CF6CA55" w14:textId="77777777" w:rsidR="00433464" w:rsidRPr="006F2487" w:rsidRDefault="3982CBDC" w:rsidP="3982CBDC">
            <w:pPr>
              <w:spacing w:after="0"/>
              <w:rPr>
                <w:rFonts w:asciiTheme="minorHAnsi" w:hAnsiTheme="minorHAnsi"/>
                <w:noProof/>
                <w:color w:val="000000" w:themeColor="text1"/>
                <w:sz w:val="20"/>
                <w:szCs w:val="20"/>
                <w:lang w:eastAsia="en-GB"/>
              </w:rPr>
            </w:pPr>
            <w:r w:rsidRPr="3982CBDC">
              <w:rPr>
                <w:rFonts w:asciiTheme="minorHAnsi" w:hAnsiTheme="minorHAnsi"/>
                <w:noProof/>
                <w:color w:val="000000" w:themeColor="text1"/>
                <w:sz w:val="20"/>
                <w:szCs w:val="20"/>
                <w:lang w:eastAsia="en-GB"/>
              </w:rPr>
              <w:t>MDIs</w:t>
            </w:r>
          </w:p>
        </w:tc>
        <w:tc>
          <w:tcPr>
            <w:tcW w:w="6349" w:type="dxa"/>
            <w:tcBorders>
              <w:top w:val="nil"/>
              <w:left w:val="nil"/>
              <w:bottom w:val="single" w:sz="4" w:space="0" w:color="auto"/>
              <w:right w:val="single" w:sz="4" w:space="0" w:color="auto"/>
            </w:tcBorders>
            <w:shd w:val="clear" w:color="auto" w:fill="auto"/>
            <w:vAlign w:val="center"/>
          </w:tcPr>
          <w:p w14:paraId="62BCF319" w14:textId="77777777" w:rsidR="00433464" w:rsidRPr="006F2487" w:rsidRDefault="3982CBDC" w:rsidP="3982CBDC">
            <w:pPr>
              <w:spacing w:after="0"/>
              <w:rPr>
                <w:rFonts w:asciiTheme="minorHAnsi" w:hAnsiTheme="minorHAnsi"/>
                <w:noProof/>
                <w:color w:val="000000" w:themeColor="text1"/>
                <w:sz w:val="20"/>
                <w:szCs w:val="20"/>
                <w:lang w:eastAsia="en-GB"/>
              </w:rPr>
            </w:pPr>
            <w:r w:rsidRPr="3982CBDC">
              <w:rPr>
                <w:rFonts w:asciiTheme="minorHAnsi" w:hAnsiTheme="minorHAnsi"/>
                <w:noProof/>
                <w:color w:val="000000" w:themeColor="text1"/>
                <w:sz w:val="20"/>
                <w:szCs w:val="20"/>
                <w:lang w:eastAsia="en-GB"/>
              </w:rPr>
              <w:t>Metered dose inhaler used for medical purposes, e.g. asthma sprays</w:t>
            </w:r>
          </w:p>
        </w:tc>
      </w:tr>
      <w:tr w:rsidR="001D337A" w:rsidRPr="006F2487" w14:paraId="068E4C3F" w14:textId="77777777" w:rsidTr="3982CBDC">
        <w:trPr>
          <w:trHeight w:val="300"/>
        </w:trPr>
        <w:tc>
          <w:tcPr>
            <w:tcW w:w="3261" w:type="dxa"/>
            <w:tcBorders>
              <w:top w:val="nil"/>
              <w:left w:val="single" w:sz="4" w:space="0" w:color="auto"/>
              <w:bottom w:val="single" w:sz="4" w:space="0" w:color="auto"/>
              <w:right w:val="single" w:sz="4" w:space="0" w:color="auto"/>
            </w:tcBorders>
            <w:shd w:val="clear" w:color="auto" w:fill="auto"/>
            <w:vAlign w:val="center"/>
          </w:tcPr>
          <w:p w14:paraId="3A7AA78B" w14:textId="77777777" w:rsidR="001D337A" w:rsidRPr="006F2487" w:rsidRDefault="3982CBDC" w:rsidP="3982CBDC">
            <w:pPr>
              <w:spacing w:after="0"/>
              <w:rPr>
                <w:rFonts w:asciiTheme="minorHAnsi" w:hAnsiTheme="minorHAnsi"/>
                <w:noProof/>
                <w:color w:val="000000" w:themeColor="text1"/>
                <w:sz w:val="20"/>
                <w:szCs w:val="20"/>
                <w:lang w:eastAsia="en-GB"/>
              </w:rPr>
            </w:pPr>
            <w:r w:rsidRPr="3982CBDC">
              <w:rPr>
                <w:rFonts w:asciiTheme="minorHAnsi" w:hAnsiTheme="minorHAnsi"/>
                <w:noProof/>
                <w:color w:val="000000" w:themeColor="text1"/>
                <w:sz w:val="20"/>
                <w:szCs w:val="20"/>
                <w:lang w:eastAsia="en-GB"/>
              </w:rPr>
              <w:t>MMR</w:t>
            </w:r>
          </w:p>
        </w:tc>
        <w:tc>
          <w:tcPr>
            <w:tcW w:w="6349" w:type="dxa"/>
            <w:tcBorders>
              <w:top w:val="nil"/>
              <w:left w:val="nil"/>
              <w:bottom w:val="single" w:sz="4" w:space="0" w:color="auto"/>
              <w:right w:val="single" w:sz="4" w:space="0" w:color="auto"/>
            </w:tcBorders>
            <w:shd w:val="clear" w:color="auto" w:fill="auto"/>
            <w:vAlign w:val="center"/>
          </w:tcPr>
          <w:p w14:paraId="0E7A57FD" w14:textId="77777777" w:rsidR="001D337A" w:rsidRPr="006F2487" w:rsidRDefault="3982CBDC" w:rsidP="3982CBDC">
            <w:pPr>
              <w:spacing w:before="60" w:after="60"/>
              <w:rPr>
                <w:rFonts w:asciiTheme="minorHAnsi" w:hAnsiTheme="minorHAnsi"/>
                <w:noProof/>
                <w:color w:val="000000" w:themeColor="text1"/>
                <w:sz w:val="20"/>
                <w:szCs w:val="20"/>
                <w:lang w:eastAsia="en-GB"/>
              </w:rPr>
            </w:pPr>
            <w:r w:rsidRPr="3982CBDC">
              <w:rPr>
                <w:rFonts w:asciiTheme="minorHAnsi" w:hAnsiTheme="minorHAnsi"/>
                <w:noProof/>
                <w:color w:val="000000" w:themeColor="text1"/>
                <w:sz w:val="20"/>
                <w:szCs w:val="20"/>
                <w:lang w:eastAsia="en-GB"/>
              </w:rPr>
              <w:t>Monitoring Mechanism Regulation (</w:t>
            </w:r>
            <w:r w:rsidRPr="3982CBDC">
              <w:rPr>
                <w:rFonts w:asciiTheme="minorHAnsi" w:hAnsiTheme="minorHAnsi"/>
                <w:noProof/>
                <w:sz w:val="20"/>
                <w:szCs w:val="20"/>
              </w:rPr>
              <w:t xml:space="preserve">Regulation (EU) No 525/2013): </w:t>
            </w:r>
            <w:r w:rsidRPr="3982CBDC">
              <w:rPr>
                <w:rFonts w:asciiTheme="minorHAnsi" w:hAnsiTheme="minorHAnsi"/>
                <w:noProof/>
                <w:color w:val="000000" w:themeColor="text1"/>
                <w:sz w:val="20"/>
                <w:szCs w:val="20"/>
                <w:lang w:eastAsia="en-GB"/>
              </w:rPr>
              <w:t>mechanism for monitoring and reporting greenhouse gas emissions and for reporting other information at national and Union level relevant to climate change</w:t>
            </w:r>
          </w:p>
        </w:tc>
      </w:tr>
      <w:tr w:rsidR="007B1431" w:rsidRPr="006F2487" w14:paraId="1A99B345" w14:textId="77777777" w:rsidTr="3982CBDC">
        <w:trPr>
          <w:trHeight w:val="300"/>
        </w:trPr>
        <w:tc>
          <w:tcPr>
            <w:tcW w:w="3261" w:type="dxa"/>
            <w:tcBorders>
              <w:top w:val="nil"/>
              <w:left w:val="single" w:sz="4" w:space="0" w:color="auto"/>
              <w:bottom w:val="single" w:sz="4" w:space="0" w:color="auto"/>
              <w:right w:val="single" w:sz="4" w:space="0" w:color="auto"/>
            </w:tcBorders>
            <w:shd w:val="clear" w:color="auto" w:fill="auto"/>
            <w:vAlign w:val="center"/>
          </w:tcPr>
          <w:p w14:paraId="1C0FBD5E" w14:textId="77777777" w:rsidR="007B1431" w:rsidRPr="006F2487" w:rsidRDefault="3982CBDC" w:rsidP="3982CBDC">
            <w:pPr>
              <w:spacing w:after="0"/>
              <w:rPr>
                <w:rFonts w:asciiTheme="minorHAnsi" w:eastAsia="Times New Roman" w:hAnsiTheme="minorHAnsi"/>
                <w:noProof/>
                <w:color w:val="000000" w:themeColor="text1"/>
                <w:sz w:val="20"/>
                <w:szCs w:val="20"/>
                <w:lang w:eastAsia="en-GB"/>
              </w:rPr>
            </w:pPr>
            <w:r w:rsidRPr="3982CBDC">
              <w:rPr>
                <w:rFonts w:asciiTheme="minorHAnsi" w:hAnsiTheme="minorHAnsi"/>
                <w:noProof/>
                <w:color w:val="000000" w:themeColor="text1"/>
                <w:sz w:val="20"/>
                <w:szCs w:val="20"/>
                <w:lang w:eastAsia="en-GB"/>
              </w:rPr>
              <w:t>(Montreal) Protocol</w:t>
            </w:r>
          </w:p>
        </w:tc>
        <w:tc>
          <w:tcPr>
            <w:tcW w:w="6349" w:type="dxa"/>
            <w:tcBorders>
              <w:top w:val="nil"/>
              <w:left w:val="nil"/>
              <w:bottom w:val="single" w:sz="4" w:space="0" w:color="auto"/>
              <w:right w:val="single" w:sz="4" w:space="0" w:color="auto"/>
            </w:tcBorders>
            <w:shd w:val="clear" w:color="auto" w:fill="auto"/>
            <w:vAlign w:val="center"/>
          </w:tcPr>
          <w:p w14:paraId="22E086A2" w14:textId="77777777" w:rsidR="007B1431" w:rsidRPr="006F2487" w:rsidRDefault="3982CBDC" w:rsidP="3982CBDC">
            <w:pPr>
              <w:spacing w:before="60" w:after="60"/>
              <w:rPr>
                <w:rFonts w:asciiTheme="minorHAnsi" w:eastAsia="Times New Roman" w:hAnsiTheme="minorHAnsi"/>
                <w:noProof/>
                <w:color w:val="000000" w:themeColor="text1"/>
                <w:sz w:val="20"/>
                <w:szCs w:val="20"/>
                <w:lang w:eastAsia="en-GB"/>
              </w:rPr>
            </w:pPr>
            <w:r w:rsidRPr="3982CBDC">
              <w:rPr>
                <w:rFonts w:asciiTheme="minorHAnsi" w:hAnsiTheme="minorHAnsi"/>
                <w:noProof/>
                <w:color w:val="000000" w:themeColor="text1"/>
                <w:sz w:val="20"/>
                <w:szCs w:val="20"/>
                <w:lang w:eastAsia="en-GB"/>
              </w:rPr>
              <w:t>The Montreal Protocol on Substances that Deplete the Ozone Layer, an international treaty governing the protection of stratospheric ozone. It also regulates the HFCs since the Kigali Amendment (2016).</w:t>
            </w:r>
          </w:p>
        </w:tc>
      </w:tr>
      <w:tr w:rsidR="00D02406" w:rsidRPr="006F2487" w14:paraId="7570E2D7" w14:textId="77777777" w:rsidTr="3982CBDC">
        <w:trPr>
          <w:trHeight w:val="900"/>
        </w:trPr>
        <w:tc>
          <w:tcPr>
            <w:tcW w:w="3261" w:type="dxa"/>
            <w:tcBorders>
              <w:top w:val="nil"/>
              <w:left w:val="single" w:sz="4" w:space="0" w:color="auto"/>
              <w:bottom w:val="single" w:sz="4" w:space="0" w:color="auto"/>
              <w:right w:val="single" w:sz="4" w:space="0" w:color="auto"/>
            </w:tcBorders>
            <w:shd w:val="clear" w:color="auto" w:fill="auto"/>
            <w:vAlign w:val="center"/>
          </w:tcPr>
          <w:p w14:paraId="157F1D4F" w14:textId="77777777" w:rsidR="00D02406" w:rsidRPr="00B001A8" w:rsidRDefault="3982CBDC" w:rsidP="3982CBDC">
            <w:pPr>
              <w:spacing w:after="0"/>
              <w:rPr>
                <w:rFonts w:asciiTheme="minorHAnsi" w:hAnsiTheme="minorHAnsi"/>
                <w:noProof/>
                <w:color w:val="000000" w:themeColor="text1"/>
                <w:sz w:val="20"/>
                <w:szCs w:val="20"/>
                <w:lang w:eastAsia="en-GB"/>
              </w:rPr>
            </w:pPr>
            <w:r w:rsidRPr="3982CBDC">
              <w:rPr>
                <w:rFonts w:asciiTheme="minorHAnsi" w:hAnsiTheme="minorHAnsi"/>
                <w:noProof/>
                <w:color w:val="000000" w:themeColor="text1"/>
                <w:sz w:val="20"/>
                <w:szCs w:val="20"/>
                <w:lang w:eastAsia="en-GB"/>
              </w:rPr>
              <w:t>MV</w:t>
            </w:r>
          </w:p>
        </w:tc>
        <w:tc>
          <w:tcPr>
            <w:tcW w:w="6349" w:type="dxa"/>
            <w:tcBorders>
              <w:top w:val="nil"/>
              <w:left w:val="nil"/>
              <w:bottom w:val="single" w:sz="4" w:space="0" w:color="auto"/>
              <w:right w:val="single" w:sz="4" w:space="0" w:color="auto"/>
            </w:tcBorders>
            <w:shd w:val="clear" w:color="auto" w:fill="auto"/>
            <w:vAlign w:val="center"/>
          </w:tcPr>
          <w:p w14:paraId="48941EDD" w14:textId="77777777" w:rsidR="00D02406" w:rsidRPr="00B001A8" w:rsidRDefault="3982CBDC" w:rsidP="3982CBDC">
            <w:pPr>
              <w:spacing w:before="60" w:after="60"/>
              <w:rPr>
                <w:rFonts w:asciiTheme="minorHAnsi" w:hAnsiTheme="minorHAnsi"/>
                <w:noProof/>
                <w:color w:val="000000" w:themeColor="text1"/>
                <w:sz w:val="20"/>
                <w:szCs w:val="20"/>
                <w:lang w:eastAsia="en-GB"/>
              </w:rPr>
            </w:pPr>
            <w:r w:rsidRPr="3982CBDC">
              <w:rPr>
                <w:rFonts w:asciiTheme="minorHAnsi" w:hAnsiTheme="minorHAnsi"/>
                <w:noProof/>
                <w:color w:val="000000" w:themeColor="text1"/>
                <w:sz w:val="20"/>
                <w:szCs w:val="20"/>
                <w:lang w:eastAsia="en-GB"/>
              </w:rPr>
              <w:t>Medium-voltage</w:t>
            </w:r>
          </w:p>
        </w:tc>
      </w:tr>
      <w:tr w:rsidR="00761D8A" w:rsidRPr="006F2487" w14:paraId="398AD63B" w14:textId="77777777" w:rsidTr="3982CBDC">
        <w:trPr>
          <w:trHeight w:val="600"/>
        </w:trPr>
        <w:tc>
          <w:tcPr>
            <w:tcW w:w="3261" w:type="dxa"/>
            <w:tcBorders>
              <w:top w:val="nil"/>
              <w:left w:val="single" w:sz="4" w:space="0" w:color="auto"/>
              <w:bottom w:val="single" w:sz="4" w:space="0" w:color="auto"/>
              <w:right w:val="single" w:sz="4" w:space="0" w:color="auto"/>
            </w:tcBorders>
            <w:shd w:val="clear" w:color="auto" w:fill="auto"/>
            <w:vAlign w:val="center"/>
          </w:tcPr>
          <w:p w14:paraId="7CA3D55F" w14:textId="5D7DF05C" w:rsidR="00761D8A" w:rsidRPr="00761D8A" w:rsidRDefault="00761D8A" w:rsidP="3982CBDC">
            <w:pPr>
              <w:spacing w:after="0"/>
              <w:rPr>
                <w:rFonts w:asciiTheme="minorHAnsi" w:hAnsiTheme="minorHAnsi"/>
                <w:noProof/>
                <w:color w:val="000000" w:themeColor="text1"/>
                <w:sz w:val="20"/>
                <w:szCs w:val="20"/>
                <w:vertAlign w:val="subscript"/>
                <w:lang w:eastAsia="en-GB"/>
              </w:rPr>
            </w:pPr>
            <w:r>
              <w:rPr>
                <w:rFonts w:asciiTheme="minorHAnsi" w:hAnsiTheme="minorHAnsi"/>
                <w:noProof/>
                <w:color w:val="000000" w:themeColor="text1"/>
                <w:sz w:val="20"/>
                <w:szCs w:val="20"/>
                <w:lang w:eastAsia="en-GB"/>
              </w:rPr>
              <w:t>NF</w:t>
            </w:r>
            <w:r>
              <w:rPr>
                <w:rFonts w:asciiTheme="minorHAnsi" w:hAnsiTheme="minorHAnsi"/>
                <w:noProof/>
                <w:color w:val="000000" w:themeColor="text1"/>
                <w:sz w:val="20"/>
                <w:szCs w:val="20"/>
                <w:vertAlign w:val="subscript"/>
                <w:lang w:eastAsia="en-GB"/>
              </w:rPr>
              <w:t>3</w:t>
            </w:r>
          </w:p>
        </w:tc>
        <w:tc>
          <w:tcPr>
            <w:tcW w:w="6349" w:type="dxa"/>
            <w:tcBorders>
              <w:top w:val="nil"/>
              <w:left w:val="nil"/>
              <w:bottom w:val="single" w:sz="4" w:space="0" w:color="auto"/>
              <w:right w:val="single" w:sz="4" w:space="0" w:color="auto"/>
            </w:tcBorders>
            <w:shd w:val="clear" w:color="auto" w:fill="auto"/>
            <w:vAlign w:val="center"/>
          </w:tcPr>
          <w:p w14:paraId="343D9506" w14:textId="2D87D741" w:rsidR="00761D8A" w:rsidRDefault="00761D8A" w:rsidP="3982CBDC">
            <w:pPr>
              <w:spacing w:before="60" w:after="60"/>
              <w:rPr>
                <w:rFonts w:asciiTheme="minorHAnsi" w:hAnsiTheme="minorHAnsi"/>
                <w:noProof/>
                <w:color w:val="000000" w:themeColor="text1"/>
                <w:sz w:val="20"/>
                <w:szCs w:val="20"/>
                <w:lang w:eastAsia="en-GB"/>
              </w:rPr>
            </w:pPr>
            <w:r>
              <w:rPr>
                <w:rFonts w:asciiTheme="minorHAnsi" w:hAnsiTheme="minorHAnsi"/>
                <w:noProof/>
                <w:color w:val="000000" w:themeColor="text1"/>
                <w:sz w:val="20"/>
                <w:szCs w:val="20"/>
                <w:lang w:eastAsia="en-GB"/>
              </w:rPr>
              <w:t>Nitrogen</w:t>
            </w:r>
            <w:r w:rsidR="00DB1EAE">
              <w:rPr>
                <w:rFonts w:asciiTheme="minorHAnsi" w:hAnsiTheme="minorHAnsi"/>
                <w:noProof/>
                <w:color w:val="000000" w:themeColor="text1"/>
                <w:sz w:val="20"/>
                <w:szCs w:val="20"/>
                <w:lang w:eastAsia="en-GB"/>
              </w:rPr>
              <w:t xml:space="preserve"> </w:t>
            </w:r>
            <w:r>
              <w:rPr>
                <w:rFonts w:asciiTheme="minorHAnsi" w:hAnsiTheme="minorHAnsi"/>
                <w:noProof/>
                <w:color w:val="000000" w:themeColor="text1"/>
                <w:sz w:val="20"/>
                <w:szCs w:val="20"/>
                <w:lang w:eastAsia="en-GB"/>
              </w:rPr>
              <w:t>trifluoride (an F-gas listed in Annex II)</w:t>
            </w:r>
          </w:p>
        </w:tc>
      </w:tr>
      <w:tr w:rsidR="00B40915" w:rsidRPr="006F2487" w14:paraId="24382411" w14:textId="77777777" w:rsidTr="3982CBDC">
        <w:trPr>
          <w:trHeight w:val="600"/>
        </w:trPr>
        <w:tc>
          <w:tcPr>
            <w:tcW w:w="3261" w:type="dxa"/>
            <w:tcBorders>
              <w:top w:val="nil"/>
              <w:left w:val="single" w:sz="4" w:space="0" w:color="auto"/>
              <w:bottom w:val="single" w:sz="4" w:space="0" w:color="auto"/>
              <w:right w:val="single" w:sz="4" w:space="0" w:color="auto"/>
            </w:tcBorders>
            <w:shd w:val="clear" w:color="auto" w:fill="auto"/>
            <w:vAlign w:val="center"/>
          </w:tcPr>
          <w:p w14:paraId="7A2760E7" w14:textId="22BB2960" w:rsidR="00B40915" w:rsidRDefault="00B40915" w:rsidP="3982CBDC">
            <w:pPr>
              <w:spacing w:after="0"/>
              <w:rPr>
                <w:rFonts w:asciiTheme="minorHAnsi" w:hAnsiTheme="minorHAnsi"/>
                <w:noProof/>
                <w:color w:val="000000" w:themeColor="text1"/>
                <w:sz w:val="20"/>
                <w:szCs w:val="20"/>
                <w:lang w:eastAsia="en-GB"/>
              </w:rPr>
            </w:pPr>
            <w:r>
              <w:rPr>
                <w:rFonts w:asciiTheme="minorHAnsi" w:hAnsiTheme="minorHAnsi"/>
                <w:noProof/>
                <w:color w:val="000000" w:themeColor="text1"/>
                <w:sz w:val="20"/>
                <w:szCs w:val="20"/>
                <w:lang w:eastAsia="en-GB"/>
              </w:rPr>
              <w:t>ODS</w:t>
            </w:r>
          </w:p>
        </w:tc>
        <w:tc>
          <w:tcPr>
            <w:tcW w:w="6349" w:type="dxa"/>
            <w:tcBorders>
              <w:top w:val="nil"/>
              <w:left w:val="nil"/>
              <w:bottom w:val="single" w:sz="4" w:space="0" w:color="auto"/>
              <w:right w:val="single" w:sz="4" w:space="0" w:color="auto"/>
            </w:tcBorders>
            <w:shd w:val="clear" w:color="auto" w:fill="auto"/>
            <w:vAlign w:val="center"/>
          </w:tcPr>
          <w:p w14:paraId="53BD677E" w14:textId="4CBFE26E" w:rsidR="00B40915" w:rsidRDefault="00B40915" w:rsidP="3982CBDC">
            <w:pPr>
              <w:spacing w:before="60" w:after="60"/>
              <w:rPr>
                <w:rFonts w:asciiTheme="minorHAnsi" w:hAnsiTheme="minorHAnsi"/>
                <w:noProof/>
                <w:color w:val="000000" w:themeColor="text1"/>
                <w:sz w:val="20"/>
                <w:szCs w:val="20"/>
                <w:lang w:eastAsia="en-GB"/>
              </w:rPr>
            </w:pPr>
            <w:r>
              <w:rPr>
                <w:rFonts w:asciiTheme="minorHAnsi" w:hAnsiTheme="minorHAnsi"/>
                <w:noProof/>
                <w:color w:val="000000" w:themeColor="text1"/>
                <w:sz w:val="20"/>
                <w:szCs w:val="20"/>
                <w:lang w:eastAsia="en-GB"/>
              </w:rPr>
              <w:t>Ozone-depleting substance(s)</w:t>
            </w:r>
          </w:p>
        </w:tc>
      </w:tr>
      <w:tr w:rsidR="001E394B" w:rsidRPr="006F2487" w14:paraId="6CA2A0C9" w14:textId="77777777" w:rsidTr="3982CBDC">
        <w:trPr>
          <w:trHeight w:val="600"/>
        </w:trPr>
        <w:tc>
          <w:tcPr>
            <w:tcW w:w="3261" w:type="dxa"/>
            <w:tcBorders>
              <w:top w:val="nil"/>
              <w:left w:val="single" w:sz="4" w:space="0" w:color="auto"/>
              <w:bottom w:val="single" w:sz="4" w:space="0" w:color="auto"/>
              <w:right w:val="single" w:sz="4" w:space="0" w:color="auto"/>
            </w:tcBorders>
            <w:shd w:val="clear" w:color="auto" w:fill="auto"/>
            <w:vAlign w:val="center"/>
          </w:tcPr>
          <w:p w14:paraId="538698BC" w14:textId="1BA95931" w:rsidR="001E394B" w:rsidRPr="3982CBDC" w:rsidRDefault="001E394B" w:rsidP="3982CBDC">
            <w:pPr>
              <w:spacing w:after="0"/>
              <w:rPr>
                <w:rFonts w:asciiTheme="minorHAnsi" w:hAnsiTheme="minorHAnsi"/>
                <w:noProof/>
                <w:color w:val="000000" w:themeColor="text1"/>
                <w:sz w:val="20"/>
                <w:szCs w:val="20"/>
                <w:lang w:eastAsia="en-GB"/>
              </w:rPr>
            </w:pPr>
            <w:r>
              <w:rPr>
                <w:rFonts w:asciiTheme="minorHAnsi" w:hAnsiTheme="minorHAnsi"/>
                <w:noProof/>
                <w:color w:val="000000" w:themeColor="text1"/>
                <w:sz w:val="20"/>
                <w:szCs w:val="20"/>
                <w:lang w:eastAsia="en-GB"/>
              </w:rPr>
              <w:t>Opex</w:t>
            </w:r>
          </w:p>
        </w:tc>
        <w:tc>
          <w:tcPr>
            <w:tcW w:w="6349" w:type="dxa"/>
            <w:tcBorders>
              <w:top w:val="nil"/>
              <w:left w:val="nil"/>
              <w:bottom w:val="single" w:sz="4" w:space="0" w:color="auto"/>
              <w:right w:val="single" w:sz="4" w:space="0" w:color="auto"/>
            </w:tcBorders>
            <w:shd w:val="clear" w:color="auto" w:fill="auto"/>
            <w:vAlign w:val="center"/>
          </w:tcPr>
          <w:p w14:paraId="6D9E4AA5" w14:textId="11499D61" w:rsidR="001E394B" w:rsidRPr="3982CBDC" w:rsidRDefault="001E394B" w:rsidP="3982CBDC">
            <w:pPr>
              <w:spacing w:before="60" w:after="60"/>
              <w:rPr>
                <w:rFonts w:asciiTheme="minorHAnsi" w:hAnsiTheme="minorHAnsi"/>
                <w:noProof/>
                <w:color w:val="000000" w:themeColor="text1"/>
                <w:sz w:val="20"/>
                <w:szCs w:val="20"/>
                <w:lang w:eastAsia="en-GB"/>
              </w:rPr>
            </w:pPr>
            <w:r>
              <w:rPr>
                <w:rFonts w:asciiTheme="minorHAnsi" w:hAnsiTheme="minorHAnsi"/>
                <w:noProof/>
                <w:color w:val="000000" w:themeColor="text1"/>
                <w:sz w:val="20"/>
                <w:szCs w:val="20"/>
                <w:lang w:eastAsia="en-GB"/>
              </w:rPr>
              <w:t>Operational expenditure</w:t>
            </w:r>
          </w:p>
        </w:tc>
      </w:tr>
      <w:tr w:rsidR="00EF0BC5" w:rsidRPr="006F2487" w14:paraId="759875FF" w14:textId="77777777" w:rsidTr="3982CBDC">
        <w:trPr>
          <w:trHeight w:val="600"/>
        </w:trPr>
        <w:tc>
          <w:tcPr>
            <w:tcW w:w="3261" w:type="dxa"/>
            <w:tcBorders>
              <w:top w:val="nil"/>
              <w:left w:val="single" w:sz="4" w:space="0" w:color="auto"/>
              <w:bottom w:val="single" w:sz="4" w:space="0" w:color="auto"/>
              <w:right w:val="single" w:sz="4" w:space="0" w:color="auto"/>
            </w:tcBorders>
            <w:shd w:val="clear" w:color="auto" w:fill="auto"/>
            <w:vAlign w:val="center"/>
          </w:tcPr>
          <w:p w14:paraId="4934DA15" w14:textId="6F7BAE87" w:rsidR="00EF0BC5" w:rsidRPr="3982CBDC" w:rsidRDefault="00EF0BC5" w:rsidP="00EF0BC5">
            <w:pPr>
              <w:spacing w:after="0"/>
              <w:rPr>
                <w:rFonts w:asciiTheme="minorHAnsi" w:hAnsiTheme="minorHAnsi"/>
                <w:noProof/>
                <w:color w:val="000000" w:themeColor="text1"/>
                <w:sz w:val="20"/>
                <w:szCs w:val="20"/>
                <w:lang w:eastAsia="en-GB"/>
              </w:rPr>
            </w:pPr>
            <w:r>
              <w:rPr>
                <w:rFonts w:asciiTheme="minorHAnsi" w:hAnsiTheme="minorHAnsi" w:cs="Calibri"/>
                <w:noProof/>
                <w:color w:val="000000" w:themeColor="text1"/>
                <w:sz w:val="20"/>
              </w:rPr>
              <w:t>Person days</w:t>
            </w:r>
          </w:p>
        </w:tc>
        <w:tc>
          <w:tcPr>
            <w:tcW w:w="6349" w:type="dxa"/>
            <w:tcBorders>
              <w:top w:val="nil"/>
              <w:left w:val="nil"/>
              <w:bottom w:val="single" w:sz="4" w:space="0" w:color="auto"/>
              <w:right w:val="single" w:sz="4" w:space="0" w:color="auto"/>
            </w:tcBorders>
            <w:shd w:val="clear" w:color="auto" w:fill="auto"/>
            <w:vAlign w:val="center"/>
          </w:tcPr>
          <w:p w14:paraId="0B9F33F2" w14:textId="5DCB6CF9" w:rsidR="00EF0BC5" w:rsidRPr="3982CBDC" w:rsidRDefault="00EF0BC5" w:rsidP="00EF0BC5">
            <w:pPr>
              <w:spacing w:before="60" w:after="60"/>
              <w:rPr>
                <w:rFonts w:asciiTheme="minorHAnsi" w:hAnsiTheme="minorHAnsi"/>
                <w:noProof/>
                <w:color w:val="000000" w:themeColor="text1"/>
                <w:sz w:val="20"/>
                <w:szCs w:val="20"/>
                <w:lang w:eastAsia="en-GB"/>
              </w:rPr>
            </w:pPr>
            <w:r>
              <w:rPr>
                <w:rFonts w:asciiTheme="minorHAnsi" w:hAnsiTheme="minorHAnsi" w:cs="Calibri"/>
                <w:noProof/>
                <w:color w:val="000000" w:themeColor="text1"/>
                <w:sz w:val="20"/>
              </w:rPr>
              <w:t>Full-time equivalent (working time)</w:t>
            </w:r>
          </w:p>
        </w:tc>
      </w:tr>
      <w:tr w:rsidR="00EF0BC5" w:rsidRPr="006F2487" w14:paraId="33152EDF" w14:textId="77777777" w:rsidTr="3982CBDC">
        <w:trPr>
          <w:trHeight w:val="600"/>
        </w:trPr>
        <w:tc>
          <w:tcPr>
            <w:tcW w:w="3261" w:type="dxa"/>
            <w:tcBorders>
              <w:top w:val="nil"/>
              <w:left w:val="single" w:sz="4" w:space="0" w:color="auto"/>
              <w:bottom w:val="single" w:sz="4" w:space="0" w:color="auto"/>
              <w:right w:val="single" w:sz="4" w:space="0" w:color="auto"/>
            </w:tcBorders>
            <w:shd w:val="clear" w:color="auto" w:fill="auto"/>
            <w:vAlign w:val="center"/>
          </w:tcPr>
          <w:p w14:paraId="06BB5B27" w14:textId="77777777" w:rsidR="00EF0BC5" w:rsidRPr="006F2487" w:rsidRDefault="00EF0BC5" w:rsidP="00EF0BC5">
            <w:pPr>
              <w:spacing w:after="0"/>
              <w:rPr>
                <w:rFonts w:asciiTheme="minorHAnsi" w:hAnsiTheme="minorHAnsi"/>
                <w:noProof/>
                <w:color w:val="000000" w:themeColor="text1"/>
                <w:sz w:val="20"/>
                <w:szCs w:val="20"/>
                <w:lang w:eastAsia="en-GB"/>
              </w:rPr>
            </w:pPr>
            <w:r w:rsidRPr="3982CBDC">
              <w:rPr>
                <w:rFonts w:asciiTheme="minorHAnsi" w:hAnsiTheme="minorHAnsi"/>
                <w:noProof/>
                <w:color w:val="000000" w:themeColor="text1"/>
                <w:sz w:val="20"/>
                <w:szCs w:val="20"/>
                <w:lang w:eastAsia="en-GB"/>
              </w:rPr>
              <w:t>PFAS</w:t>
            </w:r>
          </w:p>
        </w:tc>
        <w:tc>
          <w:tcPr>
            <w:tcW w:w="6349" w:type="dxa"/>
            <w:tcBorders>
              <w:top w:val="nil"/>
              <w:left w:val="nil"/>
              <w:bottom w:val="single" w:sz="4" w:space="0" w:color="auto"/>
              <w:right w:val="single" w:sz="4" w:space="0" w:color="auto"/>
            </w:tcBorders>
            <w:shd w:val="clear" w:color="auto" w:fill="auto"/>
            <w:vAlign w:val="center"/>
          </w:tcPr>
          <w:p w14:paraId="5CA4A32F" w14:textId="768E5558" w:rsidR="00EF0BC5" w:rsidRPr="006F2487" w:rsidRDefault="00EF0BC5" w:rsidP="00EF0BC5">
            <w:pPr>
              <w:spacing w:before="60" w:after="60"/>
              <w:rPr>
                <w:rFonts w:asciiTheme="minorHAnsi" w:hAnsiTheme="minorHAnsi"/>
                <w:noProof/>
                <w:color w:val="000000" w:themeColor="text1"/>
                <w:sz w:val="20"/>
                <w:szCs w:val="20"/>
                <w:lang w:eastAsia="en-GB"/>
              </w:rPr>
            </w:pPr>
            <w:r w:rsidRPr="3982CBDC">
              <w:rPr>
                <w:rFonts w:asciiTheme="minorHAnsi" w:hAnsiTheme="minorHAnsi"/>
                <w:noProof/>
                <w:color w:val="000000" w:themeColor="text1"/>
                <w:sz w:val="20"/>
                <w:szCs w:val="20"/>
                <w:lang w:eastAsia="en-GB"/>
              </w:rPr>
              <w:t>Per- and polyfluoro alkyl substances, synthetic organofluorine chemical compounds that have multiple fluorine atoms attached to an alkyl chain. The</w:t>
            </w:r>
            <w:r>
              <w:rPr>
                <w:rFonts w:asciiTheme="minorHAnsi" w:hAnsiTheme="minorHAnsi"/>
                <w:noProof/>
                <w:color w:val="000000" w:themeColor="text1"/>
                <w:sz w:val="20"/>
                <w:szCs w:val="20"/>
                <w:lang w:eastAsia="en-GB"/>
              </w:rPr>
              <w:t>y</w:t>
            </w:r>
            <w:r w:rsidRPr="3982CBDC">
              <w:rPr>
                <w:rFonts w:asciiTheme="minorHAnsi" w:hAnsiTheme="minorHAnsi"/>
                <w:noProof/>
                <w:color w:val="000000" w:themeColor="text1"/>
                <w:sz w:val="20"/>
                <w:szCs w:val="20"/>
                <w:lang w:eastAsia="en-GB"/>
              </w:rPr>
              <w:t xml:space="preserve"> are substances of concern due to the longevity in the natural environment (“forever chemicals”).</w:t>
            </w:r>
          </w:p>
        </w:tc>
      </w:tr>
      <w:tr w:rsidR="00EF0BC5" w:rsidRPr="006F2487" w14:paraId="0FAEDA79" w14:textId="77777777" w:rsidTr="3982CBDC">
        <w:trPr>
          <w:trHeight w:val="600"/>
        </w:trPr>
        <w:tc>
          <w:tcPr>
            <w:tcW w:w="3261" w:type="dxa"/>
            <w:tcBorders>
              <w:top w:val="nil"/>
              <w:left w:val="single" w:sz="4" w:space="0" w:color="auto"/>
              <w:bottom w:val="single" w:sz="4" w:space="0" w:color="auto"/>
              <w:right w:val="single" w:sz="4" w:space="0" w:color="auto"/>
            </w:tcBorders>
            <w:shd w:val="clear" w:color="auto" w:fill="auto"/>
            <w:vAlign w:val="center"/>
          </w:tcPr>
          <w:p w14:paraId="4EB3F0F6" w14:textId="77777777" w:rsidR="00EF0BC5" w:rsidRPr="006F2487" w:rsidRDefault="00EF0BC5" w:rsidP="00EF0BC5">
            <w:pPr>
              <w:spacing w:after="0"/>
              <w:rPr>
                <w:rFonts w:asciiTheme="minorHAnsi" w:hAnsiTheme="minorHAnsi"/>
                <w:noProof/>
                <w:color w:val="000000" w:themeColor="text1"/>
                <w:sz w:val="20"/>
                <w:szCs w:val="20"/>
                <w:lang w:eastAsia="en-GB"/>
              </w:rPr>
            </w:pPr>
            <w:r w:rsidRPr="3982CBDC">
              <w:rPr>
                <w:rFonts w:asciiTheme="minorHAnsi" w:hAnsiTheme="minorHAnsi"/>
                <w:noProof/>
                <w:color w:val="000000" w:themeColor="text1"/>
                <w:sz w:val="20"/>
                <w:szCs w:val="20"/>
                <w:lang w:eastAsia="en-GB"/>
              </w:rPr>
              <w:t>PFCs</w:t>
            </w:r>
          </w:p>
        </w:tc>
        <w:tc>
          <w:tcPr>
            <w:tcW w:w="6349" w:type="dxa"/>
            <w:tcBorders>
              <w:top w:val="nil"/>
              <w:left w:val="nil"/>
              <w:bottom w:val="single" w:sz="4" w:space="0" w:color="auto"/>
              <w:right w:val="single" w:sz="4" w:space="0" w:color="auto"/>
            </w:tcBorders>
            <w:shd w:val="clear" w:color="auto" w:fill="auto"/>
            <w:vAlign w:val="center"/>
          </w:tcPr>
          <w:p w14:paraId="682FDFF0" w14:textId="77777777" w:rsidR="00EF0BC5" w:rsidRPr="006F2487" w:rsidRDefault="00EF0BC5" w:rsidP="00EF0BC5">
            <w:pPr>
              <w:spacing w:before="60" w:after="60"/>
              <w:rPr>
                <w:rFonts w:asciiTheme="minorHAnsi" w:hAnsiTheme="minorHAnsi"/>
                <w:noProof/>
                <w:color w:val="000000" w:themeColor="text1"/>
                <w:sz w:val="20"/>
                <w:szCs w:val="20"/>
                <w:lang w:eastAsia="en-GB"/>
              </w:rPr>
            </w:pPr>
            <w:r w:rsidRPr="3982CBDC">
              <w:rPr>
                <w:rFonts w:asciiTheme="minorHAnsi" w:hAnsiTheme="minorHAnsi"/>
                <w:noProof/>
                <w:color w:val="000000" w:themeColor="text1"/>
                <w:sz w:val="20"/>
                <w:szCs w:val="20"/>
                <w:lang w:eastAsia="en-GB"/>
              </w:rPr>
              <w:t xml:space="preserve">Perfluorocarbons; F-gases listed in Annex I of F-gas Regulation </w:t>
            </w:r>
          </w:p>
        </w:tc>
      </w:tr>
      <w:tr w:rsidR="00EF0BC5" w:rsidRPr="006F2487" w14:paraId="2179EAC5" w14:textId="77777777" w:rsidTr="3982CBDC">
        <w:trPr>
          <w:trHeight w:val="600"/>
        </w:trPr>
        <w:tc>
          <w:tcPr>
            <w:tcW w:w="3261" w:type="dxa"/>
            <w:tcBorders>
              <w:top w:val="nil"/>
              <w:left w:val="single" w:sz="4" w:space="0" w:color="auto"/>
              <w:bottom w:val="single" w:sz="4" w:space="0" w:color="auto"/>
              <w:right w:val="single" w:sz="4" w:space="0" w:color="auto"/>
            </w:tcBorders>
            <w:shd w:val="clear" w:color="auto" w:fill="auto"/>
            <w:vAlign w:val="center"/>
          </w:tcPr>
          <w:p w14:paraId="016CDDF2" w14:textId="5187E7D4" w:rsidR="00EF0BC5" w:rsidRDefault="00EF0BC5" w:rsidP="00EF0BC5">
            <w:pPr>
              <w:spacing w:after="0"/>
              <w:rPr>
                <w:rFonts w:asciiTheme="minorHAnsi" w:hAnsiTheme="minorHAnsi"/>
                <w:noProof/>
                <w:color w:val="000000" w:themeColor="text1"/>
                <w:sz w:val="20"/>
                <w:szCs w:val="20"/>
                <w:lang w:eastAsia="en-GB"/>
              </w:rPr>
            </w:pPr>
            <w:r>
              <w:rPr>
                <w:rFonts w:asciiTheme="minorHAnsi" w:hAnsiTheme="minorHAnsi"/>
                <w:noProof/>
                <w:color w:val="000000" w:themeColor="text1"/>
                <w:sz w:val="20"/>
                <w:szCs w:val="20"/>
                <w:lang w:eastAsia="en-GB"/>
              </w:rPr>
              <w:t>PfS</w:t>
            </w:r>
          </w:p>
        </w:tc>
        <w:tc>
          <w:tcPr>
            <w:tcW w:w="6349" w:type="dxa"/>
            <w:tcBorders>
              <w:top w:val="nil"/>
              <w:left w:val="nil"/>
              <w:bottom w:val="single" w:sz="4" w:space="0" w:color="auto"/>
              <w:right w:val="single" w:sz="4" w:space="0" w:color="auto"/>
            </w:tcBorders>
            <w:shd w:val="clear" w:color="auto" w:fill="auto"/>
            <w:vAlign w:val="center"/>
          </w:tcPr>
          <w:p w14:paraId="488B4243" w14:textId="129B8E5B" w:rsidR="00EF0BC5" w:rsidRPr="3982CBDC" w:rsidRDefault="00EF0BC5" w:rsidP="00EF0BC5">
            <w:pPr>
              <w:spacing w:before="60" w:after="60"/>
              <w:rPr>
                <w:rFonts w:asciiTheme="minorHAnsi" w:hAnsiTheme="minorHAnsi"/>
                <w:noProof/>
                <w:color w:val="000000" w:themeColor="text1"/>
                <w:sz w:val="20"/>
                <w:szCs w:val="20"/>
                <w:lang w:eastAsia="en-GB"/>
              </w:rPr>
            </w:pPr>
            <w:r>
              <w:rPr>
                <w:rFonts w:asciiTheme="minorHAnsi" w:hAnsiTheme="minorHAnsi"/>
                <w:noProof/>
                <w:color w:val="000000" w:themeColor="text1"/>
                <w:sz w:val="20"/>
                <w:szCs w:val="20"/>
                <w:lang w:eastAsia="en-GB"/>
              </w:rPr>
              <w:t>Production for sale</w:t>
            </w:r>
          </w:p>
        </w:tc>
      </w:tr>
      <w:tr w:rsidR="00EF0BC5" w:rsidRPr="006F2487" w14:paraId="6BA4C92C" w14:textId="77777777" w:rsidTr="3982CBDC">
        <w:trPr>
          <w:trHeight w:val="600"/>
        </w:trPr>
        <w:tc>
          <w:tcPr>
            <w:tcW w:w="3261" w:type="dxa"/>
            <w:tcBorders>
              <w:top w:val="nil"/>
              <w:left w:val="single" w:sz="4" w:space="0" w:color="auto"/>
              <w:bottom w:val="single" w:sz="4" w:space="0" w:color="auto"/>
              <w:right w:val="single" w:sz="4" w:space="0" w:color="auto"/>
            </w:tcBorders>
            <w:shd w:val="clear" w:color="auto" w:fill="auto"/>
            <w:vAlign w:val="center"/>
          </w:tcPr>
          <w:p w14:paraId="42001718" w14:textId="62865788" w:rsidR="00EF0BC5" w:rsidRPr="00B001A8" w:rsidRDefault="00EF0BC5" w:rsidP="00EF0BC5">
            <w:pPr>
              <w:spacing w:after="0"/>
              <w:rPr>
                <w:rFonts w:asciiTheme="minorHAnsi" w:eastAsia="Times New Roman" w:hAnsiTheme="minorHAnsi"/>
                <w:noProof/>
                <w:color w:val="000000" w:themeColor="text1"/>
                <w:sz w:val="20"/>
                <w:szCs w:val="20"/>
                <w:lang w:eastAsia="en-GB"/>
              </w:rPr>
            </w:pPr>
            <w:r>
              <w:rPr>
                <w:rFonts w:asciiTheme="minorHAnsi" w:hAnsiTheme="minorHAnsi"/>
                <w:noProof/>
                <w:color w:val="000000" w:themeColor="text1"/>
                <w:sz w:val="20"/>
                <w:szCs w:val="20"/>
                <w:lang w:eastAsia="en-GB"/>
              </w:rPr>
              <w:t>POM (Placing on the market)</w:t>
            </w:r>
          </w:p>
        </w:tc>
        <w:tc>
          <w:tcPr>
            <w:tcW w:w="6349" w:type="dxa"/>
            <w:tcBorders>
              <w:top w:val="nil"/>
              <w:left w:val="nil"/>
              <w:bottom w:val="single" w:sz="4" w:space="0" w:color="auto"/>
              <w:right w:val="single" w:sz="4" w:space="0" w:color="auto"/>
            </w:tcBorders>
            <w:shd w:val="clear" w:color="auto" w:fill="auto"/>
            <w:vAlign w:val="center"/>
          </w:tcPr>
          <w:p w14:paraId="1882C3F8" w14:textId="77777777" w:rsidR="00EF0BC5" w:rsidRPr="00B001A8" w:rsidRDefault="00EF0BC5" w:rsidP="00EF0BC5">
            <w:pPr>
              <w:spacing w:before="60" w:after="60"/>
              <w:rPr>
                <w:rFonts w:asciiTheme="minorHAnsi" w:eastAsia="Times New Roman" w:hAnsiTheme="minorHAnsi"/>
                <w:noProof/>
                <w:color w:val="000000" w:themeColor="text1"/>
                <w:sz w:val="20"/>
                <w:szCs w:val="20"/>
                <w:lang w:eastAsia="en-GB"/>
              </w:rPr>
            </w:pPr>
            <w:r w:rsidRPr="3982CBDC">
              <w:rPr>
                <w:rFonts w:asciiTheme="minorHAnsi" w:hAnsiTheme="minorHAnsi"/>
                <w:noProof/>
                <w:color w:val="000000" w:themeColor="text1"/>
                <w:sz w:val="20"/>
                <w:szCs w:val="20"/>
                <w:lang w:eastAsia="en-GB"/>
              </w:rPr>
              <w:t>Supplying or making available to third persons within the European Union for the first time, for payment or free of charge</w:t>
            </w:r>
          </w:p>
        </w:tc>
      </w:tr>
      <w:tr w:rsidR="00EF0BC5" w:rsidRPr="006F2487" w14:paraId="54C9DA15" w14:textId="77777777" w:rsidTr="3982CBDC">
        <w:trPr>
          <w:trHeight w:val="900"/>
        </w:trPr>
        <w:tc>
          <w:tcPr>
            <w:tcW w:w="3261" w:type="dxa"/>
            <w:tcBorders>
              <w:top w:val="nil"/>
              <w:left w:val="single" w:sz="4" w:space="0" w:color="auto"/>
              <w:bottom w:val="single" w:sz="4" w:space="0" w:color="auto"/>
              <w:right w:val="single" w:sz="4" w:space="0" w:color="auto"/>
            </w:tcBorders>
            <w:shd w:val="clear" w:color="auto" w:fill="auto"/>
            <w:vAlign w:val="center"/>
          </w:tcPr>
          <w:p w14:paraId="2BC69326" w14:textId="77777777" w:rsidR="00EF0BC5" w:rsidRPr="006F2487" w:rsidRDefault="00EF0BC5" w:rsidP="00EF0BC5">
            <w:pPr>
              <w:spacing w:after="0"/>
              <w:rPr>
                <w:rFonts w:asciiTheme="minorHAnsi" w:hAnsiTheme="minorHAnsi"/>
                <w:noProof/>
                <w:color w:val="000000" w:themeColor="text1"/>
                <w:sz w:val="20"/>
                <w:szCs w:val="20"/>
                <w:lang w:eastAsia="en-GB"/>
              </w:rPr>
            </w:pPr>
            <w:r w:rsidRPr="3982CBDC">
              <w:rPr>
                <w:rFonts w:asciiTheme="minorHAnsi" w:hAnsiTheme="minorHAnsi"/>
                <w:noProof/>
                <w:color w:val="000000" w:themeColor="text1"/>
                <w:sz w:val="20"/>
                <w:szCs w:val="20"/>
                <w:lang w:eastAsia="en-GB"/>
              </w:rPr>
              <w:t>RAC</w:t>
            </w:r>
          </w:p>
        </w:tc>
        <w:tc>
          <w:tcPr>
            <w:tcW w:w="6349" w:type="dxa"/>
            <w:tcBorders>
              <w:top w:val="nil"/>
              <w:left w:val="nil"/>
              <w:bottom w:val="single" w:sz="4" w:space="0" w:color="auto"/>
              <w:right w:val="single" w:sz="4" w:space="0" w:color="auto"/>
            </w:tcBorders>
            <w:shd w:val="clear" w:color="auto" w:fill="auto"/>
            <w:vAlign w:val="center"/>
          </w:tcPr>
          <w:p w14:paraId="7C07DD83" w14:textId="7E9037B6" w:rsidR="00EF0BC5" w:rsidRPr="006F2487" w:rsidRDefault="00EF0BC5" w:rsidP="00EF0BC5">
            <w:pPr>
              <w:spacing w:before="60" w:after="60"/>
              <w:rPr>
                <w:rFonts w:asciiTheme="minorHAnsi" w:hAnsiTheme="minorHAnsi"/>
                <w:noProof/>
                <w:color w:val="000000" w:themeColor="text1"/>
                <w:sz w:val="20"/>
                <w:szCs w:val="20"/>
                <w:lang w:eastAsia="en-GB"/>
              </w:rPr>
            </w:pPr>
            <w:r w:rsidRPr="3982CBDC">
              <w:rPr>
                <w:rFonts w:asciiTheme="minorHAnsi" w:hAnsiTheme="minorHAnsi"/>
                <w:noProof/>
                <w:color w:val="000000" w:themeColor="text1"/>
                <w:sz w:val="20"/>
                <w:szCs w:val="20"/>
                <w:lang w:eastAsia="en-GB"/>
              </w:rPr>
              <w:t>Refrigeration and air conditioning (includes heat</w:t>
            </w:r>
            <w:r>
              <w:rPr>
                <w:rFonts w:asciiTheme="minorHAnsi" w:hAnsiTheme="minorHAnsi"/>
                <w:noProof/>
                <w:color w:val="000000" w:themeColor="text1"/>
                <w:sz w:val="20"/>
                <w:szCs w:val="20"/>
                <w:lang w:eastAsia="en-GB"/>
              </w:rPr>
              <w:t xml:space="preserve"> </w:t>
            </w:r>
            <w:r w:rsidRPr="3982CBDC">
              <w:rPr>
                <w:rFonts w:asciiTheme="minorHAnsi" w:hAnsiTheme="minorHAnsi"/>
                <w:noProof/>
                <w:color w:val="000000" w:themeColor="text1"/>
                <w:sz w:val="20"/>
                <w:szCs w:val="20"/>
                <w:lang w:eastAsia="en-GB"/>
              </w:rPr>
              <w:t>pumps)</w:t>
            </w:r>
          </w:p>
        </w:tc>
      </w:tr>
      <w:tr w:rsidR="00EF0BC5" w:rsidRPr="006F2487" w14:paraId="67648C59" w14:textId="77777777" w:rsidTr="3982CBDC">
        <w:trPr>
          <w:trHeight w:val="900"/>
        </w:trPr>
        <w:tc>
          <w:tcPr>
            <w:tcW w:w="3261" w:type="dxa"/>
            <w:tcBorders>
              <w:top w:val="nil"/>
              <w:left w:val="single" w:sz="4" w:space="0" w:color="auto"/>
              <w:bottom w:val="single" w:sz="4" w:space="0" w:color="auto"/>
              <w:right w:val="single" w:sz="4" w:space="0" w:color="auto"/>
            </w:tcBorders>
            <w:shd w:val="clear" w:color="auto" w:fill="auto"/>
            <w:vAlign w:val="center"/>
          </w:tcPr>
          <w:p w14:paraId="5EC03C42" w14:textId="77777777" w:rsidR="00EF0BC5" w:rsidRPr="00B001A8" w:rsidRDefault="00EF0BC5" w:rsidP="00EF0BC5">
            <w:pPr>
              <w:spacing w:after="0"/>
              <w:rPr>
                <w:rFonts w:asciiTheme="minorHAnsi" w:eastAsia="Times New Roman" w:hAnsiTheme="minorHAnsi"/>
                <w:noProof/>
                <w:color w:val="000000" w:themeColor="text1"/>
                <w:sz w:val="20"/>
                <w:szCs w:val="20"/>
                <w:lang w:eastAsia="en-GB"/>
              </w:rPr>
            </w:pPr>
            <w:r w:rsidRPr="3982CBDC">
              <w:rPr>
                <w:rFonts w:asciiTheme="minorHAnsi" w:hAnsiTheme="minorHAnsi"/>
                <w:noProof/>
                <w:color w:val="000000" w:themeColor="text1"/>
                <w:sz w:val="20"/>
                <w:szCs w:val="20"/>
                <w:lang w:eastAsia="en-GB"/>
              </w:rPr>
              <w:t>Reclamation</w:t>
            </w:r>
          </w:p>
        </w:tc>
        <w:tc>
          <w:tcPr>
            <w:tcW w:w="6349" w:type="dxa"/>
            <w:tcBorders>
              <w:top w:val="nil"/>
              <w:left w:val="nil"/>
              <w:bottom w:val="single" w:sz="4" w:space="0" w:color="auto"/>
              <w:right w:val="single" w:sz="4" w:space="0" w:color="auto"/>
            </w:tcBorders>
            <w:shd w:val="clear" w:color="auto" w:fill="auto"/>
            <w:vAlign w:val="center"/>
          </w:tcPr>
          <w:p w14:paraId="0FD487A5" w14:textId="77777777" w:rsidR="00EF0BC5" w:rsidRPr="00B001A8" w:rsidRDefault="00EF0BC5" w:rsidP="00EF0BC5">
            <w:pPr>
              <w:spacing w:before="60" w:after="60"/>
              <w:rPr>
                <w:rFonts w:asciiTheme="minorHAnsi" w:eastAsia="Times New Roman" w:hAnsiTheme="minorHAnsi"/>
                <w:noProof/>
                <w:color w:val="000000" w:themeColor="text1"/>
                <w:sz w:val="20"/>
                <w:szCs w:val="20"/>
                <w:lang w:eastAsia="en-GB"/>
              </w:rPr>
            </w:pPr>
            <w:r w:rsidRPr="3982CBDC">
              <w:rPr>
                <w:rFonts w:asciiTheme="minorHAnsi" w:hAnsiTheme="minorHAnsi"/>
                <w:noProof/>
                <w:color w:val="000000" w:themeColor="text1"/>
                <w:sz w:val="20"/>
                <w:szCs w:val="20"/>
                <w:lang w:eastAsia="en-GB"/>
              </w:rPr>
              <w:t>Reprocessing of a recovered ODS in order to meet the equivalent performance of a virgin substance, taking into account its intended use</w:t>
            </w:r>
          </w:p>
        </w:tc>
      </w:tr>
      <w:tr w:rsidR="00EF0BC5" w:rsidRPr="006F2487" w14:paraId="0AB383A1" w14:textId="77777777" w:rsidTr="3982CBDC">
        <w:trPr>
          <w:trHeight w:val="624"/>
        </w:trPr>
        <w:tc>
          <w:tcPr>
            <w:tcW w:w="3261" w:type="dxa"/>
            <w:tcBorders>
              <w:top w:val="nil"/>
              <w:left w:val="single" w:sz="4" w:space="0" w:color="auto"/>
              <w:bottom w:val="single" w:sz="4" w:space="0" w:color="auto"/>
              <w:right w:val="single" w:sz="4" w:space="0" w:color="auto"/>
            </w:tcBorders>
            <w:shd w:val="clear" w:color="auto" w:fill="auto"/>
            <w:vAlign w:val="center"/>
          </w:tcPr>
          <w:p w14:paraId="17691025" w14:textId="77777777" w:rsidR="00EF0BC5" w:rsidRPr="00B001A8" w:rsidRDefault="00EF0BC5" w:rsidP="00EF0BC5">
            <w:pPr>
              <w:spacing w:after="0"/>
              <w:rPr>
                <w:rFonts w:asciiTheme="minorHAnsi" w:eastAsia="Times New Roman" w:hAnsiTheme="minorHAnsi"/>
                <w:noProof/>
                <w:color w:val="000000" w:themeColor="text1"/>
                <w:sz w:val="20"/>
                <w:szCs w:val="20"/>
                <w:lang w:eastAsia="en-GB"/>
              </w:rPr>
            </w:pPr>
            <w:r w:rsidRPr="3982CBDC">
              <w:rPr>
                <w:rFonts w:asciiTheme="minorHAnsi" w:hAnsiTheme="minorHAnsi"/>
                <w:noProof/>
                <w:color w:val="000000" w:themeColor="text1"/>
                <w:sz w:val="20"/>
                <w:szCs w:val="20"/>
                <w:lang w:eastAsia="en-GB"/>
              </w:rPr>
              <w:t>Recovery</w:t>
            </w:r>
          </w:p>
        </w:tc>
        <w:tc>
          <w:tcPr>
            <w:tcW w:w="6349" w:type="dxa"/>
            <w:tcBorders>
              <w:top w:val="nil"/>
              <w:left w:val="nil"/>
              <w:bottom w:val="single" w:sz="4" w:space="0" w:color="auto"/>
              <w:right w:val="single" w:sz="4" w:space="0" w:color="auto"/>
            </w:tcBorders>
            <w:shd w:val="clear" w:color="auto" w:fill="auto"/>
            <w:vAlign w:val="center"/>
          </w:tcPr>
          <w:p w14:paraId="349D1ECE" w14:textId="77777777" w:rsidR="00EF0BC5" w:rsidRPr="00B001A8" w:rsidRDefault="00EF0BC5" w:rsidP="00EF0BC5">
            <w:pPr>
              <w:spacing w:before="60" w:after="60"/>
              <w:rPr>
                <w:rFonts w:asciiTheme="minorHAnsi" w:eastAsia="Times New Roman" w:hAnsiTheme="minorHAnsi"/>
                <w:noProof/>
                <w:color w:val="000000" w:themeColor="text1"/>
                <w:sz w:val="20"/>
                <w:szCs w:val="20"/>
                <w:lang w:eastAsia="en-GB"/>
              </w:rPr>
            </w:pPr>
            <w:r w:rsidRPr="3982CBDC">
              <w:rPr>
                <w:rFonts w:asciiTheme="minorHAnsi" w:hAnsiTheme="minorHAnsi"/>
                <w:noProof/>
                <w:color w:val="000000" w:themeColor="text1"/>
                <w:sz w:val="20"/>
                <w:szCs w:val="20"/>
                <w:lang w:eastAsia="en-GB"/>
              </w:rPr>
              <w:t>Collection and storage of ODS from products and equipment or containers during maintenance or servicing or before disposal</w:t>
            </w:r>
          </w:p>
        </w:tc>
      </w:tr>
      <w:tr w:rsidR="00EF0BC5" w:rsidRPr="006F2487" w14:paraId="1DA063C8" w14:textId="77777777" w:rsidTr="3982CBDC">
        <w:trPr>
          <w:trHeight w:val="600"/>
        </w:trPr>
        <w:tc>
          <w:tcPr>
            <w:tcW w:w="3261" w:type="dxa"/>
            <w:tcBorders>
              <w:top w:val="nil"/>
              <w:left w:val="single" w:sz="4" w:space="0" w:color="auto"/>
              <w:bottom w:val="single" w:sz="4" w:space="0" w:color="auto"/>
              <w:right w:val="single" w:sz="4" w:space="0" w:color="auto"/>
            </w:tcBorders>
            <w:shd w:val="clear" w:color="auto" w:fill="auto"/>
            <w:vAlign w:val="center"/>
          </w:tcPr>
          <w:p w14:paraId="23CD7335" w14:textId="77777777" w:rsidR="00EF0BC5" w:rsidRPr="00B001A8" w:rsidRDefault="00EF0BC5" w:rsidP="00EF0BC5">
            <w:pPr>
              <w:spacing w:after="0"/>
              <w:rPr>
                <w:rFonts w:asciiTheme="minorHAnsi" w:eastAsia="Times New Roman" w:hAnsiTheme="minorHAnsi"/>
                <w:noProof/>
                <w:color w:val="000000" w:themeColor="text1"/>
                <w:sz w:val="20"/>
                <w:szCs w:val="20"/>
                <w:lang w:eastAsia="en-GB"/>
              </w:rPr>
            </w:pPr>
            <w:r w:rsidRPr="3982CBDC">
              <w:rPr>
                <w:rFonts w:asciiTheme="minorHAnsi" w:hAnsiTheme="minorHAnsi"/>
                <w:noProof/>
                <w:color w:val="000000" w:themeColor="text1"/>
                <w:sz w:val="20"/>
                <w:szCs w:val="20"/>
                <w:lang w:eastAsia="en-GB"/>
              </w:rPr>
              <w:t>Recycling</w:t>
            </w:r>
          </w:p>
        </w:tc>
        <w:tc>
          <w:tcPr>
            <w:tcW w:w="6349" w:type="dxa"/>
            <w:tcBorders>
              <w:top w:val="nil"/>
              <w:left w:val="nil"/>
              <w:bottom w:val="single" w:sz="4" w:space="0" w:color="auto"/>
              <w:right w:val="single" w:sz="4" w:space="0" w:color="auto"/>
            </w:tcBorders>
            <w:shd w:val="clear" w:color="auto" w:fill="auto"/>
            <w:vAlign w:val="center"/>
          </w:tcPr>
          <w:p w14:paraId="1BC9892E" w14:textId="77777777" w:rsidR="00EF0BC5" w:rsidRPr="00B001A8" w:rsidRDefault="00EF0BC5" w:rsidP="00EF0BC5">
            <w:pPr>
              <w:spacing w:before="60" w:after="60"/>
              <w:rPr>
                <w:rFonts w:asciiTheme="minorHAnsi" w:eastAsia="Times New Roman" w:hAnsiTheme="minorHAnsi"/>
                <w:noProof/>
                <w:color w:val="000000" w:themeColor="text1"/>
                <w:sz w:val="20"/>
                <w:szCs w:val="20"/>
                <w:lang w:eastAsia="en-GB"/>
              </w:rPr>
            </w:pPr>
            <w:r w:rsidRPr="3982CBDC">
              <w:rPr>
                <w:rFonts w:asciiTheme="minorHAnsi" w:hAnsiTheme="minorHAnsi"/>
                <w:noProof/>
                <w:color w:val="000000" w:themeColor="text1"/>
                <w:sz w:val="20"/>
                <w:szCs w:val="20"/>
                <w:lang w:eastAsia="en-GB"/>
              </w:rPr>
              <w:t>Reuse of a recovered ODS following a basic cleaning process</w:t>
            </w:r>
          </w:p>
        </w:tc>
      </w:tr>
      <w:tr w:rsidR="00EF0BC5" w:rsidRPr="006F2487" w14:paraId="63E81F61" w14:textId="77777777" w:rsidTr="3982CBDC">
        <w:trPr>
          <w:trHeight w:val="300"/>
        </w:trPr>
        <w:tc>
          <w:tcPr>
            <w:tcW w:w="3261" w:type="dxa"/>
            <w:tcBorders>
              <w:top w:val="nil"/>
              <w:left w:val="single" w:sz="4" w:space="0" w:color="auto"/>
              <w:bottom w:val="single" w:sz="4" w:space="0" w:color="auto"/>
              <w:right w:val="single" w:sz="4" w:space="0" w:color="auto"/>
            </w:tcBorders>
            <w:shd w:val="clear" w:color="auto" w:fill="auto"/>
            <w:vAlign w:val="center"/>
          </w:tcPr>
          <w:p w14:paraId="2D20C0BB" w14:textId="77777777" w:rsidR="00EF0BC5" w:rsidRPr="00B001A8" w:rsidRDefault="00EF0BC5" w:rsidP="00EF0BC5">
            <w:pPr>
              <w:spacing w:after="0"/>
              <w:rPr>
                <w:rFonts w:asciiTheme="minorHAnsi" w:hAnsiTheme="minorHAnsi"/>
                <w:noProof/>
                <w:color w:val="000000" w:themeColor="text1"/>
                <w:sz w:val="20"/>
                <w:szCs w:val="20"/>
                <w:lang w:eastAsia="en-GB"/>
              </w:rPr>
            </w:pPr>
            <w:r w:rsidRPr="3982CBDC">
              <w:rPr>
                <w:rFonts w:asciiTheme="minorHAnsi" w:hAnsiTheme="minorHAnsi"/>
                <w:noProof/>
                <w:color w:val="000000" w:themeColor="text1"/>
                <w:sz w:val="20"/>
                <w:szCs w:val="20"/>
                <w:lang w:eastAsia="en-GB"/>
              </w:rPr>
              <w:t>REIO</w:t>
            </w:r>
          </w:p>
        </w:tc>
        <w:tc>
          <w:tcPr>
            <w:tcW w:w="6349" w:type="dxa"/>
            <w:tcBorders>
              <w:top w:val="nil"/>
              <w:left w:val="nil"/>
              <w:bottom w:val="single" w:sz="4" w:space="0" w:color="auto"/>
              <w:right w:val="single" w:sz="4" w:space="0" w:color="auto"/>
            </w:tcBorders>
            <w:shd w:val="clear" w:color="auto" w:fill="auto"/>
            <w:vAlign w:val="center"/>
          </w:tcPr>
          <w:p w14:paraId="5C8E8DF0" w14:textId="77777777" w:rsidR="00EF0BC5" w:rsidRPr="00B001A8" w:rsidRDefault="00EF0BC5" w:rsidP="00EF0BC5">
            <w:pPr>
              <w:spacing w:before="60" w:after="60"/>
              <w:rPr>
                <w:rFonts w:asciiTheme="minorHAnsi" w:hAnsiTheme="minorHAnsi"/>
                <w:noProof/>
                <w:color w:val="000000" w:themeColor="text1"/>
                <w:sz w:val="20"/>
                <w:szCs w:val="20"/>
                <w:lang w:eastAsia="en-GB"/>
              </w:rPr>
            </w:pPr>
            <w:r w:rsidRPr="3982CBDC">
              <w:rPr>
                <w:rFonts w:asciiTheme="minorHAnsi" w:hAnsiTheme="minorHAnsi"/>
                <w:noProof/>
                <w:color w:val="000000" w:themeColor="text1"/>
                <w:sz w:val="20"/>
                <w:szCs w:val="20"/>
                <w:lang w:eastAsia="en-GB"/>
              </w:rPr>
              <w:t>Regional Economic Integration Organisation; The EU is considered a REIO under the Montreal Protocol</w:t>
            </w:r>
          </w:p>
        </w:tc>
      </w:tr>
      <w:tr w:rsidR="00EF0BC5" w:rsidRPr="006F2487" w14:paraId="55452F86" w14:textId="77777777" w:rsidTr="3982CBDC">
        <w:trPr>
          <w:trHeight w:val="300"/>
        </w:trPr>
        <w:tc>
          <w:tcPr>
            <w:tcW w:w="3261" w:type="dxa"/>
            <w:tcBorders>
              <w:top w:val="nil"/>
              <w:left w:val="single" w:sz="4" w:space="0" w:color="auto"/>
              <w:bottom w:val="single" w:sz="4" w:space="0" w:color="auto"/>
              <w:right w:val="single" w:sz="4" w:space="0" w:color="auto"/>
            </w:tcBorders>
            <w:shd w:val="clear" w:color="auto" w:fill="auto"/>
            <w:vAlign w:val="center"/>
          </w:tcPr>
          <w:p w14:paraId="5B08BB5B" w14:textId="77777777" w:rsidR="00EF0BC5" w:rsidRPr="00B001A8" w:rsidRDefault="00EF0BC5" w:rsidP="00EF0BC5">
            <w:pPr>
              <w:spacing w:after="0"/>
              <w:rPr>
                <w:rFonts w:asciiTheme="minorHAnsi" w:eastAsia="Times New Roman" w:hAnsiTheme="minorHAnsi"/>
                <w:noProof/>
                <w:color w:val="000000" w:themeColor="text1"/>
                <w:sz w:val="20"/>
                <w:szCs w:val="20"/>
                <w:lang w:eastAsia="en-GB"/>
              </w:rPr>
            </w:pPr>
            <w:r w:rsidRPr="3982CBDC">
              <w:rPr>
                <w:rFonts w:asciiTheme="minorHAnsi" w:hAnsiTheme="minorHAnsi"/>
                <w:noProof/>
                <w:color w:val="000000" w:themeColor="text1"/>
                <w:sz w:val="20"/>
                <w:szCs w:val="20"/>
                <w:lang w:eastAsia="en-GB"/>
              </w:rPr>
              <w:t>RSB</w:t>
            </w:r>
          </w:p>
        </w:tc>
        <w:tc>
          <w:tcPr>
            <w:tcW w:w="6349" w:type="dxa"/>
            <w:tcBorders>
              <w:top w:val="nil"/>
              <w:left w:val="nil"/>
              <w:bottom w:val="single" w:sz="4" w:space="0" w:color="auto"/>
              <w:right w:val="single" w:sz="4" w:space="0" w:color="auto"/>
            </w:tcBorders>
            <w:shd w:val="clear" w:color="auto" w:fill="auto"/>
            <w:vAlign w:val="center"/>
          </w:tcPr>
          <w:p w14:paraId="79087A35" w14:textId="77777777" w:rsidR="00EF0BC5" w:rsidRPr="00B001A8" w:rsidRDefault="00EF0BC5" w:rsidP="00EF0BC5">
            <w:pPr>
              <w:spacing w:before="60" w:after="60"/>
              <w:rPr>
                <w:rFonts w:asciiTheme="minorHAnsi" w:eastAsia="Times New Roman" w:hAnsiTheme="minorHAnsi"/>
                <w:noProof/>
                <w:color w:val="000000" w:themeColor="text1"/>
                <w:sz w:val="20"/>
                <w:szCs w:val="20"/>
                <w:lang w:eastAsia="en-GB"/>
              </w:rPr>
            </w:pPr>
            <w:r w:rsidRPr="3982CBDC">
              <w:rPr>
                <w:rFonts w:asciiTheme="minorHAnsi" w:hAnsiTheme="minorHAnsi"/>
                <w:noProof/>
                <w:color w:val="000000" w:themeColor="text1"/>
                <w:sz w:val="20"/>
                <w:szCs w:val="20"/>
                <w:lang w:eastAsia="en-GB"/>
              </w:rPr>
              <w:t>Regulatory Scrutiny Board</w:t>
            </w:r>
          </w:p>
        </w:tc>
      </w:tr>
      <w:tr w:rsidR="00EF0BC5" w:rsidRPr="006F2487" w14:paraId="25242831" w14:textId="77777777" w:rsidTr="3982CBDC">
        <w:trPr>
          <w:trHeight w:val="300"/>
        </w:trPr>
        <w:tc>
          <w:tcPr>
            <w:tcW w:w="3261" w:type="dxa"/>
            <w:tcBorders>
              <w:top w:val="nil"/>
              <w:left w:val="single" w:sz="4" w:space="0" w:color="auto"/>
              <w:bottom w:val="single" w:sz="4" w:space="0" w:color="auto"/>
              <w:right w:val="single" w:sz="4" w:space="0" w:color="auto"/>
            </w:tcBorders>
            <w:shd w:val="clear" w:color="auto" w:fill="auto"/>
            <w:vAlign w:val="center"/>
          </w:tcPr>
          <w:p w14:paraId="64B44D60" w14:textId="0F6910CB" w:rsidR="00EF0BC5" w:rsidRPr="006F2487" w:rsidRDefault="00EF0BC5" w:rsidP="00EF0BC5">
            <w:pPr>
              <w:spacing w:after="0"/>
              <w:rPr>
                <w:rFonts w:asciiTheme="minorHAnsi" w:hAnsiTheme="minorHAnsi"/>
                <w:noProof/>
                <w:color w:val="000000" w:themeColor="text1"/>
                <w:sz w:val="20"/>
                <w:szCs w:val="20"/>
                <w:lang w:eastAsia="en-GB"/>
              </w:rPr>
            </w:pPr>
            <w:r w:rsidRPr="3982CBDC">
              <w:rPr>
                <w:rFonts w:asciiTheme="minorHAnsi" w:hAnsiTheme="minorHAnsi"/>
                <w:noProof/>
                <w:color w:val="000000" w:themeColor="text1"/>
                <w:sz w:val="20"/>
                <w:szCs w:val="20"/>
                <w:lang w:eastAsia="en-GB"/>
              </w:rPr>
              <w:t>RV</w:t>
            </w:r>
          </w:p>
        </w:tc>
        <w:tc>
          <w:tcPr>
            <w:tcW w:w="6349" w:type="dxa"/>
            <w:tcBorders>
              <w:top w:val="nil"/>
              <w:left w:val="nil"/>
              <w:bottom w:val="single" w:sz="4" w:space="0" w:color="auto"/>
              <w:right w:val="single" w:sz="4" w:space="0" w:color="auto"/>
            </w:tcBorders>
            <w:shd w:val="clear" w:color="auto" w:fill="auto"/>
            <w:vAlign w:val="center"/>
          </w:tcPr>
          <w:p w14:paraId="7409558E" w14:textId="5E2B7844" w:rsidR="00EF0BC5" w:rsidRPr="006F2487" w:rsidRDefault="00EF0BC5" w:rsidP="00EF0BC5">
            <w:pPr>
              <w:spacing w:after="0"/>
              <w:rPr>
                <w:rFonts w:asciiTheme="minorHAnsi" w:hAnsiTheme="minorHAnsi"/>
                <w:noProof/>
                <w:color w:val="000000" w:themeColor="text1"/>
                <w:sz w:val="20"/>
                <w:szCs w:val="20"/>
                <w:lang w:eastAsia="en-GB"/>
              </w:rPr>
            </w:pPr>
            <w:r w:rsidRPr="3982CBDC">
              <w:rPr>
                <w:rFonts w:asciiTheme="minorHAnsi" w:hAnsiTheme="minorHAnsi"/>
                <w:noProof/>
                <w:color w:val="000000" w:themeColor="text1"/>
                <w:sz w:val="20"/>
                <w:szCs w:val="20"/>
                <w:lang w:eastAsia="en-GB"/>
              </w:rPr>
              <w:t>Reference value</w:t>
            </w:r>
          </w:p>
        </w:tc>
      </w:tr>
      <w:tr w:rsidR="00EF0BC5" w:rsidRPr="006F2487" w14:paraId="33A508D7" w14:textId="77777777" w:rsidTr="3982CBDC">
        <w:trPr>
          <w:trHeight w:val="300"/>
        </w:trPr>
        <w:tc>
          <w:tcPr>
            <w:tcW w:w="3261" w:type="dxa"/>
            <w:tcBorders>
              <w:top w:val="nil"/>
              <w:left w:val="single" w:sz="4" w:space="0" w:color="auto"/>
              <w:bottom w:val="single" w:sz="4" w:space="0" w:color="auto"/>
              <w:right w:val="single" w:sz="4" w:space="0" w:color="auto"/>
            </w:tcBorders>
            <w:shd w:val="clear" w:color="auto" w:fill="auto"/>
            <w:vAlign w:val="center"/>
          </w:tcPr>
          <w:p w14:paraId="5A3D13A6" w14:textId="77777777" w:rsidR="00EF0BC5" w:rsidRPr="006F2487" w:rsidRDefault="00EF0BC5" w:rsidP="00EF0BC5">
            <w:pPr>
              <w:spacing w:after="0"/>
              <w:rPr>
                <w:rFonts w:asciiTheme="minorHAnsi" w:hAnsiTheme="minorHAnsi"/>
                <w:noProof/>
                <w:color w:val="000000" w:themeColor="text1"/>
                <w:sz w:val="20"/>
                <w:szCs w:val="20"/>
                <w:lang w:eastAsia="en-GB"/>
              </w:rPr>
            </w:pPr>
            <w:r w:rsidRPr="3982CBDC">
              <w:rPr>
                <w:rFonts w:asciiTheme="minorHAnsi" w:hAnsiTheme="minorHAnsi"/>
                <w:noProof/>
                <w:color w:val="000000" w:themeColor="text1"/>
                <w:sz w:val="20"/>
                <w:szCs w:val="20"/>
                <w:lang w:eastAsia="en-GB"/>
              </w:rPr>
              <w:t>SF</w:t>
            </w:r>
            <w:r w:rsidRPr="000F75D6">
              <w:rPr>
                <w:rFonts w:asciiTheme="minorHAnsi" w:hAnsiTheme="minorHAnsi"/>
                <w:noProof/>
                <w:color w:val="000000" w:themeColor="text1"/>
                <w:sz w:val="20"/>
                <w:szCs w:val="20"/>
                <w:vertAlign w:val="subscript"/>
                <w:lang w:eastAsia="en-GB"/>
              </w:rPr>
              <w:t>6</w:t>
            </w:r>
          </w:p>
        </w:tc>
        <w:tc>
          <w:tcPr>
            <w:tcW w:w="6349" w:type="dxa"/>
            <w:tcBorders>
              <w:top w:val="nil"/>
              <w:left w:val="nil"/>
              <w:bottom w:val="single" w:sz="4" w:space="0" w:color="auto"/>
              <w:right w:val="single" w:sz="4" w:space="0" w:color="auto"/>
            </w:tcBorders>
            <w:shd w:val="clear" w:color="auto" w:fill="auto"/>
            <w:vAlign w:val="center"/>
          </w:tcPr>
          <w:p w14:paraId="7427BDB0" w14:textId="77777777" w:rsidR="00EF0BC5" w:rsidRPr="006F2487" w:rsidRDefault="00EF0BC5" w:rsidP="00EF0BC5">
            <w:pPr>
              <w:spacing w:after="0"/>
              <w:rPr>
                <w:rFonts w:asciiTheme="minorHAnsi" w:hAnsiTheme="minorHAnsi"/>
                <w:noProof/>
                <w:color w:val="000000" w:themeColor="text1"/>
                <w:sz w:val="20"/>
                <w:szCs w:val="20"/>
                <w:lang w:eastAsia="en-GB"/>
              </w:rPr>
            </w:pPr>
            <w:r w:rsidRPr="3982CBDC">
              <w:rPr>
                <w:rFonts w:asciiTheme="minorHAnsi" w:hAnsiTheme="minorHAnsi"/>
                <w:noProof/>
                <w:color w:val="000000" w:themeColor="text1"/>
                <w:sz w:val="20"/>
                <w:szCs w:val="20"/>
                <w:lang w:eastAsia="en-GB"/>
              </w:rPr>
              <w:t xml:space="preserve">Sulphurhexafluoride; an F-gas listed in Annex I of the F-gas Regulation </w:t>
            </w:r>
          </w:p>
        </w:tc>
      </w:tr>
      <w:tr w:rsidR="00EF0BC5" w:rsidRPr="006F2487" w14:paraId="614BB262" w14:textId="77777777" w:rsidTr="3982CBDC">
        <w:trPr>
          <w:trHeight w:val="300"/>
        </w:trPr>
        <w:tc>
          <w:tcPr>
            <w:tcW w:w="3261" w:type="dxa"/>
            <w:tcBorders>
              <w:top w:val="nil"/>
              <w:left w:val="single" w:sz="4" w:space="0" w:color="auto"/>
              <w:bottom w:val="single" w:sz="4" w:space="0" w:color="auto"/>
              <w:right w:val="single" w:sz="4" w:space="0" w:color="auto"/>
            </w:tcBorders>
            <w:shd w:val="clear" w:color="auto" w:fill="auto"/>
            <w:vAlign w:val="center"/>
          </w:tcPr>
          <w:p w14:paraId="5D50FC57" w14:textId="77777777" w:rsidR="00EF0BC5" w:rsidRPr="006F2487" w:rsidRDefault="00EF0BC5" w:rsidP="00EF0BC5">
            <w:pPr>
              <w:spacing w:after="0"/>
              <w:rPr>
                <w:rFonts w:asciiTheme="minorHAnsi" w:hAnsiTheme="minorHAnsi"/>
                <w:noProof/>
                <w:color w:val="000000" w:themeColor="text1"/>
                <w:sz w:val="20"/>
                <w:szCs w:val="20"/>
                <w:lang w:eastAsia="en-GB"/>
              </w:rPr>
            </w:pPr>
            <w:r w:rsidRPr="3982CBDC">
              <w:rPr>
                <w:rFonts w:asciiTheme="minorHAnsi" w:hAnsiTheme="minorHAnsi"/>
                <w:noProof/>
                <w:color w:val="000000" w:themeColor="text1"/>
                <w:sz w:val="20"/>
                <w:szCs w:val="20"/>
                <w:lang w:eastAsia="en-GB"/>
              </w:rPr>
              <w:t>SME</w:t>
            </w:r>
          </w:p>
        </w:tc>
        <w:tc>
          <w:tcPr>
            <w:tcW w:w="6349" w:type="dxa"/>
            <w:tcBorders>
              <w:top w:val="nil"/>
              <w:left w:val="nil"/>
              <w:bottom w:val="single" w:sz="4" w:space="0" w:color="auto"/>
              <w:right w:val="single" w:sz="4" w:space="0" w:color="auto"/>
            </w:tcBorders>
            <w:shd w:val="clear" w:color="auto" w:fill="auto"/>
            <w:vAlign w:val="center"/>
          </w:tcPr>
          <w:p w14:paraId="06ED8674" w14:textId="77777777" w:rsidR="00EF0BC5" w:rsidRPr="006F2487" w:rsidRDefault="00EF0BC5" w:rsidP="00EF0BC5">
            <w:pPr>
              <w:spacing w:after="0"/>
              <w:rPr>
                <w:rFonts w:asciiTheme="minorHAnsi" w:hAnsiTheme="minorHAnsi"/>
                <w:noProof/>
                <w:color w:val="000000" w:themeColor="text1"/>
                <w:sz w:val="20"/>
                <w:szCs w:val="20"/>
                <w:lang w:eastAsia="en-GB"/>
              </w:rPr>
            </w:pPr>
            <w:r w:rsidRPr="3982CBDC">
              <w:rPr>
                <w:rFonts w:asciiTheme="minorHAnsi" w:hAnsiTheme="minorHAnsi"/>
                <w:noProof/>
                <w:color w:val="000000" w:themeColor="text1"/>
                <w:sz w:val="20"/>
                <w:szCs w:val="20"/>
                <w:lang w:eastAsia="en-GB"/>
              </w:rPr>
              <w:t>Small and medium enterprises</w:t>
            </w:r>
          </w:p>
        </w:tc>
      </w:tr>
      <w:tr w:rsidR="00EF0BC5" w:rsidRPr="006F2487" w14:paraId="1A256F0D" w14:textId="77777777" w:rsidTr="3982CBDC">
        <w:trPr>
          <w:trHeight w:val="300"/>
        </w:trPr>
        <w:tc>
          <w:tcPr>
            <w:tcW w:w="3261" w:type="dxa"/>
            <w:tcBorders>
              <w:top w:val="nil"/>
              <w:left w:val="single" w:sz="4" w:space="0" w:color="auto"/>
              <w:bottom w:val="single" w:sz="4" w:space="0" w:color="auto"/>
              <w:right w:val="single" w:sz="4" w:space="0" w:color="auto"/>
            </w:tcBorders>
            <w:shd w:val="clear" w:color="auto" w:fill="auto"/>
            <w:vAlign w:val="center"/>
          </w:tcPr>
          <w:p w14:paraId="300733D1" w14:textId="77777777" w:rsidR="00EF0BC5" w:rsidRPr="006F2487" w:rsidRDefault="00EF0BC5" w:rsidP="00EF0BC5">
            <w:pPr>
              <w:spacing w:after="0"/>
              <w:rPr>
                <w:rFonts w:asciiTheme="minorHAnsi" w:hAnsiTheme="minorHAnsi"/>
                <w:noProof/>
                <w:color w:val="000000" w:themeColor="text1"/>
                <w:sz w:val="20"/>
                <w:szCs w:val="20"/>
                <w:lang w:eastAsia="en-GB"/>
              </w:rPr>
            </w:pPr>
            <w:r w:rsidRPr="3982CBDC">
              <w:rPr>
                <w:rFonts w:asciiTheme="minorHAnsi" w:hAnsiTheme="minorHAnsi"/>
                <w:noProof/>
                <w:color w:val="000000" w:themeColor="text1"/>
                <w:sz w:val="20"/>
                <w:szCs w:val="20"/>
                <w:lang w:eastAsia="en-GB"/>
              </w:rPr>
              <w:t>Single Window</w:t>
            </w:r>
          </w:p>
        </w:tc>
        <w:tc>
          <w:tcPr>
            <w:tcW w:w="6349" w:type="dxa"/>
            <w:tcBorders>
              <w:top w:val="nil"/>
              <w:left w:val="nil"/>
              <w:bottom w:val="single" w:sz="4" w:space="0" w:color="auto"/>
              <w:right w:val="single" w:sz="4" w:space="0" w:color="auto"/>
            </w:tcBorders>
            <w:shd w:val="clear" w:color="auto" w:fill="auto"/>
            <w:vAlign w:val="center"/>
          </w:tcPr>
          <w:p w14:paraId="1F5BA714" w14:textId="332E9459" w:rsidR="00EF0BC5" w:rsidRPr="006F2487" w:rsidRDefault="00EF0BC5" w:rsidP="00EF0BC5">
            <w:pPr>
              <w:spacing w:after="0"/>
              <w:rPr>
                <w:rFonts w:asciiTheme="minorHAnsi" w:hAnsiTheme="minorHAnsi"/>
                <w:noProof/>
                <w:color w:val="000000" w:themeColor="text1"/>
                <w:sz w:val="20"/>
                <w:szCs w:val="20"/>
                <w:lang w:eastAsia="en-GB"/>
              </w:rPr>
            </w:pPr>
            <w:r w:rsidRPr="3982CBDC">
              <w:rPr>
                <w:rFonts w:asciiTheme="minorHAnsi" w:hAnsiTheme="minorHAnsi"/>
                <w:noProof/>
                <w:color w:val="000000" w:themeColor="text1"/>
                <w:sz w:val="20"/>
                <w:szCs w:val="20"/>
                <w:lang w:eastAsia="en-GB"/>
              </w:rPr>
              <w:t xml:space="preserve">European Single Environment for Customs; </w:t>
            </w:r>
            <w:hyperlink r:id="rId26">
              <w:r w:rsidRPr="3982CBDC">
                <w:rPr>
                  <w:rStyle w:val="Hyperlink"/>
                  <w:rFonts w:asciiTheme="minorHAnsi" w:hAnsiTheme="minorHAnsi"/>
                  <w:noProof/>
                  <w:sz w:val="20"/>
                  <w:szCs w:val="20"/>
                  <w:lang w:eastAsia="en-GB"/>
                </w:rPr>
                <w:t>https://ec.europa.eu/taxation_customs/general-information-customs/electronic-customs/eu-single-window-environment-for-customs_en</w:t>
              </w:r>
            </w:hyperlink>
            <w:r w:rsidRPr="3982CBDC">
              <w:rPr>
                <w:rFonts w:asciiTheme="minorHAnsi" w:hAnsiTheme="minorHAnsi"/>
                <w:noProof/>
                <w:color w:val="000000" w:themeColor="text1"/>
                <w:sz w:val="20"/>
                <w:szCs w:val="20"/>
                <w:lang w:eastAsia="en-GB"/>
              </w:rPr>
              <w:t xml:space="preserve"> </w:t>
            </w:r>
          </w:p>
        </w:tc>
      </w:tr>
      <w:tr w:rsidR="00EF0BC5" w:rsidRPr="006F2487" w14:paraId="2F9ADF27" w14:textId="77777777" w:rsidTr="3982CBDC">
        <w:trPr>
          <w:trHeight w:val="300"/>
        </w:trPr>
        <w:tc>
          <w:tcPr>
            <w:tcW w:w="3261" w:type="dxa"/>
            <w:tcBorders>
              <w:top w:val="nil"/>
              <w:left w:val="single" w:sz="4" w:space="0" w:color="auto"/>
              <w:bottom w:val="single" w:sz="4" w:space="0" w:color="auto"/>
              <w:right w:val="single" w:sz="4" w:space="0" w:color="auto"/>
            </w:tcBorders>
            <w:shd w:val="clear" w:color="auto" w:fill="auto"/>
            <w:vAlign w:val="center"/>
          </w:tcPr>
          <w:p w14:paraId="292215D3" w14:textId="77777777" w:rsidR="00EF0BC5" w:rsidRPr="006F2487" w:rsidRDefault="00EF0BC5" w:rsidP="00EF0BC5">
            <w:pPr>
              <w:spacing w:after="0"/>
              <w:rPr>
                <w:rFonts w:asciiTheme="minorHAnsi" w:hAnsiTheme="minorHAnsi"/>
                <w:noProof/>
                <w:color w:val="000000" w:themeColor="text1"/>
                <w:sz w:val="20"/>
                <w:szCs w:val="20"/>
                <w:lang w:eastAsia="en-GB"/>
              </w:rPr>
            </w:pPr>
            <w:r w:rsidRPr="3982CBDC">
              <w:rPr>
                <w:rFonts w:asciiTheme="minorHAnsi" w:hAnsiTheme="minorHAnsi"/>
                <w:noProof/>
                <w:color w:val="000000" w:themeColor="text1"/>
                <w:sz w:val="20"/>
                <w:szCs w:val="20"/>
                <w:lang w:eastAsia="en-GB"/>
              </w:rPr>
              <w:t>SO</w:t>
            </w:r>
            <w:r w:rsidRPr="00DB1EAE">
              <w:rPr>
                <w:rFonts w:asciiTheme="minorHAnsi" w:hAnsiTheme="minorHAnsi"/>
                <w:noProof/>
                <w:color w:val="000000" w:themeColor="text1"/>
                <w:sz w:val="20"/>
                <w:szCs w:val="20"/>
                <w:vertAlign w:val="subscript"/>
                <w:lang w:eastAsia="en-GB"/>
              </w:rPr>
              <w:t>2</w:t>
            </w:r>
            <w:r w:rsidRPr="3982CBDC">
              <w:rPr>
                <w:rFonts w:asciiTheme="minorHAnsi" w:hAnsiTheme="minorHAnsi"/>
                <w:noProof/>
                <w:color w:val="000000" w:themeColor="text1"/>
                <w:sz w:val="20"/>
                <w:szCs w:val="20"/>
                <w:lang w:eastAsia="en-GB"/>
              </w:rPr>
              <w:t>F</w:t>
            </w:r>
            <w:r w:rsidRPr="00DB1EAE">
              <w:rPr>
                <w:rFonts w:asciiTheme="minorHAnsi" w:hAnsiTheme="minorHAnsi"/>
                <w:noProof/>
                <w:color w:val="000000" w:themeColor="text1"/>
                <w:sz w:val="20"/>
                <w:szCs w:val="20"/>
                <w:vertAlign w:val="subscript"/>
                <w:lang w:eastAsia="en-GB"/>
              </w:rPr>
              <w:t>2</w:t>
            </w:r>
          </w:p>
        </w:tc>
        <w:tc>
          <w:tcPr>
            <w:tcW w:w="6349" w:type="dxa"/>
            <w:tcBorders>
              <w:top w:val="nil"/>
              <w:left w:val="nil"/>
              <w:bottom w:val="single" w:sz="4" w:space="0" w:color="auto"/>
              <w:right w:val="single" w:sz="4" w:space="0" w:color="auto"/>
            </w:tcBorders>
            <w:shd w:val="clear" w:color="auto" w:fill="auto"/>
            <w:vAlign w:val="center"/>
          </w:tcPr>
          <w:p w14:paraId="1BABF9CD" w14:textId="0E0D05C5" w:rsidR="00EF0BC5" w:rsidRPr="006F2487" w:rsidRDefault="00E11685" w:rsidP="00EF0BC5">
            <w:pPr>
              <w:spacing w:after="0"/>
              <w:rPr>
                <w:rFonts w:asciiTheme="minorHAnsi" w:hAnsiTheme="minorHAnsi"/>
                <w:noProof/>
                <w:color w:val="000000" w:themeColor="text1"/>
                <w:sz w:val="20"/>
                <w:szCs w:val="20"/>
                <w:lang w:eastAsia="en-GB"/>
              </w:rPr>
            </w:pPr>
            <w:r>
              <w:rPr>
                <w:rFonts w:asciiTheme="minorHAnsi" w:hAnsiTheme="minorHAnsi"/>
                <w:noProof/>
                <w:color w:val="000000" w:themeColor="text1"/>
                <w:sz w:val="20"/>
                <w:szCs w:val="20"/>
                <w:lang w:eastAsia="en-GB"/>
              </w:rPr>
              <w:t>Sulfuryl</w:t>
            </w:r>
            <w:r w:rsidR="00EF0BC5" w:rsidRPr="3982CBDC">
              <w:rPr>
                <w:rFonts w:asciiTheme="minorHAnsi" w:hAnsiTheme="minorHAnsi"/>
                <w:noProof/>
                <w:color w:val="000000" w:themeColor="text1"/>
                <w:sz w:val="20"/>
                <w:szCs w:val="20"/>
                <w:lang w:eastAsia="en-GB"/>
              </w:rPr>
              <w:t>fluoride, an F-gas used in pest control currently not listed in the F-gas Regulation</w:t>
            </w:r>
          </w:p>
        </w:tc>
      </w:tr>
      <w:tr w:rsidR="00EF0BC5" w:rsidRPr="006F2487" w14:paraId="4112F37B" w14:textId="77777777" w:rsidTr="3982CBDC">
        <w:trPr>
          <w:trHeight w:val="300"/>
        </w:trPr>
        <w:tc>
          <w:tcPr>
            <w:tcW w:w="3261" w:type="dxa"/>
            <w:tcBorders>
              <w:top w:val="nil"/>
              <w:left w:val="single" w:sz="4" w:space="0" w:color="auto"/>
              <w:bottom w:val="single" w:sz="4" w:space="0" w:color="auto"/>
              <w:right w:val="single" w:sz="4" w:space="0" w:color="auto"/>
            </w:tcBorders>
            <w:shd w:val="clear" w:color="auto" w:fill="auto"/>
            <w:vAlign w:val="center"/>
          </w:tcPr>
          <w:p w14:paraId="636F9F0D" w14:textId="77777777" w:rsidR="00EF0BC5" w:rsidRPr="006F2487" w:rsidRDefault="00EF0BC5" w:rsidP="00EF0BC5">
            <w:pPr>
              <w:spacing w:after="0"/>
              <w:rPr>
                <w:rFonts w:asciiTheme="minorHAnsi" w:hAnsiTheme="minorHAnsi"/>
                <w:noProof/>
                <w:color w:val="000000" w:themeColor="text1"/>
                <w:sz w:val="20"/>
                <w:szCs w:val="20"/>
                <w:highlight w:val="yellow"/>
                <w:lang w:eastAsia="en-GB"/>
              </w:rPr>
            </w:pPr>
            <w:r w:rsidRPr="3982CBDC">
              <w:rPr>
                <w:rFonts w:asciiTheme="minorHAnsi" w:hAnsiTheme="minorHAnsi"/>
                <w:noProof/>
                <w:color w:val="000000" w:themeColor="text1"/>
                <w:sz w:val="20"/>
                <w:szCs w:val="20"/>
                <w:lang w:eastAsia="en-GB"/>
              </w:rPr>
              <w:t>Switchgear</w:t>
            </w:r>
          </w:p>
        </w:tc>
        <w:tc>
          <w:tcPr>
            <w:tcW w:w="6349" w:type="dxa"/>
            <w:tcBorders>
              <w:top w:val="nil"/>
              <w:left w:val="nil"/>
              <w:bottom w:val="single" w:sz="4" w:space="0" w:color="auto"/>
              <w:right w:val="single" w:sz="4" w:space="0" w:color="auto"/>
            </w:tcBorders>
            <w:shd w:val="clear" w:color="auto" w:fill="auto"/>
            <w:vAlign w:val="center"/>
          </w:tcPr>
          <w:p w14:paraId="4C35A54A" w14:textId="77777777" w:rsidR="00EF0BC5" w:rsidRPr="006F2487" w:rsidRDefault="00EF0BC5" w:rsidP="00EF0BC5">
            <w:pPr>
              <w:spacing w:after="0"/>
              <w:rPr>
                <w:rFonts w:asciiTheme="minorHAnsi" w:hAnsiTheme="minorHAnsi"/>
                <w:noProof/>
                <w:color w:val="000000" w:themeColor="text1"/>
                <w:sz w:val="20"/>
                <w:szCs w:val="20"/>
                <w:highlight w:val="yellow"/>
                <w:lang w:eastAsia="en-GB"/>
              </w:rPr>
            </w:pPr>
            <w:r w:rsidRPr="3982CBDC">
              <w:rPr>
                <w:rFonts w:asciiTheme="minorHAnsi" w:hAnsiTheme="minorHAnsi"/>
                <w:noProof/>
                <w:color w:val="000000" w:themeColor="text1"/>
                <w:sz w:val="20"/>
                <w:szCs w:val="20"/>
                <w:lang w:eastAsia="en-GB"/>
              </w:rPr>
              <w:t>Switchgear is used to in electric transmission and power systems to control, protect and isolate electrical equipment</w:t>
            </w:r>
          </w:p>
        </w:tc>
      </w:tr>
      <w:tr w:rsidR="00EF0BC5" w:rsidRPr="006F2487" w14:paraId="21056C45" w14:textId="77777777" w:rsidTr="3982CBDC">
        <w:trPr>
          <w:trHeight w:val="300"/>
        </w:trPr>
        <w:tc>
          <w:tcPr>
            <w:tcW w:w="3261" w:type="dxa"/>
            <w:tcBorders>
              <w:top w:val="nil"/>
              <w:left w:val="single" w:sz="4" w:space="0" w:color="auto"/>
              <w:bottom w:val="single" w:sz="4" w:space="0" w:color="auto"/>
              <w:right w:val="single" w:sz="4" w:space="0" w:color="auto"/>
            </w:tcBorders>
            <w:shd w:val="clear" w:color="auto" w:fill="auto"/>
            <w:vAlign w:val="center"/>
          </w:tcPr>
          <w:p w14:paraId="0F13893B" w14:textId="77777777" w:rsidR="00EF0BC5" w:rsidRPr="00B001A8" w:rsidRDefault="00EF0BC5" w:rsidP="00EF0BC5">
            <w:pPr>
              <w:spacing w:after="0"/>
              <w:rPr>
                <w:rFonts w:asciiTheme="minorHAnsi" w:hAnsiTheme="minorHAnsi"/>
                <w:noProof/>
                <w:color w:val="000000" w:themeColor="text1"/>
                <w:sz w:val="20"/>
                <w:szCs w:val="20"/>
                <w:lang w:eastAsia="en-GB"/>
              </w:rPr>
            </w:pPr>
            <w:r w:rsidRPr="3982CBDC">
              <w:rPr>
                <w:rFonts w:asciiTheme="minorHAnsi" w:hAnsiTheme="minorHAnsi"/>
                <w:noProof/>
                <w:color w:val="000000" w:themeColor="text1"/>
                <w:sz w:val="20"/>
                <w:szCs w:val="20"/>
                <w:lang w:eastAsia="en-GB"/>
              </w:rPr>
              <w:t>TARIC</w:t>
            </w:r>
          </w:p>
        </w:tc>
        <w:tc>
          <w:tcPr>
            <w:tcW w:w="6349" w:type="dxa"/>
            <w:tcBorders>
              <w:top w:val="nil"/>
              <w:left w:val="nil"/>
              <w:bottom w:val="single" w:sz="4" w:space="0" w:color="auto"/>
              <w:right w:val="single" w:sz="4" w:space="0" w:color="auto"/>
            </w:tcBorders>
            <w:shd w:val="clear" w:color="auto" w:fill="auto"/>
            <w:vAlign w:val="center"/>
          </w:tcPr>
          <w:p w14:paraId="7B846436" w14:textId="77777777" w:rsidR="00EF0BC5" w:rsidRPr="00B001A8" w:rsidRDefault="00EF0BC5" w:rsidP="00EF0BC5">
            <w:pPr>
              <w:spacing w:after="0"/>
              <w:rPr>
                <w:rFonts w:asciiTheme="minorHAnsi" w:hAnsiTheme="minorHAnsi"/>
                <w:noProof/>
                <w:color w:val="000000" w:themeColor="text1"/>
                <w:sz w:val="20"/>
                <w:szCs w:val="20"/>
                <w:lang w:eastAsia="en-GB"/>
              </w:rPr>
            </w:pPr>
            <w:r w:rsidRPr="3982CBDC">
              <w:rPr>
                <w:rFonts w:asciiTheme="minorHAnsi" w:hAnsiTheme="minorHAnsi"/>
                <w:noProof/>
                <w:color w:val="000000" w:themeColor="text1"/>
                <w:sz w:val="20"/>
                <w:szCs w:val="20"/>
                <w:lang w:eastAsia="en-GB"/>
              </w:rPr>
              <w:t>TARIC = Integrated tariff of the EU</w:t>
            </w:r>
          </w:p>
        </w:tc>
      </w:tr>
      <w:tr w:rsidR="00EF0BC5" w:rsidRPr="006F2487" w14:paraId="6FAAB1CE" w14:textId="77777777" w:rsidTr="3982CBDC">
        <w:trPr>
          <w:trHeight w:val="300"/>
        </w:trPr>
        <w:tc>
          <w:tcPr>
            <w:tcW w:w="3261" w:type="dxa"/>
            <w:tcBorders>
              <w:top w:val="nil"/>
              <w:left w:val="single" w:sz="4" w:space="0" w:color="auto"/>
              <w:bottom w:val="single" w:sz="4" w:space="0" w:color="auto"/>
              <w:right w:val="single" w:sz="4" w:space="0" w:color="auto"/>
            </w:tcBorders>
            <w:shd w:val="clear" w:color="auto" w:fill="auto"/>
            <w:vAlign w:val="center"/>
          </w:tcPr>
          <w:p w14:paraId="68176842" w14:textId="77777777" w:rsidR="00EF0BC5" w:rsidRPr="006F2487" w:rsidRDefault="00EF0BC5" w:rsidP="00EF0BC5">
            <w:pPr>
              <w:spacing w:after="0"/>
              <w:rPr>
                <w:rFonts w:asciiTheme="minorHAnsi" w:hAnsiTheme="minorHAnsi"/>
                <w:noProof/>
                <w:color w:val="000000" w:themeColor="text1"/>
                <w:sz w:val="20"/>
                <w:szCs w:val="20"/>
                <w:lang w:eastAsia="en-GB"/>
              </w:rPr>
            </w:pPr>
            <w:r w:rsidRPr="3982CBDC">
              <w:rPr>
                <w:rFonts w:asciiTheme="minorHAnsi" w:hAnsiTheme="minorHAnsi"/>
                <w:noProof/>
                <w:color w:val="000000" w:themeColor="text1"/>
                <w:sz w:val="20"/>
                <w:szCs w:val="20"/>
                <w:lang w:eastAsia="en-GB"/>
              </w:rPr>
              <w:t>(M)tCO2e</w:t>
            </w:r>
          </w:p>
        </w:tc>
        <w:tc>
          <w:tcPr>
            <w:tcW w:w="6349" w:type="dxa"/>
            <w:tcBorders>
              <w:top w:val="nil"/>
              <w:left w:val="nil"/>
              <w:bottom w:val="single" w:sz="4" w:space="0" w:color="auto"/>
              <w:right w:val="single" w:sz="4" w:space="0" w:color="auto"/>
            </w:tcBorders>
            <w:shd w:val="clear" w:color="auto" w:fill="auto"/>
            <w:vAlign w:val="center"/>
          </w:tcPr>
          <w:p w14:paraId="650799F8" w14:textId="77777777" w:rsidR="00EF0BC5" w:rsidRPr="006F2487" w:rsidRDefault="00EF0BC5" w:rsidP="00EF0BC5">
            <w:pPr>
              <w:spacing w:before="60" w:after="60"/>
              <w:rPr>
                <w:rFonts w:asciiTheme="minorHAnsi" w:hAnsiTheme="minorHAnsi"/>
                <w:noProof/>
                <w:color w:val="000000" w:themeColor="text1"/>
                <w:sz w:val="20"/>
                <w:szCs w:val="20"/>
                <w:lang w:eastAsia="en-GB"/>
              </w:rPr>
            </w:pPr>
            <w:r w:rsidRPr="3982CBDC">
              <w:rPr>
                <w:rFonts w:asciiTheme="minorHAnsi" w:hAnsiTheme="minorHAnsi"/>
                <w:noProof/>
                <w:color w:val="000000" w:themeColor="text1"/>
                <w:sz w:val="20"/>
                <w:szCs w:val="20"/>
                <w:lang w:eastAsia="en-GB"/>
              </w:rPr>
              <w:t>(million) tonnes CO</w:t>
            </w:r>
            <w:r w:rsidRPr="3982CBDC">
              <w:rPr>
                <w:rFonts w:asciiTheme="minorHAnsi" w:hAnsiTheme="minorHAnsi"/>
                <w:noProof/>
                <w:color w:val="000000" w:themeColor="text1"/>
                <w:sz w:val="20"/>
                <w:szCs w:val="20"/>
                <w:vertAlign w:val="subscript"/>
                <w:lang w:eastAsia="en-GB"/>
              </w:rPr>
              <w:t>2</w:t>
            </w:r>
            <w:r w:rsidRPr="3982CBDC">
              <w:rPr>
                <w:rFonts w:asciiTheme="minorHAnsi" w:hAnsiTheme="minorHAnsi"/>
                <w:noProof/>
                <w:color w:val="000000" w:themeColor="text1"/>
                <w:sz w:val="20"/>
                <w:szCs w:val="20"/>
                <w:lang w:eastAsia="en-GB"/>
              </w:rPr>
              <w:t xml:space="preserve"> equivalent</w:t>
            </w:r>
          </w:p>
        </w:tc>
      </w:tr>
      <w:tr w:rsidR="00EF0BC5" w:rsidRPr="006F2487" w14:paraId="53F7B354" w14:textId="77777777" w:rsidTr="3982CBDC">
        <w:trPr>
          <w:trHeight w:val="300"/>
        </w:trPr>
        <w:tc>
          <w:tcPr>
            <w:tcW w:w="3261" w:type="dxa"/>
            <w:tcBorders>
              <w:top w:val="nil"/>
              <w:left w:val="single" w:sz="4" w:space="0" w:color="auto"/>
              <w:bottom w:val="single" w:sz="4" w:space="0" w:color="auto"/>
              <w:right w:val="single" w:sz="4" w:space="0" w:color="auto"/>
            </w:tcBorders>
            <w:shd w:val="clear" w:color="auto" w:fill="auto"/>
            <w:vAlign w:val="center"/>
          </w:tcPr>
          <w:p w14:paraId="02742F90" w14:textId="77777777" w:rsidR="00EF0BC5" w:rsidRPr="006F2487" w:rsidRDefault="00EF0BC5" w:rsidP="00EF0BC5">
            <w:pPr>
              <w:spacing w:after="0"/>
              <w:rPr>
                <w:rFonts w:asciiTheme="minorHAnsi" w:eastAsia="Times New Roman" w:hAnsiTheme="minorHAnsi"/>
                <w:noProof/>
                <w:color w:val="000000" w:themeColor="text1"/>
                <w:sz w:val="20"/>
                <w:szCs w:val="20"/>
                <w:highlight w:val="yellow"/>
                <w:lang w:eastAsia="en-GB"/>
              </w:rPr>
            </w:pPr>
            <w:r w:rsidRPr="3982CBDC">
              <w:rPr>
                <w:rFonts w:asciiTheme="minorHAnsi" w:hAnsiTheme="minorHAnsi"/>
                <w:noProof/>
                <w:color w:val="000000" w:themeColor="text1"/>
                <w:sz w:val="20"/>
                <w:szCs w:val="20"/>
                <w:lang w:eastAsia="en-GB"/>
              </w:rPr>
              <w:t>TFA</w:t>
            </w:r>
          </w:p>
        </w:tc>
        <w:tc>
          <w:tcPr>
            <w:tcW w:w="6349" w:type="dxa"/>
            <w:tcBorders>
              <w:top w:val="nil"/>
              <w:left w:val="nil"/>
              <w:bottom w:val="single" w:sz="4" w:space="0" w:color="auto"/>
              <w:right w:val="single" w:sz="4" w:space="0" w:color="auto"/>
            </w:tcBorders>
            <w:shd w:val="clear" w:color="auto" w:fill="auto"/>
            <w:vAlign w:val="center"/>
          </w:tcPr>
          <w:p w14:paraId="3E516760" w14:textId="77777777" w:rsidR="00EF0BC5" w:rsidRPr="006F2487" w:rsidRDefault="00EF0BC5" w:rsidP="00EF0BC5">
            <w:pPr>
              <w:spacing w:before="60" w:after="60"/>
              <w:rPr>
                <w:rFonts w:asciiTheme="minorHAnsi" w:eastAsia="Times New Roman" w:hAnsiTheme="minorHAnsi"/>
                <w:noProof/>
                <w:color w:val="000000" w:themeColor="text1"/>
                <w:sz w:val="20"/>
                <w:szCs w:val="20"/>
                <w:highlight w:val="yellow"/>
                <w:lang w:eastAsia="en-GB"/>
              </w:rPr>
            </w:pPr>
            <w:r w:rsidRPr="3982CBDC">
              <w:rPr>
                <w:rFonts w:asciiTheme="minorHAnsi" w:hAnsiTheme="minorHAnsi"/>
                <w:noProof/>
                <w:color w:val="000000" w:themeColor="text1"/>
                <w:sz w:val="20"/>
                <w:szCs w:val="20"/>
                <w:lang w:eastAsia="en-GB"/>
              </w:rPr>
              <w:t>Trifluoroacetic acid; a persistent chemical that is formed by the breakdown by some HFCs and HFOs in the atmosphere; accumulates in surface and fresh waters and has been shown to have phytotoxic effects</w:t>
            </w:r>
          </w:p>
        </w:tc>
      </w:tr>
      <w:tr w:rsidR="00EF0BC5" w:rsidRPr="006F2487" w14:paraId="2BAA71E6" w14:textId="77777777" w:rsidTr="3982CBDC">
        <w:trPr>
          <w:trHeight w:val="30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1BAC11C4" w14:textId="79CD9589" w:rsidR="00EF0BC5" w:rsidRPr="3982CBDC" w:rsidRDefault="00EF0BC5" w:rsidP="00EF0BC5">
            <w:pPr>
              <w:spacing w:after="0"/>
              <w:rPr>
                <w:rFonts w:asciiTheme="minorHAnsi" w:hAnsiTheme="minorHAnsi"/>
                <w:noProof/>
                <w:color w:val="000000" w:themeColor="text1"/>
                <w:sz w:val="20"/>
                <w:szCs w:val="20"/>
                <w:lang w:eastAsia="en-GB"/>
              </w:rPr>
            </w:pPr>
            <w:r>
              <w:rPr>
                <w:rFonts w:asciiTheme="minorHAnsi" w:hAnsiTheme="minorHAnsi"/>
                <w:noProof/>
                <w:color w:val="000000" w:themeColor="text1"/>
                <w:sz w:val="20"/>
                <w:szCs w:val="20"/>
                <w:lang w:eastAsia="en-GB"/>
              </w:rPr>
              <w:t>Totex</w:t>
            </w:r>
          </w:p>
        </w:tc>
        <w:tc>
          <w:tcPr>
            <w:tcW w:w="6349" w:type="dxa"/>
            <w:tcBorders>
              <w:top w:val="single" w:sz="4" w:space="0" w:color="auto"/>
              <w:left w:val="nil"/>
              <w:bottom w:val="single" w:sz="4" w:space="0" w:color="auto"/>
              <w:right w:val="single" w:sz="4" w:space="0" w:color="auto"/>
            </w:tcBorders>
            <w:shd w:val="clear" w:color="auto" w:fill="auto"/>
            <w:vAlign w:val="center"/>
          </w:tcPr>
          <w:p w14:paraId="33324C6B" w14:textId="5AF16571" w:rsidR="00EF0BC5" w:rsidRPr="3982CBDC" w:rsidRDefault="00EF0BC5" w:rsidP="00EF0BC5">
            <w:pPr>
              <w:spacing w:before="60" w:after="60"/>
              <w:rPr>
                <w:rFonts w:asciiTheme="minorHAnsi" w:hAnsiTheme="minorHAnsi"/>
                <w:noProof/>
                <w:color w:val="000000" w:themeColor="text1"/>
                <w:sz w:val="20"/>
                <w:szCs w:val="20"/>
                <w:lang w:eastAsia="en-GB"/>
              </w:rPr>
            </w:pPr>
            <w:r>
              <w:rPr>
                <w:rFonts w:asciiTheme="minorHAnsi" w:hAnsiTheme="minorHAnsi"/>
                <w:noProof/>
                <w:color w:val="000000" w:themeColor="text1"/>
                <w:sz w:val="20"/>
                <w:szCs w:val="20"/>
                <w:lang w:eastAsia="en-GB"/>
              </w:rPr>
              <w:t>Total expenditure</w:t>
            </w:r>
          </w:p>
        </w:tc>
      </w:tr>
      <w:tr w:rsidR="00EF0BC5" w:rsidRPr="006F2487" w14:paraId="0285060A" w14:textId="77777777" w:rsidTr="3982CBDC">
        <w:trPr>
          <w:trHeight w:val="30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60A78C1C" w14:textId="77777777" w:rsidR="00EF0BC5" w:rsidRPr="006F2487" w:rsidRDefault="00EF0BC5" w:rsidP="00EF0BC5">
            <w:pPr>
              <w:spacing w:after="0"/>
              <w:rPr>
                <w:rFonts w:asciiTheme="minorHAnsi" w:hAnsiTheme="minorHAnsi"/>
                <w:noProof/>
                <w:color w:val="000000" w:themeColor="text1"/>
                <w:sz w:val="20"/>
                <w:szCs w:val="20"/>
                <w:lang w:eastAsia="en-GB"/>
              </w:rPr>
            </w:pPr>
            <w:r w:rsidRPr="3982CBDC">
              <w:rPr>
                <w:rFonts w:asciiTheme="minorHAnsi" w:hAnsiTheme="minorHAnsi"/>
                <w:noProof/>
                <w:color w:val="000000" w:themeColor="text1"/>
                <w:sz w:val="20"/>
                <w:szCs w:val="20"/>
                <w:lang w:eastAsia="en-GB"/>
              </w:rPr>
              <w:t>UNFCCC</w:t>
            </w:r>
          </w:p>
        </w:tc>
        <w:tc>
          <w:tcPr>
            <w:tcW w:w="6349" w:type="dxa"/>
            <w:tcBorders>
              <w:top w:val="single" w:sz="4" w:space="0" w:color="auto"/>
              <w:left w:val="nil"/>
              <w:bottom w:val="single" w:sz="4" w:space="0" w:color="auto"/>
              <w:right w:val="single" w:sz="4" w:space="0" w:color="auto"/>
            </w:tcBorders>
            <w:shd w:val="clear" w:color="auto" w:fill="auto"/>
            <w:vAlign w:val="center"/>
          </w:tcPr>
          <w:p w14:paraId="16B6EBE9" w14:textId="77777777" w:rsidR="00EF0BC5" w:rsidRPr="006F2487" w:rsidRDefault="00EF0BC5" w:rsidP="00EF0BC5">
            <w:pPr>
              <w:spacing w:before="60" w:after="60"/>
              <w:rPr>
                <w:rFonts w:asciiTheme="minorHAnsi" w:hAnsiTheme="minorHAnsi"/>
                <w:noProof/>
                <w:color w:val="000000" w:themeColor="text1"/>
                <w:sz w:val="20"/>
                <w:szCs w:val="20"/>
                <w:lang w:eastAsia="en-GB"/>
              </w:rPr>
            </w:pPr>
            <w:r w:rsidRPr="3982CBDC">
              <w:rPr>
                <w:rFonts w:asciiTheme="minorHAnsi" w:hAnsiTheme="minorHAnsi"/>
                <w:noProof/>
                <w:color w:val="000000" w:themeColor="text1"/>
                <w:sz w:val="20"/>
                <w:szCs w:val="20"/>
                <w:lang w:eastAsia="en-GB"/>
              </w:rPr>
              <w:t>United Nations Framework Convention on Climate Change</w:t>
            </w:r>
          </w:p>
        </w:tc>
      </w:tr>
      <w:tr w:rsidR="00EF0BC5" w:rsidRPr="006F2487" w14:paraId="5AB1A115" w14:textId="77777777" w:rsidTr="3982CBDC">
        <w:trPr>
          <w:trHeight w:val="30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14AB3674" w14:textId="7A1FD3BB" w:rsidR="00EF0BC5" w:rsidRPr="3982CBDC" w:rsidRDefault="00EF0BC5" w:rsidP="00EF0BC5">
            <w:pPr>
              <w:spacing w:after="0"/>
              <w:rPr>
                <w:rFonts w:asciiTheme="minorHAnsi" w:hAnsiTheme="minorHAnsi"/>
                <w:noProof/>
                <w:color w:val="000000" w:themeColor="text1"/>
                <w:sz w:val="20"/>
                <w:szCs w:val="20"/>
                <w:lang w:eastAsia="en-GB"/>
              </w:rPr>
            </w:pPr>
            <w:r>
              <w:rPr>
                <w:rFonts w:asciiTheme="minorHAnsi" w:hAnsiTheme="minorHAnsi"/>
                <w:noProof/>
                <w:color w:val="000000" w:themeColor="text1"/>
                <w:sz w:val="20"/>
                <w:szCs w:val="20"/>
                <w:lang w:eastAsia="en-GB"/>
              </w:rPr>
              <w:t>VRF system</w:t>
            </w:r>
          </w:p>
        </w:tc>
        <w:tc>
          <w:tcPr>
            <w:tcW w:w="6349" w:type="dxa"/>
            <w:tcBorders>
              <w:top w:val="single" w:sz="4" w:space="0" w:color="auto"/>
              <w:left w:val="nil"/>
              <w:bottom w:val="single" w:sz="4" w:space="0" w:color="auto"/>
              <w:right w:val="single" w:sz="4" w:space="0" w:color="auto"/>
            </w:tcBorders>
            <w:shd w:val="clear" w:color="auto" w:fill="auto"/>
            <w:vAlign w:val="center"/>
          </w:tcPr>
          <w:p w14:paraId="0754C90D" w14:textId="3403A259" w:rsidR="00EF0BC5" w:rsidRPr="3982CBDC" w:rsidRDefault="00EF0BC5" w:rsidP="00EF0BC5">
            <w:pPr>
              <w:spacing w:before="60" w:after="60"/>
              <w:rPr>
                <w:rFonts w:asciiTheme="minorHAnsi" w:hAnsiTheme="minorHAnsi"/>
                <w:noProof/>
                <w:color w:val="000000" w:themeColor="text1"/>
                <w:sz w:val="20"/>
                <w:szCs w:val="20"/>
                <w:lang w:eastAsia="en-GB"/>
              </w:rPr>
            </w:pPr>
            <w:r>
              <w:rPr>
                <w:rFonts w:asciiTheme="minorHAnsi" w:hAnsiTheme="minorHAnsi"/>
                <w:noProof/>
                <w:color w:val="000000" w:themeColor="text1"/>
                <w:sz w:val="20"/>
                <w:szCs w:val="20"/>
                <w:lang w:eastAsia="en-GB"/>
              </w:rPr>
              <w:t>Variable Refrigerant Flow; an AC system that allows endusers to control several air conditioned spaces (e.g. rooms) individually</w:t>
            </w:r>
          </w:p>
        </w:tc>
      </w:tr>
    </w:tbl>
    <w:p w14:paraId="4445708B" w14:textId="77777777" w:rsidR="007D4CEE" w:rsidRDefault="007D4CEE">
      <w:pPr>
        <w:rPr>
          <w:noProof/>
          <w:highlight w:val="lightGray"/>
        </w:rPr>
        <w:sectPr w:rsidR="007D4CEE" w:rsidSect="00C371B5">
          <w:headerReference w:type="even" r:id="rId27"/>
          <w:headerReference w:type="default" r:id="rId28"/>
          <w:footerReference w:type="even" r:id="rId29"/>
          <w:footerReference w:type="default" r:id="rId30"/>
          <w:headerReference w:type="first" r:id="rId31"/>
          <w:footerReference w:type="first" r:id="rId32"/>
          <w:pgSz w:w="11906" w:h="16838"/>
          <w:pgMar w:top="1020" w:right="1701" w:bottom="1020" w:left="1587" w:header="601" w:footer="1077" w:gutter="0"/>
          <w:pgNumType w:fmt="lowerRoman" w:start="1"/>
          <w:cols w:space="720"/>
          <w:titlePg/>
        </w:sectPr>
      </w:pPr>
    </w:p>
    <w:p w14:paraId="36FB6635" w14:textId="1F36F7A0" w:rsidR="006B087E" w:rsidRPr="00F30C16" w:rsidRDefault="00E04F0C" w:rsidP="00E04F0C">
      <w:pPr>
        <w:pStyle w:val="Heading1"/>
        <w:rPr>
          <w:noProof/>
        </w:rPr>
      </w:pPr>
      <w:bookmarkStart w:id="2" w:name="_Toc71559386"/>
      <w:bookmarkStart w:id="3" w:name="_Toc71706991"/>
      <w:bookmarkStart w:id="4" w:name="_Toc71708201"/>
      <w:bookmarkStart w:id="5" w:name="_Toc71710933"/>
      <w:bookmarkStart w:id="6" w:name="_Toc88571893"/>
      <w:bookmarkStart w:id="7" w:name="_Ref88722442"/>
      <w:bookmarkStart w:id="8" w:name="_Toc94629485"/>
      <w:bookmarkStart w:id="9" w:name="_Toc98857729"/>
      <w:r w:rsidRPr="00E04F0C">
        <w:t>1.</w:t>
      </w:r>
      <w:r w:rsidRPr="00E04F0C">
        <w:tab/>
      </w:r>
      <w:r w:rsidR="3982CBDC">
        <w:rPr>
          <w:noProof/>
        </w:rPr>
        <w:t>Introduction: Political</w:t>
      </w:r>
      <w:r w:rsidR="00075EFD">
        <w:rPr>
          <w:noProof/>
        </w:rPr>
        <w:t>,</w:t>
      </w:r>
      <w:r w:rsidR="3982CBDC">
        <w:rPr>
          <w:noProof/>
        </w:rPr>
        <w:t xml:space="preserve"> </w:t>
      </w:r>
      <w:r w:rsidR="00075EFD">
        <w:rPr>
          <w:noProof/>
        </w:rPr>
        <w:t xml:space="preserve">sectoral and </w:t>
      </w:r>
      <w:r w:rsidR="3982CBDC">
        <w:rPr>
          <w:noProof/>
        </w:rPr>
        <w:t>legal context</w:t>
      </w:r>
      <w:bookmarkEnd w:id="2"/>
      <w:bookmarkEnd w:id="3"/>
      <w:bookmarkEnd w:id="4"/>
      <w:bookmarkEnd w:id="5"/>
      <w:bookmarkEnd w:id="6"/>
      <w:bookmarkEnd w:id="7"/>
      <w:bookmarkEnd w:id="8"/>
      <w:bookmarkEnd w:id="9"/>
    </w:p>
    <w:p w14:paraId="658CC456" w14:textId="44C0457F" w:rsidR="00F7062C" w:rsidRDefault="00E04F0C" w:rsidP="00E04F0C">
      <w:pPr>
        <w:pStyle w:val="Heading2"/>
        <w:rPr>
          <w:noProof/>
          <w:lang w:eastAsia="de-DE"/>
        </w:rPr>
      </w:pPr>
      <w:bookmarkStart w:id="10" w:name="_Toc88571894"/>
      <w:bookmarkStart w:id="11" w:name="_Ref94085227"/>
      <w:bookmarkStart w:id="12" w:name="_Toc94629486"/>
      <w:bookmarkStart w:id="13" w:name="_Ref94685951"/>
      <w:bookmarkStart w:id="14" w:name="_Toc98857730"/>
      <w:bookmarkStart w:id="15" w:name="_Toc71559387"/>
      <w:bookmarkStart w:id="16" w:name="_Toc71706992"/>
      <w:bookmarkStart w:id="17" w:name="_Toc71708202"/>
      <w:bookmarkStart w:id="18" w:name="_Toc71710934"/>
      <w:r w:rsidRPr="00E04F0C">
        <w:t>1.1.</w:t>
      </w:r>
      <w:r w:rsidRPr="00E04F0C">
        <w:tab/>
      </w:r>
      <w:r w:rsidR="3982CBDC" w:rsidRPr="3982CBDC">
        <w:rPr>
          <w:noProof/>
          <w:lang w:eastAsia="de-DE"/>
        </w:rPr>
        <w:t>E</w:t>
      </w:r>
      <w:r w:rsidR="00257374">
        <w:rPr>
          <w:noProof/>
          <w:lang w:eastAsia="de-DE"/>
        </w:rPr>
        <w:t>U</w:t>
      </w:r>
      <w:r w:rsidR="3982CBDC" w:rsidRPr="3982CBDC">
        <w:rPr>
          <w:noProof/>
          <w:lang w:eastAsia="de-DE"/>
        </w:rPr>
        <w:t xml:space="preserve"> </w:t>
      </w:r>
      <w:r w:rsidR="00075EFD">
        <w:rPr>
          <w:noProof/>
          <w:lang w:eastAsia="de-DE"/>
        </w:rPr>
        <w:t>Climate Ambition</w:t>
      </w:r>
      <w:r w:rsidR="3982CBDC" w:rsidRPr="3982CBDC">
        <w:rPr>
          <w:noProof/>
          <w:lang w:eastAsia="de-DE"/>
        </w:rPr>
        <w:t>, Paris Agreement and Montreal Protocol</w:t>
      </w:r>
      <w:bookmarkEnd w:id="10"/>
      <w:bookmarkEnd w:id="11"/>
      <w:bookmarkEnd w:id="12"/>
      <w:bookmarkEnd w:id="13"/>
      <w:bookmarkEnd w:id="14"/>
      <w:r w:rsidR="3982CBDC" w:rsidRPr="3982CBDC">
        <w:rPr>
          <w:noProof/>
          <w:lang w:eastAsia="de-DE"/>
        </w:rPr>
        <w:t xml:space="preserve"> </w:t>
      </w:r>
      <w:bookmarkEnd w:id="15"/>
      <w:bookmarkEnd w:id="16"/>
      <w:bookmarkEnd w:id="17"/>
      <w:bookmarkEnd w:id="18"/>
    </w:p>
    <w:p w14:paraId="448855F7" w14:textId="411C130E" w:rsidR="0058131F" w:rsidRDefault="00586DD9" w:rsidP="0058131F">
      <w:pPr>
        <w:spacing w:after="120"/>
        <w:rPr>
          <w:rFonts w:cs="Times New Roman"/>
          <w:noProof/>
          <w:lang w:eastAsia="de-DE"/>
        </w:rPr>
      </w:pPr>
      <w:r>
        <w:rPr>
          <w:rFonts w:cs="Times New Roman"/>
          <w:b/>
          <w:bCs/>
          <w:noProof/>
          <w:lang w:eastAsia="de-DE"/>
        </w:rPr>
        <w:t>Fluorinated greenhouse gases (</w:t>
      </w:r>
      <w:r w:rsidR="0058131F" w:rsidRPr="353B927E">
        <w:rPr>
          <w:rFonts w:cs="Times New Roman"/>
          <w:b/>
          <w:bCs/>
          <w:noProof/>
          <w:lang w:eastAsia="de-DE"/>
        </w:rPr>
        <w:t>F-gases</w:t>
      </w:r>
      <w:r>
        <w:rPr>
          <w:rFonts w:cs="Times New Roman"/>
          <w:b/>
          <w:bCs/>
          <w:noProof/>
          <w:lang w:eastAsia="de-DE"/>
        </w:rPr>
        <w:t>)</w:t>
      </w:r>
      <w:r w:rsidR="0058131F" w:rsidRPr="353B927E">
        <w:rPr>
          <w:rFonts w:cs="Times New Roman"/>
          <w:b/>
          <w:bCs/>
          <w:noProof/>
          <w:lang w:eastAsia="de-DE"/>
        </w:rPr>
        <w:t xml:space="preserve"> are man-made chemicals that are very strong greenhouse gases</w:t>
      </w:r>
      <w:r w:rsidR="0058131F" w:rsidRPr="353B927E">
        <w:rPr>
          <w:rFonts w:cs="Times New Roman"/>
          <w:noProof/>
          <w:lang w:eastAsia="de-DE"/>
        </w:rPr>
        <w:t xml:space="preserve"> (GHG), often several thousand times stronger than carbon dioxide (CO</w:t>
      </w:r>
      <w:r w:rsidR="0058131F" w:rsidRPr="353B927E">
        <w:rPr>
          <w:rFonts w:cs="Times New Roman"/>
          <w:noProof/>
          <w:vertAlign w:val="subscript"/>
          <w:lang w:eastAsia="de-DE"/>
        </w:rPr>
        <w:t>2</w:t>
      </w:r>
      <w:r w:rsidR="0058131F" w:rsidRPr="353B927E">
        <w:rPr>
          <w:rFonts w:cs="Times New Roman"/>
          <w:noProof/>
          <w:lang w:eastAsia="de-DE"/>
        </w:rPr>
        <w:t>).</w:t>
      </w:r>
      <w:r w:rsidR="0058131F">
        <w:rPr>
          <w:rFonts w:cs="Times New Roman"/>
          <w:noProof/>
          <w:lang w:eastAsia="de-DE"/>
        </w:rPr>
        <w:t xml:space="preserve"> Together with carbon dioxide, methane and nitrous oxide, they </w:t>
      </w:r>
      <w:r w:rsidR="00257374">
        <w:rPr>
          <w:rFonts w:cs="Times New Roman"/>
          <w:noProof/>
          <w:lang w:eastAsia="de-DE"/>
        </w:rPr>
        <w:t>belong to the group of GHG</w:t>
      </w:r>
      <w:r w:rsidR="0058131F">
        <w:rPr>
          <w:rFonts w:cs="Times New Roman"/>
          <w:noProof/>
          <w:lang w:eastAsia="de-DE"/>
        </w:rPr>
        <w:t xml:space="preserve"> emissions covered under the </w:t>
      </w:r>
      <w:r w:rsidR="0058131F" w:rsidRPr="00C1561A">
        <w:rPr>
          <w:rFonts w:cs="Times New Roman"/>
          <w:b/>
          <w:i/>
          <w:noProof/>
          <w:lang w:eastAsia="de-DE"/>
        </w:rPr>
        <w:t xml:space="preserve">Paris </w:t>
      </w:r>
      <w:r w:rsidR="00257374" w:rsidRPr="00C1561A">
        <w:rPr>
          <w:rFonts w:cs="Times New Roman"/>
          <w:b/>
          <w:i/>
          <w:noProof/>
          <w:lang w:eastAsia="de-DE"/>
        </w:rPr>
        <w:t>A</w:t>
      </w:r>
      <w:r w:rsidR="0058131F" w:rsidRPr="00C1561A">
        <w:rPr>
          <w:rFonts w:cs="Times New Roman"/>
          <w:b/>
          <w:i/>
          <w:noProof/>
          <w:lang w:eastAsia="de-DE"/>
        </w:rPr>
        <w:t>greement</w:t>
      </w:r>
      <w:r w:rsidR="00257374" w:rsidRPr="00C1561A">
        <w:rPr>
          <w:rFonts w:cs="Times New Roman"/>
          <w:b/>
          <w:i/>
          <w:noProof/>
          <w:lang w:eastAsia="de-DE"/>
        </w:rPr>
        <w:t xml:space="preserve"> on Climate Change</w:t>
      </w:r>
      <w:r w:rsidR="0058131F">
        <w:rPr>
          <w:rFonts w:cs="Times New Roman"/>
          <w:noProof/>
          <w:lang w:eastAsia="de-DE"/>
        </w:rPr>
        <w:t>.</w:t>
      </w:r>
    </w:p>
    <w:p w14:paraId="017612A3" w14:textId="6931EA1A" w:rsidR="00366A89" w:rsidRDefault="0058131F" w:rsidP="00075EFD">
      <w:pPr>
        <w:spacing w:after="120"/>
        <w:rPr>
          <w:rFonts w:cs="Times New Roman"/>
          <w:noProof/>
        </w:rPr>
      </w:pPr>
      <w:r w:rsidRPr="353B927E">
        <w:rPr>
          <w:rFonts w:cs="Times New Roman"/>
          <w:noProof/>
          <w:lang w:eastAsia="de-DE"/>
        </w:rPr>
        <w:t>F-gas emissions amount today to 2.5 % of EU’s total GHG emissions</w:t>
      </w:r>
      <w:r w:rsidR="00C1561A">
        <w:rPr>
          <w:rFonts w:cs="Times New Roman"/>
          <w:noProof/>
          <w:lang w:eastAsia="de-DE"/>
        </w:rPr>
        <w:t>,</w:t>
      </w:r>
      <w:r>
        <w:rPr>
          <w:rFonts w:cs="Times New Roman"/>
          <w:noProof/>
          <w:lang w:eastAsia="de-DE"/>
        </w:rPr>
        <w:t xml:space="preserve"> but </w:t>
      </w:r>
      <w:r w:rsidRPr="353B927E">
        <w:rPr>
          <w:rFonts w:cs="Times New Roman"/>
          <w:noProof/>
          <w:lang w:eastAsia="de-DE"/>
        </w:rPr>
        <w:t>have doubled from 1990 to 2014</w:t>
      </w:r>
      <w:r w:rsidR="00C1561A">
        <w:rPr>
          <w:rFonts w:cs="Times New Roman"/>
          <w:noProof/>
          <w:lang w:eastAsia="de-DE"/>
        </w:rPr>
        <w:t>,</w:t>
      </w:r>
      <w:r w:rsidRPr="353B927E">
        <w:rPr>
          <w:rFonts w:cs="Times New Roman"/>
          <w:noProof/>
          <w:lang w:eastAsia="de-DE"/>
        </w:rPr>
        <w:t xml:space="preserve"> in </w:t>
      </w:r>
      <w:r w:rsidR="00C1561A">
        <w:rPr>
          <w:rFonts w:cs="Times New Roman"/>
          <w:noProof/>
          <w:lang w:eastAsia="de-DE"/>
        </w:rPr>
        <w:t>contrast to other GHG emissions</w:t>
      </w:r>
      <w:r w:rsidRPr="353B927E">
        <w:rPr>
          <w:rFonts w:cs="Times New Roman"/>
          <w:noProof/>
          <w:lang w:eastAsia="de-DE"/>
        </w:rPr>
        <w:t xml:space="preserve"> which have fallen. This is because F-gases </w:t>
      </w:r>
      <w:r w:rsidR="005B118E">
        <w:rPr>
          <w:rFonts w:cs="Times New Roman"/>
          <w:noProof/>
          <w:lang w:eastAsia="de-DE"/>
        </w:rPr>
        <w:t>typically</w:t>
      </w:r>
      <w:r w:rsidRPr="353B927E">
        <w:rPr>
          <w:rFonts w:cs="Times New Roman"/>
          <w:noProof/>
          <w:lang w:eastAsia="de-DE"/>
        </w:rPr>
        <w:t xml:space="preserve"> replac</w:t>
      </w:r>
      <w:r w:rsidR="004C4D39">
        <w:rPr>
          <w:rFonts w:cs="Times New Roman"/>
          <w:noProof/>
          <w:lang w:eastAsia="de-DE"/>
        </w:rPr>
        <w:t>ed</w:t>
      </w:r>
      <w:r w:rsidRPr="353B927E">
        <w:rPr>
          <w:rFonts w:cs="Times New Roman"/>
          <w:noProof/>
          <w:lang w:eastAsia="de-DE"/>
        </w:rPr>
        <w:t xml:space="preserve"> ozone-depleting substances (ODS)</w:t>
      </w:r>
      <w:r w:rsidR="004C4D39">
        <w:rPr>
          <w:rStyle w:val="FootnoteReference"/>
          <w:rFonts w:cs="Times New Roman"/>
          <w:noProof/>
          <w:lang w:eastAsia="de-DE"/>
        </w:rPr>
        <w:footnoteReference w:id="2"/>
      </w:r>
      <w:r w:rsidRPr="353B927E">
        <w:rPr>
          <w:rFonts w:cs="Times New Roman"/>
          <w:noProof/>
          <w:lang w:eastAsia="de-DE"/>
        </w:rPr>
        <w:t xml:space="preserve"> </w:t>
      </w:r>
      <w:r w:rsidR="00366A89">
        <w:rPr>
          <w:rFonts w:cs="Times New Roman"/>
          <w:noProof/>
          <w:lang w:eastAsia="de-DE"/>
        </w:rPr>
        <w:t>in areas where the EU prohibited ODS</w:t>
      </w:r>
      <w:r w:rsidR="004C4D39">
        <w:rPr>
          <w:rStyle w:val="FootnoteReference"/>
          <w:rFonts w:cs="Times New Roman"/>
          <w:noProof/>
          <w:lang w:eastAsia="de-DE"/>
        </w:rPr>
        <w:footnoteReference w:id="3"/>
      </w:r>
      <w:r>
        <w:rPr>
          <w:rFonts w:cs="Times New Roman"/>
          <w:noProof/>
          <w:lang w:eastAsia="de-DE"/>
        </w:rPr>
        <w:t xml:space="preserve"> to protect the Ozone layer, as </w:t>
      </w:r>
      <w:r w:rsidR="005378DA">
        <w:rPr>
          <w:rFonts w:cs="Times New Roman"/>
          <w:noProof/>
          <w:lang w:eastAsia="de-DE"/>
        </w:rPr>
        <w:t xml:space="preserve">required </w:t>
      </w:r>
      <w:r>
        <w:rPr>
          <w:rFonts w:cs="Times New Roman"/>
          <w:noProof/>
          <w:lang w:eastAsia="de-DE"/>
        </w:rPr>
        <w:t xml:space="preserve">under the </w:t>
      </w:r>
      <w:r w:rsidRPr="353B927E">
        <w:rPr>
          <w:rFonts w:cs="Times New Roman"/>
          <w:b/>
          <w:i/>
          <w:noProof/>
        </w:rPr>
        <w:t>Montreal Protocol</w:t>
      </w:r>
      <w:r w:rsidR="005378DA" w:rsidRPr="353B927E">
        <w:rPr>
          <w:rFonts w:cs="Times New Roman"/>
          <w:b/>
          <w:bCs/>
          <w:i/>
          <w:iCs/>
          <w:noProof/>
        </w:rPr>
        <w:t xml:space="preserve"> on substances that deplete the ozone layer</w:t>
      </w:r>
      <w:r w:rsidR="005378DA">
        <w:rPr>
          <w:rFonts w:cs="Times New Roman"/>
          <w:noProof/>
          <w:lang w:eastAsia="de-DE"/>
        </w:rPr>
        <w:t xml:space="preserve"> (hereafter the </w:t>
      </w:r>
      <w:r>
        <w:rPr>
          <w:rFonts w:cs="Times New Roman"/>
          <w:noProof/>
          <w:lang w:eastAsia="de-DE"/>
        </w:rPr>
        <w:t>Protocol</w:t>
      </w:r>
      <w:r w:rsidR="005378DA">
        <w:rPr>
          <w:rFonts w:cs="Times New Roman"/>
          <w:noProof/>
          <w:lang w:eastAsia="de-DE"/>
        </w:rPr>
        <w:t>)</w:t>
      </w:r>
      <w:r w:rsidRPr="353B927E">
        <w:rPr>
          <w:rFonts w:cs="Times New Roman"/>
          <w:noProof/>
          <w:lang w:eastAsia="de-DE"/>
        </w:rPr>
        <w:t>.</w:t>
      </w:r>
      <w:r w:rsidR="008C21D9">
        <w:rPr>
          <w:rFonts w:cs="Times New Roman"/>
          <w:noProof/>
          <w:lang w:eastAsia="de-DE"/>
        </w:rPr>
        <w:t xml:space="preserve"> S</w:t>
      </w:r>
      <w:r w:rsidR="00366A89">
        <w:rPr>
          <w:rFonts w:cs="Times New Roman"/>
          <w:noProof/>
          <w:lang w:eastAsia="de-DE"/>
        </w:rPr>
        <w:t xml:space="preserve">ince 2006 the EU has had policies in place to reverse this </w:t>
      </w:r>
      <w:r>
        <w:rPr>
          <w:rFonts w:cs="Times New Roman"/>
          <w:noProof/>
          <w:lang w:eastAsia="de-DE"/>
        </w:rPr>
        <w:t>incr</w:t>
      </w:r>
      <w:r w:rsidR="00366A89">
        <w:rPr>
          <w:rFonts w:cs="Times New Roman"/>
          <w:noProof/>
          <w:lang w:eastAsia="de-DE"/>
        </w:rPr>
        <w:t>easing trend of F-gas emissions and t</w:t>
      </w:r>
      <w:r w:rsidR="00D81401">
        <w:rPr>
          <w:rFonts w:cs="Times New Roman"/>
          <w:noProof/>
          <w:lang w:eastAsia="de-DE"/>
        </w:rPr>
        <w:t xml:space="preserve">he </w:t>
      </w:r>
      <w:r w:rsidR="005B118E" w:rsidRPr="353B927E">
        <w:rPr>
          <w:rFonts w:cs="Times New Roman"/>
          <w:b/>
          <w:bCs/>
          <w:i/>
          <w:iCs/>
          <w:noProof/>
        </w:rPr>
        <w:t>EU Regulation on fluorinated greenhouse gases</w:t>
      </w:r>
      <w:r w:rsidR="005B118E" w:rsidRPr="3B6623F1">
        <w:rPr>
          <w:rStyle w:val="FootnoteReference"/>
          <w:rFonts w:cs="Times New Roman"/>
          <w:b/>
          <w:bCs/>
          <w:noProof/>
        </w:rPr>
        <w:footnoteReference w:id="4"/>
      </w:r>
      <w:r w:rsidR="005B118E" w:rsidRPr="353B927E">
        <w:rPr>
          <w:rFonts w:cs="Times New Roman"/>
          <w:b/>
          <w:bCs/>
          <w:noProof/>
        </w:rPr>
        <w:t xml:space="preserve"> </w:t>
      </w:r>
      <w:r w:rsidR="005B118E" w:rsidRPr="353B927E">
        <w:rPr>
          <w:rFonts w:cs="Times New Roman"/>
          <w:noProof/>
        </w:rPr>
        <w:t>(hereaft</w:t>
      </w:r>
      <w:r w:rsidR="004714C7">
        <w:rPr>
          <w:rFonts w:cs="Times New Roman"/>
          <w:noProof/>
        </w:rPr>
        <w:t>er: the Regulation</w:t>
      </w:r>
      <w:r w:rsidR="005B118E" w:rsidRPr="3982CBDC">
        <w:rPr>
          <w:rStyle w:val="FootnoteReference"/>
          <w:rFonts w:cs="Times New Roman"/>
          <w:noProof/>
          <w:lang w:eastAsia="de-DE"/>
        </w:rPr>
        <w:footnoteReference w:id="5"/>
      </w:r>
      <w:r w:rsidR="004714C7">
        <w:rPr>
          <w:rFonts w:cs="Times New Roman"/>
          <w:noProof/>
        </w:rPr>
        <w:t>)</w:t>
      </w:r>
      <w:r w:rsidR="00C1561A">
        <w:rPr>
          <w:rFonts w:cs="Times New Roman"/>
          <w:noProof/>
          <w:lang w:eastAsia="de-DE"/>
        </w:rPr>
        <w:t xml:space="preserve"> </w:t>
      </w:r>
      <w:r w:rsidR="00D81401">
        <w:rPr>
          <w:rFonts w:cs="Times New Roman"/>
          <w:noProof/>
        </w:rPr>
        <w:t xml:space="preserve">is one of the key instruments at EU level to </w:t>
      </w:r>
      <w:r w:rsidR="00BD3AB9">
        <w:rPr>
          <w:rFonts w:cs="Times New Roman"/>
          <w:noProof/>
        </w:rPr>
        <w:t>do so and contribute</w:t>
      </w:r>
      <w:r w:rsidR="001F69F0">
        <w:rPr>
          <w:rFonts w:cs="Times New Roman"/>
          <w:noProof/>
        </w:rPr>
        <w:t>s</w:t>
      </w:r>
      <w:r w:rsidR="00BD3AB9">
        <w:rPr>
          <w:rFonts w:cs="Times New Roman"/>
          <w:noProof/>
        </w:rPr>
        <w:t xml:space="preserve"> to </w:t>
      </w:r>
      <w:r w:rsidR="00D81401">
        <w:rPr>
          <w:rFonts w:cs="Times New Roman"/>
          <w:noProof/>
        </w:rPr>
        <w:t>reach</w:t>
      </w:r>
      <w:r w:rsidR="007B47B4">
        <w:rPr>
          <w:rFonts w:cs="Times New Roman"/>
          <w:noProof/>
        </w:rPr>
        <w:t>ing</w:t>
      </w:r>
      <w:r w:rsidR="00D81401">
        <w:rPr>
          <w:rFonts w:cs="Times New Roman"/>
          <w:noProof/>
        </w:rPr>
        <w:t xml:space="preserve"> the EU climate targets. </w:t>
      </w:r>
    </w:p>
    <w:p w14:paraId="6ED74913" w14:textId="2ECADBB7" w:rsidR="00586DD9" w:rsidRDefault="00D81401" w:rsidP="00075EFD">
      <w:pPr>
        <w:spacing w:after="120"/>
        <w:rPr>
          <w:rFonts w:cs="Times New Roman"/>
          <w:noProof/>
        </w:rPr>
      </w:pPr>
      <w:r>
        <w:rPr>
          <w:rFonts w:cs="Times New Roman"/>
          <w:noProof/>
        </w:rPr>
        <w:t xml:space="preserve">Recently, the EU </w:t>
      </w:r>
      <w:r w:rsidR="005B118E">
        <w:rPr>
          <w:rFonts w:cs="Times New Roman"/>
          <w:noProof/>
        </w:rPr>
        <w:t xml:space="preserve">increased </w:t>
      </w:r>
      <w:r>
        <w:rPr>
          <w:rFonts w:cs="Times New Roman"/>
          <w:noProof/>
        </w:rPr>
        <w:t xml:space="preserve">its </w:t>
      </w:r>
      <w:r w:rsidR="007B47B4">
        <w:rPr>
          <w:rFonts w:cs="Times New Roman"/>
          <w:noProof/>
        </w:rPr>
        <w:t>c</w:t>
      </w:r>
      <w:r w:rsidR="005B118E">
        <w:rPr>
          <w:rFonts w:cs="Times New Roman"/>
          <w:noProof/>
        </w:rPr>
        <w:t>limate ambition</w:t>
      </w:r>
      <w:r>
        <w:rPr>
          <w:rFonts w:cs="Times New Roman"/>
          <w:noProof/>
        </w:rPr>
        <w:t xml:space="preserve"> through the </w:t>
      </w:r>
      <w:r w:rsidR="00756F07" w:rsidRPr="3B6623F1">
        <w:rPr>
          <w:rFonts w:cs="Times New Roman"/>
          <w:b/>
          <w:bCs/>
          <w:i/>
          <w:iCs/>
          <w:noProof/>
        </w:rPr>
        <w:t>European Climate Law</w:t>
      </w:r>
      <w:r w:rsidR="00392738" w:rsidRPr="3B6623F1">
        <w:rPr>
          <w:rStyle w:val="FootnoteReference"/>
          <w:rFonts w:cs="Times New Roman"/>
          <w:b/>
          <w:bCs/>
          <w:i/>
          <w:iCs/>
          <w:noProof/>
        </w:rPr>
        <w:footnoteReference w:id="6"/>
      </w:r>
      <w:r w:rsidRPr="004714C7">
        <w:rPr>
          <w:rFonts w:cs="Times New Roman"/>
          <w:bCs/>
          <w:i/>
          <w:iCs/>
          <w:noProof/>
        </w:rPr>
        <w:t xml:space="preserve">, </w:t>
      </w:r>
      <w:r w:rsidRPr="004714C7">
        <w:rPr>
          <w:rFonts w:cs="Times New Roman"/>
          <w:bCs/>
          <w:iCs/>
          <w:noProof/>
        </w:rPr>
        <w:t>adopted in 2021</w:t>
      </w:r>
      <w:r w:rsidR="00382F87" w:rsidRPr="004714C7">
        <w:rPr>
          <w:rFonts w:cs="Times New Roman"/>
          <w:bCs/>
          <w:i/>
          <w:iCs/>
          <w:noProof/>
        </w:rPr>
        <w:t>.</w:t>
      </w:r>
      <w:r w:rsidR="00EB28E0">
        <w:rPr>
          <w:rFonts w:cs="Times New Roman"/>
          <w:b/>
          <w:bCs/>
          <w:i/>
          <w:iCs/>
          <w:noProof/>
        </w:rPr>
        <w:t xml:space="preserve"> </w:t>
      </w:r>
      <w:r>
        <w:rPr>
          <w:rFonts w:cs="Times New Roman"/>
          <w:noProof/>
        </w:rPr>
        <w:t>Th</w:t>
      </w:r>
      <w:r w:rsidR="007B47B4">
        <w:rPr>
          <w:rFonts w:cs="Times New Roman"/>
          <w:noProof/>
        </w:rPr>
        <w:t>is</w:t>
      </w:r>
      <w:r w:rsidR="00382F87">
        <w:rPr>
          <w:rFonts w:cs="Times New Roman"/>
          <w:noProof/>
        </w:rPr>
        <w:t xml:space="preserve"> law </w:t>
      </w:r>
      <w:r w:rsidR="00EC2C79" w:rsidRPr="00EC2C79">
        <w:rPr>
          <w:rFonts w:cs="Times New Roman"/>
          <w:noProof/>
        </w:rPr>
        <w:t xml:space="preserve">establishes a binding </w:t>
      </w:r>
      <w:r w:rsidR="007B47B4">
        <w:rPr>
          <w:rFonts w:cs="Times New Roman"/>
          <w:noProof/>
        </w:rPr>
        <w:t xml:space="preserve">overall </w:t>
      </w:r>
      <w:r w:rsidR="003B4671">
        <w:rPr>
          <w:rFonts w:cs="Times New Roman"/>
          <w:noProof/>
        </w:rPr>
        <w:t xml:space="preserve">net </w:t>
      </w:r>
      <w:r w:rsidR="00EB28E0">
        <w:rPr>
          <w:rFonts w:cs="Times New Roman"/>
          <w:noProof/>
        </w:rPr>
        <w:t xml:space="preserve">GHG reduction target of </w:t>
      </w:r>
      <w:r w:rsidR="00513BA2" w:rsidRPr="3982CBDC">
        <w:rPr>
          <w:rFonts w:cs="Times New Roman"/>
          <w:noProof/>
        </w:rPr>
        <w:t xml:space="preserve">at least 55% </w:t>
      </w:r>
      <w:r w:rsidR="00392738" w:rsidRPr="3982CBDC">
        <w:rPr>
          <w:rFonts w:cs="Times New Roman"/>
          <w:noProof/>
        </w:rPr>
        <w:t xml:space="preserve">by 2030 </w:t>
      </w:r>
      <w:r w:rsidR="00B00E07" w:rsidRPr="3982CBDC">
        <w:rPr>
          <w:rFonts w:cs="Times New Roman"/>
          <w:noProof/>
        </w:rPr>
        <w:t xml:space="preserve">compared to 1990 </w:t>
      </w:r>
      <w:r w:rsidR="00392738" w:rsidRPr="3982CBDC">
        <w:rPr>
          <w:rFonts w:cs="Times New Roman"/>
          <w:noProof/>
        </w:rPr>
        <w:t xml:space="preserve">and </w:t>
      </w:r>
      <w:r w:rsidR="00756F07" w:rsidRPr="3982CBDC">
        <w:rPr>
          <w:rFonts w:cs="Times New Roman"/>
          <w:noProof/>
        </w:rPr>
        <w:t>climate neutrality by 2050.</w:t>
      </w:r>
      <w:r w:rsidR="00392738" w:rsidRPr="3982CBDC">
        <w:rPr>
          <w:rFonts w:cs="Times New Roman"/>
          <w:noProof/>
        </w:rPr>
        <w:t xml:space="preserve"> </w:t>
      </w:r>
      <w:r w:rsidR="2891618F" w:rsidRPr="007B47B4">
        <w:rPr>
          <w:rFonts w:eastAsia="Times New Roman" w:cs="Times New Roman"/>
          <w:noProof/>
          <w:color w:val="000000" w:themeColor="text1"/>
          <w:szCs w:val="24"/>
        </w:rPr>
        <w:t>Th</w:t>
      </w:r>
      <w:r w:rsidR="008C21D9">
        <w:rPr>
          <w:rFonts w:eastAsia="Times New Roman" w:cs="Times New Roman"/>
          <w:noProof/>
          <w:color w:val="000000" w:themeColor="text1"/>
          <w:szCs w:val="24"/>
        </w:rPr>
        <w:t>e l</w:t>
      </w:r>
      <w:r w:rsidR="00366A89">
        <w:rPr>
          <w:rFonts w:eastAsia="Times New Roman" w:cs="Times New Roman"/>
          <w:noProof/>
          <w:color w:val="000000" w:themeColor="text1"/>
          <w:szCs w:val="24"/>
        </w:rPr>
        <w:t xml:space="preserve">aw is </w:t>
      </w:r>
      <w:r w:rsidRPr="007B47B4">
        <w:rPr>
          <w:rFonts w:eastAsia="Times New Roman" w:cs="Times New Roman"/>
          <w:noProof/>
          <w:color w:val="000000" w:themeColor="text1"/>
          <w:szCs w:val="24"/>
        </w:rPr>
        <w:t>based on th</w:t>
      </w:r>
      <w:r w:rsidR="2891618F" w:rsidRPr="007B47B4">
        <w:rPr>
          <w:rFonts w:eastAsia="Times New Roman" w:cs="Times New Roman"/>
          <w:noProof/>
          <w:color w:val="000000" w:themeColor="text1"/>
          <w:szCs w:val="24"/>
        </w:rPr>
        <w:t xml:space="preserve">e </w:t>
      </w:r>
      <w:r w:rsidR="00B87A57" w:rsidRPr="007B47B4">
        <w:rPr>
          <w:rFonts w:eastAsia="Times New Roman" w:cs="Times New Roman"/>
          <w:noProof/>
          <w:color w:val="000000" w:themeColor="text1"/>
          <w:szCs w:val="24"/>
        </w:rPr>
        <w:t xml:space="preserve">2030 </w:t>
      </w:r>
      <w:r w:rsidR="2891618F" w:rsidRPr="007B47B4">
        <w:rPr>
          <w:rFonts w:eastAsia="Times New Roman" w:cs="Times New Roman"/>
          <w:noProof/>
          <w:color w:val="000000" w:themeColor="text1"/>
          <w:szCs w:val="24"/>
        </w:rPr>
        <w:t>Climate Target Plan</w:t>
      </w:r>
      <w:r w:rsidR="00B87A57" w:rsidRPr="007B47B4">
        <w:rPr>
          <w:rStyle w:val="FootnoteReference"/>
          <w:rFonts w:eastAsia="Times New Roman" w:cs="Times New Roman"/>
          <w:noProof/>
          <w:color w:val="000000" w:themeColor="text1"/>
          <w:szCs w:val="24"/>
        </w:rPr>
        <w:footnoteReference w:id="7"/>
      </w:r>
      <w:r w:rsidR="2891618F" w:rsidRPr="007B47B4">
        <w:rPr>
          <w:rFonts w:eastAsia="Times New Roman" w:cs="Times New Roman"/>
          <w:noProof/>
          <w:color w:val="000000" w:themeColor="text1"/>
          <w:szCs w:val="24"/>
        </w:rPr>
        <w:t xml:space="preserve"> </w:t>
      </w:r>
      <w:r w:rsidR="00366A89">
        <w:rPr>
          <w:rFonts w:eastAsia="Times New Roman" w:cs="Times New Roman"/>
          <w:noProof/>
          <w:color w:val="000000" w:themeColor="text1"/>
          <w:szCs w:val="24"/>
        </w:rPr>
        <w:t>which underlines</w:t>
      </w:r>
      <w:r w:rsidR="005B118E" w:rsidRPr="007B47B4">
        <w:rPr>
          <w:rFonts w:eastAsia="Times New Roman" w:cs="Times New Roman"/>
          <w:noProof/>
          <w:color w:val="000000" w:themeColor="text1"/>
          <w:szCs w:val="24"/>
        </w:rPr>
        <w:t xml:space="preserve"> that achieving this ambition will </w:t>
      </w:r>
      <w:r w:rsidR="007B47B4">
        <w:rPr>
          <w:rFonts w:eastAsia="Times New Roman" w:cs="Times New Roman"/>
          <w:noProof/>
          <w:color w:val="000000" w:themeColor="text1"/>
          <w:szCs w:val="24"/>
        </w:rPr>
        <w:t>require action</w:t>
      </w:r>
      <w:r w:rsidR="2891618F" w:rsidRPr="007B47B4">
        <w:rPr>
          <w:rFonts w:eastAsia="Times New Roman" w:cs="Times New Roman"/>
          <w:noProof/>
          <w:color w:val="000000" w:themeColor="text1"/>
          <w:szCs w:val="24"/>
        </w:rPr>
        <w:t xml:space="preserve"> in all se</w:t>
      </w:r>
      <w:r w:rsidR="00B56996">
        <w:rPr>
          <w:rFonts w:eastAsia="Times New Roman" w:cs="Times New Roman"/>
          <w:noProof/>
          <w:color w:val="000000" w:themeColor="text1"/>
          <w:szCs w:val="24"/>
        </w:rPr>
        <w:t>ctors and that</w:t>
      </w:r>
      <w:r w:rsidR="0DD47184" w:rsidRPr="007B47B4">
        <w:rPr>
          <w:rFonts w:eastAsia="Times New Roman" w:cs="Times New Roman"/>
          <w:noProof/>
          <w:color w:val="000000" w:themeColor="text1"/>
          <w:szCs w:val="24"/>
        </w:rPr>
        <w:t xml:space="preserve"> </w:t>
      </w:r>
      <w:r w:rsidR="00B56996" w:rsidRPr="00366A89">
        <w:rPr>
          <w:rFonts w:eastAsia="Times New Roman" w:cs="Times New Roman"/>
          <w:b/>
          <w:noProof/>
          <w:color w:val="000000" w:themeColor="text1"/>
          <w:szCs w:val="24"/>
        </w:rPr>
        <w:t>a</w:t>
      </w:r>
      <w:r w:rsidR="00360460" w:rsidRPr="00366A89">
        <w:rPr>
          <w:rFonts w:eastAsia="Times New Roman" w:cs="Times New Roman"/>
          <w:b/>
          <w:noProof/>
          <w:color w:val="000000" w:themeColor="text1"/>
          <w:szCs w:val="24"/>
        </w:rPr>
        <w:t>ll</w:t>
      </w:r>
      <w:r w:rsidR="00360460" w:rsidRPr="00366A89">
        <w:rPr>
          <w:rFonts w:eastAsia="Times New Roman" w:cs="Times New Roman"/>
          <w:b/>
          <w:noProof/>
          <w:color w:val="000000" w:themeColor="text1"/>
        </w:rPr>
        <w:t xml:space="preserve"> policy instruments relevant for the decarbonisation of our economy must work in coherence</w:t>
      </w:r>
      <w:r w:rsidR="00B56996">
        <w:rPr>
          <w:rFonts w:eastAsia="Times New Roman" w:cs="Times New Roman"/>
          <w:noProof/>
          <w:color w:val="000000" w:themeColor="text1"/>
        </w:rPr>
        <w:t>, while setting</w:t>
      </w:r>
      <w:r w:rsidR="005B183E">
        <w:rPr>
          <w:rFonts w:eastAsia="Times New Roman" w:cs="Times New Roman"/>
          <w:noProof/>
          <w:color w:val="000000" w:themeColor="text1"/>
        </w:rPr>
        <w:t xml:space="preserve"> the agenda to reinforce them.</w:t>
      </w:r>
      <w:r w:rsidR="00EB28E0">
        <w:rPr>
          <w:rFonts w:eastAsia="Times New Roman" w:cs="Times New Roman"/>
          <w:noProof/>
          <w:color w:val="000000" w:themeColor="text1"/>
        </w:rPr>
        <w:t xml:space="preserve"> </w:t>
      </w:r>
      <w:r w:rsidR="00366A89">
        <w:rPr>
          <w:rFonts w:eastAsia="Times New Roman" w:cs="Times New Roman"/>
          <w:noProof/>
          <w:color w:val="000000" w:themeColor="text1"/>
        </w:rPr>
        <w:t>In this context, t</w:t>
      </w:r>
      <w:r w:rsidR="309BA644" w:rsidRPr="353B927E">
        <w:rPr>
          <w:rFonts w:eastAsia="Times New Roman" w:cs="Times New Roman"/>
          <w:noProof/>
          <w:color w:val="000000" w:themeColor="text1"/>
        </w:rPr>
        <w:t xml:space="preserve">he </w:t>
      </w:r>
      <w:r w:rsidR="005B183E">
        <w:rPr>
          <w:rFonts w:eastAsia="Times New Roman" w:cs="Times New Roman"/>
          <w:noProof/>
          <w:color w:val="000000" w:themeColor="text1"/>
        </w:rPr>
        <w:t xml:space="preserve">proposed </w:t>
      </w:r>
      <w:r w:rsidR="0058131F">
        <w:rPr>
          <w:rFonts w:eastAsia="Times New Roman" w:cs="Times New Roman"/>
          <w:noProof/>
          <w:color w:val="000000" w:themeColor="text1"/>
        </w:rPr>
        <w:t xml:space="preserve">revision of the </w:t>
      </w:r>
      <w:r w:rsidR="309BA644" w:rsidRPr="3B6623F1">
        <w:rPr>
          <w:rFonts w:cs="Times New Roman"/>
          <w:b/>
          <w:bCs/>
          <w:i/>
          <w:iCs/>
          <w:noProof/>
        </w:rPr>
        <w:t>Effort Sharing Regulation</w:t>
      </w:r>
      <w:r w:rsidR="0058131F">
        <w:rPr>
          <w:rFonts w:cs="Times New Roman"/>
          <w:b/>
          <w:bCs/>
          <w:i/>
          <w:iCs/>
          <w:noProof/>
        </w:rPr>
        <w:t xml:space="preserve"> </w:t>
      </w:r>
      <w:r w:rsidR="00517D02">
        <w:rPr>
          <w:rFonts w:cs="Times New Roman"/>
          <w:b/>
          <w:bCs/>
          <w:i/>
          <w:iCs/>
          <w:noProof/>
        </w:rPr>
        <w:t>(ESR)</w:t>
      </w:r>
      <w:r w:rsidR="00EB28E0">
        <w:rPr>
          <w:rStyle w:val="FootnoteReference"/>
          <w:rFonts w:cs="Times New Roman"/>
          <w:b/>
          <w:bCs/>
          <w:i/>
          <w:iCs/>
          <w:noProof/>
        </w:rPr>
        <w:footnoteReference w:id="8"/>
      </w:r>
      <w:r w:rsidR="00517D02">
        <w:rPr>
          <w:rFonts w:cs="Times New Roman"/>
          <w:b/>
          <w:bCs/>
          <w:i/>
          <w:iCs/>
          <w:noProof/>
        </w:rPr>
        <w:t xml:space="preserve"> </w:t>
      </w:r>
      <w:r w:rsidR="005B183E" w:rsidRPr="001538CD">
        <w:rPr>
          <w:rFonts w:cs="Times New Roman"/>
          <w:noProof/>
        </w:rPr>
        <w:t>increase</w:t>
      </w:r>
      <w:r w:rsidR="005B183E">
        <w:rPr>
          <w:rFonts w:cs="Times New Roman"/>
          <w:bCs/>
          <w:iCs/>
          <w:noProof/>
        </w:rPr>
        <w:t>s the</w:t>
      </w:r>
      <w:r w:rsidR="00366A89">
        <w:rPr>
          <w:rFonts w:cs="Times New Roman"/>
          <w:noProof/>
        </w:rPr>
        <w:t xml:space="preserve"> ambition </w:t>
      </w:r>
      <w:r w:rsidR="005B183E" w:rsidRPr="001538CD">
        <w:rPr>
          <w:rFonts w:cs="Times New Roman"/>
          <w:noProof/>
        </w:rPr>
        <w:t>of the</w:t>
      </w:r>
      <w:r w:rsidR="005B183E" w:rsidRPr="0058131F">
        <w:rPr>
          <w:rFonts w:cs="Times New Roman"/>
          <w:noProof/>
        </w:rPr>
        <w:t xml:space="preserve"> </w:t>
      </w:r>
      <w:r w:rsidR="0058131F" w:rsidRPr="0058131F">
        <w:rPr>
          <w:rFonts w:cs="Times New Roman"/>
          <w:noProof/>
        </w:rPr>
        <w:t xml:space="preserve">binding annual greenhouse gas emission targets for Member States from 2021 to 2030 for sectors not covered by the existing EU Emissions Trading System (ETS). </w:t>
      </w:r>
      <w:r w:rsidR="005B118E">
        <w:rPr>
          <w:rFonts w:cs="Times New Roman"/>
          <w:noProof/>
        </w:rPr>
        <w:t>F-gas emissions</w:t>
      </w:r>
      <w:r w:rsidR="00517D02">
        <w:rPr>
          <w:rStyle w:val="FootnoteReference"/>
          <w:rFonts w:cs="Times New Roman"/>
          <w:noProof/>
        </w:rPr>
        <w:footnoteReference w:id="9"/>
      </w:r>
      <w:r w:rsidR="00586DD9">
        <w:rPr>
          <w:rFonts w:cs="Times New Roman"/>
          <w:noProof/>
        </w:rPr>
        <w:t xml:space="preserve"> </w:t>
      </w:r>
      <w:r w:rsidR="00366A89">
        <w:rPr>
          <w:rFonts w:cs="Times New Roman"/>
          <w:noProof/>
        </w:rPr>
        <w:t xml:space="preserve">are included in the ESR and </w:t>
      </w:r>
      <w:r w:rsidR="00B049E3">
        <w:rPr>
          <w:rFonts w:cs="Times New Roman"/>
          <w:noProof/>
        </w:rPr>
        <w:t>represent</w:t>
      </w:r>
      <w:r w:rsidR="00427319">
        <w:rPr>
          <w:rFonts w:cs="Times New Roman"/>
          <w:noProof/>
        </w:rPr>
        <w:t>s</w:t>
      </w:r>
      <w:r w:rsidR="00B049E3">
        <w:rPr>
          <w:rFonts w:cs="Times New Roman"/>
          <w:noProof/>
        </w:rPr>
        <w:t xml:space="preserve"> a</w:t>
      </w:r>
      <w:r w:rsidR="00427319">
        <w:rPr>
          <w:rFonts w:cs="Times New Roman"/>
          <w:noProof/>
        </w:rPr>
        <w:t xml:space="preserve">lmost </w:t>
      </w:r>
      <w:r w:rsidR="00B049E3">
        <w:rPr>
          <w:rFonts w:cs="Times New Roman"/>
          <w:noProof/>
        </w:rPr>
        <w:t xml:space="preserve">5% of </w:t>
      </w:r>
      <w:r w:rsidR="00586DD9">
        <w:rPr>
          <w:rFonts w:cs="Times New Roman"/>
          <w:noProof/>
        </w:rPr>
        <w:t xml:space="preserve">all GHG </w:t>
      </w:r>
      <w:r w:rsidR="00B049E3">
        <w:rPr>
          <w:rFonts w:cs="Times New Roman"/>
          <w:noProof/>
        </w:rPr>
        <w:t>emissions</w:t>
      </w:r>
      <w:r w:rsidR="00427319">
        <w:rPr>
          <w:rFonts w:cs="Times New Roman"/>
          <w:noProof/>
        </w:rPr>
        <w:t xml:space="preserve"> covered</w:t>
      </w:r>
      <w:r w:rsidR="005B118E">
        <w:rPr>
          <w:rFonts w:cs="Times New Roman"/>
          <w:noProof/>
        </w:rPr>
        <w:t xml:space="preserve">. </w:t>
      </w:r>
      <w:r w:rsidR="00427319">
        <w:rPr>
          <w:rFonts w:cs="Times New Roman"/>
          <w:noProof/>
        </w:rPr>
        <w:t>Member States’</w:t>
      </w:r>
      <w:r w:rsidR="00586DD9">
        <w:rPr>
          <w:rFonts w:cs="Times New Roman"/>
          <w:noProof/>
        </w:rPr>
        <w:t xml:space="preserve"> individual</w:t>
      </w:r>
      <w:r w:rsidR="00427319">
        <w:rPr>
          <w:rFonts w:cs="Times New Roman"/>
          <w:noProof/>
        </w:rPr>
        <w:t xml:space="preserve"> </w:t>
      </w:r>
      <w:r w:rsidR="004C4D39">
        <w:rPr>
          <w:rFonts w:cs="Times New Roman"/>
          <w:noProof/>
        </w:rPr>
        <w:t>targets relate to</w:t>
      </w:r>
      <w:r w:rsidR="00C766CF">
        <w:rPr>
          <w:rFonts w:cs="Times New Roman"/>
          <w:noProof/>
        </w:rPr>
        <w:t xml:space="preserve"> this</w:t>
      </w:r>
      <w:r w:rsidR="00603C84">
        <w:rPr>
          <w:rFonts w:cs="Times New Roman"/>
          <w:noProof/>
        </w:rPr>
        <w:t xml:space="preserve"> overall basket of GHGs</w:t>
      </w:r>
      <w:r w:rsidR="00427319">
        <w:rPr>
          <w:rFonts w:cs="Times New Roman"/>
          <w:noProof/>
        </w:rPr>
        <w:t xml:space="preserve"> and </w:t>
      </w:r>
      <w:r w:rsidR="00586DD9">
        <w:rPr>
          <w:rFonts w:cs="Times New Roman"/>
          <w:noProof/>
        </w:rPr>
        <w:t>there are no</w:t>
      </w:r>
      <w:r w:rsidR="00427319">
        <w:rPr>
          <w:rFonts w:cs="Times New Roman"/>
          <w:noProof/>
        </w:rPr>
        <w:t xml:space="preserve"> sub-targets for the sectors covered. Consequently, the</w:t>
      </w:r>
      <w:r>
        <w:rPr>
          <w:rFonts w:cs="Times New Roman"/>
          <w:noProof/>
        </w:rPr>
        <w:t xml:space="preserve"> EU </w:t>
      </w:r>
      <w:r w:rsidR="00586DD9">
        <w:rPr>
          <w:rFonts w:cs="Times New Roman"/>
          <w:noProof/>
        </w:rPr>
        <w:t xml:space="preserve">or the Member States do not </w:t>
      </w:r>
      <w:r>
        <w:rPr>
          <w:rFonts w:cs="Times New Roman"/>
          <w:noProof/>
        </w:rPr>
        <w:t>hav</w:t>
      </w:r>
      <w:r w:rsidR="00586DD9">
        <w:rPr>
          <w:rFonts w:cs="Times New Roman"/>
          <w:noProof/>
        </w:rPr>
        <w:t>e a</w:t>
      </w:r>
      <w:r w:rsidR="00C766CF">
        <w:rPr>
          <w:rFonts w:cs="Times New Roman"/>
          <w:noProof/>
        </w:rPr>
        <w:t>ny</w:t>
      </w:r>
      <w:r>
        <w:rPr>
          <w:rFonts w:cs="Times New Roman"/>
          <w:noProof/>
        </w:rPr>
        <w:t xml:space="preserve"> </w:t>
      </w:r>
      <w:r w:rsidR="00427319">
        <w:rPr>
          <w:rFonts w:cs="Times New Roman"/>
          <w:noProof/>
        </w:rPr>
        <w:t xml:space="preserve">binding </w:t>
      </w:r>
      <w:r w:rsidR="002E392A">
        <w:rPr>
          <w:rFonts w:cs="Times New Roman"/>
          <w:noProof/>
        </w:rPr>
        <w:t xml:space="preserve">targets specific to </w:t>
      </w:r>
      <w:r w:rsidR="004C4D39">
        <w:rPr>
          <w:rFonts w:cs="Times New Roman"/>
          <w:noProof/>
        </w:rPr>
        <w:t>F-gas</w:t>
      </w:r>
      <w:r w:rsidR="00427319">
        <w:rPr>
          <w:rFonts w:cs="Times New Roman"/>
          <w:noProof/>
        </w:rPr>
        <w:t xml:space="preserve"> emissi</w:t>
      </w:r>
      <w:r w:rsidR="002E392A">
        <w:rPr>
          <w:rFonts w:cs="Times New Roman"/>
          <w:noProof/>
        </w:rPr>
        <w:t>ons</w:t>
      </w:r>
      <w:r>
        <w:rPr>
          <w:rFonts w:cs="Times New Roman"/>
          <w:noProof/>
        </w:rPr>
        <w:t>.</w:t>
      </w:r>
      <w:r w:rsidR="00B56996">
        <w:rPr>
          <w:rFonts w:cs="Times New Roman"/>
          <w:noProof/>
        </w:rPr>
        <w:t xml:space="preserve"> </w:t>
      </w:r>
    </w:p>
    <w:p w14:paraId="1B217061" w14:textId="14AE7493" w:rsidR="00075EFD" w:rsidRDefault="0014017A" w:rsidP="0014017A">
      <w:pPr>
        <w:spacing w:after="120"/>
        <w:rPr>
          <w:rFonts w:cs="Times New Roman"/>
          <w:noProof/>
        </w:rPr>
      </w:pPr>
      <w:r w:rsidRPr="008C21D9">
        <w:rPr>
          <w:rFonts w:cs="Times New Roman"/>
          <w:b/>
          <w:noProof/>
        </w:rPr>
        <w:t>The Regulation c</w:t>
      </w:r>
      <w:r w:rsidR="00F832D1" w:rsidRPr="008C21D9">
        <w:rPr>
          <w:rFonts w:cs="Times New Roman"/>
          <w:b/>
          <w:noProof/>
        </w:rPr>
        <w:t>ould</w:t>
      </w:r>
      <w:r w:rsidRPr="008C21D9">
        <w:rPr>
          <w:rFonts w:cs="Times New Roman"/>
          <w:b/>
          <w:noProof/>
        </w:rPr>
        <w:t xml:space="preserve"> contribute more to achieving the EU’s climate targets.</w:t>
      </w:r>
      <w:r>
        <w:rPr>
          <w:rFonts w:cs="Times New Roman"/>
          <w:noProof/>
        </w:rPr>
        <w:t xml:space="preserve"> It</w:t>
      </w:r>
      <w:r w:rsidR="00C766CF">
        <w:rPr>
          <w:rFonts w:cs="Times New Roman"/>
          <w:noProof/>
        </w:rPr>
        <w:t xml:space="preserve"> is </w:t>
      </w:r>
      <w:r w:rsidR="006B0F79">
        <w:rPr>
          <w:rFonts w:cs="Times New Roman"/>
          <w:noProof/>
        </w:rPr>
        <w:t>target</w:t>
      </w:r>
      <w:r w:rsidR="00C766CF">
        <w:rPr>
          <w:rFonts w:cs="Times New Roman"/>
          <w:noProof/>
        </w:rPr>
        <w:t>ing</w:t>
      </w:r>
      <w:r w:rsidR="006B0F79">
        <w:rPr>
          <w:rFonts w:cs="Times New Roman"/>
          <w:noProof/>
        </w:rPr>
        <w:t xml:space="preserve"> a </w:t>
      </w:r>
      <w:r w:rsidR="00586DD9">
        <w:rPr>
          <w:rFonts w:cs="Times New Roman"/>
          <w:noProof/>
        </w:rPr>
        <w:t>number</w:t>
      </w:r>
      <w:r w:rsidR="005B183E">
        <w:rPr>
          <w:rFonts w:cs="Times New Roman"/>
          <w:noProof/>
        </w:rPr>
        <w:t xml:space="preserve"> of sectors</w:t>
      </w:r>
      <w:r w:rsidR="002E392A">
        <w:rPr>
          <w:rFonts w:cs="Times New Roman"/>
          <w:noProof/>
        </w:rPr>
        <w:t xml:space="preserve"> falling within the scope of the ESR</w:t>
      </w:r>
      <w:r w:rsidR="005B183E">
        <w:rPr>
          <w:rFonts w:cs="Times New Roman"/>
          <w:noProof/>
        </w:rPr>
        <w:t xml:space="preserve">, </w:t>
      </w:r>
      <w:r w:rsidR="00360460">
        <w:rPr>
          <w:rFonts w:cs="Times New Roman"/>
          <w:noProof/>
        </w:rPr>
        <w:t xml:space="preserve">where EU action </w:t>
      </w:r>
      <w:r w:rsidR="00B049E3">
        <w:rPr>
          <w:rFonts w:cs="Times New Roman"/>
          <w:noProof/>
        </w:rPr>
        <w:t xml:space="preserve">has proven to be </w:t>
      </w:r>
      <w:r w:rsidR="005B183E">
        <w:rPr>
          <w:rFonts w:cs="Times New Roman"/>
          <w:noProof/>
        </w:rPr>
        <w:t xml:space="preserve">particularly well placed to achieve </w:t>
      </w:r>
      <w:r w:rsidR="00C42384">
        <w:rPr>
          <w:rFonts w:cs="Times New Roman"/>
          <w:noProof/>
        </w:rPr>
        <w:t>emission reductions</w:t>
      </w:r>
      <w:r w:rsidR="00586DD9">
        <w:rPr>
          <w:rFonts w:cs="Times New Roman"/>
          <w:noProof/>
        </w:rPr>
        <w:t xml:space="preserve"> </w:t>
      </w:r>
      <w:r w:rsidR="005B183E">
        <w:rPr>
          <w:rFonts w:cs="Times New Roman"/>
          <w:noProof/>
        </w:rPr>
        <w:t>in a cost</w:t>
      </w:r>
      <w:r w:rsidR="00586DD9">
        <w:rPr>
          <w:rFonts w:cs="Times New Roman"/>
          <w:noProof/>
        </w:rPr>
        <w:t>-</w:t>
      </w:r>
      <w:r w:rsidR="005B183E">
        <w:rPr>
          <w:rFonts w:cs="Times New Roman"/>
          <w:noProof/>
        </w:rPr>
        <w:t>effective manner</w:t>
      </w:r>
      <w:r w:rsidR="00C766CF">
        <w:rPr>
          <w:rFonts w:cs="Times New Roman"/>
          <w:noProof/>
        </w:rPr>
        <w:t>.</w:t>
      </w:r>
      <w:r w:rsidR="002E392A">
        <w:rPr>
          <w:rFonts w:cs="Times New Roman"/>
          <w:noProof/>
        </w:rPr>
        <w:t xml:space="preserve"> By reviewing and reinforcing this Regulation</w:t>
      </w:r>
      <w:r w:rsidR="00C766CF">
        <w:rPr>
          <w:rFonts w:cs="Times New Roman"/>
          <w:noProof/>
        </w:rPr>
        <w:t xml:space="preserve">, </w:t>
      </w:r>
      <w:r w:rsidR="00C42384">
        <w:rPr>
          <w:rFonts w:cs="Times New Roman"/>
          <w:noProof/>
        </w:rPr>
        <w:t xml:space="preserve">additional F-gas emission savings </w:t>
      </w:r>
      <w:r w:rsidR="00C766CF">
        <w:rPr>
          <w:rFonts w:cs="Times New Roman"/>
          <w:noProof/>
        </w:rPr>
        <w:t xml:space="preserve">at </w:t>
      </w:r>
      <w:r w:rsidR="00586DD9">
        <w:rPr>
          <w:rFonts w:cs="Times New Roman"/>
          <w:noProof/>
        </w:rPr>
        <w:t xml:space="preserve">EU level </w:t>
      </w:r>
      <w:r w:rsidR="006B0F79">
        <w:rPr>
          <w:rFonts w:cs="Times New Roman"/>
          <w:noProof/>
        </w:rPr>
        <w:t xml:space="preserve">can </w:t>
      </w:r>
      <w:r w:rsidR="00586DD9">
        <w:rPr>
          <w:rFonts w:cs="Times New Roman"/>
          <w:noProof/>
        </w:rPr>
        <w:t>help</w:t>
      </w:r>
      <w:r w:rsidR="0058131F" w:rsidRPr="0058131F">
        <w:rPr>
          <w:rFonts w:cs="Times New Roman"/>
          <w:noProof/>
        </w:rPr>
        <w:t xml:space="preserve"> Member Stat</w:t>
      </w:r>
      <w:r w:rsidR="00586DD9">
        <w:rPr>
          <w:rFonts w:cs="Times New Roman"/>
          <w:noProof/>
        </w:rPr>
        <w:t>es achieve</w:t>
      </w:r>
      <w:r w:rsidR="0058131F" w:rsidRPr="0058131F">
        <w:rPr>
          <w:rFonts w:cs="Times New Roman"/>
          <w:noProof/>
        </w:rPr>
        <w:t xml:space="preserve"> their </w:t>
      </w:r>
      <w:r w:rsidR="00360460">
        <w:rPr>
          <w:rFonts w:cs="Times New Roman"/>
          <w:noProof/>
        </w:rPr>
        <w:t xml:space="preserve">proposed higher ESR </w:t>
      </w:r>
      <w:r w:rsidR="00D3042F">
        <w:rPr>
          <w:rFonts w:cs="Times New Roman"/>
          <w:noProof/>
        </w:rPr>
        <w:t xml:space="preserve">GHG emission </w:t>
      </w:r>
      <w:r w:rsidR="00586DD9">
        <w:rPr>
          <w:rFonts w:cs="Times New Roman"/>
          <w:noProof/>
        </w:rPr>
        <w:t>target</w:t>
      </w:r>
      <w:r w:rsidR="00360460">
        <w:rPr>
          <w:rFonts w:cs="Times New Roman"/>
          <w:noProof/>
        </w:rPr>
        <w:t xml:space="preserve"> and </w:t>
      </w:r>
      <w:r w:rsidR="005B183E">
        <w:rPr>
          <w:rFonts w:cs="Times New Roman"/>
          <w:noProof/>
        </w:rPr>
        <w:t xml:space="preserve">improve the </w:t>
      </w:r>
      <w:r w:rsidR="00360460">
        <w:rPr>
          <w:rFonts w:cs="Times New Roman"/>
          <w:noProof/>
        </w:rPr>
        <w:t>overall cost-effectiveness</w:t>
      </w:r>
      <w:r w:rsidR="005B183E">
        <w:rPr>
          <w:rFonts w:cs="Times New Roman"/>
          <w:noProof/>
        </w:rPr>
        <w:t xml:space="preserve">, while leaving </w:t>
      </w:r>
      <w:r w:rsidR="005B183E">
        <w:rPr>
          <w:noProof/>
          <w:sz w:val="23"/>
          <w:szCs w:val="23"/>
        </w:rPr>
        <w:t xml:space="preserve">margin to Member States on how best to achieve the required overall GHG targets across </w:t>
      </w:r>
      <w:r w:rsidR="00B049E3">
        <w:rPr>
          <w:noProof/>
          <w:sz w:val="23"/>
          <w:szCs w:val="23"/>
        </w:rPr>
        <w:t xml:space="preserve">all </w:t>
      </w:r>
      <w:r w:rsidR="005B183E">
        <w:rPr>
          <w:noProof/>
          <w:sz w:val="23"/>
          <w:szCs w:val="23"/>
        </w:rPr>
        <w:t>sectors and gases</w:t>
      </w:r>
      <w:r w:rsidR="00B049E3">
        <w:rPr>
          <w:noProof/>
          <w:sz w:val="23"/>
          <w:szCs w:val="23"/>
        </w:rPr>
        <w:t xml:space="preserve"> in the ESR</w:t>
      </w:r>
      <w:r w:rsidR="00C766CF">
        <w:rPr>
          <w:noProof/>
          <w:sz w:val="23"/>
          <w:szCs w:val="23"/>
        </w:rPr>
        <w:t xml:space="preserve">. For </w:t>
      </w:r>
      <w:r w:rsidR="00C42384">
        <w:rPr>
          <w:rFonts w:cs="Times New Roman"/>
          <w:noProof/>
        </w:rPr>
        <w:t>F-gas</w:t>
      </w:r>
      <w:r w:rsidR="006B0F79">
        <w:rPr>
          <w:rFonts w:cs="Times New Roman"/>
          <w:noProof/>
        </w:rPr>
        <w:t xml:space="preserve">es </w:t>
      </w:r>
      <w:r w:rsidR="00C42384">
        <w:rPr>
          <w:rFonts w:cs="Times New Roman"/>
          <w:noProof/>
        </w:rPr>
        <w:t>Member States can e.g.</w:t>
      </w:r>
      <w:r w:rsidR="00603C84">
        <w:rPr>
          <w:rFonts w:cs="Times New Roman"/>
          <w:noProof/>
        </w:rPr>
        <w:t xml:space="preserve"> </w:t>
      </w:r>
      <w:r w:rsidR="00C766CF">
        <w:rPr>
          <w:rFonts w:cs="Times New Roman"/>
          <w:noProof/>
        </w:rPr>
        <w:t xml:space="preserve">apply national </w:t>
      </w:r>
      <w:r w:rsidR="00603C84">
        <w:rPr>
          <w:rFonts w:cs="Times New Roman"/>
          <w:noProof/>
        </w:rPr>
        <w:t>fiscal measures (see Annex A5.4.2.2 on additional Member States action).</w:t>
      </w:r>
      <w:r w:rsidR="00C766CF">
        <w:rPr>
          <w:rFonts w:cs="Times New Roman"/>
          <w:noProof/>
        </w:rPr>
        <w:t xml:space="preserve"> </w:t>
      </w:r>
    </w:p>
    <w:p w14:paraId="1B36B943" w14:textId="5CABFEE7" w:rsidR="001538D2" w:rsidRDefault="00586DD9" w:rsidP="00B049E3">
      <w:pPr>
        <w:spacing w:after="120"/>
        <w:rPr>
          <w:rFonts w:cs="Times New Roman"/>
          <w:noProof/>
        </w:rPr>
      </w:pPr>
      <w:r>
        <w:rPr>
          <w:rFonts w:cs="Times New Roman"/>
          <w:noProof/>
        </w:rPr>
        <w:t>In addition</w:t>
      </w:r>
      <w:r w:rsidR="3055582D" w:rsidRPr="3982CBDC">
        <w:rPr>
          <w:rFonts w:cs="Times New Roman"/>
          <w:noProof/>
        </w:rPr>
        <w:t xml:space="preserve">, </w:t>
      </w:r>
      <w:r>
        <w:rPr>
          <w:rFonts w:cs="Times New Roman"/>
          <w:noProof/>
        </w:rPr>
        <w:t xml:space="preserve">there is an urgent need to </w:t>
      </w:r>
      <w:r w:rsidRPr="0085738F">
        <w:rPr>
          <w:rFonts w:cs="Times New Roman"/>
          <w:b/>
          <w:noProof/>
        </w:rPr>
        <w:t>improve implementation and enforcement</w:t>
      </w:r>
      <w:r>
        <w:rPr>
          <w:rFonts w:cs="Times New Roman"/>
          <w:noProof/>
        </w:rPr>
        <w:t xml:space="preserve"> (see section 2</w:t>
      </w:r>
      <w:r w:rsidR="00F832D1">
        <w:rPr>
          <w:rFonts w:cs="Times New Roman"/>
          <w:noProof/>
        </w:rPr>
        <w:t>.1.3</w:t>
      </w:r>
      <w:r>
        <w:rPr>
          <w:rFonts w:cs="Times New Roman"/>
          <w:noProof/>
        </w:rPr>
        <w:t xml:space="preserve">) and </w:t>
      </w:r>
      <w:r w:rsidR="001149AA">
        <w:rPr>
          <w:rFonts w:cs="Times New Roman"/>
          <w:noProof/>
        </w:rPr>
        <w:t>to align</w:t>
      </w:r>
      <w:r w:rsidR="3055582D" w:rsidRPr="3982CBDC">
        <w:rPr>
          <w:rFonts w:cs="Times New Roman"/>
          <w:noProof/>
        </w:rPr>
        <w:t xml:space="preserve"> </w:t>
      </w:r>
      <w:r w:rsidR="173FBA8F" w:rsidRPr="0085738F">
        <w:rPr>
          <w:rFonts w:cs="Times New Roman"/>
          <w:b/>
          <w:noProof/>
        </w:rPr>
        <w:t xml:space="preserve">fully </w:t>
      </w:r>
      <w:r w:rsidR="3055582D" w:rsidRPr="0085738F">
        <w:rPr>
          <w:rFonts w:cs="Times New Roman"/>
          <w:b/>
          <w:noProof/>
        </w:rPr>
        <w:t>with new obligations under the</w:t>
      </w:r>
      <w:r w:rsidR="005378DA" w:rsidRPr="0085738F">
        <w:rPr>
          <w:rFonts w:cs="Times New Roman"/>
          <w:b/>
          <w:bCs/>
          <w:iCs/>
          <w:noProof/>
        </w:rPr>
        <w:t xml:space="preserve"> Protocol</w:t>
      </w:r>
      <w:r w:rsidR="00F832D1">
        <w:rPr>
          <w:rFonts w:cs="Times New Roman"/>
          <w:b/>
          <w:bCs/>
          <w:iCs/>
          <w:noProof/>
        </w:rPr>
        <w:t xml:space="preserve"> </w:t>
      </w:r>
      <w:r w:rsidR="00F832D1" w:rsidRPr="00F832D1">
        <w:rPr>
          <w:rFonts w:cs="Times New Roman"/>
          <w:bCs/>
          <w:iCs/>
          <w:noProof/>
        </w:rPr>
        <w:t>(</w:t>
      </w:r>
      <w:r w:rsidR="00F832D1">
        <w:rPr>
          <w:rFonts w:cs="Times New Roman"/>
          <w:bCs/>
          <w:iCs/>
          <w:noProof/>
        </w:rPr>
        <w:t>see section 2.1.2)</w:t>
      </w:r>
      <w:r>
        <w:rPr>
          <w:rFonts w:cs="Times New Roman"/>
          <w:bCs/>
          <w:iCs/>
          <w:noProof/>
        </w:rPr>
        <w:t>, whose</w:t>
      </w:r>
      <w:r w:rsidR="005378DA">
        <w:rPr>
          <w:rFonts w:cs="Times New Roman"/>
          <w:bCs/>
          <w:iCs/>
          <w:noProof/>
        </w:rPr>
        <w:t xml:space="preserve"> </w:t>
      </w:r>
      <w:r w:rsidR="00B049E3">
        <w:rPr>
          <w:rFonts w:cs="Times New Roman"/>
          <w:bCs/>
          <w:iCs/>
          <w:noProof/>
        </w:rPr>
        <w:t xml:space="preserve">initial </w:t>
      </w:r>
      <w:r>
        <w:rPr>
          <w:rFonts w:cs="Times New Roman"/>
          <w:bCs/>
          <w:iCs/>
          <w:noProof/>
        </w:rPr>
        <w:t xml:space="preserve">principal </w:t>
      </w:r>
      <w:r w:rsidR="00B049E3">
        <w:rPr>
          <w:rFonts w:cs="Times New Roman"/>
          <w:bCs/>
          <w:iCs/>
          <w:noProof/>
        </w:rPr>
        <w:t xml:space="preserve">objective was to </w:t>
      </w:r>
      <w:r>
        <w:rPr>
          <w:rFonts w:cs="Times New Roman"/>
          <w:bCs/>
          <w:iCs/>
          <w:noProof/>
        </w:rPr>
        <w:t>protect the o</w:t>
      </w:r>
      <w:r w:rsidR="00B049E3">
        <w:rPr>
          <w:rFonts w:cs="Times New Roman"/>
          <w:bCs/>
          <w:iCs/>
          <w:noProof/>
        </w:rPr>
        <w:t xml:space="preserve">zone layer. </w:t>
      </w:r>
      <w:r w:rsidR="005378DA">
        <w:rPr>
          <w:rFonts w:cs="Times New Roman"/>
          <w:bCs/>
          <w:iCs/>
          <w:noProof/>
        </w:rPr>
        <w:t xml:space="preserve">However, </w:t>
      </w:r>
      <w:r w:rsidR="006B0F79">
        <w:rPr>
          <w:rFonts w:cs="Times New Roman"/>
          <w:bCs/>
          <w:iCs/>
          <w:noProof/>
        </w:rPr>
        <w:t xml:space="preserve">because </w:t>
      </w:r>
      <w:r w:rsidR="00B049E3">
        <w:rPr>
          <w:rFonts w:cs="Times New Roman"/>
          <w:bCs/>
          <w:iCs/>
          <w:noProof/>
        </w:rPr>
        <w:t>h</w:t>
      </w:r>
      <w:r w:rsidR="00B049E3" w:rsidRPr="00B049E3">
        <w:rPr>
          <w:rFonts w:cs="Times New Roman"/>
          <w:bCs/>
          <w:iCs/>
          <w:noProof/>
        </w:rPr>
        <w:t>ydrofluorocarbons</w:t>
      </w:r>
      <w:r w:rsidR="001149AA">
        <w:rPr>
          <w:rStyle w:val="FootnoteReference"/>
          <w:rFonts w:cs="Times New Roman"/>
          <w:bCs/>
          <w:iCs/>
          <w:noProof/>
        </w:rPr>
        <w:footnoteReference w:id="10"/>
      </w:r>
      <w:r w:rsidR="00B049E3" w:rsidRPr="00B049E3">
        <w:rPr>
          <w:rFonts w:cs="Times New Roman"/>
          <w:bCs/>
          <w:iCs/>
          <w:noProof/>
        </w:rPr>
        <w:t xml:space="preserve"> </w:t>
      </w:r>
      <w:r w:rsidR="00B049E3">
        <w:rPr>
          <w:rFonts w:cs="Times New Roman"/>
          <w:bCs/>
          <w:iCs/>
          <w:noProof/>
        </w:rPr>
        <w:t>(HFCs)</w:t>
      </w:r>
      <w:r w:rsidR="006B0F79">
        <w:rPr>
          <w:rFonts w:cs="Times New Roman"/>
          <w:bCs/>
          <w:iCs/>
          <w:noProof/>
        </w:rPr>
        <w:t xml:space="preserve"> </w:t>
      </w:r>
      <w:r w:rsidR="001149AA">
        <w:rPr>
          <w:rFonts w:cs="Times New Roman"/>
          <w:bCs/>
          <w:iCs/>
          <w:noProof/>
        </w:rPr>
        <w:t>emissions</w:t>
      </w:r>
      <w:r w:rsidR="006B0F79">
        <w:rPr>
          <w:rFonts w:cs="Times New Roman"/>
          <w:bCs/>
          <w:iCs/>
          <w:noProof/>
        </w:rPr>
        <w:t xml:space="preserve"> were increasing </w:t>
      </w:r>
      <w:r w:rsidR="001149AA">
        <w:rPr>
          <w:rFonts w:cs="Times New Roman"/>
          <w:bCs/>
          <w:iCs/>
          <w:noProof/>
        </w:rPr>
        <w:t xml:space="preserve">also globally </w:t>
      </w:r>
      <w:r w:rsidR="006B0F79">
        <w:rPr>
          <w:rFonts w:cs="Times New Roman"/>
          <w:bCs/>
          <w:iCs/>
          <w:noProof/>
        </w:rPr>
        <w:t xml:space="preserve">(partly as result of the ODS phase-out) and </w:t>
      </w:r>
      <w:r w:rsidR="0014017A">
        <w:rPr>
          <w:rFonts w:cs="Times New Roman"/>
          <w:bCs/>
          <w:iCs/>
          <w:noProof/>
        </w:rPr>
        <w:t xml:space="preserve">knowing that </w:t>
      </w:r>
      <w:r w:rsidR="00B049E3" w:rsidRPr="3982CBDC">
        <w:rPr>
          <w:rFonts w:cs="Times New Roman"/>
          <w:noProof/>
        </w:rPr>
        <w:t xml:space="preserve">the </w:t>
      </w:r>
      <w:r w:rsidR="00B049E3" w:rsidRPr="3982CBDC">
        <w:rPr>
          <w:rFonts w:cs="Times New Roman"/>
          <w:noProof/>
          <w:lang w:eastAsia="de-DE"/>
        </w:rPr>
        <w:t xml:space="preserve">Protocol </w:t>
      </w:r>
      <w:r w:rsidR="0014017A">
        <w:rPr>
          <w:rFonts w:cs="Times New Roman"/>
          <w:noProof/>
          <w:lang w:eastAsia="de-DE"/>
        </w:rPr>
        <w:t xml:space="preserve">had </w:t>
      </w:r>
      <w:r w:rsidR="006B0F79">
        <w:rPr>
          <w:rFonts w:cs="Times New Roman"/>
          <w:noProof/>
          <w:lang w:eastAsia="de-DE"/>
        </w:rPr>
        <w:t>eliminate</w:t>
      </w:r>
      <w:r w:rsidR="0014017A">
        <w:rPr>
          <w:rFonts w:cs="Times New Roman"/>
          <w:noProof/>
          <w:lang w:eastAsia="de-DE"/>
        </w:rPr>
        <w:t>d</w:t>
      </w:r>
      <w:r w:rsidR="006B0F79">
        <w:rPr>
          <w:rFonts w:cs="Times New Roman"/>
          <w:noProof/>
          <w:lang w:eastAsia="de-DE"/>
        </w:rPr>
        <w:t xml:space="preserve"> </w:t>
      </w:r>
      <w:r w:rsidR="00A0662E">
        <w:rPr>
          <w:rFonts w:cs="Times New Roman"/>
          <w:noProof/>
          <w:lang w:eastAsia="de-DE"/>
        </w:rPr>
        <w:t xml:space="preserve">ODS </w:t>
      </w:r>
      <w:r w:rsidR="0014017A">
        <w:rPr>
          <w:rFonts w:cs="Times New Roman"/>
          <w:noProof/>
          <w:lang w:eastAsia="de-DE"/>
        </w:rPr>
        <w:t xml:space="preserve">successfully </w:t>
      </w:r>
      <w:r w:rsidR="00A0662E">
        <w:rPr>
          <w:rFonts w:cs="Times New Roman"/>
          <w:noProof/>
          <w:lang w:eastAsia="de-DE"/>
        </w:rPr>
        <w:t xml:space="preserve">in </w:t>
      </w:r>
      <w:r w:rsidR="001149AA">
        <w:rPr>
          <w:rFonts w:cs="Times New Roman"/>
          <w:noProof/>
          <w:lang w:eastAsia="de-DE"/>
        </w:rPr>
        <w:t>similar</w:t>
      </w:r>
      <w:r w:rsidR="00A0662E">
        <w:rPr>
          <w:rFonts w:cs="Times New Roman"/>
          <w:noProof/>
          <w:lang w:eastAsia="de-DE"/>
        </w:rPr>
        <w:t xml:space="preserve"> applications</w:t>
      </w:r>
      <w:r w:rsidR="00B049E3" w:rsidRPr="3982CBDC">
        <w:rPr>
          <w:rFonts w:cs="Times New Roman"/>
          <w:i/>
          <w:iCs/>
          <w:noProof/>
          <w:lang w:eastAsia="de-DE"/>
        </w:rPr>
        <w:t xml:space="preserve">, </w:t>
      </w:r>
      <w:r w:rsidR="00B049E3" w:rsidRPr="3982CBDC">
        <w:rPr>
          <w:rFonts w:cs="Times New Roman"/>
          <w:noProof/>
        </w:rPr>
        <w:t xml:space="preserve">the </w:t>
      </w:r>
      <w:r w:rsidR="0014017A">
        <w:rPr>
          <w:rFonts w:cs="Times New Roman"/>
          <w:noProof/>
        </w:rPr>
        <w:t>Parties</w:t>
      </w:r>
      <w:r w:rsidR="00B049E3" w:rsidRPr="3982CBDC">
        <w:rPr>
          <w:rFonts w:cs="Times New Roman"/>
          <w:noProof/>
        </w:rPr>
        <w:t xml:space="preserve"> decided in 2016 to </w:t>
      </w:r>
      <w:r w:rsidR="0014017A">
        <w:rPr>
          <w:rFonts w:cs="Times New Roman"/>
          <w:noProof/>
        </w:rPr>
        <w:t xml:space="preserve">contribute to the goals of the </w:t>
      </w:r>
      <w:r w:rsidR="0014017A" w:rsidRPr="001149AA">
        <w:rPr>
          <w:rFonts w:cs="Times New Roman"/>
          <w:i/>
          <w:noProof/>
        </w:rPr>
        <w:t>Paris Agreement on Climate Change</w:t>
      </w:r>
      <w:r w:rsidR="0014017A">
        <w:rPr>
          <w:rFonts w:cs="Times New Roman"/>
          <w:noProof/>
        </w:rPr>
        <w:t xml:space="preserve"> by </w:t>
      </w:r>
      <w:r w:rsidR="005378DA">
        <w:rPr>
          <w:rFonts w:cs="Times New Roman"/>
          <w:noProof/>
        </w:rPr>
        <w:t>impos</w:t>
      </w:r>
      <w:r w:rsidR="0014017A">
        <w:rPr>
          <w:rFonts w:cs="Times New Roman"/>
          <w:noProof/>
        </w:rPr>
        <w:t>ing</w:t>
      </w:r>
      <w:r w:rsidR="005378DA">
        <w:rPr>
          <w:rFonts w:cs="Times New Roman"/>
          <w:noProof/>
        </w:rPr>
        <w:t xml:space="preserve"> </w:t>
      </w:r>
      <w:r w:rsidR="00F832D1">
        <w:rPr>
          <w:rFonts w:cs="Times New Roman"/>
          <w:noProof/>
        </w:rPr>
        <w:t>the Protocol’s</w:t>
      </w:r>
      <w:r w:rsidR="00A0662E">
        <w:rPr>
          <w:rFonts w:cs="Times New Roman"/>
          <w:noProof/>
        </w:rPr>
        <w:t xml:space="preserve"> tried and true </w:t>
      </w:r>
      <w:r w:rsidR="005378DA">
        <w:rPr>
          <w:rFonts w:cs="Times New Roman"/>
          <w:noProof/>
        </w:rPr>
        <w:t xml:space="preserve">obligations </w:t>
      </w:r>
      <w:r w:rsidR="00A0662E">
        <w:rPr>
          <w:rFonts w:cs="Times New Roman"/>
          <w:noProof/>
        </w:rPr>
        <w:t>also for</w:t>
      </w:r>
      <w:r w:rsidR="001149AA">
        <w:rPr>
          <w:rFonts w:cs="Times New Roman"/>
          <w:noProof/>
        </w:rPr>
        <w:t xml:space="preserve"> </w:t>
      </w:r>
      <w:r w:rsidR="00B049E3" w:rsidRPr="3982CBDC">
        <w:rPr>
          <w:rFonts w:cs="Times New Roman"/>
          <w:noProof/>
        </w:rPr>
        <w:t>HFCs (</w:t>
      </w:r>
      <w:r w:rsidR="00B049E3">
        <w:rPr>
          <w:rFonts w:cs="Times New Roman"/>
          <w:noProof/>
        </w:rPr>
        <w:t>“</w:t>
      </w:r>
      <w:r w:rsidR="00B049E3" w:rsidRPr="3982CBDC">
        <w:rPr>
          <w:rFonts w:cs="Times New Roman"/>
          <w:b/>
          <w:bCs/>
          <w:i/>
          <w:iCs/>
          <w:noProof/>
        </w:rPr>
        <w:t>Kigali Amendment</w:t>
      </w:r>
      <w:r w:rsidR="00B049E3" w:rsidRPr="00ED768E">
        <w:rPr>
          <w:rFonts w:cs="Times New Roman"/>
          <w:bCs/>
          <w:i/>
          <w:iCs/>
          <w:noProof/>
        </w:rPr>
        <w:t>”</w:t>
      </w:r>
      <w:r w:rsidR="00B049E3" w:rsidRPr="3982CBDC">
        <w:rPr>
          <w:rFonts w:cs="Times New Roman"/>
          <w:noProof/>
        </w:rPr>
        <w:t>)</w:t>
      </w:r>
      <w:r w:rsidR="005378DA">
        <w:rPr>
          <w:rFonts w:cs="Times New Roman"/>
          <w:noProof/>
        </w:rPr>
        <w:t xml:space="preserve">. </w:t>
      </w:r>
      <w:r w:rsidR="001149AA">
        <w:rPr>
          <w:rFonts w:cs="Times New Roman"/>
          <w:noProof/>
        </w:rPr>
        <w:t>Therefore,</w:t>
      </w:r>
      <w:r w:rsidR="00D515D8">
        <w:rPr>
          <w:rFonts w:cs="Times New Roman"/>
          <w:noProof/>
        </w:rPr>
        <w:t xml:space="preserve"> </w:t>
      </w:r>
      <w:r w:rsidR="0014017A">
        <w:rPr>
          <w:rFonts w:cs="Times New Roman"/>
          <w:noProof/>
        </w:rPr>
        <w:t xml:space="preserve">since 2019 </w:t>
      </w:r>
      <w:r w:rsidR="00D515D8">
        <w:rPr>
          <w:rFonts w:cs="Times New Roman"/>
          <w:noProof/>
        </w:rPr>
        <w:t xml:space="preserve">the EU and its Member States must respect </w:t>
      </w:r>
      <w:r w:rsidR="00551F92">
        <w:rPr>
          <w:rFonts w:cs="Times New Roman"/>
          <w:noProof/>
        </w:rPr>
        <w:t xml:space="preserve">mandatory </w:t>
      </w:r>
      <w:r w:rsidR="00D515D8">
        <w:rPr>
          <w:rFonts w:cs="Times New Roman"/>
          <w:noProof/>
        </w:rPr>
        <w:t xml:space="preserve">maximum annual limits for production and consumption of HFCs </w:t>
      </w:r>
      <w:r w:rsidR="001149AA">
        <w:rPr>
          <w:rFonts w:cs="Times New Roman"/>
          <w:noProof/>
        </w:rPr>
        <w:t xml:space="preserve">that </w:t>
      </w:r>
      <w:r w:rsidR="0014017A">
        <w:rPr>
          <w:rFonts w:cs="Times New Roman"/>
          <w:noProof/>
        </w:rPr>
        <w:t xml:space="preserve">are being gradually </w:t>
      </w:r>
      <w:r w:rsidR="001149AA">
        <w:rPr>
          <w:rFonts w:cs="Times New Roman"/>
          <w:noProof/>
        </w:rPr>
        <w:t>reduce</w:t>
      </w:r>
      <w:r w:rsidR="0014017A">
        <w:rPr>
          <w:rFonts w:cs="Times New Roman"/>
          <w:noProof/>
        </w:rPr>
        <w:t>d</w:t>
      </w:r>
      <w:r w:rsidR="001149AA">
        <w:rPr>
          <w:rFonts w:cs="Times New Roman"/>
          <w:noProof/>
        </w:rPr>
        <w:t xml:space="preserve"> over time </w:t>
      </w:r>
      <w:r w:rsidR="00D515D8">
        <w:rPr>
          <w:rFonts w:cs="Times New Roman"/>
          <w:noProof/>
        </w:rPr>
        <w:t>(</w:t>
      </w:r>
      <w:r w:rsidR="001149AA">
        <w:rPr>
          <w:rFonts w:cs="Times New Roman"/>
          <w:noProof/>
        </w:rPr>
        <w:t>“</w:t>
      </w:r>
      <w:r w:rsidR="00D515D8">
        <w:rPr>
          <w:rFonts w:cs="Times New Roman"/>
          <w:noProof/>
        </w:rPr>
        <w:t>phase-downs</w:t>
      </w:r>
      <w:r w:rsidR="001149AA">
        <w:rPr>
          <w:rFonts w:cs="Times New Roman"/>
          <w:noProof/>
        </w:rPr>
        <w:t>”</w:t>
      </w:r>
      <w:r w:rsidR="00D515D8">
        <w:rPr>
          <w:rFonts w:cs="Times New Roman"/>
          <w:noProof/>
        </w:rPr>
        <w:t xml:space="preserve">). </w:t>
      </w:r>
      <w:r w:rsidR="005378DA">
        <w:rPr>
          <w:rFonts w:cs="Times New Roman"/>
          <w:noProof/>
        </w:rPr>
        <w:t xml:space="preserve">This is </w:t>
      </w:r>
      <w:r w:rsidR="00B049E3">
        <w:rPr>
          <w:rFonts w:cs="Times New Roman"/>
          <w:noProof/>
        </w:rPr>
        <w:t xml:space="preserve">purely </w:t>
      </w:r>
      <w:r w:rsidR="00B049E3" w:rsidRPr="3982CBDC">
        <w:rPr>
          <w:rFonts w:cs="Times New Roman"/>
          <w:noProof/>
        </w:rPr>
        <w:t xml:space="preserve">a climate protection measure, </w:t>
      </w:r>
      <w:r w:rsidR="00B049E3" w:rsidRPr="00517431">
        <w:rPr>
          <w:rFonts w:cs="Times New Roman"/>
          <w:b/>
          <w:noProof/>
        </w:rPr>
        <w:t xml:space="preserve">since HFCs </w:t>
      </w:r>
      <w:r w:rsidR="00B049E3" w:rsidRPr="008A0646">
        <w:rPr>
          <w:rFonts w:cs="Times New Roman"/>
          <w:b/>
          <w:noProof/>
        </w:rPr>
        <w:t>themselves</w:t>
      </w:r>
      <w:r w:rsidR="00B049E3" w:rsidRPr="00517431">
        <w:rPr>
          <w:rFonts w:cs="Times New Roman"/>
          <w:b/>
          <w:noProof/>
        </w:rPr>
        <w:t xml:space="preserve"> are not relevant for ozone depletion</w:t>
      </w:r>
      <w:r w:rsidR="00A0662E">
        <w:rPr>
          <w:rFonts w:cs="Times New Roman"/>
          <w:b/>
          <w:noProof/>
        </w:rPr>
        <w:t>. Moreover</w:t>
      </w:r>
      <w:r w:rsidR="001149AA">
        <w:rPr>
          <w:rFonts w:cs="Times New Roman"/>
          <w:b/>
          <w:noProof/>
        </w:rPr>
        <w:t>,</w:t>
      </w:r>
      <w:r w:rsidR="00A0662E">
        <w:rPr>
          <w:rFonts w:cs="Times New Roman"/>
          <w:b/>
          <w:noProof/>
        </w:rPr>
        <w:t xml:space="preserve"> there are no emission monitoring or targets under the Protocol. </w:t>
      </w:r>
      <w:r w:rsidR="00F832D1">
        <w:rPr>
          <w:rFonts w:cs="Times New Roman"/>
          <w:noProof/>
        </w:rPr>
        <w:t>Instead</w:t>
      </w:r>
      <w:r w:rsidR="008C21D9">
        <w:rPr>
          <w:rFonts w:cs="Times New Roman"/>
          <w:noProof/>
        </w:rPr>
        <w:t>,</w:t>
      </w:r>
      <w:r w:rsidR="00F832D1">
        <w:rPr>
          <w:rFonts w:cs="Times New Roman"/>
          <w:noProof/>
        </w:rPr>
        <w:t xml:space="preserve"> </w:t>
      </w:r>
      <w:r w:rsidR="00A0662E" w:rsidRPr="00586DD9">
        <w:rPr>
          <w:rFonts w:cs="Times New Roman"/>
          <w:noProof/>
        </w:rPr>
        <w:t xml:space="preserve">HFC </w:t>
      </w:r>
      <w:r w:rsidR="001149AA">
        <w:rPr>
          <w:rFonts w:cs="Times New Roman"/>
          <w:noProof/>
        </w:rPr>
        <w:t>e</w:t>
      </w:r>
      <w:r w:rsidR="001538D2" w:rsidRPr="00A0662E">
        <w:rPr>
          <w:rFonts w:cs="Times New Roman"/>
          <w:noProof/>
        </w:rPr>
        <w:t>mission</w:t>
      </w:r>
      <w:r w:rsidR="00A0662E" w:rsidRPr="00A0662E">
        <w:rPr>
          <w:rFonts w:cs="Times New Roman"/>
          <w:noProof/>
        </w:rPr>
        <w:t xml:space="preserve">s </w:t>
      </w:r>
      <w:r w:rsidR="001149AA">
        <w:rPr>
          <w:rFonts w:cs="Times New Roman"/>
          <w:noProof/>
        </w:rPr>
        <w:t>are</w:t>
      </w:r>
      <w:r w:rsidR="001538D2" w:rsidRPr="00A0662E">
        <w:rPr>
          <w:rFonts w:cs="Times New Roman"/>
          <w:noProof/>
        </w:rPr>
        <w:t xml:space="preserve"> </w:t>
      </w:r>
      <w:r w:rsidR="00A0662E" w:rsidRPr="00A0662E">
        <w:rPr>
          <w:rFonts w:cs="Times New Roman"/>
          <w:noProof/>
        </w:rPr>
        <w:t xml:space="preserve">monitored </w:t>
      </w:r>
      <w:r w:rsidR="001538D2" w:rsidRPr="00A0662E">
        <w:rPr>
          <w:rFonts w:cs="Times New Roman"/>
          <w:noProof/>
        </w:rPr>
        <w:t xml:space="preserve">under the </w:t>
      </w:r>
      <w:r w:rsidR="001538D2" w:rsidRPr="001149AA">
        <w:rPr>
          <w:rFonts w:cs="Times New Roman"/>
          <w:noProof/>
        </w:rPr>
        <w:t>P</w:t>
      </w:r>
      <w:r w:rsidR="001149AA" w:rsidRPr="001149AA">
        <w:rPr>
          <w:rFonts w:cs="Times New Roman"/>
          <w:noProof/>
        </w:rPr>
        <w:t>aris Agreement</w:t>
      </w:r>
      <w:r w:rsidR="00B049E3" w:rsidRPr="001149AA">
        <w:rPr>
          <w:rFonts w:cs="Times New Roman"/>
          <w:b/>
          <w:noProof/>
        </w:rPr>
        <w:t>.</w:t>
      </w:r>
      <w:r w:rsidR="00B049E3" w:rsidRPr="3982CBDC">
        <w:rPr>
          <w:rFonts w:cs="Times New Roman"/>
          <w:noProof/>
        </w:rPr>
        <w:t xml:space="preserve"> </w:t>
      </w:r>
      <w:r w:rsidR="001E6301" w:rsidRPr="3982CBDC">
        <w:rPr>
          <w:rFonts w:cs="Times New Roman"/>
          <w:noProof/>
        </w:rPr>
        <w:t>It has been estimated that the Kigali Amendment alone will prevent</w:t>
      </w:r>
      <w:r w:rsidR="00DD42FC">
        <w:rPr>
          <w:rFonts w:cs="Times New Roman"/>
          <w:noProof/>
        </w:rPr>
        <w:t>,</w:t>
      </w:r>
      <w:r w:rsidR="001E6301" w:rsidRPr="3982CBDC">
        <w:rPr>
          <w:rFonts w:cs="Times New Roman"/>
          <w:noProof/>
        </w:rPr>
        <w:t xml:space="preserve"> </w:t>
      </w:r>
      <w:r w:rsidR="00DD42FC">
        <w:rPr>
          <w:rFonts w:cs="Times New Roman"/>
          <w:noProof/>
        </w:rPr>
        <w:t xml:space="preserve">until 2100, </w:t>
      </w:r>
      <w:r w:rsidR="001E6301" w:rsidRPr="3982CBDC">
        <w:rPr>
          <w:rFonts w:cs="Times New Roman"/>
          <w:noProof/>
        </w:rPr>
        <w:t>climate warming of up to 0.4 degrees. In the latest IPCC report</w:t>
      </w:r>
      <w:r w:rsidR="001E6301" w:rsidRPr="3982CBDC">
        <w:rPr>
          <w:rStyle w:val="FootnoteReference"/>
          <w:rFonts w:cs="Times New Roman"/>
          <w:noProof/>
        </w:rPr>
        <w:footnoteReference w:id="11"/>
      </w:r>
      <w:r w:rsidR="001E6301" w:rsidRPr="3982CBDC">
        <w:rPr>
          <w:rFonts w:cs="Times New Roman"/>
          <w:noProof/>
        </w:rPr>
        <w:t>, pathways to limit global warming at 1.5</w:t>
      </w:r>
      <w:r w:rsidR="001E6301">
        <w:rPr>
          <w:rFonts w:cs="Times New Roman"/>
          <w:noProof/>
        </w:rPr>
        <w:t>°</w:t>
      </w:r>
      <w:r w:rsidR="001E6301" w:rsidRPr="3982CBDC">
        <w:rPr>
          <w:rFonts w:cs="Times New Roman"/>
          <w:noProof/>
        </w:rPr>
        <w:t xml:space="preserve">C require emission decreases for F-gases of up to 90% by 2050 </w:t>
      </w:r>
      <w:r w:rsidR="001E6301" w:rsidRPr="3982CBDC">
        <w:rPr>
          <w:rFonts w:cs="Times New Roman"/>
          <w:i/>
          <w:iCs/>
          <w:noProof/>
        </w:rPr>
        <w:t>globally</w:t>
      </w:r>
      <w:r w:rsidR="001E6301" w:rsidRPr="3982CBDC">
        <w:rPr>
          <w:rFonts w:cs="Times New Roman"/>
          <w:noProof/>
        </w:rPr>
        <w:t xml:space="preserve"> compared to the year 2015.</w:t>
      </w:r>
      <w:r w:rsidR="00551F92">
        <w:rPr>
          <w:rFonts w:cs="Times New Roman"/>
          <w:noProof/>
        </w:rPr>
        <w:t xml:space="preserve"> </w:t>
      </w:r>
      <w:r w:rsidR="00530215" w:rsidRPr="3982CBDC">
        <w:rPr>
          <w:rFonts w:cs="Times New Roman"/>
          <w:noProof/>
        </w:rPr>
        <w:t xml:space="preserve">In addition to phasing down HFCs, the Protocol requires Parties to have </w:t>
      </w:r>
      <w:r w:rsidR="00530215" w:rsidRPr="3982CBDC">
        <w:rPr>
          <w:rFonts w:cs="Times New Roman"/>
          <w:b/>
          <w:bCs/>
          <w:noProof/>
        </w:rPr>
        <w:t xml:space="preserve">a </w:t>
      </w:r>
      <w:r w:rsidR="00530215">
        <w:rPr>
          <w:rFonts w:cs="Times New Roman"/>
          <w:b/>
          <w:bCs/>
          <w:noProof/>
        </w:rPr>
        <w:t xml:space="preserve">trade </w:t>
      </w:r>
      <w:r w:rsidR="00530215" w:rsidRPr="3982CBDC">
        <w:rPr>
          <w:rFonts w:cs="Times New Roman"/>
          <w:b/>
          <w:bCs/>
          <w:noProof/>
        </w:rPr>
        <w:t>licensing system and report annually on HFC production and trade</w:t>
      </w:r>
      <w:r w:rsidR="00551F92">
        <w:rPr>
          <w:rFonts w:cs="Times New Roman"/>
          <w:bCs/>
          <w:noProof/>
        </w:rPr>
        <w:t xml:space="preserve">. </w:t>
      </w:r>
      <w:r w:rsidR="00551F92">
        <w:rPr>
          <w:rFonts w:cs="Times New Roman"/>
          <w:noProof/>
        </w:rPr>
        <w:t>A</w:t>
      </w:r>
      <w:r w:rsidR="00530215">
        <w:rPr>
          <w:rFonts w:cs="Times New Roman"/>
          <w:noProof/>
        </w:rPr>
        <w:t xml:space="preserve">ll Parties must take </w:t>
      </w:r>
      <w:r w:rsidR="0014017A">
        <w:rPr>
          <w:rFonts w:cs="Times New Roman"/>
          <w:noProof/>
        </w:rPr>
        <w:t xml:space="preserve">their own </w:t>
      </w:r>
      <w:r w:rsidR="00530215">
        <w:rPr>
          <w:rFonts w:cs="Times New Roman"/>
          <w:noProof/>
        </w:rPr>
        <w:t xml:space="preserve">action </w:t>
      </w:r>
      <w:r w:rsidR="00D515D8">
        <w:rPr>
          <w:rFonts w:cs="Times New Roman"/>
          <w:noProof/>
        </w:rPr>
        <w:t>to fulfil</w:t>
      </w:r>
      <w:r w:rsidR="00530215">
        <w:rPr>
          <w:rFonts w:cs="Times New Roman"/>
          <w:noProof/>
        </w:rPr>
        <w:t xml:space="preserve"> </w:t>
      </w:r>
      <w:r w:rsidR="00D515D8">
        <w:rPr>
          <w:rFonts w:cs="Times New Roman"/>
          <w:noProof/>
        </w:rPr>
        <w:t>the</w:t>
      </w:r>
      <w:r w:rsidR="00F832D1">
        <w:rPr>
          <w:rFonts w:cs="Times New Roman"/>
          <w:noProof/>
        </w:rPr>
        <w:t>ir</w:t>
      </w:r>
      <w:r w:rsidR="00A0662E">
        <w:rPr>
          <w:rFonts w:cs="Times New Roman"/>
          <w:noProof/>
        </w:rPr>
        <w:t xml:space="preserve"> obligations</w:t>
      </w:r>
      <w:r w:rsidR="00B049E3">
        <w:rPr>
          <w:rFonts w:cs="Times New Roman"/>
          <w:noProof/>
        </w:rPr>
        <w:t>.</w:t>
      </w:r>
      <w:r w:rsidR="00D515D8">
        <w:rPr>
          <w:rFonts w:cs="Times New Roman"/>
          <w:noProof/>
        </w:rPr>
        <w:t xml:space="preserve"> </w:t>
      </w:r>
    </w:p>
    <w:p w14:paraId="117C46AD" w14:textId="3CF6BA36" w:rsidR="00075EFD" w:rsidRPr="00586DD9" w:rsidRDefault="001538D2" w:rsidP="00075EFD">
      <w:pPr>
        <w:spacing w:after="120"/>
        <w:rPr>
          <w:rFonts w:eastAsia="Times New Roman" w:cs="Times New Roman"/>
          <w:b/>
          <w:bCs/>
          <w:noProof/>
          <w:szCs w:val="24"/>
        </w:rPr>
      </w:pPr>
      <w:r>
        <w:rPr>
          <w:rFonts w:cs="Times New Roman"/>
          <w:noProof/>
        </w:rPr>
        <w:t xml:space="preserve">There is general support for </w:t>
      </w:r>
      <w:r w:rsidR="00A0662E">
        <w:rPr>
          <w:rFonts w:cs="Times New Roman"/>
          <w:noProof/>
        </w:rPr>
        <w:t xml:space="preserve">fine-tuning the </w:t>
      </w:r>
      <w:r>
        <w:rPr>
          <w:rFonts w:cs="Times New Roman"/>
          <w:noProof/>
        </w:rPr>
        <w:t xml:space="preserve">Regulation and many </w:t>
      </w:r>
      <w:r w:rsidR="00A0662E">
        <w:rPr>
          <w:rFonts w:cs="Times New Roman"/>
          <w:noProof/>
        </w:rPr>
        <w:t xml:space="preserve">stakeholders and Member States have signalled that it </w:t>
      </w:r>
      <w:r w:rsidR="00551F92">
        <w:rPr>
          <w:rFonts w:cs="Times New Roman"/>
          <w:noProof/>
        </w:rPr>
        <w:t xml:space="preserve">should </w:t>
      </w:r>
      <w:r>
        <w:rPr>
          <w:rFonts w:cs="Times New Roman"/>
          <w:noProof/>
        </w:rPr>
        <w:t xml:space="preserve">be done with urgency. </w:t>
      </w:r>
      <w:r w:rsidR="00551F92">
        <w:rPr>
          <w:rFonts w:cs="Times New Roman"/>
          <w:noProof/>
        </w:rPr>
        <w:t>T</w:t>
      </w:r>
      <w:r w:rsidR="00D515D8">
        <w:rPr>
          <w:rFonts w:cs="Times New Roman"/>
          <w:noProof/>
        </w:rPr>
        <w:t xml:space="preserve">he European Parliament called “… </w:t>
      </w:r>
      <w:r w:rsidR="00D515D8" w:rsidRPr="00F832D1">
        <w:rPr>
          <w:rFonts w:cs="Times New Roman"/>
          <w:i/>
          <w:noProof/>
          <w:szCs w:val="24"/>
          <w:shd w:val="clear" w:color="auto" w:fill="FFFFFF"/>
        </w:rPr>
        <w:t xml:space="preserve">on the Commission to present an ambitious revision of the F-Gas Regulation </w:t>
      </w:r>
      <w:r w:rsidR="0085738F" w:rsidRPr="00F832D1">
        <w:rPr>
          <w:rFonts w:cs="Times New Roman"/>
          <w:i/>
          <w:noProof/>
          <w:szCs w:val="24"/>
          <w:shd w:val="clear" w:color="auto" w:fill="FFFFFF"/>
        </w:rPr>
        <w:t xml:space="preserve">by the end of 2021 </w:t>
      </w:r>
      <w:r w:rsidR="00D515D8" w:rsidRPr="00F832D1">
        <w:rPr>
          <w:rFonts w:cs="Times New Roman"/>
          <w:i/>
          <w:noProof/>
          <w:szCs w:val="24"/>
          <w:shd w:val="clear" w:color="auto" w:fill="FFFFFF"/>
        </w:rPr>
        <w:t xml:space="preserve">in order to accelerate the phasing out of hydrofluorocarbons (HFC); </w:t>
      </w:r>
      <w:r w:rsidR="00551F92" w:rsidRPr="00F832D1">
        <w:rPr>
          <w:rFonts w:cs="Times New Roman"/>
          <w:i/>
          <w:noProof/>
          <w:szCs w:val="24"/>
          <w:shd w:val="clear" w:color="auto" w:fill="FFFFFF"/>
        </w:rPr>
        <w:t xml:space="preserve">[..] </w:t>
      </w:r>
      <w:r w:rsidR="00D515D8" w:rsidRPr="00F86647">
        <w:rPr>
          <w:rFonts w:cs="Times New Roman"/>
          <w:i/>
          <w:noProof/>
          <w:szCs w:val="24"/>
          <w:shd w:val="clear" w:color="auto" w:fill="FFFFFF"/>
          <w:lang w:val="en-IE"/>
        </w:rPr>
        <w:t>believes that additional action should also be taken against the use of sulphur hexafluoride (SF</w:t>
      </w:r>
      <w:r w:rsidR="00D515D8" w:rsidRPr="00F86647">
        <w:rPr>
          <w:rStyle w:val="sub"/>
          <w:rFonts w:cs="Times New Roman"/>
          <w:i/>
          <w:noProof/>
          <w:szCs w:val="24"/>
          <w:shd w:val="clear" w:color="auto" w:fill="FFFFFF"/>
          <w:vertAlign w:val="subscript"/>
          <w:lang w:val="en-IE"/>
        </w:rPr>
        <w:t>6</w:t>
      </w:r>
      <w:r w:rsidR="00D515D8" w:rsidRPr="00F86647">
        <w:rPr>
          <w:rFonts w:cs="Times New Roman"/>
          <w:i/>
          <w:noProof/>
          <w:szCs w:val="24"/>
          <w:shd w:val="clear" w:color="auto" w:fill="FFFFFF"/>
          <w:lang w:val="en-IE"/>
        </w:rPr>
        <w:t>)”</w:t>
      </w:r>
      <w:r w:rsidR="00D515D8" w:rsidRPr="00F86647">
        <w:rPr>
          <w:rStyle w:val="FootnoteReference"/>
          <w:rFonts w:cs="Times New Roman"/>
          <w:i/>
          <w:noProof/>
          <w:color w:val="666666"/>
          <w:szCs w:val="24"/>
          <w:shd w:val="clear" w:color="auto" w:fill="FFFFFF"/>
          <w:lang w:val="en-IE"/>
        </w:rPr>
        <w:footnoteReference w:id="12"/>
      </w:r>
      <w:r w:rsidR="00D515D8" w:rsidRPr="00F86647">
        <w:rPr>
          <w:rFonts w:ascii="Arial" w:hAnsi="Arial" w:cs="Arial"/>
          <w:noProof/>
          <w:color w:val="666666"/>
          <w:szCs w:val="24"/>
          <w:shd w:val="clear" w:color="auto" w:fill="FFFFFF"/>
          <w:lang w:val="en-IE"/>
        </w:rPr>
        <w:t>.</w:t>
      </w:r>
      <w:r w:rsidR="00B049E3" w:rsidRPr="00F86647">
        <w:rPr>
          <w:rFonts w:cs="Times New Roman"/>
          <w:noProof/>
          <w:lang w:val="en-IE"/>
        </w:rPr>
        <w:t xml:space="preserve"> </w:t>
      </w:r>
      <w:r w:rsidR="00075EFD" w:rsidRPr="00F86647">
        <w:rPr>
          <w:rFonts w:eastAsia="Times New Roman" w:cs="Times New Roman"/>
          <w:noProof/>
          <w:szCs w:val="24"/>
          <w:lang w:val="en-IE"/>
        </w:rPr>
        <w:t xml:space="preserve"> </w:t>
      </w:r>
    </w:p>
    <w:p w14:paraId="5541F743" w14:textId="4D356372" w:rsidR="00075EFD" w:rsidRDefault="1E1263F6" w:rsidP="353B927E">
      <w:pPr>
        <w:spacing w:after="120"/>
        <w:rPr>
          <w:rFonts w:cs="Times New Roman"/>
          <w:noProof/>
        </w:rPr>
      </w:pPr>
      <w:r>
        <w:rPr>
          <w:rFonts w:cs="Times New Roman"/>
          <w:noProof/>
        </w:rPr>
        <w:t>T</w:t>
      </w:r>
      <w:r w:rsidR="57531305" w:rsidRPr="3982CBDC">
        <w:rPr>
          <w:rFonts w:cs="Times New Roman"/>
          <w:noProof/>
        </w:rPr>
        <w:t xml:space="preserve">he Commission has </w:t>
      </w:r>
      <w:r>
        <w:rPr>
          <w:rFonts w:cs="Times New Roman"/>
          <w:noProof/>
        </w:rPr>
        <w:t xml:space="preserve">therefore </w:t>
      </w:r>
      <w:r w:rsidR="57531305" w:rsidRPr="3982CBDC">
        <w:rPr>
          <w:rFonts w:cs="Times New Roman"/>
          <w:noProof/>
        </w:rPr>
        <w:t xml:space="preserve">decided to </w:t>
      </w:r>
      <w:r w:rsidR="5EBFD151" w:rsidRPr="3982CBDC">
        <w:rPr>
          <w:rFonts w:cs="Times New Roman"/>
          <w:noProof/>
        </w:rPr>
        <w:t>propose changes to</w:t>
      </w:r>
      <w:r w:rsidR="57531305" w:rsidRPr="3B6623F1">
        <w:rPr>
          <w:rFonts w:cs="Times New Roman"/>
          <w:noProof/>
        </w:rPr>
        <w:t xml:space="preserve"> the Regulation and th</w:t>
      </w:r>
      <w:r w:rsidR="3055582D" w:rsidRPr="353B927E">
        <w:rPr>
          <w:rFonts w:cs="Times New Roman"/>
          <w:noProof/>
        </w:rPr>
        <w:t xml:space="preserve">is report is an </w:t>
      </w:r>
      <w:r w:rsidR="3055582D" w:rsidRPr="353B927E">
        <w:rPr>
          <w:rFonts w:cs="Times New Roman"/>
          <w:b/>
          <w:bCs/>
          <w:noProof/>
        </w:rPr>
        <w:t>impact assessment</w:t>
      </w:r>
      <w:r w:rsidR="3055582D" w:rsidRPr="3982CBDC">
        <w:rPr>
          <w:rFonts w:cs="Times New Roman"/>
          <w:noProof/>
        </w:rPr>
        <w:t xml:space="preserve"> of </w:t>
      </w:r>
      <w:r w:rsidR="173FBA8F" w:rsidRPr="3982CBDC">
        <w:rPr>
          <w:rFonts w:cs="Times New Roman"/>
          <w:noProof/>
        </w:rPr>
        <w:t xml:space="preserve">the measures </w:t>
      </w:r>
      <w:r w:rsidR="57531305" w:rsidRPr="3982CBDC">
        <w:rPr>
          <w:rFonts w:cs="Times New Roman"/>
          <w:noProof/>
        </w:rPr>
        <w:t>considered</w:t>
      </w:r>
      <w:r w:rsidR="3055582D" w:rsidRPr="3B6623F1">
        <w:rPr>
          <w:rFonts w:cs="Times New Roman"/>
          <w:noProof/>
        </w:rPr>
        <w:t>.</w:t>
      </w:r>
      <w:r w:rsidR="57531305" w:rsidRPr="3B6623F1">
        <w:rPr>
          <w:rFonts w:cs="Times New Roman"/>
          <w:noProof/>
        </w:rPr>
        <w:t xml:space="preserve"> </w:t>
      </w:r>
      <w:r w:rsidR="00F832D1">
        <w:rPr>
          <w:rFonts w:cs="Times New Roman"/>
          <w:noProof/>
        </w:rPr>
        <w:t>It also includes an evaluation of the current Regulation in Annex A.5.</w:t>
      </w:r>
      <w:r w:rsidR="57531305" w:rsidRPr="3B6623F1">
        <w:rPr>
          <w:rFonts w:cs="Times New Roman"/>
          <w:noProof/>
        </w:rPr>
        <w:t xml:space="preserve"> </w:t>
      </w:r>
    </w:p>
    <w:p w14:paraId="793A5F58" w14:textId="350610D3" w:rsidR="00522072" w:rsidRPr="003F79D8" w:rsidRDefault="00E04F0C" w:rsidP="00E04F0C">
      <w:pPr>
        <w:pStyle w:val="Heading2"/>
        <w:rPr>
          <w:rFonts w:eastAsia="Calibri"/>
          <w:noProof/>
          <w:szCs w:val="24"/>
        </w:rPr>
      </w:pPr>
      <w:bookmarkStart w:id="19" w:name="_Toc94629487"/>
      <w:bookmarkStart w:id="20" w:name="_Toc98857731"/>
      <w:r w:rsidRPr="00E04F0C">
        <w:t>1.2.</w:t>
      </w:r>
      <w:r w:rsidRPr="00E04F0C">
        <w:tab/>
      </w:r>
      <w:r w:rsidR="00075EFD">
        <w:rPr>
          <w:noProof/>
          <w:lang w:eastAsia="de-DE"/>
        </w:rPr>
        <w:t>Sectors involved</w:t>
      </w:r>
      <w:r w:rsidR="00574A8A">
        <w:rPr>
          <w:noProof/>
          <w:lang w:eastAsia="de-DE"/>
        </w:rPr>
        <w:t xml:space="preserve"> and need to perform a sectoral analysis</w:t>
      </w:r>
      <w:bookmarkEnd w:id="19"/>
      <w:bookmarkEnd w:id="20"/>
    </w:p>
    <w:p w14:paraId="76A12A14" w14:textId="35BCD01D" w:rsidR="00AC5649" w:rsidRDefault="002359A4" w:rsidP="3982CBDC">
      <w:pPr>
        <w:spacing w:after="120"/>
        <w:rPr>
          <w:rFonts w:cs="Times New Roman"/>
          <w:noProof/>
          <w:lang w:eastAsia="de-DE"/>
        </w:rPr>
      </w:pPr>
      <w:r w:rsidRPr="3982CBDC">
        <w:rPr>
          <w:rFonts w:cs="Times New Roman"/>
          <w:noProof/>
          <w:lang w:eastAsia="de-DE"/>
        </w:rPr>
        <w:t xml:space="preserve">The main uses of F-gases are </w:t>
      </w:r>
      <w:r w:rsidR="001F1C07" w:rsidRPr="3982CBDC">
        <w:rPr>
          <w:rFonts w:cs="Times New Roman"/>
          <w:noProof/>
          <w:lang w:eastAsia="de-DE"/>
        </w:rPr>
        <w:t xml:space="preserve">as </w:t>
      </w:r>
      <w:r w:rsidR="001F1C07" w:rsidRPr="3982CBDC">
        <w:rPr>
          <w:rFonts w:cs="Times New Roman"/>
          <w:b/>
          <w:bCs/>
          <w:noProof/>
          <w:lang w:eastAsia="de-DE"/>
        </w:rPr>
        <w:t>refrigerants</w:t>
      </w:r>
      <w:r w:rsidR="001F1C07" w:rsidRPr="3982CBDC">
        <w:rPr>
          <w:rFonts w:cs="Times New Roman"/>
          <w:noProof/>
          <w:lang w:eastAsia="de-DE"/>
        </w:rPr>
        <w:t xml:space="preserve"> </w:t>
      </w:r>
      <w:r w:rsidRPr="3982CBDC">
        <w:rPr>
          <w:rFonts w:cs="Times New Roman"/>
          <w:noProof/>
          <w:lang w:eastAsia="de-DE"/>
        </w:rPr>
        <w:t xml:space="preserve">in </w:t>
      </w:r>
      <w:r w:rsidR="0032685D" w:rsidRPr="3982CBDC">
        <w:rPr>
          <w:rFonts w:cs="Times New Roman"/>
          <w:noProof/>
          <w:lang w:eastAsia="de-DE"/>
        </w:rPr>
        <w:t>refrigerators/fre</w:t>
      </w:r>
      <w:r w:rsidR="001F1C07" w:rsidRPr="3982CBDC">
        <w:rPr>
          <w:rFonts w:cs="Times New Roman"/>
          <w:noProof/>
          <w:lang w:eastAsia="de-DE"/>
        </w:rPr>
        <w:t xml:space="preserve">ezers, air conditioners </w:t>
      </w:r>
      <w:r w:rsidR="000E3DC9" w:rsidRPr="3982CBDC">
        <w:rPr>
          <w:rFonts w:cs="Times New Roman"/>
          <w:noProof/>
          <w:lang w:eastAsia="de-DE"/>
        </w:rPr>
        <w:t>(</w:t>
      </w:r>
      <w:r w:rsidR="00C33831">
        <w:rPr>
          <w:rFonts w:cs="Times New Roman"/>
          <w:noProof/>
          <w:lang w:eastAsia="de-DE"/>
        </w:rPr>
        <w:t>AC, which is</w:t>
      </w:r>
      <w:r w:rsidR="00D03ED1">
        <w:rPr>
          <w:rFonts w:cs="Times New Roman"/>
          <w:noProof/>
          <w:lang w:eastAsia="de-DE"/>
        </w:rPr>
        <w:t xml:space="preserve"> </w:t>
      </w:r>
      <w:r w:rsidR="00C33831">
        <w:rPr>
          <w:rFonts w:cs="Times New Roman"/>
          <w:noProof/>
          <w:lang w:eastAsia="de-DE"/>
        </w:rPr>
        <w:t xml:space="preserve">hereafter </w:t>
      </w:r>
      <w:r w:rsidR="00A04300">
        <w:rPr>
          <w:rFonts w:cs="Times New Roman"/>
          <w:noProof/>
          <w:lang w:eastAsia="de-DE"/>
        </w:rPr>
        <w:t>understood to include</w:t>
      </w:r>
      <w:r w:rsidR="000E3DC9" w:rsidRPr="3982CBDC">
        <w:rPr>
          <w:rFonts w:cs="Times New Roman"/>
          <w:noProof/>
          <w:lang w:eastAsia="de-DE"/>
        </w:rPr>
        <w:t xml:space="preserve"> </w:t>
      </w:r>
      <w:r w:rsidR="001F1C07" w:rsidRPr="3982CBDC">
        <w:rPr>
          <w:rFonts w:cs="Times New Roman"/>
          <w:noProof/>
          <w:lang w:eastAsia="de-DE"/>
        </w:rPr>
        <w:t>heat</w:t>
      </w:r>
      <w:r w:rsidR="000E3DC9" w:rsidRPr="3982CBDC">
        <w:rPr>
          <w:rFonts w:cs="Times New Roman"/>
          <w:noProof/>
          <w:lang w:eastAsia="de-DE"/>
        </w:rPr>
        <w:t xml:space="preserve"> </w:t>
      </w:r>
      <w:r w:rsidR="0032685D" w:rsidRPr="3982CBDC">
        <w:rPr>
          <w:rFonts w:cs="Times New Roman"/>
          <w:noProof/>
          <w:lang w:eastAsia="de-DE"/>
        </w:rPr>
        <w:t>pumps</w:t>
      </w:r>
      <w:r w:rsidR="000E3DC9" w:rsidRPr="3982CBDC">
        <w:rPr>
          <w:rFonts w:cs="Times New Roman"/>
          <w:noProof/>
          <w:lang w:eastAsia="de-DE"/>
        </w:rPr>
        <w:t>)</w:t>
      </w:r>
      <w:r w:rsidR="0032685D" w:rsidRPr="3982CBDC">
        <w:rPr>
          <w:rFonts w:cs="Times New Roman"/>
          <w:noProof/>
          <w:lang w:eastAsia="de-DE"/>
        </w:rPr>
        <w:t xml:space="preserve">; as </w:t>
      </w:r>
      <w:r w:rsidR="0032685D" w:rsidRPr="3982CBDC">
        <w:rPr>
          <w:rFonts w:cs="Times New Roman"/>
          <w:b/>
          <w:bCs/>
          <w:noProof/>
          <w:lang w:eastAsia="de-DE"/>
        </w:rPr>
        <w:t>blowing agents</w:t>
      </w:r>
      <w:r w:rsidR="0032685D" w:rsidRPr="3982CBDC">
        <w:rPr>
          <w:rFonts w:cs="Times New Roman"/>
          <w:noProof/>
          <w:lang w:eastAsia="de-DE"/>
        </w:rPr>
        <w:t xml:space="preserve"> for foams; as </w:t>
      </w:r>
      <w:r w:rsidR="0032685D" w:rsidRPr="3982CBDC">
        <w:rPr>
          <w:rFonts w:cs="Times New Roman"/>
          <w:b/>
          <w:bCs/>
          <w:noProof/>
          <w:lang w:eastAsia="de-DE"/>
        </w:rPr>
        <w:t>solvents</w:t>
      </w:r>
      <w:r w:rsidR="0032685D" w:rsidRPr="3982CBDC">
        <w:rPr>
          <w:rFonts w:cs="Times New Roman"/>
          <w:noProof/>
          <w:lang w:eastAsia="de-DE"/>
        </w:rPr>
        <w:t xml:space="preserve">; and in </w:t>
      </w:r>
      <w:r w:rsidR="0032685D" w:rsidRPr="3982CBDC">
        <w:rPr>
          <w:rFonts w:cs="Times New Roman"/>
          <w:b/>
          <w:bCs/>
          <w:noProof/>
          <w:lang w:eastAsia="de-DE"/>
        </w:rPr>
        <w:t>fire extinguishers</w:t>
      </w:r>
      <w:r w:rsidR="001F1C07" w:rsidRPr="3982CBDC">
        <w:rPr>
          <w:rFonts w:cs="Times New Roman"/>
          <w:noProof/>
          <w:lang w:eastAsia="de-DE"/>
        </w:rPr>
        <w:t>,</w:t>
      </w:r>
      <w:r w:rsidR="00A04300">
        <w:rPr>
          <w:rFonts w:cs="Times New Roman"/>
          <w:b/>
          <w:bCs/>
          <w:noProof/>
          <w:lang w:eastAsia="de-DE"/>
        </w:rPr>
        <w:t xml:space="preserve"> metered</w:t>
      </w:r>
      <w:r w:rsidR="001F1C07" w:rsidRPr="3982CBDC">
        <w:rPr>
          <w:rFonts w:cs="Times New Roman"/>
          <w:b/>
          <w:bCs/>
          <w:noProof/>
          <w:lang w:eastAsia="de-DE"/>
        </w:rPr>
        <w:t xml:space="preserve"> dose inhalers (MDIs)</w:t>
      </w:r>
      <w:r w:rsidR="006439C2" w:rsidRPr="3982CBDC">
        <w:rPr>
          <w:rStyle w:val="FootnoteReference"/>
          <w:rFonts w:cs="Times New Roman"/>
          <w:b/>
          <w:bCs/>
          <w:noProof/>
          <w:lang w:eastAsia="de-DE"/>
        </w:rPr>
        <w:footnoteReference w:id="13"/>
      </w:r>
      <w:r w:rsidR="00A04300">
        <w:rPr>
          <w:rFonts w:cs="Times New Roman"/>
          <w:noProof/>
          <w:lang w:eastAsia="de-DE"/>
        </w:rPr>
        <w:t xml:space="preserve">, </w:t>
      </w:r>
      <w:r w:rsidR="00C33831">
        <w:rPr>
          <w:rFonts w:cs="Times New Roman"/>
          <w:noProof/>
          <w:lang w:eastAsia="de-DE"/>
        </w:rPr>
        <w:t xml:space="preserve">technical </w:t>
      </w:r>
      <w:r w:rsidR="0032685D" w:rsidRPr="3982CBDC">
        <w:rPr>
          <w:rFonts w:cs="Times New Roman"/>
          <w:b/>
          <w:bCs/>
          <w:noProof/>
          <w:lang w:eastAsia="de-DE"/>
        </w:rPr>
        <w:t>aerosol</w:t>
      </w:r>
      <w:r w:rsidR="0032685D" w:rsidRPr="3982CBDC">
        <w:rPr>
          <w:rFonts w:cs="Times New Roman"/>
          <w:noProof/>
          <w:lang w:eastAsia="de-DE"/>
        </w:rPr>
        <w:t xml:space="preserve"> </w:t>
      </w:r>
      <w:r w:rsidR="0032685D" w:rsidRPr="00A04300">
        <w:rPr>
          <w:rFonts w:cs="Times New Roman"/>
          <w:b/>
          <w:noProof/>
          <w:lang w:eastAsia="de-DE"/>
        </w:rPr>
        <w:t xml:space="preserve">spray </w:t>
      </w:r>
      <w:r w:rsidR="00AD0D9B" w:rsidRPr="3982CBDC">
        <w:rPr>
          <w:rFonts w:cs="Times New Roman"/>
          <w:noProof/>
          <w:lang w:eastAsia="de-DE"/>
        </w:rPr>
        <w:t>cans</w:t>
      </w:r>
      <w:r w:rsidR="009A6EE2" w:rsidRPr="3982CBDC">
        <w:rPr>
          <w:rFonts w:cs="Times New Roman"/>
          <w:noProof/>
          <w:lang w:eastAsia="de-DE"/>
        </w:rPr>
        <w:t xml:space="preserve"> as well as</w:t>
      </w:r>
      <w:r w:rsidR="0066456C">
        <w:rPr>
          <w:rFonts w:cs="Times New Roman"/>
          <w:noProof/>
          <w:lang w:eastAsia="de-DE"/>
        </w:rPr>
        <w:t xml:space="preserve"> an insulation medium</w:t>
      </w:r>
      <w:r w:rsidR="009A6EE2" w:rsidRPr="3982CBDC">
        <w:rPr>
          <w:rFonts w:cs="Times New Roman"/>
          <w:noProof/>
          <w:lang w:eastAsia="de-DE"/>
        </w:rPr>
        <w:t xml:space="preserve"> in </w:t>
      </w:r>
      <w:r w:rsidR="009A6EE2" w:rsidRPr="00D03ED1">
        <w:rPr>
          <w:rFonts w:cs="Times New Roman"/>
          <w:b/>
          <w:bCs/>
          <w:noProof/>
          <w:lang w:eastAsia="de-DE"/>
        </w:rPr>
        <w:t>electrical transmission</w:t>
      </w:r>
      <w:r w:rsidR="00AD0D9B" w:rsidRPr="3982CBDC">
        <w:rPr>
          <w:rFonts w:cs="Times New Roman"/>
          <w:noProof/>
          <w:lang w:eastAsia="de-DE"/>
        </w:rPr>
        <w:t>.</w:t>
      </w:r>
      <w:r w:rsidR="001F1C07" w:rsidRPr="3982CBDC">
        <w:rPr>
          <w:rFonts w:cs="Times New Roman"/>
          <w:noProof/>
          <w:lang w:eastAsia="de-DE"/>
        </w:rPr>
        <w:t xml:space="preserve"> Emissions occur when these appliances are m</w:t>
      </w:r>
      <w:r w:rsidR="009A6EE2" w:rsidRPr="3982CBDC">
        <w:rPr>
          <w:rFonts w:cs="Times New Roman"/>
          <w:noProof/>
          <w:lang w:eastAsia="de-DE"/>
        </w:rPr>
        <w:t>anufactured, used</w:t>
      </w:r>
      <w:r w:rsidR="00443050">
        <w:rPr>
          <w:rFonts w:cs="Times New Roman"/>
          <w:noProof/>
          <w:lang w:eastAsia="de-DE"/>
        </w:rPr>
        <w:t>,</w:t>
      </w:r>
      <w:r w:rsidR="009A6EE2" w:rsidRPr="3982CBDC">
        <w:rPr>
          <w:rFonts w:cs="Times New Roman"/>
          <w:noProof/>
          <w:lang w:eastAsia="de-DE"/>
        </w:rPr>
        <w:t xml:space="preserve"> or taken out of service</w:t>
      </w:r>
      <w:r w:rsidR="001F1C07" w:rsidRPr="3982CBDC">
        <w:rPr>
          <w:rFonts w:cs="Times New Roman"/>
          <w:noProof/>
          <w:lang w:eastAsia="de-DE"/>
        </w:rPr>
        <w:t xml:space="preserve">. Some of </w:t>
      </w:r>
      <w:r w:rsidR="001A5734">
        <w:rPr>
          <w:rFonts w:cs="Times New Roman"/>
          <w:noProof/>
          <w:lang w:eastAsia="de-DE"/>
        </w:rPr>
        <w:t>them leak throughout their life</w:t>
      </w:r>
      <w:r w:rsidR="001F1C07" w:rsidRPr="3982CBDC">
        <w:rPr>
          <w:rFonts w:cs="Times New Roman"/>
          <w:noProof/>
          <w:lang w:eastAsia="de-DE"/>
        </w:rPr>
        <w:t>time (e.g. refrigeration)</w:t>
      </w:r>
      <w:r w:rsidR="009A6EE2" w:rsidRPr="3982CBDC">
        <w:rPr>
          <w:rFonts w:cs="Times New Roman"/>
          <w:noProof/>
          <w:lang w:eastAsia="de-DE"/>
        </w:rPr>
        <w:t>, others can be 100% emissive</w:t>
      </w:r>
      <w:r w:rsidR="001F1C07" w:rsidRPr="3982CBDC">
        <w:rPr>
          <w:rFonts w:cs="Times New Roman"/>
          <w:noProof/>
          <w:lang w:eastAsia="de-DE"/>
        </w:rPr>
        <w:t xml:space="preserve"> </w:t>
      </w:r>
      <w:r w:rsidR="00C33831">
        <w:rPr>
          <w:rFonts w:cs="Times New Roman"/>
          <w:noProof/>
          <w:lang w:eastAsia="de-DE"/>
        </w:rPr>
        <w:t>at the time of use</w:t>
      </w:r>
      <w:r w:rsidR="00200AF9">
        <w:rPr>
          <w:rFonts w:cs="Times New Roman"/>
          <w:noProof/>
          <w:lang w:eastAsia="de-DE"/>
        </w:rPr>
        <w:t xml:space="preserve"> (e.g. MDIs). </w:t>
      </w:r>
      <w:r w:rsidR="00A04300">
        <w:rPr>
          <w:rFonts w:cs="Times New Roman"/>
          <w:noProof/>
          <w:lang w:eastAsia="de-DE"/>
        </w:rPr>
        <w:t xml:space="preserve">As </w:t>
      </w:r>
      <w:r w:rsidR="00200AF9">
        <w:rPr>
          <w:rFonts w:cs="Times New Roman"/>
          <w:noProof/>
          <w:lang w:eastAsia="de-DE"/>
        </w:rPr>
        <w:t xml:space="preserve">the </w:t>
      </w:r>
      <w:r w:rsidR="009E7077">
        <w:rPr>
          <w:rFonts w:cs="Times New Roman"/>
          <w:noProof/>
          <w:lang w:eastAsia="de-DE"/>
        </w:rPr>
        <w:t>different F-</w:t>
      </w:r>
      <w:r w:rsidR="00200AF9">
        <w:rPr>
          <w:rFonts w:cs="Times New Roman"/>
          <w:noProof/>
          <w:lang w:eastAsia="de-DE"/>
        </w:rPr>
        <w:t>gases have different climate impacts</w:t>
      </w:r>
      <w:r w:rsidR="00A04300">
        <w:rPr>
          <w:rFonts w:cs="Times New Roman"/>
          <w:noProof/>
          <w:lang w:eastAsia="de-DE"/>
        </w:rPr>
        <w:t>, it is necessary to</w:t>
      </w:r>
      <w:r w:rsidR="00B7156A">
        <w:rPr>
          <w:rFonts w:eastAsia="Times New Roman" w:cs="Times New Roman"/>
          <w:noProof/>
        </w:rPr>
        <w:t xml:space="preserve"> determine </w:t>
      </w:r>
      <w:r w:rsidR="0012693A">
        <w:rPr>
          <w:rFonts w:eastAsia="Times New Roman" w:cs="Times New Roman"/>
          <w:noProof/>
        </w:rPr>
        <w:t xml:space="preserve">F-gas </w:t>
      </w:r>
      <w:r w:rsidR="00B7156A" w:rsidRPr="00982CEC">
        <w:rPr>
          <w:rFonts w:eastAsia="Times New Roman" w:cs="Times New Roman"/>
          <w:b/>
          <w:noProof/>
        </w:rPr>
        <w:t>demand</w:t>
      </w:r>
      <w:r w:rsidR="0012693A">
        <w:rPr>
          <w:rFonts w:eastAsia="Times New Roman" w:cs="Times New Roman"/>
          <w:b/>
          <w:noProof/>
        </w:rPr>
        <w:t xml:space="preserve">/use </w:t>
      </w:r>
      <w:r w:rsidR="00B7156A" w:rsidRPr="00982CEC">
        <w:rPr>
          <w:rFonts w:eastAsia="Times New Roman" w:cs="Times New Roman"/>
          <w:b/>
          <w:noProof/>
        </w:rPr>
        <w:t xml:space="preserve">in </w:t>
      </w:r>
      <w:r w:rsidR="0012693A">
        <w:rPr>
          <w:rFonts w:eastAsia="Times New Roman" w:cs="Times New Roman"/>
          <w:b/>
          <w:noProof/>
        </w:rPr>
        <w:t xml:space="preserve">the different </w:t>
      </w:r>
      <w:r w:rsidR="00B7156A" w:rsidRPr="00982CEC">
        <w:rPr>
          <w:rFonts w:eastAsia="Times New Roman" w:cs="Times New Roman"/>
          <w:b/>
          <w:noProof/>
        </w:rPr>
        <w:t>sectors</w:t>
      </w:r>
      <w:r w:rsidR="00ED768E">
        <w:rPr>
          <w:rFonts w:eastAsia="Times New Roman" w:cs="Times New Roman"/>
          <w:b/>
          <w:noProof/>
        </w:rPr>
        <w:t xml:space="preserve"> concerned</w:t>
      </w:r>
      <w:r w:rsidR="00200AF9">
        <w:rPr>
          <w:rFonts w:eastAsia="Times New Roman" w:cs="Times New Roman"/>
          <w:b/>
          <w:noProof/>
        </w:rPr>
        <w:t xml:space="preserve"> and </w:t>
      </w:r>
      <w:r w:rsidR="009E7077">
        <w:rPr>
          <w:rFonts w:eastAsia="Times New Roman" w:cs="Times New Roman"/>
          <w:b/>
          <w:noProof/>
        </w:rPr>
        <w:t>the specific</w:t>
      </w:r>
      <w:r w:rsidR="00200AF9">
        <w:rPr>
          <w:rFonts w:eastAsia="Times New Roman" w:cs="Times New Roman"/>
          <w:b/>
          <w:noProof/>
        </w:rPr>
        <w:t xml:space="preserve"> gases </w:t>
      </w:r>
      <w:r w:rsidR="00ED768E">
        <w:rPr>
          <w:rFonts w:eastAsia="Times New Roman" w:cs="Times New Roman"/>
          <w:b/>
          <w:noProof/>
        </w:rPr>
        <w:t>used</w:t>
      </w:r>
      <w:r w:rsidR="00A04300">
        <w:rPr>
          <w:rFonts w:eastAsia="Times New Roman" w:cs="Times New Roman"/>
          <w:b/>
          <w:noProof/>
        </w:rPr>
        <w:t xml:space="preserve"> in order to estimate future emissions</w:t>
      </w:r>
      <w:r w:rsidR="0012693A">
        <w:rPr>
          <w:rFonts w:eastAsia="Times New Roman" w:cs="Times New Roman"/>
          <w:noProof/>
        </w:rPr>
        <w:t>.</w:t>
      </w:r>
      <w:r w:rsidR="00ED768E">
        <w:rPr>
          <w:rFonts w:eastAsia="Times New Roman" w:cs="Times New Roman"/>
          <w:noProof/>
        </w:rPr>
        <w:t xml:space="preserve"> </w:t>
      </w:r>
      <w:r w:rsidR="0085738F">
        <w:rPr>
          <w:rFonts w:eastAsia="Times New Roman" w:cs="Times New Roman"/>
          <w:noProof/>
        </w:rPr>
        <w:t xml:space="preserve">Furthermore, emission abatement costs vary significantly between sectors. </w:t>
      </w:r>
      <w:r w:rsidR="00ED768E">
        <w:rPr>
          <w:rFonts w:eastAsia="Times New Roman" w:cs="Times New Roman"/>
          <w:noProof/>
        </w:rPr>
        <w:t>For comparability</w:t>
      </w:r>
      <w:r w:rsidR="00B7156A" w:rsidRPr="3982CBDC">
        <w:rPr>
          <w:rFonts w:eastAsia="Times New Roman" w:cs="Times New Roman"/>
          <w:noProof/>
        </w:rPr>
        <w:t xml:space="preserve"> to other GHG emissions, F-gases are expressed in terms of the warming impact (“climate</w:t>
      </w:r>
      <w:r w:rsidR="00ED768E">
        <w:rPr>
          <w:rFonts w:eastAsia="Times New Roman" w:cs="Times New Roman"/>
          <w:noProof/>
        </w:rPr>
        <w:t xml:space="preserve"> forcing”) they would have in a</w:t>
      </w:r>
      <w:r w:rsidR="00B7156A" w:rsidRPr="3982CBDC">
        <w:rPr>
          <w:rFonts w:eastAsia="Times New Roman" w:cs="Times New Roman"/>
          <w:noProof/>
        </w:rPr>
        <w:t xml:space="preserve"> 100 years </w:t>
      </w:r>
      <w:r w:rsidR="00ED768E">
        <w:rPr>
          <w:rFonts w:eastAsia="Times New Roman" w:cs="Times New Roman"/>
          <w:noProof/>
        </w:rPr>
        <w:t xml:space="preserve">timespan </w:t>
      </w:r>
      <w:r w:rsidR="00B7156A" w:rsidRPr="3982CBDC">
        <w:rPr>
          <w:rFonts w:eastAsia="Times New Roman" w:cs="Times New Roman"/>
          <w:noProof/>
        </w:rPr>
        <w:t>relative to CO</w:t>
      </w:r>
      <w:r w:rsidR="00B7156A" w:rsidRPr="00ED768E">
        <w:rPr>
          <w:rFonts w:eastAsia="Times New Roman" w:cs="Times New Roman"/>
          <w:noProof/>
          <w:vertAlign w:val="subscript"/>
        </w:rPr>
        <w:t>2</w:t>
      </w:r>
      <w:r w:rsidR="003819CF">
        <w:rPr>
          <w:rFonts w:eastAsia="Times New Roman" w:cs="Times New Roman"/>
          <w:noProof/>
        </w:rPr>
        <w:t>, referred to as the Global Warming Potential (GWP)</w:t>
      </w:r>
      <w:r w:rsidR="003819CF" w:rsidRPr="003819CF">
        <w:rPr>
          <w:rStyle w:val="FootnoteReference"/>
          <w:rFonts w:cs="Times New Roman"/>
          <w:b/>
          <w:bCs/>
          <w:noProof/>
          <w:lang w:eastAsia="de-DE"/>
        </w:rPr>
        <w:t xml:space="preserve"> </w:t>
      </w:r>
      <w:r w:rsidR="003819CF" w:rsidRPr="3982CBDC">
        <w:rPr>
          <w:rStyle w:val="FootnoteReference"/>
          <w:rFonts w:cs="Times New Roman"/>
          <w:b/>
          <w:bCs/>
          <w:noProof/>
          <w:lang w:eastAsia="de-DE"/>
        </w:rPr>
        <w:footnoteReference w:id="14"/>
      </w:r>
      <w:r w:rsidR="00B7156A" w:rsidRPr="3982CBDC">
        <w:rPr>
          <w:rFonts w:eastAsia="Times New Roman" w:cs="Times New Roman"/>
          <w:noProof/>
        </w:rPr>
        <w:t xml:space="preserve">. Thus, </w:t>
      </w:r>
      <w:r w:rsidR="00B7156A">
        <w:rPr>
          <w:rFonts w:eastAsia="Times New Roman" w:cs="Times New Roman"/>
          <w:noProof/>
        </w:rPr>
        <w:t xml:space="preserve">this report distinguishes between </w:t>
      </w:r>
      <w:r w:rsidR="00B7156A" w:rsidRPr="002209AD">
        <w:rPr>
          <w:rFonts w:eastAsia="Times New Roman" w:cs="Times New Roman"/>
          <w:b/>
          <w:noProof/>
        </w:rPr>
        <w:t xml:space="preserve">demand </w:t>
      </w:r>
      <w:r w:rsidR="003819CF">
        <w:rPr>
          <w:rFonts w:eastAsia="Times New Roman" w:cs="Times New Roman"/>
          <w:b/>
          <w:noProof/>
        </w:rPr>
        <w:t xml:space="preserve">for F-gases </w:t>
      </w:r>
      <w:r w:rsidR="00B7156A" w:rsidRPr="002209AD">
        <w:rPr>
          <w:rFonts w:eastAsia="Times New Roman" w:cs="Times New Roman"/>
          <w:b/>
          <w:noProof/>
        </w:rPr>
        <w:t>and emissions</w:t>
      </w:r>
      <w:r w:rsidR="00B7156A" w:rsidRPr="3982CBDC">
        <w:rPr>
          <w:rFonts w:eastAsia="Times New Roman" w:cs="Times New Roman"/>
          <w:noProof/>
        </w:rPr>
        <w:t xml:space="preserve"> </w:t>
      </w:r>
      <w:r w:rsidR="003819CF">
        <w:rPr>
          <w:rFonts w:eastAsia="Times New Roman" w:cs="Times New Roman"/>
          <w:noProof/>
        </w:rPr>
        <w:t xml:space="preserve">of these gases </w:t>
      </w:r>
      <w:r w:rsidR="00B7156A">
        <w:rPr>
          <w:rFonts w:eastAsia="Times New Roman" w:cs="Times New Roman"/>
          <w:noProof/>
        </w:rPr>
        <w:t>and express</w:t>
      </w:r>
      <w:r w:rsidR="00ED768E">
        <w:rPr>
          <w:rFonts w:eastAsia="Times New Roman" w:cs="Times New Roman"/>
          <w:noProof/>
        </w:rPr>
        <w:t xml:space="preserve">es </w:t>
      </w:r>
      <w:r w:rsidR="00C33831">
        <w:rPr>
          <w:rFonts w:eastAsia="Times New Roman" w:cs="Times New Roman"/>
          <w:noProof/>
        </w:rPr>
        <w:t xml:space="preserve">both of </w:t>
      </w:r>
      <w:r w:rsidR="00ED768E">
        <w:rPr>
          <w:rFonts w:eastAsia="Times New Roman" w:cs="Times New Roman"/>
          <w:noProof/>
        </w:rPr>
        <w:t>the</w:t>
      </w:r>
      <w:r w:rsidR="00B7156A">
        <w:rPr>
          <w:rFonts w:eastAsia="Times New Roman" w:cs="Times New Roman"/>
          <w:noProof/>
        </w:rPr>
        <w:t xml:space="preserve">se </w:t>
      </w:r>
      <w:r w:rsidR="00B7156A" w:rsidRPr="002209AD">
        <w:rPr>
          <w:rFonts w:eastAsia="Times New Roman" w:cs="Times New Roman"/>
          <w:b/>
          <w:noProof/>
        </w:rPr>
        <w:t xml:space="preserve">quantities in </w:t>
      </w:r>
      <w:r w:rsidR="00ED768E" w:rsidRPr="00ED768E">
        <w:rPr>
          <w:rFonts w:eastAsia="Times New Roman" w:cs="Times New Roman"/>
          <w:b/>
          <w:noProof/>
        </w:rPr>
        <w:t>tonne</w:t>
      </w:r>
      <w:r w:rsidR="00ED768E">
        <w:rPr>
          <w:rFonts w:eastAsia="Times New Roman" w:cs="Times New Roman"/>
          <w:b/>
          <w:noProof/>
        </w:rPr>
        <w:t>s</w:t>
      </w:r>
      <w:r w:rsidR="00ED768E" w:rsidRPr="00ED768E">
        <w:rPr>
          <w:rFonts w:eastAsia="Times New Roman" w:cs="Times New Roman"/>
          <w:b/>
          <w:noProof/>
        </w:rPr>
        <w:t xml:space="preserve"> CO2 equivalent</w:t>
      </w:r>
      <w:r w:rsidR="00443050">
        <w:rPr>
          <w:rFonts w:eastAsia="Times New Roman" w:cs="Times New Roman"/>
          <w:b/>
          <w:noProof/>
        </w:rPr>
        <w:t>, i.e.</w:t>
      </w:r>
      <w:r w:rsidR="00ED768E" w:rsidRPr="00ED768E">
        <w:rPr>
          <w:rFonts w:eastAsia="Times New Roman" w:cs="Times New Roman"/>
          <w:b/>
          <w:noProof/>
        </w:rPr>
        <w:t xml:space="preserve"> </w:t>
      </w:r>
      <w:r w:rsidR="00B7156A" w:rsidRPr="002209AD">
        <w:rPr>
          <w:rFonts w:eastAsia="Times New Roman" w:cs="Times New Roman"/>
          <w:b/>
          <w:noProof/>
        </w:rPr>
        <w:t>tCO2e</w:t>
      </w:r>
      <w:r w:rsidR="00B7156A" w:rsidRPr="002209AD">
        <w:rPr>
          <w:rStyle w:val="FootnoteReference"/>
          <w:rFonts w:eastAsia="Times New Roman" w:cs="Times New Roman"/>
          <w:b/>
          <w:noProof/>
        </w:rPr>
        <w:footnoteReference w:id="15"/>
      </w:r>
      <w:r w:rsidR="00B7156A" w:rsidRPr="002209AD">
        <w:rPr>
          <w:rFonts w:eastAsia="Times New Roman" w:cs="Times New Roman"/>
          <w:b/>
          <w:noProof/>
        </w:rPr>
        <w:t xml:space="preserve"> and their weight in metric tonnes (t)</w:t>
      </w:r>
      <w:r w:rsidR="00B7156A" w:rsidRPr="3982CBDC">
        <w:rPr>
          <w:rFonts w:eastAsia="Times New Roman" w:cs="Times New Roman"/>
          <w:noProof/>
        </w:rPr>
        <w:t>.</w:t>
      </w:r>
      <w:r w:rsidR="00A2449E">
        <w:rPr>
          <w:rFonts w:cs="Times New Roman"/>
          <w:noProof/>
          <w:lang w:eastAsia="de-DE"/>
        </w:rPr>
        <w:t xml:space="preserve"> </w:t>
      </w:r>
      <w:r w:rsidR="001F1C07" w:rsidRPr="3982CBDC">
        <w:rPr>
          <w:rFonts w:cs="Times New Roman"/>
          <w:b/>
          <w:bCs/>
          <w:noProof/>
          <w:lang w:eastAsia="de-DE"/>
        </w:rPr>
        <w:t>Hydrofluorocarbons (HFCs) are by far the most relevant F-gas group</w:t>
      </w:r>
      <w:r w:rsidR="001F1C07" w:rsidRPr="3982CBDC">
        <w:rPr>
          <w:rFonts w:cs="Times New Roman"/>
          <w:noProof/>
          <w:lang w:eastAsia="de-DE"/>
        </w:rPr>
        <w:t xml:space="preserve">, </w:t>
      </w:r>
      <w:r w:rsidR="00094C22">
        <w:rPr>
          <w:rFonts w:cs="Times New Roman"/>
          <w:noProof/>
          <w:lang w:eastAsia="de-DE"/>
        </w:rPr>
        <w:t xml:space="preserve">as they represent </w:t>
      </w:r>
      <w:r w:rsidR="001A5734">
        <w:rPr>
          <w:rFonts w:cs="Times New Roman"/>
          <w:noProof/>
          <w:lang w:eastAsia="de-DE"/>
        </w:rPr>
        <w:t>ca. 85</w:t>
      </w:r>
      <w:r w:rsidR="006D54DE">
        <w:rPr>
          <w:rFonts w:cs="Times New Roman"/>
          <w:noProof/>
          <w:lang w:eastAsia="de-DE"/>
        </w:rPr>
        <w:t xml:space="preserve">% of </w:t>
      </w:r>
      <w:r w:rsidR="006154C4">
        <w:rPr>
          <w:rFonts w:cs="Times New Roman"/>
          <w:noProof/>
          <w:lang w:eastAsia="de-DE"/>
        </w:rPr>
        <w:t xml:space="preserve">F-gas </w:t>
      </w:r>
      <w:r w:rsidR="006D54DE">
        <w:rPr>
          <w:rFonts w:cs="Times New Roman"/>
          <w:noProof/>
          <w:lang w:eastAsia="de-DE"/>
        </w:rPr>
        <w:t>emissions</w:t>
      </w:r>
      <w:r w:rsidR="00094C22">
        <w:rPr>
          <w:rFonts w:cs="Times New Roman"/>
          <w:noProof/>
          <w:lang w:eastAsia="de-DE"/>
        </w:rPr>
        <w:t xml:space="preserve"> (see </w:t>
      </w:r>
      <w:r w:rsidR="001A5734" w:rsidRPr="0012693A">
        <w:rPr>
          <w:rFonts w:cs="Times New Roman"/>
          <w:noProof/>
          <w:lang w:eastAsia="de-DE"/>
        </w:rPr>
        <w:t xml:space="preserve">Annex </w:t>
      </w:r>
      <w:r w:rsidR="00C33831">
        <w:rPr>
          <w:rFonts w:cs="Times New Roman"/>
          <w:noProof/>
          <w:lang w:eastAsia="de-DE"/>
        </w:rPr>
        <w:t>A5.4.1.4</w:t>
      </w:r>
      <w:r w:rsidR="001A5734">
        <w:rPr>
          <w:rFonts w:cs="Times New Roman"/>
          <w:noProof/>
          <w:lang w:eastAsia="de-DE"/>
        </w:rPr>
        <w:t>)</w:t>
      </w:r>
      <w:r w:rsidR="006D54DE">
        <w:rPr>
          <w:rFonts w:cs="Times New Roman"/>
          <w:noProof/>
          <w:lang w:eastAsia="de-DE"/>
        </w:rPr>
        <w:t xml:space="preserve">, </w:t>
      </w:r>
      <w:r w:rsidR="001F1C07" w:rsidRPr="3982CBDC">
        <w:rPr>
          <w:rFonts w:cs="Times New Roman"/>
          <w:noProof/>
          <w:lang w:eastAsia="de-DE"/>
        </w:rPr>
        <w:t>but use and emissions from other</w:t>
      </w:r>
      <w:r w:rsidR="009A6EE2" w:rsidRPr="3982CBDC">
        <w:rPr>
          <w:rFonts w:cs="Times New Roman"/>
          <w:noProof/>
          <w:lang w:eastAsia="de-DE"/>
        </w:rPr>
        <w:t xml:space="preserve"> </w:t>
      </w:r>
      <w:r w:rsidR="001F1C07" w:rsidRPr="3982CBDC">
        <w:rPr>
          <w:rFonts w:cs="Times New Roman"/>
          <w:noProof/>
          <w:lang w:eastAsia="de-DE"/>
        </w:rPr>
        <w:t>s</w:t>
      </w:r>
      <w:r w:rsidR="009A6EE2" w:rsidRPr="3982CBDC">
        <w:rPr>
          <w:rFonts w:cs="Times New Roman"/>
          <w:noProof/>
          <w:lang w:eastAsia="de-DE"/>
        </w:rPr>
        <w:t>ubstances</w:t>
      </w:r>
      <w:r w:rsidR="001F1C07" w:rsidRPr="3982CBDC">
        <w:rPr>
          <w:rFonts w:cs="Times New Roman"/>
          <w:noProof/>
          <w:lang w:eastAsia="de-DE"/>
        </w:rPr>
        <w:t xml:space="preserve"> such as </w:t>
      </w:r>
      <w:r w:rsidR="001F1C07" w:rsidRPr="00D03ED1">
        <w:rPr>
          <w:rFonts w:cs="Times New Roman"/>
          <w:b/>
          <w:bCs/>
          <w:noProof/>
          <w:lang w:eastAsia="de-DE"/>
        </w:rPr>
        <w:t>perfluorocarbons (PFCs)</w:t>
      </w:r>
      <w:r w:rsidR="001F1C07" w:rsidRPr="3982CBDC">
        <w:rPr>
          <w:rFonts w:cs="Times New Roman"/>
          <w:noProof/>
          <w:lang w:eastAsia="de-DE"/>
        </w:rPr>
        <w:t xml:space="preserve">, </w:t>
      </w:r>
      <w:r w:rsidR="001F1C07" w:rsidRPr="00D03ED1">
        <w:rPr>
          <w:rFonts w:cs="Times New Roman"/>
          <w:b/>
          <w:bCs/>
          <w:noProof/>
          <w:lang w:eastAsia="de-DE"/>
        </w:rPr>
        <w:t>sulphur hexafluoride (SF</w:t>
      </w:r>
      <w:r w:rsidR="001F1C07" w:rsidRPr="001A5734">
        <w:rPr>
          <w:rFonts w:cs="Times New Roman"/>
          <w:b/>
          <w:bCs/>
          <w:noProof/>
          <w:vertAlign w:val="subscript"/>
          <w:lang w:eastAsia="de-DE"/>
        </w:rPr>
        <w:t>6</w:t>
      </w:r>
      <w:r w:rsidR="001F1C07" w:rsidRPr="00D03ED1">
        <w:rPr>
          <w:rFonts w:cs="Times New Roman"/>
          <w:b/>
          <w:bCs/>
          <w:noProof/>
          <w:lang w:eastAsia="de-DE"/>
        </w:rPr>
        <w:t>)</w:t>
      </w:r>
      <w:r w:rsidR="001F1C07" w:rsidRPr="3982CBDC">
        <w:rPr>
          <w:rFonts w:cs="Times New Roman"/>
          <w:noProof/>
          <w:lang w:eastAsia="de-DE"/>
        </w:rPr>
        <w:t xml:space="preserve"> and </w:t>
      </w:r>
      <w:r w:rsidR="001F1C07" w:rsidRPr="00D03ED1">
        <w:rPr>
          <w:rFonts w:cs="Times New Roman"/>
          <w:b/>
          <w:bCs/>
          <w:noProof/>
          <w:lang w:eastAsia="de-DE"/>
        </w:rPr>
        <w:t>nitrogen</w:t>
      </w:r>
      <w:r w:rsidR="00DB1EAE">
        <w:rPr>
          <w:rFonts w:cs="Times New Roman"/>
          <w:b/>
          <w:bCs/>
          <w:noProof/>
          <w:lang w:eastAsia="de-DE"/>
        </w:rPr>
        <w:t xml:space="preserve"> </w:t>
      </w:r>
      <w:r w:rsidR="001F1C07" w:rsidRPr="00D03ED1">
        <w:rPr>
          <w:rFonts w:cs="Times New Roman"/>
          <w:b/>
          <w:bCs/>
          <w:noProof/>
          <w:lang w:eastAsia="de-DE"/>
        </w:rPr>
        <w:t>trifluoride (NF</w:t>
      </w:r>
      <w:r w:rsidR="001F1C07" w:rsidRPr="001A5734">
        <w:rPr>
          <w:rFonts w:cs="Times New Roman"/>
          <w:b/>
          <w:bCs/>
          <w:noProof/>
          <w:vertAlign w:val="subscript"/>
          <w:lang w:eastAsia="de-DE"/>
        </w:rPr>
        <w:t>3</w:t>
      </w:r>
      <w:r w:rsidR="001F1C07" w:rsidRPr="00D03ED1">
        <w:rPr>
          <w:rFonts w:cs="Times New Roman"/>
          <w:b/>
          <w:bCs/>
          <w:noProof/>
          <w:lang w:eastAsia="de-DE"/>
        </w:rPr>
        <w:t>)</w:t>
      </w:r>
      <w:r w:rsidR="006D54DE">
        <w:rPr>
          <w:rFonts w:cs="Times New Roman"/>
          <w:noProof/>
          <w:lang w:eastAsia="de-DE"/>
        </w:rPr>
        <w:t xml:space="preserve"> are also relevant</w:t>
      </w:r>
      <w:r w:rsidR="00B001A8" w:rsidRPr="3982CBDC">
        <w:rPr>
          <w:rFonts w:cs="Times New Roman"/>
          <w:noProof/>
          <w:lang w:eastAsia="de-DE"/>
        </w:rPr>
        <w:t>.</w:t>
      </w:r>
      <w:r w:rsidR="00AD0D9B" w:rsidRPr="3982CBDC">
        <w:rPr>
          <w:rFonts w:cs="Times New Roman"/>
          <w:noProof/>
          <w:lang w:eastAsia="de-DE"/>
        </w:rPr>
        <w:t xml:space="preserve"> </w:t>
      </w:r>
    </w:p>
    <w:p w14:paraId="42FBD0E1" w14:textId="01C31B97" w:rsidR="00A14107" w:rsidRPr="00A14107" w:rsidRDefault="00E04F0C" w:rsidP="00E04F0C">
      <w:pPr>
        <w:pStyle w:val="Heading2"/>
        <w:rPr>
          <w:noProof/>
        </w:rPr>
      </w:pPr>
      <w:bookmarkStart w:id="21" w:name="_Toc71559389"/>
      <w:bookmarkStart w:id="22" w:name="_Toc71706994"/>
      <w:bookmarkStart w:id="23" w:name="_Toc71708204"/>
      <w:bookmarkStart w:id="24" w:name="_Toc71710936"/>
      <w:bookmarkStart w:id="25" w:name="_Toc72399338"/>
      <w:bookmarkStart w:id="26" w:name="_Toc88571895"/>
      <w:bookmarkStart w:id="27" w:name="_Ref93915148"/>
      <w:bookmarkStart w:id="28" w:name="_Ref94024511"/>
      <w:bookmarkStart w:id="29" w:name="_Toc94629488"/>
      <w:bookmarkStart w:id="30" w:name="_Ref98235132"/>
      <w:bookmarkStart w:id="31" w:name="_Toc98857732"/>
      <w:r w:rsidRPr="00E04F0C">
        <w:t>1.3.</w:t>
      </w:r>
      <w:r w:rsidRPr="00E04F0C">
        <w:tab/>
      </w:r>
      <w:r w:rsidR="3982CBDC">
        <w:rPr>
          <w:noProof/>
        </w:rPr>
        <w:t>The EU F-gas Regulation (Regulation (EU) No 517/2014)</w:t>
      </w:r>
      <w:bookmarkEnd w:id="21"/>
      <w:bookmarkEnd w:id="22"/>
      <w:bookmarkEnd w:id="23"/>
      <w:bookmarkEnd w:id="24"/>
      <w:bookmarkEnd w:id="25"/>
      <w:bookmarkEnd w:id="26"/>
      <w:bookmarkEnd w:id="27"/>
      <w:bookmarkEnd w:id="28"/>
      <w:bookmarkEnd w:id="29"/>
      <w:bookmarkEnd w:id="30"/>
      <w:bookmarkEnd w:id="31"/>
    </w:p>
    <w:p w14:paraId="15E5506A" w14:textId="57DE0460" w:rsidR="00047321" w:rsidRPr="00ED768E" w:rsidRDefault="3982CBDC" w:rsidP="00ED768E">
      <w:pPr>
        <w:spacing w:after="120"/>
        <w:rPr>
          <w:rFonts w:eastAsia="Times New Roman" w:cs="Times New Roman"/>
          <w:noProof/>
        </w:rPr>
      </w:pPr>
      <w:r w:rsidRPr="3982CBDC">
        <w:rPr>
          <w:rFonts w:cs="Times New Roman"/>
          <w:noProof/>
          <w:lang w:eastAsia="de-DE"/>
        </w:rPr>
        <w:t xml:space="preserve">F-gas </w:t>
      </w:r>
      <w:r w:rsidRPr="3982CBDC">
        <w:rPr>
          <w:rFonts w:eastAsia="Times New Roman" w:cs="Times New Roman"/>
          <w:noProof/>
        </w:rPr>
        <w:t xml:space="preserve">emissions can be reduced </w:t>
      </w:r>
      <w:r w:rsidR="007C7303">
        <w:rPr>
          <w:rFonts w:eastAsia="Times New Roman" w:cs="Times New Roman"/>
          <w:noProof/>
        </w:rPr>
        <w:t xml:space="preserve">by </w:t>
      </w:r>
      <w:r w:rsidRPr="3982CBDC">
        <w:rPr>
          <w:rFonts w:eastAsia="Times New Roman" w:cs="Times New Roman"/>
          <w:noProof/>
        </w:rPr>
        <w:t xml:space="preserve">(i) </w:t>
      </w:r>
      <w:r w:rsidRPr="007C7303">
        <w:rPr>
          <w:rFonts w:eastAsia="Times New Roman" w:cs="Times New Roman"/>
          <w:b/>
          <w:noProof/>
        </w:rPr>
        <w:t>avoiding that F-gases are used</w:t>
      </w:r>
      <w:r w:rsidRPr="3982CBDC">
        <w:rPr>
          <w:rFonts w:eastAsia="Times New Roman" w:cs="Times New Roman"/>
          <w:noProof/>
        </w:rPr>
        <w:t xml:space="preserve"> in the first place</w:t>
      </w:r>
      <w:r w:rsidR="0019228C">
        <w:rPr>
          <w:rFonts w:eastAsia="Times New Roman" w:cs="Times New Roman"/>
          <w:noProof/>
        </w:rPr>
        <w:t xml:space="preserve"> (i.e. reduce the demand for F-gases)</w:t>
      </w:r>
      <w:r w:rsidRPr="3982CBDC">
        <w:rPr>
          <w:rFonts w:eastAsia="Times New Roman" w:cs="Times New Roman"/>
          <w:noProof/>
        </w:rPr>
        <w:t xml:space="preserve">, or (ii) ensuring </w:t>
      </w:r>
      <w:r w:rsidR="007C7303" w:rsidRPr="3982CBDC">
        <w:rPr>
          <w:rFonts w:eastAsia="Times New Roman" w:cs="Times New Roman"/>
          <w:noProof/>
        </w:rPr>
        <w:t>there are measures</w:t>
      </w:r>
      <w:r w:rsidR="0066456C">
        <w:rPr>
          <w:rFonts w:eastAsia="Times New Roman" w:cs="Times New Roman"/>
          <w:noProof/>
        </w:rPr>
        <w:t xml:space="preserve"> to</w:t>
      </w:r>
      <w:r w:rsidR="007C7303" w:rsidRPr="3982CBDC">
        <w:rPr>
          <w:rFonts w:eastAsia="Times New Roman" w:cs="Times New Roman"/>
          <w:noProof/>
        </w:rPr>
        <w:t xml:space="preserve"> </w:t>
      </w:r>
      <w:r w:rsidR="007C7303" w:rsidRPr="007C7303">
        <w:rPr>
          <w:rFonts w:eastAsia="Times New Roman" w:cs="Times New Roman"/>
          <w:b/>
          <w:noProof/>
        </w:rPr>
        <w:t>prevent emissions or leaks</w:t>
      </w:r>
      <w:r w:rsidR="007C7303" w:rsidRPr="3982CBDC">
        <w:rPr>
          <w:rFonts w:eastAsia="Times New Roman" w:cs="Times New Roman"/>
          <w:noProof/>
        </w:rPr>
        <w:t xml:space="preserve"> </w:t>
      </w:r>
      <w:r w:rsidRPr="3982CBDC">
        <w:rPr>
          <w:rFonts w:eastAsia="Times New Roman" w:cs="Times New Roman"/>
          <w:noProof/>
        </w:rPr>
        <w:t>when the</w:t>
      </w:r>
      <w:r w:rsidR="007C7303">
        <w:rPr>
          <w:rFonts w:eastAsia="Times New Roman" w:cs="Times New Roman"/>
          <w:noProof/>
        </w:rPr>
        <w:t xml:space="preserve"> gases</w:t>
      </w:r>
      <w:r w:rsidRPr="3982CBDC">
        <w:rPr>
          <w:rFonts w:eastAsia="Times New Roman" w:cs="Times New Roman"/>
          <w:noProof/>
        </w:rPr>
        <w:t xml:space="preserve"> are</w:t>
      </w:r>
      <w:r w:rsidR="007C7303">
        <w:rPr>
          <w:rFonts w:eastAsia="Times New Roman" w:cs="Times New Roman"/>
          <w:noProof/>
        </w:rPr>
        <w:t xml:space="preserve"> produced, used and disposed of</w:t>
      </w:r>
      <w:r w:rsidR="0019228C">
        <w:rPr>
          <w:rFonts w:eastAsia="Times New Roman" w:cs="Times New Roman"/>
          <w:noProof/>
        </w:rPr>
        <w:t xml:space="preserve"> (“containment”)</w:t>
      </w:r>
      <w:r w:rsidRPr="3982CBDC">
        <w:rPr>
          <w:rFonts w:eastAsia="Times New Roman" w:cs="Times New Roman"/>
          <w:noProof/>
        </w:rPr>
        <w:t>.</w:t>
      </w:r>
      <w:r w:rsidRPr="3982CBDC">
        <w:rPr>
          <w:rFonts w:cs="Times New Roman"/>
          <w:noProof/>
          <w:lang w:eastAsia="de-DE"/>
        </w:rPr>
        <w:t xml:space="preserve"> </w:t>
      </w:r>
      <w:r w:rsidRPr="3982CBDC">
        <w:rPr>
          <w:rFonts w:eastAsia="Times New Roman" w:cs="Times New Roman"/>
          <w:noProof/>
        </w:rPr>
        <w:t>T</w:t>
      </w:r>
      <w:r w:rsidR="007C7303">
        <w:rPr>
          <w:rFonts w:eastAsia="Times New Roman" w:cs="Times New Roman"/>
          <w:noProof/>
        </w:rPr>
        <w:t xml:space="preserve">o this end </w:t>
      </w:r>
      <w:r w:rsidRPr="3982CBDC">
        <w:rPr>
          <w:rFonts w:eastAsia="Times New Roman" w:cs="Times New Roman"/>
          <w:noProof/>
        </w:rPr>
        <w:t xml:space="preserve">the </w:t>
      </w:r>
      <w:r w:rsidR="00443050">
        <w:rPr>
          <w:rFonts w:eastAsia="Times New Roman" w:cs="Times New Roman"/>
          <w:noProof/>
        </w:rPr>
        <w:t xml:space="preserve">2014 </w:t>
      </w:r>
      <w:r w:rsidRPr="3982CBDC">
        <w:rPr>
          <w:rFonts w:eastAsia="Times New Roman" w:cs="Times New Roman"/>
          <w:noProof/>
        </w:rPr>
        <w:t xml:space="preserve">Regulation had the following </w:t>
      </w:r>
      <w:r w:rsidRPr="3982CBDC">
        <w:rPr>
          <w:rFonts w:eastAsia="Times New Roman" w:cs="Times New Roman"/>
          <w:b/>
          <w:bCs/>
          <w:noProof/>
        </w:rPr>
        <w:t>specific objectives</w:t>
      </w:r>
      <w:r w:rsidRPr="3982CBDC">
        <w:rPr>
          <w:rFonts w:eastAsia="Times New Roman" w:cs="Times New Roman"/>
          <w:noProof/>
        </w:rPr>
        <w:t xml:space="preserve">: </w:t>
      </w:r>
    </w:p>
    <w:p w14:paraId="194AA5E9" w14:textId="04D9F561" w:rsidR="00047321" w:rsidRPr="00047321" w:rsidRDefault="00110BE0" w:rsidP="0017603A">
      <w:pPr>
        <w:pStyle w:val="ListParagraph"/>
        <w:numPr>
          <w:ilvl w:val="0"/>
          <w:numId w:val="103"/>
        </w:numPr>
        <w:spacing w:after="120"/>
        <w:rPr>
          <w:rFonts w:eastAsia="Times New Roman" w:cs="Times New Roman"/>
          <w:noProof/>
        </w:rPr>
      </w:pPr>
      <w:r w:rsidRPr="3982CBDC">
        <w:rPr>
          <w:rFonts w:cs="Times New Roman"/>
          <w:b/>
          <w:bCs/>
          <w:noProof/>
          <w:lang w:eastAsia="de-DE"/>
        </w:rPr>
        <w:t xml:space="preserve">Discourage the use of F-gases with high </w:t>
      </w:r>
      <w:r w:rsidR="00F65128" w:rsidRPr="3982CBDC">
        <w:rPr>
          <w:rFonts w:cs="Times New Roman"/>
          <w:b/>
          <w:bCs/>
          <w:noProof/>
          <w:lang w:eastAsia="de-DE"/>
        </w:rPr>
        <w:t>Global Wa</w:t>
      </w:r>
      <w:r w:rsidR="00DD42FC">
        <w:rPr>
          <w:rFonts w:cs="Times New Roman"/>
          <w:b/>
          <w:bCs/>
          <w:noProof/>
          <w:lang w:eastAsia="de-DE"/>
        </w:rPr>
        <w:t>rming Potential</w:t>
      </w:r>
      <w:r w:rsidRPr="3982CBDC">
        <w:rPr>
          <w:rFonts w:cs="Times New Roman"/>
          <w:noProof/>
          <w:lang w:eastAsia="de-DE"/>
        </w:rPr>
        <w:t xml:space="preserve"> and encourage the use of alternative substances or technologies when they result in lower GHG emissions without compromising safety, functionality and energy efficiency</w:t>
      </w:r>
      <w:r w:rsidR="00047321" w:rsidRPr="3982CBDC">
        <w:rPr>
          <w:rFonts w:cs="Times New Roman"/>
          <w:noProof/>
          <w:lang w:eastAsia="de-DE"/>
        </w:rPr>
        <w:t>;</w:t>
      </w:r>
    </w:p>
    <w:p w14:paraId="5FCBA659" w14:textId="77777777" w:rsidR="00047321" w:rsidRPr="00047321" w:rsidRDefault="3982CBDC" w:rsidP="0017603A">
      <w:pPr>
        <w:pStyle w:val="ListParagraph"/>
        <w:numPr>
          <w:ilvl w:val="0"/>
          <w:numId w:val="103"/>
        </w:numPr>
        <w:spacing w:after="120"/>
        <w:rPr>
          <w:rFonts w:eastAsia="Times New Roman" w:cs="Times New Roman"/>
          <w:noProof/>
        </w:rPr>
      </w:pPr>
      <w:r w:rsidRPr="3982CBDC">
        <w:rPr>
          <w:rFonts w:cs="Times New Roman"/>
          <w:b/>
          <w:bCs/>
          <w:noProof/>
          <w:lang w:eastAsia="de-DE"/>
        </w:rPr>
        <w:t>Prevent leakage from equipment and proper end of life treatment</w:t>
      </w:r>
      <w:r w:rsidRPr="3982CBDC">
        <w:rPr>
          <w:rFonts w:cs="Times New Roman"/>
          <w:noProof/>
          <w:lang w:eastAsia="de-DE"/>
        </w:rPr>
        <w:t xml:space="preserve"> of F-gases in applications;</w:t>
      </w:r>
    </w:p>
    <w:p w14:paraId="22B981D8" w14:textId="17B5689E" w:rsidR="00047321" w:rsidRDefault="3982CBDC" w:rsidP="0017603A">
      <w:pPr>
        <w:pStyle w:val="ListParagraph"/>
        <w:numPr>
          <w:ilvl w:val="0"/>
          <w:numId w:val="103"/>
        </w:numPr>
        <w:spacing w:after="120"/>
        <w:rPr>
          <w:rFonts w:eastAsia="Times New Roman" w:cs="Times New Roman"/>
          <w:noProof/>
        </w:rPr>
      </w:pPr>
      <w:r w:rsidRPr="3982CBDC">
        <w:rPr>
          <w:rFonts w:cs="Times New Roman"/>
          <w:b/>
          <w:bCs/>
          <w:noProof/>
          <w:lang w:eastAsia="de-DE"/>
        </w:rPr>
        <w:t>Facilitate convergence towards a potential future agreement</w:t>
      </w:r>
      <w:r w:rsidRPr="3982CBDC">
        <w:rPr>
          <w:rFonts w:cs="Times New Roman"/>
          <w:noProof/>
          <w:lang w:eastAsia="de-DE"/>
        </w:rPr>
        <w:t xml:space="preserve"> to phase down HFCs under the Protoco</w:t>
      </w:r>
      <w:r w:rsidR="00ED768E">
        <w:rPr>
          <w:rFonts w:cs="Times New Roman"/>
          <w:noProof/>
          <w:lang w:eastAsia="de-DE"/>
        </w:rPr>
        <w:t>l;</w:t>
      </w:r>
      <w:r w:rsidRPr="3982CBDC">
        <w:rPr>
          <w:rFonts w:cs="Times New Roman"/>
          <w:b/>
          <w:bCs/>
          <w:noProof/>
          <w:lang w:eastAsia="de-DE"/>
        </w:rPr>
        <w:t xml:space="preserve"> </w:t>
      </w:r>
    </w:p>
    <w:p w14:paraId="6772EEAF" w14:textId="659DA2CA" w:rsidR="00F3410B" w:rsidRPr="00F3410B" w:rsidRDefault="3982CBDC" w:rsidP="0017603A">
      <w:pPr>
        <w:pStyle w:val="ListParagraph"/>
        <w:numPr>
          <w:ilvl w:val="0"/>
          <w:numId w:val="103"/>
        </w:numPr>
        <w:spacing w:after="120"/>
        <w:rPr>
          <w:rFonts w:eastAsia="Times New Roman" w:cs="Times New Roman"/>
          <w:noProof/>
        </w:rPr>
      </w:pPr>
      <w:r w:rsidRPr="3982CBDC">
        <w:rPr>
          <w:rFonts w:cs="Times New Roman"/>
          <w:b/>
          <w:bCs/>
          <w:noProof/>
          <w:lang w:eastAsia="de-DE"/>
        </w:rPr>
        <w:t>Enhance sustainable growth, stimulate innovation</w:t>
      </w:r>
      <w:r w:rsidR="00443050">
        <w:rPr>
          <w:rFonts w:cs="Times New Roman"/>
          <w:b/>
          <w:bCs/>
          <w:noProof/>
          <w:lang w:eastAsia="de-DE"/>
        </w:rPr>
        <w:t>,</w:t>
      </w:r>
      <w:r w:rsidRPr="3982CBDC">
        <w:rPr>
          <w:rFonts w:cs="Times New Roman"/>
          <w:b/>
          <w:bCs/>
          <w:noProof/>
          <w:lang w:eastAsia="de-DE"/>
        </w:rPr>
        <w:t xml:space="preserve"> and develop green technologies </w:t>
      </w:r>
      <w:r w:rsidRPr="3982CBDC">
        <w:rPr>
          <w:rFonts w:cs="Times New Roman"/>
          <w:noProof/>
          <w:lang w:eastAsia="de-DE"/>
        </w:rPr>
        <w:t>by improving market opportunities for alternative tech</w:t>
      </w:r>
      <w:r w:rsidR="00ED768E">
        <w:rPr>
          <w:rFonts w:cs="Times New Roman"/>
          <w:noProof/>
          <w:lang w:eastAsia="de-DE"/>
        </w:rPr>
        <w:t>nologies and gases with low GWP.</w:t>
      </w:r>
    </w:p>
    <w:p w14:paraId="25ED5E11" w14:textId="65F716B9" w:rsidR="007B4689" w:rsidRDefault="0063231A" w:rsidP="3982CBDC">
      <w:pPr>
        <w:spacing w:after="120"/>
        <w:rPr>
          <w:rFonts w:eastAsia="Times New Roman" w:cs="Times New Roman"/>
          <w:noProof/>
        </w:rPr>
      </w:pPr>
      <w:r w:rsidRPr="3982CBDC">
        <w:rPr>
          <w:rFonts w:eastAsia="Times New Roman" w:cs="Times New Roman"/>
          <w:noProof/>
        </w:rPr>
        <w:t xml:space="preserve">It </w:t>
      </w:r>
      <w:r w:rsidR="00380902" w:rsidRPr="3982CBDC">
        <w:rPr>
          <w:rFonts w:eastAsia="Times New Roman" w:cs="Times New Roman"/>
          <w:noProof/>
        </w:rPr>
        <w:t xml:space="preserve">was also </w:t>
      </w:r>
      <w:r w:rsidR="004D6450">
        <w:rPr>
          <w:rFonts w:eastAsia="Times New Roman" w:cs="Times New Roman"/>
          <w:noProof/>
        </w:rPr>
        <w:t>intended</w:t>
      </w:r>
      <w:r w:rsidR="004D6450" w:rsidRPr="3982CBDC">
        <w:rPr>
          <w:rFonts w:eastAsia="Times New Roman" w:cs="Times New Roman"/>
          <w:noProof/>
        </w:rPr>
        <w:t xml:space="preserve"> </w:t>
      </w:r>
      <w:r w:rsidRPr="3982CBDC">
        <w:rPr>
          <w:rFonts w:eastAsia="Times New Roman" w:cs="Times New Roman"/>
          <w:noProof/>
        </w:rPr>
        <w:t xml:space="preserve">that the </w:t>
      </w:r>
      <w:r w:rsidR="00380902" w:rsidRPr="3982CBDC">
        <w:rPr>
          <w:rFonts w:eastAsia="Times New Roman" w:cs="Times New Roman"/>
          <w:noProof/>
        </w:rPr>
        <w:t xml:space="preserve">F-gas sector </w:t>
      </w:r>
      <w:r w:rsidR="004D6450">
        <w:rPr>
          <w:rFonts w:eastAsia="Times New Roman" w:cs="Times New Roman"/>
          <w:noProof/>
        </w:rPr>
        <w:t xml:space="preserve">would </w:t>
      </w:r>
      <w:r w:rsidR="00380902" w:rsidRPr="001301EB">
        <w:rPr>
          <w:rFonts w:eastAsia="Times New Roman" w:cs="Times New Roman"/>
          <w:b/>
          <w:noProof/>
        </w:rPr>
        <w:t xml:space="preserve">contribute its fair share to achieving the </w:t>
      </w:r>
      <w:r w:rsidRPr="001301EB">
        <w:rPr>
          <w:rFonts w:eastAsia="Times New Roman" w:cs="Times New Roman"/>
          <w:b/>
          <w:noProof/>
        </w:rPr>
        <w:t xml:space="preserve">EU </w:t>
      </w:r>
      <w:r w:rsidR="00443050">
        <w:rPr>
          <w:rFonts w:eastAsia="Times New Roman" w:cs="Times New Roman"/>
          <w:b/>
          <w:noProof/>
        </w:rPr>
        <w:t xml:space="preserve">2030 </w:t>
      </w:r>
      <w:r w:rsidRPr="001301EB">
        <w:rPr>
          <w:rFonts w:eastAsia="Times New Roman" w:cs="Times New Roman"/>
          <w:b/>
          <w:noProof/>
        </w:rPr>
        <w:t>climate targets</w:t>
      </w:r>
      <w:r w:rsidR="00443050">
        <w:rPr>
          <w:rFonts w:eastAsia="Times New Roman" w:cs="Times New Roman"/>
          <w:b/>
          <w:noProof/>
        </w:rPr>
        <w:t xml:space="preserve"> </w:t>
      </w:r>
      <w:r w:rsidR="00443050" w:rsidRPr="00443050">
        <w:rPr>
          <w:rFonts w:eastAsia="Times New Roman" w:cs="Times New Roman"/>
          <w:noProof/>
        </w:rPr>
        <w:t>(as per Roadmap 2011</w:t>
      </w:r>
      <w:r w:rsidR="00851561">
        <w:rPr>
          <w:rStyle w:val="FootnoteReference"/>
          <w:rFonts w:eastAsia="Times New Roman" w:cs="Times New Roman"/>
          <w:noProof/>
        </w:rPr>
        <w:footnoteReference w:id="16"/>
      </w:r>
      <w:r w:rsidR="00443050" w:rsidRPr="00443050">
        <w:rPr>
          <w:rFonts w:eastAsia="Times New Roman" w:cs="Times New Roman"/>
          <w:noProof/>
        </w:rPr>
        <w:t>)</w:t>
      </w:r>
      <w:r w:rsidR="006432E0" w:rsidRPr="00443050">
        <w:rPr>
          <w:rFonts w:eastAsia="Times New Roman" w:cs="Times New Roman"/>
          <w:noProof/>
        </w:rPr>
        <w:t>.</w:t>
      </w:r>
      <w:r w:rsidR="006432E0" w:rsidRPr="3982CBDC">
        <w:rPr>
          <w:rFonts w:eastAsia="Times New Roman" w:cs="Times New Roman"/>
          <w:noProof/>
        </w:rPr>
        <w:t xml:space="preserve"> </w:t>
      </w:r>
      <w:r w:rsidR="004D6450">
        <w:rPr>
          <w:rFonts w:eastAsia="Times New Roman" w:cs="Times New Roman"/>
          <w:noProof/>
        </w:rPr>
        <w:t>A</w:t>
      </w:r>
      <w:r w:rsidR="004D6450" w:rsidRPr="3982CBDC">
        <w:rPr>
          <w:rFonts w:eastAsia="Times New Roman" w:cs="Times New Roman"/>
          <w:noProof/>
        </w:rPr>
        <w:t>t the time the Commission prepared its proposal in 2011</w:t>
      </w:r>
      <w:r w:rsidR="004D6450">
        <w:rPr>
          <w:rFonts w:eastAsia="Times New Roman" w:cs="Times New Roman"/>
          <w:noProof/>
        </w:rPr>
        <w:t>, i</w:t>
      </w:r>
      <w:r w:rsidRPr="3982CBDC">
        <w:rPr>
          <w:rFonts w:eastAsia="Times New Roman" w:cs="Times New Roman"/>
          <w:noProof/>
        </w:rPr>
        <w:t xml:space="preserve">t was estimated </w:t>
      </w:r>
      <w:r w:rsidR="006432E0" w:rsidRPr="3982CBDC">
        <w:rPr>
          <w:rFonts w:eastAsia="Times New Roman" w:cs="Times New Roman"/>
          <w:noProof/>
        </w:rPr>
        <w:t>that cost</w:t>
      </w:r>
      <w:r w:rsidR="00A57D36">
        <w:rPr>
          <w:rFonts w:eastAsia="Times New Roman" w:cs="Times New Roman"/>
          <w:noProof/>
        </w:rPr>
        <w:t>s</w:t>
      </w:r>
      <w:r w:rsidR="00380902" w:rsidRPr="3982CBDC">
        <w:rPr>
          <w:rFonts w:eastAsia="Times New Roman" w:cs="Times New Roman"/>
          <w:noProof/>
        </w:rPr>
        <w:t xml:space="preserve"> would </w:t>
      </w:r>
      <w:r w:rsidR="00A57D36">
        <w:rPr>
          <w:rFonts w:eastAsia="Times New Roman" w:cs="Times New Roman"/>
          <w:noProof/>
        </w:rPr>
        <w:t>be</w:t>
      </w:r>
      <w:r w:rsidRPr="3982CBDC">
        <w:rPr>
          <w:rFonts w:eastAsia="Times New Roman" w:cs="Times New Roman"/>
          <w:noProof/>
        </w:rPr>
        <w:t xml:space="preserve"> up to €50</w:t>
      </w:r>
      <w:r w:rsidR="00ED768E">
        <w:rPr>
          <w:rFonts w:eastAsia="Times New Roman" w:cs="Times New Roman"/>
          <w:noProof/>
        </w:rPr>
        <w:t>/tCO2e</w:t>
      </w:r>
      <w:r w:rsidRPr="3982CBDC">
        <w:rPr>
          <w:rFonts w:eastAsia="Times New Roman" w:cs="Times New Roman"/>
          <w:noProof/>
        </w:rPr>
        <w:t xml:space="preserve"> abated</w:t>
      </w:r>
      <w:r w:rsidR="00380902" w:rsidRPr="3982CBDC">
        <w:rPr>
          <w:rFonts w:eastAsia="Times New Roman" w:cs="Times New Roman"/>
          <w:noProof/>
        </w:rPr>
        <w:t xml:space="preserve"> </w:t>
      </w:r>
      <w:r w:rsidR="00A57D36">
        <w:rPr>
          <w:rFonts w:eastAsia="Times New Roman" w:cs="Times New Roman"/>
          <w:noProof/>
        </w:rPr>
        <w:t>economy wide</w:t>
      </w:r>
      <w:r w:rsidR="00380902" w:rsidRPr="3982CBDC">
        <w:rPr>
          <w:rFonts w:eastAsia="Times New Roman" w:cs="Times New Roman"/>
          <w:noProof/>
        </w:rPr>
        <w:t xml:space="preserve"> to achieve the </w:t>
      </w:r>
      <w:r w:rsidR="004D6450">
        <w:rPr>
          <w:rFonts w:eastAsia="Times New Roman" w:cs="Times New Roman"/>
          <w:noProof/>
        </w:rPr>
        <w:t xml:space="preserve">old, </w:t>
      </w:r>
      <w:r w:rsidR="00ED768E">
        <w:rPr>
          <w:rFonts w:eastAsia="Times New Roman" w:cs="Times New Roman"/>
          <w:noProof/>
        </w:rPr>
        <w:t>(</w:t>
      </w:r>
      <w:r w:rsidR="00380902" w:rsidRPr="3982CBDC">
        <w:rPr>
          <w:rFonts w:eastAsia="Times New Roman" w:cs="Times New Roman"/>
          <w:noProof/>
        </w:rPr>
        <w:t>less ambitious</w:t>
      </w:r>
      <w:r w:rsidR="001E6301">
        <w:rPr>
          <w:rFonts w:eastAsia="Times New Roman" w:cs="Times New Roman"/>
          <w:noProof/>
        </w:rPr>
        <w:t>)</w:t>
      </w:r>
      <w:r w:rsidR="00380902" w:rsidRPr="3982CBDC">
        <w:rPr>
          <w:rFonts w:eastAsia="Times New Roman" w:cs="Times New Roman"/>
          <w:noProof/>
        </w:rPr>
        <w:t xml:space="preserve"> climate targets</w:t>
      </w:r>
      <w:r w:rsidR="00623D92" w:rsidRPr="3982CBDC">
        <w:rPr>
          <w:rFonts w:eastAsia="Times New Roman" w:cs="Times New Roman"/>
          <w:noProof/>
        </w:rPr>
        <w:t>. T</w:t>
      </w:r>
      <w:r w:rsidR="00380902" w:rsidRPr="3982CBDC">
        <w:rPr>
          <w:rFonts w:eastAsia="Times New Roman" w:cs="Times New Roman"/>
          <w:noProof/>
        </w:rPr>
        <w:t xml:space="preserve">his </w:t>
      </w:r>
      <w:r w:rsidRPr="3982CBDC">
        <w:rPr>
          <w:rFonts w:eastAsia="Times New Roman" w:cs="Times New Roman"/>
          <w:noProof/>
        </w:rPr>
        <w:t>threshold was applied to design the measures</w:t>
      </w:r>
      <w:r w:rsidR="009A4301" w:rsidRPr="3982CBDC">
        <w:rPr>
          <w:rFonts w:eastAsia="Times New Roman" w:cs="Times New Roman"/>
          <w:noProof/>
        </w:rPr>
        <w:t xml:space="preserve"> </w:t>
      </w:r>
      <w:r w:rsidR="006432E0" w:rsidRPr="3982CBDC">
        <w:rPr>
          <w:rFonts w:eastAsia="Times New Roman" w:cs="Times New Roman"/>
          <w:noProof/>
        </w:rPr>
        <w:t>in the Regulation</w:t>
      </w:r>
      <w:r w:rsidRPr="3982CBDC">
        <w:rPr>
          <w:rFonts w:eastAsia="Times New Roman" w:cs="Times New Roman"/>
          <w:noProof/>
        </w:rPr>
        <w:t xml:space="preserve">. </w:t>
      </w:r>
      <w:r w:rsidR="009A4301" w:rsidRPr="3982CBDC">
        <w:rPr>
          <w:rFonts w:eastAsia="Times New Roman" w:cs="Times New Roman"/>
          <w:noProof/>
        </w:rPr>
        <w:t xml:space="preserve">Subsequently, it was estimated that </w:t>
      </w:r>
      <w:r w:rsidR="00380902" w:rsidRPr="3982CBDC">
        <w:rPr>
          <w:rFonts w:eastAsia="Times New Roman" w:cs="Times New Roman"/>
          <w:noProof/>
        </w:rPr>
        <w:t xml:space="preserve">these </w:t>
      </w:r>
      <w:r w:rsidR="006432E0" w:rsidRPr="3982CBDC">
        <w:rPr>
          <w:rFonts w:eastAsia="Times New Roman" w:cs="Times New Roman"/>
          <w:noProof/>
        </w:rPr>
        <w:t xml:space="preserve">measures </w:t>
      </w:r>
      <w:r w:rsidR="009A4301" w:rsidRPr="3982CBDC">
        <w:rPr>
          <w:rFonts w:eastAsia="Times New Roman" w:cs="Times New Roman"/>
          <w:noProof/>
        </w:rPr>
        <w:t>would result in F-gas emission reductions of 60% in 2030 compared to 2005.</w:t>
      </w:r>
      <w:r w:rsidR="00AE6CA4" w:rsidRPr="3982CBDC">
        <w:rPr>
          <w:rFonts w:eastAsia="Times New Roman" w:cs="Times New Roman"/>
          <w:noProof/>
        </w:rPr>
        <w:t xml:space="preserve"> </w:t>
      </w:r>
    </w:p>
    <w:p w14:paraId="5BD13DB3" w14:textId="7478E347" w:rsidR="004B1873" w:rsidRDefault="004B1873" w:rsidP="3982CBDC">
      <w:pPr>
        <w:spacing w:after="120"/>
        <w:rPr>
          <w:rFonts w:eastAsia="Times New Roman" w:cs="Times New Roman"/>
          <w:noProof/>
        </w:rPr>
      </w:pPr>
      <w:r w:rsidRPr="3982CBDC">
        <w:rPr>
          <w:rFonts w:cs="Times New Roman"/>
          <w:noProof/>
        </w:rPr>
        <w:t xml:space="preserve">Many F-gas appliances use electricity and </w:t>
      </w:r>
      <w:r w:rsidR="0019228C">
        <w:rPr>
          <w:rFonts w:cs="Times New Roman"/>
          <w:noProof/>
        </w:rPr>
        <w:t xml:space="preserve">lead to </w:t>
      </w:r>
      <w:r w:rsidRPr="3982CBDC">
        <w:rPr>
          <w:rFonts w:cs="Times New Roman"/>
          <w:noProof/>
        </w:rPr>
        <w:t xml:space="preserve">indirect GHG emissions </w:t>
      </w:r>
      <w:r w:rsidR="0019228C">
        <w:rPr>
          <w:rFonts w:cs="Times New Roman"/>
          <w:noProof/>
        </w:rPr>
        <w:t>related to energy use, which over the</w:t>
      </w:r>
      <w:r w:rsidR="00F65128" w:rsidRPr="3982CBDC">
        <w:rPr>
          <w:rFonts w:cs="Times New Roman"/>
          <w:noProof/>
        </w:rPr>
        <w:t xml:space="preserve"> lifetime </w:t>
      </w:r>
      <w:r w:rsidR="0019228C">
        <w:rPr>
          <w:rFonts w:cs="Times New Roman"/>
          <w:noProof/>
        </w:rPr>
        <w:t xml:space="preserve">of the </w:t>
      </w:r>
      <w:r w:rsidR="0019228C" w:rsidRPr="3982CBDC">
        <w:rPr>
          <w:rFonts w:cs="Times New Roman"/>
          <w:noProof/>
        </w:rPr>
        <w:t xml:space="preserve">equipment </w:t>
      </w:r>
      <w:r w:rsidRPr="3982CBDC">
        <w:rPr>
          <w:rFonts w:cs="Times New Roman"/>
          <w:noProof/>
        </w:rPr>
        <w:t xml:space="preserve">are typically higher than the direct emission of F-gases. Therefore, </w:t>
      </w:r>
      <w:r w:rsidR="00F65128" w:rsidRPr="3982CBDC">
        <w:rPr>
          <w:rFonts w:cs="Times New Roman"/>
          <w:noProof/>
        </w:rPr>
        <w:t xml:space="preserve">climate-friendly </w:t>
      </w:r>
      <w:r w:rsidRPr="3982CBDC">
        <w:rPr>
          <w:rFonts w:cs="Times New Roman"/>
          <w:noProof/>
        </w:rPr>
        <w:t>alternatives to F-gases in such appliances are only considered to be more climate-friendly</w:t>
      </w:r>
      <w:r w:rsidR="0019228C">
        <w:rPr>
          <w:rFonts w:cs="Times New Roman"/>
          <w:noProof/>
        </w:rPr>
        <w:t xml:space="preserve"> in this assessment</w:t>
      </w:r>
      <w:r w:rsidRPr="3982CBDC">
        <w:rPr>
          <w:rFonts w:cs="Times New Roman"/>
          <w:noProof/>
        </w:rPr>
        <w:t xml:space="preserve"> if they can </w:t>
      </w:r>
      <w:r w:rsidRPr="3982CBDC">
        <w:rPr>
          <w:rFonts w:cs="Times New Roman"/>
          <w:b/>
          <w:bCs/>
          <w:noProof/>
        </w:rPr>
        <w:t xml:space="preserve">reach </w:t>
      </w:r>
      <w:r w:rsidR="00C33831" w:rsidRPr="00C33831">
        <w:rPr>
          <w:rFonts w:cs="Times New Roman"/>
          <w:b/>
          <w:noProof/>
        </w:rPr>
        <w:t xml:space="preserve">at </w:t>
      </w:r>
      <w:r w:rsidR="00C33831" w:rsidRPr="00C33831">
        <w:rPr>
          <w:rFonts w:cs="Times New Roman"/>
          <w:b/>
          <w:bCs/>
          <w:noProof/>
        </w:rPr>
        <w:t xml:space="preserve">least </w:t>
      </w:r>
      <w:r w:rsidRPr="3982CBDC">
        <w:rPr>
          <w:rFonts w:cs="Times New Roman"/>
          <w:b/>
          <w:bCs/>
          <w:noProof/>
        </w:rPr>
        <w:t>the same level of energy efficiency</w:t>
      </w:r>
      <w:r w:rsidRPr="3982CBDC">
        <w:rPr>
          <w:rFonts w:cs="Times New Roman"/>
          <w:noProof/>
        </w:rPr>
        <w:t xml:space="preserve"> as the </w:t>
      </w:r>
      <w:r w:rsidR="00F65128" w:rsidRPr="3982CBDC">
        <w:rPr>
          <w:rFonts w:cs="Times New Roman"/>
          <w:noProof/>
        </w:rPr>
        <w:t>existing</w:t>
      </w:r>
      <w:r w:rsidRPr="3982CBDC">
        <w:rPr>
          <w:rFonts w:cs="Times New Roman"/>
          <w:noProof/>
        </w:rPr>
        <w:t xml:space="preserve"> </w:t>
      </w:r>
      <w:r w:rsidR="002209AD">
        <w:rPr>
          <w:rFonts w:cs="Times New Roman"/>
          <w:noProof/>
        </w:rPr>
        <w:t xml:space="preserve">F–gas </w:t>
      </w:r>
      <w:r w:rsidRPr="3982CBDC">
        <w:rPr>
          <w:rFonts w:cs="Times New Roman"/>
          <w:noProof/>
        </w:rPr>
        <w:t xml:space="preserve">technology. </w:t>
      </w:r>
      <w:r w:rsidR="00AB5CE2">
        <w:rPr>
          <w:rFonts w:cs="Times New Roman"/>
          <w:noProof/>
        </w:rPr>
        <w:t>In parallel, t</w:t>
      </w:r>
      <w:r w:rsidR="00E21EA3" w:rsidRPr="3982CBDC">
        <w:rPr>
          <w:rFonts w:cs="Times New Roman"/>
          <w:noProof/>
        </w:rPr>
        <w:t>he EU Eco-Design Directive</w:t>
      </w:r>
      <w:r w:rsidR="00E21EA3" w:rsidRPr="3982CBDC">
        <w:rPr>
          <w:rStyle w:val="FootnoteReference"/>
          <w:rFonts w:cs="Times New Roman"/>
          <w:noProof/>
        </w:rPr>
        <w:footnoteReference w:id="17"/>
      </w:r>
      <w:r w:rsidR="00E21EA3" w:rsidRPr="3982CBDC">
        <w:rPr>
          <w:rFonts w:cs="Times New Roman"/>
          <w:noProof/>
        </w:rPr>
        <w:t xml:space="preserve"> is </w:t>
      </w:r>
      <w:r w:rsidR="00AB5CE2">
        <w:rPr>
          <w:rFonts w:cs="Times New Roman"/>
          <w:noProof/>
        </w:rPr>
        <w:t xml:space="preserve">ensuring progress on indirect emissions by </w:t>
      </w:r>
      <w:r w:rsidR="00E21EA3" w:rsidRPr="3982CBDC">
        <w:rPr>
          <w:rFonts w:cs="Times New Roman"/>
          <w:noProof/>
        </w:rPr>
        <w:t>setti</w:t>
      </w:r>
      <w:r w:rsidR="00AB5CE2">
        <w:rPr>
          <w:rFonts w:cs="Times New Roman"/>
          <w:noProof/>
        </w:rPr>
        <w:t>ng minimum standards on efficiency</w:t>
      </w:r>
      <w:r w:rsidR="00E21EA3" w:rsidRPr="3982CBDC">
        <w:rPr>
          <w:rFonts w:cs="Times New Roman"/>
          <w:noProof/>
        </w:rPr>
        <w:t xml:space="preserve">. </w:t>
      </w:r>
      <w:r w:rsidR="00443050">
        <w:rPr>
          <w:rFonts w:cs="Times New Roman"/>
          <w:noProof/>
        </w:rPr>
        <w:t>T</w:t>
      </w:r>
      <w:r w:rsidRPr="3982CBDC">
        <w:rPr>
          <w:rFonts w:cs="Times New Roman"/>
          <w:noProof/>
        </w:rPr>
        <w:t xml:space="preserve">he alternatives must also be </w:t>
      </w:r>
      <w:r w:rsidRPr="3982CBDC">
        <w:rPr>
          <w:rFonts w:cs="Times New Roman"/>
          <w:b/>
          <w:bCs/>
          <w:noProof/>
        </w:rPr>
        <w:t>safe</w:t>
      </w:r>
      <w:r w:rsidRPr="3982CBDC">
        <w:rPr>
          <w:rFonts w:cs="Times New Roman"/>
          <w:noProof/>
        </w:rPr>
        <w:t xml:space="preserve"> </w:t>
      </w:r>
      <w:r w:rsidRPr="3982CBDC">
        <w:rPr>
          <w:rFonts w:cs="Times New Roman"/>
          <w:b/>
          <w:bCs/>
          <w:noProof/>
        </w:rPr>
        <w:t>to use</w:t>
      </w:r>
      <w:r w:rsidRPr="3982CBDC">
        <w:rPr>
          <w:rFonts w:cs="Times New Roman"/>
          <w:noProof/>
        </w:rPr>
        <w:t>.</w:t>
      </w:r>
    </w:p>
    <w:p w14:paraId="0538E229" w14:textId="448A2F10" w:rsidR="007B4689" w:rsidRDefault="0034438B" w:rsidP="3982CBDC">
      <w:pPr>
        <w:spacing w:after="120"/>
        <w:rPr>
          <w:rFonts w:eastAsia="Times New Roman" w:cs="Times New Roman"/>
          <w:noProof/>
        </w:rPr>
      </w:pPr>
      <w:r>
        <w:rPr>
          <w:rFonts w:eastAsia="Times New Roman" w:cs="Times New Roman"/>
          <w:b/>
          <w:noProof/>
        </w:rPr>
        <w:t>T</w:t>
      </w:r>
      <w:r w:rsidR="00F65128" w:rsidRPr="002209AD">
        <w:rPr>
          <w:rFonts w:eastAsia="Times New Roman" w:cs="Times New Roman"/>
          <w:b/>
          <w:noProof/>
        </w:rPr>
        <w:t xml:space="preserve">he </w:t>
      </w:r>
      <w:r w:rsidR="00443050">
        <w:rPr>
          <w:rFonts w:eastAsia="Times New Roman" w:cs="Times New Roman"/>
          <w:b/>
          <w:noProof/>
        </w:rPr>
        <w:t xml:space="preserve">current </w:t>
      </w:r>
      <w:r w:rsidR="007C7303">
        <w:rPr>
          <w:rFonts w:eastAsia="Times New Roman" w:cs="Times New Roman"/>
          <w:b/>
          <w:noProof/>
        </w:rPr>
        <w:t xml:space="preserve">Regulation </w:t>
      </w:r>
      <w:r w:rsidR="00443050">
        <w:rPr>
          <w:rFonts w:eastAsia="Times New Roman" w:cs="Times New Roman"/>
          <w:noProof/>
        </w:rPr>
        <w:t>avoids</w:t>
      </w:r>
      <w:r w:rsidR="002209AD" w:rsidRPr="007C7303">
        <w:rPr>
          <w:rFonts w:eastAsia="Times New Roman" w:cs="Times New Roman"/>
          <w:noProof/>
        </w:rPr>
        <w:t xml:space="preserve"> </w:t>
      </w:r>
      <w:r w:rsidR="00982CEC" w:rsidRPr="007C7303">
        <w:rPr>
          <w:rFonts w:eastAsia="Times New Roman" w:cs="Times New Roman"/>
          <w:noProof/>
        </w:rPr>
        <w:t>emissions</w:t>
      </w:r>
      <w:r w:rsidR="001301EB" w:rsidRPr="007C7303">
        <w:rPr>
          <w:rFonts w:eastAsia="Times New Roman" w:cs="Times New Roman"/>
          <w:noProof/>
        </w:rPr>
        <w:t xml:space="preserve"> (by reducing demand and ensuring better containment</w:t>
      </w:r>
      <w:r w:rsidR="0019228C">
        <w:rPr>
          <w:rFonts w:eastAsia="Times New Roman" w:cs="Times New Roman"/>
          <w:noProof/>
        </w:rPr>
        <w:t>, see above</w:t>
      </w:r>
      <w:r w:rsidR="001301EB" w:rsidRPr="007C7303">
        <w:rPr>
          <w:rFonts w:eastAsia="Times New Roman" w:cs="Times New Roman"/>
          <w:noProof/>
        </w:rPr>
        <w:t>)</w:t>
      </w:r>
      <w:r w:rsidR="00C718E7" w:rsidRPr="007C7303">
        <w:rPr>
          <w:rFonts w:eastAsia="Times New Roman" w:cs="Times New Roman"/>
          <w:noProof/>
        </w:rPr>
        <w:t xml:space="preserve"> </w:t>
      </w:r>
      <w:r w:rsidR="00443050">
        <w:rPr>
          <w:rFonts w:eastAsia="Times New Roman" w:cs="Times New Roman"/>
          <w:noProof/>
        </w:rPr>
        <w:t>and enables</w:t>
      </w:r>
      <w:r w:rsidR="00982CEC" w:rsidRPr="007C7303">
        <w:rPr>
          <w:rFonts w:eastAsia="Times New Roman" w:cs="Times New Roman"/>
          <w:noProof/>
        </w:rPr>
        <w:t xml:space="preserve"> control and </w:t>
      </w:r>
      <w:r w:rsidR="00443050">
        <w:rPr>
          <w:rFonts w:eastAsia="Times New Roman" w:cs="Times New Roman"/>
          <w:noProof/>
        </w:rPr>
        <w:t>oversight</w:t>
      </w:r>
      <w:r w:rsidRPr="007C7303">
        <w:rPr>
          <w:rFonts w:eastAsia="Times New Roman" w:cs="Times New Roman"/>
          <w:noProof/>
        </w:rPr>
        <w:t xml:space="preserve"> </w:t>
      </w:r>
      <w:r w:rsidR="007C7303" w:rsidRPr="007C7303">
        <w:rPr>
          <w:rFonts w:eastAsia="Times New Roman" w:cs="Times New Roman"/>
          <w:noProof/>
        </w:rPr>
        <w:t xml:space="preserve">through </w:t>
      </w:r>
      <w:r w:rsidR="007C7303">
        <w:rPr>
          <w:rFonts w:eastAsia="Times New Roman" w:cs="Times New Roman"/>
          <w:b/>
          <w:noProof/>
        </w:rPr>
        <w:t xml:space="preserve">the following measures </w:t>
      </w:r>
      <w:r>
        <w:rPr>
          <w:rFonts w:eastAsia="Times New Roman" w:cs="Times New Roman"/>
          <w:noProof/>
        </w:rPr>
        <w:t>(</w:t>
      </w:r>
      <w:r w:rsidR="00475A3E">
        <w:rPr>
          <w:noProof/>
        </w:rPr>
        <w:t>more detail</w:t>
      </w:r>
      <w:r w:rsidR="00D03ED1">
        <w:rPr>
          <w:noProof/>
        </w:rPr>
        <w:t xml:space="preserve"> </w:t>
      </w:r>
      <w:r w:rsidR="00B001A8">
        <w:rPr>
          <w:noProof/>
        </w:rPr>
        <w:t>in Annex</w:t>
      </w:r>
      <w:r w:rsidR="00D03ED1">
        <w:rPr>
          <w:noProof/>
        </w:rPr>
        <w:t xml:space="preserve"> </w:t>
      </w:r>
      <w:r w:rsidR="00C66A21">
        <w:rPr>
          <w:noProof/>
        </w:rPr>
        <w:t>A5</w:t>
      </w:r>
      <w:r>
        <w:rPr>
          <w:noProof/>
        </w:rPr>
        <w:t>):</w:t>
      </w:r>
    </w:p>
    <w:p w14:paraId="76E66441" w14:textId="24F5289C" w:rsidR="006B564B" w:rsidRPr="00CB0A4A" w:rsidRDefault="007C7303" w:rsidP="0017603A">
      <w:pPr>
        <w:pStyle w:val="ListParagraph"/>
        <w:numPr>
          <w:ilvl w:val="0"/>
          <w:numId w:val="96"/>
        </w:numPr>
        <w:spacing w:after="0"/>
        <w:ind w:left="709" w:hanging="425"/>
        <w:rPr>
          <w:rFonts w:eastAsia="Calibri" w:cs="Times New Roman"/>
          <w:bCs/>
          <w:noProof/>
          <w:szCs w:val="24"/>
        </w:rPr>
      </w:pPr>
      <w:r>
        <w:rPr>
          <w:rFonts w:eastAsia="Calibri" w:cs="Times New Roman"/>
          <w:bCs/>
          <w:noProof/>
        </w:rPr>
        <w:t>A</w:t>
      </w:r>
      <w:r w:rsidR="001A5734">
        <w:rPr>
          <w:rFonts w:eastAsia="Calibri" w:cs="Times New Roman"/>
          <w:b/>
          <w:bCs/>
          <w:noProof/>
        </w:rPr>
        <w:t xml:space="preserve"> </w:t>
      </w:r>
      <w:r w:rsidR="005513F2" w:rsidRPr="3982CBDC">
        <w:rPr>
          <w:rFonts w:eastAsia="Calibri" w:cs="Times New Roman"/>
          <w:b/>
          <w:bCs/>
          <w:noProof/>
        </w:rPr>
        <w:t xml:space="preserve">quota system </w:t>
      </w:r>
      <w:r w:rsidR="00F261FA" w:rsidRPr="001500B9">
        <w:rPr>
          <w:rFonts w:eastAsia="Calibri" w:cs="Times New Roman"/>
          <w:b/>
          <w:noProof/>
        </w:rPr>
        <w:t xml:space="preserve">limits </w:t>
      </w:r>
      <w:r w:rsidR="00B42A12">
        <w:rPr>
          <w:rFonts w:eastAsia="Calibri" w:cs="Times New Roman"/>
          <w:b/>
          <w:noProof/>
        </w:rPr>
        <w:t xml:space="preserve">the </w:t>
      </w:r>
      <w:r w:rsidR="00A17EC1" w:rsidRPr="001500B9">
        <w:rPr>
          <w:rFonts w:eastAsia="Calibri" w:cs="Times New Roman"/>
          <w:b/>
          <w:noProof/>
        </w:rPr>
        <w:t xml:space="preserve">HFC </w:t>
      </w:r>
      <w:r w:rsidR="009E7077">
        <w:rPr>
          <w:rFonts w:eastAsia="Calibri" w:cs="Times New Roman"/>
          <w:b/>
          <w:noProof/>
        </w:rPr>
        <w:t xml:space="preserve">amount </w:t>
      </w:r>
      <w:r w:rsidR="005513F2">
        <w:rPr>
          <w:rFonts w:eastAsia="Calibri" w:cs="Times New Roman"/>
          <w:b/>
          <w:noProof/>
        </w:rPr>
        <w:t xml:space="preserve">importers and </w:t>
      </w:r>
      <w:r w:rsidR="0034438B">
        <w:rPr>
          <w:rFonts w:eastAsia="Calibri" w:cs="Times New Roman"/>
          <w:b/>
          <w:noProof/>
        </w:rPr>
        <w:t xml:space="preserve">EU </w:t>
      </w:r>
      <w:r w:rsidR="005513F2">
        <w:rPr>
          <w:rFonts w:eastAsia="Calibri" w:cs="Times New Roman"/>
          <w:b/>
          <w:noProof/>
        </w:rPr>
        <w:t xml:space="preserve">producers </w:t>
      </w:r>
      <w:r w:rsidR="003E7116" w:rsidRPr="001500B9">
        <w:rPr>
          <w:rFonts w:eastAsia="Calibri" w:cs="Times New Roman"/>
          <w:b/>
          <w:noProof/>
        </w:rPr>
        <w:t>may</w:t>
      </w:r>
      <w:r w:rsidR="005513F2" w:rsidRPr="3982CBDC">
        <w:rPr>
          <w:rFonts w:eastAsia="Calibri" w:cs="Times New Roman"/>
          <w:noProof/>
        </w:rPr>
        <w:t xml:space="preserve"> </w:t>
      </w:r>
      <w:r w:rsidR="005513F2" w:rsidRPr="3982CBDC">
        <w:rPr>
          <w:rFonts w:eastAsia="Calibri" w:cs="Times New Roman"/>
          <w:b/>
          <w:bCs/>
          <w:noProof/>
        </w:rPr>
        <w:t>place on the EU market</w:t>
      </w:r>
      <w:r w:rsidR="00F261FA" w:rsidRPr="3982CBDC">
        <w:rPr>
          <w:rFonts w:eastAsia="Calibri" w:cs="Times New Roman"/>
          <w:noProof/>
        </w:rPr>
        <w:t xml:space="preserve"> every year</w:t>
      </w:r>
      <w:r w:rsidR="00277448">
        <w:rPr>
          <w:rFonts w:eastAsia="Calibri" w:cs="Times New Roman"/>
          <w:noProof/>
        </w:rPr>
        <w:t xml:space="preserve"> (</w:t>
      </w:r>
      <w:r w:rsidR="00F65128" w:rsidRPr="3982CBDC">
        <w:rPr>
          <w:rFonts w:eastAsia="Calibri" w:cs="Times New Roman"/>
          <w:noProof/>
        </w:rPr>
        <w:t xml:space="preserve">measured in </w:t>
      </w:r>
      <w:r w:rsidR="00313617" w:rsidRPr="3982CBDC">
        <w:rPr>
          <w:rFonts w:eastAsia="Calibri" w:cs="Times New Roman"/>
          <w:noProof/>
        </w:rPr>
        <w:t>tCO2e</w:t>
      </w:r>
      <w:r w:rsidR="00277448">
        <w:rPr>
          <w:rFonts w:eastAsia="Calibri" w:cs="Times New Roman"/>
          <w:noProof/>
        </w:rPr>
        <w:t>)</w:t>
      </w:r>
      <w:r w:rsidR="004B1873" w:rsidRPr="3982CBDC">
        <w:rPr>
          <w:rFonts w:eastAsia="Calibri" w:cs="Times New Roman"/>
          <w:noProof/>
        </w:rPr>
        <w:t>.</w:t>
      </w:r>
      <w:r w:rsidR="003146F8" w:rsidRPr="3982CBDC">
        <w:rPr>
          <w:rFonts w:eastAsia="Calibri" w:cs="Times New Roman"/>
          <w:noProof/>
        </w:rPr>
        <w:t xml:space="preserve"> </w:t>
      </w:r>
      <w:r w:rsidR="0034438B">
        <w:rPr>
          <w:rFonts w:eastAsia="Calibri" w:cs="Times New Roman"/>
          <w:noProof/>
        </w:rPr>
        <w:t>Quota is principally needed for</w:t>
      </w:r>
      <w:r w:rsidR="00313617" w:rsidRPr="3982CBDC">
        <w:rPr>
          <w:rFonts w:eastAsia="Calibri" w:cs="Times New Roman"/>
          <w:noProof/>
        </w:rPr>
        <w:t xml:space="preserve"> HFC</w:t>
      </w:r>
      <w:r w:rsidR="00CB0A4A" w:rsidRPr="3982CBDC">
        <w:rPr>
          <w:rFonts w:eastAsia="Calibri" w:cs="Times New Roman"/>
          <w:noProof/>
        </w:rPr>
        <w:t xml:space="preserve"> gase</w:t>
      </w:r>
      <w:r w:rsidR="00313617" w:rsidRPr="3982CBDC">
        <w:rPr>
          <w:rFonts w:eastAsia="Calibri" w:cs="Times New Roman"/>
          <w:noProof/>
        </w:rPr>
        <w:t>s in bulk</w:t>
      </w:r>
      <w:r w:rsidR="000C3DEC" w:rsidRPr="3982CBDC">
        <w:rPr>
          <w:rStyle w:val="FootnoteReference"/>
          <w:rFonts w:eastAsia="Calibri" w:cs="Times New Roman"/>
          <w:noProof/>
        </w:rPr>
        <w:footnoteReference w:id="18"/>
      </w:r>
      <w:r w:rsidR="0034438B">
        <w:rPr>
          <w:rFonts w:eastAsia="Calibri" w:cs="Times New Roman"/>
          <w:noProof/>
        </w:rPr>
        <w:t>, but</w:t>
      </w:r>
      <w:r w:rsidR="00B001A8" w:rsidRPr="3982CBDC">
        <w:rPr>
          <w:rFonts w:eastAsia="Calibri" w:cs="Times New Roman"/>
          <w:noProof/>
        </w:rPr>
        <w:t xml:space="preserve"> </w:t>
      </w:r>
      <w:r w:rsidR="0034438B">
        <w:rPr>
          <w:rFonts w:eastAsia="Calibri" w:cs="Times New Roman"/>
          <w:noProof/>
        </w:rPr>
        <w:t xml:space="preserve">HFCs </w:t>
      </w:r>
      <w:r w:rsidR="00313617" w:rsidRPr="3982CBDC">
        <w:rPr>
          <w:rFonts w:eastAsia="Calibri" w:cs="Times New Roman"/>
          <w:noProof/>
        </w:rPr>
        <w:t>charged in</w:t>
      </w:r>
      <w:r w:rsidR="00CB0A4A" w:rsidRPr="3982CBDC">
        <w:rPr>
          <w:rFonts w:eastAsia="Calibri" w:cs="Times New Roman"/>
          <w:noProof/>
        </w:rPr>
        <w:t>to</w:t>
      </w:r>
      <w:r w:rsidR="0019228C">
        <w:rPr>
          <w:rFonts w:eastAsia="Calibri" w:cs="Times New Roman"/>
          <w:noProof/>
        </w:rPr>
        <w:t xml:space="preserve"> certain equipment also fall </w:t>
      </w:r>
      <w:r w:rsidR="0034438B">
        <w:rPr>
          <w:rFonts w:eastAsia="Calibri" w:cs="Times New Roman"/>
          <w:noProof/>
        </w:rPr>
        <w:t>under the quota system</w:t>
      </w:r>
      <w:r w:rsidR="00313617" w:rsidRPr="3982CBDC">
        <w:rPr>
          <w:rFonts w:eastAsia="Calibri" w:cs="Times New Roman"/>
          <w:noProof/>
        </w:rPr>
        <w:t xml:space="preserve">. </w:t>
      </w:r>
      <w:r w:rsidR="00B42A12">
        <w:rPr>
          <w:rFonts w:eastAsia="Calibri" w:cs="Times New Roman"/>
          <w:noProof/>
        </w:rPr>
        <w:t xml:space="preserve">The </w:t>
      </w:r>
      <w:r w:rsidR="001A5734">
        <w:rPr>
          <w:rFonts w:eastAsia="Calibri" w:cs="Times New Roman"/>
          <w:noProof/>
        </w:rPr>
        <w:t>quota system</w:t>
      </w:r>
      <w:r w:rsidR="00B42A12">
        <w:rPr>
          <w:rFonts w:eastAsia="Calibri" w:cs="Times New Roman"/>
          <w:noProof/>
        </w:rPr>
        <w:t xml:space="preserve"> </w:t>
      </w:r>
      <w:r w:rsidR="0019228C">
        <w:rPr>
          <w:rFonts w:eastAsia="Calibri" w:cs="Times New Roman"/>
          <w:noProof/>
        </w:rPr>
        <w:t>results in</w:t>
      </w:r>
      <w:r>
        <w:rPr>
          <w:rFonts w:eastAsia="Calibri" w:cs="Times New Roman"/>
          <w:noProof/>
        </w:rPr>
        <w:t xml:space="preserve"> </w:t>
      </w:r>
      <w:r w:rsidR="0034438B">
        <w:rPr>
          <w:rFonts w:eastAsia="Calibri" w:cs="Times New Roman"/>
          <w:noProof/>
        </w:rPr>
        <w:t>reduc</w:t>
      </w:r>
      <w:r>
        <w:rPr>
          <w:rFonts w:eastAsia="Calibri" w:cs="Times New Roman"/>
          <w:noProof/>
        </w:rPr>
        <w:t xml:space="preserve">ing </w:t>
      </w:r>
      <w:r w:rsidR="00B42A12">
        <w:rPr>
          <w:rFonts w:eastAsia="Calibri" w:cs="Times New Roman"/>
          <w:noProof/>
        </w:rPr>
        <w:t xml:space="preserve">the </w:t>
      </w:r>
      <w:r w:rsidR="0034438B">
        <w:rPr>
          <w:rFonts w:eastAsia="Calibri" w:cs="Times New Roman"/>
          <w:noProof/>
        </w:rPr>
        <w:t xml:space="preserve">HFC </w:t>
      </w:r>
      <w:r w:rsidR="00654C02" w:rsidRPr="3982CBDC">
        <w:rPr>
          <w:rFonts w:eastAsia="Calibri" w:cs="Times New Roman"/>
          <w:noProof/>
        </w:rPr>
        <w:t>supply</w:t>
      </w:r>
      <w:r w:rsidR="0019228C">
        <w:rPr>
          <w:rFonts w:eastAsia="Calibri" w:cs="Times New Roman"/>
          <w:noProof/>
        </w:rPr>
        <w:t xml:space="preserve"> to the EU market</w:t>
      </w:r>
      <w:r>
        <w:rPr>
          <w:rFonts w:eastAsia="Calibri" w:cs="Times New Roman"/>
          <w:noProof/>
        </w:rPr>
        <w:t>.</w:t>
      </w:r>
      <w:r w:rsidR="009707B8" w:rsidRPr="3982CBDC">
        <w:rPr>
          <w:rFonts w:eastAsia="Calibri" w:cs="Times New Roman"/>
          <w:noProof/>
        </w:rPr>
        <w:t xml:space="preserve"> </w:t>
      </w:r>
      <w:r>
        <w:rPr>
          <w:rFonts w:eastAsia="Calibri" w:cs="Times New Roman"/>
          <w:noProof/>
        </w:rPr>
        <w:t xml:space="preserve">This </w:t>
      </w:r>
      <w:r w:rsidR="0034438B">
        <w:rPr>
          <w:rFonts w:eastAsia="Calibri" w:cs="Times New Roman"/>
          <w:noProof/>
        </w:rPr>
        <w:t>(</w:t>
      </w:r>
      <w:r w:rsidR="00044CBC">
        <w:rPr>
          <w:rFonts w:eastAsia="Calibri" w:cs="Times New Roman"/>
          <w:noProof/>
        </w:rPr>
        <w:t>initially</w:t>
      </w:r>
      <w:r w:rsidR="0034438B">
        <w:rPr>
          <w:rFonts w:eastAsia="Calibri" w:cs="Times New Roman"/>
          <w:noProof/>
        </w:rPr>
        <w:t>)</w:t>
      </w:r>
      <w:r w:rsidR="00B001A8" w:rsidRPr="3982CBDC">
        <w:rPr>
          <w:rFonts w:eastAsia="Calibri" w:cs="Times New Roman"/>
          <w:noProof/>
        </w:rPr>
        <w:t xml:space="preserve"> </w:t>
      </w:r>
      <w:r w:rsidR="009707B8" w:rsidRPr="3982CBDC">
        <w:rPr>
          <w:rFonts w:eastAsia="Calibri" w:cs="Times New Roman"/>
          <w:noProof/>
        </w:rPr>
        <w:t>result</w:t>
      </w:r>
      <w:r w:rsidR="006432E0" w:rsidRPr="3982CBDC">
        <w:rPr>
          <w:rFonts w:eastAsia="Calibri" w:cs="Times New Roman"/>
          <w:noProof/>
        </w:rPr>
        <w:t>s</w:t>
      </w:r>
      <w:r w:rsidR="009707B8" w:rsidRPr="3982CBDC">
        <w:rPr>
          <w:rFonts w:eastAsia="Calibri" w:cs="Times New Roman"/>
          <w:noProof/>
        </w:rPr>
        <w:t xml:space="preserve"> </w:t>
      </w:r>
      <w:r w:rsidR="009B0248" w:rsidRPr="3982CBDC">
        <w:rPr>
          <w:rFonts w:eastAsia="Calibri" w:cs="Times New Roman"/>
          <w:noProof/>
        </w:rPr>
        <w:t xml:space="preserve">in </w:t>
      </w:r>
      <w:r w:rsidR="009E7077">
        <w:rPr>
          <w:rFonts w:eastAsia="Calibri" w:cs="Times New Roman"/>
          <w:noProof/>
        </w:rPr>
        <w:t>higher HFC prices that</w:t>
      </w:r>
      <w:r w:rsidR="009707B8" w:rsidRPr="3982CBDC">
        <w:rPr>
          <w:rFonts w:eastAsia="Calibri" w:cs="Times New Roman"/>
          <w:noProof/>
        </w:rPr>
        <w:t xml:space="preserve"> </w:t>
      </w:r>
      <w:r w:rsidR="00654C02" w:rsidRPr="3982CBDC">
        <w:rPr>
          <w:rFonts w:eastAsia="Calibri" w:cs="Times New Roman"/>
          <w:noProof/>
        </w:rPr>
        <w:t>incentivise</w:t>
      </w:r>
      <w:r w:rsidR="0034438B">
        <w:rPr>
          <w:rFonts w:eastAsia="Calibri" w:cs="Times New Roman"/>
          <w:noProof/>
        </w:rPr>
        <w:t xml:space="preserve"> a </w:t>
      </w:r>
      <w:r w:rsidR="00654C02" w:rsidRPr="3982CBDC">
        <w:rPr>
          <w:rFonts w:eastAsia="Calibri" w:cs="Times New Roman"/>
          <w:noProof/>
        </w:rPr>
        <w:t>shift towards climate</w:t>
      </w:r>
      <w:r w:rsidR="00CB0A4A" w:rsidRPr="3982CBDC">
        <w:rPr>
          <w:rFonts w:eastAsia="Calibri" w:cs="Times New Roman"/>
          <w:noProof/>
        </w:rPr>
        <w:t>-</w:t>
      </w:r>
      <w:r w:rsidR="00654C02" w:rsidRPr="3982CBDC">
        <w:rPr>
          <w:rFonts w:eastAsia="Calibri" w:cs="Times New Roman"/>
          <w:noProof/>
        </w:rPr>
        <w:t>friendly alternatives</w:t>
      </w:r>
      <w:r w:rsidR="0019228C">
        <w:rPr>
          <w:rFonts w:eastAsia="Calibri" w:cs="Times New Roman"/>
          <w:noProof/>
        </w:rPr>
        <w:t xml:space="preserve"> and reduces future HFC demand</w:t>
      </w:r>
      <w:r w:rsidR="00044CBC">
        <w:rPr>
          <w:rFonts w:eastAsia="Calibri" w:cs="Times New Roman"/>
          <w:noProof/>
        </w:rPr>
        <w:t xml:space="preserve">. It also </w:t>
      </w:r>
      <w:r w:rsidR="00B001A8" w:rsidRPr="3982CBDC">
        <w:rPr>
          <w:rFonts w:eastAsia="Calibri" w:cs="Times New Roman"/>
          <w:noProof/>
        </w:rPr>
        <w:t>promot</w:t>
      </w:r>
      <w:r w:rsidR="00044CBC">
        <w:rPr>
          <w:rFonts w:eastAsia="Calibri" w:cs="Times New Roman"/>
          <w:noProof/>
        </w:rPr>
        <w:t>es</w:t>
      </w:r>
      <w:r w:rsidR="00B001A8" w:rsidRPr="3982CBDC">
        <w:rPr>
          <w:rFonts w:eastAsia="Calibri" w:cs="Times New Roman"/>
          <w:noProof/>
        </w:rPr>
        <w:t xml:space="preserve"> </w:t>
      </w:r>
      <w:r w:rsidR="009B0248" w:rsidRPr="3982CBDC">
        <w:rPr>
          <w:rFonts w:eastAsia="Calibri" w:cs="Times New Roman"/>
          <w:noProof/>
        </w:rPr>
        <w:t>leakage prevention</w:t>
      </w:r>
      <w:r w:rsidR="00327CFE" w:rsidRPr="3982CBDC">
        <w:rPr>
          <w:rFonts w:eastAsia="Calibri" w:cs="Times New Roman"/>
          <w:noProof/>
        </w:rPr>
        <w:t xml:space="preserve">, </w:t>
      </w:r>
      <w:r w:rsidR="009B0248" w:rsidRPr="3982CBDC">
        <w:rPr>
          <w:rFonts w:eastAsia="Calibri" w:cs="Times New Roman"/>
          <w:noProof/>
        </w:rPr>
        <w:t>recycling and reclamation</w:t>
      </w:r>
      <w:r w:rsidR="004B1873" w:rsidRPr="3982CBDC">
        <w:rPr>
          <w:rFonts w:eastAsia="Calibri" w:cs="Times New Roman"/>
          <w:noProof/>
        </w:rPr>
        <w:t xml:space="preserve"> </w:t>
      </w:r>
      <w:r w:rsidR="00044CBC">
        <w:rPr>
          <w:rFonts w:eastAsia="Calibri" w:cs="Times New Roman"/>
          <w:noProof/>
        </w:rPr>
        <w:t>of</w:t>
      </w:r>
      <w:r w:rsidR="004B1873" w:rsidRPr="3982CBDC">
        <w:rPr>
          <w:rFonts w:eastAsia="Calibri" w:cs="Times New Roman"/>
          <w:noProof/>
        </w:rPr>
        <w:t xml:space="preserve"> HFCs </w:t>
      </w:r>
      <w:r>
        <w:rPr>
          <w:rFonts w:eastAsia="Calibri" w:cs="Times New Roman"/>
          <w:noProof/>
        </w:rPr>
        <w:t xml:space="preserve">that can be used </w:t>
      </w:r>
      <w:r w:rsidR="0019228C">
        <w:rPr>
          <w:rFonts w:eastAsia="Calibri" w:cs="Times New Roman"/>
          <w:noProof/>
        </w:rPr>
        <w:t>without need for quota</w:t>
      </w:r>
      <w:r w:rsidR="00654C02" w:rsidRPr="3982CBDC">
        <w:rPr>
          <w:rFonts w:eastAsia="Calibri" w:cs="Times New Roman"/>
          <w:noProof/>
        </w:rPr>
        <w:t>.</w:t>
      </w:r>
      <w:r w:rsidR="00CB0A4A" w:rsidRPr="3982CBDC">
        <w:rPr>
          <w:rFonts w:eastAsia="Calibri" w:cs="Times New Roman"/>
          <w:noProof/>
        </w:rPr>
        <w:t xml:space="preserve"> </w:t>
      </w:r>
      <w:r w:rsidR="00207BA4" w:rsidRPr="3982CBDC">
        <w:rPr>
          <w:rFonts w:eastAsia="Calibri" w:cs="Times New Roman"/>
          <w:noProof/>
        </w:rPr>
        <w:t xml:space="preserve">The amounts available each year </w:t>
      </w:r>
      <w:r w:rsidR="0034438B">
        <w:rPr>
          <w:rFonts w:eastAsia="Calibri" w:cs="Times New Roman"/>
          <w:noProof/>
        </w:rPr>
        <w:t>are</w:t>
      </w:r>
      <w:r w:rsidR="00B42A12">
        <w:rPr>
          <w:rFonts w:eastAsia="Calibri" w:cs="Times New Roman"/>
          <w:noProof/>
        </w:rPr>
        <w:t xml:space="preserve"> </w:t>
      </w:r>
      <w:r>
        <w:rPr>
          <w:rFonts w:eastAsia="Calibri" w:cs="Times New Roman"/>
          <w:noProof/>
        </w:rPr>
        <w:t xml:space="preserve">meant </w:t>
      </w:r>
      <w:r w:rsidR="00B42A12">
        <w:rPr>
          <w:rFonts w:eastAsia="Calibri" w:cs="Times New Roman"/>
          <w:noProof/>
        </w:rPr>
        <w:t xml:space="preserve">to only cover the need for HFCs in </w:t>
      </w:r>
      <w:r w:rsidR="005E43BE">
        <w:rPr>
          <w:rFonts w:eastAsia="Calibri" w:cs="Times New Roman"/>
          <w:noProof/>
        </w:rPr>
        <w:t>those</w:t>
      </w:r>
      <w:r w:rsidR="0034438B">
        <w:rPr>
          <w:rFonts w:eastAsia="Calibri" w:cs="Times New Roman"/>
          <w:noProof/>
        </w:rPr>
        <w:t xml:space="preserve"> </w:t>
      </w:r>
      <w:r w:rsidR="004B1873" w:rsidRPr="3982CBDC">
        <w:rPr>
          <w:rFonts w:eastAsia="Calibri" w:cs="Times New Roman"/>
          <w:noProof/>
        </w:rPr>
        <w:t xml:space="preserve">new and existing </w:t>
      </w:r>
      <w:r w:rsidR="00327CFE" w:rsidRPr="3982CBDC">
        <w:rPr>
          <w:rFonts w:eastAsia="Calibri" w:cs="Times New Roman"/>
          <w:noProof/>
        </w:rPr>
        <w:t xml:space="preserve">appliances where </w:t>
      </w:r>
      <w:r w:rsidR="005E43BE">
        <w:rPr>
          <w:rFonts w:eastAsia="Calibri" w:cs="Times New Roman"/>
          <w:noProof/>
        </w:rPr>
        <w:t>the analysis done in 2011</w:t>
      </w:r>
      <w:r w:rsidR="005E43BE">
        <w:rPr>
          <w:rStyle w:val="FootnoteReference"/>
          <w:rFonts w:eastAsia="Calibri" w:cs="Times New Roman"/>
          <w:noProof/>
        </w:rPr>
        <w:footnoteReference w:id="19"/>
      </w:r>
      <w:r w:rsidR="00B42A12">
        <w:rPr>
          <w:rFonts w:eastAsia="Calibri" w:cs="Times New Roman"/>
          <w:noProof/>
        </w:rPr>
        <w:t xml:space="preserve"> </w:t>
      </w:r>
      <w:r w:rsidR="005E43BE">
        <w:rPr>
          <w:rFonts w:eastAsia="Calibri" w:cs="Times New Roman"/>
          <w:noProof/>
        </w:rPr>
        <w:t>expected it</w:t>
      </w:r>
      <w:r w:rsidR="00327CFE" w:rsidRPr="3982CBDC">
        <w:rPr>
          <w:rFonts w:eastAsia="Calibri" w:cs="Times New Roman"/>
          <w:noProof/>
        </w:rPr>
        <w:t xml:space="preserve"> </w:t>
      </w:r>
      <w:r w:rsidR="005E43BE">
        <w:rPr>
          <w:rFonts w:eastAsia="Calibri" w:cs="Times New Roman"/>
          <w:noProof/>
        </w:rPr>
        <w:t xml:space="preserve">to be </w:t>
      </w:r>
      <w:r w:rsidR="00327CFE" w:rsidRPr="3982CBDC">
        <w:rPr>
          <w:rFonts w:eastAsia="Calibri" w:cs="Times New Roman"/>
          <w:noProof/>
        </w:rPr>
        <w:t xml:space="preserve">too expensive or </w:t>
      </w:r>
      <w:r w:rsidR="004B1873" w:rsidRPr="3982CBDC">
        <w:rPr>
          <w:rFonts w:eastAsia="Calibri" w:cs="Times New Roman"/>
          <w:noProof/>
        </w:rPr>
        <w:t>in</w:t>
      </w:r>
      <w:r w:rsidR="00327CFE" w:rsidRPr="3982CBDC">
        <w:rPr>
          <w:rFonts w:eastAsia="Calibri" w:cs="Times New Roman"/>
          <w:noProof/>
        </w:rPr>
        <w:t>feasible</w:t>
      </w:r>
      <w:r w:rsidR="00B42A12">
        <w:rPr>
          <w:rFonts w:eastAsia="Calibri" w:cs="Times New Roman"/>
          <w:noProof/>
        </w:rPr>
        <w:t xml:space="preserve"> to </w:t>
      </w:r>
      <w:r w:rsidR="0034438B">
        <w:rPr>
          <w:rFonts w:eastAsia="Calibri" w:cs="Times New Roman"/>
          <w:noProof/>
        </w:rPr>
        <w:t>use climate-friendly alternatives</w:t>
      </w:r>
      <w:r w:rsidR="00327CFE" w:rsidRPr="3982CBDC">
        <w:rPr>
          <w:rFonts w:eastAsia="Calibri" w:cs="Times New Roman"/>
          <w:noProof/>
        </w:rPr>
        <w:t>.</w:t>
      </w:r>
      <w:r w:rsidR="00B42A12">
        <w:rPr>
          <w:rFonts w:eastAsia="Calibri" w:cs="Times New Roman"/>
          <w:noProof/>
        </w:rPr>
        <w:t xml:space="preserve"> </w:t>
      </w:r>
      <w:r>
        <w:rPr>
          <w:rFonts w:eastAsia="Calibri" w:cs="Times New Roman"/>
          <w:noProof/>
        </w:rPr>
        <w:t xml:space="preserve">There </w:t>
      </w:r>
      <w:r w:rsidR="002722E5">
        <w:rPr>
          <w:rFonts w:eastAsia="Calibri" w:cs="Times New Roman"/>
          <w:noProof/>
        </w:rPr>
        <w:t xml:space="preserve">are </w:t>
      </w:r>
      <w:r w:rsidR="00277448">
        <w:rPr>
          <w:rFonts w:eastAsia="Calibri" w:cs="Times New Roman"/>
          <w:noProof/>
        </w:rPr>
        <w:t>some</w:t>
      </w:r>
      <w:r>
        <w:rPr>
          <w:rFonts w:eastAsia="Calibri" w:cs="Times New Roman"/>
          <w:noProof/>
        </w:rPr>
        <w:t xml:space="preserve"> </w:t>
      </w:r>
      <w:r w:rsidR="00B42A12">
        <w:rPr>
          <w:rFonts w:eastAsia="Calibri" w:cs="Times New Roman"/>
          <w:noProof/>
        </w:rPr>
        <w:t>exempt</w:t>
      </w:r>
      <w:r>
        <w:rPr>
          <w:rFonts w:eastAsia="Calibri" w:cs="Times New Roman"/>
          <w:noProof/>
        </w:rPr>
        <w:t>ions</w:t>
      </w:r>
      <w:r w:rsidR="0034438B">
        <w:rPr>
          <w:rFonts w:eastAsia="Calibri" w:cs="Times New Roman"/>
          <w:noProof/>
        </w:rPr>
        <w:t>,</w:t>
      </w:r>
      <w:r w:rsidR="00E21EA3" w:rsidRPr="3982CBDC">
        <w:rPr>
          <w:rFonts w:eastAsia="Calibri" w:cs="Times New Roman"/>
          <w:noProof/>
        </w:rPr>
        <w:t xml:space="preserve"> e.g. </w:t>
      </w:r>
      <w:r w:rsidR="00B42A12">
        <w:rPr>
          <w:rFonts w:eastAsia="Calibri" w:cs="Times New Roman"/>
          <w:noProof/>
        </w:rPr>
        <w:t xml:space="preserve">HFCs used for </w:t>
      </w:r>
      <w:r w:rsidR="004B1873" w:rsidRPr="3982CBDC">
        <w:rPr>
          <w:rFonts w:eastAsia="Calibri" w:cs="Times New Roman"/>
          <w:noProof/>
        </w:rPr>
        <w:t>MDIs</w:t>
      </w:r>
      <w:r w:rsidR="005E43BE">
        <w:rPr>
          <w:rFonts w:eastAsia="Calibri" w:cs="Times New Roman"/>
          <w:noProof/>
        </w:rPr>
        <w:t>, military and semiconductor manufacture</w:t>
      </w:r>
      <w:r>
        <w:rPr>
          <w:rFonts w:eastAsia="Calibri" w:cs="Times New Roman"/>
          <w:noProof/>
        </w:rPr>
        <w:t xml:space="preserve"> </w:t>
      </w:r>
      <w:r w:rsidR="00C1094D">
        <w:rPr>
          <w:rFonts w:eastAsia="Calibri" w:cs="Times New Roman"/>
          <w:noProof/>
        </w:rPr>
        <w:t>do</w:t>
      </w:r>
      <w:r w:rsidR="00277448">
        <w:rPr>
          <w:rFonts w:eastAsia="Calibri" w:cs="Times New Roman"/>
          <w:noProof/>
        </w:rPr>
        <w:t xml:space="preserve"> not require quota</w:t>
      </w:r>
      <w:r w:rsidR="0034438B">
        <w:rPr>
          <w:rFonts w:eastAsia="Calibri" w:cs="Times New Roman"/>
          <w:noProof/>
        </w:rPr>
        <w:t>.</w:t>
      </w:r>
    </w:p>
    <w:p w14:paraId="7FA0FF3B" w14:textId="744F8EEB" w:rsidR="006439C2" w:rsidRDefault="007C7303" w:rsidP="00AD5F1B">
      <w:pPr>
        <w:pStyle w:val="ListParagraph"/>
        <w:numPr>
          <w:ilvl w:val="0"/>
          <w:numId w:val="62"/>
        </w:numPr>
        <w:spacing w:after="120"/>
        <w:ind w:hanging="425"/>
        <w:rPr>
          <w:rFonts w:eastAsia="Calibri" w:cs="Times New Roman"/>
          <w:noProof/>
        </w:rPr>
      </w:pPr>
      <w:r>
        <w:rPr>
          <w:rFonts w:eastAsia="Calibri" w:cs="Times New Roman"/>
          <w:b/>
          <w:bCs/>
          <w:noProof/>
        </w:rPr>
        <w:t>P</w:t>
      </w:r>
      <w:r w:rsidR="003146F8" w:rsidRPr="3982CBDC">
        <w:rPr>
          <w:rFonts w:eastAsia="Calibri" w:cs="Times New Roman"/>
          <w:b/>
          <w:bCs/>
          <w:noProof/>
        </w:rPr>
        <w:t xml:space="preserve">rohibitions </w:t>
      </w:r>
      <w:r w:rsidR="001301EB" w:rsidRPr="3982CBDC">
        <w:rPr>
          <w:rFonts w:eastAsia="Calibri" w:cs="Times New Roman"/>
          <w:b/>
          <w:bCs/>
          <w:noProof/>
        </w:rPr>
        <w:t>restrict</w:t>
      </w:r>
      <w:r w:rsidR="00327CFE" w:rsidRPr="3982CBDC">
        <w:rPr>
          <w:rFonts w:eastAsia="Calibri" w:cs="Times New Roman"/>
          <w:b/>
          <w:bCs/>
          <w:noProof/>
        </w:rPr>
        <w:t xml:space="preserve"> </w:t>
      </w:r>
      <w:r w:rsidR="007A5069" w:rsidRPr="3982CBDC">
        <w:rPr>
          <w:rFonts w:eastAsia="Calibri" w:cs="Times New Roman"/>
          <w:b/>
          <w:bCs/>
          <w:noProof/>
        </w:rPr>
        <w:t>the placing on the market</w:t>
      </w:r>
      <w:r w:rsidR="008C7B4A" w:rsidRPr="3982CBDC">
        <w:rPr>
          <w:rFonts w:eastAsia="Calibri" w:cs="Times New Roman"/>
          <w:b/>
          <w:bCs/>
          <w:noProof/>
        </w:rPr>
        <w:t xml:space="preserve"> (POM)</w:t>
      </w:r>
      <w:r w:rsidR="007A5069" w:rsidRPr="3982CBDC">
        <w:rPr>
          <w:rFonts w:eastAsia="Calibri" w:cs="Times New Roman"/>
          <w:b/>
          <w:bCs/>
          <w:noProof/>
        </w:rPr>
        <w:t xml:space="preserve"> of specific </w:t>
      </w:r>
      <w:r w:rsidR="00FA0FC4" w:rsidRPr="3982CBDC">
        <w:rPr>
          <w:rFonts w:eastAsia="Calibri" w:cs="Times New Roman"/>
          <w:b/>
          <w:bCs/>
          <w:noProof/>
        </w:rPr>
        <w:t>F-gas products and equipment</w:t>
      </w:r>
      <w:r w:rsidR="001301EB">
        <w:rPr>
          <w:rFonts w:eastAsia="Calibri" w:cs="Times New Roman"/>
          <w:b/>
          <w:bCs/>
          <w:noProof/>
        </w:rPr>
        <w:t xml:space="preserve"> </w:t>
      </w:r>
      <w:r w:rsidR="001301EB" w:rsidRPr="001301EB">
        <w:rPr>
          <w:rFonts w:eastAsia="Calibri" w:cs="Times New Roman"/>
          <w:bCs/>
          <w:noProof/>
        </w:rPr>
        <w:t>(</w:t>
      </w:r>
      <w:r w:rsidR="00044CBC">
        <w:rPr>
          <w:rFonts w:eastAsia="Calibri" w:cs="Times New Roman"/>
          <w:bCs/>
          <w:noProof/>
        </w:rPr>
        <w:t xml:space="preserve">e.g. </w:t>
      </w:r>
      <w:r w:rsidR="00327CFE" w:rsidRPr="3982CBDC">
        <w:rPr>
          <w:rFonts w:eastAsia="Calibri" w:cs="Times New Roman"/>
          <w:noProof/>
        </w:rPr>
        <w:t xml:space="preserve">types of </w:t>
      </w:r>
      <w:r w:rsidR="005E43BE">
        <w:rPr>
          <w:rFonts w:eastAsia="Calibri" w:cs="Times New Roman"/>
          <w:noProof/>
        </w:rPr>
        <w:t xml:space="preserve">new </w:t>
      </w:r>
      <w:r w:rsidR="008945EC" w:rsidRPr="3982CBDC">
        <w:rPr>
          <w:rFonts w:eastAsia="Calibri" w:cs="Times New Roman"/>
          <w:noProof/>
        </w:rPr>
        <w:t>refrigeration</w:t>
      </w:r>
      <w:r w:rsidR="00F261FA" w:rsidRPr="3982CBDC">
        <w:rPr>
          <w:rFonts w:eastAsia="Calibri" w:cs="Times New Roman"/>
          <w:noProof/>
        </w:rPr>
        <w:t xml:space="preserve"> </w:t>
      </w:r>
      <w:r w:rsidR="001301EB">
        <w:rPr>
          <w:rFonts w:eastAsia="Calibri" w:cs="Times New Roman"/>
          <w:noProof/>
        </w:rPr>
        <w:t xml:space="preserve">and AC </w:t>
      </w:r>
      <w:r w:rsidR="00F261FA" w:rsidRPr="3982CBDC">
        <w:rPr>
          <w:rFonts w:eastAsia="Calibri" w:cs="Times New Roman"/>
          <w:noProof/>
        </w:rPr>
        <w:t>equipment</w:t>
      </w:r>
      <w:r w:rsidR="008945EC" w:rsidRPr="3982CBDC">
        <w:rPr>
          <w:rFonts w:eastAsia="Calibri" w:cs="Times New Roman"/>
          <w:noProof/>
        </w:rPr>
        <w:t>, foams and aerosols</w:t>
      </w:r>
      <w:r w:rsidR="001301EB">
        <w:rPr>
          <w:rFonts w:eastAsia="Calibri" w:cs="Times New Roman"/>
          <w:noProof/>
        </w:rPr>
        <w:t>)</w:t>
      </w:r>
      <w:r w:rsidR="00E37ADA">
        <w:rPr>
          <w:rFonts w:eastAsia="Calibri" w:cs="Times New Roman"/>
          <w:noProof/>
        </w:rPr>
        <w:t xml:space="preserve"> and </w:t>
      </w:r>
      <w:r w:rsidR="00E37ADA" w:rsidRPr="00E37ADA">
        <w:rPr>
          <w:rFonts w:eastAsia="Calibri" w:cs="Times New Roman"/>
          <w:b/>
          <w:noProof/>
        </w:rPr>
        <w:t xml:space="preserve">some </w:t>
      </w:r>
      <w:r w:rsidR="00162C6E">
        <w:rPr>
          <w:rFonts w:eastAsia="Calibri" w:cs="Times New Roman"/>
          <w:b/>
          <w:noProof/>
        </w:rPr>
        <w:t xml:space="preserve">F-gas </w:t>
      </w:r>
      <w:r w:rsidR="00E37ADA" w:rsidRPr="00E37ADA">
        <w:rPr>
          <w:rFonts w:eastAsia="Calibri" w:cs="Times New Roman"/>
          <w:b/>
          <w:noProof/>
        </w:rPr>
        <w:t>uses</w:t>
      </w:r>
      <w:r w:rsidR="005E43BE">
        <w:rPr>
          <w:rFonts w:eastAsia="Calibri" w:cs="Times New Roman"/>
          <w:b/>
          <w:noProof/>
        </w:rPr>
        <w:t xml:space="preserve"> </w:t>
      </w:r>
      <w:r w:rsidR="005E43BE" w:rsidRPr="005E43BE">
        <w:rPr>
          <w:rFonts w:eastAsia="Calibri" w:cs="Times New Roman"/>
          <w:noProof/>
        </w:rPr>
        <w:t>(</w:t>
      </w:r>
      <w:r w:rsidR="00F86647">
        <w:rPr>
          <w:rFonts w:eastAsia="Calibri" w:cs="Times New Roman"/>
          <w:noProof/>
        </w:rPr>
        <w:t>e.g.</w:t>
      </w:r>
      <w:r w:rsidR="005E43BE">
        <w:rPr>
          <w:rFonts w:eastAsia="Calibri" w:cs="Times New Roman"/>
          <w:noProof/>
        </w:rPr>
        <w:t xml:space="preserve"> servicing</w:t>
      </w:r>
      <w:r w:rsidR="005E43BE" w:rsidRPr="005E43BE">
        <w:rPr>
          <w:rFonts w:eastAsia="Calibri" w:cs="Times New Roman"/>
          <w:noProof/>
        </w:rPr>
        <w:t xml:space="preserve"> </w:t>
      </w:r>
      <w:r w:rsidR="005E43BE">
        <w:rPr>
          <w:rFonts w:eastAsia="Calibri" w:cs="Times New Roman"/>
          <w:noProof/>
        </w:rPr>
        <w:t xml:space="preserve">(refilling) </w:t>
      </w:r>
      <w:r w:rsidR="005E43BE" w:rsidRPr="005E43BE">
        <w:rPr>
          <w:rFonts w:eastAsia="Calibri" w:cs="Times New Roman"/>
          <w:noProof/>
        </w:rPr>
        <w:t>of larger</w:t>
      </w:r>
      <w:r w:rsidR="005E43BE">
        <w:rPr>
          <w:rFonts w:eastAsia="Calibri" w:cs="Times New Roman"/>
          <w:noProof/>
        </w:rPr>
        <w:t>,</w:t>
      </w:r>
      <w:r w:rsidR="005E43BE" w:rsidRPr="005E43BE">
        <w:rPr>
          <w:rFonts w:eastAsia="Calibri" w:cs="Times New Roman"/>
          <w:noProof/>
        </w:rPr>
        <w:t xml:space="preserve"> </w:t>
      </w:r>
      <w:r w:rsidR="005E43BE">
        <w:rPr>
          <w:rFonts w:eastAsia="Calibri" w:cs="Times New Roman"/>
          <w:noProof/>
        </w:rPr>
        <w:t xml:space="preserve">existing </w:t>
      </w:r>
      <w:r w:rsidR="005E43BE" w:rsidRPr="005E43BE">
        <w:rPr>
          <w:rFonts w:eastAsia="Calibri" w:cs="Times New Roman"/>
          <w:noProof/>
        </w:rPr>
        <w:t>refrigeration systems</w:t>
      </w:r>
      <w:r w:rsidR="005E43BE">
        <w:rPr>
          <w:rFonts w:eastAsia="Calibri" w:cs="Times New Roman"/>
          <w:noProof/>
        </w:rPr>
        <w:t xml:space="preserve"> with high GWP HFCs</w:t>
      </w:r>
      <w:r w:rsidR="005E43BE" w:rsidRPr="005E43BE">
        <w:rPr>
          <w:rFonts w:eastAsia="Calibri" w:cs="Times New Roman"/>
          <w:noProof/>
        </w:rPr>
        <w:t>)</w:t>
      </w:r>
      <w:r w:rsidR="008324F7" w:rsidRPr="005E43BE">
        <w:rPr>
          <w:rFonts w:eastAsia="Calibri" w:cs="Times New Roman"/>
          <w:noProof/>
        </w:rPr>
        <w:t>.</w:t>
      </w:r>
      <w:r w:rsidR="008324F7" w:rsidRPr="3982CBDC">
        <w:rPr>
          <w:rFonts w:eastAsia="Calibri" w:cs="Times New Roman"/>
          <w:noProof/>
        </w:rPr>
        <w:t xml:space="preserve"> </w:t>
      </w:r>
      <w:r w:rsidR="00327CFE" w:rsidRPr="3982CBDC">
        <w:rPr>
          <w:rFonts w:eastAsia="Calibri" w:cs="Times New Roman"/>
          <w:noProof/>
        </w:rPr>
        <w:t>P</w:t>
      </w:r>
      <w:r w:rsidR="00182129" w:rsidRPr="3982CBDC">
        <w:rPr>
          <w:rFonts w:eastAsia="Calibri" w:cs="Times New Roman"/>
          <w:noProof/>
        </w:rPr>
        <w:t xml:space="preserve">rohibitions </w:t>
      </w:r>
      <w:r w:rsidR="005769A6" w:rsidRPr="3982CBDC">
        <w:rPr>
          <w:rFonts w:eastAsia="Calibri" w:cs="Times New Roman"/>
          <w:noProof/>
        </w:rPr>
        <w:t>relat</w:t>
      </w:r>
      <w:r w:rsidR="007A5069" w:rsidRPr="3982CBDC">
        <w:rPr>
          <w:rFonts w:eastAsia="Calibri" w:cs="Times New Roman"/>
          <w:noProof/>
        </w:rPr>
        <w:t xml:space="preserve">ing </w:t>
      </w:r>
      <w:r w:rsidR="00327CFE" w:rsidRPr="3982CBDC">
        <w:rPr>
          <w:rFonts w:eastAsia="Calibri" w:cs="Times New Roman"/>
          <w:noProof/>
        </w:rPr>
        <w:t xml:space="preserve">to </w:t>
      </w:r>
      <w:r w:rsidR="008945EC" w:rsidRPr="3982CBDC">
        <w:rPr>
          <w:rFonts w:eastAsia="Calibri" w:cs="Times New Roman"/>
          <w:noProof/>
        </w:rPr>
        <w:t>HFCs</w:t>
      </w:r>
      <w:r w:rsidR="00182129" w:rsidRPr="3982CBDC">
        <w:rPr>
          <w:rFonts w:eastAsia="Calibri" w:cs="Times New Roman"/>
          <w:noProof/>
        </w:rPr>
        <w:t xml:space="preserve"> </w:t>
      </w:r>
      <w:r w:rsidR="00654C02" w:rsidRPr="3982CBDC">
        <w:rPr>
          <w:rFonts w:eastAsia="Calibri" w:cs="Times New Roman"/>
          <w:noProof/>
        </w:rPr>
        <w:t xml:space="preserve">complement the </w:t>
      </w:r>
      <w:r w:rsidR="001500B9">
        <w:rPr>
          <w:rFonts w:eastAsia="Calibri" w:cs="Times New Roman"/>
          <w:noProof/>
        </w:rPr>
        <w:t>quota system</w:t>
      </w:r>
      <w:r w:rsidR="001137E9">
        <w:rPr>
          <w:rFonts w:eastAsia="Calibri" w:cs="Times New Roman"/>
          <w:noProof/>
        </w:rPr>
        <w:t xml:space="preserve"> since t</w:t>
      </w:r>
      <w:r w:rsidR="00E37ADA">
        <w:rPr>
          <w:rFonts w:eastAsia="Calibri" w:cs="Times New Roman"/>
          <w:noProof/>
        </w:rPr>
        <w:t>hey</w:t>
      </w:r>
      <w:r w:rsidR="00654C02" w:rsidRPr="3982CBDC">
        <w:rPr>
          <w:rFonts w:eastAsia="Calibri" w:cs="Times New Roman"/>
          <w:noProof/>
        </w:rPr>
        <w:t xml:space="preserve"> </w:t>
      </w:r>
      <w:r w:rsidR="00182129" w:rsidRPr="3982CBDC">
        <w:rPr>
          <w:rFonts w:eastAsia="Calibri" w:cs="Times New Roman"/>
          <w:noProof/>
        </w:rPr>
        <w:t xml:space="preserve">prevent </w:t>
      </w:r>
      <w:r w:rsidR="0050767E" w:rsidRPr="3982CBDC">
        <w:rPr>
          <w:rFonts w:eastAsia="Calibri" w:cs="Times New Roman"/>
          <w:noProof/>
        </w:rPr>
        <w:t xml:space="preserve">that actors that </w:t>
      </w:r>
      <w:r w:rsidR="00233AEA" w:rsidRPr="3982CBDC">
        <w:rPr>
          <w:rFonts w:eastAsia="Calibri" w:cs="Times New Roman"/>
          <w:noProof/>
        </w:rPr>
        <w:t>c</w:t>
      </w:r>
      <w:r w:rsidR="00327CFE" w:rsidRPr="3982CBDC">
        <w:rPr>
          <w:rFonts w:eastAsia="Calibri" w:cs="Times New Roman"/>
          <w:noProof/>
        </w:rPr>
        <w:t xml:space="preserve">ould </w:t>
      </w:r>
      <w:r w:rsidR="00233AEA" w:rsidRPr="3982CBDC">
        <w:rPr>
          <w:rFonts w:eastAsia="Calibri" w:cs="Times New Roman"/>
          <w:noProof/>
        </w:rPr>
        <w:t>easily replace</w:t>
      </w:r>
      <w:r w:rsidR="0050767E" w:rsidRPr="3982CBDC">
        <w:rPr>
          <w:rFonts w:eastAsia="Calibri" w:cs="Times New Roman"/>
          <w:noProof/>
        </w:rPr>
        <w:t xml:space="preserve"> HFCs continue to use </w:t>
      </w:r>
      <w:r w:rsidR="004B1873" w:rsidRPr="3982CBDC">
        <w:rPr>
          <w:rFonts w:eastAsia="Calibri" w:cs="Times New Roman"/>
          <w:noProof/>
        </w:rPr>
        <w:t>them</w:t>
      </w:r>
      <w:r w:rsidR="0050767E" w:rsidRPr="3982CBDC">
        <w:rPr>
          <w:rFonts w:eastAsia="Calibri" w:cs="Times New Roman"/>
          <w:noProof/>
        </w:rPr>
        <w:t xml:space="preserve"> e.g. due to lack of </w:t>
      </w:r>
      <w:r w:rsidR="00026165" w:rsidRPr="3982CBDC">
        <w:rPr>
          <w:rFonts w:eastAsia="Calibri" w:cs="Times New Roman"/>
          <w:noProof/>
        </w:rPr>
        <w:t>awareness o</w:t>
      </w:r>
      <w:r w:rsidR="00044CBC">
        <w:rPr>
          <w:rFonts w:eastAsia="Calibri" w:cs="Times New Roman"/>
          <w:noProof/>
        </w:rPr>
        <w:t>f</w:t>
      </w:r>
      <w:r w:rsidR="007A5069" w:rsidRPr="3982CBDC">
        <w:rPr>
          <w:rFonts w:eastAsia="Calibri" w:cs="Times New Roman"/>
          <w:noProof/>
        </w:rPr>
        <w:t xml:space="preserve"> alternatives</w:t>
      </w:r>
      <w:r w:rsidR="00DD5385" w:rsidRPr="3982CBDC">
        <w:rPr>
          <w:rFonts w:eastAsia="Calibri" w:cs="Times New Roman"/>
          <w:noProof/>
        </w:rPr>
        <w:t xml:space="preserve"> (market failure)</w:t>
      </w:r>
      <w:r w:rsidR="00AE3319" w:rsidRPr="3982CBDC">
        <w:rPr>
          <w:rFonts w:eastAsia="Calibri" w:cs="Times New Roman"/>
          <w:noProof/>
        </w:rPr>
        <w:t xml:space="preserve">. </w:t>
      </w:r>
      <w:r w:rsidR="001137E9">
        <w:rPr>
          <w:rFonts w:eastAsia="Calibri" w:cs="Times New Roman"/>
          <w:noProof/>
        </w:rPr>
        <w:t xml:space="preserve">This </w:t>
      </w:r>
      <w:r w:rsidR="00026165" w:rsidRPr="3982CBDC">
        <w:rPr>
          <w:rFonts w:eastAsia="Calibri" w:cs="Times New Roman"/>
          <w:noProof/>
        </w:rPr>
        <w:t>reduce</w:t>
      </w:r>
      <w:r w:rsidR="001137E9">
        <w:rPr>
          <w:rFonts w:eastAsia="Calibri" w:cs="Times New Roman"/>
          <w:noProof/>
        </w:rPr>
        <w:t>s</w:t>
      </w:r>
      <w:r w:rsidR="00026165" w:rsidRPr="3982CBDC">
        <w:rPr>
          <w:rFonts w:eastAsia="Calibri" w:cs="Times New Roman"/>
          <w:noProof/>
        </w:rPr>
        <w:t xml:space="preserve"> the risk </w:t>
      </w:r>
      <w:r w:rsidR="00E37ADA">
        <w:rPr>
          <w:rFonts w:eastAsia="Calibri" w:cs="Times New Roman"/>
          <w:noProof/>
        </w:rPr>
        <w:t>of</w:t>
      </w:r>
      <w:r w:rsidR="00026165" w:rsidRPr="3982CBDC">
        <w:rPr>
          <w:rFonts w:eastAsia="Calibri" w:cs="Times New Roman"/>
          <w:noProof/>
        </w:rPr>
        <w:t xml:space="preserve"> </w:t>
      </w:r>
      <w:r w:rsidR="001137E9">
        <w:rPr>
          <w:rFonts w:eastAsia="Calibri" w:cs="Times New Roman"/>
          <w:noProof/>
        </w:rPr>
        <w:t xml:space="preserve">undue </w:t>
      </w:r>
      <w:r w:rsidR="00026165" w:rsidRPr="3982CBDC">
        <w:rPr>
          <w:rFonts w:eastAsia="Calibri" w:cs="Times New Roman"/>
          <w:noProof/>
        </w:rPr>
        <w:t xml:space="preserve">shortages </w:t>
      </w:r>
      <w:r w:rsidR="001137E9">
        <w:rPr>
          <w:rFonts w:eastAsia="Calibri" w:cs="Times New Roman"/>
          <w:noProof/>
        </w:rPr>
        <w:t xml:space="preserve">and HFC prices </w:t>
      </w:r>
      <w:r w:rsidR="00044CBC">
        <w:rPr>
          <w:rFonts w:eastAsia="Calibri" w:cs="Times New Roman"/>
          <w:noProof/>
        </w:rPr>
        <w:t>for th</w:t>
      </w:r>
      <w:r w:rsidR="00E37ADA">
        <w:rPr>
          <w:rFonts w:eastAsia="Calibri" w:cs="Times New Roman"/>
          <w:noProof/>
        </w:rPr>
        <w:t xml:space="preserve">e </w:t>
      </w:r>
      <w:r w:rsidR="00026165" w:rsidRPr="3982CBDC">
        <w:rPr>
          <w:rFonts w:cs="Times New Roman"/>
          <w:noProof/>
        </w:rPr>
        <w:t xml:space="preserve">sectors </w:t>
      </w:r>
      <w:r w:rsidR="00162C6E">
        <w:rPr>
          <w:rFonts w:cs="Times New Roman"/>
          <w:noProof/>
        </w:rPr>
        <w:t xml:space="preserve">that </w:t>
      </w:r>
      <w:r w:rsidR="001137E9">
        <w:rPr>
          <w:rFonts w:cs="Times New Roman"/>
          <w:noProof/>
        </w:rPr>
        <w:t xml:space="preserve">are </w:t>
      </w:r>
      <w:r w:rsidR="0050767E" w:rsidRPr="3982CBDC">
        <w:rPr>
          <w:rFonts w:cs="Times New Roman"/>
          <w:noProof/>
        </w:rPr>
        <w:t>depend</w:t>
      </w:r>
      <w:r w:rsidR="001137E9">
        <w:rPr>
          <w:rFonts w:cs="Times New Roman"/>
          <w:noProof/>
        </w:rPr>
        <w:t>ing</w:t>
      </w:r>
      <w:r w:rsidR="00026165" w:rsidRPr="3982CBDC">
        <w:rPr>
          <w:rFonts w:cs="Times New Roman"/>
          <w:noProof/>
        </w:rPr>
        <w:t xml:space="preserve"> on HFCs</w:t>
      </w:r>
      <w:r w:rsidR="0050767E" w:rsidRPr="3982CBDC">
        <w:rPr>
          <w:rFonts w:cs="Times New Roman"/>
          <w:noProof/>
        </w:rPr>
        <w:t>.</w:t>
      </w:r>
      <w:r w:rsidR="007B4689" w:rsidRPr="3982CBDC">
        <w:rPr>
          <w:rFonts w:eastAsia="Calibri" w:cs="Times New Roman"/>
          <w:noProof/>
        </w:rPr>
        <w:t xml:space="preserve"> </w:t>
      </w:r>
    </w:p>
    <w:p w14:paraId="5E6C70BE" w14:textId="3E74C960" w:rsidR="00EC65A1" w:rsidRPr="006439C2" w:rsidRDefault="3982CBDC" w:rsidP="00AD5F1B">
      <w:pPr>
        <w:pStyle w:val="ListParagraph"/>
        <w:numPr>
          <w:ilvl w:val="0"/>
          <w:numId w:val="62"/>
        </w:numPr>
        <w:spacing w:after="120"/>
        <w:ind w:hanging="425"/>
        <w:rPr>
          <w:rFonts w:eastAsia="Calibri" w:cs="Times New Roman"/>
          <w:noProof/>
        </w:rPr>
      </w:pPr>
      <w:r w:rsidRPr="3982CBDC">
        <w:rPr>
          <w:rFonts w:eastAsia="Calibri" w:cs="Times New Roman"/>
          <w:noProof/>
        </w:rPr>
        <w:t xml:space="preserve">The </w:t>
      </w:r>
      <w:r w:rsidRPr="3982CBDC">
        <w:rPr>
          <w:rFonts w:eastAsia="Calibri" w:cs="Times New Roman"/>
          <w:b/>
          <w:bCs/>
          <w:noProof/>
        </w:rPr>
        <w:t>measures to prevent emissions where F-gases are produced or used</w:t>
      </w:r>
      <w:r w:rsidRPr="3982CBDC">
        <w:rPr>
          <w:rFonts w:eastAsia="Calibri" w:cs="Times New Roman"/>
          <w:noProof/>
        </w:rPr>
        <w:t xml:space="preserve"> include requirements to avoid intentional releases or leakage, </w:t>
      </w:r>
      <w:r w:rsidR="001E6C48">
        <w:rPr>
          <w:rFonts w:eastAsia="Calibri" w:cs="Times New Roman"/>
          <w:noProof/>
        </w:rPr>
        <w:t xml:space="preserve">mandatory leak checks of equipment, </w:t>
      </w:r>
      <w:r w:rsidRPr="3982CBDC">
        <w:rPr>
          <w:rFonts w:eastAsia="Calibri" w:cs="Times New Roman"/>
          <w:noProof/>
        </w:rPr>
        <w:t>keep company records</w:t>
      </w:r>
      <w:r w:rsidR="001E6C48">
        <w:rPr>
          <w:rFonts w:eastAsia="Calibri" w:cs="Times New Roman"/>
          <w:noProof/>
        </w:rPr>
        <w:t xml:space="preserve"> on F-gas related activities</w:t>
      </w:r>
      <w:r w:rsidRPr="3982CBDC">
        <w:rPr>
          <w:rFonts w:eastAsia="Calibri" w:cs="Times New Roman"/>
          <w:noProof/>
        </w:rPr>
        <w:t xml:space="preserve">, recover gas at the end of equipment life, </w:t>
      </w:r>
      <w:r w:rsidR="003013EC">
        <w:rPr>
          <w:rFonts w:eastAsia="Calibri" w:cs="Times New Roman"/>
          <w:noProof/>
        </w:rPr>
        <w:t>compulsory</w:t>
      </w:r>
      <w:r w:rsidRPr="3982CBDC">
        <w:rPr>
          <w:rFonts w:eastAsia="Calibri" w:cs="Times New Roman"/>
          <w:noProof/>
        </w:rPr>
        <w:t xml:space="preserve"> training and certi</w:t>
      </w:r>
      <w:r w:rsidR="001E6C48">
        <w:rPr>
          <w:rFonts w:eastAsia="Calibri" w:cs="Times New Roman"/>
          <w:noProof/>
        </w:rPr>
        <w:t xml:space="preserve">fication of technical personnel, </w:t>
      </w:r>
      <w:r w:rsidRPr="3982CBDC">
        <w:rPr>
          <w:rFonts w:eastAsia="Calibri" w:cs="Times New Roman"/>
          <w:noProof/>
        </w:rPr>
        <w:t xml:space="preserve">and producer responsibility schemes (the latter only encouraged). Most of these “containment” measures were already introduced by the 2006 F-gas Regulation. </w:t>
      </w:r>
      <w:bookmarkStart w:id="32" w:name="_Ref50134397"/>
      <w:bookmarkStart w:id="33" w:name="_Ref50134403"/>
    </w:p>
    <w:p w14:paraId="012E2209" w14:textId="5A056530" w:rsidR="00066717" w:rsidRPr="00E21EA3" w:rsidRDefault="3982CBDC" w:rsidP="00AD5F1B">
      <w:pPr>
        <w:pStyle w:val="ListParagraph"/>
        <w:numPr>
          <w:ilvl w:val="0"/>
          <w:numId w:val="62"/>
        </w:numPr>
        <w:spacing w:after="120"/>
        <w:ind w:hanging="425"/>
        <w:rPr>
          <w:rFonts w:eastAsia="Calibri" w:cs="Times New Roman"/>
          <w:noProof/>
        </w:rPr>
      </w:pPr>
      <w:r w:rsidRPr="3982CBDC">
        <w:rPr>
          <w:rFonts w:eastAsia="Calibri" w:cs="Times New Roman"/>
          <w:noProof/>
        </w:rPr>
        <w:t xml:space="preserve">For the purpose of </w:t>
      </w:r>
      <w:r w:rsidRPr="3982CBDC">
        <w:rPr>
          <w:rFonts w:eastAsia="Calibri" w:cs="Times New Roman"/>
          <w:b/>
          <w:bCs/>
          <w:noProof/>
        </w:rPr>
        <w:t>controlling and monitoring</w:t>
      </w:r>
      <w:r w:rsidRPr="3982CBDC">
        <w:rPr>
          <w:rFonts w:eastAsia="Calibri" w:cs="Times New Roman"/>
          <w:noProof/>
        </w:rPr>
        <w:t xml:space="preserve"> the policy as well as </w:t>
      </w:r>
      <w:r w:rsidR="00851561">
        <w:rPr>
          <w:rFonts w:eastAsia="Calibri" w:cs="Times New Roman"/>
          <w:noProof/>
        </w:rPr>
        <w:t xml:space="preserve">anticipating global rules on HFCs under </w:t>
      </w:r>
      <w:r w:rsidRPr="3982CBDC">
        <w:rPr>
          <w:rFonts w:eastAsia="Calibri" w:cs="Times New Roman"/>
          <w:noProof/>
        </w:rPr>
        <w:t xml:space="preserve">the </w:t>
      </w:r>
      <w:r w:rsidRPr="3982CBDC">
        <w:rPr>
          <w:rFonts w:eastAsia="Calibri" w:cs="Times New Roman"/>
          <w:b/>
          <w:bCs/>
          <w:noProof/>
        </w:rPr>
        <w:t>Protocol</w:t>
      </w:r>
      <w:r w:rsidR="00851561">
        <w:rPr>
          <w:rStyle w:val="FootnoteReference"/>
          <w:rFonts w:eastAsia="Calibri" w:cs="Times New Roman"/>
          <w:b/>
          <w:bCs/>
          <w:noProof/>
        </w:rPr>
        <w:footnoteReference w:id="20"/>
      </w:r>
      <w:r w:rsidRPr="3982CBDC">
        <w:rPr>
          <w:rFonts w:eastAsia="Calibri" w:cs="Times New Roman"/>
          <w:b/>
          <w:bCs/>
          <w:noProof/>
        </w:rPr>
        <w:t>,</w:t>
      </w:r>
      <w:r w:rsidRPr="3982CBDC">
        <w:rPr>
          <w:rFonts w:eastAsia="Calibri" w:cs="Times New Roman"/>
          <w:noProof/>
        </w:rPr>
        <w:t xml:space="preserve"> lic</w:t>
      </w:r>
      <w:r w:rsidR="002E392A">
        <w:rPr>
          <w:rFonts w:eastAsia="Calibri" w:cs="Times New Roman"/>
          <w:noProof/>
        </w:rPr>
        <w:t>ens</w:t>
      </w:r>
      <w:r w:rsidRPr="3982CBDC">
        <w:rPr>
          <w:rFonts w:eastAsia="Calibri" w:cs="Times New Roman"/>
          <w:noProof/>
        </w:rPr>
        <w:t>ing</w:t>
      </w:r>
      <w:r w:rsidR="00455D82">
        <w:rPr>
          <w:rFonts w:eastAsia="Calibri" w:cs="Times New Roman"/>
          <w:noProof/>
        </w:rPr>
        <w:t xml:space="preserve"> of imports and exports</w:t>
      </w:r>
      <w:r w:rsidRPr="3982CBDC">
        <w:rPr>
          <w:rFonts w:eastAsia="Calibri" w:cs="Times New Roman"/>
          <w:noProof/>
        </w:rPr>
        <w:t xml:space="preserve">, labelling </w:t>
      </w:r>
      <w:r w:rsidR="00455D82">
        <w:rPr>
          <w:rFonts w:eastAsia="Calibri" w:cs="Times New Roman"/>
          <w:noProof/>
        </w:rPr>
        <w:t>of F-gas containers and equipment as well as annual</w:t>
      </w:r>
      <w:r w:rsidRPr="3982CBDC">
        <w:rPr>
          <w:rFonts w:eastAsia="Calibri" w:cs="Times New Roman"/>
          <w:noProof/>
        </w:rPr>
        <w:t xml:space="preserve"> company reporting</w:t>
      </w:r>
      <w:r w:rsidR="00455D82">
        <w:rPr>
          <w:rFonts w:eastAsia="Calibri" w:cs="Times New Roman"/>
          <w:noProof/>
        </w:rPr>
        <w:t xml:space="preserve"> </w:t>
      </w:r>
      <w:r w:rsidRPr="3982CBDC">
        <w:rPr>
          <w:rFonts w:eastAsia="Calibri" w:cs="Times New Roman"/>
          <w:noProof/>
        </w:rPr>
        <w:t xml:space="preserve">on their F-gas related activities </w:t>
      </w:r>
      <w:r w:rsidR="00455D82">
        <w:rPr>
          <w:rFonts w:eastAsia="Calibri" w:cs="Times New Roman"/>
          <w:noProof/>
        </w:rPr>
        <w:t>including independent verification of their data</w:t>
      </w:r>
      <w:r w:rsidR="00455D82" w:rsidRPr="3982CBDC">
        <w:rPr>
          <w:rFonts w:eastAsia="Calibri" w:cs="Times New Roman"/>
          <w:noProof/>
        </w:rPr>
        <w:t xml:space="preserve"> </w:t>
      </w:r>
      <w:r w:rsidRPr="3982CBDC">
        <w:rPr>
          <w:rFonts w:eastAsia="Calibri" w:cs="Times New Roman"/>
          <w:noProof/>
        </w:rPr>
        <w:t xml:space="preserve">is required. Furthermore, Member States must have effective, proportionate and dissuasive </w:t>
      </w:r>
      <w:r w:rsidRPr="3982CBDC">
        <w:rPr>
          <w:rFonts w:eastAsia="Calibri" w:cs="Times New Roman"/>
          <w:b/>
          <w:bCs/>
          <w:noProof/>
        </w:rPr>
        <w:t>penalties;</w:t>
      </w:r>
      <w:r w:rsidR="002E392A">
        <w:rPr>
          <w:rFonts w:eastAsia="Calibri" w:cs="Times New Roman"/>
          <w:noProof/>
        </w:rPr>
        <w:t xml:space="preserve"> in case a</w:t>
      </w:r>
      <w:r w:rsidRPr="3982CBDC">
        <w:rPr>
          <w:rFonts w:eastAsia="Calibri" w:cs="Times New Roman"/>
          <w:noProof/>
        </w:rPr>
        <w:t xml:space="preserve"> quota </w:t>
      </w:r>
      <w:r w:rsidR="002E392A">
        <w:rPr>
          <w:rFonts w:eastAsia="Calibri" w:cs="Times New Roman"/>
          <w:noProof/>
        </w:rPr>
        <w:t>is exceeded</w:t>
      </w:r>
      <w:r w:rsidRPr="3982CBDC">
        <w:rPr>
          <w:rFonts w:eastAsia="Calibri" w:cs="Times New Roman"/>
          <w:noProof/>
        </w:rPr>
        <w:t>, the Commission must also impose a quota reduction.</w:t>
      </w:r>
    </w:p>
    <w:p w14:paraId="61DC7428" w14:textId="7C0993C9" w:rsidR="002A0293" w:rsidRPr="00E21EA3" w:rsidRDefault="00C301B8" w:rsidP="00AD5F1B">
      <w:pPr>
        <w:pStyle w:val="ListParagraph"/>
        <w:numPr>
          <w:ilvl w:val="0"/>
          <w:numId w:val="62"/>
        </w:numPr>
        <w:spacing w:after="120"/>
        <w:ind w:hanging="425"/>
        <w:rPr>
          <w:rFonts w:eastAsia="Calibri" w:cs="Times New Roman"/>
          <w:noProof/>
        </w:rPr>
      </w:pPr>
      <w:r>
        <w:rPr>
          <w:rFonts w:cs="Times New Roman"/>
          <w:noProof/>
          <w:lang w:eastAsia="de-DE"/>
        </w:rPr>
        <w:t xml:space="preserve">While </w:t>
      </w:r>
      <w:r w:rsidR="00623B45" w:rsidRPr="3982CBDC">
        <w:rPr>
          <w:rFonts w:cs="Times New Roman"/>
          <w:noProof/>
          <w:lang w:eastAsia="de-DE"/>
        </w:rPr>
        <w:t xml:space="preserve">Member States are </w:t>
      </w:r>
      <w:r>
        <w:rPr>
          <w:rFonts w:cs="Times New Roman"/>
          <w:noProof/>
          <w:lang w:eastAsia="de-DE"/>
        </w:rPr>
        <w:t xml:space="preserve">not </w:t>
      </w:r>
      <w:r w:rsidR="00623B45" w:rsidRPr="3982CBDC">
        <w:rPr>
          <w:rFonts w:cs="Times New Roman"/>
          <w:noProof/>
          <w:lang w:eastAsia="de-DE"/>
        </w:rPr>
        <w:t xml:space="preserve">required </w:t>
      </w:r>
      <w:r w:rsidR="00623B45" w:rsidRPr="3982CBDC">
        <w:rPr>
          <w:rFonts w:eastAsia="Calibri" w:cs="Times New Roman"/>
          <w:noProof/>
        </w:rPr>
        <w:t xml:space="preserve">to </w:t>
      </w:r>
      <w:r>
        <w:rPr>
          <w:rFonts w:eastAsia="Calibri" w:cs="Times New Roman"/>
          <w:noProof/>
        </w:rPr>
        <w:t xml:space="preserve">report directly on emissions under the Regulation they must </w:t>
      </w:r>
      <w:r w:rsidR="00623B45" w:rsidRPr="3982CBDC">
        <w:rPr>
          <w:rFonts w:eastAsia="Calibri" w:cs="Times New Roman"/>
          <w:noProof/>
        </w:rPr>
        <w:t xml:space="preserve">establish </w:t>
      </w:r>
      <w:r w:rsidR="00623B45" w:rsidRPr="3982CBDC">
        <w:rPr>
          <w:rFonts w:eastAsia="Calibri" w:cs="Times New Roman"/>
          <w:b/>
          <w:bCs/>
          <w:noProof/>
        </w:rPr>
        <w:t>systems to acquire F-gas emissions data</w:t>
      </w:r>
      <w:r w:rsidR="00623B45" w:rsidRPr="3982CBDC">
        <w:rPr>
          <w:rFonts w:eastAsia="Calibri" w:cs="Times New Roman"/>
          <w:noProof/>
        </w:rPr>
        <w:t xml:space="preserve"> </w:t>
      </w:r>
      <w:r w:rsidR="00C1094D">
        <w:rPr>
          <w:rFonts w:eastAsia="Calibri" w:cs="Times New Roman"/>
          <w:noProof/>
        </w:rPr>
        <w:t>that enable</w:t>
      </w:r>
      <w:r w:rsidR="001137E9">
        <w:rPr>
          <w:rFonts w:eastAsia="Calibri" w:cs="Times New Roman"/>
          <w:noProof/>
        </w:rPr>
        <w:t xml:space="preserve"> them to </w:t>
      </w:r>
      <w:r w:rsidR="00623B45" w:rsidRPr="3982CBDC">
        <w:rPr>
          <w:rFonts w:eastAsia="Calibri" w:cs="Times New Roman"/>
          <w:noProof/>
        </w:rPr>
        <w:t>report</w:t>
      </w:r>
      <w:r w:rsidR="001137E9">
        <w:rPr>
          <w:rFonts w:eastAsia="Calibri" w:cs="Times New Roman"/>
          <w:noProof/>
        </w:rPr>
        <w:t xml:space="preserve"> F-gas emissions </w:t>
      </w:r>
      <w:r w:rsidR="00623B45" w:rsidRPr="3982CBDC">
        <w:rPr>
          <w:rFonts w:eastAsia="Calibri" w:cs="Times New Roman"/>
          <w:noProof/>
        </w:rPr>
        <w:t xml:space="preserve">under the </w:t>
      </w:r>
      <w:r w:rsidR="00491D7F" w:rsidRPr="3982CBDC">
        <w:rPr>
          <w:rFonts w:cs="Times New Roman"/>
          <w:noProof/>
          <w:lang w:eastAsia="de-DE"/>
        </w:rPr>
        <w:t>EU</w:t>
      </w:r>
      <w:r w:rsidR="001137E9">
        <w:rPr>
          <w:rFonts w:cs="Times New Roman"/>
          <w:noProof/>
          <w:lang w:eastAsia="de-DE"/>
        </w:rPr>
        <w:t>’s</w:t>
      </w:r>
      <w:r w:rsidR="00491D7F" w:rsidRPr="3982CBDC">
        <w:rPr>
          <w:rFonts w:cs="Times New Roman"/>
          <w:noProof/>
          <w:lang w:eastAsia="de-DE"/>
        </w:rPr>
        <w:t xml:space="preserve"> GHG monitoring mechanism</w:t>
      </w:r>
      <w:r w:rsidR="003013EC">
        <w:rPr>
          <w:rFonts w:cs="Times New Roman"/>
          <w:noProof/>
          <w:lang w:eastAsia="de-DE"/>
        </w:rPr>
        <w:t>.</w:t>
      </w:r>
      <w:r w:rsidR="00491D7F" w:rsidRPr="3982CBDC">
        <w:rPr>
          <w:rStyle w:val="FootnoteReference"/>
          <w:rFonts w:cs="Times New Roman"/>
          <w:noProof/>
          <w:lang w:eastAsia="de-DE"/>
        </w:rPr>
        <w:footnoteReference w:id="21"/>
      </w:r>
    </w:p>
    <w:p w14:paraId="616107E9" w14:textId="630325AB" w:rsidR="00131ED9" w:rsidRDefault="002A0293" w:rsidP="3982CBDC">
      <w:pPr>
        <w:spacing w:after="120"/>
        <w:rPr>
          <w:noProof/>
        </w:rPr>
      </w:pPr>
      <w:r w:rsidRPr="3982CBDC">
        <w:rPr>
          <w:rFonts w:eastAsia="Calibri" w:cs="Times New Roman"/>
          <w:noProof/>
        </w:rPr>
        <w:t xml:space="preserve">The Regulation covers </w:t>
      </w:r>
      <w:r w:rsidRPr="00C1289F">
        <w:rPr>
          <w:rFonts w:eastAsia="Calibri" w:cs="Times New Roman"/>
          <w:b/>
          <w:noProof/>
        </w:rPr>
        <w:t>F-gases listed in Annex I (HFCs, PFCs and SF</w:t>
      </w:r>
      <w:r w:rsidRPr="003013EC">
        <w:rPr>
          <w:rFonts w:eastAsia="Calibri" w:cs="Times New Roman"/>
          <w:b/>
          <w:noProof/>
          <w:vertAlign w:val="subscript"/>
        </w:rPr>
        <w:t>6</w:t>
      </w:r>
      <w:r w:rsidRPr="00C1289F">
        <w:rPr>
          <w:rFonts w:eastAsia="Calibri" w:cs="Times New Roman"/>
          <w:b/>
          <w:noProof/>
        </w:rPr>
        <w:t>) and Annex II (</w:t>
      </w:r>
      <w:r w:rsidR="00F31318" w:rsidRPr="00C1289F">
        <w:rPr>
          <w:rFonts w:eastAsia="Calibri" w:cs="Times New Roman"/>
          <w:b/>
          <w:noProof/>
        </w:rPr>
        <w:t>H(C)FOs</w:t>
      </w:r>
      <w:r w:rsidR="00436F62" w:rsidRPr="00C1289F">
        <w:rPr>
          <w:rStyle w:val="FootnoteReference"/>
          <w:rFonts w:eastAsia="Calibri" w:cs="Times New Roman"/>
          <w:b/>
          <w:noProof/>
        </w:rPr>
        <w:footnoteReference w:id="22"/>
      </w:r>
      <w:r w:rsidR="001E6C48">
        <w:rPr>
          <w:rFonts w:eastAsia="Calibri" w:cs="Times New Roman"/>
          <w:b/>
          <w:noProof/>
        </w:rPr>
        <w:t>;</w:t>
      </w:r>
      <w:r w:rsidR="00F31318" w:rsidRPr="00C1289F">
        <w:rPr>
          <w:rFonts w:eastAsia="Calibri" w:cs="Times New Roman"/>
          <w:b/>
          <w:noProof/>
        </w:rPr>
        <w:t xml:space="preserve"> </w:t>
      </w:r>
      <w:r w:rsidR="003013EC">
        <w:rPr>
          <w:rFonts w:eastAsia="Calibri" w:cs="Times New Roman"/>
          <w:b/>
          <w:noProof/>
        </w:rPr>
        <w:t xml:space="preserve">fluorinated ethers, </w:t>
      </w:r>
      <w:r w:rsidRPr="00C1289F">
        <w:rPr>
          <w:rFonts w:eastAsia="Calibri" w:cs="Times New Roman"/>
          <w:b/>
          <w:noProof/>
        </w:rPr>
        <w:t>alcohols</w:t>
      </w:r>
      <w:r w:rsidR="00F31318" w:rsidRPr="00C1289F">
        <w:rPr>
          <w:rFonts w:eastAsia="Calibri" w:cs="Times New Roman"/>
          <w:b/>
          <w:noProof/>
        </w:rPr>
        <w:t xml:space="preserve"> and others</w:t>
      </w:r>
      <w:r w:rsidRPr="00C1289F">
        <w:rPr>
          <w:rFonts w:eastAsia="Calibri" w:cs="Times New Roman"/>
          <w:b/>
          <w:noProof/>
        </w:rPr>
        <w:t>)</w:t>
      </w:r>
      <w:r w:rsidRPr="3982CBDC">
        <w:rPr>
          <w:rFonts w:eastAsia="Calibri" w:cs="Times New Roman"/>
          <w:noProof/>
        </w:rPr>
        <w:t xml:space="preserve">. </w:t>
      </w:r>
      <w:r w:rsidR="008B5B02">
        <w:rPr>
          <w:noProof/>
        </w:rPr>
        <w:t>In general</w:t>
      </w:r>
      <w:r w:rsidR="00C1094D">
        <w:rPr>
          <w:noProof/>
        </w:rPr>
        <w:t>,</w:t>
      </w:r>
      <w:r w:rsidR="008B5B02">
        <w:rPr>
          <w:noProof/>
        </w:rPr>
        <w:t xml:space="preserve"> measures only apply to Annex I gases, </w:t>
      </w:r>
      <w:r w:rsidR="00C33831">
        <w:rPr>
          <w:noProof/>
        </w:rPr>
        <w:t xml:space="preserve">except that </w:t>
      </w:r>
      <w:r w:rsidR="001E6301">
        <w:rPr>
          <w:noProof/>
        </w:rPr>
        <w:t xml:space="preserve">production, trade and some uses of </w:t>
      </w:r>
      <w:r w:rsidR="00C33831" w:rsidRPr="3982CBDC">
        <w:rPr>
          <w:rFonts w:eastAsia="Calibri" w:cs="Times New Roman"/>
          <w:noProof/>
        </w:rPr>
        <w:t xml:space="preserve">Annex II </w:t>
      </w:r>
      <w:r w:rsidR="00C33831">
        <w:rPr>
          <w:rFonts w:eastAsia="Calibri" w:cs="Times New Roman"/>
          <w:noProof/>
        </w:rPr>
        <w:t xml:space="preserve">gases </w:t>
      </w:r>
      <w:r w:rsidR="008B5B02">
        <w:rPr>
          <w:rFonts w:eastAsia="Calibri" w:cs="Times New Roman"/>
          <w:noProof/>
        </w:rPr>
        <w:t xml:space="preserve">must </w:t>
      </w:r>
      <w:r w:rsidR="001E6301">
        <w:rPr>
          <w:rFonts w:eastAsia="Calibri" w:cs="Times New Roman"/>
          <w:noProof/>
        </w:rPr>
        <w:t>be</w:t>
      </w:r>
      <w:r w:rsidR="008B5B02">
        <w:rPr>
          <w:rFonts w:eastAsia="Calibri" w:cs="Times New Roman"/>
          <w:noProof/>
        </w:rPr>
        <w:t xml:space="preserve"> </w:t>
      </w:r>
      <w:r w:rsidR="008B5B02" w:rsidRPr="3982CBDC">
        <w:rPr>
          <w:rFonts w:eastAsia="Calibri" w:cs="Times New Roman"/>
          <w:noProof/>
        </w:rPr>
        <w:t>report</w:t>
      </w:r>
      <w:r w:rsidR="001E6301">
        <w:rPr>
          <w:rFonts w:eastAsia="Calibri" w:cs="Times New Roman"/>
          <w:noProof/>
        </w:rPr>
        <w:t>ed</w:t>
      </w:r>
      <w:r w:rsidR="008B5B02">
        <w:rPr>
          <w:rFonts w:eastAsia="Calibri" w:cs="Times New Roman"/>
          <w:noProof/>
        </w:rPr>
        <w:t xml:space="preserve"> annually</w:t>
      </w:r>
      <w:r w:rsidR="001E6C48">
        <w:rPr>
          <w:rFonts w:eastAsia="Calibri" w:cs="Times New Roman"/>
          <w:noProof/>
        </w:rPr>
        <w:t xml:space="preserve"> by companies</w:t>
      </w:r>
      <w:r w:rsidR="008B5B02" w:rsidRPr="3982CBDC">
        <w:rPr>
          <w:rFonts w:eastAsia="Calibri" w:cs="Times New Roman"/>
          <w:noProof/>
        </w:rPr>
        <w:t>.</w:t>
      </w:r>
      <w:r w:rsidR="008B5B02">
        <w:rPr>
          <w:rFonts w:eastAsia="Calibri" w:cs="Times New Roman"/>
          <w:noProof/>
        </w:rPr>
        <w:t xml:space="preserve"> </w:t>
      </w:r>
      <w:r w:rsidR="00DD0571" w:rsidRPr="3982CBDC">
        <w:rPr>
          <w:rFonts w:eastAsia="Calibri" w:cs="Times New Roman"/>
          <w:noProof/>
        </w:rPr>
        <w:t>Each F-gas has a designated name (e.g. HFC-134a</w:t>
      </w:r>
      <w:r w:rsidR="003013EC">
        <w:rPr>
          <w:rFonts w:eastAsia="Calibri" w:cs="Times New Roman"/>
          <w:noProof/>
        </w:rPr>
        <w:t xml:space="preserve"> or R-134a</w:t>
      </w:r>
      <w:r w:rsidR="00DD0571" w:rsidRPr="3982CBDC">
        <w:rPr>
          <w:rFonts w:eastAsia="Calibri" w:cs="Times New Roman"/>
          <w:noProof/>
        </w:rPr>
        <w:t xml:space="preserve">) and a specific </w:t>
      </w:r>
      <w:r w:rsidR="00AE2970" w:rsidRPr="3982CBDC">
        <w:rPr>
          <w:rFonts w:eastAsia="Calibri" w:cs="Times New Roman"/>
          <w:noProof/>
        </w:rPr>
        <w:t xml:space="preserve">GWP </w:t>
      </w:r>
      <w:r w:rsidR="00DD0571" w:rsidRPr="3982CBDC">
        <w:rPr>
          <w:rFonts w:eastAsia="Calibri" w:cs="Times New Roman"/>
          <w:noProof/>
        </w:rPr>
        <w:t>(</w:t>
      </w:r>
      <w:r w:rsidR="00475A3E" w:rsidRPr="3982CBDC">
        <w:rPr>
          <w:rFonts w:eastAsia="Calibri" w:cs="Times New Roman"/>
          <w:noProof/>
        </w:rPr>
        <w:t xml:space="preserve">e.g. </w:t>
      </w:r>
      <w:r w:rsidR="00DD0571" w:rsidRPr="3982CBDC">
        <w:rPr>
          <w:rFonts w:eastAsia="Calibri" w:cs="Times New Roman"/>
          <w:noProof/>
        </w:rPr>
        <w:t>HFC</w:t>
      </w:r>
      <w:r w:rsidR="00436F62" w:rsidRPr="3982CBDC">
        <w:rPr>
          <w:rFonts w:eastAsia="Calibri" w:cs="Times New Roman"/>
          <w:noProof/>
        </w:rPr>
        <w:t>-</w:t>
      </w:r>
      <w:r w:rsidR="00DD0571" w:rsidRPr="3982CBDC">
        <w:rPr>
          <w:rFonts w:eastAsia="Calibri" w:cs="Times New Roman"/>
          <w:noProof/>
        </w:rPr>
        <w:t>134a</w:t>
      </w:r>
      <w:r w:rsidR="001137E9">
        <w:rPr>
          <w:rFonts w:eastAsia="Calibri" w:cs="Times New Roman"/>
          <w:noProof/>
        </w:rPr>
        <w:t xml:space="preserve"> has </w:t>
      </w:r>
      <w:r w:rsidR="0066456C">
        <w:rPr>
          <w:rFonts w:eastAsia="Calibri" w:cs="Times New Roman"/>
          <w:noProof/>
        </w:rPr>
        <w:t>1430</w:t>
      </w:r>
      <w:r w:rsidR="00DD0571" w:rsidRPr="3982CBDC">
        <w:rPr>
          <w:rFonts w:eastAsia="Calibri" w:cs="Times New Roman"/>
          <w:noProof/>
        </w:rPr>
        <w:t xml:space="preserve">). </w:t>
      </w:r>
      <w:r w:rsidR="007F402A" w:rsidRPr="3982CBDC">
        <w:rPr>
          <w:rFonts w:eastAsia="Calibri" w:cs="Times New Roman"/>
          <w:noProof/>
        </w:rPr>
        <w:t xml:space="preserve">In many cases the gases are not used in their pure form but </w:t>
      </w:r>
      <w:r w:rsidR="00436F62" w:rsidRPr="3982CBDC">
        <w:rPr>
          <w:rFonts w:eastAsia="Calibri" w:cs="Times New Roman"/>
          <w:noProof/>
        </w:rPr>
        <w:t>as mixtures</w:t>
      </w:r>
      <w:r w:rsidR="007F402A" w:rsidRPr="3982CBDC">
        <w:rPr>
          <w:rFonts w:eastAsia="Calibri" w:cs="Times New Roman"/>
          <w:noProof/>
        </w:rPr>
        <w:t xml:space="preserve"> </w:t>
      </w:r>
      <w:r w:rsidR="00436F62" w:rsidRPr="3982CBDC">
        <w:rPr>
          <w:rFonts w:eastAsia="Calibri" w:cs="Times New Roman"/>
          <w:noProof/>
        </w:rPr>
        <w:t>(</w:t>
      </w:r>
      <w:r w:rsidR="00AE2970" w:rsidRPr="3982CBDC">
        <w:rPr>
          <w:rFonts w:eastAsia="Calibri" w:cs="Times New Roman"/>
          <w:noProof/>
        </w:rPr>
        <w:t>or “</w:t>
      </w:r>
      <w:r w:rsidR="007F402A" w:rsidRPr="3982CBDC">
        <w:rPr>
          <w:rFonts w:eastAsia="Calibri" w:cs="Times New Roman"/>
          <w:noProof/>
        </w:rPr>
        <w:t>blends</w:t>
      </w:r>
      <w:r w:rsidR="00AE2970" w:rsidRPr="3982CBDC">
        <w:rPr>
          <w:rFonts w:eastAsia="Calibri" w:cs="Times New Roman"/>
          <w:noProof/>
        </w:rPr>
        <w:t>”</w:t>
      </w:r>
      <w:r w:rsidR="00436F62" w:rsidRPr="3982CBDC">
        <w:rPr>
          <w:rFonts w:eastAsia="Calibri" w:cs="Times New Roman"/>
          <w:noProof/>
        </w:rPr>
        <w:t xml:space="preserve">, </w:t>
      </w:r>
      <w:r w:rsidR="007F402A" w:rsidRPr="3982CBDC">
        <w:rPr>
          <w:rFonts w:eastAsia="Calibri" w:cs="Times New Roman"/>
          <w:noProof/>
        </w:rPr>
        <w:t>e.g. R</w:t>
      </w:r>
      <w:r w:rsidR="00AE2970" w:rsidRPr="3982CBDC">
        <w:rPr>
          <w:rFonts w:eastAsia="Calibri" w:cs="Times New Roman"/>
          <w:noProof/>
        </w:rPr>
        <w:t>-</w:t>
      </w:r>
      <w:r w:rsidR="007F402A" w:rsidRPr="3982CBDC">
        <w:rPr>
          <w:rFonts w:eastAsia="Calibri" w:cs="Times New Roman"/>
          <w:noProof/>
        </w:rPr>
        <w:t>404a, which includes 3 different HFCs listed in Annex I)</w:t>
      </w:r>
      <w:r w:rsidR="00AE2970" w:rsidRPr="3982CBDC">
        <w:rPr>
          <w:rFonts w:eastAsia="Calibri" w:cs="Times New Roman"/>
          <w:noProof/>
        </w:rPr>
        <w:t xml:space="preserve">. </w:t>
      </w:r>
      <w:r w:rsidR="001137E9">
        <w:rPr>
          <w:rFonts w:eastAsia="Calibri" w:cs="Times New Roman"/>
          <w:noProof/>
        </w:rPr>
        <w:t xml:space="preserve">On the basis of </w:t>
      </w:r>
      <w:r w:rsidR="00AE2970" w:rsidRPr="3982CBDC">
        <w:rPr>
          <w:rFonts w:eastAsia="Calibri" w:cs="Times New Roman"/>
          <w:noProof/>
        </w:rPr>
        <w:t>the</w:t>
      </w:r>
      <w:r w:rsidR="001137E9">
        <w:rPr>
          <w:rFonts w:eastAsia="Calibri" w:cs="Times New Roman"/>
          <w:noProof/>
        </w:rPr>
        <w:t>ir</w:t>
      </w:r>
      <w:r w:rsidR="00AE2970" w:rsidRPr="3982CBDC">
        <w:rPr>
          <w:rFonts w:eastAsia="Calibri" w:cs="Times New Roman"/>
          <w:noProof/>
        </w:rPr>
        <w:t xml:space="preserve"> composition</w:t>
      </w:r>
      <w:r w:rsidR="00EB0739" w:rsidRPr="3982CBDC">
        <w:rPr>
          <w:rFonts w:eastAsia="Calibri" w:cs="Times New Roman"/>
          <w:noProof/>
        </w:rPr>
        <w:t xml:space="preserve"> it is possible to assign a </w:t>
      </w:r>
      <w:r w:rsidR="00AE2970" w:rsidRPr="3982CBDC">
        <w:rPr>
          <w:rFonts w:eastAsia="Calibri" w:cs="Times New Roman"/>
          <w:noProof/>
        </w:rPr>
        <w:t xml:space="preserve">specific </w:t>
      </w:r>
      <w:r w:rsidR="00EB0739" w:rsidRPr="3982CBDC">
        <w:rPr>
          <w:rFonts w:eastAsia="Calibri" w:cs="Times New Roman"/>
          <w:noProof/>
        </w:rPr>
        <w:t>GWP</w:t>
      </w:r>
      <w:r w:rsidR="001137E9">
        <w:rPr>
          <w:rFonts w:eastAsia="Calibri" w:cs="Times New Roman"/>
          <w:noProof/>
        </w:rPr>
        <w:t xml:space="preserve"> also for mixtures</w:t>
      </w:r>
      <w:r w:rsidR="007F402A" w:rsidRPr="3982CBDC">
        <w:rPr>
          <w:rFonts w:eastAsia="Calibri" w:cs="Times New Roman"/>
          <w:noProof/>
        </w:rPr>
        <w:t xml:space="preserve">. </w:t>
      </w:r>
      <w:r w:rsidR="00DC0A9F">
        <w:rPr>
          <w:rFonts w:eastAsia="Calibri" w:cs="Times New Roman"/>
          <w:noProof/>
        </w:rPr>
        <w:t>Because F-gases are used in many types of appliances, many</w:t>
      </w:r>
      <w:r w:rsidR="00DC0A9F" w:rsidRPr="00E576AE">
        <w:rPr>
          <w:noProof/>
        </w:rPr>
        <w:t xml:space="preserve"> </w:t>
      </w:r>
      <w:r w:rsidR="001E6C48">
        <w:rPr>
          <w:noProof/>
        </w:rPr>
        <w:t xml:space="preserve">different </w:t>
      </w:r>
      <w:r w:rsidR="00DC0A9F" w:rsidRPr="00E576AE">
        <w:rPr>
          <w:noProof/>
        </w:rPr>
        <w:t xml:space="preserve">actors are affected by </w:t>
      </w:r>
      <w:r w:rsidR="00DC0A9F">
        <w:rPr>
          <w:noProof/>
        </w:rPr>
        <w:t>the Regulation</w:t>
      </w:r>
      <w:r w:rsidR="001E6C48">
        <w:rPr>
          <w:noProof/>
        </w:rPr>
        <w:t>,</w:t>
      </w:r>
      <w:r w:rsidR="001E6C48">
        <w:rPr>
          <w:rFonts w:eastAsia="Calibri" w:cs="Times New Roman"/>
          <w:noProof/>
        </w:rPr>
        <w:t xml:space="preserve"> and in different ways</w:t>
      </w:r>
      <w:r w:rsidR="001E6C48">
        <w:rPr>
          <w:noProof/>
        </w:rPr>
        <w:t>. This is also because there are different gas types</w:t>
      </w:r>
      <w:r w:rsidR="00131ED9">
        <w:rPr>
          <w:noProof/>
        </w:rPr>
        <w:t xml:space="preserve"> covered (e.g. HFCs, PFCs, SF</w:t>
      </w:r>
      <w:r w:rsidR="00131ED9" w:rsidRPr="005906A0">
        <w:rPr>
          <w:noProof/>
          <w:vertAlign w:val="subscript"/>
        </w:rPr>
        <w:t>6</w:t>
      </w:r>
      <w:r w:rsidR="00131ED9">
        <w:rPr>
          <w:noProof/>
        </w:rPr>
        <w:t xml:space="preserve">) </w:t>
      </w:r>
      <w:r w:rsidR="008733C8">
        <w:rPr>
          <w:noProof/>
        </w:rPr>
        <w:t>and/</w:t>
      </w:r>
      <w:r w:rsidR="00131ED9">
        <w:rPr>
          <w:noProof/>
        </w:rPr>
        <w:t>or the activities these stakeholders</w:t>
      </w:r>
      <w:r w:rsidR="008733C8">
        <w:rPr>
          <w:noProof/>
        </w:rPr>
        <w:t xml:space="preserve"> carry out </w:t>
      </w:r>
      <w:r w:rsidR="001E6C48">
        <w:rPr>
          <w:noProof/>
        </w:rPr>
        <w:t xml:space="preserve">are </w:t>
      </w:r>
      <w:r w:rsidR="00D071F3">
        <w:rPr>
          <w:noProof/>
        </w:rPr>
        <w:t xml:space="preserve">diverse </w:t>
      </w:r>
      <w:r w:rsidR="008733C8">
        <w:rPr>
          <w:noProof/>
        </w:rPr>
        <w:t xml:space="preserve">(e.g. import of gas or equipment, </w:t>
      </w:r>
      <w:r w:rsidR="00D071F3">
        <w:rPr>
          <w:noProof/>
        </w:rPr>
        <w:t xml:space="preserve">production of gas or equipment, </w:t>
      </w:r>
      <w:r w:rsidR="00131ED9">
        <w:rPr>
          <w:noProof/>
        </w:rPr>
        <w:t xml:space="preserve">equipment maintenance, </w:t>
      </w:r>
      <w:r w:rsidR="008733C8">
        <w:rPr>
          <w:noProof/>
        </w:rPr>
        <w:t xml:space="preserve">equipment </w:t>
      </w:r>
      <w:r w:rsidR="00D071F3">
        <w:rPr>
          <w:noProof/>
        </w:rPr>
        <w:t xml:space="preserve">or product </w:t>
      </w:r>
      <w:r w:rsidR="00131ED9">
        <w:rPr>
          <w:noProof/>
        </w:rPr>
        <w:t>u</w:t>
      </w:r>
      <w:r w:rsidR="008733C8">
        <w:rPr>
          <w:noProof/>
        </w:rPr>
        <w:t>se</w:t>
      </w:r>
      <w:r w:rsidR="00131ED9">
        <w:rPr>
          <w:noProof/>
        </w:rPr>
        <w:t>)</w:t>
      </w:r>
      <w:r w:rsidR="00131ED9" w:rsidRPr="00E576AE">
        <w:rPr>
          <w:noProof/>
        </w:rPr>
        <w:t xml:space="preserve">. </w:t>
      </w:r>
    </w:p>
    <w:p w14:paraId="599C943C" w14:textId="21FF0BA7" w:rsidR="00F3410B" w:rsidRPr="008733C8" w:rsidRDefault="00B87020" w:rsidP="3982CBDC">
      <w:pPr>
        <w:spacing w:after="120"/>
        <w:rPr>
          <w:rFonts w:eastAsia="Calibri" w:cs="Times New Roman"/>
          <w:noProof/>
        </w:rPr>
      </w:pPr>
      <w:r>
        <w:rPr>
          <w:rFonts w:eastAsia="Calibri" w:cs="Times New Roman"/>
          <w:noProof/>
        </w:rPr>
        <w:t xml:space="preserve">After a </w:t>
      </w:r>
      <w:r w:rsidR="002445B7">
        <w:rPr>
          <w:rFonts w:eastAsia="Calibri" w:cs="Times New Roman"/>
          <w:noProof/>
        </w:rPr>
        <w:t xml:space="preserve">preceding </w:t>
      </w:r>
      <w:r>
        <w:rPr>
          <w:rFonts w:eastAsia="Calibri" w:cs="Times New Roman"/>
          <w:noProof/>
        </w:rPr>
        <w:t xml:space="preserve">decade of increasing </w:t>
      </w:r>
      <w:r w:rsidR="002445B7">
        <w:rPr>
          <w:rFonts w:eastAsia="Calibri" w:cs="Times New Roman"/>
          <w:noProof/>
        </w:rPr>
        <w:t xml:space="preserve">year-on-year </w:t>
      </w:r>
      <w:r>
        <w:rPr>
          <w:rFonts w:eastAsia="Calibri" w:cs="Times New Roman"/>
          <w:noProof/>
        </w:rPr>
        <w:t xml:space="preserve">emissions of </w:t>
      </w:r>
      <w:r w:rsidRPr="002445B7">
        <w:rPr>
          <w:rFonts w:eastAsia="Calibri" w:cs="Times New Roman"/>
          <w:noProof/>
        </w:rPr>
        <w:t>F-gases, they</w:t>
      </w:r>
      <w:r w:rsidRPr="002445B7">
        <w:rPr>
          <w:rFonts w:eastAsia="Calibri" w:cs="Times New Roman"/>
          <w:b/>
          <w:noProof/>
        </w:rPr>
        <w:t xml:space="preserve"> </w:t>
      </w:r>
      <w:r w:rsidR="00F3410B" w:rsidRPr="002445B7">
        <w:rPr>
          <w:rFonts w:eastAsia="Calibri" w:cs="Times New Roman"/>
          <w:b/>
          <w:noProof/>
        </w:rPr>
        <w:t>started to fall</w:t>
      </w:r>
      <w:r w:rsidR="005D01FD" w:rsidRPr="002445B7">
        <w:rPr>
          <w:rFonts w:eastAsia="Calibri" w:cs="Times New Roman"/>
          <w:b/>
          <w:noProof/>
        </w:rPr>
        <w:t xml:space="preserve"> from 2015</w:t>
      </w:r>
      <w:r w:rsidR="00E33D08" w:rsidRPr="002445B7">
        <w:rPr>
          <w:rFonts w:eastAsia="Calibri" w:cs="Times New Roman"/>
          <w:b/>
          <w:noProof/>
        </w:rPr>
        <w:t xml:space="preserve">, resulting in a 6% reduction </w:t>
      </w:r>
      <w:r w:rsidR="005D01FD" w:rsidRPr="002445B7">
        <w:rPr>
          <w:rFonts w:eastAsia="Calibri" w:cs="Times New Roman"/>
          <w:b/>
          <w:noProof/>
        </w:rPr>
        <w:t>by</w:t>
      </w:r>
      <w:r w:rsidR="00E33D08" w:rsidRPr="002445B7">
        <w:rPr>
          <w:rFonts w:eastAsia="Calibri" w:cs="Times New Roman"/>
          <w:b/>
          <w:noProof/>
        </w:rPr>
        <w:t xml:space="preserve"> 2019</w:t>
      </w:r>
      <w:r w:rsidR="00E33D08">
        <w:rPr>
          <w:rFonts w:eastAsia="Calibri" w:cs="Times New Roman"/>
          <w:noProof/>
        </w:rPr>
        <w:t xml:space="preserve"> (see </w:t>
      </w:r>
      <w:r w:rsidR="00C33831">
        <w:rPr>
          <w:rFonts w:eastAsia="Calibri" w:cs="Times New Roman"/>
          <w:noProof/>
        </w:rPr>
        <w:t>A5.6.2.1.1</w:t>
      </w:r>
      <w:r w:rsidR="00E33D08">
        <w:rPr>
          <w:rFonts w:eastAsia="Calibri" w:cs="Times New Roman"/>
          <w:noProof/>
        </w:rPr>
        <w:t>)</w:t>
      </w:r>
      <w:r w:rsidR="00F3410B" w:rsidRPr="00F3410B">
        <w:rPr>
          <w:rFonts w:eastAsia="Calibri" w:cs="Times New Roman"/>
          <w:noProof/>
        </w:rPr>
        <w:t>. This</w:t>
      </w:r>
      <w:r w:rsidR="00F3410B">
        <w:rPr>
          <w:rFonts w:eastAsia="Calibri" w:cs="Times New Roman"/>
          <w:noProof/>
        </w:rPr>
        <w:t xml:space="preserve"> </w:t>
      </w:r>
      <w:r w:rsidR="00F3410B" w:rsidRPr="00F3410B">
        <w:rPr>
          <w:rFonts w:eastAsia="Calibri" w:cs="Times New Roman"/>
          <w:noProof/>
        </w:rPr>
        <w:t xml:space="preserve">is a </w:t>
      </w:r>
      <w:r w:rsidR="00F3410B" w:rsidRPr="002445B7">
        <w:rPr>
          <w:rFonts w:eastAsia="Calibri" w:cs="Times New Roman"/>
          <w:b/>
          <w:noProof/>
        </w:rPr>
        <w:t>direct result of the</w:t>
      </w:r>
      <w:r w:rsidR="002445B7" w:rsidRPr="002445B7">
        <w:rPr>
          <w:rFonts w:eastAsia="Calibri" w:cs="Times New Roman"/>
          <w:b/>
          <w:noProof/>
        </w:rPr>
        <w:t xml:space="preserve"> EU F-gas policies </w:t>
      </w:r>
      <w:r w:rsidR="002445B7">
        <w:rPr>
          <w:rFonts w:eastAsia="Calibri" w:cs="Times New Roman"/>
          <w:noProof/>
        </w:rPr>
        <w:t>which began</w:t>
      </w:r>
      <w:r w:rsidR="00F3410B" w:rsidRPr="00F3410B">
        <w:rPr>
          <w:rFonts w:eastAsia="Calibri" w:cs="Times New Roman"/>
          <w:noProof/>
        </w:rPr>
        <w:t xml:space="preserve"> in 2006 (see </w:t>
      </w:r>
      <w:r w:rsidR="00C33831">
        <w:rPr>
          <w:rFonts w:eastAsia="Calibri" w:cs="Times New Roman"/>
          <w:noProof/>
        </w:rPr>
        <w:t>A5.2.1.3</w:t>
      </w:r>
      <w:r w:rsidR="00F3410B" w:rsidRPr="00F3410B">
        <w:rPr>
          <w:rFonts w:eastAsia="Calibri" w:cs="Times New Roman"/>
          <w:noProof/>
        </w:rPr>
        <w:t>)</w:t>
      </w:r>
      <w:r w:rsidR="00C33831">
        <w:rPr>
          <w:rFonts w:eastAsia="Calibri" w:cs="Times New Roman"/>
          <w:noProof/>
        </w:rPr>
        <w:t>,</w:t>
      </w:r>
      <w:r w:rsidR="00F3410B">
        <w:rPr>
          <w:rFonts w:eastAsia="Calibri" w:cs="Times New Roman"/>
          <w:noProof/>
        </w:rPr>
        <w:t xml:space="preserve"> </w:t>
      </w:r>
      <w:r w:rsidR="002445B7">
        <w:rPr>
          <w:rFonts w:eastAsia="Calibri" w:cs="Times New Roman"/>
          <w:noProof/>
        </w:rPr>
        <w:t>lowering the use of (i.e. demand for) HFCs</w:t>
      </w:r>
      <w:r w:rsidR="00E33D08">
        <w:rPr>
          <w:rFonts w:eastAsia="Calibri" w:cs="Times New Roman"/>
          <w:noProof/>
        </w:rPr>
        <w:t xml:space="preserve"> </w:t>
      </w:r>
      <w:r w:rsidR="005D01FD">
        <w:rPr>
          <w:rFonts w:eastAsia="Calibri" w:cs="Times New Roman"/>
          <w:noProof/>
        </w:rPr>
        <w:t xml:space="preserve">as well as better containment (and thus less emissions from equipment) </w:t>
      </w:r>
      <w:r w:rsidR="00E33D08">
        <w:rPr>
          <w:rFonts w:eastAsia="Calibri" w:cs="Times New Roman"/>
          <w:noProof/>
        </w:rPr>
        <w:t>in</w:t>
      </w:r>
      <w:r w:rsidR="00F3410B">
        <w:rPr>
          <w:rFonts w:eastAsia="Calibri" w:cs="Times New Roman"/>
          <w:noProof/>
        </w:rPr>
        <w:t xml:space="preserve"> the major </w:t>
      </w:r>
      <w:r w:rsidR="002445B7">
        <w:rPr>
          <w:rFonts w:eastAsia="Calibri" w:cs="Times New Roman"/>
          <w:noProof/>
        </w:rPr>
        <w:t xml:space="preserve">HFC-using </w:t>
      </w:r>
      <w:r w:rsidR="00F3410B">
        <w:rPr>
          <w:rFonts w:eastAsia="Calibri" w:cs="Times New Roman"/>
          <w:noProof/>
        </w:rPr>
        <w:t>se</w:t>
      </w:r>
      <w:r w:rsidR="00F86647">
        <w:rPr>
          <w:rFonts w:eastAsia="Calibri" w:cs="Times New Roman"/>
          <w:noProof/>
        </w:rPr>
        <w:t>ctors (e.g. refrigeration, AC</w:t>
      </w:r>
      <w:r w:rsidR="00F3410B">
        <w:rPr>
          <w:rFonts w:eastAsia="Calibri" w:cs="Times New Roman"/>
          <w:noProof/>
        </w:rPr>
        <w:t>).</w:t>
      </w:r>
      <w:r w:rsidR="00F3410B" w:rsidRPr="00F3410B">
        <w:rPr>
          <w:rFonts w:eastAsia="Calibri" w:cs="Times New Roman"/>
          <w:noProof/>
        </w:rPr>
        <w:t xml:space="preserve"> </w:t>
      </w:r>
      <w:r w:rsidR="00773B54">
        <w:rPr>
          <w:rFonts w:eastAsia="Calibri" w:cs="Times New Roman"/>
          <w:noProof/>
        </w:rPr>
        <w:t>Conversely, emissions of SF</w:t>
      </w:r>
      <w:r w:rsidR="00773B54" w:rsidRPr="005906A0">
        <w:rPr>
          <w:rFonts w:eastAsia="Calibri" w:cs="Times New Roman"/>
          <w:noProof/>
          <w:vertAlign w:val="subscript"/>
        </w:rPr>
        <w:t xml:space="preserve">6 </w:t>
      </w:r>
      <w:r>
        <w:rPr>
          <w:rFonts w:eastAsia="Calibri" w:cs="Times New Roman"/>
          <w:noProof/>
        </w:rPr>
        <w:t>and PFC</w:t>
      </w:r>
      <w:r w:rsidR="005D01FD">
        <w:rPr>
          <w:rFonts w:eastAsia="Calibri" w:cs="Times New Roman"/>
          <w:noProof/>
        </w:rPr>
        <w:t xml:space="preserve">s, where there are no </w:t>
      </w:r>
      <w:r w:rsidR="002445B7">
        <w:rPr>
          <w:rFonts w:eastAsia="Calibri" w:cs="Times New Roman"/>
          <w:noProof/>
        </w:rPr>
        <w:t xml:space="preserve">strong, </w:t>
      </w:r>
      <w:r w:rsidR="005D01FD">
        <w:rPr>
          <w:rFonts w:eastAsia="Calibri" w:cs="Times New Roman"/>
          <w:noProof/>
        </w:rPr>
        <w:t>direct policy drivers</w:t>
      </w:r>
      <w:r w:rsidR="004326C0">
        <w:rPr>
          <w:rFonts w:eastAsia="Calibri" w:cs="Times New Roman"/>
          <w:noProof/>
        </w:rPr>
        <w:t xml:space="preserve"> at EU level</w:t>
      </w:r>
      <w:r w:rsidR="005D01FD">
        <w:rPr>
          <w:rFonts w:eastAsia="Calibri" w:cs="Times New Roman"/>
          <w:noProof/>
        </w:rPr>
        <w:t>,</w:t>
      </w:r>
      <w:r>
        <w:rPr>
          <w:rFonts w:eastAsia="Calibri" w:cs="Times New Roman"/>
          <w:noProof/>
        </w:rPr>
        <w:t xml:space="preserve"> </w:t>
      </w:r>
      <w:r w:rsidR="00773B54">
        <w:rPr>
          <w:rFonts w:eastAsia="Calibri" w:cs="Times New Roman"/>
          <w:noProof/>
        </w:rPr>
        <w:t>have been rather constant since 2010</w:t>
      </w:r>
      <w:r w:rsidR="00B546E1">
        <w:rPr>
          <w:rFonts w:eastAsia="Calibri" w:cs="Times New Roman"/>
          <w:noProof/>
        </w:rPr>
        <w:t xml:space="preserve"> (see </w:t>
      </w:r>
      <w:r w:rsidR="00C33831">
        <w:rPr>
          <w:rFonts w:eastAsia="Calibri" w:cs="Times New Roman"/>
          <w:noProof/>
        </w:rPr>
        <w:t>A11.1.1</w:t>
      </w:r>
      <w:r w:rsidR="00B546E1">
        <w:rPr>
          <w:rFonts w:eastAsia="Calibri" w:cs="Times New Roman"/>
          <w:noProof/>
        </w:rPr>
        <w:t>)</w:t>
      </w:r>
      <w:r w:rsidR="00773B54">
        <w:rPr>
          <w:rFonts w:eastAsia="Calibri" w:cs="Times New Roman"/>
          <w:noProof/>
        </w:rPr>
        <w:t>.</w:t>
      </w:r>
      <w:r>
        <w:rPr>
          <w:rFonts w:eastAsia="Calibri" w:cs="Times New Roman"/>
          <w:noProof/>
        </w:rPr>
        <w:t xml:space="preserve"> Annex II</w:t>
      </w:r>
      <w:r w:rsidR="00E33D08">
        <w:rPr>
          <w:rFonts w:eastAsia="Calibri" w:cs="Times New Roman"/>
          <w:noProof/>
        </w:rPr>
        <w:t xml:space="preserve"> gases result in smaller amounts</w:t>
      </w:r>
      <w:r w:rsidR="00B546E1">
        <w:rPr>
          <w:rFonts w:eastAsia="Calibri" w:cs="Times New Roman"/>
          <w:noProof/>
        </w:rPr>
        <w:t xml:space="preserve"> of up to 1MtCO2e/year</w:t>
      </w:r>
      <w:r w:rsidR="004D6450">
        <w:rPr>
          <w:rFonts w:eastAsia="Calibri" w:cs="Times New Roman"/>
          <w:noProof/>
        </w:rPr>
        <w:t>;</w:t>
      </w:r>
      <w:r w:rsidR="005D01FD">
        <w:rPr>
          <w:rFonts w:eastAsia="Calibri" w:cs="Times New Roman"/>
          <w:noProof/>
        </w:rPr>
        <w:t xml:space="preserve"> </w:t>
      </w:r>
      <w:r w:rsidR="00E33D08">
        <w:rPr>
          <w:rFonts w:eastAsia="Calibri" w:cs="Times New Roman"/>
          <w:noProof/>
        </w:rPr>
        <w:t>NF</w:t>
      </w:r>
      <w:r w:rsidR="00E33D08" w:rsidRPr="00DB1EAE">
        <w:rPr>
          <w:rFonts w:eastAsia="Calibri" w:cs="Times New Roman"/>
          <w:noProof/>
          <w:vertAlign w:val="subscript"/>
        </w:rPr>
        <w:t>3</w:t>
      </w:r>
      <w:r w:rsidR="00E33D08">
        <w:rPr>
          <w:rFonts w:eastAsia="Calibri" w:cs="Times New Roman"/>
          <w:noProof/>
        </w:rPr>
        <w:t xml:space="preserve"> </w:t>
      </w:r>
      <w:r w:rsidR="00B546E1">
        <w:rPr>
          <w:rFonts w:eastAsia="Calibri" w:cs="Times New Roman"/>
          <w:noProof/>
        </w:rPr>
        <w:t>and F-gases used as inhalation anaesthetic</w:t>
      </w:r>
      <w:r w:rsidR="00C33831">
        <w:rPr>
          <w:rFonts w:eastAsia="Calibri" w:cs="Times New Roman"/>
          <w:noProof/>
        </w:rPr>
        <w:t>s</w:t>
      </w:r>
      <w:r w:rsidR="00B546E1">
        <w:rPr>
          <w:rFonts w:eastAsia="Calibri" w:cs="Times New Roman"/>
          <w:noProof/>
        </w:rPr>
        <w:t xml:space="preserve"> </w:t>
      </w:r>
      <w:r w:rsidR="002445B7">
        <w:rPr>
          <w:rFonts w:eastAsia="Calibri" w:cs="Times New Roman"/>
          <w:noProof/>
        </w:rPr>
        <w:t xml:space="preserve">(i.e. isoflurane, desflurane) </w:t>
      </w:r>
      <w:r w:rsidR="00E33D08">
        <w:rPr>
          <w:rFonts w:eastAsia="Calibri" w:cs="Times New Roman"/>
          <w:noProof/>
        </w:rPr>
        <w:t xml:space="preserve">being the most relevant. </w:t>
      </w:r>
      <w:r w:rsidR="00B546E1">
        <w:rPr>
          <w:rFonts w:eastAsia="Calibri" w:cs="Times New Roman"/>
          <w:noProof/>
        </w:rPr>
        <w:t>H(C)FOs are emitted in large metric quantities, but the</w:t>
      </w:r>
      <w:r w:rsidR="004D6450">
        <w:rPr>
          <w:rFonts w:eastAsia="Calibri" w:cs="Times New Roman"/>
          <w:noProof/>
        </w:rPr>
        <w:t>i</w:t>
      </w:r>
      <w:r w:rsidR="00B546E1">
        <w:rPr>
          <w:rFonts w:eastAsia="Calibri" w:cs="Times New Roman"/>
          <w:noProof/>
        </w:rPr>
        <w:t xml:space="preserve">r climate relevance is low (see 6.1.4). </w:t>
      </w:r>
      <w:r w:rsidR="00E33D08">
        <w:rPr>
          <w:rFonts w:eastAsia="Calibri" w:cs="Times New Roman"/>
          <w:noProof/>
        </w:rPr>
        <w:t>There are also s</w:t>
      </w:r>
      <w:r w:rsidR="004D6450">
        <w:rPr>
          <w:rFonts w:eastAsia="Calibri" w:cs="Times New Roman"/>
          <w:noProof/>
        </w:rPr>
        <w:t>ome on-going emission of some F-</w:t>
      </w:r>
      <w:r w:rsidR="00E33D08">
        <w:rPr>
          <w:rFonts w:eastAsia="Calibri" w:cs="Times New Roman"/>
          <w:noProof/>
        </w:rPr>
        <w:t xml:space="preserve">gases not yet </w:t>
      </w:r>
      <w:r w:rsidR="005D01FD">
        <w:rPr>
          <w:rFonts w:eastAsia="Calibri" w:cs="Times New Roman"/>
          <w:noProof/>
        </w:rPr>
        <w:t xml:space="preserve">controlled or </w:t>
      </w:r>
      <w:r w:rsidR="00E33D08">
        <w:rPr>
          <w:rFonts w:eastAsia="Calibri" w:cs="Times New Roman"/>
          <w:noProof/>
        </w:rPr>
        <w:t>monitored (</w:t>
      </w:r>
      <w:r w:rsidR="005D01FD">
        <w:rPr>
          <w:rFonts w:eastAsia="Calibri" w:cs="Times New Roman"/>
          <w:noProof/>
        </w:rPr>
        <w:t>see 2.1.4</w:t>
      </w:r>
      <w:r w:rsidR="00E33D08">
        <w:rPr>
          <w:rFonts w:eastAsia="Calibri" w:cs="Times New Roman"/>
          <w:noProof/>
        </w:rPr>
        <w:t>).</w:t>
      </w:r>
    </w:p>
    <w:bookmarkEnd w:id="32"/>
    <w:bookmarkEnd w:id="33"/>
    <w:p w14:paraId="627951BB" w14:textId="43CFD175" w:rsidR="00475A3E" w:rsidRDefault="00C1289F" w:rsidP="003013EC">
      <w:pPr>
        <w:spacing w:after="120"/>
        <w:rPr>
          <w:noProof/>
        </w:rPr>
      </w:pPr>
      <w:r>
        <w:rPr>
          <w:noProof/>
        </w:rPr>
        <w:t xml:space="preserve">The </w:t>
      </w:r>
      <w:r w:rsidR="3982CBDC">
        <w:rPr>
          <w:noProof/>
        </w:rPr>
        <w:t>Regulation has close links to other EU legislation</w:t>
      </w:r>
      <w:r w:rsidR="001500B9">
        <w:rPr>
          <w:noProof/>
        </w:rPr>
        <w:t xml:space="preserve"> notably</w:t>
      </w:r>
      <w:r w:rsidR="3982CBDC">
        <w:rPr>
          <w:noProof/>
        </w:rPr>
        <w:t xml:space="preserve"> </w:t>
      </w:r>
      <w:r w:rsidR="3982CBDC" w:rsidRPr="002445B7">
        <w:rPr>
          <w:b/>
          <w:noProof/>
        </w:rPr>
        <w:t>Directive 2006/40/EC on Mobile A</w:t>
      </w:r>
      <w:r w:rsidR="00E9721E" w:rsidRPr="002445B7">
        <w:rPr>
          <w:b/>
          <w:noProof/>
        </w:rPr>
        <w:t>C</w:t>
      </w:r>
      <w:r w:rsidR="00A823A2">
        <w:rPr>
          <w:noProof/>
        </w:rPr>
        <w:t xml:space="preserve"> which bans refrigerants with a GWP higher than 150 to be used in the AC of new passenger cars from 2017. There are </w:t>
      </w:r>
      <w:r w:rsidR="004326C0">
        <w:rPr>
          <w:noProof/>
        </w:rPr>
        <w:t xml:space="preserve">also some similarities with the </w:t>
      </w:r>
      <w:r w:rsidR="3982CBDC" w:rsidRPr="002445B7">
        <w:rPr>
          <w:b/>
          <w:noProof/>
        </w:rPr>
        <w:t>Regulation (EC) 1005/2009 on substances that deplete the ozone layer</w:t>
      </w:r>
      <w:r w:rsidR="0023491F">
        <w:rPr>
          <w:noProof/>
        </w:rPr>
        <w:t>,</w:t>
      </w:r>
      <w:r w:rsidR="00B51830">
        <w:rPr>
          <w:noProof/>
        </w:rPr>
        <w:t xml:space="preserve"> which</w:t>
      </w:r>
      <w:r w:rsidR="3982CBDC">
        <w:rPr>
          <w:noProof/>
        </w:rPr>
        <w:t xml:space="preserve"> is being reviewed in parallel</w:t>
      </w:r>
      <w:r w:rsidR="00C33831">
        <w:rPr>
          <w:noProof/>
        </w:rPr>
        <w:t>. W</w:t>
      </w:r>
      <w:r w:rsidR="004326C0">
        <w:rPr>
          <w:noProof/>
        </w:rPr>
        <w:t>hile the two reviews will not impact on each other</w:t>
      </w:r>
      <w:r w:rsidR="00C33831">
        <w:rPr>
          <w:noProof/>
        </w:rPr>
        <w:t>,</w:t>
      </w:r>
      <w:r w:rsidR="004326C0">
        <w:rPr>
          <w:noProof/>
        </w:rPr>
        <w:t xml:space="preserve"> they </w:t>
      </w:r>
      <w:r w:rsidR="00B51830">
        <w:rPr>
          <w:noProof/>
        </w:rPr>
        <w:t>affect similar stakeholders</w:t>
      </w:r>
      <w:r w:rsidR="00C33831">
        <w:rPr>
          <w:noProof/>
        </w:rPr>
        <w:t xml:space="preserve"> and sectors, as well as</w:t>
      </w:r>
      <w:r w:rsidR="00B51830">
        <w:rPr>
          <w:noProof/>
        </w:rPr>
        <w:t xml:space="preserve"> similar </w:t>
      </w:r>
      <w:r w:rsidR="00B40915">
        <w:rPr>
          <w:noProof/>
        </w:rPr>
        <w:t>activities</w:t>
      </w:r>
      <w:r w:rsidR="00B51830">
        <w:rPr>
          <w:noProof/>
        </w:rPr>
        <w:t xml:space="preserve"> (trade, equipment use etc.)</w:t>
      </w:r>
      <w:r w:rsidR="00B40915">
        <w:rPr>
          <w:noProof/>
        </w:rPr>
        <w:t xml:space="preserve"> by using similar control measures.</w:t>
      </w:r>
      <w:r w:rsidR="00363F58">
        <w:rPr>
          <w:rStyle w:val="FootnoteReference"/>
          <w:noProof/>
        </w:rPr>
        <w:footnoteReference w:id="23"/>
      </w:r>
      <w:r w:rsidR="00B40915">
        <w:rPr>
          <w:noProof/>
        </w:rPr>
        <w:t xml:space="preserve"> Both industry and authorities </w:t>
      </w:r>
      <w:r w:rsidR="00B51830">
        <w:rPr>
          <w:noProof/>
        </w:rPr>
        <w:t xml:space="preserve">have </w:t>
      </w:r>
      <w:r w:rsidR="00B40915">
        <w:rPr>
          <w:noProof/>
        </w:rPr>
        <w:t xml:space="preserve">therefore </w:t>
      </w:r>
      <w:r w:rsidR="00B51830">
        <w:rPr>
          <w:noProof/>
        </w:rPr>
        <w:t xml:space="preserve">called for them to be closely aligned on the </w:t>
      </w:r>
      <w:r w:rsidR="004D6450">
        <w:rPr>
          <w:noProof/>
        </w:rPr>
        <w:t xml:space="preserve">relevant </w:t>
      </w:r>
      <w:r w:rsidR="00B51830">
        <w:rPr>
          <w:noProof/>
        </w:rPr>
        <w:t>rules (e.g. regarding custom controls, leakage rules</w:t>
      </w:r>
      <w:r w:rsidR="00B40915">
        <w:rPr>
          <w:noProof/>
        </w:rPr>
        <w:t>, definitions</w:t>
      </w:r>
      <w:r w:rsidR="00B51830">
        <w:rPr>
          <w:noProof/>
        </w:rPr>
        <w:t xml:space="preserve"> etc.).</w:t>
      </w:r>
      <w:r w:rsidR="00715326" w:rsidRPr="00715326">
        <w:rPr>
          <w:noProof/>
        </w:rPr>
        <w:t xml:space="preserve"> </w:t>
      </w:r>
      <w:r w:rsidR="00715326">
        <w:rPr>
          <w:noProof/>
        </w:rPr>
        <w:t xml:space="preserve">Furthermore, given the relevance of indirect emissions from energy use of F-gas equipment (see above), there are close synergies with energy policies, in particular the </w:t>
      </w:r>
      <w:r w:rsidR="00715326" w:rsidRPr="00715326">
        <w:rPr>
          <w:b/>
          <w:noProof/>
        </w:rPr>
        <w:t>Eco-design Directive</w:t>
      </w:r>
      <w:r w:rsidR="00715326">
        <w:rPr>
          <w:rStyle w:val="FootnoteReference"/>
          <w:b/>
          <w:noProof/>
        </w:rPr>
        <w:footnoteReference w:id="24"/>
      </w:r>
      <w:r w:rsidR="00715326" w:rsidRPr="00715326">
        <w:rPr>
          <w:b/>
          <w:noProof/>
        </w:rPr>
        <w:t>.</w:t>
      </w:r>
      <w:r w:rsidR="00715326">
        <w:rPr>
          <w:noProof/>
        </w:rPr>
        <w:t xml:space="preserve"> Furthermore, there are </w:t>
      </w:r>
      <w:r w:rsidR="00DD2483">
        <w:rPr>
          <w:noProof/>
        </w:rPr>
        <w:t xml:space="preserve">important </w:t>
      </w:r>
      <w:r w:rsidR="00715326">
        <w:rPr>
          <w:noProof/>
        </w:rPr>
        <w:t>links to EU waste and chemical (e.g. REACH, industrial emissions) legislation</w:t>
      </w:r>
      <w:r w:rsidR="00DD2483">
        <w:rPr>
          <w:noProof/>
        </w:rPr>
        <w:t xml:space="preserve"> as well as to rules for customs, market surveillance, environmental crime, whistleblowing and the setting of safety standards</w:t>
      </w:r>
      <w:r w:rsidR="00715326">
        <w:rPr>
          <w:noProof/>
        </w:rPr>
        <w:t>. More detail is provided in Annex A5.6.4.2.</w:t>
      </w:r>
    </w:p>
    <w:p w14:paraId="634155D6" w14:textId="6471EDF7" w:rsidR="00A14107" w:rsidRPr="00A14107" w:rsidRDefault="00E04F0C" w:rsidP="00E04F0C">
      <w:pPr>
        <w:pStyle w:val="Heading1"/>
        <w:rPr>
          <w:noProof/>
        </w:rPr>
      </w:pPr>
      <w:bookmarkStart w:id="34" w:name="_Toc71559390"/>
      <w:bookmarkStart w:id="35" w:name="_Toc71706995"/>
      <w:bookmarkStart w:id="36" w:name="_Toc71708205"/>
      <w:bookmarkStart w:id="37" w:name="_Toc71710937"/>
      <w:bookmarkStart w:id="38" w:name="_Toc72399339"/>
      <w:bookmarkStart w:id="39" w:name="_Toc88571896"/>
      <w:bookmarkStart w:id="40" w:name="_Toc94629489"/>
      <w:bookmarkStart w:id="41" w:name="_Toc98857733"/>
      <w:r w:rsidRPr="00E04F0C">
        <w:t>2.</w:t>
      </w:r>
      <w:r w:rsidRPr="00E04F0C">
        <w:tab/>
      </w:r>
      <w:r w:rsidR="3982CBDC">
        <w:rPr>
          <w:noProof/>
        </w:rPr>
        <w:t>Problem definition</w:t>
      </w:r>
      <w:bookmarkEnd w:id="34"/>
      <w:bookmarkEnd w:id="35"/>
      <w:bookmarkEnd w:id="36"/>
      <w:bookmarkEnd w:id="37"/>
      <w:bookmarkEnd w:id="38"/>
      <w:bookmarkEnd w:id="39"/>
      <w:bookmarkEnd w:id="40"/>
      <w:bookmarkEnd w:id="41"/>
    </w:p>
    <w:p w14:paraId="5C86E9F4" w14:textId="64066588" w:rsidR="00A14107" w:rsidRPr="00F30C16" w:rsidRDefault="00E04F0C" w:rsidP="00E04F0C">
      <w:pPr>
        <w:pStyle w:val="Heading2"/>
        <w:rPr>
          <w:noProof/>
        </w:rPr>
      </w:pPr>
      <w:bookmarkStart w:id="42" w:name="_Toc71559391"/>
      <w:bookmarkStart w:id="43" w:name="_Toc71706996"/>
      <w:bookmarkStart w:id="44" w:name="_Toc71708206"/>
      <w:bookmarkStart w:id="45" w:name="_Toc71710938"/>
      <w:bookmarkStart w:id="46" w:name="_Toc72399340"/>
      <w:bookmarkStart w:id="47" w:name="_Toc88571897"/>
      <w:bookmarkStart w:id="48" w:name="_Toc94629490"/>
      <w:bookmarkStart w:id="49" w:name="_Toc98857734"/>
      <w:r w:rsidRPr="00E04F0C">
        <w:t>2.1.</w:t>
      </w:r>
      <w:r w:rsidRPr="00E04F0C">
        <w:tab/>
      </w:r>
      <w:r w:rsidR="3982CBDC">
        <w:rPr>
          <w:noProof/>
        </w:rPr>
        <w:t>What is the problem?</w:t>
      </w:r>
      <w:bookmarkEnd w:id="42"/>
      <w:bookmarkEnd w:id="43"/>
      <w:bookmarkEnd w:id="44"/>
      <w:bookmarkEnd w:id="45"/>
      <w:bookmarkEnd w:id="46"/>
      <w:bookmarkEnd w:id="47"/>
      <w:bookmarkEnd w:id="48"/>
      <w:bookmarkEnd w:id="49"/>
    </w:p>
    <w:p w14:paraId="76BF50A1" w14:textId="13B742AB" w:rsidR="003E67E7" w:rsidRDefault="00A14107" w:rsidP="3982CBDC">
      <w:pPr>
        <w:spacing w:after="120"/>
        <w:rPr>
          <w:rFonts w:cs="Times New Roman"/>
          <w:noProof/>
        </w:rPr>
      </w:pPr>
      <w:r w:rsidRPr="3982CBDC">
        <w:rPr>
          <w:rFonts w:cs="Times New Roman"/>
          <w:noProof/>
        </w:rPr>
        <w:t xml:space="preserve">The evaluation </w:t>
      </w:r>
      <w:r w:rsidR="00B20EC3" w:rsidRPr="3982CBDC">
        <w:rPr>
          <w:rFonts w:cs="Times New Roman"/>
          <w:noProof/>
        </w:rPr>
        <w:t xml:space="preserve">(Annex </w:t>
      </w:r>
      <w:r w:rsidR="00C66A21">
        <w:rPr>
          <w:rFonts w:cs="Times New Roman"/>
          <w:noProof/>
          <w:szCs w:val="24"/>
        </w:rPr>
        <w:t>A5</w:t>
      </w:r>
      <w:r w:rsidR="00B20EC3" w:rsidRPr="3982CBDC">
        <w:rPr>
          <w:rFonts w:cs="Times New Roman"/>
          <w:noProof/>
        </w:rPr>
        <w:t xml:space="preserve">) </w:t>
      </w:r>
      <w:r w:rsidRPr="3982CBDC">
        <w:rPr>
          <w:rFonts w:cs="Times New Roman"/>
          <w:noProof/>
        </w:rPr>
        <w:t xml:space="preserve">found that </w:t>
      </w:r>
      <w:r w:rsidRPr="3982CBDC">
        <w:rPr>
          <w:rFonts w:cs="Times New Roman"/>
          <w:b/>
          <w:bCs/>
          <w:noProof/>
        </w:rPr>
        <w:t xml:space="preserve">the </w:t>
      </w:r>
      <w:r w:rsidR="00EC2C79">
        <w:rPr>
          <w:rFonts w:cs="Times New Roman"/>
          <w:b/>
          <w:bCs/>
          <w:noProof/>
        </w:rPr>
        <w:t xml:space="preserve">current </w:t>
      </w:r>
      <w:r w:rsidRPr="3982CBDC">
        <w:rPr>
          <w:rFonts w:cs="Times New Roman"/>
          <w:b/>
          <w:bCs/>
          <w:noProof/>
        </w:rPr>
        <w:t xml:space="preserve">Regulation </w:t>
      </w:r>
      <w:r w:rsidR="00B20EC3" w:rsidRPr="3982CBDC">
        <w:rPr>
          <w:rFonts w:cs="Times New Roman"/>
          <w:b/>
          <w:bCs/>
          <w:noProof/>
        </w:rPr>
        <w:t>has been mostly effective</w:t>
      </w:r>
      <w:r w:rsidR="00120805" w:rsidRPr="3982CBDC">
        <w:rPr>
          <w:rFonts w:cs="Times New Roman"/>
          <w:b/>
          <w:bCs/>
          <w:noProof/>
        </w:rPr>
        <w:t xml:space="preserve"> as regards its </w:t>
      </w:r>
      <w:r w:rsidR="00EB0739" w:rsidRPr="3982CBDC">
        <w:rPr>
          <w:rFonts w:cs="Times New Roman"/>
          <w:b/>
          <w:bCs/>
          <w:noProof/>
        </w:rPr>
        <w:t xml:space="preserve">original </w:t>
      </w:r>
      <w:r w:rsidR="00120805" w:rsidRPr="3982CBDC">
        <w:rPr>
          <w:rFonts w:cs="Times New Roman"/>
          <w:b/>
          <w:bCs/>
          <w:noProof/>
        </w:rPr>
        <w:t>objectives</w:t>
      </w:r>
      <w:r w:rsidR="00B20EC3" w:rsidRPr="3982CBDC">
        <w:rPr>
          <w:rFonts w:cs="Times New Roman"/>
          <w:b/>
          <w:bCs/>
          <w:noProof/>
        </w:rPr>
        <w:t xml:space="preserve"> and that </w:t>
      </w:r>
      <w:r w:rsidR="00433464" w:rsidRPr="3982CBDC">
        <w:rPr>
          <w:rFonts w:cs="Times New Roman"/>
          <w:b/>
          <w:bCs/>
          <w:noProof/>
        </w:rPr>
        <w:t xml:space="preserve">its </w:t>
      </w:r>
      <w:r w:rsidR="00B20EC3" w:rsidRPr="3982CBDC">
        <w:rPr>
          <w:rFonts w:cs="Times New Roman"/>
          <w:b/>
          <w:bCs/>
          <w:noProof/>
        </w:rPr>
        <w:t xml:space="preserve">individual measures are </w:t>
      </w:r>
      <w:r w:rsidR="0037495F" w:rsidRPr="3982CBDC">
        <w:rPr>
          <w:rFonts w:cs="Times New Roman"/>
          <w:b/>
          <w:bCs/>
          <w:noProof/>
        </w:rPr>
        <w:t>all required</w:t>
      </w:r>
      <w:r w:rsidR="00433464" w:rsidRPr="3982CBDC">
        <w:rPr>
          <w:rFonts w:cs="Times New Roman"/>
          <w:b/>
          <w:bCs/>
          <w:noProof/>
        </w:rPr>
        <w:t xml:space="preserve"> </w:t>
      </w:r>
      <w:r w:rsidR="00B20EC3" w:rsidRPr="3982CBDC">
        <w:rPr>
          <w:rFonts w:cs="Times New Roman"/>
          <w:b/>
          <w:bCs/>
          <w:noProof/>
        </w:rPr>
        <w:t xml:space="preserve">and work </w:t>
      </w:r>
      <w:r w:rsidR="00034C9B" w:rsidRPr="3982CBDC">
        <w:rPr>
          <w:rFonts w:cs="Times New Roman"/>
          <w:b/>
          <w:bCs/>
          <w:noProof/>
        </w:rPr>
        <w:t xml:space="preserve">well </w:t>
      </w:r>
      <w:r w:rsidR="00B20EC3" w:rsidRPr="3982CBDC">
        <w:rPr>
          <w:rFonts w:cs="Times New Roman"/>
          <w:b/>
          <w:bCs/>
          <w:noProof/>
        </w:rPr>
        <w:t>together</w:t>
      </w:r>
      <w:r w:rsidR="00B20EC3" w:rsidRPr="3982CBDC">
        <w:rPr>
          <w:rFonts w:cs="Times New Roman"/>
          <w:noProof/>
        </w:rPr>
        <w:t xml:space="preserve">. </w:t>
      </w:r>
      <w:r w:rsidR="00034C9B" w:rsidRPr="3982CBDC">
        <w:rPr>
          <w:rFonts w:cs="Times New Roman"/>
          <w:noProof/>
        </w:rPr>
        <w:t>Thus</w:t>
      </w:r>
      <w:r w:rsidR="00DF38CA" w:rsidRPr="3982CBDC">
        <w:rPr>
          <w:rFonts w:cs="Times New Roman"/>
          <w:noProof/>
        </w:rPr>
        <w:t>,</w:t>
      </w:r>
      <w:r w:rsidR="00034C9B" w:rsidRPr="3982CBDC">
        <w:rPr>
          <w:rFonts w:cs="Times New Roman"/>
          <w:noProof/>
        </w:rPr>
        <w:t xml:space="preserve"> </w:t>
      </w:r>
      <w:r w:rsidR="00034C9B" w:rsidRPr="3982CBDC">
        <w:rPr>
          <w:rFonts w:cs="Times New Roman"/>
          <w:b/>
          <w:bCs/>
          <w:noProof/>
        </w:rPr>
        <w:t>the overall concept and approach of the Regulation</w:t>
      </w:r>
      <w:r w:rsidR="007E4B2B" w:rsidRPr="3982CBDC">
        <w:rPr>
          <w:rFonts w:cs="Times New Roman"/>
          <w:b/>
          <w:bCs/>
          <w:noProof/>
        </w:rPr>
        <w:t xml:space="preserve"> is not put into question</w:t>
      </w:r>
      <w:r w:rsidR="00034C9B" w:rsidRPr="3982CBDC">
        <w:rPr>
          <w:rFonts w:cs="Times New Roman"/>
          <w:b/>
          <w:bCs/>
          <w:noProof/>
        </w:rPr>
        <w:t xml:space="preserve">. </w:t>
      </w:r>
      <w:r w:rsidR="00034C9B" w:rsidRPr="3982CBDC">
        <w:rPr>
          <w:rFonts w:cs="Times New Roman"/>
          <w:noProof/>
        </w:rPr>
        <w:t xml:space="preserve">This </w:t>
      </w:r>
      <w:r w:rsidR="00DF38CA" w:rsidRPr="3982CBDC">
        <w:rPr>
          <w:rFonts w:cs="Times New Roman"/>
          <w:noProof/>
        </w:rPr>
        <w:t xml:space="preserve">finding </w:t>
      </w:r>
      <w:r w:rsidR="00034C9B" w:rsidRPr="3982CBDC">
        <w:rPr>
          <w:rFonts w:cs="Times New Roman"/>
          <w:noProof/>
        </w:rPr>
        <w:t xml:space="preserve">is clearly supported by </w:t>
      </w:r>
      <w:r w:rsidR="003E67E7">
        <w:rPr>
          <w:rFonts w:cs="Times New Roman"/>
          <w:noProof/>
        </w:rPr>
        <w:t xml:space="preserve">all </w:t>
      </w:r>
      <w:r w:rsidR="00034C9B" w:rsidRPr="3982CBDC">
        <w:rPr>
          <w:rFonts w:cs="Times New Roman"/>
          <w:noProof/>
        </w:rPr>
        <w:t xml:space="preserve">stakeholders </w:t>
      </w:r>
      <w:r w:rsidR="003E67E7">
        <w:rPr>
          <w:rFonts w:cs="Times New Roman"/>
          <w:noProof/>
        </w:rPr>
        <w:t>(industry, authorit</w:t>
      </w:r>
      <w:r w:rsidR="00443050">
        <w:rPr>
          <w:rFonts w:cs="Times New Roman"/>
          <w:noProof/>
        </w:rPr>
        <w:t>i</w:t>
      </w:r>
      <w:r w:rsidR="003E67E7">
        <w:rPr>
          <w:rFonts w:cs="Times New Roman"/>
          <w:noProof/>
        </w:rPr>
        <w:t xml:space="preserve">es and others) </w:t>
      </w:r>
      <w:r w:rsidR="00034C9B" w:rsidRPr="3982CBDC">
        <w:rPr>
          <w:rFonts w:cs="Times New Roman"/>
          <w:noProof/>
        </w:rPr>
        <w:t xml:space="preserve">that consider </w:t>
      </w:r>
      <w:r w:rsidR="003E67E7">
        <w:rPr>
          <w:rFonts w:cs="Times New Roman"/>
          <w:noProof/>
        </w:rPr>
        <w:t xml:space="preserve">the current F-gas Regulation </w:t>
      </w:r>
      <w:r w:rsidR="00034C9B" w:rsidRPr="3982CBDC">
        <w:rPr>
          <w:rFonts w:cs="Times New Roman"/>
          <w:noProof/>
        </w:rPr>
        <w:t>the gold standard in the world.</w:t>
      </w:r>
      <w:r w:rsidR="00034C9B" w:rsidRPr="3982CBDC">
        <w:rPr>
          <w:rStyle w:val="FootnoteReference"/>
          <w:rFonts w:cs="Times New Roman"/>
          <w:noProof/>
        </w:rPr>
        <w:footnoteReference w:id="25"/>
      </w:r>
      <w:r w:rsidR="003E67E7">
        <w:rPr>
          <w:rFonts w:cs="Times New Roman"/>
          <w:noProof/>
        </w:rPr>
        <w:t xml:space="preserve"> </w:t>
      </w:r>
    </w:p>
    <w:p w14:paraId="1C4D71FF" w14:textId="695C307C" w:rsidR="0037495F" w:rsidRPr="00034C9B" w:rsidRDefault="3982CBDC" w:rsidP="3982CBDC">
      <w:pPr>
        <w:spacing w:after="120"/>
        <w:rPr>
          <w:rFonts w:cs="Times New Roman"/>
          <w:noProof/>
        </w:rPr>
      </w:pPr>
      <w:r w:rsidRPr="3982CBDC">
        <w:rPr>
          <w:rFonts w:cs="Times New Roman"/>
          <w:noProof/>
        </w:rPr>
        <w:t xml:space="preserve">The EU </w:t>
      </w:r>
      <w:r w:rsidR="001A755F">
        <w:rPr>
          <w:rFonts w:cs="Times New Roman"/>
          <w:noProof/>
        </w:rPr>
        <w:t xml:space="preserve">market </w:t>
      </w:r>
      <w:r w:rsidRPr="3982CBDC">
        <w:rPr>
          <w:rFonts w:cs="Times New Roman"/>
          <w:noProof/>
        </w:rPr>
        <w:t xml:space="preserve">supply of hydrofluorocarbons (HFCs) has declined by 37 % in </w:t>
      </w:r>
      <w:r w:rsidR="001A755F">
        <w:rPr>
          <w:rFonts w:cs="Times New Roman"/>
          <w:noProof/>
        </w:rPr>
        <w:t xml:space="preserve">metric </w:t>
      </w:r>
      <w:r w:rsidRPr="3982CBDC">
        <w:rPr>
          <w:rFonts w:cs="Times New Roman"/>
          <w:noProof/>
        </w:rPr>
        <w:t>tonnes and 47 % in terms of tCO2e from 2015 until 2019.</w:t>
      </w:r>
      <w:r w:rsidRPr="3982CBDC">
        <w:rPr>
          <w:rFonts w:ascii="Arial" w:eastAsia="Calibri" w:hAnsi="Arial" w:cs="Arial"/>
          <w:noProof/>
          <w:sz w:val="20"/>
          <w:szCs w:val="20"/>
        </w:rPr>
        <w:t xml:space="preserve"> </w:t>
      </w:r>
      <w:r w:rsidRPr="3982CBDC">
        <w:rPr>
          <w:rFonts w:cs="Times New Roman"/>
          <w:noProof/>
        </w:rPr>
        <w:t xml:space="preserve">There has been a clear shift to the use of F-gas alternatives with lower GWP as well as natural alternatives (e.g. CO2, ammonia, hydrocarbons) in many types of equipment. The </w:t>
      </w:r>
      <w:r w:rsidR="001A755F">
        <w:rPr>
          <w:rFonts w:cs="Times New Roman"/>
          <w:noProof/>
        </w:rPr>
        <w:t>quota system</w:t>
      </w:r>
      <w:r w:rsidRPr="3982CBDC">
        <w:rPr>
          <w:rFonts w:cs="Times New Roman"/>
          <w:noProof/>
        </w:rPr>
        <w:t xml:space="preserve"> had also positive impacts on equipment leakage rates (declining) and reclamation of HFCs (increasing)</w:t>
      </w:r>
      <w:r w:rsidR="001A755F">
        <w:rPr>
          <w:rStyle w:val="FootnoteReference"/>
          <w:rFonts w:cs="Times New Roman"/>
          <w:noProof/>
        </w:rPr>
        <w:footnoteReference w:id="26"/>
      </w:r>
      <w:r w:rsidRPr="3982CBDC">
        <w:rPr>
          <w:rFonts w:cs="Times New Roman"/>
          <w:noProof/>
        </w:rPr>
        <w:t>.</w:t>
      </w:r>
      <w:r w:rsidRPr="3982CBDC">
        <w:rPr>
          <w:rFonts w:cs="Times New Roman"/>
          <w:noProof/>
          <w:lang w:eastAsia="de-DE"/>
        </w:rPr>
        <w:t xml:space="preserve"> There is consensus that the </w:t>
      </w:r>
      <w:r w:rsidR="003E67E7">
        <w:rPr>
          <w:rFonts w:cs="Times New Roman"/>
          <w:noProof/>
          <w:lang w:eastAsia="de-DE"/>
        </w:rPr>
        <w:t xml:space="preserve">EU </w:t>
      </w:r>
      <w:r w:rsidRPr="3982CBDC">
        <w:rPr>
          <w:rFonts w:cs="Times New Roman"/>
          <w:noProof/>
          <w:lang w:eastAsia="de-DE"/>
        </w:rPr>
        <w:t>leadership demonstrated through the Regulation was instrumental in obtaining an international agreement to reduce HFCs. Finally, as a direct result</w:t>
      </w:r>
      <w:r w:rsidRPr="3982CBDC">
        <w:rPr>
          <w:rFonts w:cs="Times New Roman"/>
          <w:noProof/>
        </w:rPr>
        <w:t xml:space="preserve"> of the legislation</w:t>
      </w:r>
      <w:r w:rsidR="00443050">
        <w:rPr>
          <w:rFonts w:cs="Times New Roman"/>
          <w:noProof/>
        </w:rPr>
        <w:t>,</w:t>
      </w:r>
      <w:r w:rsidRPr="3982CBDC">
        <w:rPr>
          <w:rFonts w:cs="Times New Roman"/>
          <w:noProof/>
        </w:rPr>
        <w:t xml:space="preserve"> F-gas emissions have decrease</w:t>
      </w:r>
      <w:r w:rsidR="001500B9">
        <w:rPr>
          <w:rFonts w:cs="Times New Roman"/>
          <w:noProof/>
        </w:rPr>
        <w:t>d</w:t>
      </w:r>
      <w:r w:rsidRPr="3982CBDC">
        <w:rPr>
          <w:rFonts w:cs="Times New Roman"/>
          <w:noProof/>
        </w:rPr>
        <w:t xml:space="preserve"> year-on-year starting in 2015 after a decade of rising amounts. </w:t>
      </w:r>
      <w:r w:rsidRPr="3982CBDC">
        <w:rPr>
          <w:rFonts w:cs="Times New Roman"/>
          <w:noProof/>
          <w:lang w:eastAsia="de-DE"/>
        </w:rPr>
        <w:t>Nevertheless</w:t>
      </w:r>
      <w:r w:rsidRPr="3982CBDC">
        <w:rPr>
          <w:rFonts w:cs="Times New Roman"/>
          <w:noProof/>
        </w:rPr>
        <w:t>, the</w:t>
      </w:r>
      <w:r w:rsidR="0023491F">
        <w:rPr>
          <w:rFonts w:cs="Times New Roman"/>
          <w:noProof/>
        </w:rPr>
        <w:t xml:space="preserve"> evaluation concludes that</w:t>
      </w:r>
      <w:r w:rsidRPr="3982CBDC">
        <w:rPr>
          <w:rFonts w:cs="Times New Roman"/>
          <w:noProof/>
        </w:rPr>
        <w:t xml:space="preserve"> there is a need to </w:t>
      </w:r>
      <w:r w:rsidR="00EC2C79">
        <w:rPr>
          <w:rFonts w:cs="Times New Roman"/>
          <w:noProof/>
        </w:rPr>
        <w:t>revise and</w:t>
      </w:r>
      <w:r w:rsidRPr="3982CBDC">
        <w:rPr>
          <w:rFonts w:cs="Times New Roman"/>
          <w:noProof/>
        </w:rPr>
        <w:t xml:space="preserve"> fine-tune the Regulation to address the following issues:</w:t>
      </w:r>
    </w:p>
    <w:p w14:paraId="621B0FFD" w14:textId="40172720" w:rsidR="0037495F" w:rsidRPr="00847747" w:rsidRDefault="3982CBDC" w:rsidP="00AD5F1B">
      <w:pPr>
        <w:numPr>
          <w:ilvl w:val="0"/>
          <w:numId w:val="7"/>
        </w:numPr>
        <w:contextualSpacing/>
        <w:rPr>
          <w:rFonts w:cs="Times New Roman"/>
          <w:noProof/>
        </w:rPr>
      </w:pPr>
      <w:r w:rsidRPr="3982CBDC">
        <w:rPr>
          <w:rFonts w:cs="Times New Roman"/>
          <w:noProof/>
        </w:rPr>
        <w:t>In light of the more ambitious EU climate targets</w:t>
      </w:r>
      <w:r w:rsidR="00BC4357">
        <w:rPr>
          <w:rFonts w:cs="Times New Roman"/>
          <w:noProof/>
        </w:rPr>
        <w:t xml:space="preserve"> and the observed progress on innovation</w:t>
      </w:r>
      <w:r w:rsidRPr="3982CBDC">
        <w:rPr>
          <w:rFonts w:cs="Times New Roman"/>
          <w:noProof/>
        </w:rPr>
        <w:t xml:space="preserve">, </w:t>
      </w:r>
      <w:r w:rsidR="00BC4357">
        <w:rPr>
          <w:rFonts w:cs="Times New Roman"/>
          <w:noProof/>
        </w:rPr>
        <w:t>there is scope to achieve</w:t>
      </w:r>
      <w:r w:rsidR="001C6DFA" w:rsidRPr="00A22EEF">
        <w:rPr>
          <w:rFonts w:cs="Times New Roman"/>
          <w:b/>
          <w:noProof/>
        </w:rPr>
        <w:t xml:space="preserve"> </w:t>
      </w:r>
      <w:r w:rsidR="00BC4357">
        <w:rPr>
          <w:rFonts w:cs="Times New Roman"/>
          <w:b/>
          <w:noProof/>
        </w:rPr>
        <w:t xml:space="preserve">further </w:t>
      </w:r>
      <w:r w:rsidR="001C6DFA" w:rsidRPr="00A22EEF">
        <w:rPr>
          <w:rFonts w:cs="Times New Roman"/>
          <w:b/>
          <w:noProof/>
        </w:rPr>
        <w:t xml:space="preserve">emission </w:t>
      </w:r>
      <w:r w:rsidR="00BC4357">
        <w:rPr>
          <w:rFonts w:cs="Times New Roman"/>
          <w:b/>
          <w:noProof/>
        </w:rPr>
        <w:t xml:space="preserve">reductions. </w:t>
      </w:r>
      <w:r w:rsidR="001C6DFA">
        <w:rPr>
          <w:rFonts w:cs="Times New Roman"/>
          <w:noProof/>
        </w:rPr>
        <w:t>.</w:t>
      </w:r>
    </w:p>
    <w:p w14:paraId="43413A45" w14:textId="7384FFEE" w:rsidR="0037495F" w:rsidRPr="00A14107" w:rsidRDefault="3982CBDC" w:rsidP="00AD5F1B">
      <w:pPr>
        <w:numPr>
          <w:ilvl w:val="0"/>
          <w:numId w:val="7"/>
        </w:numPr>
        <w:contextualSpacing/>
        <w:rPr>
          <w:rFonts w:cs="Times New Roman"/>
          <w:noProof/>
        </w:rPr>
      </w:pPr>
      <w:r w:rsidRPr="3982CBDC">
        <w:rPr>
          <w:rFonts w:cs="Times New Roman"/>
          <w:noProof/>
        </w:rPr>
        <w:t xml:space="preserve">Long-term </w:t>
      </w:r>
      <w:r w:rsidRPr="3982CBDC">
        <w:rPr>
          <w:rFonts w:cs="Times New Roman"/>
          <w:b/>
          <w:bCs/>
          <w:noProof/>
        </w:rPr>
        <w:t>compliance with the Montreal Protocol</w:t>
      </w:r>
      <w:r w:rsidR="003F31D3">
        <w:rPr>
          <w:rFonts w:cs="Times New Roman"/>
          <w:noProof/>
        </w:rPr>
        <w:t xml:space="preserve"> is not en</w:t>
      </w:r>
      <w:r w:rsidR="00531B7E">
        <w:rPr>
          <w:rFonts w:cs="Times New Roman"/>
          <w:noProof/>
        </w:rPr>
        <w:t>sured.</w:t>
      </w:r>
    </w:p>
    <w:p w14:paraId="38654F58" w14:textId="08590EDE" w:rsidR="0037495F" w:rsidRDefault="3982CBDC" w:rsidP="00AD5F1B">
      <w:pPr>
        <w:numPr>
          <w:ilvl w:val="0"/>
          <w:numId w:val="7"/>
        </w:numPr>
        <w:spacing w:after="0"/>
        <w:ind w:left="714" w:hanging="357"/>
        <w:rPr>
          <w:rFonts w:cs="Times New Roman"/>
          <w:noProof/>
        </w:rPr>
      </w:pPr>
      <w:r w:rsidRPr="3982CBDC">
        <w:rPr>
          <w:rFonts w:cs="Times New Roman"/>
          <w:noProof/>
        </w:rPr>
        <w:t xml:space="preserve">There are a number of challenges for current </w:t>
      </w:r>
      <w:r w:rsidRPr="3982CBDC">
        <w:rPr>
          <w:rFonts w:cs="Times New Roman"/>
          <w:b/>
          <w:bCs/>
          <w:noProof/>
        </w:rPr>
        <w:t>implementation and enforcement</w:t>
      </w:r>
      <w:r w:rsidR="00FD4344">
        <w:rPr>
          <w:rFonts w:cs="Times New Roman"/>
          <w:b/>
          <w:bCs/>
          <w:noProof/>
        </w:rPr>
        <w:t xml:space="preserve">: </w:t>
      </w:r>
      <w:r w:rsidR="00FD4344" w:rsidRPr="00AA0577">
        <w:rPr>
          <w:rFonts w:cs="Times New Roman"/>
          <w:noProof/>
        </w:rPr>
        <w:t>Illegal activities, rogue traders and the lack of skilled technicians</w:t>
      </w:r>
      <w:r w:rsidR="00531B7E" w:rsidRPr="00FD4344">
        <w:rPr>
          <w:rFonts w:cs="Times New Roman"/>
          <w:noProof/>
        </w:rPr>
        <w:t>.</w:t>
      </w:r>
    </w:p>
    <w:p w14:paraId="21A1BA7D" w14:textId="7D43EB04" w:rsidR="00847747" w:rsidRDefault="3982CBDC" w:rsidP="00AD5F1B">
      <w:pPr>
        <w:numPr>
          <w:ilvl w:val="0"/>
          <w:numId w:val="7"/>
        </w:numPr>
        <w:spacing w:after="0"/>
        <w:ind w:left="714" w:hanging="357"/>
        <w:rPr>
          <w:rFonts w:cs="Times New Roman"/>
          <w:noProof/>
        </w:rPr>
      </w:pPr>
      <w:r w:rsidRPr="3982CBDC">
        <w:rPr>
          <w:rFonts w:cs="Times New Roman"/>
          <w:noProof/>
        </w:rPr>
        <w:t xml:space="preserve">There are some </w:t>
      </w:r>
      <w:r w:rsidR="006C1E5D">
        <w:rPr>
          <w:rFonts w:cs="Times New Roman"/>
          <w:b/>
          <w:noProof/>
        </w:rPr>
        <w:t>monitoring</w:t>
      </w:r>
      <w:r w:rsidR="00FD4344" w:rsidRPr="00A22EEF">
        <w:rPr>
          <w:rFonts w:cs="Times New Roman"/>
          <w:b/>
          <w:noProof/>
        </w:rPr>
        <w:t xml:space="preserve"> </w:t>
      </w:r>
      <w:r w:rsidRPr="00A22EEF">
        <w:rPr>
          <w:rFonts w:cs="Times New Roman"/>
          <w:b/>
          <w:noProof/>
        </w:rPr>
        <w:t xml:space="preserve">gaps </w:t>
      </w:r>
      <w:r w:rsidR="00A31BA2">
        <w:rPr>
          <w:rFonts w:cs="Times New Roman"/>
          <w:noProof/>
        </w:rPr>
        <w:t>(gases and activities covered</w:t>
      </w:r>
      <w:r w:rsidR="00FD4344">
        <w:rPr>
          <w:rFonts w:cs="Times New Roman"/>
          <w:noProof/>
        </w:rPr>
        <w:t xml:space="preserve"> </w:t>
      </w:r>
      <w:r w:rsidR="00FD4344" w:rsidRPr="00AA0577">
        <w:rPr>
          <w:rFonts w:cs="Times New Roman"/>
          <w:noProof/>
        </w:rPr>
        <w:t>and the rules on the reporting process and data verification</w:t>
      </w:r>
      <w:r w:rsidR="00FD4344">
        <w:rPr>
          <w:rFonts w:cs="Times New Roman"/>
          <w:b/>
          <w:bCs/>
          <w:noProof/>
        </w:rPr>
        <w:t>)</w:t>
      </w:r>
      <w:r w:rsidR="00531B7E">
        <w:rPr>
          <w:rFonts w:cs="Times New Roman"/>
          <w:noProof/>
        </w:rPr>
        <w:t>.</w:t>
      </w:r>
    </w:p>
    <w:p w14:paraId="547C06E1" w14:textId="289E448C" w:rsidR="00A14107" w:rsidRPr="00C56D76" w:rsidRDefault="3982CBDC" w:rsidP="00AD5F1B">
      <w:pPr>
        <w:numPr>
          <w:ilvl w:val="0"/>
          <w:numId w:val="7"/>
        </w:numPr>
        <w:spacing w:after="120"/>
        <w:ind w:left="714" w:hanging="357"/>
        <w:rPr>
          <w:rFonts w:cs="Times New Roman"/>
          <w:noProof/>
        </w:rPr>
      </w:pPr>
      <w:r w:rsidRPr="3982CBDC">
        <w:rPr>
          <w:rFonts w:cs="Times New Roman"/>
          <w:noProof/>
        </w:rPr>
        <w:t>There is a need for more</w:t>
      </w:r>
      <w:r w:rsidRPr="3982CBDC">
        <w:rPr>
          <w:rFonts w:cs="Times New Roman"/>
          <w:b/>
          <w:bCs/>
          <w:noProof/>
        </w:rPr>
        <w:t xml:space="preserve"> </w:t>
      </w:r>
      <w:r w:rsidR="000E1101">
        <w:rPr>
          <w:rFonts w:cs="Times New Roman"/>
          <w:b/>
          <w:bCs/>
          <w:noProof/>
        </w:rPr>
        <w:t xml:space="preserve">internal </w:t>
      </w:r>
      <w:r w:rsidRPr="3982CBDC">
        <w:rPr>
          <w:rFonts w:cs="Times New Roman"/>
          <w:b/>
          <w:bCs/>
          <w:noProof/>
        </w:rPr>
        <w:t>clarity</w:t>
      </w:r>
      <w:r w:rsidR="00443050">
        <w:rPr>
          <w:rFonts w:cs="Times New Roman"/>
          <w:b/>
          <w:bCs/>
          <w:noProof/>
        </w:rPr>
        <w:t xml:space="preserve"> and coherence</w:t>
      </w:r>
      <w:r w:rsidR="00B07E32">
        <w:rPr>
          <w:rFonts w:cs="Times New Roman"/>
          <w:noProof/>
        </w:rPr>
        <w:t xml:space="preserve"> concerning some prohi</w:t>
      </w:r>
      <w:r w:rsidR="00FD4344">
        <w:rPr>
          <w:rFonts w:cs="Times New Roman"/>
          <w:noProof/>
        </w:rPr>
        <w:t xml:space="preserve">bitions, </w:t>
      </w:r>
      <w:r w:rsidR="008C21D9">
        <w:rPr>
          <w:rFonts w:cs="Times New Roman"/>
          <w:noProof/>
        </w:rPr>
        <w:t>instructions to customs</w:t>
      </w:r>
      <w:r w:rsidR="00FD4344">
        <w:rPr>
          <w:rFonts w:cs="Times New Roman"/>
          <w:noProof/>
        </w:rPr>
        <w:t>, containment measures, and definitions.</w:t>
      </w:r>
    </w:p>
    <w:p w14:paraId="4636ED5B" w14:textId="30F22770" w:rsidR="00C9316D" w:rsidRPr="003E67E7" w:rsidRDefault="3982CBDC" w:rsidP="003E67E7">
      <w:pPr>
        <w:spacing w:after="120" w:line="240" w:lineRule="auto"/>
        <w:rPr>
          <w:rFonts w:cs="Times New Roman"/>
          <w:noProof/>
        </w:rPr>
      </w:pPr>
      <w:r w:rsidRPr="3982CBDC">
        <w:rPr>
          <w:rFonts w:cs="Times New Roman"/>
          <w:noProof/>
        </w:rPr>
        <w:t>The</w:t>
      </w:r>
      <w:r w:rsidR="008B5B02">
        <w:rPr>
          <w:rFonts w:cs="Times New Roman"/>
          <w:noProof/>
        </w:rPr>
        <w:t>se</w:t>
      </w:r>
      <w:r w:rsidRPr="3982CBDC">
        <w:rPr>
          <w:rFonts w:cs="Times New Roman"/>
          <w:noProof/>
        </w:rPr>
        <w:t xml:space="preserve"> issues, their drive</w:t>
      </w:r>
      <w:r w:rsidR="0066456C">
        <w:rPr>
          <w:rFonts w:cs="Times New Roman"/>
          <w:noProof/>
        </w:rPr>
        <w:t>r</w:t>
      </w:r>
      <w:r w:rsidRPr="3982CBDC">
        <w:rPr>
          <w:rFonts w:cs="Times New Roman"/>
          <w:noProof/>
        </w:rPr>
        <w:t>s and potential developments are described in more detail below.</w:t>
      </w:r>
    </w:p>
    <w:p w14:paraId="443CA841" w14:textId="0F9BB89F" w:rsidR="003135E8" w:rsidRPr="003135E8" w:rsidRDefault="00E04F0C" w:rsidP="00E04F0C">
      <w:pPr>
        <w:pStyle w:val="Heading3"/>
        <w:rPr>
          <w:noProof/>
        </w:rPr>
      </w:pPr>
      <w:bookmarkStart w:id="50" w:name="_Ref93995827"/>
      <w:bookmarkStart w:id="51" w:name="_Toc94629491"/>
      <w:bookmarkStart w:id="52" w:name="_Toc98857735"/>
      <w:r w:rsidRPr="00E04F0C">
        <w:t>2.1.1.</w:t>
      </w:r>
      <w:r w:rsidRPr="00E04F0C">
        <w:tab/>
      </w:r>
      <w:r w:rsidR="00BC4357">
        <w:rPr>
          <w:noProof/>
        </w:rPr>
        <w:t>Insufficient</w:t>
      </w:r>
      <w:r w:rsidR="00A31BA2">
        <w:rPr>
          <w:noProof/>
        </w:rPr>
        <w:t xml:space="preserve"> emission</w:t>
      </w:r>
      <w:r w:rsidR="000E1101">
        <w:rPr>
          <w:noProof/>
        </w:rPr>
        <w:t xml:space="preserve"> </w:t>
      </w:r>
      <w:r w:rsidR="00A31BA2">
        <w:rPr>
          <w:noProof/>
        </w:rPr>
        <w:t>s</w:t>
      </w:r>
      <w:r w:rsidR="000E1101">
        <w:rPr>
          <w:noProof/>
        </w:rPr>
        <w:t>avings</w:t>
      </w:r>
      <w:bookmarkEnd w:id="50"/>
      <w:bookmarkEnd w:id="51"/>
      <w:bookmarkEnd w:id="52"/>
    </w:p>
    <w:p w14:paraId="660FAA8A" w14:textId="77777777" w:rsidR="00F149CC" w:rsidRPr="006E4EB1" w:rsidRDefault="3982CBDC" w:rsidP="00AD5F1B">
      <w:pPr>
        <w:pStyle w:val="ListParagraph"/>
        <w:numPr>
          <w:ilvl w:val="5"/>
          <w:numId w:val="4"/>
        </w:numPr>
        <w:spacing w:after="120"/>
        <w:rPr>
          <w:rFonts w:cs="Times New Roman"/>
          <w:noProof/>
        </w:rPr>
      </w:pPr>
      <w:r w:rsidRPr="3982CBDC">
        <w:rPr>
          <w:rFonts w:cs="Times New Roman"/>
          <w:noProof/>
        </w:rPr>
        <w:t>Status quo of the issue</w:t>
      </w:r>
    </w:p>
    <w:p w14:paraId="020E63AD" w14:textId="5C7FA69C" w:rsidR="006E4EB1" w:rsidRDefault="00BC4357" w:rsidP="3982CBDC">
      <w:pPr>
        <w:spacing w:after="120"/>
        <w:rPr>
          <w:rFonts w:cs="Times New Roman"/>
          <w:noProof/>
        </w:rPr>
      </w:pPr>
      <w:r>
        <w:rPr>
          <w:rFonts w:eastAsia="Calibri" w:cs="Times New Roman"/>
          <w:noProof/>
        </w:rPr>
        <w:t>T</w:t>
      </w:r>
      <w:r w:rsidR="3982CBDC" w:rsidRPr="3982CBDC">
        <w:rPr>
          <w:rFonts w:cs="Times New Roman"/>
          <w:noProof/>
        </w:rPr>
        <w:t>he</w:t>
      </w:r>
      <w:r w:rsidR="0023491F">
        <w:rPr>
          <w:rFonts w:cs="Times New Roman"/>
          <w:noProof/>
        </w:rPr>
        <w:t xml:space="preserve"> evaluation </w:t>
      </w:r>
      <w:r w:rsidR="00E62529">
        <w:rPr>
          <w:rFonts w:cs="Times New Roman"/>
          <w:noProof/>
        </w:rPr>
        <w:t xml:space="preserve">shows </w:t>
      </w:r>
      <w:r w:rsidR="3982CBDC" w:rsidRPr="3982CBDC">
        <w:rPr>
          <w:rFonts w:cs="Times New Roman"/>
          <w:noProof/>
        </w:rPr>
        <w:t xml:space="preserve">that </w:t>
      </w:r>
      <w:r w:rsidR="00920586">
        <w:rPr>
          <w:rFonts w:cs="Times New Roman"/>
          <w:noProof/>
        </w:rPr>
        <w:t xml:space="preserve">the </w:t>
      </w:r>
      <w:r w:rsidR="00E62529">
        <w:rPr>
          <w:rFonts w:cs="Times New Roman"/>
          <w:noProof/>
        </w:rPr>
        <w:t xml:space="preserve">EU F-gas policy </w:t>
      </w:r>
      <w:r w:rsidR="000E1101">
        <w:rPr>
          <w:rFonts w:cs="Times New Roman"/>
          <w:noProof/>
        </w:rPr>
        <w:t xml:space="preserve">could contribute more to </w:t>
      </w:r>
      <w:r w:rsidR="00064E59">
        <w:rPr>
          <w:rFonts w:cs="Times New Roman"/>
          <w:noProof/>
        </w:rPr>
        <w:t>saving climate-relevant emission</w:t>
      </w:r>
      <w:r w:rsidR="000E1101">
        <w:rPr>
          <w:rFonts w:cs="Times New Roman"/>
          <w:noProof/>
        </w:rPr>
        <w:t>s</w:t>
      </w:r>
      <w:r>
        <w:rPr>
          <w:rFonts w:cs="Times New Roman"/>
          <w:noProof/>
        </w:rPr>
        <w:t xml:space="preserve"> and the climate policy ambition has increased</w:t>
      </w:r>
      <w:r w:rsidR="3982CBDC" w:rsidRPr="3982CBDC">
        <w:rPr>
          <w:rFonts w:cs="Times New Roman"/>
          <w:noProof/>
        </w:rPr>
        <w:t>:</w:t>
      </w:r>
    </w:p>
    <w:p w14:paraId="041190DC" w14:textId="05962DC8" w:rsidR="000E0C84" w:rsidRDefault="009373FD" w:rsidP="000E0C84">
      <w:pPr>
        <w:pStyle w:val="ListParagraph"/>
        <w:keepNext/>
        <w:numPr>
          <w:ilvl w:val="0"/>
          <w:numId w:val="10"/>
        </w:numPr>
        <w:spacing w:after="0"/>
        <w:rPr>
          <w:rFonts w:cs="Times New Roman"/>
          <w:bCs/>
          <w:noProof/>
          <w:szCs w:val="24"/>
        </w:rPr>
      </w:pPr>
      <w:r w:rsidRPr="000E0C84">
        <w:rPr>
          <w:rFonts w:cs="Times New Roman"/>
          <w:noProof/>
        </w:rPr>
        <w:t xml:space="preserve">The existing F-gas legislation was based on modelling assumptions </w:t>
      </w:r>
      <w:r w:rsidR="00BC4357">
        <w:rPr>
          <w:rFonts w:cs="Times New Roman"/>
          <w:noProof/>
        </w:rPr>
        <w:t xml:space="preserve">that </w:t>
      </w:r>
      <w:r w:rsidRPr="000E0C84">
        <w:rPr>
          <w:rFonts w:cs="Times New Roman"/>
          <w:noProof/>
        </w:rPr>
        <w:t>aim</w:t>
      </w:r>
      <w:r w:rsidR="00BC4357">
        <w:rPr>
          <w:rFonts w:cs="Times New Roman"/>
          <w:noProof/>
        </w:rPr>
        <w:t xml:space="preserve">ed at contributing </w:t>
      </w:r>
      <w:r w:rsidRPr="000E0C84">
        <w:rPr>
          <w:rFonts w:cs="Times New Roman"/>
          <w:noProof/>
        </w:rPr>
        <w:t xml:space="preserve">to the 2011 </w:t>
      </w:r>
      <w:r w:rsidRPr="000E0C84">
        <w:rPr>
          <w:rFonts w:cs="Times New Roman"/>
          <w:bCs/>
          <w:noProof/>
          <w:szCs w:val="24"/>
        </w:rPr>
        <w:t>Low Carbon Roadmap for 2050</w:t>
      </w:r>
      <w:r w:rsidRPr="0085241A">
        <w:rPr>
          <w:noProof/>
          <w:vertAlign w:val="superscript"/>
        </w:rPr>
        <w:footnoteReference w:id="27"/>
      </w:r>
      <w:r w:rsidRPr="000E0C84">
        <w:rPr>
          <w:rFonts w:cs="Times New Roman"/>
          <w:bCs/>
          <w:noProof/>
          <w:szCs w:val="24"/>
        </w:rPr>
        <w:t>, which had an ambition level in</w:t>
      </w:r>
      <w:r w:rsidR="00B42610">
        <w:rPr>
          <w:rFonts w:cs="Times New Roman"/>
          <w:bCs/>
          <w:noProof/>
          <w:szCs w:val="24"/>
        </w:rPr>
        <w:t xml:space="preserve"> </w:t>
      </w:r>
      <w:r w:rsidRPr="000E0C84">
        <w:rPr>
          <w:rFonts w:cs="Times New Roman"/>
          <w:bCs/>
          <w:noProof/>
          <w:szCs w:val="24"/>
        </w:rPr>
        <w:t xml:space="preserve">line with reducing greenhouse gas emissions by 80% by 2050 compared to 1990. </w:t>
      </w:r>
    </w:p>
    <w:p w14:paraId="7FF0EFAD" w14:textId="2D521481" w:rsidR="00BC4357" w:rsidRPr="00667B2C" w:rsidRDefault="00BC4357" w:rsidP="00BC4357">
      <w:pPr>
        <w:pStyle w:val="ListParagraph"/>
        <w:numPr>
          <w:ilvl w:val="0"/>
          <w:numId w:val="10"/>
        </w:numPr>
        <w:spacing w:after="120"/>
        <w:ind w:left="714" w:hanging="357"/>
        <w:contextualSpacing w:val="0"/>
        <w:rPr>
          <w:rFonts w:eastAsia="Calibri" w:cs="Times New Roman"/>
          <w:noProof/>
        </w:rPr>
      </w:pPr>
      <w:r w:rsidRPr="00064E59">
        <w:rPr>
          <w:rFonts w:cs="Times New Roman"/>
          <w:b/>
          <w:noProof/>
        </w:rPr>
        <w:t>Further emission reduction</w:t>
      </w:r>
      <w:r>
        <w:rPr>
          <w:rFonts w:cs="Times New Roman"/>
          <w:b/>
          <w:noProof/>
        </w:rPr>
        <w:t>s</w:t>
      </w:r>
      <w:r w:rsidRPr="00064E59">
        <w:rPr>
          <w:rFonts w:cs="Times New Roman"/>
          <w:b/>
          <w:noProof/>
        </w:rPr>
        <w:t xml:space="preserve"> </w:t>
      </w:r>
      <w:r>
        <w:rPr>
          <w:rFonts w:cs="Times New Roman"/>
          <w:b/>
          <w:noProof/>
        </w:rPr>
        <w:t>are possible to support the new climate targets</w:t>
      </w:r>
      <w:r w:rsidRPr="00064E59">
        <w:rPr>
          <w:rFonts w:cs="Times New Roman"/>
          <w:b/>
          <w:noProof/>
        </w:rPr>
        <w:t>.</w:t>
      </w:r>
      <w:r w:rsidRPr="3982CBDC">
        <w:rPr>
          <w:rFonts w:eastAsia="Calibri" w:cs="Times New Roman"/>
          <w:noProof/>
        </w:rPr>
        <w:t xml:space="preserve"> </w:t>
      </w:r>
      <w:r>
        <w:rPr>
          <w:rFonts w:eastAsia="Calibri" w:cs="Times New Roman"/>
          <w:noProof/>
        </w:rPr>
        <w:t>A</w:t>
      </w:r>
      <w:r w:rsidRPr="3982CBDC">
        <w:rPr>
          <w:rFonts w:eastAsia="Calibri" w:cs="Times New Roman"/>
          <w:noProof/>
        </w:rPr>
        <w:t xml:space="preserve">batement costs </w:t>
      </w:r>
      <w:r>
        <w:rPr>
          <w:rFonts w:eastAsia="Calibri" w:cs="Times New Roman"/>
          <w:noProof/>
        </w:rPr>
        <w:t xml:space="preserve">for HFC sectors </w:t>
      </w:r>
      <w:r w:rsidRPr="3982CBDC">
        <w:rPr>
          <w:rFonts w:eastAsia="Calibri" w:cs="Times New Roman"/>
          <w:noProof/>
        </w:rPr>
        <w:t>so far have been relatively low (</w:t>
      </w:r>
      <w:r>
        <w:rPr>
          <w:rFonts w:eastAsia="Calibri" w:cs="Times New Roman"/>
          <w:noProof/>
        </w:rPr>
        <w:t xml:space="preserve">on average </w:t>
      </w:r>
      <w:r w:rsidRPr="3982CBDC">
        <w:rPr>
          <w:rFonts w:eastAsia="Calibri" w:cs="Times New Roman"/>
          <w:noProof/>
        </w:rPr>
        <w:t xml:space="preserve">€6/tCO2e abated) and </w:t>
      </w:r>
      <w:r w:rsidRPr="3982CBDC">
        <w:rPr>
          <w:rFonts w:eastAsia="Calibri" w:cs="Times New Roman"/>
          <w:b/>
          <w:bCs/>
          <w:noProof/>
        </w:rPr>
        <w:t xml:space="preserve">due to recent technological developments there are many areas where further abatement could happen </w:t>
      </w:r>
      <w:r w:rsidRPr="005577AE">
        <w:rPr>
          <w:rFonts w:eastAsia="Calibri" w:cs="Times New Roman"/>
          <w:bCs/>
          <w:noProof/>
        </w:rPr>
        <w:t xml:space="preserve">at costs much below </w:t>
      </w:r>
      <w:r>
        <w:rPr>
          <w:rFonts w:eastAsia="Calibri" w:cs="Times New Roman"/>
          <w:bCs/>
          <w:noProof/>
        </w:rPr>
        <w:t>t</w:t>
      </w:r>
      <w:r w:rsidRPr="005577AE">
        <w:rPr>
          <w:rFonts w:eastAsia="Calibri" w:cs="Times New Roman"/>
          <w:bCs/>
          <w:noProof/>
        </w:rPr>
        <w:t>hat required in other sectors</w:t>
      </w:r>
      <w:r w:rsidRPr="3982CBDC">
        <w:rPr>
          <w:rStyle w:val="FootnoteReference"/>
          <w:rFonts w:eastAsia="Calibri" w:cs="Times New Roman"/>
          <w:noProof/>
        </w:rPr>
        <w:footnoteReference w:id="28"/>
      </w:r>
      <w:r w:rsidRPr="3982CBDC">
        <w:rPr>
          <w:rFonts w:eastAsia="Calibri" w:cs="Times New Roman"/>
          <w:noProof/>
        </w:rPr>
        <w:t xml:space="preserve">. </w:t>
      </w:r>
      <w:r w:rsidRPr="005010F2">
        <w:rPr>
          <w:rFonts w:eastAsia="Calibri" w:cs="Times New Roman"/>
          <w:bCs/>
          <w:noProof/>
        </w:rPr>
        <w:t xml:space="preserve">The sector has seen huge innovation jumps </w:t>
      </w:r>
      <w:r>
        <w:rPr>
          <w:rFonts w:eastAsia="Calibri" w:cs="Times New Roman"/>
          <w:bCs/>
          <w:noProof/>
        </w:rPr>
        <w:t>in recent years (see evaluation, A5.6.1.4)</w:t>
      </w:r>
      <w:r w:rsidRPr="005010F2">
        <w:rPr>
          <w:rFonts w:eastAsia="Calibri" w:cs="Times New Roman"/>
          <w:bCs/>
          <w:noProof/>
        </w:rPr>
        <w:t xml:space="preserve"> and more alternatives are available that are not fully incentivised by the existing rules.</w:t>
      </w:r>
    </w:p>
    <w:p w14:paraId="3B75DF0C" w14:textId="3BA3009E" w:rsidR="00B42610" w:rsidRPr="00EB421D" w:rsidRDefault="000960AC" w:rsidP="00EB421D">
      <w:pPr>
        <w:pStyle w:val="ListParagraph"/>
        <w:keepNext/>
        <w:numPr>
          <w:ilvl w:val="0"/>
          <w:numId w:val="10"/>
        </w:numPr>
        <w:spacing w:after="0"/>
        <w:ind w:left="714" w:hanging="357"/>
        <w:contextualSpacing w:val="0"/>
        <w:rPr>
          <w:noProof/>
        </w:rPr>
      </w:pPr>
      <w:r>
        <w:rPr>
          <w:rFonts w:eastAsia="Calibri" w:cs="Times New Roman"/>
          <w:noProof/>
        </w:rPr>
        <w:t>T</w:t>
      </w:r>
      <w:r w:rsidR="00692365" w:rsidRPr="00C9056E">
        <w:rPr>
          <w:rFonts w:eastAsia="Calibri" w:cs="Times New Roman"/>
          <w:noProof/>
        </w:rPr>
        <w:t xml:space="preserve">he </w:t>
      </w:r>
      <w:r w:rsidR="00692365" w:rsidRPr="00342AC9">
        <w:rPr>
          <w:rFonts w:eastAsia="Calibri" w:cs="Times New Roman"/>
          <w:b/>
          <w:noProof/>
        </w:rPr>
        <w:t>EU has in the meantim</w:t>
      </w:r>
      <w:r w:rsidR="00B42610" w:rsidRPr="00342AC9">
        <w:rPr>
          <w:rFonts w:eastAsia="Calibri" w:cs="Times New Roman"/>
          <w:b/>
          <w:noProof/>
        </w:rPr>
        <w:t xml:space="preserve">e raised its </w:t>
      </w:r>
      <w:r w:rsidR="00692365" w:rsidRPr="00342AC9">
        <w:rPr>
          <w:rFonts w:eastAsia="Calibri" w:cs="Times New Roman"/>
          <w:b/>
          <w:noProof/>
        </w:rPr>
        <w:t>climate ambition</w:t>
      </w:r>
      <w:r w:rsidR="00692365">
        <w:rPr>
          <w:rFonts w:eastAsia="Calibri" w:cs="Times New Roman"/>
          <w:noProof/>
        </w:rPr>
        <w:t xml:space="preserve"> for 2030</w:t>
      </w:r>
      <w:r w:rsidR="00B42610">
        <w:rPr>
          <w:rFonts w:eastAsia="Calibri" w:cs="Times New Roman"/>
          <w:noProof/>
        </w:rPr>
        <w:t xml:space="preserve"> by</w:t>
      </w:r>
      <w:r>
        <w:rPr>
          <w:rFonts w:eastAsia="Calibri" w:cs="Times New Roman"/>
          <w:noProof/>
        </w:rPr>
        <w:t xml:space="preserve"> </w:t>
      </w:r>
      <w:r w:rsidR="00692365">
        <w:rPr>
          <w:rFonts w:eastAsia="Calibri" w:cs="Times New Roman"/>
          <w:noProof/>
        </w:rPr>
        <w:t>increasing the 2030 target from 40% greenhouse gas reduction</w:t>
      </w:r>
      <w:r w:rsidR="00B42610">
        <w:rPr>
          <w:rFonts w:eastAsia="Calibri" w:cs="Times New Roman"/>
          <w:noProof/>
        </w:rPr>
        <w:t>s</w:t>
      </w:r>
      <w:r w:rsidR="00692365">
        <w:rPr>
          <w:rFonts w:eastAsia="Calibri" w:cs="Times New Roman"/>
          <w:noProof/>
        </w:rPr>
        <w:t xml:space="preserve"> to at least 55% net greenhouse gas emissions reduction</w:t>
      </w:r>
      <w:r w:rsidR="00B42610">
        <w:rPr>
          <w:rFonts w:eastAsia="Calibri" w:cs="Times New Roman"/>
          <w:noProof/>
        </w:rPr>
        <w:t>s</w:t>
      </w:r>
      <w:r w:rsidR="00692365">
        <w:rPr>
          <w:rFonts w:eastAsia="Calibri" w:cs="Times New Roman"/>
          <w:noProof/>
        </w:rPr>
        <w:t xml:space="preserve"> compared to 1990. </w:t>
      </w:r>
      <w:r w:rsidR="00BC4357" w:rsidRPr="000E0C84">
        <w:rPr>
          <w:rFonts w:cs="Times New Roman"/>
          <w:bCs/>
          <w:noProof/>
          <w:szCs w:val="24"/>
        </w:rPr>
        <w:t xml:space="preserve">The </w:t>
      </w:r>
      <w:r w:rsidR="00BC4357">
        <w:rPr>
          <w:rFonts w:cs="Times New Roman"/>
          <w:bCs/>
          <w:noProof/>
          <w:szCs w:val="24"/>
        </w:rPr>
        <w:t>i</w:t>
      </w:r>
      <w:r w:rsidR="00BC4357" w:rsidRPr="000E0C84">
        <w:rPr>
          <w:rFonts w:cs="Times New Roman"/>
          <w:bCs/>
          <w:noProof/>
          <w:szCs w:val="24"/>
        </w:rPr>
        <w:t xml:space="preserve">n-depth analysis in support of the Commission Communication </w:t>
      </w:r>
      <w:r w:rsidR="00BC4357">
        <w:rPr>
          <w:rFonts w:cs="Times New Roman"/>
          <w:bCs/>
          <w:noProof/>
          <w:szCs w:val="24"/>
        </w:rPr>
        <w:t>on ‘A clean Planet for all’</w:t>
      </w:r>
      <w:r w:rsidR="00BC4357">
        <w:rPr>
          <w:rStyle w:val="FootnoteReference"/>
          <w:rFonts w:cs="Times New Roman"/>
          <w:bCs/>
          <w:noProof/>
          <w:szCs w:val="24"/>
        </w:rPr>
        <w:footnoteReference w:id="29"/>
      </w:r>
      <w:r w:rsidR="00BC4357">
        <w:rPr>
          <w:rFonts w:cs="Times New Roman"/>
          <w:bCs/>
          <w:noProof/>
          <w:szCs w:val="24"/>
        </w:rPr>
        <w:t xml:space="preserve"> already included projections that confirmed that in order to contribute to a credible pathway towards climate neutrality, also F-gas emissions reductions would have to be stepped up. </w:t>
      </w:r>
      <w:r w:rsidR="00692365">
        <w:rPr>
          <w:rFonts w:eastAsia="Calibri" w:cs="Times New Roman"/>
          <w:noProof/>
        </w:rPr>
        <w:t xml:space="preserve">The impact assessments in support of the policy initiatives under the Fit for 55 package </w:t>
      </w:r>
      <w:r w:rsidR="00920586">
        <w:rPr>
          <w:rFonts w:eastAsia="Calibri" w:cs="Times New Roman"/>
          <w:noProof/>
        </w:rPr>
        <w:t>proposed in 2021</w:t>
      </w:r>
      <w:r w:rsidR="00692365">
        <w:rPr>
          <w:rFonts w:eastAsia="Calibri" w:cs="Times New Roman"/>
          <w:noProof/>
        </w:rPr>
        <w:t xml:space="preserve"> included an updated Reference projection (which includes the existing F-gas legislation) as well as a number of policy scenarios. Also for these projections,</w:t>
      </w:r>
      <w:r w:rsidR="00A3664D">
        <w:rPr>
          <w:rFonts w:eastAsia="Calibri" w:cs="Times New Roman"/>
          <w:noProof/>
        </w:rPr>
        <w:t xml:space="preserve"> using the GAINS modelling tool to represent all non-CO2 emissions,</w:t>
      </w:r>
      <w:r w:rsidR="00692365">
        <w:rPr>
          <w:rFonts w:eastAsia="Calibri" w:cs="Times New Roman"/>
          <w:noProof/>
        </w:rPr>
        <w:t xml:space="preserve"> significant additional F-gas emission reductions </w:t>
      </w:r>
      <w:r w:rsidR="00E62529">
        <w:rPr>
          <w:rFonts w:eastAsia="Calibri" w:cs="Times New Roman"/>
          <w:noProof/>
        </w:rPr>
        <w:t xml:space="preserve">should be </w:t>
      </w:r>
      <w:r w:rsidR="00692365">
        <w:rPr>
          <w:rFonts w:eastAsia="Calibri" w:cs="Times New Roman"/>
          <w:noProof/>
        </w:rPr>
        <w:t>achieved by 2030 compared to the existing policies under Reference projections</w:t>
      </w:r>
      <w:r w:rsidR="00692365">
        <w:rPr>
          <w:rStyle w:val="FootnoteReference"/>
          <w:rFonts w:eastAsia="Calibri" w:cs="Times New Roman"/>
          <w:noProof/>
        </w:rPr>
        <w:footnoteReference w:id="30"/>
      </w:r>
      <w:r w:rsidR="00692365" w:rsidRPr="00C9056E">
        <w:rPr>
          <w:rFonts w:eastAsia="Calibri" w:cs="Times New Roman"/>
          <w:noProof/>
        </w:rPr>
        <w:t>.</w:t>
      </w:r>
      <w:r w:rsidR="00692365">
        <w:rPr>
          <w:rFonts w:eastAsia="Calibri" w:cs="Times New Roman"/>
          <w:noProof/>
        </w:rPr>
        <w:t xml:space="preserve"> </w:t>
      </w:r>
    </w:p>
    <w:p w14:paraId="667A6444" w14:textId="562A3D57" w:rsidR="00446CB7" w:rsidRPr="00342AC9" w:rsidRDefault="00B109B1" w:rsidP="00342AC9">
      <w:pPr>
        <w:pStyle w:val="ListParagraph"/>
        <w:keepNext/>
        <w:numPr>
          <w:ilvl w:val="0"/>
          <w:numId w:val="10"/>
        </w:numPr>
        <w:spacing w:after="0"/>
        <w:ind w:left="714" w:hanging="357"/>
        <w:contextualSpacing w:val="0"/>
        <w:rPr>
          <w:b/>
          <w:noProof/>
        </w:rPr>
      </w:pPr>
      <w:r>
        <w:rPr>
          <w:rFonts w:eastAsia="Calibri" w:cs="Times New Roman"/>
          <w:noProof/>
        </w:rPr>
        <w:t>M</w:t>
      </w:r>
      <w:r w:rsidRPr="3982CBDC">
        <w:rPr>
          <w:rFonts w:cs="Times New Roman"/>
          <w:noProof/>
        </w:rPr>
        <w:t xml:space="preserve">odelling </w:t>
      </w:r>
      <w:r>
        <w:rPr>
          <w:rFonts w:cs="Times New Roman"/>
          <w:noProof/>
        </w:rPr>
        <w:t xml:space="preserve">done in the course of the evaluation </w:t>
      </w:r>
      <w:r w:rsidRPr="3982CBDC">
        <w:rPr>
          <w:rFonts w:cs="Times New Roman"/>
          <w:noProof/>
        </w:rPr>
        <w:t>indicate</w:t>
      </w:r>
      <w:r>
        <w:rPr>
          <w:rFonts w:cs="Times New Roman"/>
          <w:noProof/>
        </w:rPr>
        <w:t>d</w:t>
      </w:r>
      <w:r w:rsidRPr="3982CBDC">
        <w:rPr>
          <w:rFonts w:cs="Times New Roman"/>
          <w:noProof/>
        </w:rPr>
        <w:t xml:space="preserve"> that </w:t>
      </w:r>
      <w:r>
        <w:rPr>
          <w:rFonts w:cs="Times New Roman"/>
          <w:noProof/>
        </w:rPr>
        <w:t xml:space="preserve">F-gas </w:t>
      </w:r>
      <w:r w:rsidRPr="000960AC">
        <w:rPr>
          <w:rFonts w:cs="Times New Roman"/>
          <w:noProof/>
        </w:rPr>
        <w:t xml:space="preserve">emission reductions in the baseline will fall short of what was estimated to be a cost-efficient contribution </w:t>
      </w:r>
      <w:r>
        <w:rPr>
          <w:rFonts w:cs="Times New Roman"/>
          <w:noProof/>
        </w:rPr>
        <w:t xml:space="preserve">to meet the </w:t>
      </w:r>
      <w:r w:rsidRPr="00531B7E">
        <w:rPr>
          <w:rFonts w:cs="Times New Roman"/>
          <w:bCs/>
          <w:noProof/>
        </w:rPr>
        <w:t xml:space="preserve">EU </w:t>
      </w:r>
      <w:r>
        <w:rPr>
          <w:rFonts w:cs="Times New Roman"/>
          <w:bCs/>
          <w:noProof/>
        </w:rPr>
        <w:t>greenhouse gas ambition from the 2011 Low Carbon Roadmap</w:t>
      </w:r>
      <w:r>
        <w:rPr>
          <w:rFonts w:cs="Times New Roman"/>
          <w:noProof/>
        </w:rPr>
        <w:t xml:space="preserve"> (see Annex</w:t>
      </w:r>
      <w:r w:rsidR="00342AC9">
        <w:rPr>
          <w:rFonts w:cs="Times New Roman"/>
          <w:noProof/>
        </w:rPr>
        <w:t xml:space="preserve"> </w:t>
      </w:r>
      <w:r>
        <w:rPr>
          <w:rFonts w:cs="Times New Roman"/>
          <w:noProof/>
        </w:rPr>
        <w:t xml:space="preserve"> A11</w:t>
      </w:r>
      <w:r w:rsidRPr="3982CBDC">
        <w:rPr>
          <w:rFonts w:cs="Times New Roman"/>
          <w:noProof/>
        </w:rPr>
        <w:t>)</w:t>
      </w:r>
      <w:r>
        <w:rPr>
          <w:rFonts w:cs="Times New Roman"/>
          <w:noProof/>
        </w:rPr>
        <w:t xml:space="preserve">. </w:t>
      </w:r>
      <w:bookmarkStart w:id="53" w:name="_Hlk77238273"/>
      <w:bookmarkEnd w:id="53"/>
    </w:p>
    <w:p w14:paraId="70E257C1" w14:textId="0EF0778E" w:rsidR="00B02005" w:rsidRDefault="00023C46" w:rsidP="00AD5F1B">
      <w:pPr>
        <w:pStyle w:val="ListParagraph"/>
        <w:numPr>
          <w:ilvl w:val="0"/>
          <w:numId w:val="10"/>
        </w:numPr>
        <w:spacing w:after="120"/>
        <w:rPr>
          <w:rFonts w:eastAsia="Calibri" w:cs="Times New Roman"/>
          <w:noProof/>
        </w:rPr>
      </w:pPr>
      <w:r w:rsidRPr="00FC200F">
        <w:rPr>
          <w:rFonts w:eastAsia="Calibri" w:cs="Times New Roman"/>
          <w:bCs/>
          <w:noProof/>
        </w:rPr>
        <w:t>Furthermore, t</w:t>
      </w:r>
      <w:r w:rsidR="00463C7C" w:rsidRPr="00FC200F">
        <w:rPr>
          <w:rFonts w:eastAsia="Calibri" w:cs="Times New Roman"/>
          <w:bCs/>
          <w:noProof/>
        </w:rPr>
        <w:t>o reach climate neutrality by 2050</w:t>
      </w:r>
      <w:r w:rsidR="000D2417" w:rsidRPr="00FC200F">
        <w:rPr>
          <w:rFonts w:eastAsia="Calibri" w:cs="Times New Roman"/>
          <w:bCs/>
          <w:noProof/>
        </w:rPr>
        <w:t>,</w:t>
      </w:r>
      <w:r w:rsidR="00463C7C" w:rsidRPr="3982CBDC">
        <w:rPr>
          <w:rFonts w:eastAsia="Calibri" w:cs="Times New Roman"/>
          <w:b/>
          <w:bCs/>
          <w:noProof/>
        </w:rPr>
        <w:t xml:space="preserve"> f</w:t>
      </w:r>
      <w:r w:rsidR="00B45888" w:rsidRPr="3982CBDC">
        <w:rPr>
          <w:rFonts w:eastAsia="Calibri" w:cs="Times New Roman"/>
          <w:b/>
          <w:bCs/>
          <w:noProof/>
        </w:rPr>
        <w:t xml:space="preserve">urther </w:t>
      </w:r>
      <w:r w:rsidR="00463C7C" w:rsidRPr="3982CBDC">
        <w:rPr>
          <w:rFonts w:eastAsia="Calibri" w:cs="Times New Roman"/>
          <w:b/>
          <w:bCs/>
          <w:noProof/>
        </w:rPr>
        <w:t xml:space="preserve">replacement of </w:t>
      </w:r>
      <w:r w:rsidR="00B45888" w:rsidRPr="3982CBDC">
        <w:rPr>
          <w:rFonts w:eastAsia="Calibri" w:cs="Times New Roman"/>
          <w:b/>
          <w:bCs/>
          <w:noProof/>
        </w:rPr>
        <w:t>F-gas</w:t>
      </w:r>
      <w:r w:rsidR="00463C7C" w:rsidRPr="3982CBDC">
        <w:rPr>
          <w:rFonts w:eastAsia="Calibri" w:cs="Times New Roman"/>
          <w:b/>
          <w:bCs/>
          <w:noProof/>
        </w:rPr>
        <w:t xml:space="preserve">es is </w:t>
      </w:r>
      <w:r w:rsidR="000D2417" w:rsidRPr="3982CBDC">
        <w:rPr>
          <w:rFonts w:eastAsia="Calibri" w:cs="Times New Roman"/>
          <w:b/>
          <w:bCs/>
          <w:noProof/>
        </w:rPr>
        <w:t xml:space="preserve">already </w:t>
      </w:r>
      <w:r w:rsidR="00463C7C" w:rsidRPr="3982CBDC">
        <w:rPr>
          <w:rFonts w:eastAsia="Calibri" w:cs="Times New Roman"/>
          <w:b/>
          <w:bCs/>
          <w:noProof/>
        </w:rPr>
        <w:t xml:space="preserve">needed </w:t>
      </w:r>
      <w:r w:rsidR="002A0C8F" w:rsidRPr="00FC200F">
        <w:rPr>
          <w:rFonts w:eastAsia="Calibri" w:cs="Times New Roman"/>
          <w:b/>
          <w:bCs/>
          <w:i/>
          <w:noProof/>
        </w:rPr>
        <w:t>in the medium term</w:t>
      </w:r>
      <w:r w:rsidR="002A0C8F" w:rsidRPr="3982CBDC">
        <w:rPr>
          <w:rFonts w:eastAsia="Calibri" w:cs="Times New Roman"/>
          <w:b/>
          <w:bCs/>
          <w:noProof/>
        </w:rPr>
        <w:t xml:space="preserve"> </w:t>
      </w:r>
      <w:r w:rsidR="00463C7C" w:rsidRPr="3982CBDC">
        <w:rPr>
          <w:rFonts w:eastAsia="Calibri" w:cs="Times New Roman"/>
          <w:noProof/>
        </w:rPr>
        <w:t>d</w:t>
      </w:r>
      <w:r w:rsidR="0069174E" w:rsidRPr="3982CBDC">
        <w:rPr>
          <w:rFonts w:eastAsia="Calibri" w:cs="Times New Roman"/>
          <w:noProof/>
        </w:rPr>
        <w:t xml:space="preserve">ue to a long lag between </w:t>
      </w:r>
      <w:r w:rsidR="000D2417" w:rsidRPr="3982CBDC">
        <w:rPr>
          <w:rFonts w:eastAsia="Calibri" w:cs="Times New Roman"/>
          <w:noProof/>
        </w:rPr>
        <w:t xml:space="preserve">the </w:t>
      </w:r>
      <w:r w:rsidR="0069174E" w:rsidRPr="3982CBDC">
        <w:rPr>
          <w:rFonts w:eastAsia="Calibri" w:cs="Times New Roman"/>
          <w:noProof/>
        </w:rPr>
        <w:t>new use of F-gases and the point in time where such use results in emissions (</w:t>
      </w:r>
      <w:r w:rsidR="00531B7E">
        <w:rPr>
          <w:rFonts w:eastAsia="Calibri" w:cs="Times New Roman"/>
          <w:noProof/>
        </w:rPr>
        <w:t xml:space="preserve">usually several years and </w:t>
      </w:r>
      <w:r w:rsidR="0069174E" w:rsidRPr="3982CBDC">
        <w:rPr>
          <w:rFonts w:eastAsia="Calibri" w:cs="Times New Roman"/>
          <w:noProof/>
        </w:rPr>
        <w:t>can be over 50 years</w:t>
      </w:r>
      <w:r w:rsidR="004173F8" w:rsidRPr="3982CBDC">
        <w:rPr>
          <w:rFonts w:eastAsia="Calibri" w:cs="Times New Roman"/>
          <w:noProof/>
        </w:rPr>
        <w:t xml:space="preserve"> in the case of insulation foams</w:t>
      </w:r>
      <w:r w:rsidR="00463C7C" w:rsidRPr="3982CBDC">
        <w:rPr>
          <w:rFonts w:eastAsia="Calibri" w:cs="Times New Roman"/>
          <w:noProof/>
        </w:rPr>
        <w:t xml:space="preserve"> and switchgear</w:t>
      </w:r>
      <w:r w:rsidR="0069174E" w:rsidRPr="3982CBDC">
        <w:rPr>
          <w:rFonts w:eastAsia="Calibri" w:cs="Times New Roman"/>
          <w:noProof/>
        </w:rPr>
        <w:t>)</w:t>
      </w:r>
      <w:r w:rsidR="00D255BF" w:rsidRPr="3982CBDC">
        <w:rPr>
          <w:rStyle w:val="FootnoteReference"/>
          <w:rFonts w:eastAsia="Calibri" w:cs="Times New Roman"/>
          <w:noProof/>
        </w:rPr>
        <w:footnoteReference w:id="31"/>
      </w:r>
      <w:r w:rsidR="00463C7C" w:rsidRPr="3982CBDC">
        <w:rPr>
          <w:rFonts w:eastAsia="Calibri" w:cs="Times New Roman"/>
          <w:noProof/>
        </w:rPr>
        <w:t>.</w:t>
      </w:r>
      <w:r w:rsidR="006C281F" w:rsidRPr="3982CBDC">
        <w:rPr>
          <w:rFonts w:eastAsia="Calibri" w:cs="Times New Roman"/>
          <w:noProof/>
        </w:rPr>
        <w:t xml:space="preserve"> </w:t>
      </w:r>
    </w:p>
    <w:p w14:paraId="79512EF9" w14:textId="47DA458A" w:rsidR="00232EC0" w:rsidRPr="00531B7E" w:rsidRDefault="3982CBDC" w:rsidP="00AD5F1B">
      <w:pPr>
        <w:pStyle w:val="ListParagraph"/>
        <w:numPr>
          <w:ilvl w:val="5"/>
          <w:numId w:val="4"/>
        </w:numPr>
        <w:spacing w:after="120"/>
        <w:ind w:left="2154" w:hanging="357"/>
        <w:contextualSpacing w:val="0"/>
        <w:rPr>
          <w:rFonts w:cs="Times New Roman"/>
          <w:noProof/>
        </w:rPr>
      </w:pPr>
      <w:r w:rsidRPr="3982CBDC">
        <w:rPr>
          <w:rFonts w:cs="Times New Roman"/>
          <w:noProof/>
        </w:rPr>
        <w:t>Drivers</w:t>
      </w:r>
    </w:p>
    <w:p w14:paraId="4E2F443B" w14:textId="3E6AC2D1" w:rsidR="00CE2D95" w:rsidRDefault="00CE2D95" w:rsidP="00AD5F1B">
      <w:pPr>
        <w:pStyle w:val="ListParagraph"/>
        <w:numPr>
          <w:ilvl w:val="0"/>
          <w:numId w:val="10"/>
        </w:numPr>
        <w:spacing w:after="0"/>
        <w:ind w:left="714" w:hanging="357"/>
        <w:rPr>
          <w:rFonts w:eastAsia="Calibri" w:cs="Times New Roman"/>
          <w:noProof/>
        </w:rPr>
      </w:pPr>
      <w:r>
        <w:rPr>
          <w:rFonts w:eastAsia="Calibri" w:cs="Times New Roman"/>
          <w:noProof/>
        </w:rPr>
        <w:t xml:space="preserve">The fundamental underlying problem is that the market </w:t>
      </w:r>
      <w:r w:rsidR="009C71F9">
        <w:rPr>
          <w:rFonts w:eastAsia="Calibri" w:cs="Times New Roman"/>
          <w:noProof/>
        </w:rPr>
        <w:t xml:space="preserve">will not </w:t>
      </w:r>
      <w:r>
        <w:rPr>
          <w:rFonts w:eastAsia="Calibri" w:cs="Times New Roman"/>
          <w:noProof/>
        </w:rPr>
        <w:t>deliver</w:t>
      </w:r>
      <w:r w:rsidR="00064E59">
        <w:rPr>
          <w:rFonts w:eastAsia="Calibri" w:cs="Times New Roman"/>
          <w:noProof/>
        </w:rPr>
        <w:t xml:space="preserve"> </w:t>
      </w:r>
      <w:r>
        <w:rPr>
          <w:rFonts w:eastAsia="Calibri" w:cs="Times New Roman"/>
          <w:noProof/>
        </w:rPr>
        <w:t xml:space="preserve">the </w:t>
      </w:r>
      <w:r w:rsidR="00064E59">
        <w:rPr>
          <w:rFonts w:eastAsia="Calibri" w:cs="Times New Roman"/>
          <w:noProof/>
        </w:rPr>
        <w:t>possible emission savings</w:t>
      </w:r>
      <w:r>
        <w:rPr>
          <w:rFonts w:eastAsia="Calibri" w:cs="Times New Roman"/>
          <w:noProof/>
        </w:rPr>
        <w:t xml:space="preserve"> </w:t>
      </w:r>
      <w:r w:rsidR="009C71F9">
        <w:rPr>
          <w:rFonts w:eastAsia="Calibri" w:cs="Times New Roman"/>
          <w:noProof/>
        </w:rPr>
        <w:t>without policy intervention</w:t>
      </w:r>
      <w:r w:rsidR="00064E59">
        <w:rPr>
          <w:rFonts w:eastAsia="Calibri" w:cs="Times New Roman"/>
          <w:noProof/>
        </w:rPr>
        <w:t xml:space="preserve"> (market failure)</w:t>
      </w:r>
      <w:r w:rsidR="00B8106A">
        <w:rPr>
          <w:rFonts w:eastAsia="Calibri" w:cs="Times New Roman"/>
          <w:noProof/>
        </w:rPr>
        <w:t>, due to a number of factors including upfront costs (even though there are energy savings during the project lifetime) and unwillingness to move away from past technologies.</w:t>
      </w:r>
      <w:r>
        <w:rPr>
          <w:rFonts w:eastAsia="Calibri" w:cs="Times New Roman"/>
          <w:noProof/>
        </w:rPr>
        <w:t xml:space="preserve"> </w:t>
      </w:r>
    </w:p>
    <w:p w14:paraId="281868E9" w14:textId="61CC3D49" w:rsidR="00B56C5F" w:rsidRPr="00B56C5F" w:rsidRDefault="00643D75" w:rsidP="00B56C5F">
      <w:pPr>
        <w:pStyle w:val="ListParagraph"/>
        <w:numPr>
          <w:ilvl w:val="0"/>
          <w:numId w:val="10"/>
        </w:numPr>
        <w:ind w:left="714" w:hanging="357"/>
        <w:rPr>
          <w:rFonts w:eastAsia="Calibri" w:cs="Times New Roman"/>
          <w:bCs/>
          <w:noProof/>
        </w:rPr>
      </w:pPr>
      <w:r>
        <w:rPr>
          <w:rFonts w:eastAsia="Calibri" w:cs="Times New Roman"/>
          <w:noProof/>
        </w:rPr>
        <w:t>N</w:t>
      </w:r>
      <w:r w:rsidR="00E365BA">
        <w:rPr>
          <w:rFonts w:eastAsia="Calibri" w:cs="Times New Roman"/>
          <w:noProof/>
        </w:rPr>
        <w:t xml:space="preserve">o </w:t>
      </w:r>
      <w:r>
        <w:rPr>
          <w:rFonts w:eastAsia="Calibri" w:cs="Times New Roman"/>
          <w:noProof/>
        </w:rPr>
        <w:t xml:space="preserve">quota </w:t>
      </w:r>
      <w:r w:rsidR="00E365BA">
        <w:rPr>
          <w:rFonts w:eastAsia="Calibri" w:cs="Times New Roman"/>
          <w:noProof/>
        </w:rPr>
        <w:t xml:space="preserve">limits </w:t>
      </w:r>
      <w:r>
        <w:rPr>
          <w:rFonts w:eastAsia="Calibri" w:cs="Times New Roman"/>
          <w:noProof/>
        </w:rPr>
        <w:t xml:space="preserve">are </w:t>
      </w:r>
      <w:r w:rsidR="00E365BA">
        <w:rPr>
          <w:rFonts w:eastAsia="Calibri" w:cs="Times New Roman"/>
          <w:noProof/>
        </w:rPr>
        <w:t>set after 2030</w:t>
      </w:r>
      <w:r w:rsidR="00505C7A">
        <w:rPr>
          <w:rFonts w:eastAsia="Calibri" w:cs="Times New Roman"/>
          <w:noProof/>
        </w:rPr>
        <w:t xml:space="preserve"> and t</w:t>
      </w:r>
      <w:r w:rsidR="00505C7A" w:rsidRPr="00E365BA">
        <w:rPr>
          <w:rFonts w:eastAsia="Calibri" w:cs="Times New Roman"/>
          <w:noProof/>
        </w:rPr>
        <w:t xml:space="preserve">he </w:t>
      </w:r>
      <w:r w:rsidR="00505C7A">
        <w:rPr>
          <w:rFonts w:eastAsia="Calibri" w:cs="Times New Roman"/>
          <w:noProof/>
        </w:rPr>
        <w:t xml:space="preserve">allowed </w:t>
      </w:r>
      <w:r w:rsidR="001C6DFA">
        <w:rPr>
          <w:rFonts w:eastAsia="Calibri" w:cs="Times New Roman"/>
          <w:noProof/>
        </w:rPr>
        <w:t xml:space="preserve">total quota </w:t>
      </w:r>
      <w:r w:rsidR="00505C7A">
        <w:rPr>
          <w:rFonts w:eastAsia="Calibri" w:cs="Times New Roman"/>
          <w:noProof/>
        </w:rPr>
        <w:t xml:space="preserve">of HFCs is higher than needed </w:t>
      </w:r>
      <w:r w:rsidR="00B56C5F">
        <w:rPr>
          <w:rFonts w:eastAsia="Calibri" w:cs="Times New Roman"/>
          <w:noProof/>
        </w:rPr>
        <w:t>(i.e. too much HFCs are allowed even where alternatives could be used instead).</w:t>
      </w:r>
      <w:r w:rsidR="00B56C5F" w:rsidRPr="00B56C5F">
        <w:rPr>
          <w:rFonts w:eastAsia="Calibri" w:cs="Times New Roman"/>
          <w:noProof/>
        </w:rPr>
        <w:t xml:space="preserve"> </w:t>
      </w:r>
      <w:r w:rsidR="00B56C5F">
        <w:rPr>
          <w:rFonts w:eastAsia="Calibri" w:cs="Times New Roman"/>
          <w:noProof/>
        </w:rPr>
        <w:t xml:space="preserve">As </w:t>
      </w:r>
      <w:r w:rsidR="00B56C5F">
        <w:rPr>
          <w:rFonts w:eastAsia="Calibri" w:cs="Times New Roman"/>
          <w:bCs/>
          <w:noProof/>
        </w:rPr>
        <w:t>the quota system is based on a modelling exercise using existing technologies in 2011,</w:t>
      </w:r>
      <w:r w:rsidR="00B56C5F" w:rsidRPr="005010F2">
        <w:rPr>
          <w:rFonts w:eastAsia="Calibri" w:cs="Times New Roman"/>
          <w:bCs/>
          <w:noProof/>
        </w:rPr>
        <w:t xml:space="preserve"> </w:t>
      </w:r>
      <w:r w:rsidR="00B56C5F">
        <w:rPr>
          <w:rFonts w:eastAsia="Calibri" w:cs="Times New Roman"/>
          <w:noProof/>
        </w:rPr>
        <w:t>F-gas a</w:t>
      </w:r>
      <w:r w:rsidR="00B56C5F" w:rsidRPr="00E365BA">
        <w:rPr>
          <w:rFonts w:eastAsia="Calibri" w:cs="Times New Roman"/>
          <w:noProof/>
        </w:rPr>
        <w:t xml:space="preserve">ppliances </w:t>
      </w:r>
      <w:r w:rsidR="00B56C5F">
        <w:rPr>
          <w:rFonts w:eastAsia="Calibri" w:cs="Times New Roman"/>
          <w:noProof/>
        </w:rPr>
        <w:t xml:space="preserve">that could easily use </w:t>
      </w:r>
      <w:r w:rsidR="00B56C5F" w:rsidRPr="00E365BA">
        <w:rPr>
          <w:rFonts w:eastAsia="Calibri" w:cs="Times New Roman"/>
          <w:noProof/>
        </w:rPr>
        <w:t xml:space="preserve">alternatives </w:t>
      </w:r>
      <w:r w:rsidR="00064E59">
        <w:rPr>
          <w:rFonts w:eastAsia="Calibri" w:cs="Times New Roman"/>
          <w:noProof/>
        </w:rPr>
        <w:t xml:space="preserve">today </w:t>
      </w:r>
      <w:r w:rsidR="00B56C5F">
        <w:rPr>
          <w:rFonts w:eastAsia="Calibri" w:cs="Times New Roman"/>
          <w:noProof/>
        </w:rPr>
        <w:t>are not sufficiently forced to do so</w:t>
      </w:r>
      <w:r w:rsidR="00064E59">
        <w:rPr>
          <w:rFonts w:eastAsia="Calibri" w:cs="Times New Roman"/>
          <w:noProof/>
        </w:rPr>
        <w:t>.</w:t>
      </w:r>
      <w:r w:rsidR="00064E59" w:rsidRPr="00064E59">
        <w:rPr>
          <w:rFonts w:eastAsia="Calibri" w:cs="Times New Roman"/>
          <w:noProof/>
        </w:rPr>
        <w:t xml:space="preserve"> </w:t>
      </w:r>
      <w:r w:rsidR="00064E59">
        <w:rPr>
          <w:rFonts w:eastAsia="Calibri" w:cs="Times New Roman"/>
          <w:noProof/>
        </w:rPr>
        <w:t xml:space="preserve">HFC uses </w:t>
      </w:r>
      <w:r w:rsidR="00064E59" w:rsidRPr="00E365BA">
        <w:rPr>
          <w:rFonts w:eastAsia="Calibri" w:cs="Times New Roman"/>
          <w:noProof/>
        </w:rPr>
        <w:t xml:space="preserve">exempted </w:t>
      </w:r>
      <w:r w:rsidR="00064E59">
        <w:rPr>
          <w:rFonts w:eastAsia="Calibri" w:cs="Times New Roman"/>
          <w:noProof/>
        </w:rPr>
        <w:t xml:space="preserve">from quota are not subject to any </w:t>
      </w:r>
      <w:r w:rsidR="00064E59" w:rsidRPr="00E365BA">
        <w:rPr>
          <w:rFonts w:eastAsia="Calibri" w:cs="Times New Roman"/>
          <w:noProof/>
        </w:rPr>
        <w:t>limitation</w:t>
      </w:r>
      <w:r w:rsidR="00064E59">
        <w:rPr>
          <w:rFonts w:eastAsia="Calibri" w:cs="Times New Roman"/>
          <w:noProof/>
        </w:rPr>
        <w:t xml:space="preserve"> (</w:t>
      </w:r>
      <w:r w:rsidR="00F86647">
        <w:rPr>
          <w:rFonts w:eastAsia="Calibri" w:cs="Times New Roman"/>
          <w:noProof/>
        </w:rPr>
        <w:t>e.g.</w:t>
      </w:r>
      <w:r w:rsidR="00064E59">
        <w:rPr>
          <w:rFonts w:eastAsia="Calibri" w:cs="Times New Roman"/>
          <w:noProof/>
        </w:rPr>
        <w:t xml:space="preserve"> MDIs).</w:t>
      </w:r>
    </w:p>
    <w:p w14:paraId="4C7ED344" w14:textId="23A10C24" w:rsidR="00064E59" w:rsidRDefault="005010F2" w:rsidP="00064E59">
      <w:pPr>
        <w:pStyle w:val="ListParagraph"/>
        <w:numPr>
          <w:ilvl w:val="0"/>
          <w:numId w:val="10"/>
        </w:numPr>
        <w:spacing w:after="0"/>
        <w:ind w:left="714" w:hanging="357"/>
        <w:contextualSpacing w:val="0"/>
        <w:rPr>
          <w:rFonts w:eastAsia="Calibri" w:cs="Times New Roman"/>
          <w:noProof/>
        </w:rPr>
      </w:pPr>
      <w:r w:rsidRPr="005010F2">
        <w:rPr>
          <w:rFonts w:eastAsia="Calibri" w:cs="Times New Roman"/>
          <w:bCs/>
          <w:noProof/>
        </w:rPr>
        <w:t xml:space="preserve">The evaluation also identified other areas with potential for reducing F-gas </w:t>
      </w:r>
      <w:r w:rsidR="00064E59">
        <w:rPr>
          <w:rFonts w:eastAsia="Calibri" w:cs="Times New Roman"/>
          <w:bCs/>
          <w:noProof/>
        </w:rPr>
        <w:t xml:space="preserve">use and thus </w:t>
      </w:r>
      <w:r w:rsidRPr="005010F2">
        <w:rPr>
          <w:rFonts w:eastAsia="Calibri" w:cs="Times New Roman"/>
          <w:bCs/>
          <w:noProof/>
        </w:rPr>
        <w:t>emissions, e.g. inhalation anaesthetics as well as SF</w:t>
      </w:r>
      <w:r w:rsidRPr="00064E59">
        <w:rPr>
          <w:rFonts w:eastAsia="Calibri" w:cs="Times New Roman"/>
          <w:bCs/>
          <w:noProof/>
          <w:vertAlign w:val="subscript"/>
        </w:rPr>
        <w:t>6</w:t>
      </w:r>
      <w:r w:rsidRPr="005010F2">
        <w:rPr>
          <w:rFonts w:eastAsia="Calibri" w:cs="Times New Roman"/>
          <w:bCs/>
          <w:noProof/>
        </w:rPr>
        <w:t xml:space="preserve"> in switchgear (see A5.6.3)</w:t>
      </w:r>
      <w:r w:rsidR="00B56C5F">
        <w:rPr>
          <w:rFonts w:eastAsia="Calibri" w:cs="Times New Roman"/>
          <w:bCs/>
          <w:noProof/>
        </w:rPr>
        <w:t>, where there is no direct policy driver in place</w:t>
      </w:r>
      <w:r w:rsidRPr="005010F2">
        <w:rPr>
          <w:rFonts w:eastAsia="Calibri" w:cs="Times New Roman"/>
          <w:bCs/>
          <w:noProof/>
        </w:rPr>
        <w:t>.</w:t>
      </w:r>
      <w:r w:rsidR="00B41771">
        <w:rPr>
          <w:rFonts w:eastAsia="Calibri" w:cs="Times New Roman"/>
          <w:noProof/>
        </w:rPr>
        <w:t xml:space="preserve"> </w:t>
      </w:r>
    </w:p>
    <w:p w14:paraId="39E24F19" w14:textId="75A0BF2C" w:rsidR="00064E59" w:rsidRDefault="00064E59" w:rsidP="00064E59">
      <w:pPr>
        <w:pStyle w:val="ListParagraph"/>
        <w:numPr>
          <w:ilvl w:val="0"/>
          <w:numId w:val="10"/>
        </w:numPr>
        <w:spacing w:after="0"/>
        <w:ind w:left="714" w:hanging="357"/>
        <w:contextualSpacing w:val="0"/>
        <w:rPr>
          <w:rFonts w:eastAsia="Calibri" w:cs="Times New Roman"/>
          <w:noProof/>
        </w:rPr>
      </w:pPr>
      <w:r w:rsidRPr="00064E59">
        <w:rPr>
          <w:rFonts w:eastAsia="Calibri" w:cs="Times New Roman"/>
          <w:noProof/>
        </w:rPr>
        <w:t>The general obligation to limit F-gas emissions does not cover all relevant F-gases or actors.</w:t>
      </w:r>
    </w:p>
    <w:p w14:paraId="53E319A3" w14:textId="6EC4C880" w:rsidR="00064E59" w:rsidRPr="005577AE" w:rsidRDefault="00064E59" w:rsidP="00064E59">
      <w:pPr>
        <w:pStyle w:val="ListParagraph"/>
        <w:numPr>
          <w:ilvl w:val="0"/>
          <w:numId w:val="10"/>
        </w:numPr>
        <w:spacing w:after="120"/>
        <w:ind w:left="714" w:hanging="357"/>
        <w:contextualSpacing w:val="0"/>
        <w:rPr>
          <w:rFonts w:eastAsia="Calibri" w:cs="Times New Roman"/>
          <w:noProof/>
        </w:rPr>
      </w:pPr>
      <w:r>
        <w:rPr>
          <w:rFonts w:eastAsia="Calibri" w:cs="Times New Roman"/>
          <w:noProof/>
        </w:rPr>
        <w:t>T</w:t>
      </w:r>
      <w:r w:rsidRPr="00E365BA">
        <w:rPr>
          <w:rFonts w:eastAsia="Calibri" w:cs="Times New Roman"/>
          <w:noProof/>
        </w:rPr>
        <w:t xml:space="preserve">here is no clear obligation </w:t>
      </w:r>
      <w:r>
        <w:rPr>
          <w:rFonts w:eastAsia="Calibri" w:cs="Times New Roman"/>
          <w:noProof/>
        </w:rPr>
        <w:t xml:space="preserve">to </w:t>
      </w:r>
      <w:r w:rsidRPr="00E365BA">
        <w:rPr>
          <w:rFonts w:eastAsia="Calibri" w:cs="Times New Roman"/>
          <w:noProof/>
        </w:rPr>
        <w:t>recover HFCs from insulation foams</w:t>
      </w:r>
      <w:r>
        <w:rPr>
          <w:rFonts w:eastAsia="Calibri" w:cs="Times New Roman"/>
          <w:noProof/>
        </w:rPr>
        <w:t xml:space="preserve"> at the end of life</w:t>
      </w:r>
      <w:r w:rsidRPr="00643D75">
        <w:rPr>
          <w:rFonts w:eastAsia="Calibri" w:cs="Times New Roman"/>
          <w:noProof/>
        </w:rPr>
        <w:t>.</w:t>
      </w:r>
    </w:p>
    <w:p w14:paraId="04374A64" w14:textId="0B216B6A" w:rsidR="00A14107" w:rsidRDefault="00BC4357" w:rsidP="00AD5F1B">
      <w:pPr>
        <w:pStyle w:val="ListParagraph"/>
        <w:numPr>
          <w:ilvl w:val="5"/>
          <w:numId w:val="4"/>
        </w:numPr>
        <w:spacing w:after="120"/>
        <w:rPr>
          <w:rFonts w:cs="Times New Roman"/>
          <w:noProof/>
        </w:rPr>
      </w:pPr>
      <w:r>
        <w:rPr>
          <w:rFonts w:cs="Times New Roman"/>
          <w:noProof/>
        </w:rPr>
        <w:t xml:space="preserve"> </w:t>
      </w:r>
      <w:r w:rsidR="3982CBDC" w:rsidRPr="3982CBDC">
        <w:rPr>
          <w:rFonts w:cs="Times New Roman"/>
          <w:noProof/>
        </w:rPr>
        <w:t>How the problem will evolve</w:t>
      </w:r>
    </w:p>
    <w:p w14:paraId="68E8CA5E" w14:textId="767E9BA1" w:rsidR="00106718" w:rsidRPr="00BE465B" w:rsidRDefault="00064E59" w:rsidP="005478C5">
      <w:pPr>
        <w:spacing w:after="120"/>
        <w:rPr>
          <w:rFonts w:cs="Times New Roman"/>
          <w:noProof/>
        </w:rPr>
      </w:pPr>
      <w:r>
        <w:rPr>
          <w:rFonts w:cs="Times New Roman"/>
          <w:noProof/>
        </w:rPr>
        <w:t>An u</w:t>
      </w:r>
      <w:r w:rsidR="00301453" w:rsidRPr="3982CBDC">
        <w:rPr>
          <w:rFonts w:cs="Times New Roman"/>
          <w:noProof/>
        </w:rPr>
        <w:t>nnecessarily high use of</w:t>
      </w:r>
      <w:r w:rsidR="00A8526A">
        <w:rPr>
          <w:rFonts w:cs="Times New Roman"/>
          <w:noProof/>
        </w:rPr>
        <w:t xml:space="preserve"> F-gases</w:t>
      </w:r>
      <w:r w:rsidR="00301453" w:rsidRPr="3982CBDC">
        <w:rPr>
          <w:rFonts w:cs="Times New Roman"/>
          <w:noProof/>
        </w:rPr>
        <w:t xml:space="preserve"> will continue and have </w:t>
      </w:r>
      <w:r w:rsidR="00144543" w:rsidRPr="3982CBDC">
        <w:rPr>
          <w:rFonts w:cs="Times New Roman"/>
          <w:noProof/>
        </w:rPr>
        <w:t>lock-in effect</w:t>
      </w:r>
      <w:r w:rsidR="00301453" w:rsidRPr="3982CBDC">
        <w:rPr>
          <w:rFonts w:cs="Times New Roman"/>
          <w:noProof/>
        </w:rPr>
        <w:t xml:space="preserve">s for a </w:t>
      </w:r>
      <w:r w:rsidR="00144543" w:rsidRPr="3982CBDC">
        <w:rPr>
          <w:rFonts w:cs="Times New Roman"/>
          <w:noProof/>
        </w:rPr>
        <w:t xml:space="preserve">considerable amount of time </w:t>
      </w:r>
      <w:r w:rsidR="00301453" w:rsidRPr="3982CBDC">
        <w:rPr>
          <w:rFonts w:cs="Times New Roman"/>
          <w:noProof/>
        </w:rPr>
        <w:t xml:space="preserve">due to </w:t>
      </w:r>
      <w:r w:rsidR="003D7EAA">
        <w:rPr>
          <w:rFonts w:cs="Times New Roman"/>
          <w:noProof/>
        </w:rPr>
        <w:t xml:space="preserve">equipment </w:t>
      </w:r>
      <w:r w:rsidR="00144543" w:rsidRPr="3982CBDC">
        <w:rPr>
          <w:rFonts w:cs="Times New Roman"/>
          <w:noProof/>
        </w:rPr>
        <w:t xml:space="preserve">servicing </w:t>
      </w:r>
      <w:r w:rsidR="003A18A7" w:rsidRPr="3982CBDC">
        <w:rPr>
          <w:rFonts w:cs="Times New Roman"/>
          <w:noProof/>
        </w:rPr>
        <w:t>needs and long equipment lifetimes</w:t>
      </w:r>
      <w:r w:rsidR="00687D2D" w:rsidRPr="3982CBDC">
        <w:rPr>
          <w:rFonts w:cs="Times New Roman"/>
          <w:noProof/>
        </w:rPr>
        <w:t xml:space="preserve">. This </w:t>
      </w:r>
      <w:r w:rsidR="00144543" w:rsidRPr="3982CBDC">
        <w:rPr>
          <w:rFonts w:cs="Times New Roman"/>
          <w:noProof/>
        </w:rPr>
        <w:t xml:space="preserve">will lead to </w:t>
      </w:r>
      <w:r w:rsidR="00F83664">
        <w:rPr>
          <w:rFonts w:cs="Times New Roman"/>
          <w:noProof/>
        </w:rPr>
        <w:t xml:space="preserve">future </w:t>
      </w:r>
      <w:r w:rsidR="00A8526A">
        <w:rPr>
          <w:rFonts w:cs="Times New Roman"/>
          <w:noProof/>
        </w:rPr>
        <w:t xml:space="preserve">F-gas </w:t>
      </w:r>
      <w:r w:rsidR="00144543" w:rsidRPr="3982CBDC">
        <w:rPr>
          <w:rFonts w:cs="Times New Roman"/>
          <w:noProof/>
        </w:rPr>
        <w:t>emissions</w:t>
      </w:r>
      <w:r w:rsidR="003D7EAA">
        <w:rPr>
          <w:rFonts w:cs="Times New Roman"/>
          <w:noProof/>
        </w:rPr>
        <w:t xml:space="preserve"> that could be avoided</w:t>
      </w:r>
      <w:r w:rsidR="00144543" w:rsidRPr="3982CBDC">
        <w:rPr>
          <w:rFonts w:cs="Times New Roman"/>
          <w:noProof/>
        </w:rPr>
        <w:t xml:space="preserve">. </w:t>
      </w:r>
      <w:r w:rsidR="005478C5">
        <w:rPr>
          <w:rFonts w:cs="Times New Roman"/>
          <w:noProof/>
        </w:rPr>
        <w:t>A</w:t>
      </w:r>
      <w:r w:rsidR="005478C5" w:rsidRPr="3982CBDC">
        <w:rPr>
          <w:rFonts w:cs="Times New Roman"/>
          <w:noProof/>
        </w:rPr>
        <w:t xml:space="preserve">ssuming that </w:t>
      </w:r>
      <w:r w:rsidR="005478C5">
        <w:rPr>
          <w:rFonts w:cs="Times New Roman"/>
          <w:noProof/>
        </w:rPr>
        <w:t xml:space="preserve">the quota limit in </w:t>
      </w:r>
      <w:r w:rsidR="005478C5" w:rsidRPr="3982CBDC">
        <w:rPr>
          <w:rFonts w:cs="Times New Roman"/>
          <w:noProof/>
        </w:rPr>
        <w:t xml:space="preserve">2030 is </w:t>
      </w:r>
      <w:r w:rsidR="005478C5">
        <w:rPr>
          <w:rFonts w:cs="Times New Roman"/>
          <w:noProof/>
        </w:rPr>
        <w:t xml:space="preserve">not exceeded </w:t>
      </w:r>
      <w:r w:rsidR="005478C5" w:rsidRPr="3982CBDC">
        <w:rPr>
          <w:rFonts w:cs="Times New Roman"/>
          <w:noProof/>
        </w:rPr>
        <w:t xml:space="preserve">until 2050 </w:t>
      </w:r>
      <w:r w:rsidR="005478C5">
        <w:rPr>
          <w:rFonts w:cs="Times New Roman"/>
          <w:noProof/>
        </w:rPr>
        <w:t xml:space="preserve">(despite the </w:t>
      </w:r>
      <w:r w:rsidR="00B56C5F">
        <w:rPr>
          <w:rFonts w:cs="Times New Roman"/>
          <w:noProof/>
        </w:rPr>
        <w:t xml:space="preserve">current </w:t>
      </w:r>
      <w:r w:rsidR="005478C5">
        <w:rPr>
          <w:rFonts w:cs="Times New Roman"/>
          <w:noProof/>
        </w:rPr>
        <w:t>lack of a legal limit</w:t>
      </w:r>
      <w:r w:rsidR="004C4959">
        <w:rPr>
          <w:rFonts w:cs="Times New Roman"/>
          <w:noProof/>
        </w:rPr>
        <w:t xml:space="preserve"> for that time </w:t>
      </w:r>
      <w:r w:rsidR="00E20564">
        <w:rPr>
          <w:rFonts w:cs="Times New Roman"/>
          <w:noProof/>
        </w:rPr>
        <w:t>horizon</w:t>
      </w:r>
      <w:r w:rsidR="005478C5">
        <w:rPr>
          <w:rFonts w:cs="Times New Roman"/>
          <w:noProof/>
        </w:rPr>
        <w:t>), t</w:t>
      </w:r>
      <w:r w:rsidR="007A7143" w:rsidRPr="3982CBDC">
        <w:rPr>
          <w:rFonts w:cs="Times New Roman"/>
          <w:noProof/>
        </w:rPr>
        <w:t xml:space="preserve">he </w:t>
      </w:r>
      <w:r w:rsidR="005577AE">
        <w:rPr>
          <w:rFonts w:cs="Times New Roman"/>
          <w:noProof/>
        </w:rPr>
        <w:t xml:space="preserve">annual </w:t>
      </w:r>
      <w:r w:rsidR="007A7143" w:rsidRPr="3982CBDC">
        <w:rPr>
          <w:rFonts w:cs="Times New Roman"/>
          <w:noProof/>
        </w:rPr>
        <w:t xml:space="preserve">baseline </w:t>
      </w:r>
      <w:r w:rsidR="00B45888" w:rsidRPr="3982CBDC">
        <w:rPr>
          <w:rFonts w:cs="Times New Roman"/>
          <w:noProof/>
        </w:rPr>
        <w:t>e</w:t>
      </w:r>
      <w:r w:rsidR="0062360D" w:rsidRPr="3982CBDC">
        <w:rPr>
          <w:rFonts w:cs="Times New Roman"/>
          <w:noProof/>
        </w:rPr>
        <w:t>missions will decrease to about 4</w:t>
      </w:r>
      <w:r w:rsidR="00A35638" w:rsidRPr="3982CBDC">
        <w:rPr>
          <w:rFonts w:cs="Times New Roman"/>
          <w:noProof/>
        </w:rPr>
        <w:t>4</w:t>
      </w:r>
      <w:r w:rsidR="0062360D" w:rsidRPr="3982CBDC">
        <w:rPr>
          <w:rFonts w:cs="Times New Roman"/>
          <w:noProof/>
        </w:rPr>
        <w:t xml:space="preserve"> MtCO2e by 2030</w:t>
      </w:r>
      <w:r w:rsidR="00446290" w:rsidRPr="3982CBDC">
        <w:rPr>
          <w:rFonts w:cs="Times New Roman"/>
          <w:noProof/>
        </w:rPr>
        <w:t xml:space="preserve"> and 27 Mt</w:t>
      </w:r>
      <w:r w:rsidR="00B45888" w:rsidRPr="3982CBDC">
        <w:rPr>
          <w:rFonts w:cs="Times New Roman"/>
          <w:noProof/>
        </w:rPr>
        <w:t>CO</w:t>
      </w:r>
      <w:r w:rsidR="00446290" w:rsidRPr="3982CBDC">
        <w:rPr>
          <w:rFonts w:cs="Times New Roman"/>
          <w:noProof/>
        </w:rPr>
        <w:t>2</w:t>
      </w:r>
      <w:r w:rsidR="007A7143" w:rsidRPr="3982CBDC">
        <w:rPr>
          <w:rFonts w:cs="Times New Roman"/>
          <w:noProof/>
        </w:rPr>
        <w:t>e</w:t>
      </w:r>
      <w:r w:rsidR="005478C5">
        <w:rPr>
          <w:rFonts w:cs="Times New Roman"/>
          <w:noProof/>
        </w:rPr>
        <w:t xml:space="preserve"> by 2050</w:t>
      </w:r>
      <w:r w:rsidR="00B8106A">
        <w:rPr>
          <w:rFonts w:cs="Times New Roman"/>
          <w:noProof/>
        </w:rPr>
        <w:t>, from 92 MtCO2e in 2020</w:t>
      </w:r>
      <w:r w:rsidR="00377D9E" w:rsidRPr="3982CBDC">
        <w:rPr>
          <w:rFonts w:cs="Times New Roman"/>
          <w:noProof/>
        </w:rPr>
        <w:t>.</w:t>
      </w:r>
      <w:r w:rsidR="000A428D" w:rsidRPr="3982CBDC">
        <w:rPr>
          <w:rFonts w:cs="Times New Roman"/>
          <w:noProof/>
        </w:rPr>
        <w:t xml:space="preserve"> </w:t>
      </w:r>
      <w:r w:rsidR="00232EC0">
        <w:rPr>
          <w:rFonts w:cs="Times New Roman"/>
          <w:noProof/>
        </w:rPr>
        <w:t xml:space="preserve">The emissions will come </w:t>
      </w:r>
      <w:r w:rsidR="00E305FC">
        <w:rPr>
          <w:rFonts w:cs="Times New Roman"/>
          <w:noProof/>
        </w:rPr>
        <w:t xml:space="preserve">mostly </w:t>
      </w:r>
      <w:r w:rsidR="00232EC0">
        <w:rPr>
          <w:rFonts w:cs="Times New Roman"/>
          <w:noProof/>
        </w:rPr>
        <w:t xml:space="preserve">from </w:t>
      </w:r>
      <w:r w:rsidR="007A7143" w:rsidRPr="3982CBDC">
        <w:rPr>
          <w:rFonts w:cs="Times New Roman"/>
          <w:noProof/>
        </w:rPr>
        <w:t>switchgear (ca. 6 MtCO2e)</w:t>
      </w:r>
      <w:r w:rsidR="00E305FC">
        <w:rPr>
          <w:rFonts w:cs="Times New Roman"/>
          <w:noProof/>
        </w:rPr>
        <w:t xml:space="preserve">, </w:t>
      </w:r>
      <w:r w:rsidR="007A7143" w:rsidRPr="3982CBDC">
        <w:rPr>
          <w:rFonts w:cs="Times New Roman"/>
          <w:noProof/>
        </w:rPr>
        <w:t>MDIs (ca. 4</w:t>
      </w:r>
      <w:r w:rsidR="00106718" w:rsidRPr="3982CBDC">
        <w:rPr>
          <w:rFonts w:cs="Times New Roman"/>
          <w:noProof/>
        </w:rPr>
        <w:t xml:space="preserve"> MtCO2e)</w:t>
      </w:r>
      <w:r w:rsidR="00E305FC">
        <w:rPr>
          <w:rFonts w:cs="Times New Roman"/>
          <w:noProof/>
        </w:rPr>
        <w:t xml:space="preserve">, </w:t>
      </w:r>
      <w:r w:rsidR="00505C7A" w:rsidRPr="3982CBDC">
        <w:rPr>
          <w:rFonts w:cs="Times New Roman"/>
          <w:noProof/>
        </w:rPr>
        <w:t>stationary AC (ca. 8 MtCO2e in 2050)</w:t>
      </w:r>
      <w:r w:rsidR="00E305FC">
        <w:rPr>
          <w:rFonts w:cs="Times New Roman"/>
          <w:noProof/>
        </w:rPr>
        <w:t xml:space="preserve"> and mobile AC (ca. 5 MtCO2e)</w:t>
      </w:r>
      <w:r w:rsidR="00DD5385" w:rsidRPr="3982CBDC">
        <w:rPr>
          <w:rFonts w:cs="Times New Roman"/>
          <w:noProof/>
        </w:rPr>
        <w:t xml:space="preserve">. </w:t>
      </w:r>
      <w:r w:rsidR="00564F5A" w:rsidRPr="3982CBDC">
        <w:rPr>
          <w:rFonts w:cs="Times New Roman"/>
          <w:noProof/>
        </w:rPr>
        <w:t xml:space="preserve">Refrigeration is the only </w:t>
      </w:r>
      <w:r w:rsidR="00BE465B" w:rsidRPr="3982CBDC">
        <w:rPr>
          <w:rFonts w:cs="Times New Roman"/>
          <w:noProof/>
        </w:rPr>
        <w:t xml:space="preserve">major </w:t>
      </w:r>
      <w:r w:rsidR="00564F5A" w:rsidRPr="3982CBDC">
        <w:rPr>
          <w:rFonts w:cs="Times New Roman"/>
          <w:noProof/>
        </w:rPr>
        <w:t>sector wh</w:t>
      </w:r>
      <w:r w:rsidR="005577AE">
        <w:rPr>
          <w:rFonts w:cs="Times New Roman"/>
          <w:noProof/>
        </w:rPr>
        <w:t>ere emissions mostly disappear</w:t>
      </w:r>
      <w:r w:rsidR="00564F5A" w:rsidRPr="3982CBDC">
        <w:rPr>
          <w:rFonts w:cs="Times New Roman"/>
          <w:noProof/>
        </w:rPr>
        <w:t xml:space="preserve"> by 2050</w:t>
      </w:r>
      <w:r w:rsidR="005577AE">
        <w:rPr>
          <w:rFonts w:cs="Times New Roman"/>
          <w:noProof/>
        </w:rPr>
        <w:t xml:space="preserve"> (see Annex </w:t>
      </w:r>
      <w:r w:rsidR="00C66A21">
        <w:rPr>
          <w:rFonts w:cs="Times New Roman"/>
          <w:noProof/>
        </w:rPr>
        <w:t>A11.1</w:t>
      </w:r>
      <w:r w:rsidR="005577AE">
        <w:rPr>
          <w:rFonts w:cs="Times New Roman"/>
          <w:noProof/>
        </w:rPr>
        <w:t>).</w:t>
      </w:r>
      <w:r w:rsidR="00B65352">
        <w:rPr>
          <w:rStyle w:val="FootnoteReference"/>
          <w:rFonts w:cs="Times New Roman"/>
          <w:noProof/>
        </w:rPr>
        <w:footnoteReference w:id="32"/>
      </w:r>
    </w:p>
    <w:p w14:paraId="45A8556F" w14:textId="713EC1BF" w:rsidR="00B82CB9" w:rsidRPr="00B82CB9" w:rsidRDefault="00E04F0C" w:rsidP="00E04F0C">
      <w:pPr>
        <w:pStyle w:val="Heading3"/>
        <w:rPr>
          <w:rFonts w:eastAsiaTheme="minorEastAsia"/>
          <w:noProof/>
        </w:rPr>
      </w:pPr>
      <w:bookmarkStart w:id="54" w:name="_Toc94629492"/>
      <w:bookmarkStart w:id="55" w:name="_Toc98857736"/>
      <w:bookmarkStart w:id="56" w:name="_Toc88571899"/>
      <w:r w:rsidRPr="00E04F0C">
        <w:t>2.1.2.</w:t>
      </w:r>
      <w:r w:rsidRPr="00E04F0C">
        <w:tab/>
      </w:r>
      <w:r w:rsidR="001411E9">
        <w:rPr>
          <w:noProof/>
        </w:rPr>
        <w:t>Long-term c</w:t>
      </w:r>
      <w:r w:rsidR="3982CBDC">
        <w:rPr>
          <w:noProof/>
        </w:rPr>
        <w:t>ompliance issues with the Montreal Protocol</w:t>
      </w:r>
      <w:bookmarkEnd w:id="54"/>
      <w:bookmarkEnd w:id="55"/>
      <w:r w:rsidR="3982CBDC">
        <w:rPr>
          <w:noProof/>
        </w:rPr>
        <w:t xml:space="preserve"> </w:t>
      </w:r>
      <w:bookmarkEnd w:id="56"/>
    </w:p>
    <w:p w14:paraId="73136AF7" w14:textId="02E10250" w:rsidR="00482F3A" w:rsidRPr="00AA0577" w:rsidRDefault="00F863F3" w:rsidP="003D7EAA">
      <w:pPr>
        <w:spacing w:after="120"/>
        <w:rPr>
          <w:noProof/>
        </w:rPr>
      </w:pPr>
      <w:r>
        <w:rPr>
          <w:noProof/>
        </w:rPr>
        <w:t>T</w:t>
      </w:r>
      <w:r w:rsidR="00482F3A">
        <w:rPr>
          <w:noProof/>
        </w:rPr>
        <w:t xml:space="preserve">he evaluation found that the current </w:t>
      </w:r>
      <w:r w:rsidR="003D7EAA">
        <w:rPr>
          <w:b/>
          <w:noProof/>
        </w:rPr>
        <w:t>Regulation i</w:t>
      </w:r>
      <w:r w:rsidR="00482F3A" w:rsidRPr="003D7EAA">
        <w:rPr>
          <w:b/>
          <w:noProof/>
        </w:rPr>
        <w:t xml:space="preserve">s </w:t>
      </w:r>
      <w:r w:rsidR="00482F3A" w:rsidRPr="00AA0577">
        <w:rPr>
          <w:b/>
          <w:noProof/>
        </w:rPr>
        <w:t>not fully aligned</w:t>
      </w:r>
      <w:r w:rsidR="00482F3A" w:rsidRPr="003D7EAA">
        <w:rPr>
          <w:b/>
          <w:noProof/>
        </w:rPr>
        <w:t xml:space="preserve"> with the rules of the Montreal Protocol</w:t>
      </w:r>
      <w:r w:rsidR="00482F3A">
        <w:rPr>
          <w:noProof/>
        </w:rPr>
        <w:t xml:space="preserve"> and that for this reason long-term compliance was not ensured (see A5.6.4.1.1).</w:t>
      </w:r>
      <w:r w:rsidR="001411E9">
        <w:rPr>
          <w:noProof/>
        </w:rPr>
        <w:t xml:space="preserve"> </w:t>
      </w:r>
      <w:r>
        <w:rPr>
          <w:noProof/>
        </w:rPr>
        <w:t xml:space="preserve">Irrespective of the need to save more climate-relevant emissions to achieve </w:t>
      </w:r>
      <w:r w:rsidR="009C71F9">
        <w:rPr>
          <w:noProof/>
        </w:rPr>
        <w:t>the EU Climate targets</w:t>
      </w:r>
      <w:r>
        <w:rPr>
          <w:noProof/>
        </w:rPr>
        <w:t xml:space="preserve"> (2.1.1), non-compliance with the global rules must be avoided</w:t>
      </w:r>
      <w:r w:rsidR="003D7EAA">
        <w:rPr>
          <w:noProof/>
        </w:rPr>
        <w:t>,</w:t>
      </w:r>
      <w:r>
        <w:rPr>
          <w:noProof/>
        </w:rPr>
        <w:t xml:space="preserve"> since this </w:t>
      </w:r>
      <w:r w:rsidR="001411E9">
        <w:rPr>
          <w:noProof/>
        </w:rPr>
        <w:t xml:space="preserve">would imply </w:t>
      </w:r>
      <w:r w:rsidR="00566159">
        <w:rPr>
          <w:noProof/>
        </w:rPr>
        <w:t xml:space="preserve">clear </w:t>
      </w:r>
      <w:r w:rsidR="001411E9">
        <w:rPr>
          <w:noProof/>
        </w:rPr>
        <w:t xml:space="preserve">reputational losses </w:t>
      </w:r>
      <w:r>
        <w:rPr>
          <w:noProof/>
        </w:rPr>
        <w:t>for the EU, not least since</w:t>
      </w:r>
      <w:r w:rsidR="001411E9">
        <w:rPr>
          <w:noProof/>
        </w:rPr>
        <w:t xml:space="preserve"> the EU is a clear frontrunner in setting ambitious F-gas policies </w:t>
      </w:r>
      <w:r>
        <w:rPr>
          <w:noProof/>
        </w:rPr>
        <w:t xml:space="preserve">that </w:t>
      </w:r>
      <w:r w:rsidR="003D7EAA">
        <w:rPr>
          <w:noProof/>
        </w:rPr>
        <w:t xml:space="preserve">often </w:t>
      </w:r>
      <w:r>
        <w:rPr>
          <w:noProof/>
        </w:rPr>
        <w:t>serve as best practice example for the actions of</w:t>
      </w:r>
      <w:r w:rsidR="001411E9">
        <w:rPr>
          <w:noProof/>
        </w:rPr>
        <w:t xml:space="preserve"> many other countries. </w:t>
      </w:r>
    </w:p>
    <w:p w14:paraId="65E262A2" w14:textId="77777777" w:rsidR="00B82CB9" w:rsidRDefault="00B82CB9" w:rsidP="00BE465B">
      <w:pPr>
        <w:spacing w:after="120"/>
        <w:rPr>
          <w:noProof/>
        </w:rPr>
      </w:pPr>
      <w:r w:rsidRPr="00B82CB9">
        <w:rPr>
          <w:noProof/>
        </w:rPr>
        <w:t>(i)</w:t>
      </w:r>
      <w:r w:rsidRPr="00B82CB9">
        <w:rPr>
          <w:noProof/>
        </w:rPr>
        <w:tab/>
        <w:t>Status quo of the issue</w:t>
      </w:r>
    </w:p>
    <w:p w14:paraId="38EEBC7D" w14:textId="4C027617" w:rsidR="00221EFB" w:rsidRDefault="3982CBDC" w:rsidP="00AE6CA4">
      <w:pPr>
        <w:spacing w:after="120"/>
        <w:rPr>
          <w:noProof/>
        </w:rPr>
      </w:pPr>
      <w:r>
        <w:rPr>
          <w:noProof/>
        </w:rPr>
        <w:t xml:space="preserve">The </w:t>
      </w:r>
      <w:r w:rsidR="00C83D38">
        <w:rPr>
          <w:noProof/>
        </w:rPr>
        <w:t xml:space="preserve">following issues complicate future </w:t>
      </w:r>
      <w:r w:rsidR="003D7EAA">
        <w:rPr>
          <w:noProof/>
        </w:rPr>
        <w:t xml:space="preserve">EU </w:t>
      </w:r>
      <w:r w:rsidR="00C83D38">
        <w:rPr>
          <w:noProof/>
        </w:rPr>
        <w:t xml:space="preserve">compliance: </w:t>
      </w:r>
    </w:p>
    <w:p w14:paraId="444AA825" w14:textId="64D9DE7F" w:rsidR="00BC717A" w:rsidRDefault="00C83D38" w:rsidP="0017603A">
      <w:pPr>
        <w:pStyle w:val="ListParagraph"/>
        <w:numPr>
          <w:ilvl w:val="0"/>
          <w:numId w:val="97"/>
        </w:numPr>
        <w:spacing w:after="120"/>
        <w:rPr>
          <w:rFonts w:cs="Times New Roman"/>
          <w:noProof/>
        </w:rPr>
      </w:pPr>
      <w:r>
        <w:rPr>
          <w:rFonts w:cs="Times New Roman"/>
          <w:b/>
          <w:noProof/>
        </w:rPr>
        <w:t xml:space="preserve">The Protocol’s future targets on </w:t>
      </w:r>
      <w:r>
        <w:rPr>
          <w:b/>
          <w:noProof/>
        </w:rPr>
        <w:t>HFC c</w:t>
      </w:r>
      <w:r w:rsidRPr="00964DDC">
        <w:rPr>
          <w:b/>
          <w:noProof/>
        </w:rPr>
        <w:t>onsumption</w:t>
      </w:r>
      <w:r>
        <w:rPr>
          <w:rFonts w:cs="Times New Roman"/>
          <w:b/>
          <w:noProof/>
        </w:rPr>
        <w:t>.</w:t>
      </w:r>
      <w:r>
        <w:rPr>
          <w:rStyle w:val="FootnoteReference"/>
          <w:rFonts w:cs="Times New Roman"/>
          <w:b/>
          <w:noProof/>
        </w:rPr>
        <w:footnoteReference w:id="33"/>
      </w:r>
      <w:r>
        <w:rPr>
          <w:b/>
          <w:bCs/>
          <w:noProof/>
        </w:rPr>
        <w:t xml:space="preserve"> </w:t>
      </w:r>
      <w:r w:rsidR="00315A25" w:rsidRPr="00964DDC">
        <w:rPr>
          <w:iCs/>
          <w:noProof/>
        </w:rPr>
        <w:t>T</w:t>
      </w:r>
      <w:r w:rsidR="3982CBDC" w:rsidRPr="00964DDC">
        <w:rPr>
          <w:rFonts w:cs="Times New Roman"/>
          <w:noProof/>
        </w:rPr>
        <w:t xml:space="preserve">he </w:t>
      </w:r>
      <w:r w:rsidR="3982CBDC" w:rsidRPr="00BC717A">
        <w:rPr>
          <w:rFonts w:cs="Times New Roman"/>
          <w:bCs/>
          <w:noProof/>
        </w:rPr>
        <w:t>EU consumption</w:t>
      </w:r>
      <w:r w:rsidR="3982CBDC" w:rsidRPr="00964DDC">
        <w:rPr>
          <w:rFonts w:cs="Times New Roman"/>
          <w:b/>
          <w:bCs/>
          <w:noProof/>
        </w:rPr>
        <w:t xml:space="preserve"> </w:t>
      </w:r>
      <w:r w:rsidR="3982CBDC" w:rsidRPr="00964DDC">
        <w:rPr>
          <w:rFonts w:cs="Times New Roman"/>
          <w:noProof/>
        </w:rPr>
        <w:t xml:space="preserve">is </w:t>
      </w:r>
      <w:r>
        <w:rPr>
          <w:rFonts w:cs="Times New Roman"/>
          <w:noProof/>
        </w:rPr>
        <w:t>today</w:t>
      </w:r>
      <w:r w:rsidR="00BC717A">
        <w:rPr>
          <w:rFonts w:cs="Times New Roman"/>
          <w:noProof/>
        </w:rPr>
        <w:t xml:space="preserve"> </w:t>
      </w:r>
      <w:r w:rsidR="3982CBDC" w:rsidRPr="00964DDC">
        <w:rPr>
          <w:rFonts w:cs="Times New Roman"/>
          <w:noProof/>
        </w:rPr>
        <w:t>safely below the limit set in the Protocol</w:t>
      </w:r>
      <w:r>
        <w:rPr>
          <w:rFonts w:cs="Times New Roman"/>
          <w:noProof/>
        </w:rPr>
        <w:t xml:space="preserve"> but the quota system as currently regulated does</w:t>
      </w:r>
      <w:r w:rsidR="00EE7446">
        <w:rPr>
          <w:rFonts w:cs="Times New Roman"/>
          <w:noProof/>
        </w:rPr>
        <w:t xml:space="preserve"> not </w:t>
      </w:r>
      <w:r>
        <w:rPr>
          <w:rFonts w:cs="Times New Roman"/>
          <w:noProof/>
        </w:rPr>
        <w:t xml:space="preserve">continue </w:t>
      </w:r>
      <w:r w:rsidR="00EE7446">
        <w:rPr>
          <w:rFonts w:cs="Times New Roman"/>
          <w:noProof/>
        </w:rPr>
        <w:t>beyond 2030</w:t>
      </w:r>
      <w:r w:rsidR="00443050">
        <w:rPr>
          <w:rFonts w:cs="Times New Roman"/>
          <w:noProof/>
        </w:rPr>
        <w:t>.</w:t>
      </w:r>
      <w:r w:rsidR="00EE7446">
        <w:rPr>
          <w:rFonts w:cs="Times New Roman"/>
          <w:noProof/>
        </w:rPr>
        <w:t xml:space="preserve"> </w:t>
      </w:r>
      <w:r w:rsidR="003D7EAA">
        <w:rPr>
          <w:rFonts w:cs="Times New Roman"/>
          <w:noProof/>
        </w:rPr>
        <w:t>Simply e</w:t>
      </w:r>
      <w:r>
        <w:rPr>
          <w:rFonts w:cs="Times New Roman"/>
          <w:noProof/>
        </w:rPr>
        <w:t xml:space="preserve">xtending the current rules beyond 2030 may not be sufficient to meet the future </w:t>
      </w:r>
      <w:r w:rsidR="003D7EAA">
        <w:rPr>
          <w:rFonts w:cs="Times New Roman"/>
          <w:noProof/>
        </w:rPr>
        <w:t xml:space="preserve">Protocol </w:t>
      </w:r>
      <w:r>
        <w:rPr>
          <w:rFonts w:cs="Times New Roman"/>
          <w:noProof/>
        </w:rPr>
        <w:t>targets. This is linked to the fact that</w:t>
      </w:r>
      <w:r w:rsidR="00443050">
        <w:rPr>
          <w:rFonts w:cs="Times New Roman"/>
          <w:noProof/>
        </w:rPr>
        <w:t xml:space="preserve"> </w:t>
      </w:r>
      <w:r w:rsidR="00E305FC">
        <w:rPr>
          <w:rFonts w:cs="Times New Roman"/>
          <w:noProof/>
        </w:rPr>
        <w:t xml:space="preserve">the </w:t>
      </w:r>
      <w:r w:rsidR="00EE7446">
        <w:rPr>
          <w:rFonts w:cs="Times New Roman"/>
          <w:noProof/>
        </w:rPr>
        <w:t>quota system metric used by</w:t>
      </w:r>
      <w:r w:rsidR="00E305FC">
        <w:rPr>
          <w:rFonts w:cs="Times New Roman"/>
          <w:noProof/>
        </w:rPr>
        <w:t xml:space="preserve"> the Regulation (</w:t>
      </w:r>
      <w:r w:rsidR="00EE7446">
        <w:rPr>
          <w:rFonts w:cs="Times New Roman"/>
          <w:noProof/>
        </w:rPr>
        <w:t xml:space="preserve">i.e. </w:t>
      </w:r>
      <w:r w:rsidR="00E305FC">
        <w:rPr>
          <w:rFonts w:cs="Times New Roman"/>
          <w:noProof/>
        </w:rPr>
        <w:t>“placing on the market”) use</w:t>
      </w:r>
      <w:r w:rsidR="00EE7446">
        <w:rPr>
          <w:rFonts w:cs="Times New Roman"/>
          <w:noProof/>
        </w:rPr>
        <w:t xml:space="preserve">s other parameters than the </w:t>
      </w:r>
      <w:r w:rsidR="00E305FC">
        <w:rPr>
          <w:rFonts w:cs="Times New Roman"/>
          <w:noProof/>
        </w:rPr>
        <w:t xml:space="preserve">Protocol’s </w:t>
      </w:r>
      <w:r w:rsidR="00EE7446">
        <w:rPr>
          <w:rFonts w:cs="Times New Roman"/>
          <w:noProof/>
        </w:rPr>
        <w:t>“</w:t>
      </w:r>
      <w:r w:rsidR="00E305FC">
        <w:rPr>
          <w:rFonts w:cs="Times New Roman"/>
          <w:noProof/>
        </w:rPr>
        <w:t>consumption</w:t>
      </w:r>
      <w:r w:rsidR="00EE7446">
        <w:rPr>
          <w:rFonts w:cs="Times New Roman"/>
          <w:noProof/>
        </w:rPr>
        <w:t>”</w:t>
      </w:r>
      <w:r w:rsidR="00E305FC">
        <w:rPr>
          <w:rFonts w:cs="Times New Roman"/>
          <w:noProof/>
        </w:rPr>
        <w:t xml:space="preserve"> metric. For instance, </w:t>
      </w:r>
      <w:r w:rsidR="00EE7446">
        <w:rPr>
          <w:rFonts w:cs="Times New Roman"/>
          <w:noProof/>
        </w:rPr>
        <w:t>“</w:t>
      </w:r>
      <w:r w:rsidR="00E305FC">
        <w:rPr>
          <w:rFonts w:cs="Times New Roman"/>
          <w:noProof/>
        </w:rPr>
        <w:t>placing on the market</w:t>
      </w:r>
      <w:r w:rsidR="00EE7446">
        <w:rPr>
          <w:rFonts w:cs="Times New Roman"/>
          <w:noProof/>
        </w:rPr>
        <w:t>”</w:t>
      </w:r>
      <w:r w:rsidR="00E305FC">
        <w:rPr>
          <w:rFonts w:cs="Times New Roman"/>
          <w:noProof/>
        </w:rPr>
        <w:t xml:space="preserve"> includes some HFC </w:t>
      </w:r>
      <w:r w:rsidR="00EC6476">
        <w:rPr>
          <w:rFonts w:cs="Times New Roman"/>
          <w:noProof/>
        </w:rPr>
        <w:t>equipment, but exempts some HFCs</w:t>
      </w:r>
      <w:r w:rsidR="00E305FC">
        <w:rPr>
          <w:rFonts w:cs="Times New Roman"/>
          <w:noProof/>
        </w:rPr>
        <w:t xml:space="preserve"> (e.g. for MDI or other uses)</w:t>
      </w:r>
      <w:r w:rsidR="00EC6476">
        <w:rPr>
          <w:rFonts w:cs="Times New Roman"/>
          <w:noProof/>
        </w:rPr>
        <w:t xml:space="preserve"> that are fully counted under the Protocol</w:t>
      </w:r>
      <w:r w:rsidR="00E305FC">
        <w:rPr>
          <w:rFonts w:cs="Times New Roman"/>
          <w:noProof/>
        </w:rPr>
        <w:t xml:space="preserve">. </w:t>
      </w:r>
      <w:r w:rsidR="00EC6476">
        <w:rPr>
          <w:rFonts w:cs="Times New Roman"/>
          <w:noProof/>
        </w:rPr>
        <w:t xml:space="preserve">Depending on how these different parameters develop in the future (e.g. if </w:t>
      </w:r>
      <w:r w:rsidR="003D7EAA">
        <w:rPr>
          <w:rFonts w:cs="Times New Roman"/>
          <w:noProof/>
        </w:rPr>
        <w:t xml:space="preserve">HFCs used in </w:t>
      </w:r>
      <w:r w:rsidR="00EC6476">
        <w:rPr>
          <w:rFonts w:cs="Times New Roman"/>
          <w:noProof/>
        </w:rPr>
        <w:t>MDIs keep growing strongly</w:t>
      </w:r>
      <w:r w:rsidR="003D7EAA">
        <w:rPr>
          <w:rStyle w:val="FootnoteReference"/>
          <w:rFonts w:cs="Times New Roman"/>
          <w:noProof/>
        </w:rPr>
        <w:footnoteReference w:id="34"/>
      </w:r>
      <w:r w:rsidR="00EC6476">
        <w:rPr>
          <w:rFonts w:cs="Times New Roman"/>
          <w:noProof/>
        </w:rPr>
        <w:t>)</w:t>
      </w:r>
      <w:r>
        <w:rPr>
          <w:rFonts w:cs="Times New Roman"/>
          <w:noProof/>
        </w:rPr>
        <w:t xml:space="preserve">, EU compliance </w:t>
      </w:r>
      <w:r w:rsidR="00222234">
        <w:rPr>
          <w:rFonts w:cs="Times New Roman"/>
          <w:noProof/>
        </w:rPr>
        <w:t xml:space="preserve">on the </w:t>
      </w:r>
      <w:r w:rsidR="002E7FE4">
        <w:rPr>
          <w:rFonts w:cs="Times New Roman"/>
          <w:noProof/>
        </w:rPr>
        <w:t xml:space="preserve">Protocol’s </w:t>
      </w:r>
      <w:r w:rsidR="00222234">
        <w:rPr>
          <w:rFonts w:cs="Times New Roman"/>
          <w:noProof/>
        </w:rPr>
        <w:t xml:space="preserve">consumption limit </w:t>
      </w:r>
      <w:r>
        <w:rPr>
          <w:rFonts w:cs="Times New Roman"/>
          <w:noProof/>
        </w:rPr>
        <w:t>may be jeopard</w:t>
      </w:r>
      <w:r w:rsidR="003D7EAA">
        <w:rPr>
          <w:rFonts w:cs="Times New Roman"/>
          <w:noProof/>
        </w:rPr>
        <w:t>ised.</w:t>
      </w:r>
      <w:r w:rsidR="00C066AC" w:rsidRPr="00964DDC">
        <w:rPr>
          <w:rFonts w:cs="Times New Roman"/>
          <w:noProof/>
        </w:rPr>
        <w:t xml:space="preserve"> </w:t>
      </w:r>
      <w:r w:rsidR="009337FB">
        <w:rPr>
          <w:rFonts w:cs="Times New Roman"/>
          <w:noProof/>
        </w:rPr>
        <w:t>Also, the Regulation’s exemption from the quota system for small quantities is not aligned with the Protocol where no such exemption exists.</w:t>
      </w:r>
    </w:p>
    <w:p w14:paraId="4D93E444" w14:textId="7B6A033A" w:rsidR="00BC717A" w:rsidRDefault="00C83D38" w:rsidP="0017603A">
      <w:pPr>
        <w:pStyle w:val="ListParagraph"/>
        <w:numPr>
          <w:ilvl w:val="0"/>
          <w:numId w:val="97"/>
        </w:numPr>
        <w:spacing w:after="120"/>
        <w:rPr>
          <w:rFonts w:cs="Times New Roman"/>
          <w:noProof/>
        </w:rPr>
      </w:pPr>
      <w:r>
        <w:rPr>
          <w:b/>
          <w:bCs/>
          <w:noProof/>
        </w:rPr>
        <w:t xml:space="preserve">The </w:t>
      </w:r>
      <w:r w:rsidR="00222234">
        <w:rPr>
          <w:b/>
          <w:bCs/>
          <w:noProof/>
        </w:rPr>
        <w:t xml:space="preserve">Protocol’s separate limits for </w:t>
      </w:r>
      <w:r w:rsidR="000C3DEC" w:rsidRPr="00BC717A">
        <w:rPr>
          <w:b/>
          <w:bCs/>
          <w:noProof/>
        </w:rPr>
        <w:t xml:space="preserve">HFC </w:t>
      </w:r>
      <w:r w:rsidR="009575FE" w:rsidRPr="00BC717A">
        <w:rPr>
          <w:b/>
          <w:bCs/>
          <w:noProof/>
        </w:rPr>
        <w:t>p</w:t>
      </w:r>
      <w:r w:rsidR="00A1081E" w:rsidRPr="00BC717A">
        <w:rPr>
          <w:b/>
          <w:bCs/>
          <w:noProof/>
        </w:rPr>
        <w:t xml:space="preserve">roduction: </w:t>
      </w:r>
      <w:r w:rsidR="00315A25" w:rsidRPr="00BC717A">
        <w:rPr>
          <w:b/>
          <w:bCs/>
          <w:noProof/>
        </w:rPr>
        <w:t>There</w:t>
      </w:r>
      <w:r w:rsidR="00BC717A">
        <w:rPr>
          <w:b/>
          <w:noProof/>
        </w:rPr>
        <w:t xml:space="preserve"> are currently</w:t>
      </w:r>
      <w:r w:rsidR="007474DD" w:rsidRPr="00BC717A">
        <w:rPr>
          <w:b/>
          <w:noProof/>
        </w:rPr>
        <w:t xml:space="preserve"> </w:t>
      </w:r>
      <w:r w:rsidR="00221EFB" w:rsidRPr="00BC717A">
        <w:rPr>
          <w:b/>
          <w:bCs/>
          <w:noProof/>
        </w:rPr>
        <w:t xml:space="preserve">no </w:t>
      </w:r>
      <w:r w:rsidR="007474DD" w:rsidRPr="00BC717A">
        <w:rPr>
          <w:b/>
          <w:bCs/>
          <w:noProof/>
        </w:rPr>
        <w:t>specific</w:t>
      </w:r>
      <w:r w:rsidR="00221EFB" w:rsidRPr="00BC717A">
        <w:rPr>
          <w:b/>
          <w:bCs/>
          <w:noProof/>
        </w:rPr>
        <w:t xml:space="preserve"> </w:t>
      </w:r>
      <w:r w:rsidR="00221EFB" w:rsidRPr="00BC717A">
        <w:rPr>
          <w:rFonts w:cs="Times New Roman"/>
          <w:b/>
          <w:bCs/>
          <w:noProof/>
        </w:rPr>
        <w:t>p</w:t>
      </w:r>
      <w:r w:rsidR="00DF6024" w:rsidRPr="00BC717A">
        <w:rPr>
          <w:rFonts w:cs="Times New Roman"/>
          <w:b/>
          <w:bCs/>
          <w:noProof/>
        </w:rPr>
        <w:t>roductio</w:t>
      </w:r>
      <w:r w:rsidR="00FC30F4" w:rsidRPr="00BC717A">
        <w:rPr>
          <w:rFonts w:cs="Times New Roman"/>
          <w:b/>
          <w:bCs/>
          <w:noProof/>
        </w:rPr>
        <w:t xml:space="preserve">n </w:t>
      </w:r>
      <w:r w:rsidR="00221EFB" w:rsidRPr="00BC717A">
        <w:rPr>
          <w:rFonts w:cs="Times New Roman"/>
          <w:b/>
          <w:bCs/>
          <w:noProof/>
        </w:rPr>
        <w:t xml:space="preserve">limits in the </w:t>
      </w:r>
      <w:r w:rsidR="002A6D44" w:rsidRPr="00BC717A">
        <w:rPr>
          <w:rFonts w:cs="Times New Roman"/>
          <w:b/>
          <w:bCs/>
          <w:noProof/>
        </w:rPr>
        <w:t>EU</w:t>
      </w:r>
      <w:r w:rsidR="00BC717A">
        <w:rPr>
          <w:rStyle w:val="FootnoteReference"/>
          <w:rFonts w:cs="Times New Roman"/>
          <w:b/>
          <w:bCs/>
          <w:noProof/>
        </w:rPr>
        <w:footnoteReference w:id="35"/>
      </w:r>
      <w:r w:rsidR="00315A25" w:rsidRPr="00BC717A">
        <w:rPr>
          <w:rFonts w:cs="Times New Roman"/>
          <w:b/>
          <w:bCs/>
          <w:noProof/>
        </w:rPr>
        <w:t xml:space="preserve"> </w:t>
      </w:r>
      <w:r w:rsidR="00315A25" w:rsidRPr="00BC717A">
        <w:rPr>
          <w:rFonts w:cs="Times New Roman"/>
          <w:bCs/>
          <w:noProof/>
        </w:rPr>
        <w:t>and it</w:t>
      </w:r>
      <w:r w:rsidR="002A6D44" w:rsidRPr="00BC717A">
        <w:rPr>
          <w:rFonts w:cs="Times New Roman"/>
          <w:bCs/>
          <w:noProof/>
        </w:rPr>
        <w:t xml:space="preserve"> </w:t>
      </w:r>
      <w:r w:rsidR="00A1081E" w:rsidRPr="00BC717A">
        <w:rPr>
          <w:rFonts w:cs="Times New Roman"/>
          <w:noProof/>
        </w:rPr>
        <w:t xml:space="preserve">cannot </w:t>
      </w:r>
      <w:r w:rsidR="002A6D44" w:rsidRPr="00BC717A">
        <w:rPr>
          <w:rFonts w:cs="Times New Roman"/>
          <w:noProof/>
        </w:rPr>
        <w:t xml:space="preserve">be </w:t>
      </w:r>
      <w:r w:rsidR="00A1081E" w:rsidRPr="00BC717A">
        <w:rPr>
          <w:rFonts w:cs="Times New Roman"/>
          <w:noProof/>
        </w:rPr>
        <w:t>guarantee</w:t>
      </w:r>
      <w:r w:rsidR="002A6D44" w:rsidRPr="00BC717A">
        <w:rPr>
          <w:rFonts w:cs="Times New Roman"/>
          <w:noProof/>
        </w:rPr>
        <w:t>d</w:t>
      </w:r>
      <w:r w:rsidR="00A1081E" w:rsidRPr="00BC717A">
        <w:rPr>
          <w:rFonts w:cs="Times New Roman"/>
          <w:noProof/>
        </w:rPr>
        <w:t xml:space="preserve"> that a</w:t>
      </w:r>
      <w:r w:rsidR="00221EFB" w:rsidRPr="00BC717A">
        <w:rPr>
          <w:rFonts w:cs="Times New Roman"/>
          <w:noProof/>
        </w:rPr>
        <w:t xml:space="preserve"> Member State </w:t>
      </w:r>
      <w:r w:rsidR="001F7B86" w:rsidRPr="00BC717A">
        <w:rPr>
          <w:rFonts w:cs="Times New Roman"/>
          <w:noProof/>
        </w:rPr>
        <w:t>would</w:t>
      </w:r>
      <w:r w:rsidR="00221EFB" w:rsidRPr="00BC717A">
        <w:rPr>
          <w:rFonts w:cs="Times New Roman"/>
          <w:noProof/>
        </w:rPr>
        <w:t xml:space="preserve"> not </w:t>
      </w:r>
      <w:r w:rsidR="001F7B86" w:rsidRPr="00BC717A">
        <w:rPr>
          <w:rFonts w:cs="Times New Roman"/>
          <w:noProof/>
        </w:rPr>
        <w:t>exceed</w:t>
      </w:r>
      <w:r w:rsidR="00221EFB" w:rsidRPr="00BC717A">
        <w:rPr>
          <w:rFonts w:cs="Times New Roman"/>
          <w:noProof/>
        </w:rPr>
        <w:t xml:space="preserve"> its national production limit</w:t>
      </w:r>
      <w:r w:rsidR="00524EBF" w:rsidRPr="00BC717A">
        <w:rPr>
          <w:rFonts w:cs="Times New Roman"/>
          <w:noProof/>
        </w:rPr>
        <w:t xml:space="preserve"> </w:t>
      </w:r>
      <w:r w:rsidR="00F83664" w:rsidRPr="00BC717A">
        <w:rPr>
          <w:rFonts w:cs="Times New Roman"/>
          <w:noProof/>
        </w:rPr>
        <w:t>(including</w:t>
      </w:r>
      <w:r w:rsidR="00524EBF" w:rsidRPr="00BC717A">
        <w:rPr>
          <w:rFonts w:cs="Times New Roman"/>
          <w:noProof/>
        </w:rPr>
        <w:t xml:space="preserve"> starting new production</w:t>
      </w:r>
      <w:r w:rsidR="00F83664" w:rsidRPr="00BC717A">
        <w:rPr>
          <w:rFonts w:cs="Times New Roman"/>
          <w:noProof/>
        </w:rPr>
        <w:t>)</w:t>
      </w:r>
      <w:r w:rsidR="00A1081E" w:rsidRPr="00BC717A">
        <w:rPr>
          <w:rFonts w:cs="Times New Roman"/>
          <w:noProof/>
        </w:rPr>
        <w:t>.</w:t>
      </w:r>
      <w:r w:rsidR="00524EBF" w:rsidRPr="00BC717A">
        <w:rPr>
          <w:rFonts w:cs="Times New Roman"/>
          <w:noProof/>
        </w:rPr>
        <w:t xml:space="preserve"> Several Member States have called on the Commission to include a separate production phase-down</w:t>
      </w:r>
      <w:r w:rsidR="008C7B4A" w:rsidRPr="00BC717A">
        <w:rPr>
          <w:rFonts w:cs="Times New Roman"/>
          <w:noProof/>
        </w:rPr>
        <w:t>.</w:t>
      </w:r>
      <w:r w:rsidR="000C2C3E" w:rsidRPr="3982CBDC">
        <w:rPr>
          <w:rStyle w:val="FootnoteReference"/>
          <w:rFonts w:cs="Times New Roman"/>
          <w:noProof/>
        </w:rPr>
        <w:footnoteReference w:id="36"/>
      </w:r>
      <w:r w:rsidR="00502FA4" w:rsidRPr="00BC717A">
        <w:rPr>
          <w:rFonts w:cs="Times New Roman"/>
          <w:noProof/>
        </w:rPr>
        <w:t xml:space="preserve"> </w:t>
      </w:r>
    </w:p>
    <w:p w14:paraId="3930B9CC" w14:textId="40E4D39D" w:rsidR="00BC717A" w:rsidRDefault="00222234" w:rsidP="0017603A">
      <w:pPr>
        <w:pStyle w:val="ListParagraph"/>
        <w:numPr>
          <w:ilvl w:val="0"/>
          <w:numId w:val="97"/>
        </w:numPr>
        <w:spacing w:after="120"/>
        <w:rPr>
          <w:rFonts w:cs="Times New Roman"/>
          <w:noProof/>
        </w:rPr>
      </w:pPr>
      <w:r>
        <w:rPr>
          <w:rFonts w:cs="Times New Roman"/>
          <w:b/>
          <w:bCs/>
          <w:noProof/>
        </w:rPr>
        <w:t>The Protocol’s r</w:t>
      </w:r>
      <w:r w:rsidR="3982CBDC" w:rsidRPr="00BC717A">
        <w:rPr>
          <w:rFonts w:cs="Times New Roman"/>
          <w:b/>
          <w:bCs/>
          <w:noProof/>
        </w:rPr>
        <w:t>eporting requirements</w:t>
      </w:r>
      <w:r w:rsidR="002E0232" w:rsidRPr="00BC717A">
        <w:rPr>
          <w:rFonts w:cs="Times New Roman"/>
          <w:noProof/>
        </w:rPr>
        <w:t xml:space="preserve">: Data are </w:t>
      </w:r>
      <w:r w:rsidR="00752F4B">
        <w:rPr>
          <w:rFonts w:cs="Times New Roman"/>
          <w:noProof/>
        </w:rPr>
        <w:t>not collected</w:t>
      </w:r>
      <w:r w:rsidR="00752F4B" w:rsidRPr="00BC717A">
        <w:rPr>
          <w:rFonts w:cs="Times New Roman"/>
          <w:noProof/>
        </w:rPr>
        <w:t xml:space="preserve"> </w:t>
      </w:r>
      <w:r w:rsidR="002E0232" w:rsidRPr="00BC717A">
        <w:rPr>
          <w:rFonts w:cs="Times New Roman"/>
          <w:noProof/>
        </w:rPr>
        <w:t>on small trade transactions</w:t>
      </w:r>
      <w:r w:rsidR="00752F4B">
        <w:rPr>
          <w:rFonts w:cs="Times New Roman"/>
          <w:noProof/>
        </w:rPr>
        <w:t xml:space="preserve"> while this is prescribed by the Protocol.</w:t>
      </w:r>
    </w:p>
    <w:p w14:paraId="4C3E7818" w14:textId="58EE830A" w:rsidR="00814DF5" w:rsidRPr="00BC717A" w:rsidRDefault="00222234" w:rsidP="0017603A">
      <w:pPr>
        <w:pStyle w:val="ListParagraph"/>
        <w:numPr>
          <w:ilvl w:val="0"/>
          <w:numId w:val="97"/>
        </w:numPr>
        <w:spacing w:after="120"/>
        <w:rPr>
          <w:rFonts w:cs="Times New Roman"/>
          <w:noProof/>
        </w:rPr>
      </w:pPr>
      <w:r>
        <w:rPr>
          <w:rFonts w:cs="Times New Roman"/>
          <w:b/>
          <w:bCs/>
          <w:noProof/>
        </w:rPr>
        <w:t>The Protocol’s p</w:t>
      </w:r>
      <w:r w:rsidR="3982CBDC" w:rsidRPr="00BC717A">
        <w:rPr>
          <w:rFonts w:cs="Times New Roman"/>
          <w:b/>
          <w:bCs/>
          <w:noProof/>
        </w:rPr>
        <w:t>rohibition to trade with non-Parties</w:t>
      </w:r>
      <w:r w:rsidR="00BC717A">
        <w:rPr>
          <w:rFonts w:cs="Times New Roman"/>
          <w:b/>
          <w:bCs/>
          <w:noProof/>
        </w:rPr>
        <w:t xml:space="preserve"> from 2033</w:t>
      </w:r>
      <w:r w:rsidR="3982CBDC" w:rsidRPr="00BC717A">
        <w:rPr>
          <w:rFonts w:cs="Times New Roman"/>
          <w:b/>
          <w:bCs/>
          <w:noProof/>
        </w:rPr>
        <w:t>:</w:t>
      </w:r>
      <w:r w:rsidR="3982CBDC" w:rsidRPr="00BC717A">
        <w:rPr>
          <w:rFonts w:cs="Times New Roman"/>
          <w:noProof/>
        </w:rPr>
        <w:t xml:space="preserve"> </w:t>
      </w:r>
      <w:r w:rsidR="00BC717A">
        <w:rPr>
          <w:rFonts w:cs="Times New Roman"/>
          <w:noProof/>
        </w:rPr>
        <w:t>Th</w:t>
      </w:r>
      <w:r w:rsidR="0010174F">
        <w:rPr>
          <w:rFonts w:cs="Times New Roman"/>
          <w:noProof/>
        </w:rPr>
        <w:t xml:space="preserve">is concerns </w:t>
      </w:r>
      <w:r w:rsidR="00BC717A">
        <w:rPr>
          <w:rFonts w:cs="Times New Roman"/>
          <w:noProof/>
        </w:rPr>
        <w:t>i</w:t>
      </w:r>
      <w:r w:rsidR="3982CBDC" w:rsidRPr="00BC717A">
        <w:rPr>
          <w:rFonts w:cs="Times New Roman"/>
          <w:noProof/>
        </w:rPr>
        <w:t>mport</w:t>
      </w:r>
      <w:r w:rsidR="002E0232" w:rsidRPr="00BC717A">
        <w:rPr>
          <w:rFonts w:cs="Times New Roman"/>
          <w:noProof/>
        </w:rPr>
        <w:t>ers</w:t>
      </w:r>
      <w:r w:rsidR="3982CBDC" w:rsidRPr="00BC717A">
        <w:rPr>
          <w:rFonts w:cs="Times New Roman"/>
          <w:noProof/>
        </w:rPr>
        <w:t xml:space="preserve"> </w:t>
      </w:r>
      <w:r w:rsidR="00BC717A">
        <w:rPr>
          <w:rFonts w:cs="Times New Roman"/>
          <w:noProof/>
        </w:rPr>
        <w:t xml:space="preserve">from </w:t>
      </w:r>
      <w:r w:rsidR="3982CBDC" w:rsidRPr="00BC717A">
        <w:rPr>
          <w:rFonts w:cs="Times New Roman"/>
          <w:noProof/>
        </w:rPr>
        <w:t>and export</w:t>
      </w:r>
      <w:r w:rsidR="002E0232" w:rsidRPr="00BC717A">
        <w:rPr>
          <w:rFonts w:cs="Times New Roman"/>
          <w:noProof/>
        </w:rPr>
        <w:t xml:space="preserve">ers </w:t>
      </w:r>
      <w:r w:rsidR="00BC717A">
        <w:rPr>
          <w:rFonts w:cs="Times New Roman"/>
          <w:noProof/>
        </w:rPr>
        <w:t>to</w:t>
      </w:r>
      <w:r w:rsidR="00BC717A" w:rsidRPr="00BC717A">
        <w:rPr>
          <w:rFonts w:cs="Times New Roman"/>
          <w:noProof/>
        </w:rPr>
        <w:t xml:space="preserve"> countries that have not yet ratified the Kigali Amendment</w:t>
      </w:r>
      <w:r w:rsidR="002E0232" w:rsidRPr="00BC717A">
        <w:rPr>
          <w:rFonts w:cs="Times New Roman"/>
          <w:noProof/>
        </w:rPr>
        <w:t xml:space="preserve">. </w:t>
      </w:r>
      <w:r>
        <w:rPr>
          <w:rFonts w:cs="Times New Roman"/>
          <w:noProof/>
        </w:rPr>
        <w:t>Currently no such provision exists in the Regulation.</w:t>
      </w:r>
    </w:p>
    <w:p w14:paraId="1392102E" w14:textId="77777777" w:rsidR="008A08F3" w:rsidRPr="00593667" w:rsidRDefault="008A08F3" w:rsidP="00A56C38">
      <w:pPr>
        <w:spacing w:after="120"/>
        <w:rPr>
          <w:noProof/>
        </w:rPr>
      </w:pPr>
      <w:r w:rsidRPr="008A08F3">
        <w:rPr>
          <w:noProof/>
        </w:rPr>
        <w:t>(ii)</w:t>
      </w:r>
      <w:r w:rsidRPr="008A08F3">
        <w:rPr>
          <w:noProof/>
        </w:rPr>
        <w:tab/>
        <w:t>Drivers</w:t>
      </w:r>
    </w:p>
    <w:p w14:paraId="658377EB" w14:textId="05D7827E" w:rsidR="001216C3" w:rsidRDefault="3982CBDC" w:rsidP="00AD5F1B">
      <w:pPr>
        <w:pStyle w:val="ListParagraph"/>
        <w:numPr>
          <w:ilvl w:val="0"/>
          <w:numId w:val="12"/>
        </w:numPr>
        <w:spacing w:after="0"/>
        <w:ind w:left="714" w:hanging="357"/>
        <w:contextualSpacing w:val="0"/>
        <w:rPr>
          <w:rFonts w:cs="Times New Roman"/>
          <w:noProof/>
        </w:rPr>
      </w:pPr>
      <w:r w:rsidRPr="3982CBDC">
        <w:rPr>
          <w:rFonts w:cs="Times New Roman"/>
          <w:noProof/>
        </w:rPr>
        <w:t xml:space="preserve">The Regulation </w:t>
      </w:r>
      <w:r w:rsidRPr="3982CBDC">
        <w:rPr>
          <w:rFonts w:cs="Times New Roman"/>
          <w:b/>
          <w:bCs/>
          <w:noProof/>
        </w:rPr>
        <w:t xml:space="preserve">does not regulate </w:t>
      </w:r>
      <w:r w:rsidR="0061641E">
        <w:rPr>
          <w:rFonts w:cs="Times New Roman"/>
          <w:b/>
          <w:bCs/>
          <w:noProof/>
        </w:rPr>
        <w:t>quotas</w:t>
      </w:r>
      <w:r w:rsidRPr="3982CBDC">
        <w:rPr>
          <w:rFonts w:cs="Times New Roman"/>
          <w:noProof/>
        </w:rPr>
        <w:t xml:space="preserve"> beyond 2030.</w:t>
      </w:r>
      <w:r w:rsidR="00156A4E">
        <w:rPr>
          <w:rFonts w:cs="Times New Roman"/>
          <w:noProof/>
        </w:rPr>
        <w:t xml:space="preserve"> </w:t>
      </w:r>
    </w:p>
    <w:p w14:paraId="6C11B762" w14:textId="739B0E5F" w:rsidR="00DA5144" w:rsidRPr="00DA5144" w:rsidRDefault="00DA5144" w:rsidP="00AD5F1B">
      <w:pPr>
        <w:pStyle w:val="ListParagraph"/>
        <w:numPr>
          <w:ilvl w:val="0"/>
          <w:numId w:val="10"/>
        </w:numPr>
        <w:rPr>
          <w:rFonts w:cs="Times New Roman"/>
          <w:noProof/>
        </w:rPr>
      </w:pPr>
      <w:r w:rsidRPr="00DA5144">
        <w:rPr>
          <w:rFonts w:cs="Times New Roman"/>
          <w:b/>
          <w:noProof/>
        </w:rPr>
        <w:t>S</w:t>
      </w:r>
      <w:r w:rsidRPr="3982CBDC">
        <w:rPr>
          <w:rFonts w:cs="Times New Roman"/>
          <w:b/>
          <w:bCs/>
          <w:noProof/>
        </w:rPr>
        <w:t xml:space="preserve">ome uses of HFCs are </w:t>
      </w:r>
      <w:r>
        <w:rPr>
          <w:rFonts w:cs="Times New Roman"/>
          <w:b/>
          <w:bCs/>
          <w:noProof/>
        </w:rPr>
        <w:t xml:space="preserve">only </w:t>
      </w:r>
      <w:r w:rsidRPr="3982CBDC">
        <w:rPr>
          <w:rFonts w:cs="Times New Roman"/>
          <w:b/>
          <w:bCs/>
          <w:noProof/>
        </w:rPr>
        <w:t>exempted</w:t>
      </w:r>
      <w:r>
        <w:rPr>
          <w:rFonts w:cs="Times New Roman"/>
          <w:noProof/>
        </w:rPr>
        <w:t xml:space="preserve"> </w:t>
      </w:r>
      <w:r w:rsidRPr="002A6D44">
        <w:rPr>
          <w:rFonts w:cs="Times New Roman"/>
          <w:b/>
          <w:noProof/>
        </w:rPr>
        <w:t>under the EU quota system</w:t>
      </w:r>
      <w:r w:rsidR="003D7EAA">
        <w:rPr>
          <w:rFonts w:cs="Times New Roman"/>
          <w:b/>
          <w:noProof/>
        </w:rPr>
        <w:t xml:space="preserve"> (not by the Protocol)</w:t>
      </w:r>
      <w:r>
        <w:rPr>
          <w:rFonts w:cs="Times New Roman"/>
          <w:b/>
          <w:noProof/>
        </w:rPr>
        <w:t xml:space="preserve">: </w:t>
      </w:r>
      <w:r>
        <w:rPr>
          <w:rFonts w:cs="Times New Roman"/>
          <w:noProof/>
        </w:rPr>
        <w:t xml:space="preserve">The exempted use of HFCs for </w:t>
      </w:r>
      <w:r w:rsidRPr="3982CBDC">
        <w:rPr>
          <w:rFonts w:cs="Times New Roman"/>
          <w:noProof/>
        </w:rPr>
        <w:t>MDIs</w:t>
      </w:r>
      <w:r>
        <w:rPr>
          <w:rFonts w:cs="Times New Roman"/>
          <w:noProof/>
        </w:rPr>
        <w:t xml:space="preserve"> </w:t>
      </w:r>
      <w:r w:rsidRPr="3982CBDC">
        <w:rPr>
          <w:rFonts w:cs="Times New Roman"/>
          <w:noProof/>
        </w:rPr>
        <w:t>represent</w:t>
      </w:r>
      <w:r>
        <w:rPr>
          <w:rFonts w:cs="Times New Roman"/>
          <w:noProof/>
        </w:rPr>
        <w:t>ed</w:t>
      </w:r>
      <w:r w:rsidRPr="3982CBDC">
        <w:rPr>
          <w:rFonts w:cs="Times New Roman"/>
          <w:noProof/>
        </w:rPr>
        <w:t xml:space="preserve"> 10% of the overall </w:t>
      </w:r>
      <w:r w:rsidR="00B8106A">
        <w:rPr>
          <w:rFonts w:cs="Times New Roman"/>
          <w:noProof/>
        </w:rPr>
        <w:t xml:space="preserve">EU </w:t>
      </w:r>
      <w:r w:rsidRPr="3982CBDC">
        <w:rPr>
          <w:rFonts w:cs="Times New Roman"/>
          <w:noProof/>
        </w:rPr>
        <w:t>HFC market</w:t>
      </w:r>
      <w:r>
        <w:rPr>
          <w:rFonts w:cs="Times New Roman"/>
          <w:noProof/>
        </w:rPr>
        <w:t xml:space="preserve"> in 2019 and the use has</w:t>
      </w:r>
      <w:r w:rsidRPr="3982CBDC">
        <w:rPr>
          <w:rFonts w:cs="Times New Roman"/>
          <w:noProof/>
        </w:rPr>
        <w:t xml:space="preserve"> grown by 45% since 2015. </w:t>
      </w:r>
      <w:r>
        <w:rPr>
          <w:rFonts w:cs="Times New Roman"/>
          <w:noProof/>
        </w:rPr>
        <w:t>The e</w:t>
      </w:r>
      <w:r w:rsidRPr="3982CBDC">
        <w:rPr>
          <w:rFonts w:cs="Times New Roman"/>
          <w:noProof/>
        </w:rPr>
        <w:t xml:space="preserve">xempted </w:t>
      </w:r>
      <w:r w:rsidR="001F7B86">
        <w:rPr>
          <w:rFonts w:cs="Times New Roman"/>
          <w:noProof/>
        </w:rPr>
        <w:t xml:space="preserve">uses for </w:t>
      </w:r>
      <w:r w:rsidRPr="3982CBDC">
        <w:rPr>
          <w:rFonts w:cs="Times New Roman"/>
          <w:noProof/>
        </w:rPr>
        <w:t>semiconductor</w:t>
      </w:r>
      <w:r w:rsidR="001F7B86">
        <w:rPr>
          <w:rFonts w:cs="Times New Roman"/>
          <w:noProof/>
        </w:rPr>
        <w:t>s</w:t>
      </w:r>
      <w:r w:rsidRPr="3982CBDC">
        <w:rPr>
          <w:rFonts w:cs="Times New Roman"/>
          <w:noProof/>
        </w:rPr>
        <w:t xml:space="preserve"> and military represent below 1% of the market. </w:t>
      </w:r>
    </w:p>
    <w:p w14:paraId="77F13735" w14:textId="4F452654" w:rsidR="001A7EFA" w:rsidRDefault="001A7EFA" w:rsidP="001A7EFA">
      <w:pPr>
        <w:pStyle w:val="ListParagraph"/>
        <w:numPr>
          <w:ilvl w:val="0"/>
          <w:numId w:val="12"/>
        </w:numPr>
        <w:spacing w:after="0"/>
        <w:ind w:left="714" w:hanging="357"/>
        <w:contextualSpacing w:val="0"/>
        <w:rPr>
          <w:rFonts w:cs="Times New Roman"/>
          <w:noProof/>
        </w:rPr>
      </w:pPr>
      <w:r>
        <w:rPr>
          <w:rFonts w:cs="Times New Roman"/>
          <w:noProof/>
        </w:rPr>
        <w:t xml:space="preserve">The Regulation </w:t>
      </w:r>
      <w:r w:rsidR="006C1E5D">
        <w:rPr>
          <w:rFonts w:cs="Times New Roman"/>
          <w:noProof/>
        </w:rPr>
        <w:t>does not allow</w:t>
      </w:r>
      <w:r w:rsidRPr="3982CBDC">
        <w:rPr>
          <w:rFonts w:cs="Times New Roman"/>
          <w:noProof/>
        </w:rPr>
        <w:t xml:space="preserve"> </w:t>
      </w:r>
      <w:r w:rsidRPr="3982CBDC">
        <w:rPr>
          <w:rFonts w:cs="Times New Roman"/>
          <w:b/>
          <w:bCs/>
          <w:noProof/>
        </w:rPr>
        <w:t>direct control of produced HFC quantities</w:t>
      </w:r>
      <w:r w:rsidRPr="3982CBDC">
        <w:rPr>
          <w:rFonts w:cs="Times New Roman"/>
          <w:noProof/>
        </w:rPr>
        <w:t xml:space="preserve">. </w:t>
      </w:r>
    </w:p>
    <w:p w14:paraId="4F4D8F31" w14:textId="3D163B7E" w:rsidR="001744C6" w:rsidRDefault="00156A4E" w:rsidP="00AD5F1B">
      <w:pPr>
        <w:pStyle w:val="ListParagraph"/>
        <w:numPr>
          <w:ilvl w:val="0"/>
          <w:numId w:val="12"/>
        </w:numPr>
        <w:spacing w:after="0"/>
        <w:ind w:left="714" w:hanging="357"/>
        <w:contextualSpacing w:val="0"/>
        <w:rPr>
          <w:rFonts w:cs="Times New Roman"/>
          <w:noProof/>
        </w:rPr>
      </w:pPr>
      <w:r w:rsidRPr="00156A4E">
        <w:rPr>
          <w:rFonts w:cs="Times New Roman"/>
          <w:bCs/>
          <w:noProof/>
        </w:rPr>
        <w:t>There are</w:t>
      </w:r>
      <w:r>
        <w:rPr>
          <w:rFonts w:cs="Times New Roman"/>
          <w:b/>
          <w:bCs/>
          <w:noProof/>
        </w:rPr>
        <w:t xml:space="preserve"> m</w:t>
      </w:r>
      <w:r w:rsidR="001744C6" w:rsidRPr="3982CBDC">
        <w:rPr>
          <w:rFonts w:cs="Times New Roman"/>
          <w:b/>
          <w:bCs/>
          <w:noProof/>
        </w:rPr>
        <w:t xml:space="preserve">inimum </w:t>
      </w:r>
      <w:r w:rsidR="009D7046">
        <w:rPr>
          <w:rFonts w:cs="Times New Roman"/>
          <w:b/>
          <w:bCs/>
          <w:noProof/>
        </w:rPr>
        <w:t xml:space="preserve">annual </w:t>
      </w:r>
      <w:r w:rsidR="005228B4" w:rsidRPr="3982CBDC">
        <w:rPr>
          <w:rFonts w:cs="Times New Roman"/>
          <w:b/>
          <w:bCs/>
          <w:noProof/>
        </w:rPr>
        <w:t xml:space="preserve">HFC </w:t>
      </w:r>
      <w:r w:rsidR="001744C6" w:rsidRPr="3982CBDC">
        <w:rPr>
          <w:rFonts w:cs="Times New Roman"/>
          <w:b/>
          <w:bCs/>
          <w:noProof/>
        </w:rPr>
        <w:t>thresholds</w:t>
      </w:r>
      <w:r w:rsidR="001744C6" w:rsidRPr="3982CBDC">
        <w:rPr>
          <w:rFonts w:cs="Times New Roman"/>
          <w:b/>
          <w:bCs/>
          <w:noProof/>
          <w:vertAlign w:val="superscript"/>
        </w:rPr>
        <w:footnoteReference w:id="37"/>
      </w:r>
      <w:r w:rsidR="001744C6" w:rsidRPr="3982CBDC">
        <w:rPr>
          <w:rFonts w:cs="Times New Roman"/>
          <w:noProof/>
        </w:rPr>
        <w:t xml:space="preserve"> </w:t>
      </w:r>
      <w:r>
        <w:rPr>
          <w:rFonts w:cs="Times New Roman"/>
          <w:noProof/>
        </w:rPr>
        <w:t>for quota and reporting</w:t>
      </w:r>
      <w:r w:rsidR="00A57AFA">
        <w:rPr>
          <w:rFonts w:cs="Times New Roman"/>
          <w:noProof/>
        </w:rPr>
        <w:t xml:space="preserve"> which exempts these quantities while such an exemption is not foreseen by the Protocol</w:t>
      </w:r>
      <w:r w:rsidR="001744C6" w:rsidRPr="3982CBDC">
        <w:rPr>
          <w:rFonts w:cs="Times New Roman"/>
          <w:noProof/>
        </w:rPr>
        <w:t>.</w:t>
      </w:r>
    </w:p>
    <w:p w14:paraId="2B4FF5B0" w14:textId="77777777" w:rsidR="00F771D6" w:rsidRPr="00DF6024" w:rsidRDefault="3982CBDC" w:rsidP="00AD5F1B">
      <w:pPr>
        <w:pStyle w:val="ListParagraph"/>
        <w:numPr>
          <w:ilvl w:val="0"/>
          <w:numId w:val="12"/>
        </w:numPr>
        <w:spacing w:after="120"/>
        <w:ind w:left="714" w:hanging="357"/>
        <w:contextualSpacing w:val="0"/>
        <w:rPr>
          <w:rFonts w:cs="Times New Roman"/>
          <w:noProof/>
        </w:rPr>
      </w:pPr>
      <w:r w:rsidRPr="3982CBDC">
        <w:rPr>
          <w:rFonts w:cs="Times New Roman"/>
          <w:b/>
          <w:bCs/>
          <w:noProof/>
        </w:rPr>
        <w:t>Trade with non-Parties</w:t>
      </w:r>
      <w:r w:rsidRPr="3982CBDC">
        <w:rPr>
          <w:rFonts w:cs="Times New Roman"/>
          <w:noProof/>
        </w:rPr>
        <w:t xml:space="preserve"> to the Protocol is allowed under the Regulation.</w:t>
      </w:r>
    </w:p>
    <w:p w14:paraId="359125A6" w14:textId="77777777" w:rsidR="00DF6024" w:rsidRDefault="00DF6024" w:rsidP="00A56C38">
      <w:pPr>
        <w:spacing w:after="120"/>
        <w:rPr>
          <w:noProof/>
        </w:rPr>
      </w:pPr>
      <w:r w:rsidRPr="00DF6024">
        <w:rPr>
          <w:noProof/>
        </w:rPr>
        <w:t>(iii)</w:t>
      </w:r>
      <w:r w:rsidRPr="00DF6024">
        <w:rPr>
          <w:noProof/>
        </w:rPr>
        <w:tab/>
        <w:t xml:space="preserve"> How the problem will evolve</w:t>
      </w:r>
    </w:p>
    <w:p w14:paraId="6128F8F4" w14:textId="5CEFFF67" w:rsidR="00F97646" w:rsidRPr="007474DD" w:rsidRDefault="00F83664" w:rsidP="00AD5F1B">
      <w:pPr>
        <w:pStyle w:val="ListParagraph"/>
        <w:numPr>
          <w:ilvl w:val="0"/>
          <w:numId w:val="12"/>
        </w:numPr>
        <w:spacing w:after="120"/>
        <w:rPr>
          <w:noProof/>
        </w:rPr>
      </w:pPr>
      <w:r w:rsidRPr="00514AD7">
        <w:rPr>
          <w:b/>
          <w:bCs/>
          <w:noProof/>
        </w:rPr>
        <w:t>Protocol Consumption phase-down</w:t>
      </w:r>
      <w:r w:rsidRPr="00514AD7">
        <w:rPr>
          <w:i/>
          <w:iCs/>
          <w:noProof/>
        </w:rPr>
        <w:t xml:space="preserve">: </w:t>
      </w:r>
      <w:r w:rsidR="3982CBDC" w:rsidRPr="00514AD7">
        <w:rPr>
          <w:b/>
          <w:bCs/>
          <w:noProof/>
        </w:rPr>
        <w:t>EU-27 compliance from 2034 onwards is not automatically ensured</w:t>
      </w:r>
      <w:r w:rsidR="009D7046" w:rsidRPr="00514AD7">
        <w:rPr>
          <w:b/>
          <w:bCs/>
          <w:noProof/>
        </w:rPr>
        <w:t xml:space="preserve"> </w:t>
      </w:r>
      <w:r w:rsidR="009D7046" w:rsidRPr="00514AD7">
        <w:rPr>
          <w:bCs/>
          <w:noProof/>
        </w:rPr>
        <w:t>(even if the 2030 limit is extended)</w:t>
      </w:r>
      <w:r w:rsidR="00276FA8" w:rsidRPr="00514AD7">
        <w:rPr>
          <w:b/>
          <w:bCs/>
          <w:noProof/>
        </w:rPr>
        <w:t xml:space="preserve">. </w:t>
      </w:r>
      <w:r w:rsidR="3982CBDC">
        <w:rPr>
          <w:noProof/>
        </w:rPr>
        <w:t>In a ‘low-consumption’ scenario</w:t>
      </w:r>
      <w:r w:rsidR="00514AD7">
        <w:rPr>
          <w:rStyle w:val="FootnoteReference"/>
          <w:noProof/>
        </w:rPr>
        <w:footnoteReference w:id="38"/>
      </w:r>
      <w:r w:rsidR="3982CBDC">
        <w:rPr>
          <w:noProof/>
        </w:rPr>
        <w:t xml:space="preserve">, </w:t>
      </w:r>
      <w:r w:rsidR="005B5BFB">
        <w:rPr>
          <w:noProof/>
        </w:rPr>
        <w:t xml:space="preserve">the calculated </w:t>
      </w:r>
      <w:r w:rsidR="00D307C4">
        <w:rPr>
          <w:noProof/>
        </w:rPr>
        <w:t xml:space="preserve">consumption </w:t>
      </w:r>
      <w:r w:rsidR="005B5BFB">
        <w:rPr>
          <w:noProof/>
        </w:rPr>
        <w:t xml:space="preserve">would end up </w:t>
      </w:r>
      <w:r w:rsidR="3982CBDC">
        <w:rPr>
          <w:noProof/>
        </w:rPr>
        <w:t xml:space="preserve">below the </w:t>
      </w:r>
      <w:r w:rsidR="005B5BFB">
        <w:rPr>
          <w:noProof/>
        </w:rPr>
        <w:t xml:space="preserve">Protocol </w:t>
      </w:r>
      <w:r w:rsidR="00D307C4">
        <w:rPr>
          <w:noProof/>
        </w:rPr>
        <w:t>limit set</w:t>
      </w:r>
      <w:r w:rsidR="3982CBDC">
        <w:rPr>
          <w:noProof/>
        </w:rPr>
        <w:t xml:space="preserve"> for </w:t>
      </w:r>
      <w:r w:rsidR="00D307C4">
        <w:rPr>
          <w:noProof/>
        </w:rPr>
        <w:t xml:space="preserve">the EU in </w:t>
      </w:r>
      <w:r w:rsidR="3982CBDC">
        <w:rPr>
          <w:noProof/>
        </w:rPr>
        <w:t>2036</w:t>
      </w:r>
      <w:r w:rsidR="00514AD7">
        <w:rPr>
          <w:noProof/>
        </w:rPr>
        <w:t>,</w:t>
      </w:r>
      <w:r w:rsidR="3982CBDC">
        <w:rPr>
          <w:noProof/>
        </w:rPr>
        <w:t xml:space="preserve"> </w:t>
      </w:r>
      <w:r w:rsidR="005B5BFB">
        <w:rPr>
          <w:noProof/>
        </w:rPr>
        <w:t xml:space="preserve">but in a </w:t>
      </w:r>
      <w:r w:rsidR="3982CBDC">
        <w:rPr>
          <w:noProof/>
        </w:rPr>
        <w:t>‘high-consumption’ scenario</w:t>
      </w:r>
      <w:r w:rsidR="005B5BFB">
        <w:rPr>
          <w:noProof/>
        </w:rPr>
        <w:t xml:space="preserve"> the </w:t>
      </w:r>
      <w:r w:rsidR="00D307C4">
        <w:rPr>
          <w:noProof/>
        </w:rPr>
        <w:t xml:space="preserve">EU would </w:t>
      </w:r>
      <w:r w:rsidR="005B5BFB">
        <w:rPr>
          <w:noProof/>
        </w:rPr>
        <w:t xml:space="preserve">exceed the Protocol’s consumption </w:t>
      </w:r>
      <w:r w:rsidR="00D307C4">
        <w:rPr>
          <w:noProof/>
        </w:rPr>
        <w:t>limit</w:t>
      </w:r>
      <w:r w:rsidR="005B5BFB">
        <w:rPr>
          <w:noProof/>
        </w:rPr>
        <w:t>s</w:t>
      </w:r>
      <w:r w:rsidR="00514AD7">
        <w:rPr>
          <w:noProof/>
        </w:rPr>
        <w:t xml:space="preserve"> already from</w:t>
      </w:r>
      <w:r w:rsidR="00D307C4">
        <w:rPr>
          <w:noProof/>
        </w:rPr>
        <w:t xml:space="preserve"> </w:t>
      </w:r>
      <w:r w:rsidR="00514AD7">
        <w:rPr>
          <w:noProof/>
        </w:rPr>
        <w:t>2034</w:t>
      </w:r>
      <w:r w:rsidR="3982CBDC">
        <w:rPr>
          <w:noProof/>
        </w:rPr>
        <w:t xml:space="preserve">. </w:t>
      </w:r>
      <w:r w:rsidR="002E0232">
        <w:rPr>
          <w:noProof/>
        </w:rPr>
        <w:t xml:space="preserve">This is mainly due to potential use for </w:t>
      </w:r>
      <w:r w:rsidR="3982CBDC" w:rsidRPr="00514AD7">
        <w:rPr>
          <w:rFonts w:cs="Times New Roman"/>
          <w:b/>
          <w:bCs/>
          <w:noProof/>
        </w:rPr>
        <w:t>MDI</w:t>
      </w:r>
      <w:r w:rsidR="002E0232" w:rsidRPr="00514AD7">
        <w:rPr>
          <w:rFonts w:cs="Times New Roman"/>
          <w:b/>
          <w:bCs/>
          <w:noProof/>
        </w:rPr>
        <w:t>s that could</w:t>
      </w:r>
      <w:r w:rsidR="3982CBDC" w:rsidRPr="00514AD7">
        <w:rPr>
          <w:rFonts w:cs="Times New Roman"/>
          <w:b/>
          <w:bCs/>
          <w:noProof/>
        </w:rPr>
        <w:t xml:space="preserve"> represent 30% of the HFC demand in 2030</w:t>
      </w:r>
      <w:r w:rsidR="005B5BFB" w:rsidRPr="00514AD7">
        <w:rPr>
          <w:rFonts w:cs="Times New Roman"/>
          <w:noProof/>
        </w:rPr>
        <w:t xml:space="preserve">. </w:t>
      </w:r>
    </w:p>
    <w:p w14:paraId="0FC9DB6F" w14:textId="4E050397" w:rsidR="00514AD7" w:rsidRDefault="00870181" w:rsidP="00AD5F1B">
      <w:pPr>
        <w:pStyle w:val="ListParagraph"/>
        <w:numPr>
          <w:ilvl w:val="0"/>
          <w:numId w:val="12"/>
        </w:numPr>
        <w:spacing w:after="120"/>
        <w:rPr>
          <w:rFonts w:cs="Times New Roman"/>
          <w:noProof/>
        </w:rPr>
      </w:pPr>
      <w:r w:rsidRPr="00514AD7">
        <w:rPr>
          <w:b/>
          <w:bCs/>
          <w:noProof/>
        </w:rPr>
        <w:t xml:space="preserve">Protocol production phase-down: </w:t>
      </w:r>
      <w:r w:rsidR="002F3CED" w:rsidRPr="00514AD7">
        <w:rPr>
          <w:bCs/>
          <w:noProof/>
        </w:rPr>
        <w:t>The risk that a Member Stat</w:t>
      </w:r>
      <w:r w:rsidR="00514AD7">
        <w:rPr>
          <w:bCs/>
          <w:noProof/>
        </w:rPr>
        <w:t>e is not complying increases</w:t>
      </w:r>
      <w:r w:rsidR="002F3CED" w:rsidRPr="00514AD7">
        <w:rPr>
          <w:bCs/>
          <w:noProof/>
        </w:rPr>
        <w:t xml:space="preserve"> over time as the </w:t>
      </w:r>
      <w:r w:rsidR="3982CBDC" w:rsidRPr="00514AD7">
        <w:rPr>
          <w:rFonts w:cs="Times New Roman"/>
          <w:noProof/>
        </w:rPr>
        <w:t xml:space="preserve">production limits become </w:t>
      </w:r>
      <w:r w:rsidR="002F3CED" w:rsidRPr="00514AD7">
        <w:rPr>
          <w:rFonts w:cs="Times New Roman"/>
          <w:noProof/>
        </w:rPr>
        <w:t xml:space="preserve">stricter and the </w:t>
      </w:r>
      <w:r w:rsidR="007474DD" w:rsidRPr="00514AD7">
        <w:rPr>
          <w:rFonts w:cs="Times New Roman"/>
          <w:noProof/>
        </w:rPr>
        <w:t>p</w:t>
      </w:r>
      <w:r w:rsidR="002F3CED" w:rsidRPr="00514AD7">
        <w:rPr>
          <w:rFonts w:cs="Times New Roman"/>
          <w:noProof/>
        </w:rPr>
        <w:t xml:space="preserve">lacing on the market of HFCs </w:t>
      </w:r>
      <w:r w:rsidR="007474DD" w:rsidRPr="00514AD7">
        <w:rPr>
          <w:rFonts w:cs="Times New Roman"/>
          <w:noProof/>
        </w:rPr>
        <w:t xml:space="preserve">for </w:t>
      </w:r>
      <w:r w:rsidR="3982CBDC" w:rsidRPr="00514AD7">
        <w:rPr>
          <w:rFonts w:cs="Times New Roman"/>
          <w:noProof/>
        </w:rPr>
        <w:t>MDI</w:t>
      </w:r>
      <w:r w:rsidR="009337FB">
        <w:rPr>
          <w:rFonts w:cs="Times New Roman"/>
          <w:noProof/>
        </w:rPr>
        <w:t>s</w:t>
      </w:r>
      <w:r w:rsidR="007474DD" w:rsidRPr="00514AD7">
        <w:rPr>
          <w:rFonts w:cs="Times New Roman"/>
          <w:noProof/>
        </w:rPr>
        <w:t xml:space="preserve"> </w:t>
      </w:r>
      <w:r w:rsidR="00514AD7">
        <w:rPr>
          <w:rFonts w:cs="Times New Roman"/>
          <w:noProof/>
        </w:rPr>
        <w:t>remains unrestricted</w:t>
      </w:r>
      <w:r w:rsidR="3982CBDC" w:rsidRPr="00514AD7">
        <w:rPr>
          <w:rFonts w:cs="Times New Roman"/>
          <w:noProof/>
        </w:rPr>
        <w:t xml:space="preserve">. </w:t>
      </w:r>
    </w:p>
    <w:p w14:paraId="59E37EB5" w14:textId="77777777" w:rsidR="00514AD7" w:rsidRDefault="00870181" w:rsidP="00AD5F1B">
      <w:pPr>
        <w:pStyle w:val="ListParagraph"/>
        <w:numPr>
          <w:ilvl w:val="0"/>
          <w:numId w:val="12"/>
        </w:numPr>
        <w:spacing w:after="120"/>
        <w:rPr>
          <w:rFonts w:cs="Times New Roman"/>
          <w:noProof/>
        </w:rPr>
      </w:pPr>
      <w:r w:rsidRPr="00514AD7">
        <w:rPr>
          <w:rFonts w:cs="Times New Roman"/>
          <w:b/>
          <w:bCs/>
          <w:noProof/>
        </w:rPr>
        <w:t>Protocol reporting requirements</w:t>
      </w:r>
      <w:r w:rsidRPr="00514AD7">
        <w:rPr>
          <w:rFonts w:cs="Times New Roman"/>
          <w:noProof/>
        </w:rPr>
        <w:t xml:space="preserve">: </w:t>
      </w:r>
      <w:r w:rsidR="002F3CED" w:rsidRPr="00514AD7">
        <w:rPr>
          <w:rFonts w:cs="Times New Roman"/>
          <w:noProof/>
        </w:rPr>
        <w:t>EU reporting will remain incomplete as regards small trade transactions</w:t>
      </w:r>
      <w:r w:rsidR="3982CBDC" w:rsidRPr="00514AD7">
        <w:rPr>
          <w:rFonts w:cs="Times New Roman"/>
          <w:noProof/>
        </w:rPr>
        <w:t xml:space="preserve">. </w:t>
      </w:r>
    </w:p>
    <w:p w14:paraId="5595CFB1" w14:textId="239CBE4E" w:rsidR="00B82CB9" w:rsidRPr="00514AD7" w:rsidRDefault="00870181" w:rsidP="00AD5F1B">
      <w:pPr>
        <w:pStyle w:val="ListParagraph"/>
        <w:numPr>
          <w:ilvl w:val="0"/>
          <w:numId w:val="12"/>
        </w:numPr>
        <w:spacing w:after="120"/>
        <w:rPr>
          <w:rFonts w:cs="Times New Roman"/>
          <w:noProof/>
        </w:rPr>
      </w:pPr>
      <w:r w:rsidRPr="00514AD7">
        <w:rPr>
          <w:rFonts w:cs="Times New Roman"/>
          <w:b/>
          <w:bCs/>
          <w:noProof/>
        </w:rPr>
        <w:t xml:space="preserve">Protocol prohibition to trade with non-Parties from 2033: </w:t>
      </w:r>
      <w:r w:rsidR="002E392A">
        <w:rPr>
          <w:rFonts w:cs="Times New Roman"/>
          <w:bCs/>
          <w:noProof/>
        </w:rPr>
        <w:t>Without specific action,</w:t>
      </w:r>
      <w:r w:rsidR="002F3CED" w:rsidRPr="00514AD7">
        <w:rPr>
          <w:rFonts w:cs="Times New Roman"/>
          <w:bCs/>
          <w:noProof/>
        </w:rPr>
        <w:t xml:space="preserve"> the EU</w:t>
      </w:r>
      <w:r w:rsidR="3982CBDC" w:rsidRPr="00514AD7">
        <w:rPr>
          <w:rFonts w:cs="Times New Roman"/>
          <w:noProof/>
        </w:rPr>
        <w:t xml:space="preserve"> will </w:t>
      </w:r>
      <w:r w:rsidR="002F3CED" w:rsidRPr="00514AD7">
        <w:rPr>
          <w:rFonts w:cs="Times New Roman"/>
          <w:bCs/>
          <w:noProof/>
        </w:rPr>
        <w:t xml:space="preserve">not </w:t>
      </w:r>
      <w:r w:rsidR="002E392A" w:rsidRPr="00514AD7">
        <w:rPr>
          <w:rFonts w:cs="Times New Roman"/>
          <w:bCs/>
          <w:noProof/>
        </w:rPr>
        <w:t xml:space="preserve">comply with </w:t>
      </w:r>
      <w:r w:rsidR="002E392A" w:rsidRPr="00514AD7">
        <w:rPr>
          <w:rFonts w:cs="Times New Roman"/>
          <w:noProof/>
        </w:rPr>
        <w:t>the Protocol</w:t>
      </w:r>
      <w:r w:rsidR="002E392A">
        <w:rPr>
          <w:rFonts w:cs="Times New Roman"/>
          <w:noProof/>
        </w:rPr>
        <w:t>. In the meantime, the absence of EU action will not help</w:t>
      </w:r>
      <w:r w:rsidR="002E392A" w:rsidRPr="00514AD7">
        <w:rPr>
          <w:rFonts w:cs="Times New Roman"/>
          <w:bCs/>
          <w:noProof/>
        </w:rPr>
        <w:t xml:space="preserve"> </w:t>
      </w:r>
      <w:r w:rsidR="002F3CED" w:rsidRPr="00514AD7">
        <w:rPr>
          <w:rFonts w:cs="Times New Roman"/>
          <w:bCs/>
          <w:noProof/>
        </w:rPr>
        <w:t xml:space="preserve">incentivise ratification </w:t>
      </w:r>
      <w:r w:rsidR="002E392A">
        <w:rPr>
          <w:rFonts w:cs="Times New Roman"/>
          <w:bCs/>
          <w:noProof/>
        </w:rPr>
        <w:t>elsewhere.</w:t>
      </w:r>
      <w:r w:rsidR="002E392A">
        <w:rPr>
          <w:rFonts w:cs="Times New Roman"/>
          <w:noProof/>
        </w:rPr>
        <w:t xml:space="preserve"> </w:t>
      </w:r>
    </w:p>
    <w:p w14:paraId="6F4DA9FE" w14:textId="22ECCB44" w:rsidR="00AA1A9D" w:rsidRPr="00F666AC" w:rsidRDefault="00E04F0C" w:rsidP="00E04F0C">
      <w:pPr>
        <w:pStyle w:val="Heading3"/>
        <w:rPr>
          <w:noProof/>
        </w:rPr>
      </w:pPr>
      <w:bookmarkStart w:id="57" w:name="_Toc88571900"/>
      <w:bookmarkStart w:id="58" w:name="_Toc94629493"/>
      <w:bookmarkStart w:id="59" w:name="_Toc98857737"/>
      <w:r w:rsidRPr="00E04F0C">
        <w:t>2.1.3.</w:t>
      </w:r>
      <w:r w:rsidRPr="00E04F0C">
        <w:tab/>
      </w:r>
      <w:r w:rsidR="3982CBDC">
        <w:rPr>
          <w:noProof/>
        </w:rPr>
        <w:t>Challenges to implementation and enforcement</w:t>
      </w:r>
      <w:bookmarkEnd w:id="57"/>
      <w:bookmarkEnd w:id="58"/>
      <w:bookmarkEnd w:id="59"/>
    </w:p>
    <w:p w14:paraId="117F564F" w14:textId="3B6EEC92" w:rsidR="00F07806" w:rsidRDefault="0023491F" w:rsidP="3982CBDC">
      <w:pPr>
        <w:spacing w:after="0"/>
        <w:rPr>
          <w:rFonts w:cs="Times New Roman"/>
          <w:noProof/>
        </w:rPr>
      </w:pPr>
      <w:r>
        <w:rPr>
          <w:rFonts w:cs="Times New Roman"/>
          <w:noProof/>
        </w:rPr>
        <w:t>The</w:t>
      </w:r>
      <w:r w:rsidR="00FB07AF">
        <w:rPr>
          <w:rFonts w:cs="Times New Roman"/>
          <w:noProof/>
        </w:rPr>
        <w:t xml:space="preserve"> evaluation</w:t>
      </w:r>
      <w:r>
        <w:rPr>
          <w:rFonts w:cs="Times New Roman"/>
          <w:noProof/>
        </w:rPr>
        <w:t xml:space="preserve"> highlighted</w:t>
      </w:r>
      <w:r w:rsidR="00FB07AF">
        <w:rPr>
          <w:rFonts w:cs="Times New Roman"/>
          <w:noProof/>
        </w:rPr>
        <w:t xml:space="preserve"> a number of challenges</w:t>
      </w:r>
      <w:r w:rsidR="00FB07AF">
        <w:rPr>
          <w:rStyle w:val="FootnoteReference"/>
          <w:rFonts w:cs="Times New Roman"/>
          <w:noProof/>
        </w:rPr>
        <w:footnoteReference w:id="39"/>
      </w:r>
      <w:r w:rsidR="00FB07AF">
        <w:rPr>
          <w:rFonts w:cs="Times New Roman"/>
          <w:noProof/>
        </w:rPr>
        <w:t xml:space="preserve"> </w:t>
      </w:r>
      <w:r>
        <w:rPr>
          <w:rFonts w:cs="Times New Roman"/>
          <w:noProof/>
        </w:rPr>
        <w:t xml:space="preserve">related to implementation and enforcement </w:t>
      </w:r>
      <w:r w:rsidR="00FB07AF">
        <w:rPr>
          <w:rFonts w:cs="Times New Roman"/>
          <w:noProof/>
        </w:rPr>
        <w:t>that</w:t>
      </w:r>
      <w:r w:rsidR="3982CBDC" w:rsidRPr="3982CBDC">
        <w:rPr>
          <w:rFonts w:cs="Times New Roman"/>
          <w:noProof/>
        </w:rPr>
        <w:t xml:space="preserve"> are reducing the effectiveness of the Regulation: </w:t>
      </w:r>
    </w:p>
    <w:p w14:paraId="5D1ED0DD" w14:textId="2965A8CC" w:rsidR="00633A6C" w:rsidRDefault="3982CBDC" w:rsidP="00AD5F1B">
      <w:pPr>
        <w:pStyle w:val="ListParagraph"/>
        <w:numPr>
          <w:ilvl w:val="0"/>
          <w:numId w:val="10"/>
        </w:numPr>
        <w:spacing w:after="0"/>
        <w:ind w:left="714" w:hanging="357"/>
        <w:contextualSpacing w:val="0"/>
        <w:rPr>
          <w:rFonts w:cs="Times New Roman"/>
          <w:noProof/>
        </w:rPr>
      </w:pPr>
      <w:r w:rsidRPr="00514AD7">
        <w:rPr>
          <w:rFonts w:cs="Times New Roman"/>
          <w:b/>
          <w:noProof/>
        </w:rPr>
        <w:t>Illegal imports of HFCs</w:t>
      </w:r>
      <w:r w:rsidRPr="3982CBDC">
        <w:rPr>
          <w:rFonts w:cs="Times New Roman"/>
          <w:noProof/>
        </w:rPr>
        <w:t xml:space="preserve"> that are not counted under the EU </w:t>
      </w:r>
      <w:r w:rsidR="00016DC1">
        <w:rPr>
          <w:rFonts w:cs="Times New Roman"/>
          <w:noProof/>
        </w:rPr>
        <w:t>quota system</w:t>
      </w:r>
      <w:r w:rsidR="00514AD7">
        <w:rPr>
          <w:rFonts w:cs="Times New Roman"/>
          <w:noProof/>
        </w:rPr>
        <w:t>.</w:t>
      </w:r>
    </w:p>
    <w:p w14:paraId="023FA906" w14:textId="5F09EFF8" w:rsidR="00F07806" w:rsidRPr="00633A6C" w:rsidRDefault="00A31BA2" w:rsidP="00AD5F1B">
      <w:pPr>
        <w:pStyle w:val="ListParagraph"/>
        <w:numPr>
          <w:ilvl w:val="0"/>
          <w:numId w:val="10"/>
        </w:numPr>
        <w:spacing w:after="0"/>
        <w:ind w:left="714" w:hanging="357"/>
        <w:contextualSpacing w:val="0"/>
        <w:rPr>
          <w:rFonts w:cs="Times New Roman"/>
          <w:noProof/>
        </w:rPr>
      </w:pPr>
      <w:r w:rsidRPr="000D77BF">
        <w:rPr>
          <w:rFonts w:cs="Times New Roman"/>
          <w:b/>
          <w:noProof/>
        </w:rPr>
        <w:t>Rogue traders</w:t>
      </w:r>
      <w:r>
        <w:rPr>
          <w:rFonts w:cs="Times New Roman"/>
          <w:noProof/>
        </w:rPr>
        <w:t xml:space="preserve">: </w:t>
      </w:r>
      <w:r w:rsidR="3982CBDC" w:rsidRPr="3982CBDC">
        <w:rPr>
          <w:rFonts w:cs="Times New Roman"/>
          <w:noProof/>
        </w:rPr>
        <w:t xml:space="preserve">A </w:t>
      </w:r>
      <w:r w:rsidR="3982CBDC" w:rsidRPr="00514AD7">
        <w:rPr>
          <w:rFonts w:cs="Times New Roman"/>
          <w:b/>
          <w:noProof/>
        </w:rPr>
        <w:t>multiplication of gas importers</w:t>
      </w:r>
      <w:r w:rsidR="3982CBDC" w:rsidRPr="3982CBDC">
        <w:rPr>
          <w:rFonts w:cs="Times New Roman"/>
          <w:noProof/>
        </w:rPr>
        <w:t xml:space="preserve"> that </w:t>
      </w:r>
      <w:r w:rsidR="00514AD7">
        <w:rPr>
          <w:rFonts w:cs="Times New Roman"/>
          <w:noProof/>
        </w:rPr>
        <w:t>enter</w:t>
      </w:r>
      <w:r w:rsidR="3982CBDC" w:rsidRPr="3982CBDC">
        <w:rPr>
          <w:rFonts w:cs="Times New Roman"/>
          <w:noProof/>
        </w:rPr>
        <w:t xml:space="preserve"> the market for speculativ</w:t>
      </w:r>
      <w:r w:rsidR="00514AD7">
        <w:rPr>
          <w:rFonts w:cs="Times New Roman"/>
          <w:noProof/>
        </w:rPr>
        <w:t>e reasons and/or benefit</w:t>
      </w:r>
      <w:r w:rsidR="3982CBDC" w:rsidRPr="3982CBDC">
        <w:rPr>
          <w:rFonts w:cs="Times New Roman"/>
          <w:noProof/>
        </w:rPr>
        <w:t xml:space="preserve"> disproportionately from </w:t>
      </w:r>
      <w:r w:rsidR="00016DC1">
        <w:rPr>
          <w:rFonts w:cs="Times New Roman"/>
          <w:noProof/>
        </w:rPr>
        <w:t xml:space="preserve">the </w:t>
      </w:r>
      <w:r w:rsidR="00514AD7">
        <w:rPr>
          <w:rFonts w:cs="Times New Roman"/>
          <w:noProof/>
        </w:rPr>
        <w:t>quota system.</w:t>
      </w:r>
    </w:p>
    <w:p w14:paraId="5F43EC85" w14:textId="77777777" w:rsidR="00F031D1" w:rsidRPr="0094539D" w:rsidRDefault="3982CBDC" w:rsidP="00AD5F1B">
      <w:pPr>
        <w:pStyle w:val="ListParagraph"/>
        <w:numPr>
          <w:ilvl w:val="0"/>
          <w:numId w:val="10"/>
        </w:numPr>
        <w:spacing w:after="120"/>
        <w:ind w:left="714" w:hanging="357"/>
        <w:rPr>
          <w:rFonts w:cs="Times New Roman"/>
          <w:noProof/>
        </w:rPr>
      </w:pPr>
      <w:r w:rsidRPr="3982CBDC">
        <w:rPr>
          <w:rFonts w:cs="Times New Roman"/>
          <w:noProof/>
        </w:rPr>
        <w:t xml:space="preserve">A </w:t>
      </w:r>
      <w:r w:rsidRPr="00E03542">
        <w:rPr>
          <w:rFonts w:cs="Times New Roman"/>
          <w:b/>
          <w:noProof/>
        </w:rPr>
        <w:t>lack of skilled technicians</w:t>
      </w:r>
      <w:r w:rsidRPr="3982CBDC">
        <w:rPr>
          <w:rFonts w:cs="Times New Roman"/>
          <w:noProof/>
        </w:rPr>
        <w:t xml:space="preserve"> for equipment using climate-friendly alternatives. </w:t>
      </w:r>
    </w:p>
    <w:p w14:paraId="4BD5A400" w14:textId="7131EA0C" w:rsidR="00F07806" w:rsidRDefault="00E04F0C" w:rsidP="00E04F0C">
      <w:pPr>
        <w:pStyle w:val="Heading4"/>
        <w:rPr>
          <w:noProof/>
        </w:rPr>
      </w:pPr>
      <w:r w:rsidRPr="00E04F0C">
        <w:t>2.1.3.1.</w:t>
      </w:r>
      <w:r w:rsidRPr="00E04F0C">
        <w:tab/>
      </w:r>
      <w:r w:rsidR="3982CBDC">
        <w:rPr>
          <w:noProof/>
        </w:rPr>
        <w:t>Illegal imports</w:t>
      </w:r>
      <w:r w:rsidR="003F2A5B">
        <w:rPr>
          <w:noProof/>
        </w:rPr>
        <w:t xml:space="preserve"> </w:t>
      </w:r>
    </w:p>
    <w:p w14:paraId="5E01843E" w14:textId="77777777" w:rsidR="00C56D76" w:rsidRDefault="3982CBDC" w:rsidP="00AD5F1B">
      <w:pPr>
        <w:numPr>
          <w:ilvl w:val="5"/>
          <w:numId w:val="5"/>
        </w:numPr>
        <w:spacing w:after="120"/>
        <w:ind w:left="2154" w:hanging="357"/>
        <w:rPr>
          <w:rFonts w:cs="Times New Roman"/>
          <w:noProof/>
        </w:rPr>
      </w:pPr>
      <w:r w:rsidRPr="3982CBDC">
        <w:rPr>
          <w:rFonts w:cs="Times New Roman"/>
          <w:noProof/>
        </w:rPr>
        <w:t>Status quo of the issue</w:t>
      </w:r>
    </w:p>
    <w:p w14:paraId="7B3B1C1B" w14:textId="07A770FC" w:rsidR="00F149CC" w:rsidRDefault="003F2A5B" w:rsidP="3982CBDC">
      <w:pPr>
        <w:spacing w:after="120"/>
        <w:rPr>
          <w:rFonts w:cs="Times New Roman"/>
          <w:noProof/>
        </w:rPr>
      </w:pPr>
      <w:r>
        <w:rPr>
          <w:rFonts w:cs="Times New Roman"/>
          <w:noProof/>
        </w:rPr>
        <w:t xml:space="preserve">There is clear evidence that </w:t>
      </w:r>
      <w:r w:rsidR="00982335">
        <w:rPr>
          <w:rFonts w:cs="Times New Roman"/>
          <w:noProof/>
        </w:rPr>
        <w:t>HFCs are</w:t>
      </w:r>
      <w:r w:rsidR="006B37AC">
        <w:rPr>
          <w:rFonts w:cs="Times New Roman"/>
          <w:noProof/>
        </w:rPr>
        <w:t xml:space="preserve"> being im</w:t>
      </w:r>
      <w:r w:rsidR="00982335">
        <w:rPr>
          <w:rFonts w:cs="Times New Roman"/>
          <w:noProof/>
        </w:rPr>
        <w:t xml:space="preserve">ported without </w:t>
      </w:r>
      <w:r w:rsidR="006B37AC">
        <w:rPr>
          <w:rFonts w:cs="Times New Roman"/>
          <w:noProof/>
        </w:rPr>
        <w:t>quota</w:t>
      </w:r>
      <w:r w:rsidR="00A00A79">
        <w:rPr>
          <w:rStyle w:val="FootnoteReference"/>
          <w:rFonts w:cs="Times New Roman"/>
          <w:noProof/>
        </w:rPr>
        <w:footnoteReference w:id="40"/>
      </w:r>
      <w:r w:rsidR="007141E6">
        <w:rPr>
          <w:rFonts w:cs="Times New Roman"/>
          <w:noProof/>
        </w:rPr>
        <w:t>.</w:t>
      </w:r>
      <w:r w:rsidR="00AA1A9D" w:rsidRPr="3982CBDC">
        <w:rPr>
          <w:rFonts w:cs="Times New Roman"/>
          <w:noProof/>
        </w:rPr>
        <w:t xml:space="preserve"> </w:t>
      </w:r>
      <w:r w:rsidR="0075286C">
        <w:rPr>
          <w:rFonts w:cs="Times New Roman"/>
          <w:noProof/>
        </w:rPr>
        <w:t>Obviously</w:t>
      </w:r>
      <w:r w:rsidR="00AA1A9D" w:rsidRPr="3982CBDC">
        <w:rPr>
          <w:rFonts w:cs="Times New Roman"/>
          <w:noProof/>
        </w:rPr>
        <w:t xml:space="preserve">, </w:t>
      </w:r>
      <w:r w:rsidR="00F07806" w:rsidRPr="3982CBDC">
        <w:rPr>
          <w:rFonts w:cs="Times New Roman"/>
          <w:noProof/>
        </w:rPr>
        <w:t xml:space="preserve">the </w:t>
      </w:r>
      <w:r w:rsidR="00CE1F13">
        <w:rPr>
          <w:rFonts w:cs="Times New Roman"/>
          <w:noProof/>
        </w:rPr>
        <w:t>amount</w:t>
      </w:r>
      <w:r w:rsidR="007141E6">
        <w:rPr>
          <w:rFonts w:cs="Times New Roman"/>
          <w:noProof/>
        </w:rPr>
        <w:t xml:space="preserve"> </w:t>
      </w:r>
      <w:r w:rsidR="00F07806" w:rsidRPr="3982CBDC">
        <w:rPr>
          <w:rFonts w:cs="Times New Roman"/>
          <w:noProof/>
        </w:rPr>
        <w:t xml:space="preserve">is </w:t>
      </w:r>
      <w:r w:rsidR="00847B64" w:rsidRPr="3982CBDC">
        <w:rPr>
          <w:rFonts w:cs="Times New Roman"/>
          <w:noProof/>
        </w:rPr>
        <w:t xml:space="preserve">by its very nature </w:t>
      </w:r>
      <w:r w:rsidR="00F07806" w:rsidRPr="3982CBDC">
        <w:rPr>
          <w:rFonts w:cs="Times New Roman"/>
          <w:noProof/>
        </w:rPr>
        <w:t>difficult to determine</w:t>
      </w:r>
      <w:r w:rsidR="0073433C" w:rsidRPr="3982CBDC">
        <w:rPr>
          <w:rStyle w:val="FootnoteReference"/>
          <w:rFonts w:cs="Times New Roman"/>
          <w:noProof/>
        </w:rPr>
        <w:footnoteReference w:id="41"/>
      </w:r>
      <w:r w:rsidR="00F2072E">
        <w:rPr>
          <w:rFonts w:cs="Times New Roman"/>
          <w:noProof/>
        </w:rPr>
        <w:t xml:space="preserve">, but </w:t>
      </w:r>
      <w:r>
        <w:rPr>
          <w:rFonts w:cs="Times New Roman"/>
          <w:noProof/>
        </w:rPr>
        <w:t>the situation</w:t>
      </w:r>
      <w:r w:rsidR="006B37AC">
        <w:rPr>
          <w:rFonts w:cs="Times New Roman"/>
          <w:noProof/>
        </w:rPr>
        <w:t xml:space="preserve"> is clearly </w:t>
      </w:r>
      <w:r>
        <w:rPr>
          <w:rFonts w:cs="Times New Roman"/>
          <w:noProof/>
        </w:rPr>
        <w:t>unsatisfactory</w:t>
      </w:r>
      <w:r w:rsidR="007141E6">
        <w:rPr>
          <w:rFonts w:cs="Times New Roman"/>
          <w:noProof/>
        </w:rPr>
        <w:t xml:space="preserve"> and</w:t>
      </w:r>
      <w:r w:rsidR="009D7D8A">
        <w:rPr>
          <w:rFonts w:cs="Times New Roman"/>
          <w:noProof/>
        </w:rPr>
        <w:t xml:space="preserve"> harming </w:t>
      </w:r>
      <w:r w:rsidR="007141E6">
        <w:rPr>
          <w:rFonts w:cs="Times New Roman"/>
          <w:noProof/>
        </w:rPr>
        <w:t xml:space="preserve">the effectiveness of the quota system and </w:t>
      </w:r>
      <w:r w:rsidR="009D7D8A">
        <w:rPr>
          <w:rFonts w:cs="Times New Roman"/>
          <w:noProof/>
        </w:rPr>
        <w:t>legitimate business</w:t>
      </w:r>
      <w:r w:rsidR="000D77BF">
        <w:rPr>
          <w:rFonts w:cs="Times New Roman"/>
          <w:noProof/>
        </w:rPr>
        <w:t xml:space="preserve"> interests</w:t>
      </w:r>
      <w:r w:rsidR="009D7D8A">
        <w:rPr>
          <w:rFonts w:cs="Times New Roman"/>
          <w:noProof/>
        </w:rPr>
        <w:t>.</w:t>
      </w:r>
      <w:r w:rsidR="00B41771">
        <w:rPr>
          <w:rFonts w:cs="Times New Roman"/>
          <w:noProof/>
        </w:rPr>
        <w:t xml:space="preserve"> More than half of the respondents in the public consultation considered that </w:t>
      </w:r>
      <w:r w:rsidR="00CE1F13">
        <w:rPr>
          <w:rFonts w:cs="Times New Roman"/>
          <w:noProof/>
        </w:rPr>
        <w:t xml:space="preserve">certain </w:t>
      </w:r>
      <w:r w:rsidR="00B41771">
        <w:rPr>
          <w:rFonts w:cs="Times New Roman"/>
          <w:noProof/>
        </w:rPr>
        <w:t>measures in the F-gas Regulation were not effectively preventing illegal activities. The measure which w</w:t>
      </w:r>
      <w:r w:rsidR="000D77BF">
        <w:rPr>
          <w:rFonts w:cs="Times New Roman"/>
          <w:noProof/>
        </w:rPr>
        <w:t>as rated least effective was Member States</w:t>
      </w:r>
      <w:r w:rsidR="00B41771">
        <w:rPr>
          <w:rFonts w:cs="Times New Roman"/>
          <w:noProof/>
        </w:rPr>
        <w:t xml:space="preserve"> penalties. </w:t>
      </w:r>
      <w:r w:rsidR="008C3D53">
        <w:rPr>
          <w:rFonts w:cs="Times New Roman"/>
          <w:noProof/>
        </w:rPr>
        <w:t>It has been a priority for the Commission to address the issue and while some progress has been made, it has proven to be quite challenging under the current F-gas rules, notably when imported HFCs a</w:t>
      </w:r>
      <w:r w:rsidR="0066456C">
        <w:rPr>
          <w:rFonts w:cs="Times New Roman"/>
          <w:noProof/>
        </w:rPr>
        <w:t>re</w:t>
      </w:r>
      <w:r w:rsidR="008C3D53">
        <w:rPr>
          <w:rFonts w:cs="Times New Roman"/>
          <w:noProof/>
        </w:rPr>
        <w:t xml:space="preserve"> neither reported under the F-gas Regulation nor declared at customs (i.e. smuggled)</w:t>
      </w:r>
      <w:r w:rsidR="008C3D53" w:rsidRPr="3982CBDC">
        <w:rPr>
          <w:rStyle w:val="FootnoteReference"/>
          <w:rFonts w:cs="Times New Roman"/>
          <w:noProof/>
        </w:rPr>
        <w:footnoteReference w:id="42"/>
      </w:r>
      <w:r w:rsidR="008C3D53">
        <w:rPr>
          <w:rFonts w:cs="Times New Roman"/>
          <w:noProof/>
        </w:rPr>
        <w:t xml:space="preserve">. </w:t>
      </w:r>
      <w:r w:rsidR="1157E109">
        <w:rPr>
          <w:rFonts w:cs="Times New Roman"/>
          <w:noProof/>
        </w:rPr>
        <w:t xml:space="preserve">Industry and </w:t>
      </w:r>
      <w:r w:rsidR="1157E109" w:rsidRPr="45A36C44">
        <w:rPr>
          <w:rFonts w:cs="Times New Roman"/>
          <w:noProof/>
        </w:rPr>
        <w:t>the European Anti</w:t>
      </w:r>
      <w:r w:rsidR="002D11B4">
        <w:rPr>
          <w:rFonts w:cs="Times New Roman"/>
          <w:noProof/>
        </w:rPr>
        <w:t>-</w:t>
      </w:r>
      <w:r w:rsidR="1157E109" w:rsidRPr="45A36C44">
        <w:rPr>
          <w:rFonts w:cs="Times New Roman"/>
          <w:noProof/>
        </w:rPr>
        <w:t>fraud Office (OLAF) note</w:t>
      </w:r>
      <w:r w:rsidR="00632786">
        <w:rPr>
          <w:rFonts w:cs="Times New Roman"/>
          <w:noProof/>
        </w:rPr>
        <w:t xml:space="preserve"> </w:t>
      </w:r>
      <w:r w:rsidR="0075650F">
        <w:rPr>
          <w:rFonts w:cs="Times New Roman"/>
          <w:noProof/>
        </w:rPr>
        <w:t>that</w:t>
      </w:r>
      <w:r w:rsidR="00131E99">
        <w:rPr>
          <w:rFonts w:cs="Times New Roman"/>
          <w:noProof/>
        </w:rPr>
        <w:t xml:space="preserve"> perpetrators</w:t>
      </w:r>
      <w:r w:rsidR="009D7D8A">
        <w:rPr>
          <w:rFonts w:cs="Times New Roman"/>
          <w:noProof/>
        </w:rPr>
        <w:t xml:space="preserve"> are </w:t>
      </w:r>
      <w:r w:rsidR="0075650F">
        <w:rPr>
          <w:rFonts w:cs="Times New Roman"/>
          <w:noProof/>
        </w:rPr>
        <w:t xml:space="preserve">exploiting </w:t>
      </w:r>
      <w:r w:rsidR="000D77BF">
        <w:rPr>
          <w:rFonts w:cs="Times New Roman"/>
          <w:noProof/>
        </w:rPr>
        <w:t xml:space="preserve">the fact </w:t>
      </w:r>
      <w:r w:rsidR="0075650F">
        <w:rPr>
          <w:rFonts w:cs="Times New Roman"/>
          <w:noProof/>
        </w:rPr>
        <w:t>that</w:t>
      </w:r>
      <w:r w:rsidR="00136455" w:rsidRPr="3982CBDC">
        <w:rPr>
          <w:rFonts w:cs="Times New Roman"/>
          <w:noProof/>
        </w:rPr>
        <w:t xml:space="preserve"> c</w:t>
      </w:r>
      <w:r w:rsidR="00F666AC" w:rsidRPr="3982CBDC">
        <w:rPr>
          <w:rFonts w:cs="Times New Roman"/>
          <w:noProof/>
        </w:rPr>
        <w:t>ustom controls</w:t>
      </w:r>
      <w:r w:rsidR="0075650F">
        <w:rPr>
          <w:rFonts w:cs="Times New Roman"/>
          <w:noProof/>
        </w:rPr>
        <w:t>,</w:t>
      </w:r>
      <w:r w:rsidR="00F666AC" w:rsidRPr="3982CBDC">
        <w:rPr>
          <w:rFonts w:cs="Times New Roman"/>
          <w:noProof/>
        </w:rPr>
        <w:t xml:space="preserve"> market surveillance activities </w:t>
      </w:r>
      <w:r w:rsidR="0075650F">
        <w:rPr>
          <w:rFonts w:cs="Times New Roman"/>
          <w:noProof/>
        </w:rPr>
        <w:t xml:space="preserve">and penalties </w:t>
      </w:r>
      <w:r w:rsidR="00F666AC" w:rsidRPr="3982CBDC">
        <w:rPr>
          <w:rFonts w:cs="Times New Roman"/>
          <w:noProof/>
        </w:rPr>
        <w:t>vary widely between Member States</w:t>
      </w:r>
      <w:r w:rsidR="00F666AC" w:rsidRPr="3982CBDC">
        <w:rPr>
          <w:rStyle w:val="FootnoteReference"/>
          <w:rFonts w:cs="Times New Roman"/>
          <w:noProof/>
        </w:rPr>
        <w:footnoteReference w:id="43"/>
      </w:r>
      <w:r w:rsidR="00847B64" w:rsidRPr="3982CBDC">
        <w:rPr>
          <w:rFonts w:cs="Times New Roman"/>
          <w:noProof/>
        </w:rPr>
        <w:t xml:space="preserve"> </w:t>
      </w:r>
      <w:r w:rsidR="00851E0F" w:rsidRPr="3982CBDC">
        <w:rPr>
          <w:rFonts w:cs="Times New Roman"/>
          <w:noProof/>
        </w:rPr>
        <w:t xml:space="preserve">and </w:t>
      </w:r>
      <w:r w:rsidR="00131E99">
        <w:rPr>
          <w:rFonts w:cs="Times New Roman"/>
          <w:noProof/>
        </w:rPr>
        <w:t>th</w:t>
      </w:r>
      <w:r w:rsidR="0075650F">
        <w:rPr>
          <w:rFonts w:cs="Times New Roman"/>
          <w:noProof/>
        </w:rPr>
        <w:t>at</w:t>
      </w:r>
      <w:r w:rsidR="00851E0F" w:rsidRPr="3982CBDC">
        <w:rPr>
          <w:rFonts w:cs="Times New Roman"/>
          <w:noProof/>
        </w:rPr>
        <w:t xml:space="preserve"> </w:t>
      </w:r>
      <w:r w:rsidR="00131E99">
        <w:rPr>
          <w:rFonts w:cs="Times New Roman"/>
          <w:noProof/>
        </w:rPr>
        <w:t>the use</w:t>
      </w:r>
      <w:r w:rsidR="0073433C" w:rsidRPr="3982CBDC">
        <w:rPr>
          <w:rFonts w:cs="Times New Roman"/>
          <w:noProof/>
        </w:rPr>
        <w:t xml:space="preserve"> of special custom procedures </w:t>
      </w:r>
      <w:r w:rsidR="00131E99">
        <w:rPr>
          <w:rFonts w:cs="Times New Roman"/>
          <w:noProof/>
        </w:rPr>
        <w:t>(</w:t>
      </w:r>
      <w:r w:rsidR="00FA4D41">
        <w:rPr>
          <w:rFonts w:cs="Times New Roman"/>
          <w:noProof/>
        </w:rPr>
        <w:t>e.g.</w:t>
      </w:r>
      <w:r w:rsidR="002A6449">
        <w:rPr>
          <w:rFonts w:cs="Times New Roman"/>
          <w:noProof/>
        </w:rPr>
        <w:t xml:space="preserve"> “transit”), good</w:t>
      </w:r>
      <w:r w:rsidR="00054DA2">
        <w:rPr>
          <w:rFonts w:cs="Times New Roman"/>
          <w:noProof/>
        </w:rPr>
        <w:t>s</w:t>
      </w:r>
      <w:r w:rsidR="002A6449">
        <w:rPr>
          <w:rFonts w:cs="Times New Roman"/>
          <w:noProof/>
        </w:rPr>
        <w:t xml:space="preserve"> in </w:t>
      </w:r>
      <w:r w:rsidR="0073433C" w:rsidRPr="3982CBDC">
        <w:rPr>
          <w:rFonts w:cs="Times New Roman"/>
          <w:noProof/>
        </w:rPr>
        <w:t>“temporary storage”</w:t>
      </w:r>
      <w:r w:rsidR="00F2072E">
        <w:rPr>
          <w:rFonts w:cs="Times New Roman"/>
          <w:noProof/>
        </w:rPr>
        <w:t>, small customs offices</w:t>
      </w:r>
      <w:r w:rsidR="0073433C" w:rsidRPr="3982CBDC">
        <w:rPr>
          <w:rFonts w:cs="Times New Roman"/>
          <w:noProof/>
        </w:rPr>
        <w:t xml:space="preserve"> </w:t>
      </w:r>
      <w:r w:rsidR="00054DA2">
        <w:rPr>
          <w:rFonts w:cs="Times New Roman"/>
          <w:noProof/>
        </w:rPr>
        <w:t xml:space="preserve">without the relevant know-how </w:t>
      </w:r>
      <w:r w:rsidR="00FD4181" w:rsidRPr="3982CBDC">
        <w:rPr>
          <w:rFonts w:cs="Times New Roman"/>
          <w:noProof/>
        </w:rPr>
        <w:t xml:space="preserve">and </w:t>
      </w:r>
      <w:r w:rsidR="00216674" w:rsidRPr="3982CBDC">
        <w:rPr>
          <w:rFonts w:cs="Times New Roman"/>
          <w:noProof/>
        </w:rPr>
        <w:t>online sales</w:t>
      </w:r>
      <w:r w:rsidR="00054DA2">
        <w:rPr>
          <w:rFonts w:cs="Times New Roman"/>
          <w:noProof/>
        </w:rPr>
        <w:t xml:space="preserve"> are</w:t>
      </w:r>
      <w:r w:rsidR="00131E99">
        <w:rPr>
          <w:rFonts w:cs="Times New Roman"/>
          <w:noProof/>
        </w:rPr>
        <w:t xml:space="preserve"> making enforcement </w:t>
      </w:r>
      <w:r w:rsidR="0075650F">
        <w:rPr>
          <w:rFonts w:cs="Times New Roman"/>
          <w:noProof/>
        </w:rPr>
        <w:t xml:space="preserve">more </w:t>
      </w:r>
      <w:r w:rsidR="00131E99">
        <w:rPr>
          <w:rFonts w:cs="Times New Roman"/>
          <w:noProof/>
        </w:rPr>
        <w:t>difficult</w:t>
      </w:r>
      <w:r w:rsidR="00131E99" w:rsidRPr="3982CBDC">
        <w:rPr>
          <w:rStyle w:val="FootnoteReference"/>
          <w:rFonts w:cs="Times New Roman"/>
          <w:noProof/>
        </w:rPr>
        <w:footnoteReference w:id="44"/>
      </w:r>
      <w:r w:rsidR="00982335">
        <w:rPr>
          <w:rFonts w:cs="Times New Roman"/>
          <w:noProof/>
        </w:rPr>
        <w:t>.</w:t>
      </w:r>
      <w:r w:rsidR="00131E99">
        <w:rPr>
          <w:rFonts w:cs="Times New Roman"/>
          <w:noProof/>
        </w:rPr>
        <w:t xml:space="preserve"> </w:t>
      </w:r>
    </w:p>
    <w:p w14:paraId="25B232FE" w14:textId="77777777" w:rsidR="0073433C" w:rsidRDefault="3982CBDC" w:rsidP="00AD5F1B">
      <w:pPr>
        <w:pStyle w:val="ListParagraph"/>
        <w:numPr>
          <w:ilvl w:val="5"/>
          <w:numId w:val="5"/>
        </w:numPr>
        <w:spacing w:after="120"/>
        <w:ind w:left="2154" w:hanging="357"/>
        <w:contextualSpacing w:val="0"/>
        <w:rPr>
          <w:rFonts w:cs="Times New Roman"/>
          <w:noProof/>
        </w:rPr>
      </w:pPr>
      <w:r w:rsidRPr="3982CBDC">
        <w:rPr>
          <w:rFonts w:cs="Times New Roman"/>
          <w:noProof/>
        </w:rPr>
        <w:t>Drivers</w:t>
      </w:r>
    </w:p>
    <w:p w14:paraId="405B056D" w14:textId="5EC6BF75" w:rsidR="005E3651" w:rsidRPr="00632786" w:rsidRDefault="00FA4D41" w:rsidP="00AD5F1B">
      <w:pPr>
        <w:pStyle w:val="ListParagraph"/>
        <w:numPr>
          <w:ilvl w:val="0"/>
          <w:numId w:val="10"/>
        </w:numPr>
        <w:rPr>
          <w:rFonts w:cs="Times New Roman"/>
          <w:noProof/>
        </w:rPr>
      </w:pPr>
      <w:r w:rsidRPr="00632786">
        <w:rPr>
          <w:rFonts w:cs="Times New Roman"/>
          <w:noProof/>
        </w:rPr>
        <w:t xml:space="preserve">The quota system results in </w:t>
      </w:r>
      <w:r w:rsidR="3982CBDC" w:rsidRPr="00632786">
        <w:rPr>
          <w:rFonts w:cs="Times New Roman"/>
          <w:noProof/>
        </w:rPr>
        <w:t xml:space="preserve">EU HFC prices </w:t>
      </w:r>
      <w:r w:rsidRPr="00632786">
        <w:rPr>
          <w:rFonts w:cs="Times New Roman"/>
          <w:noProof/>
        </w:rPr>
        <w:t xml:space="preserve">that are several times higher than </w:t>
      </w:r>
      <w:r w:rsidR="3982CBDC" w:rsidRPr="00632786">
        <w:rPr>
          <w:rFonts w:cs="Times New Roman"/>
          <w:noProof/>
        </w:rPr>
        <w:t>world market</w:t>
      </w:r>
      <w:r w:rsidRPr="00632786">
        <w:rPr>
          <w:rFonts w:cs="Times New Roman"/>
          <w:noProof/>
        </w:rPr>
        <w:t xml:space="preserve"> prices and </w:t>
      </w:r>
      <w:r w:rsidR="3982CBDC" w:rsidRPr="00632786">
        <w:rPr>
          <w:rFonts w:cs="Times New Roman"/>
          <w:noProof/>
        </w:rPr>
        <w:t xml:space="preserve">makes it </w:t>
      </w:r>
      <w:r w:rsidRPr="00632786">
        <w:rPr>
          <w:rFonts w:cs="Times New Roman"/>
          <w:noProof/>
        </w:rPr>
        <w:t xml:space="preserve">very </w:t>
      </w:r>
      <w:r w:rsidR="3982CBDC" w:rsidRPr="00632786">
        <w:rPr>
          <w:rFonts w:cs="Times New Roman"/>
          <w:bCs/>
          <w:noProof/>
        </w:rPr>
        <w:t>profitable to sell HFCs in the EU</w:t>
      </w:r>
      <w:r w:rsidR="3982CBDC" w:rsidRPr="00632786">
        <w:rPr>
          <w:rFonts w:cs="Times New Roman"/>
          <w:noProof/>
        </w:rPr>
        <w:t>.</w:t>
      </w:r>
    </w:p>
    <w:p w14:paraId="7EEC078D" w14:textId="78F6A897" w:rsidR="00216674" w:rsidRPr="00632786" w:rsidRDefault="3982CBDC" w:rsidP="00AD5F1B">
      <w:pPr>
        <w:pStyle w:val="ListParagraph"/>
        <w:numPr>
          <w:ilvl w:val="0"/>
          <w:numId w:val="10"/>
        </w:numPr>
        <w:spacing w:after="0"/>
        <w:ind w:left="714" w:hanging="357"/>
        <w:rPr>
          <w:rFonts w:cs="Times New Roman"/>
          <w:noProof/>
        </w:rPr>
      </w:pPr>
      <w:r w:rsidRPr="00632786">
        <w:rPr>
          <w:rFonts w:cs="Times New Roman"/>
          <w:noProof/>
        </w:rPr>
        <w:t xml:space="preserve">The Regulation is </w:t>
      </w:r>
      <w:r w:rsidRPr="00632786">
        <w:rPr>
          <w:rFonts w:cs="Times New Roman"/>
          <w:bCs/>
          <w:noProof/>
        </w:rPr>
        <w:t xml:space="preserve">not sufficiently clear on the </w:t>
      </w:r>
      <w:r w:rsidR="00FA4D41" w:rsidRPr="00632786">
        <w:rPr>
          <w:rFonts w:cs="Times New Roman"/>
          <w:bCs/>
          <w:noProof/>
        </w:rPr>
        <w:t xml:space="preserve">enforcement </w:t>
      </w:r>
      <w:r w:rsidRPr="00632786">
        <w:rPr>
          <w:rFonts w:cs="Times New Roman"/>
          <w:bCs/>
          <w:noProof/>
        </w:rPr>
        <w:t>role of customs and surveillance authorities</w:t>
      </w:r>
      <w:r w:rsidRPr="00632786">
        <w:rPr>
          <w:rFonts w:cs="Times New Roman"/>
          <w:noProof/>
        </w:rPr>
        <w:t xml:space="preserve"> (e.g. registration checks; quota limit ch</w:t>
      </w:r>
      <w:r w:rsidR="00870181" w:rsidRPr="00632786">
        <w:rPr>
          <w:rFonts w:cs="Times New Roman"/>
          <w:noProof/>
        </w:rPr>
        <w:t xml:space="preserve">ecks; confiscation </w:t>
      </w:r>
      <w:r w:rsidR="00FA4D41" w:rsidRPr="00632786">
        <w:rPr>
          <w:rFonts w:cs="Times New Roman"/>
          <w:noProof/>
        </w:rPr>
        <w:t>of illegal goods</w:t>
      </w:r>
      <w:r w:rsidRPr="00632786">
        <w:rPr>
          <w:rFonts w:cs="Times New Roman"/>
          <w:noProof/>
        </w:rPr>
        <w:t xml:space="preserve">) and </w:t>
      </w:r>
      <w:r w:rsidR="00982335" w:rsidRPr="00632786">
        <w:rPr>
          <w:rFonts w:cs="Times New Roman"/>
          <w:noProof/>
        </w:rPr>
        <w:t xml:space="preserve">the </w:t>
      </w:r>
      <w:r w:rsidRPr="00632786">
        <w:rPr>
          <w:rFonts w:cs="Times New Roman"/>
          <w:bCs/>
          <w:noProof/>
        </w:rPr>
        <w:t>requirements for importers</w:t>
      </w:r>
      <w:r w:rsidR="00DD4479">
        <w:rPr>
          <w:rFonts w:cs="Times New Roman"/>
          <w:noProof/>
        </w:rPr>
        <w:t>.</w:t>
      </w:r>
      <w:r w:rsidRPr="00632786">
        <w:rPr>
          <w:rFonts w:cs="Times New Roman"/>
          <w:noProof/>
        </w:rPr>
        <w:t xml:space="preserve"> </w:t>
      </w:r>
    </w:p>
    <w:p w14:paraId="35762689" w14:textId="7AF95480" w:rsidR="00262E6C" w:rsidRPr="00632786" w:rsidRDefault="00262E6C" w:rsidP="00AD5F1B">
      <w:pPr>
        <w:pStyle w:val="ListParagraph"/>
        <w:numPr>
          <w:ilvl w:val="0"/>
          <w:numId w:val="10"/>
        </w:numPr>
        <w:rPr>
          <w:rFonts w:cs="Times New Roman"/>
          <w:noProof/>
        </w:rPr>
      </w:pPr>
      <w:r w:rsidRPr="00632786">
        <w:rPr>
          <w:rFonts w:cs="Times New Roman"/>
          <w:bCs/>
          <w:noProof/>
        </w:rPr>
        <w:t>HFC imports</w:t>
      </w:r>
      <w:r w:rsidRPr="00632786">
        <w:rPr>
          <w:rFonts w:cs="Times New Roman"/>
          <w:noProof/>
        </w:rPr>
        <w:t xml:space="preserve"> under </w:t>
      </w:r>
      <w:r w:rsidRPr="00632786">
        <w:rPr>
          <w:rFonts w:cs="Times New Roman"/>
          <w:bCs/>
          <w:noProof/>
        </w:rPr>
        <w:t>special custom</w:t>
      </w:r>
      <w:r w:rsidR="002A6449">
        <w:rPr>
          <w:rFonts w:cs="Times New Roman"/>
          <w:bCs/>
          <w:noProof/>
        </w:rPr>
        <w:t>s</w:t>
      </w:r>
      <w:r w:rsidRPr="00632786">
        <w:rPr>
          <w:rFonts w:cs="Times New Roman"/>
          <w:bCs/>
          <w:noProof/>
        </w:rPr>
        <w:t xml:space="preserve"> procedures do not require quota and it is difficult to monitor if the HFCs are </w:t>
      </w:r>
      <w:r w:rsidR="00C353D3" w:rsidRPr="00632786">
        <w:rPr>
          <w:rFonts w:cs="Times New Roman"/>
          <w:bCs/>
          <w:noProof/>
        </w:rPr>
        <w:t xml:space="preserve">suddenly </w:t>
      </w:r>
      <w:r w:rsidR="00C30BAA" w:rsidRPr="00632786">
        <w:rPr>
          <w:rFonts w:cs="Times New Roman"/>
          <w:bCs/>
          <w:noProof/>
        </w:rPr>
        <w:t>released</w:t>
      </w:r>
      <w:r w:rsidRPr="00632786">
        <w:rPr>
          <w:rFonts w:cs="Times New Roman"/>
          <w:bCs/>
          <w:noProof/>
        </w:rPr>
        <w:t xml:space="preserve"> </w:t>
      </w:r>
      <w:r w:rsidR="00C353D3" w:rsidRPr="00632786">
        <w:rPr>
          <w:rFonts w:cs="Times New Roman"/>
          <w:bCs/>
          <w:noProof/>
        </w:rPr>
        <w:t xml:space="preserve">in the </w:t>
      </w:r>
      <w:r w:rsidR="00C30BAA" w:rsidRPr="00632786">
        <w:rPr>
          <w:rFonts w:cs="Times New Roman"/>
          <w:bCs/>
          <w:noProof/>
        </w:rPr>
        <w:t>EU</w:t>
      </w:r>
      <w:r w:rsidR="00C353D3" w:rsidRPr="00632786">
        <w:rPr>
          <w:rFonts w:cs="Times New Roman"/>
          <w:bCs/>
          <w:noProof/>
        </w:rPr>
        <w:t xml:space="preserve"> </w:t>
      </w:r>
      <w:r w:rsidR="00031865">
        <w:rPr>
          <w:rFonts w:cs="Times New Roman"/>
          <w:bCs/>
          <w:noProof/>
        </w:rPr>
        <w:t>without</w:t>
      </w:r>
      <w:r w:rsidR="00C353D3" w:rsidRPr="00632786">
        <w:rPr>
          <w:rFonts w:cs="Times New Roman"/>
          <w:bCs/>
          <w:noProof/>
        </w:rPr>
        <w:t xml:space="preserve"> quota</w:t>
      </w:r>
      <w:r w:rsidRPr="00632786">
        <w:rPr>
          <w:rFonts w:cs="Times New Roman"/>
          <w:noProof/>
        </w:rPr>
        <w:t>;</w:t>
      </w:r>
    </w:p>
    <w:p w14:paraId="10B13768" w14:textId="08D7ED22" w:rsidR="00262E6C" w:rsidRPr="00632786" w:rsidRDefault="00262E6C" w:rsidP="00AD5F1B">
      <w:pPr>
        <w:pStyle w:val="ListParagraph"/>
        <w:numPr>
          <w:ilvl w:val="0"/>
          <w:numId w:val="10"/>
        </w:numPr>
        <w:rPr>
          <w:rFonts w:cs="Times New Roman"/>
          <w:noProof/>
        </w:rPr>
      </w:pPr>
      <w:r w:rsidRPr="00632786">
        <w:rPr>
          <w:rFonts w:cs="Times New Roman"/>
          <w:noProof/>
        </w:rPr>
        <w:t>It is difficult to monitor imports via on-line sale</w:t>
      </w:r>
      <w:r w:rsidR="00054DA2">
        <w:rPr>
          <w:rFonts w:cs="Times New Roman"/>
          <w:noProof/>
        </w:rPr>
        <w:t>s</w:t>
      </w:r>
      <w:r w:rsidRPr="00632786">
        <w:rPr>
          <w:rFonts w:cs="Times New Roman"/>
          <w:noProof/>
        </w:rPr>
        <w:t xml:space="preserve"> </w:t>
      </w:r>
      <w:r w:rsidR="00632786" w:rsidRPr="00632786">
        <w:rPr>
          <w:rFonts w:cs="Times New Roman"/>
          <w:noProof/>
        </w:rPr>
        <w:t xml:space="preserve">that are </w:t>
      </w:r>
      <w:r w:rsidRPr="00632786">
        <w:rPr>
          <w:rFonts w:cs="Times New Roman"/>
          <w:noProof/>
        </w:rPr>
        <w:t xml:space="preserve">subject to quota; </w:t>
      </w:r>
    </w:p>
    <w:p w14:paraId="06C560ED" w14:textId="4B238C70" w:rsidR="0028145F" w:rsidRPr="00632786" w:rsidRDefault="00031865" w:rsidP="00AD5F1B">
      <w:pPr>
        <w:pStyle w:val="ListParagraph"/>
        <w:numPr>
          <w:ilvl w:val="0"/>
          <w:numId w:val="10"/>
        </w:numPr>
        <w:spacing w:after="120"/>
        <w:ind w:left="714" w:hanging="357"/>
        <w:rPr>
          <w:rFonts w:cs="Times New Roman"/>
          <w:noProof/>
        </w:rPr>
      </w:pPr>
      <w:r>
        <w:rPr>
          <w:rFonts w:cs="Times New Roman"/>
          <w:noProof/>
        </w:rPr>
        <w:t>N</w:t>
      </w:r>
      <w:r w:rsidR="00205859" w:rsidRPr="00632786">
        <w:rPr>
          <w:rFonts w:cs="Times New Roman"/>
          <w:noProof/>
        </w:rPr>
        <w:t>on</w:t>
      </w:r>
      <w:r w:rsidR="3982CBDC" w:rsidRPr="00632786">
        <w:rPr>
          <w:rFonts w:cs="Times New Roman"/>
          <w:noProof/>
        </w:rPr>
        <w:t>-EU countri</w:t>
      </w:r>
      <w:r>
        <w:rPr>
          <w:rFonts w:cs="Times New Roman"/>
          <w:noProof/>
        </w:rPr>
        <w:t xml:space="preserve">es starting later </w:t>
      </w:r>
      <w:r w:rsidR="00DD4479">
        <w:rPr>
          <w:rFonts w:cs="Times New Roman"/>
          <w:noProof/>
        </w:rPr>
        <w:t xml:space="preserve">than the EU </w:t>
      </w:r>
      <w:r>
        <w:rPr>
          <w:rFonts w:cs="Times New Roman"/>
          <w:noProof/>
        </w:rPr>
        <w:t xml:space="preserve">with </w:t>
      </w:r>
      <w:r w:rsidR="006C2010" w:rsidRPr="00632786">
        <w:rPr>
          <w:rFonts w:cs="Times New Roman"/>
          <w:noProof/>
        </w:rPr>
        <w:t>HFC</w:t>
      </w:r>
      <w:r w:rsidR="3982CBDC" w:rsidRPr="00632786">
        <w:rPr>
          <w:rFonts w:cs="Times New Roman"/>
          <w:noProof/>
        </w:rPr>
        <w:t xml:space="preserve"> restrictions</w:t>
      </w:r>
      <w:r>
        <w:rPr>
          <w:rFonts w:cs="Times New Roman"/>
          <w:noProof/>
        </w:rPr>
        <w:t xml:space="preserve"> and </w:t>
      </w:r>
      <w:r w:rsidR="002E392A">
        <w:rPr>
          <w:rFonts w:cs="Times New Roman"/>
          <w:noProof/>
        </w:rPr>
        <w:t>licensing</w:t>
      </w:r>
      <w:r w:rsidR="00054DA2">
        <w:rPr>
          <w:rFonts w:cs="Times New Roman"/>
          <w:noProof/>
        </w:rPr>
        <w:t>;</w:t>
      </w:r>
    </w:p>
    <w:p w14:paraId="5D241014" w14:textId="64D7859A" w:rsidR="00FB6237" w:rsidRDefault="00031865" w:rsidP="00AD5F1B">
      <w:pPr>
        <w:pStyle w:val="ListParagraph"/>
        <w:numPr>
          <w:ilvl w:val="0"/>
          <w:numId w:val="10"/>
        </w:numPr>
        <w:spacing w:after="120"/>
        <w:ind w:left="714" w:hanging="357"/>
        <w:contextualSpacing w:val="0"/>
        <w:rPr>
          <w:rFonts w:cs="Times New Roman"/>
          <w:noProof/>
        </w:rPr>
      </w:pPr>
      <w:r>
        <w:rPr>
          <w:rFonts w:cs="Times New Roman"/>
          <w:bCs/>
          <w:noProof/>
        </w:rPr>
        <w:t xml:space="preserve">Very </w:t>
      </w:r>
      <w:r w:rsidR="00C77B09">
        <w:rPr>
          <w:rFonts w:cs="Times New Roman"/>
          <w:bCs/>
          <w:noProof/>
        </w:rPr>
        <w:t>heterogeneous</w:t>
      </w:r>
      <w:r>
        <w:rPr>
          <w:rFonts w:cs="Times New Roman"/>
          <w:bCs/>
          <w:noProof/>
        </w:rPr>
        <w:t xml:space="preserve"> </w:t>
      </w:r>
      <w:r w:rsidR="3982CBDC" w:rsidRPr="00632786">
        <w:rPr>
          <w:rFonts w:cs="Times New Roman"/>
          <w:bCs/>
          <w:noProof/>
        </w:rPr>
        <w:t>penalties</w:t>
      </w:r>
      <w:r w:rsidR="0075650F" w:rsidRPr="00632786">
        <w:rPr>
          <w:rFonts w:cs="Times New Roman"/>
          <w:bCs/>
          <w:noProof/>
        </w:rPr>
        <w:t xml:space="preserve"> </w:t>
      </w:r>
      <w:r w:rsidR="00C77B09">
        <w:rPr>
          <w:rFonts w:cs="Times New Roman"/>
          <w:noProof/>
        </w:rPr>
        <w:t xml:space="preserve">in Member States, </w:t>
      </w:r>
      <w:r>
        <w:rPr>
          <w:rFonts w:cs="Times New Roman"/>
          <w:noProof/>
        </w:rPr>
        <w:t xml:space="preserve">some </w:t>
      </w:r>
      <w:r w:rsidR="00C77B09">
        <w:rPr>
          <w:rFonts w:cs="Times New Roman"/>
          <w:noProof/>
        </w:rPr>
        <w:t xml:space="preserve">of which </w:t>
      </w:r>
      <w:r>
        <w:rPr>
          <w:rFonts w:cs="Times New Roman"/>
          <w:noProof/>
        </w:rPr>
        <w:t xml:space="preserve">may not be </w:t>
      </w:r>
      <w:r w:rsidR="0075650F" w:rsidRPr="00632786">
        <w:rPr>
          <w:rFonts w:cs="Times New Roman"/>
          <w:noProof/>
        </w:rPr>
        <w:t>dissuasive</w:t>
      </w:r>
      <w:r>
        <w:rPr>
          <w:rFonts w:cs="Times New Roman"/>
          <w:noProof/>
        </w:rPr>
        <w:t>.</w:t>
      </w:r>
      <w:r w:rsidR="0075650F" w:rsidRPr="00632786">
        <w:rPr>
          <w:rFonts w:cs="Times New Roman"/>
          <w:noProof/>
        </w:rPr>
        <w:t xml:space="preserve"> </w:t>
      </w:r>
      <w:r w:rsidR="00B8106A">
        <w:rPr>
          <w:rFonts w:cs="Times New Roman"/>
          <w:noProof/>
        </w:rPr>
        <w:t>While in some countries criminal sanctions are possible, in others the perpetrators risk fines that are considerably smaller than the profit made from gas smuggling.</w:t>
      </w:r>
    </w:p>
    <w:p w14:paraId="7EBE3939" w14:textId="4AAA39AB" w:rsidR="00925081" w:rsidRDefault="00867B41" w:rsidP="00AD5F1B">
      <w:pPr>
        <w:pStyle w:val="ListParagraph"/>
        <w:numPr>
          <w:ilvl w:val="5"/>
          <w:numId w:val="5"/>
        </w:numPr>
        <w:spacing w:after="120"/>
        <w:rPr>
          <w:rFonts w:cs="Times New Roman"/>
          <w:noProof/>
        </w:rPr>
      </w:pPr>
      <w:r>
        <w:rPr>
          <w:rFonts w:cs="Times New Roman"/>
          <w:noProof/>
        </w:rPr>
        <w:t xml:space="preserve"> </w:t>
      </w:r>
      <w:r w:rsidR="3982CBDC" w:rsidRPr="3982CBDC">
        <w:rPr>
          <w:rFonts w:cs="Times New Roman"/>
          <w:noProof/>
        </w:rPr>
        <w:t>How the problem will evolve</w:t>
      </w:r>
    </w:p>
    <w:p w14:paraId="62A63531" w14:textId="1E6672B1" w:rsidR="0028145F" w:rsidRPr="00925081" w:rsidRDefault="00205859" w:rsidP="3982CBDC">
      <w:pPr>
        <w:spacing w:after="120"/>
        <w:rPr>
          <w:rFonts w:cs="Times New Roman"/>
          <w:noProof/>
        </w:rPr>
      </w:pPr>
      <w:r>
        <w:rPr>
          <w:rFonts w:cs="Times New Roman"/>
          <w:noProof/>
        </w:rPr>
        <w:t xml:space="preserve">The quantities of HFCs circumventing the quota system will remain at an unsatisfactory level. The incentive to trade </w:t>
      </w:r>
      <w:r w:rsidR="00064265">
        <w:rPr>
          <w:rFonts w:cs="Times New Roman"/>
          <w:noProof/>
        </w:rPr>
        <w:t xml:space="preserve">illegally will continue </w:t>
      </w:r>
      <w:r>
        <w:rPr>
          <w:rFonts w:cs="Times New Roman"/>
          <w:noProof/>
        </w:rPr>
        <w:t>or even</w:t>
      </w:r>
      <w:r w:rsidR="00F47298">
        <w:rPr>
          <w:rFonts w:cs="Times New Roman"/>
          <w:noProof/>
        </w:rPr>
        <w:t xml:space="preserve"> </w:t>
      </w:r>
      <w:r w:rsidR="00064265">
        <w:rPr>
          <w:rFonts w:cs="Times New Roman"/>
          <w:noProof/>
        </w:rPr>
        <w:t xml:space="preserve">increase </w:t>
      </w:r>
      <w:r w:rsidR="00925081" w:rsidRPr="3982CBDC">
        <w:rPr>
          <w:rFonts w:cs="Times New Roman"/>
          <w:noProof/>
        </w:rPr>
        <w:t xml:space="preserve">as </w:t>
      </w:r>
      <w:r w:rsidR="00064265">
        <w:rPr>
          <w:rFonts w:cs="Times New Roman"/>
          <w:noProof/>
        </w:rPr>
        <w:t xml:space="preserve">EU HFC prices </w:t>
      </w:r>
      <w:r w:rsidR="00F47298">
        <w:rPr>
          <w:rFonts w:cs="Times New Roman"/>
          <w:noProof/>
        </w:rPr>
        <w:t xml:space="preserve">may </w:t>
      </w:r>
      <w:r w:rsidR="00064265">
        <w:rPr>
          <w:rFonts w:cs="Times New Roman"/>
          <w:noProof/>
        </w:rPr>
        <w:t>increase further</w:t>
      </w:r>
      <w:r w:rsidR="008C3D53">
        <w:rPr>
          <w:rFonts w:cs="Times New Roman"/>
          <w:noProof/>
        </w:rPr>
        <w:t>,</w:t>
      </w:r>
      <w:r w:rsidR="00064265">
        <w:rPr>
          <w:rFonts w:cs="Times New Roman"/>
          <w:noProof/>
        </w:rPr>
        <w:t xml:space="preserve"> when </w:t>
      </w:r>
      <w:r w:rsidR="00064265" w:rsidRPr="3982CBDC">
        <w:rPr>
          <w:rFonts w:cs="Times New Roman"/>
          <w:noProof/>
        </w:rPr>
        <w:t xml:space="preserve">the quota </w:t>
      </w:r>
      <w:r w:rsidR="00064265">
        <w:rPr>
          <w:rFonts w:cs="Times New Roman"/>
          <w:noProof/>
        </w:rPr>
        <w:t>limits</w:t>
      </w:r>
      <w:r w:rsidR="00064265" w:rsidRPr="3982CBDC">
        <w:rPr>
          <w:rFonts w:cs="Times New Roman"/>
          <w:noProof/>
        </w:rPr>
        <w:t xml:space="preserve"> become tighter</w:t>
      </w:r>
      <w:r w:rsidR="00925081" w:rsidRPr="3982CBDC">
        <w:rPr>
          <w:rFonts w:cs="Times New Roman"/>
          <w:noProof/>
        </w:rPr>
        <w:t>.</w:t>
      </w:r>
      <w:r w:rsidR="00064265">
        <w:rPr>
          <w:rFonts w:cs="Times New Roman"/>
          <w:noProof/>
        </w:rPr>
        <w:t xml:space="preserve"> </w:t>
      </w:r>
      <w:r>
        <w:rPr>
          <w:rFonts w:cs="Times New Roman"/>
          <w:noProof/>
        </w:rPr>
        <w:t xml:space="preserve">The situation </w:t>
      </w:r>
      <w:r w:rsidR="00064265">
        <w:rPr>
          <w:rFonts w:cs="Times New Roman"/>
          <w:noProof/>
        </w:rPr>
        <w:t xml:space="preserve">may </w:t>
      </w:r>
      <w:r>
        <w:rPr>
          <w:rFonts w:cs="Times New Roman"/>
          <w:noProof/>
        </w:rPr>
        <w:t xml:space="preserve">improve </w:t>
      </w:r>
      <w:r w:rsidR="008C3D53">
        <w:rPr>
          <w:rFonts w:cs="Times New Roman"/>
          <w:noProof/>
        </w:rPr>
        <w:t xml:space="preserve">somewhat </w:t>
      </w:r>
      <w:r>
        <w:rPr>
          <w:rFonts w:cs="Times New Roman"/>
          <w:noProof/>
        </w:rPr>
        <w:t>when more and more</w:t>
      </w:r>
      <w:r w:rsidR="00851E0F" w:rsidRPr="3982CBDC">
        <w:rPr>
          <w:rFonts w:cs="Times New Roman"/>
          <w:noProof/>
        </w:rPr>
        <w:t xml:space="preserve"> Parties ratify the </w:t>
      </w:r>
      <w:r w:rsidR="00064265">
        <w:rPr>
          <w:rFonts w:cs="Times New Roman"/>
          <w:noProof/>
        </w:rPr>
        <w:t xml:space="preserve">Kigali Amendment </w:t>
      </w:r>
      <w:r w:rsidR="00851E0F" w:rsidRPr="3982CBDC">
        <w:rPr>
          <w:rFonts w:cs="Times New Roman"/>
          <w:noProof/>
        </w:rPr>
        <w:t xml:space="preserve">and </w:t>
      </w:r>
      <w:r w:rsidR="00327F12" w:rsidRPr="3982CBDC">
        <w:rPr>
          <w:rFonts w:cs="Times New Roman"/>
          <w:noProof/>
        </w:rPr>
        <w:t>CERTEX</w:t>
      </w:r>
      <w:r w:rsidR="00327F12" w:rsidRPr="3982CBDC">
        <w:rPr>
          <w:rStyle w:val="FootnoteReference"/>
          <w:rFonts w:cs="Times New Roman"/>
          <w:noProof/>
        </w:rPr>
        <w:footnoteReference w:id="45"/>
      </w:r>
      <w:r w:rsidR="00327F12" w:rsidRPr="3982CBDC">
        <w:rPr>
          <w:rFonts w:cs="Times New Roman"/>
          <w:noProof/>
        </w:rPr>
        <w:t xml:space="preserve"> and </w:t>
      </w:r>
      <w:r w:rsidR="0066456C">
        <w:rPr>
          <w:rFonts w:cs="Times New Roman"/>
          <w:noProof/>
        </w:rPr>
        <w:t>t</w:t>
      </w:r>
      <w:r w:rsidR="0028145F" w:rsidRPr="3982CBDC">
        <w:rPr>
          <w:rFonts w:cs="Times New Roman"/>
          <w:noProof/>
        </w:rPr>
        <w:t xml:space="preserve">he EU Single </w:t>
      </w:r>
      <w:r w:rsidR="002A6449">
        <w:rPr>
          <w:rFonts w:cs="Times New Roman"/>
          <w:noProof/>
        </w:rPr>
        <w:t xml:space="preserve">Window </w:t>
      </w:r>
      <w:r w:rsidR="0028145F" w:rsidRPr="3982CBDC">
        <w:rPr>
          <w:rFonts w:cs="Times New Roman"/>
          <w:noProof/>
        </w:rPr>
        <w:t>Environment for Customs</w:t>
      </w:r>
      <w:r w:rsidR="0028145F" w:rsidRPr="3982CBDC">
        <w:rPr>
          <w:rStyle w:val="FootnoteReference"/>
          <w:rFonts w:cs="Times New Roman"/>
          <w:noProof/>
        </w:rPr>
        <w:footnoteReference w:id="46"/>
      </w:r>
      <w:r w:rsidR="00327F12" w:rsidRPr="3982CBDC">
        <w:rPr>
          <w:rFonts w:cs="Times New Roman"/>
          <w:noProof/>
        </w:rPr>
        <w:t xml:space="preserve"> </w:t>
      </w:r>
      <w:r w:rsidR="008C3D53">
        <w:rPr>
          <w:rFonts w:cs="Times New Roman"/>
          <w:noProof/>
        </w:rPr>
        <w:t>can be used for more systematic controls of HFC imports. However</w:t>
      </w:r>
      <w:r w:rsidR="00054DA2">
        <w:rPr>
          <w:rFonts w:cs="Times New Roman"/>
          <w:noProof/>
        </w:rPr>
        <w:t>,</w:t>
      </w:r>
      <w:r w:rsidR="008C3D53">
        <w:rPr>
          <w:rFonts w:cs="Times New Roman"/>
          <w:noProof/>
        </w:rPr>
        <w:t xml:space="preserve"> this link can only be </w:t>
      </w:r>
      <w:r w:rsidR="002A6449">
        <w:rPr>
          <w:rFonts w:cs="Times New Roman"/>
          <w:noProof/>
        </w:rPr>
        <w:t xml:space="preserve">fully effective </w:t>
      </w:r>
      <w:r w:rsidR="008C3D53">
        <w:rPr>
          <w:rFonts w:cs="Times New Roman"/>
          <w:noProof/>
        </w:rPr>
        <w:t xml:space="preserve">with more </w:t>
      </w:r>
      <w:r>
        <w:rPr>
          <w:rFonts w:cs="Times New Roman"/>
          <w:noProof/>
        </w:rPr>
        <w:t xml:space="preserve">specific </w:t>
      </w:r>
      <w:r w:rsidR="00982335">
        <w:rPr>
          <w:rFonts w:cs="Times New Roman"/>
          <w:noProof/>
        </w:rPr>
        <w:t>obligations in the Regulation</w:t>
      </w:r>
      <w:r w:rsidR="008C3D53">
        <w:rPr>
          <w:rFonts w:cs="Times New Roman"/>
          <w:noProof/>
        </w:rPr>
        <w:t xml:space="preserve"> and it will not address HFCs that are </w:t>
      </w:r>
      <w:r w:rsidR="00DD4479">
        <w:rPr>
          <w:rFonts w:cs="Times New Roman"/>
          <w:noProof/>
        </w:rPr>
        <w:t>not correctly declared</w:t>
      </w:r>
      <w:r w:rsidR="00F47298">
        <w:rPr>
          <w:rFonts w:cs="Times New Roman"/>
          <w:noProof/>
        </w:rPr>
        <w:t>.</w:t>
      </w:r>
      <w:r w:rsidR="00855455">
        <w:rPr>
          <w:rFonts w:cs="Times New Roman"/>
          <w:noProof/>
        </w:rPr>
        <w:t xml:space="preserve"> </w:t>
      </w:r>
    </w:p>
    <w:p w14:paraId="1D5391D0" w14:textId="1F934E5C" w:rsidR="00925081" w:rsidRDefault="00E04F0C" w:rsidP="00E04F0C">
      <w:pPr>
        <w:pStyle w:val="Heading4"/>
        <w:rPr>
          <w:noProof/>
        </w:rPr>
      </w:pPr>
      <w:r w:rsidRPr="00E04F0C">
        <w:t>2.1.3.2.</w:t>
      </w:r>
      <w:r w:rsidRPr="00E04F0C">
        <w:tab/>
      </w:r>
      <w:r w:rsidR="00A31BA2">
        <w:rPr>
          <w:noProof/>
        </w:rPr>
        <w:t xml:space="preserve">Rogue traders: </w:t>
      </w:r>
      <w:r w:rsidR="3982CBDC">
        <w:rPr>
          <w:noProof/>
        </w:rPr>
        <w:t>Multiplication of gas importers with speculative motives</w:t>
      </w:r>
    </w:p>
    <w:p w14:paraId="2A0D9974" w14:textId="77777777" w:rsidR="00463315" w:rsidRDefault="3982CBDC" w:rsidP="00AD5F1B">
      <w:pPr>
        <w:numPr>
          <w:ilvl w:val="5"/>
          <w:numId w:val="4"/>
        </w:numPr>
        <w:spacing w:after="120"/>
        <w:rPr>
          <w:rFonts w:cs="Times New Roman"/>
          <w:noProof/>
        </w:rPr>
      </w:pPr>
      <w:r w:rsidRPr="3982CBDC">
        <w:rPr>
          <w:rFonts w:cs="Times New Roman"/>
          <w:noProof/>
        </w:rPr>
        <w:t>Status quo of the issue</w:t>
      </w:r>
    </w:p>
    <w:p w14:paraId="6ED5877C" w14:textId="5C10AADB" w:rsidR="006A4668" w:rsidRPr="00463315" w:rsidRDefault="00CE1F13" w:rsidP="3982CBDC">
      <w:pPr>
        <w:spacing w:after="120"/>
        <w:rPr>
          <w:rFonts w:cs="Times New Roman"/>
          <w:noProof/>
        </w:rPr>
      </w:pPr>
      <w:r w:rsidRPr="00CE1F13">
        <w:rPr>
          <w:rFonts w:cs="Times New Roman"/>
          <w:bCs/>
          <w:noProof/>
        </w:rPr>
        <w:t>The evaluation show</w:t>
      </w:r>
      <w:r>
        <w:rPr>
          <w:rFonts w:cs="Times New Roman"/>
          <w:bCs/>
          <w:noProof/>
        </w:rPr>
        <w:t>s</w:t>
      </w:r>
      <w:r w:rsidRPr="00CE1F13">
        <w:rPr>
          <w:rFonts w:cs="Times New Roman"/>
          <w:bCs/>
          <w:noProof/>
        </w:rPr>
        <w:t xml:space="preserve"> that</w:t>
      </w:r>
      <w:r>
        <w:rPr>
          <w:rFonts w:cs="Times New Roman"/>
          <w:b/>
          <w:bCs/>
          <w:noProof/>
        </w:rPr>
        <w:t xml:space="preserve"> t</w:t>
      </w:r>
      <w:r w:rsidR="3982CBDC" w:rsidRPr="3982CBDC">
        <w:rPr>
          <w:rFonts w:cs="Times New Roman"/>
          <w:b/>
          <w:bCs/>
          <w:noProof/>
        </w:rPr>
        <w:t xml:space="preserve">he number of </w:t>
      </w:r>
      <w:r w:rsidR="006C1E5D">
        <w:rPr>
          <w:rFonts w:cs="Times New Roman"/>
          <w:b/>
          <w:bCs/>
          <w:noProof/>
        </w:rPr>
        <w:t>quota holders</w:t>
      </w:r>
      <w:r w:rsidR="3982CBDC" w:rsidRPr="3982CBDC">
        <w:rPr>
          <w:rFonts w:cs="Times New Roman"/>
          <w:b/>
          <w:bCs/>
          <w:noProof/>
        </w:rPr>
        <w:t xml:space="preserve"> increased by a factor of more than twenty </w:t>
      </w:r>
      <w:r w:rsidR="000F4A8E">
        <w:rPr>
          <w:rFonts w:cs="Times New Roman"/>
          <w:bCs/>
          <w:noProof/>
        </w:rPr>
        <w:t>from</w:t>
      </w:r>
      <w:r w:rsidR="3982CBDC" w:rsidRPr="3982CBDC">
        <w:rPr>
          <w:rFonts w:cs="Times New Roman"/>
          <w:noProof/>
        </w:rPr>
        <w:t xml:space="preserve"> 2012 </w:t>
      </w:r>
      <w:r w:rsidR="000F4A8E">
        <w:rPr>
          <w:rFonts w:cs="Times New Roman"/>
          <w:noProof/>
        </w:rPr>
        <w:t>to</w:t>
      </w:r>
      <w:r w:rsidR="3982CBDC" w:rsidRPr="3982CBDC">
        <w:rPr>
          <w:rFonts w:cs="Times New Roman"/>
          <w:noProof/>
        </w:rPr>
        <w:t xml:space="preserve"> 2019</w:t>
      </w:r>
      <w:r>
        <w:rPr>
          <w:rFonts w:cs="Times New Roman"/>
          <w:noProof/>
        </w:rPr>
        <w:t xml:space="preserve"> and that this type of increase is undesirable</w:t>
      </w:r>
      <w:r w:rsidR="00F47298">
        <w:rPr>
          <w:rFonts w:cs="Times New Roman"/>
          <w:noProof/>
        </w:rPr>
        <w:t xml:space="preserve">. </w:t>
      </w:r>
      <w:r>
        <w:rPr>
          <w:rFonts w:cs="Times New Roman"/>
          <w:noProof/>
        </w:rPr>
        <w:t>It has happened for the following reasons.</w:t>
      </w:r>
      <w:r w:rsidR="00F47298">
        <w:rPr>
          <w:rFonts w:cs="Times New Roman"/>
          <w:noProof/>
        </w:rPr>
        <w:t xml:space="preserve"> </w:t>
      </w:r>
      <w:r w:rsidR="006C1E5D">
        <w:rPr>
          <w:rFonts w:cs="Times New Roman"/>
          <w:noProof/>
        </w:rPr>
        <w:t xml:space="preserve">Quota is allocated </w:t>
      </w:r>
      <w:r>
        <w:rPr>
          <w:rFonts w:cs="Times New Roman"/>
          <w:noProof/>
        </w:rPr>
        <w:t xml:space="preserve">partly </w:t>
      </w:r>
      <w:r w:rsidR="006C1E5D">
        <w:rPr>
          <w:rFonts w:cs="Times New Roman"/>
          <w:noProof/>
        </w:rPr>
        <w:t xml:space="preserve">to market participants based on historic market share, i.e. “grandfathering”, </w:t>
      </w:r>
      <w:r>
        <w:rPr>
          <w:rFonts w:cs="Times New Roman"/>
          <w:noProof/>
        </w:rPr>
        <w:t xml:space="preserve">partly from </w:t>
      </w:r>
      <w:r w:rsidR="006C1E5D">
        <w:rPr>
          <w:rFonts w:cs="Times New Roman"/>
          <w:noProof/>
        </w:rPr>
        <w:t xml:space="preserve">a quota reserve (ca 11%) </w:t>
      </w:r>
      <w:r w:rsidR="002E392A">
        <w:rPr>
          <w:rFonts w:cs="Times New Roman"/>
          <w:noProof/>
        </w:rPr>
        <w:t>whose</w:t>
      </w:r>
      <w:r>
        <w:rPr>
          <w:rFonts w:cs="Times New Roman"/>
          <w:noProof/>
        </w:rPr>
        <w:t xml:space="preserve"> </w:t>
      </w:r>
      <w:r w:rsidR="00104C76">
        <w:rPr>
          <w:rFonts w:cs="Times New Roman"/>
          <w:noProof/>
        </w:rPr>
        <w:t>distribut</w:t>
      </w:r>
      <w:r>
        <w:rPr>
          <w:rFonts w:cs="Times New Roman"/>
          <w:noProof/>
        </w:rPr>
        <w:t>ion is</w:t>
      </w:r>
      <w:r w:rsidR="00104C76">
        <w:rPr>
          <w:rFonts w:cs="Times New Roman"/>
          <w:noProof/>
        </w:rPr>
        <w:t xml:space="preserve"> based on a</w:t>
      </w:r>
      <w:r w:rsidR="006C1E5D">
        <w:rPr>
          <w:rFonts w:cs="Times New Roman"/>
          <w:noProof/>
        </w:rPr>
        <w:t xml:space="preserve"> declared intention to market HFCs</w:t>
      </w:r>
      <w:r w:rsidR="00104C76">
        <w:rPr>
          <w:rFonts w:cs="Times New Roman"/>
          <w:noProof/>
        </w:rPr>
        <w:t>, including to new companies</w:t>
      </w:r>
      <w:r w:rsidR="006C1E5D">
        <w:rPr>
          <w:rFonts w:cs="Times New Roman"/>
          <w:noProof/>
        </w:rPr>
        <w:t xml:space="preserve">. </w:t>
      </w:r>
      <w:r w:rsidR="00104C76">
        <w:rPr>
          <w:rFonts w:cs="Times New Roman"/>
          <w:noProof/>
        </w:rPr>
        <w:t>This electronic declaration</w:t>
      </w:r>
      <w:r w:rsidR="006C1E5D">
        <w:rPr>
          <w:rFonts w:cs="Times New Roman"/>
          <w:noProof/>
        </w:rPr>
        <w:t xml:space="preserve"> </w:t>
      </w:r>
      <w:r w:rsidR="00104C76">
        <w:rPr>
          <w:rFonts w:cs="Times New Roman"/>
          <w:noProof/>
        </w:rPr>
        <w:t xml:space="preserve">requires a </w:t>
      </w:r>
      <w:r w:rsidR="006C1E5D">
        <w:rPr>
          <w:rFonts w:cs="Times New Roman"/>
          <w:noProof/>
        </w:rPr>
        <w:t>registration process to the electronic registry operated by DG CLIMA</w:t>
      </w:r>
      <w:r w:rsidR="00104C76">
        <w:rPr>
          <w:rFonts w:cs="Times New Roman"/>
          <w:noProof/>
        </w:rPr>
        <w:t>, which was initially a low burden process</w:t>
      </w:r>
      <w:r w:rsidR="006C1E5D">
        <w:rPr>
          <w:rFonts w:cs="Times New Roman"/>
          <w:noProof/>
        </w:rPr>
        <w:t xml:space="preserve"> requiring little more than a VAT number. </w:t>
      </w:r>
      <w:r w:rsidR="00F47298">
        <w:rPr>
          <w:rFonts w:cs="Times New Roman"/>
          <w:noProof/>
        </w:rPr>
        <w:t>M</w:t>
      </w:r>
      <w:r w:rsidR="3982CBDC" w:rsidRPr="3982CBDC">
        <w:rPr>
          <w:rFonts w:cs="Times New Roman"/>
          <w:noProof/>
        </w:rPr>
        <w:t xml:space="preserve">any companies </w:t>
      </w:r>
      <w:r w:rsidR="00104C76">
        <w:rPr>
          <w:rFonts w:cs="Times New Roman"/>
          <w:noProof/>
        </w:rPr>
        <w:t>were</w:t>
      </w:r>
      <w:r w:rsidR="3982CBDC" w:rsidRPr="3982CBDC">
        <w:rPr>
          <w:rFonts w:cs="Times New Roman"/>
          <w:noProof/>
        </w:rPr>
        <w:t xml:space="preserve"> set up without previous links to </w:t>
      </w:r>
      <w:r w:rsidR="00104C76">
        <w:rPr>
          <w:rFonts w:cs="Times New Roman"/>
          <w:noProof/>
        </w:rPr>
        <w:t xml:space="preserve">the </w:t>
      </w:r>
      <w:r w:rsidR="3982CBDC" w:rsidRPr="3982CBDC">
        <w:rPr>
          <w:rFonts w:cs="Times New Roman"/>
          <w:noProof/>
        </w:rPr>
        <w:t>gas trade</w:t>
      </w:r>
      <w:r w:rsidR="00F47298">
        <w:rPr>
          <w:rFonts w:cs="Times New Roman"/>
          <w:noProof/>
        </w:rPr>
        <w:t xml:space="preserve"> and</w:t>
      </w:r>
      <w:r w:rsidR="3982CBDC" w:rsidRPr="3982CBDC">
        <w:rPr>
          <w:rFonts w:cs="Times New Roman"/>
          <w:noProof/>
        </w:rPr>
        <w:t xml:space="preserve"> company owners with several affiliates have applied for multiple quota shares. Th</w:t>
      </w:r>
      <w:r w:rsidR="002D11B4">
        <w:rPr>
          <w:rFonts w:cs="Times New Roman"/>
          <w:noProof/>
        </w:rPr>
        <w:t>is is undesirable because</w:t>
      </w:r>
      <w:r w:rsidR="00D307C4">
        <w:rPr>
          <w:rFonts w:cs="Times New Roman"/>
          <w:noProof/>
        </w:rPr>
        <w:t>:</w:t>
      </w:r>
      <w:r w:rsidR="3982CBDC" w:rsidRPr="3982CBDC">
        <w:rPr>
          <w:rFonts w:cs="Times New Roman"/>
          <w:noProof/>
        </w:rPr>
        <w:t xml:space="preserve"> (i) genuine F-gas traders obtain very low quota shares from the reserve, (ii) preventing illegal imports is more challenging</w:t>
      </w:r>
      <w:r w:rsidR="00104C76">
        <w:rPr>
          <w:rFonts w:cs="Times New Roman"/>
          <w:noProof/>
        </w:rPr>
        <w:t xml:space="preserve"> due to the high number of quota holders with small quota amounts</w:t>
      </w:r>
      <w:r w:rsidR="3982CBDC" w:rsidRPr="3982CBDC">
        <w:rPr>
          <w:rFonts w:cs="Times New Roman"/>
          <w:noProof/>
        </w:rPr>
        <w:t xml:space="preserve"> and (iii) there is a higher risk that the gas is not treated appropriately</w:t>
      </w:r>
      <w:r w:rsidR="00104C76">
        <w:rPr>
          <w:rFonts w:cs="Times New Roman"/>
          <w:noProof/>
        </w:rPr>
        <w:t xml:space="preserve"> due to lack of experience of </w:t>
      </w:r>
      <w:r w:rsidR="00DD4479">
        <w:rPr>
          <w:rFonts w:cs="Times New Roman"/>
          <w:noProof/>
        </w:rPr>
        <w:t xml:space="preserve">the </w:t>
      </w:r>
      <w:r w:rsidR="00104C76">
        <w:rPr>
          <w:rFonts w:cs="Times New Roman"/>
          <w:noProof/>
        </w:rPr>
        <w:t>new players</w:t>
      </w:r>
      <w:r w:rsidR="3982CBDC" w:rsidRPr="3982CBDC">
        <w:rPr>
          <w:rFonts w:cs="Times New Roman"/>
          <w:noProof/>
        </w:rPr>
        <w:t xml:space="preserve">. </w:t>
      </w:r>
      <w:r w:rsidR="00870181">
        <w:rPr>
          <w:rFonts w:cs="Times New Roman"/>
          <w:noProof/>
        </w:rPr>
        <w:t>T</w:t>
      </w:r>
      <w:r w:rsidR="3982CBDC" w:rsidRPr="3982CBDC">
        <w:rPr>
          <w:rFonts w:cs="Times New Roman"/>
          <w:noProof/>
        </w:rPr>
        <w:t xml:space="preserve">he Commission clarified the </w:t>
      </w:r>
      <w:r w:rsidR="00870181">
        <w:rPr>
          <w:rFonts w:cs="Times New Roman"/>
          <w:noProof/>
        </w:rPr>
        <w:t xml:space="preserve">registration </w:t>
      </w:r>
      <w:r w:rsidR="3982CBDC" w:rsidRPr="3982CBDC">
        <w:rPr>
          <w:rFonts w:cs="Times New Roman"/>
          <w:noProof/>
        </w:rPr>
        <w:t xml:space="preserve">rules </w:t>
      </w:r>
      <w:r w:rsidR="00870181">
        <w:rPr>
          <w:rFonts w:cs="Times New Roman"/>
          <w:noProof/>
        </w:rPr>
        <w:t xml:space="preserve">in the </w:t>
      </w:r>
      <w:r w:rsidR="3982CBDC" w:rsidRPr="3982CBDC">
        <w:rPr>
          <w:rFonts w:cs="Times New Roman"/>
          <w:noProof/>
        </w:rPr>
        <w:t>Implementing Regulation</w:t>
      </w:r>
      <w:r w:rsidR="3982CBDC">
        <w:rPr>
          <w:noProof/>
        </w:rPr>
        <w:t xml:space="preserve"> </w:t>
      </w:r>
      <w:r w:rsidR="3982CBDC" w:rsidRPr="3982CBDC">
        <w:rPr>
          <w:rFonts w:cs="Times New Roman"/>
          <w:noProof/>
        </w:rPr>
        <w:t>(EU) 2019/661</w:t>
      </w:r>
      <w:r w:rsidR="00CD6789">
        <w:rPr>
          <w:rFonts w:cs="Times New Roman"/>
          <w:noProof/>
        </w:rPr>
        <w:t xml:space="preserve"> and </w:t>
      </w:r>
      <w:r w:rsidR="000C2231">
        <w:rPr>
          <w:rFonts w:cs="Times New Roman"/>
          <w:noProof/>
        </w:rPr>
        <w:t xml:space="preserve">the number of </w:t>
      </w:r>
      <w:r w:rsidR="3982CBDC" w:rsidRPr="3982CBDC">
        <w:rPr>
          <w:rFonts w:cs="Times New Roman"/>
          <w:noProof/>
        </w:rPr>
        <w:t xml:space="preserve">quota </w:t>
      </w:r>
      <w:r w:rsidR="00CD6789">
        <w:rPr>
          <w:rFonts w:cs="Times New Roman"/>
          <w:noProof/>
        </w:rPr>
        <w:t xml:space="preserve">holders </w:t>
      </w:r>
      <w:r w:rsidR="000C2231">
        <w:rPr>
          <w:rFonts w:cs="Times New Roman"/>
          <w:noProof/>
        </w:rPr>
        <w:t xml:space="preserve">fell </w:t>
      </w:r>
      <w:r w:rsidR="00F47298">
        <w:rPr>
          <w:rFonts w:cs="Times New Roman"/>
          <w:noProof/>
        </w:rPr>
        <w:t xml:space="preserve">by one third </w:t>
      </w:r>
      <w:r w:rsidR="00CD6789">
        <w:rPr>
          <w:rFonts w:cs="Times New Roman"/>
          <w:noProof/>
        </w:rPr>
        <w:t xml:space="preserve">in 2021 </w:t>
      </w:r>
      <w:r w:rsidR="3982CBDC" w:rsidRPr="3982CBDC">
        <w:rPr>
          <w:rFonts w:cs="Times New Roman"/>
          <w:noProof/>
        </w:rPr>
        <w:t>compared to 2019</w:t>
      </w:r>
      <w:r w:rsidR="00F47298">
        <w:rPr>
          <w:rFonts w:cs="Times New Roman"/>
          <w:noProof/>
        </w:rPr>
        <w:t>/</w:t>
      </w:r>
      <w:r w:rsidR="3982CBDC" w:rsidRPr="3982CBDC">
        <w:rPr>
          <w:rFonts w:cs="Times New Roman"/>
          <w:noProof/>
        </w:rPr>
        <w:t xml:space="preserve">2020. Still, </w:t>
      </w:r>
      <w:r w:rsidR="00F47298">
        <w:rPr>
          <w:rFonts w:cs="Times New Roman"/>
          <w:noProof/>
        </w:rPr>
        <w:t xml:space="preserve">many </w:t>
      </w:r>
      <w:r w:rsidR="3982CBDC" w:rsidRPr="3982CBDC">
        <w:rPr>
          <w:rFonts w:cs="Times New Roman"/>
          <w:noProof/>
        </w:rPr>
        <w:t xml:space="preserve">quota holders </w:t>
      </w:r>
      <w:r w:rsidR="00F47298">
        <w:rPr>
          <w:rFonts w:cs="Times New Roman"/>
          <w:noProof/>
        </w:rPr>
        <w:t xml:space="preserve">appear to be in the system </w:t>
      </w:r>
      <w:r w:rsidR="3982CBDC" w:rsidRPr="3982CBDC">
        <w:rPr>
          <w:rFonts w:cs="Times New Roman"/>
          <w:noProof/>
        </w:rPr>
        <w:t xml:space="preserve">for </w:t>
      </w:r>
      <w:r w:rsidR="3982CBDC" w:rsidRPr="003C1179">
        <w:rPr>
          <w:rFonts w:cs="Times New Roman"/>
          <w:noProof/>
        </w:rPr>
        <w:t>purely speculative reasons</w:t>
      </w:r>
      <w:r w:rsidR="006A41E2" w:rsidRPr="003C1179">
        <w:rPr>
          <w:rFonts w:cs="Times New Roman"/>
          <w:noProof/>
        </w:rPr>
        <w:t xml:space="preserve"> given</w:t>
      </w:r>
      <w:r w:rsidR="006A41E2">
        <w:rPr>
          <w:rFonts w:cs="Times New Roman"/>
          <w:noProof/>
        </w:rPr>
        <w:t xml:space="preserve"> that quotas are easily obtained and gases can be sold for profit on the EU market</w:t>
      </w:r>
      <w:r w:rsidR="00F46067">
        <w:rPr>
          <w:rFonts w:cs="Times New Roman"/>
          <w:noProof/>
        </w:rPr>
        <w:t>.</w:t>
      </w:r>
      <w:r w:rsidR="006A41E2">
        <w:rPr>
          <w:rFonts w:cs="Times New Roman"/>
          <w:noProof/>
        </w:rPr>
        <w:t xml:space="preserve"> </w:t>
      </w:r>
      <w:r w:rsidR="000C2231">
        <w:rPr>
          <w:rFonts w:cs="Times New Roman"/>
          <w:noProof/>
        </w:rPr>
        <w:t xml:space="preserve">Furthermore, </w:t>
      </w:r>
      <w:r w:rsidR="00104C76">
        <w:rPr>
          <w:rFonts w:cs="Times New Roman"/>
          <w:noProof/>
        </w:rPr>
        <w:t xml:space="preserve">following the change of registration rules, </w:t>
      </w:r>
      <w:r w:rsidR="000C2231">
        <w:rPr>
          <w:rFonts w:cs="Times New Roman"/>
          <w:noProof/>
        </w:rPr>
        <w:t>t</w:t>
      </w:r>
      <w:r w:rsidR="000C2231" w:rsidRPr="3982CBDC">
        <w:rPr>
          <w:rFonts w:cs="Times New Roman"/>
          <w:noProof/>
        </w:rPr>
        <w:t xml:space="preserve">he Commission </w:t>
      </w:r>
      <w:r w:rsidR="000C2231">
        <w:rPr>
          <w:rFonts w:cs="Times New Roman"/>
          <w:noProof/>
        </w:rPr>
        <w:t xml:space="preserve">must </w:t>
      </w:r>
      <w:r w:rsidR="00104C76">
        <w:rPr>
          <w:rFonts w:cs="Times New Roman"/>
          <w:noProof/>
        </w:rPr>
        <w:t xml:space="preserve">now </w:t>
      </w:r>
      <w:r w:rsidR="000C2231">
        <w:rPr>
          <w:rFonts w:cs="Times New Roman"/>
          <w:noProof/>
        </w:rPr>
        <w:t xml:space="preserve">verify if potential quota holders have the same beneficial owner and this </w:t>
      </w:r>
      <w:r w:rsidR="00982335">
        <w:rPr>
          <w:rFonts w:cs="Times New Roman"/>
          <w:noProof/>
        </w:rPr>
        <w:t xml:space="preserve">delays annual quota allocation to companies </w:t>
      </w:r>
      <w:r w:rsidR="000C2231">
        <w:rPr>
          <w:rFonts w:cs="Times New Roman"/>
          <w:noProof/>
        </w:rPr>
        <w:t xml:space="preserve">which in turn is </w:t>
      </w:r>
      <w:r w:rsidR="00982335">
        <w:rPr>
          <w:rFonts w:cs="Times New Roman"/>
          <w:noProof/>
        </w:rPr>
        <w:t xml:space="preserve">reducing their planning certainty. </w:t>
      </w:r>
    </w:p>
    <w:p w14:paraId="238CED28" w14:textId="77777777" w:rsidR="00925081" w:rsidRDefault="3982CBDC" w:rsidP="00AD5F1B">
      <w:pPr>
        <w:keepNext/>
        <w:numPr>
          <w:ilvl w:val="5"/>
          <w:numId w:val="4"/>
        </w:numPr>
        <w:spacing w:after="120" w:line="240" w:lineRule="auto"/>
        <w:outlineLvl w:val="3"/>
        <w:rPr>
          <w:rFonts w:eastAsia="Times New Roman" w:cs="Times New Roman"/>
          <w:noProof/>
        </w:rPr>
      </w:pPr>
      <w:r w:rsidRPr="3982CBDC">
        <w:rPr>
          <w:rFonts w:eastAsia="Times New Roman" w:cs="Times New Roman"/>
          <w:noProof/>
        </w:rPr>
        <w:t>Drivers</w:t>
      </w:r>
    </w:p>
    <w:p w14:paraId="4F396688" w14:textId="2DCD8AD3" w:rsidR="002155B1" w:rsidRPr="00632786" w:rsidRDefault="002155B1" w:rsidP="0017603A">
      <w:pPr>
        <w:pStyle w:val="ListParagraph"/>
        <w:keepNext/>
        <w:numPr>
          <w:ilvl w:val="0"/>
          <w:numId w:val="95"/>
        </w:numPr>
        <w:spacing w:after="120"/>
        <w:outlineLvl w:val="3"/>
        <w:rPr>
          <w:rFonts w:eastAsia="Times New Roman" w:cs="Times New Roman"/>
          <w:bCs/>
          <w:noProof/>
        </w:rPr>
      </w:pPr>
      <w:r w:rsidRPr="00632786">
        <w:rPr>
          <w:rFonts w:eastAsia="Times New Roman" w:cs="Times New Roman"/>
          <w:bCs/>
          <w:noProof/>
        </w:rPr>
        <w:t>The quotas are allocated for free but represent an important economic value</w:t>
      </w:r>
      <w:r w:rsidR="00CE1F13">
        <w:rPr>
          <w:rFonts w:eastAsia="Times New Roman" w:cs="Times New Roman"/>
          <w:bCs/>
          <w:noProof/>
        </w:rPr>
        <w:t xml:space="preserve"> because of an HFC price difference </w:t>
      </w:r>
      <w:r w:rsidR="0053716D">
        <w:rPr>
          <w:rFonts w:eastAsia="Times New Roman" w:cs="Times New Roman"/>
          <w:bCs/>
          <w:noProof/>
        </w:rPr>
        <w:t xml:space="preserve">between </w:t>
      </w:r>
      <w:r w:rsidR="00CE1F13">
        <w:rPr>
          <w:rFonts w:eastAsia="Times New Roman" w:cs="Times New Roman"/>
          <w:bCs/>
          <w:noProof/>
        </w:rPr>
        <w:t xml:space="preserve">the EU and world market, which is generated by the </w:t>
      </w:r>
      <w:r w:rsidR="0053716D">
        <w:rPr>
          <w:rFonts w:eastAsia="Times New Roman" w:cs="Times New Roman"/>
          <w:bCs/>
          <w:noProof/>
        </w:rPr>
        <w:t xml:space="preserve">EU </w:t>
      </w:r>
      <w:r w:rsidR="00CE1F13">
        <w:rPr>
          <w:rFonts w:eastAsia="Times New Roman" w:cs="Times New Roman"/>
          <w:bCs/>
          <w:noProof/>
        </w:rPr>
        <w:t>quota system</w:t>
      </w:r>
      <w:r w:rsidRPr="00632786">
        <w:rPr>
          <w:rFonts w:eastAsia="Times New Roman" w:cs="Times New Roman"/>
          <w:bCs/>
          <w:noProof/>
        </w:rPr>
        <w:t>.</w:t>
      </w:r>
    </w:p>
    <w:p w14:paraId="6FA9AB3B" w14:textId="609CDA62" w:rsidR="00C02EB3" w:rsidRPr="00632786" w:rsidRDefault="00C02EB3" w:rsidP="0017603A">
      <w:pPr>
        <w:pStyle w:val="ListParagraph"/>
        <w:keepNext/>
        <w:numPr>
          <w:ilvl w:val="0"/>
          <w:numId w:val="95"/>
        </w:numPr>
        <w:spacing w:after="120"/>
        <w:outlineLvl w:val="3"/>
        <w:rPr>
          <w:rFonts w:eastAsia="Times New Roman" w:cs="Times New Roman"/>
          <w:bCs/>
          <w:noProof/>
        </w:rPr>
      </w:pPr>
      <w:r w:rsidRPr="00632786">
        <w:rPr>
          <w:rFonts w:eastAsia="Times New Roman" w:cs="Times New Roman"/>
          <w:bCs/>
          <w:noProof/>
        </w:rPr>
        <w:t xml:space="preserve">New entrants may apply for quota </w:t>
      </w:r>
      <w:r w:rsidR="002155B1" w:rsidRPr="00632786">
        <w:rPr>
          <w:rFonts w:eastAsia="Times New Roman" w:cs="Times New Roman"/>
          <w:bCs/>
          <w:noProof/>
        </w:rPr>
        <w:t xml:space="preserve">without any links to </w:t>
      </w:r>
      <w:r w:rsidR="007418EC" w:rsidRPr="00632786">
        <w:rPr>
          <w:rFonts w:eastAsia="Times New Roman" w:cs="Times New Roman"/>
          <w:noProof/>
        </w:rPr>
        <w:t xml:space="preserve">the </w:t>
      </w:r>
      <w:r w:rsidR="002155B1" w:rsidRPr="00632786">
        <w:rPr>
          <w:rFonts w:eastAsia="Times New Roman" w:cs="Times New Roman"/>
          <w:bCs/>
          <w:noProof/>
        </w:rPr>
        <w:t>gas sector and the</w:t>
      </w:r>
      <w:r w:rsidRPr="00632786">
        <w:rPr>
          <w:rFonts w:eastAsia="Times New Roman" w:cs="Times New Roman"/>
          <w:bCs/>
          <w:noProof/>
        </w:rPr>
        <w:t xml:space="preserve"> Regulation is not very prescriptive as to who can apply for quotas</w:t>
      </w:r>
      <w:r w:rsidR="00982335" w:rsidRPr="00632786">
        <w:rPr>
          <w:rFonts w:eastAsia="Times New Roman" w:cs="Times New Roman"/>
          <w:bCs/>
          <w:noProof/>
        </w:rPr>
        <w:t>.</w:t>
      </w:r>
    </w:p>
    <w:p w14:paraId="7072DC17" w14:textId="26F2208D" w:rsidR="002A0064" w:rsidRPr="00C02EB3" w:rsidRDefault="00A958EC" w:rsidP="0017603A">
      <w:pPr>
        <w:pStyle w:val="ListParagraph"/>
        <w:keepNext/>
        <w:numPr>
          <w:ilvl w:val="0"/>
          <w:numId w:val="95"/>
        </w:numPr>
        <w:spacing w:after="120"/>
        <w:outlineLvl w:val="3"/>
        <w:rPr>
          <w:rFonts w:eastAsia="Times New Roman" w:cs="Times New Roman"/>
          <w:noProof/>
        </w:rPr>
      </w:pPr>
      <w:r w:rsidRPr="00632786">
        <w:rPr>
          <w:rFonts w:cs="Times New Roman"/>
          <w:noProof/>
        </w:rPr>
        <w:t xml:space="preserve">There is </w:t>
      </w:r>
      <w:r w:rsidRPr="00632786">
        <w:rPr>
          <w:rFonts w:eastAsia="Times New Roman" w:cs="Times New Roman"/>
          <w:noProof/>
        </w:rPr>
        <w:t>no flexibility</w:t>
      </w:r>
      <w:r w:rsidR="00982335" w:rsidRPr="00632786">
        <w:rPr>
          <w:rFonts w:eastAsia="Times New Roman" w:cs="Times New Roman"/>
          <w:noProof/>
        </w:rPr>
        <w:t xml:space="preserve"> in the quota allocation system</w:t>
      </w:r>
      <w:r w:rsidR="00EE6B21">
        <w:rPr>
          <w:rFonts w:eastAsia="Times New Roman" w:cs="Times New Roman"/>
          <w:noProof/>
        </w:rPr>
        <w:t xml:space="preserve"> </w:t>
      </w:r>
      <w:r w:rsidR="00EE6B21" w:rsidRPr="00820190">
        <w:rPr>
          <w:rFonts w:eastAsia="Times New Roman" w:cs="Times New Roman"/>
          <w:noProof/>
        </w:rPr>
        <w:t xml:space="preserve">e.g. </w:t>
      </w:r>
      <w:r w:rsidR="00EE6B21" w:rsidRPr="00820190">
        <w:rPr>
          <w:rFonts w:cs="Times New Roman"/>
          <w:noProof/>
        </w:rPr>
        <w:t xml:space="preserve">to temporarily withhold quota </w:t>
      </w:r>
      <w:r w:rsidR="00EE6B21" w:rsidRPr="00982335">
        <w:rPr>
          <w:rFonts w:cs="Times New Roman"/>
          <w:noProof/>
        </w:rPr>
        <w:t>for future (re-)distribution in cases under investigation and to address major market disruptions</w:t>
      </w:r>
      <w:r w:rsidR="00982335" w:rsidRPr="00632786">
        <w:rPr>
          <w:rFonts w:eastAsia="Times New Roman" w:cs="Times New Roman"/>
          <w:noProof/>
        </w:rPr>
        <w:t>.</w:t>
      </w:r>
      <w:r w:rsidRPr="007418EC">
        <w:rPr>
          <w:rFonts w:eastAsia="Times New Roman" w:cs="Times New Roman"/>
          <w:b/>
          <w:noProof/>
        </w:rPr>
        <w:t xml:space="preserve"> </w:t>
      </w:r>
    </w:p>
    <w:p w14:paraId="01723FEB" w14:textId="77777777" w:rsidR="00925081" w:rsidRDefault="3982CBDC" w:rsidP="00AD5F1B">
      <w:pPr>
        <w:numPr>
          <w:ilvl w:val="5"/>
          <w:numId w:val="4"/>
        </w:numPr>
        <w:spacing w:after="120"/>
        <w:rPr>
          <w:rFonts w:cs="Times New Roman"/>
          <w:noProof/>
        </w:rPr>
      </w:pPr>
      <w:r w:rsidRPr="3982CBDC">
        <w:rPr>
          <w:rFonts w:cs="Times New Roman"/>
          <w:noProof/>
        </w:rPr>
        <w:t xml:space="preserve"> How the problem will evolve</w:t>
      </w:r>
    </w:p>
    <w:p w14:paraId="5CD648E0" w14:textId="1143F8F3" w:rsidR="00EE6B21" w:rsidRDefault="002155B1" w:rsidP="00EE6B21">
      <w:pPr>
        <w:spacing w:after="120"/>
        <w:rPr>
          <w:rFonts w:eastAsia="Times New Roman" w:cs="Times New Roman"/>
          <w:b/>
          <w:noProof/>
        </w:rPr>
      </w:pPr>
      <w:r>
        <w:rPr>
          <w:rFonts w:cs="Times New Roman"/>
          <w:noProof/>
        </w:rPr>
        <w:t>T</w:t>
      </w:r>
      <w:r w:rsidR="3982CBDC" w:rsidRPr="3982CBDC">
        <w:rPr>
          <w:rFonts w:cs="Times New Roman"/>
          <w:noProof/>
        </w:rPr>
        <w:t xml:space="preserve">he number of </w:t>
      </w:r>
      <w:r>
        <w:rPr>
          <w:rFonts w:cs="Times New Roman"/>
          <w:noProof/>
        </w:rPr>
        <w:t xml:space="preserve">quota holders </w:t>
      </w:r>
      <w:r w:rsidR="003571E2">
        <w:rPr>
          <w:rFonts w:cs="Times New Roman"/>
          <w:noProof/>
        </w:rPr>
        <w:t>will most likely remain</w:t>
      </w:r>
      <w:r w:rsidR="3982CBDC" w:rsidRPr="3982CBDC">
        <w:rPr>
          <w:rFonts w:cs="Times New Roman"/>
          <w:noProof/>
        </w:rPr>
        <w:t xml:space="preserve"> at a high level (around 2000) or </w:t>
      </w:r>
      <w:r>
        <w:rPr>
          <w:rFonts w:cs="Times New Roman"/>
          <w:noProof/>
        </w:rPr>
        <w:t xml:space="preserve">even </w:t>
      </w:r>
      <w:r w:rsidR="3982CBDC" w:rsidRPr="3982CBDC">
        <w:rPr>
          <w:rFonts w:cs="Times New Roman"/>
          <w:noProof/>
        </w:rPr>
        <w:t>increase</w:t>
      </w:r>
      <w:r>
        <w:rPr>
          <w:rFonts w:cs="Times New Roman"/>
          <w:noProof/>
        </w:rPr>
        <w:t xml:space="preserve"> if the HFC prices increase</w:t>
      </w:r>
      <w:r w:rsidR="00104C76">
        <w:rPr>
          <w:rFonts w:cs="Times New Roman"/>
          <w:noProof/>
        </w:rPr>
        <w:t xml:space="preserve"> further due to the quota system</w:t>
      </w:r>
      <w:r>
        <w:rPr>
          <w:rFonts w:cs="Times New Roman"/>
          <w:noProof/>
        </w:rPr>
        <w:t>.</w:t>
      </w:r>
      <w:r w:rsidR="3982CBDC" w:rsidRPr="3982CBDC">
        <w:rPr>
          <w:rFonts w:cs="Times New Roman"/>
          <w:noProof/>
        </w:rPr>
        <w:t xml:space="preserve"> </w:t>
      </w:r>
      <w:r>
        <w:rPr>
          <w:rFonts w:cs="Times New Roman"/>
          <w:noProof/>
        </w:rPr>
        <w:t>T</w:t>
      </w:r>
      <w:r w:rsidR="3982CBDC" w:rsidRPr="3982CBDC">
        <w:rPr>
          <w:rFonts w:cs="Times New Roman"/>
          <w:noProof/>
        </w:rPr>
        <w:t>h</w:t>
      </w:r>
      <w:r>
        <w:rPr>
          <w:rFonts w:cs="Times New Roman"/>
          <w:noProof/>
        </w:rPr>
        <w:t xml:space="preserve">is high number </w:t>
      </w:r>
      <w:r w:rsidR="007418EC">
        <w:rPr>
          <w:rFonts w:cs="Times New Roman"/>
          <w:noProof/>
        </w:rPr>
        <w:t xml:space="preserve">will </w:t>
      </w:r>
      <w:r>
        <w:rPr>
          <w:rFonts w:cs="Times New Roman"/>
          <w:noProof/>
        </w:rPr>
        <w:t>make it even harder for genuine traders to sustain their business</w:t>
      </w:r>
      <w:r w:rsidR="00104C76">
        <w:rPr>
          <w:rFonts w:cs="Times New Roman"/>
          <w:noProof/>
        </w:rPr>
        <w:t>,</w:t>
      </w:r>
      <w:r>
        <w:rPr>
          <w:rFonts w:cs="Times New Roman"/>
          <w:noProof/>
        </w:rPr>
        <w:t xml:space="preserve"> as the quota shares will become smaller when the overall quota limits are being reduced. </w:t>
      </w:r>
      <w:r w:rsidR="003571E2">
        <w:rPr>
          <w:rFonts w:cs="Times New Roman"/>
          <w:noProof/>
        </w:rPr>
        <w:t>They will also have</w:t>
      </w:r>
      <w:r w:rsidR="00EE6B21">
        <w:rPr>
          <w:rFonts w:cs="Times New Roman"/>
          <w:noProof/>
        </w:rPr>
        <w:t xml:space="preserve"> relatively l</w:t>
      </w:r>
      <w:r w:rsidR="00EE6B21">
        <w:rPr>
          <w:rFonts w:eastAsia="Times New Roman" w:cs="Times New Roman"/>
          <w:noProof/>
        </w:rPr>
        <w:t>ow planning security and market disruptions cannot be addressed</w:t>
      </w:r>
      <w:r w:rsidR="00EE6B21" w:rsidRPr="00982335">
        <w:rPr>
          <w:rFonts w:cs="Times New Roman"/>
          <w:noProof/>
        </w:rPr>
        <w:t>.</w:t>
      </w:r>
      <w:r w:rsidR="00EE6B21">
        <w:rPr>
          <w:rFonts w:cs="Times New Roman"/>
          <w:noProof/>
        </w:rPr>
        <w:t xml:space="preserve"> </w:t>
      </w:r>
      <w:r w:rsidR="00304CA9">
        <w:rPr>
          <w:rFonts w:cs="Times New Roman"/>
          <w:noProof/>
        </w:rPr>
        <w:t>A high</w:t>
      </w:r>
      <w:r>
        <w:rPr>
          <w:rFonts w:cs="Times New Roman"/>
          <w:noProof/>
        </w:rPr>
        <w:t xml:space="preserve"> risk of </w:t>
      </w:r>
      <w:r w:rsidR="00A31040">
        <w:rPr>
          <w:rFonts w:cs="Times New Roman"/>
          <w:noProof/>
        </w:rPr>
        <w:t xml:space="preserve">undetected </w:t>
      </w:r>
      <w:r w:rsidR="3982CBDC" w:rsidRPr="3982CBDC">
        <w:rPr>
          <w:rFonts w:cs="Times New Roman"/>
          <w:noProof/>
        </w:rPr>
        <w:t xml:space="preserve">illegal </w:t>
      </w:r>
      <w:r>
        <w:rPr>
          <w:rFonts w:cs="Times New Roman"/>
          <w:noProof/>
        </w:rPr>
        <w:t xml:space="preserve">imports will also remain </w:t>
      </w:r>
      <w:r w:rsidR="00982335">
        <w:rPr>
          <w:rFonts w:cs="Times New Roman"/>
          <w:noProof/>
        </w:rPr>
        <w:t>and a</w:t>
      </w:r>
      <w:r w:rsidR="00A31040">
        <w:rPr>
          <w:rFonts w:cs="Times New Roman"/>
          <w:noProof/>
        </w:rPr>
        <w:t>n</w:t>
      </w:r>
      <w:r w:rsidR="007418EC">
        <w:rPr>
          <w:rFonts w:cs="Times New Roman"/>
          <w:noProof/>
        </w:rPr>
        <w:t xml:space="preserve"> </w:t>
      </w:r>
      <w:r w:rsidR="3982CBDC" w:rsidRPr="3982CBDC">
        <w:rPr>
          <w:rFonts w:cs="Times New Roman"/>
          <w:noProof/>
        </w:rPr>
        <w:t xml:space="preserve">excessive </w:t>
      </w:r>
      <w:r w:rsidR="00AF511B">
        <w:rPr>
          <w:rFonts w:cs="Times New Roman"/>
          <w:noProof/>
        </w:rPr>
        <w:t>and ineffective</w:t>
      </w:r>
      <w:r w:rsidR="3982CBDC" w:rsidRPr="3982CBDC">
        <w:rPr>
          <w:rFonts w:cs="Times New Roman"/>
          <w:noProof/>
        </w:rPr>
        <w:t xml:space="preserve"> administrative </w:t>
      </w:r>
      <w:r w:rsidR="00AF511B">
        <w:rPr>
          <w:rFonts w:cs="Times New Roman"/>
          <w:noProof/>
        </w:rPr>
        <w:t>effort</w:t>
      </w:r>
      <w:r w:rsidR="3982CBDC" w:rsidRPr="3982CBDC">
        <w:rPr>
          <w:rFonts w:cs="Times New Roman"/>
          <w:noProof/>
        </w:rPr>
        <w:t xml:space="preserve"> will </w:t>
      </w:r>
      <w:r w:rsidR="00982335">
        <w:rPr>
          <w:rFonts w:cs="Times New Roman"/>
          <w:noProof/>
        </w:rPr>
        <w:t>persist for</w:t>
      </w:r>
      <w:r w:rsidR="3982CBDC" w:rsidRPr="3982CBDC">
        <w:rPr>
          <w:rFonts w:cs="Times New Roman"/>
          <w:noProof/>
        </w:rPr>
        <w:t xml:space="preserve"> </w:t>
      </w:r>
      <w:r w:rsidR="00A31040">
        <w:rPr>
          <w:rFonts w:cs="Times New Roman"/>
          <w:noProof/>
        </w:rPr>
        <w:t xml:space="preserve">Member States and </w:t>
      </w:r>
      <w:r w:rsidR="3982CBDC" w:rsidRPr="3982CBDC">
        <w:rPr>
          <w:rFonts w:cs="Times New Roman"/>
          <w:noProof/>
        </w:rPr>
        <w:t>the Commission.</w:t>
      </w:r>
      <w:r w:rsidR="00982335" w:rsidRPr="00982335">
        <w:rPr>
          <w:rFonts w:eastAsia="Times New Roman" w:cs="Times New Roman"/>
          <w:b/>
          <w:noProof/>
        </w:rPr>
        <w:t xml:space="preserve"> </w:t>
      </w:r>
    </w:p>
    <w:p w14:paraId="11A7F09E" w14:textId="05C2DC8A" w:rsidR="00925081" w:rsidRPr="00EE6B21" w:rsidRDefault="00E04F0C" w:rsidP="00E04F0C">
      <w:pPr>
        <w:pStyle w:val="Heading4"/>
        <w:rPr>
          <w:noProof/>
        </w:rPr>
      </w:pPr>
      <w:r w:rsidRPr="00E04F0C">
        <w:t>2.1.3.3.</w:t>
      </w:r>
      <w:r w:rsidRPr="00E04F0C">
        <w:tab/>
      </w:r>
      <w:r w:rsidR="3982CBDC">
        <w:rPr>
          <w:noProof/>
        </w:rPr>
        <w:t xml:space="preserve">Lack of skilled technicians </w:t>
      </w:r>
    </w:p>
    <w:p w14:paraId="72C688BE" w14:textId="77777777" w:rsidR="00925081" w:rsidRDefault="3982CBDC" w:rsidP="00AD5F1B">
      <w:pPr>
        <w:keepNext/>
        <w:numPr>
          <w:ilvl w:val="5"/>
          <w:numId w:val="6"/>
        </w:numPr>
        <w:spacing w:after="120"/>
        <w:ind w:left="2154" w:hanging="357"/>
        <w:rPr>
          <w:rFonts w:cs="Times New Roman"/>
          <w:noProof/>
        </w:rPr>
      </w:pPr>
      <w:r w:rsidRPr="3982CBDC">
        <w:rPr>
          <w:rFonts w:cs="Times New Roman"/>
          <w:noProof/>
        </w:rPr>
        <w:t>Status quo of the issue</w:t>
      </w:r>
    </w:p>
    <w:p w14:paraId="305D4AE0" w14:textId="60DAD309" w:rsidR="006F7B04" w:rsidRDefault="00200150" w:rsidP="006F7B04">
      <w:pPr>
        <w:spacing w:after="120"/>
        <w:rPr>
          <w:rFonts w:cs="Times New Roman"/>
          <w:noProof/>
        </w:rPr>
      </w:pPr>
      <w:r w:rsidRPr="3982CBDC">
        <w:rPr>
          <w:rFonts w:cs="Times New Roman"/>
          <w:noProof/>
        </w:rPr>
        <w:t xml:space="preserve">A </w:t>
      </w:r>
      <w:r w:rsidR="00202662" w:rsidRPr="3982CBDC">
        <w:rPr>
          <w:rFonts w:cs="Times New Roman"/>
          <w:noProof/>
        </w:rPr>
        <w:t>Commission report</w:t>
      </w:r>
      <w:bookmarkStart w:id="60" w:name="_Ref85543886"/>
      <w:r w:rsidRPr="3982CBDC">
        <w:rPr>
          <w:rStyle w:val="FootnoteReference"/>
          <w:rFonts w:cs="Times New Roman"/>
          <w:noProof/>
        </w:rPr>
        <w:footnoteReference w:id="47"/>
      </w:r>
      <w:bookmarkEnd w:id="60"/>
      <w:r w:rsidR="00A31040">
        <w:rPr>
          <w:rFonts w:cs="Times New Roman"/>
          <w:noProof/>
        </w:rPr>
        <w:t xml:space="preserve"> </w:t>
      </w:r>
      <w:r w:rsidR="006F7B04">
        <w:rPr>
          <w:rFonts w:cs="Times New Roman"/>
          <w:noProof/>
        </w:rPr>
        <w:t xml:space="preserve">from 2016 </w:t>
      </w:r>
      <w:r w:rsidR="00A31040">
        <w:rPr>
          <w:rFonts w:cs="Times New Roman"/>
          <w:noProof/>
        </w:rPr>
        <w:t xml:space="preserve">concluded that there is a lack of skilled </w:t>
      </w:r>
      <w:r w:rsidR="006F7B04">
        <w:rPr>
          <w:rFonts w:cs="Times New Roman"/>
          <w:noProof/>
        </w:rPr>
        <w:t xml:space="preserve">technicians </w:t>
      </w:r>
      <w:r w:rsidR="00A31040">
        <w:rPr>
          <w:rFonts w:cs="Times New Roman"/>
          <w:noProof/>
        </w:rPr>
        <w:t xml:space="preserve">that can handle equipment </w:t>
      </w:r>
      <w:r w:rsidR="00202662" w:rsidRPr="3982CBDC">
        <w:rPr>
          <w:rFonts w:cs="Times New Roman"/>
          <w:noProof/>
        </w:rPr>
        <w:t>us</w:t>
      </w:r>
      <w:r w:rsidR="00A31040">
        <w:rPr>
          <w:rFonts w:cs="Times New Roman"/>
          <w:noProof/>
        </w:rPr>
        <w:t xml:space="preserve">ing </w:t>
      </w:r>
      <w:r w:rsidR="00202662" w:rsidRPr="3982CBDC">
        <w:rPr>
          <w:rFonts w:cs="Times New Roman"/>
          <w:noProof/>
        </w:rPr>
        <w:t>climate-friendly alternative</w:t>
      </w:r>
      <w:r w:rsidR="00A31040">
        <w:rPr>
          <w:rFonts w:cs="Times New Roman"/>
          <w:noProof/>
        </w:rPr>
        <w:t>s</w:t>
      </w:r>
      <w:r w:rsidR="00AF580C">
        <w:rPr>
          <w:rFonts w:cs="Times New Roman"/>
          <w:noProof/>
        </w:rPr>
        <w:t xml:space="preserve"> such as naturals (</w:t>
      </w:r>
      <w:r w:rsidR="00F86647">
        <w:rPr>
          <w:rFonts w:cs="Times New Roman"/>
          <w:noProof/>
        </w:rPr>
        <w:t>e.g. ammonia, CO2, hydrocarbons</w:t>
      </w:r>
      <w:r w:rsidR="00AF580C">
        <w:rPr>
          <w:rFonts w:cs="Times New Roman"/>
          <w:noProof/>
        </w:rPr>
        <w:t>)</w:t>
      </w:r>
      <w:r w:rsidR="00DD4479">
        <w:rPr>
          <w:rFonts w:cs="Times New Roman"/>
          <w:noProof/>
        </w:rPr>
        <w:t xml:space="preserve"> and</w:t>
      </w:r>
      <w:r w:rsidR="00AF580C">
        <w:rPr>
          <w:rFonts w:cs="Times New Roman"/>
          <w:noProof/>
        </w:rPr>
        <w:t xml:space="preserve"> </w:t>
      </w:r>
      <w:r w:rsidR="00DD4479">
        <w:rPr>
          <w:rFonts w:cs="Times New Roman"/>
          <w:noProof/>
        </w:rPr>
        <w:t xml:space="preserve">H(C)FOs. </w:t>
      </w:r>
      <w:r w:rsidR="00AF580C">
        <w:rPr>
          <w:rFonts w:cs="Times New Roman"/>
          <w:noProof/>
        </w:rPr>
        <w:t>These alternatives have different properties from HFCs, e.g. many of them are flammable and therefore require different skills and handling know-how.</w:t>
      </w:r>
      <w:r w:rsidR="00202662" w:rsidRPr="3982CBDC">
        <w:rPr>
          <w:rFonts w:cs="Times New Roman"/>
          <w:noProof/>
        </w:rPr>
        <w:t xml:space="preserve"> </w:t>
      </w:r>
      <w:r w:rsidR="00AF580C">
        <w:rPr>
          <w:rFonts w:cs="Times New Roman"/>
          <w:noProof/>
        </w:rPr>
        <w:t xml:space="preserve">While training and skills for Annex I </w:t>
      </w:r>
      <w:r w:rsidR="00DD4479">
        <w:rPr>
          <w:rFonts w:cs="Times New Roman"/>
          <w:noProof/>
        </w:rPr>
        <w:t xml:space="preserve">gases </w:t>
      </w:r>
      <w:r w:rsidR="00AF580C">
        <w:rPr>
          <w:rFonts w:cs="Times New Roman"/>
          <w:noProof/>
        </w:rPr>
        <w:t>are currently ascertained by the extensive rules in the Regulation, there</w:t>
      </w:r>
      <w:r w:rsidR="00CB2156">
        <w:rPr>
          <w:rFonts w:cs="Times New Roman"/>
          <w:noProof/>
        </w:rPr>
        <w:t xml:space="preserve"> is notably a lack of </w:t>
      </w:r>
      <w:r w:rsidR="00202662" w:rsidRPr="3982CBDC">
        <w:rPr>
          <w:rFonts w:cs="Times New Roman"/>
          <w:noProof/>
        </w:rPr>
        <w:t>training facilities</w:t>
      </w:r>
      <w:r w:rsidR="00A31040">
        <w:rPr>
          <w:rFonts w:cs="Times New Roman"/>
          <w:noProof/>
        </w:rPr>
        <w:t xml:space="preserve"> offering </w:t>
      </w:r>
      <w:r w:rsidR="00202662" w:rsidRPr="3982CBDC">
        <w:rPr>
          <w:rFonts w:cs="Times New Roman"/>
          <w:noProof/>
        </w:rPr>
        <w:t>practical training</w:t>
      </w:r>
      <w:r w:rsidR="00DD4479">
        <w:rPr>
          <w:rFonts w:cs="Times New Roman"/>
          <w:noProof/>
        </w:rPr>
        <w:t xml:space="preserve"> on the alternative substances</w:t>
      </w:r>
      <w:r w:rsidR="007B56AB">
        <w:rPr>
          <w:rStyle w:val="FootnoteReference"/>
          <w:rFonts w:cs="Times New Roman"/>
          <w:noProof/>
        </w:rPr>
        <w:footnoteReference w:id="48"/>
      </w:r>
      <w:r w:rsidR="00202662" w:rsidRPr="3982CBDC">
        <w:rPr>
          <w:rFonts w:cs="Times New Roman"/>
          <w:noProof/>
        </w:rPr>
        <w:t xml:space="preserve">. </w:t>
      </w:r>
      <w:r w:rsidR="03904B1B" w:rsidRPr="3982CBDC">
        <w:rPr>
          <w:rFonts w:cs="Times New Roman"/>
          <w:noProof/>
        </w:rPr>
        <w:t xml:space="preserve">The stakeholder consultation showed that </w:t>
      </w:r>
      <w:r w:rsidR="00912318" w:rsidRPr="3982CBDC">
        <w:rPr>
          <w:rFonts w:cs="Times New Roman"/>
          <w:noProof/>
        </w:rPr>
        <w:t xml:space="preserve">there have been </w:t>
      </w:r>
      <w:r w:rsidR="75A73AA2" w:rsidRPr="31A2ADCF">
        <w:rPr>
          <w:rFonts w:cs="Times New Roman"/>
          <w:noProof/>
        </w:rPr>
        <w:t>some</w:t>
      </w:r>
      <w:r w:rsidR="00DD4479">
        <w:rPr>
          <w:rFonts w:cs="Times New Roman"/>
          <w:noProof/>
        </w:rPr>
        <w:t xml:space="preserve"> </w:t>
      </w:r>
      <w:r w:rsidR="00202662" w:rsidRPr="3982CBDC">
        <w:rPr>
          <w:rFonts w:cs="Times New Roman"/>
          <w:noProof/>
        </w:rPr>
        <w:t xml:space="preserve">improvements </w:t>
      </w:r>
      <w:r w:rsidR="00DD4479">
        <w:rPr>
          <w:rFonts w:cs="Times New Roman"/>
          <w:noProof/>
        </w:rPr>
        <w:t>in the meantime</w:t>
      </w:r>
      <w:r w:rsidR="00202662" w:rsidRPr="3982CBDC">
        <w:rPr>
          <w:rFonts w:cs="Times New Roman"/>
          <w:noProof/>
        </w:rPr>
        <w:t xml:space="preserve">, </w:t>
      </w:r>
      <w:r w:rsidR="43C02CCB" w:rsidRPr="3982CBDC">
        <w:rPr>
          <w:rFonts w:cs="Times New Roman"/>
          <w:noProof/>
        </w:rPr>
        <w:t xml:space="preserve">but </w:t>
      </w:r>
      <w:r w:rsidR="00202662" w:rsidRPr="3982CBDC">
        <w:rPr>
          <w:rFonts w:cs="Times New Roman"/>
          <w:noProof/>
        </w:rPr>
        <w:t xml:space="preserve">this </w:t>
      </w:r>
      <w:r w:rsidR="00DD4479">
        <w:rPr>
          <w:rFonts w:cs="Times New Roman"/>
          <w:noProof/>
        </w:rPr>
        <w:t xml:space="preserve">challenge </w:t>
      </w:r>
      <w:r w:rsidR="00202662" w:rsidRPr="3982CBDC">
        <w:rPr>
          <w:rFonts w:cs="Times New Roman"/>
          <w:noProof/>
        </w:rPr>
        <w:t xml:space="preserve">has remained a piecework puzzle </w:t>
      </w:r>
      <w:r w:rsidR="00CB2156">
        <w:rPr>
          <w:rFonts w:cs="Times New Roman"/>
          <w:noProof/>
        </w:rPr>
        <w:t>and t</w:t>
      </w:r>
      <w:r w:rsidR="00277F7A" w:rsidRPr="3982CBDC">
        <w:rPr>
          <w:rFonts w:cs="Times New Roman"/>
          <w:noProof/>
        </w:rPr>
        <w:t xml:space="preserve">he situation varies greatly between Member States. </w:t>
      </w:r>
      <w:r w:rsidR="006F7B04">
        <w:rPr>
          <w:rFonts w:cs="Times New Roman"/>
          <w:noProof/>
        </w:rPr>
        <w:t>T</w:t>
      </w:r>
      <w:r w:rsidR="006F7B04" w:rsidRPr="3982CBDC">
        <w:rPr>
          <w:rFonts w:cs="Times New Roman"/>
          <w:noProof/>
        </w:rPr>
        <w:t>he lack of qualified technicians can pose liability issues for equipment manufacturers</w:t>
      </w:r>
      <w:r w:rsidR="006F7B04">
        <w:rPr>
          <w:rFonts w:cs="Times New Roman"/>
          <w:noProof/>
        </w:rPr>
        <w:t xml:space="preserve"> and a</w:t>
      </w:r>
      <w:r w:rsidR="00202662" w:rsidRPr="3982CBDC">
        <w:rPr>
          <w:rFonts w:cs="Times New Roman"/>
          <w:noProof/>
        </w:rPr>
        <w:t xml:space="preserve"> broad range of stakeholders confirmed that th</w:t>
      </w:r>
      <w:r w:rsidR="006F7B04">
        <w:rPr>
          <w:rFonts w:cs="Times New Roman"/>
          <w:noProof/>
        </w:rPr>
        <w:t xml:space="preserve">is issue </w:t>
      </w:r>
      <w:r w:rsidR="00CB2156">
        <w:rPr>
          <w:rFonts w:cs="Times New Roman"/>
          <w:noProof/>
        </w:rPr>
        <w:t xml:space="preserve">is </w:t>
      </w:r>
      <w:r w:rsidR="006F7B04">
        <w:rPr>
          <w:rFonts w:cs="Times New Roman"/>
          <w:noProof/>
        </w:rPr>
        <w:t xml:space="preserve">still </w:t>
      </w:r>
      <w:r w:rsidR="00912318" w:rsidRPr="3982CBDC">
        <w:rPr>
          <w:rFonts w:cs="Times New Roman"/>
          <w:noProof/>
        </w:rPr>
        <w:t>prevent</w:t>
      </w:r>
      <w:r w:rsidR="00CB2156">
        <w:rPr>
          <w:rFonts w:cs="Times New Roman"/>
          <w:noProof/>
        </w:rPr>
        <w:t>ing</w:t>
      </w:r>
      <w:r w:rsidR="00912318" w:rsidRPr="3982CBDC">
        <w:rPr>
          <w:rFonts w:cs="Times New Roman"/>
          <w:noProof/>
        </w:rPr>
        <w:t xml:space="preserve"> a </w:t>
      </w:r>
      <w:r w:rsidR="00202662" w:rsidRPr="3982CBDC">
        <w:rPr>
          <w:rFonts w:cs="Times New Roman"/>
          <w:noProof/>
        </w:rPr>
        <w:t xml:space="preserve">wider roll-out of </w:t>
      </w:r>
      <w:r w:rsidR="00CB2156">
        <w:rPr>
          <w:rFonts w:cs="Times New Roman"/>
          <w:noProof/>
        </w:rPr>
        <w:t>climate friendly</w:t>
      </w:r>
      <w:r w:rsidR="00202662" w:rsidRPr="3982CBDC">
        <w:rPr>
          <w:rFonts w:cs="Times New Roman"/>
          <w:noProof/>
        </w:rPr>
        <w:t xml:space="preserve"> technologies.</w:t>
      </w:r>
      <w:r w:rsidR="006F7B04">
        <w:rPr>
          <w:rFonts w:cs="Times New Roman"/>
          <w:noProof/>
        </w:rPr>
        <w:t xml:space="preserve"> </w:t>
      </w:r>
    </w:p>
    <w:p w14:paraId="46F9CBA6" w14:textId="59EC049E" w:rsidR="00925081" w:rsidRDefault="3982CBDC" w:rsidP="00AD5F1B">
      <w:pPr>
        <w:keepNext/>
        <w:numPr>
          <w:ilvl w:val="5"/>
          <w:numId w:val="6"/>
        </w:numPr>
        <w:spacing w:after="120"/>
        <w:ind w:left="2154" w:hanging="357"/>
        <w:rPr>
          <w:rFonts w:eastAsia="Times New Roman" w:cs="Times New Roman"/>
          <w:noProof/>
        </w:rPr>
      </w:pPr>
      <w:r w:rsidRPr="3982CBDC">
        <w:rPr>
          <w:rFonts w:eastAsia="Times New Roman" w:cs="Times New Roman"/>
          <w:noProof/>
        </w:rPr>
        <w:t>D</w:t>
      </w:r>
      <w:r w:rsidR="00DF55B4">
        <w:rPr>
          <w:rFonts w:eastAsia="Times New Roman" w:cs="Times New Roman"/>
          <w:noProof/>
        </w:rPr>
        <w:t>r</w:t>
      </w:r>
      <w:r w:rsidRPr="3982CBDC">
        <w:rPr>
          <w:rFonts w:eastAsia="Times New Roman" w:cs="Times New Roman"/>
          <w:noProof/>
        </w:rPr>
        <w:t>ivers</w:t>
      </w:r>
    </w:p>
    <w:p w14:paraId="780681E8" w14:textId="38593262" w:rsidR="00202662" w:rsidRPr="00A14107" w:rsidRDefault="006F7B04" w:rsidP="00820190">
      <w:pPr>
        <w:keepNext/>
        <w:spacing w:after="120"/>
        <w:outlineLvl w:val="3"/>
        <w:rPr>
          <w:rFonts w:eastAsia="Times New Roman" w:cs="Times New Roman"/>
          <w:noProof/>
        </w:rPr>
      </w:pPr>
      <w:r>
        <w:rPr>
          <w:rFonts w:eastAsia="Times New Roman" w:cs="Times New Roman"/>
          <w:noProof/>
        </w:rPr>
        <w:t xml:space="preserve">The Regulation </w:t>
      </w:r>
      <w:r w:rsidR="00BE1A35">
        <w:rPr>
          <w:rFonts w:eastAsia="Times New Roman" w:cs="Times New Roman"/>
          <w:noProof/>
        </w:rPr>
        <w:t xml:space="preserve">is not </w:t>
      </w:r>
      <w:r>
        <w:rPr>
          <w:rFonts w:eastAsia="Times New Roman" w:cs="Times New Roman"/>
          <w:noProof/>
        </w:rPr>
        <w:t>requir</w:t>
      </w:r>
      <w:r w:rsidR="00BE1A35">
        <w:rPr>
          <w:rFonts w:eastAsia="Times New Roman" w:cs="Times New Roman"/>
          <w:noProof/>
        </w:rPr>
        <w:t xml:space="preserve">ing </w:t>
      </w:r>
      <w:r>
        <w:rPr>
          <w:rFonts w:eastAsia="Times New Roman" w:cs="Times New Roman"/>
          <w:noProof/>
        </w:rPr>
        <w:t>Member States to have</w:t>
      </w:r>
      <w:r w:rsidR="00790197" w:rsidRPr="3982CBDC">
        <w:rPr>
          <w:rFonts w:eastAsia="Times New Roman" w:cs="Times New Roman"/>
          <w:noProof/>
        </w:rPr>
        <w:t xml:space="preserve"> </w:t>
      </w:r>
      <w:r w:rsidR="00202662" w:rsidRPr="3982CBDC">
        <w:rPr>
          <w:rFonts w:eastAsia="Times New Roman" w:cs="Times New Roman"/>
          <w:noProof/>
        </w:rPr>
        <w:t>mandatory t</w:t>
      </w:r>
      <w:r w:rsidR="00790197" w:rsidRPr="3982CBDC">
        <w:rPr>
          <w:rFonts w:eastAsia="Times New Roman" w:cs="Times New Roman"/>
          <w:noProof/>
        </w:rPr>
        <w:t>raining and certification programmes</w:t>
      </w:r>
      <w:r w:rsidR="00202662" w:rsidRPr="3982CBDC">
        <w:rPr>
          <w:rFonts w:eastAsia="Times New Roman" w:cs="Times New Roman"/>
          <w:noProof/>
        </w:rPr>
        <w:t xml:space="preserve"> </w:t>
      </w:r>
      <w:r w:rsidR="00C301B8">
        <w:rPr>
          <w:rFonts w:eastAsia="Times New Roman" w:cs="Times New Roman"/>
          <w:noProof/>
        </w:rPr>
        <w:t>cover</w:t>
      </w:r>
      <w:r w:rsidR="00820190">
        <w:rPr>
          <w:rFonts w:eastAsia="Times New Roman" w:cs="Times New Roman"/>
          <w:noProof/>
        </w:rPr>
        <w:t>ing the climate-</w:t>
      </w:r>
      <w:r w:rsidR="00BE1A35">
        <w:rPr>
          <w:rFonts w:eastAsia="Times New Roman" w:cs="Times New Roman"/>
          <w:noProof/>
        </w:rPr>
        <w:t>friendly</w:t>
      </w:r>
      <w:r w:rsidR="00C301B8">
        <w:rPr>
          <w:rFonts w:eastAsia="Times New Roman" w:cs="Times New Roman"/>
          <w:noProof/>
        </w:rPr>
        <w:t xml:space="preserve"> </w:t>
      </w:r>
      <w:r w:rsidR="00790197" w:rsidRPr="3982CBDC">
        <w:rPr>
          <w:rFonts w:eastAsia="Times New Roman" w:cs="Times New Roman"/>
          <w:noProof/>
        </w:rPr>
        <w:t>alternatives</w:t>
      </w:r>
      <w:r w:rsidR="00BE1A35">
        <w:rPr>
          <w:rFonts w:eastAsia="Times New Roman" w:cs="Times New Roman"/>
          <w:noProof/>
        </w:rPr>
        <w:t xml:space="preserve">. It is only required for </w:t>
      </w:r>
      <w:r w:rsidR="00C301B8">
        <w:rPr>
          <w:rFonts w:eastAsia="Times New Roman" w:cs="Times New Roman"/>
          <w:noProof/>
        </w:rPr>
        <w:t>Annex I gases</w:t>
      </w:r>
      <w:r w:rsidR="00AF580C">
        <w:rPr>
          <w:rFonts w:eastAsia="Times New Roman" w:cs="Times New Roman"/>
          <w:noProof/>
        </w:rPr>
        <w:t xml:space="preserve"> (since 2006)</w:t>
      </w:r>
      <w:r w:rsidR="00820190">
        <w:rPr>
          <w:rFonts w:eastAsia="Times New Roman" w:cs="Times New Roman"/>
          <w:noProof/>
        </w:rPr>
        <w:t>.</w:t>
      </w:r>
      <w:r w:rsidR="001C1DE0" w:rsidRPr="3982CBDC">
        <w:rPr>
          <w:rFonts w:eastAsia="Times New Roman" w:cs="Times New Roman"/>
          <w:noProof/>
        </w:rPr>
        <w:t xml:space="preserve"> </w:t>
      </w:r>
      <w:r w:rsidR="00C301B8">
        <w:rPr>
          <w:rFonts w:eastAsia="Times New Roman" w:cs="Times New Roman"/>
          <w:noProof/>
        </w:rPr>
        <w:t>T</w:t>
      </w:r>
      <w:r w:rsidR="001C1DE0" w:rsidRPr="3982CBDC">
        <w:rPr>
          <w:rFonts w:eastAsia="Times New Roman" w:cs="Times New Roman"/>
          <w:noProof/>
        </w:rPr>
        <w:t>he legislative framework</w:t>
      </w:r>
      <w:r w:rsidR="00117AEF" w:rsidRPr="3982CBDC">
        <w:rPr>
          <w:rStyle w:val="FootnoteReference"/>
          <w:rFonts w:eastAsia="Times New Roman" w:cs="Times New Roman"/>
          <w:noProof/>
        </w:rPr>
        <w:footnoteReference w:id="49"/>
      </w:r>
      <w:r w:rsidR="00117AEF">
        <w:rPr>
          <w:rFonts w:eastAsia="Times New Roman" w:cs="Times New Roman"/>
          <w:noProof/>
        </w:rPr>
        <w:t xml:space="preserve"> </w:t>
      </w:r>
      <w:r w:rsidR="001C1DE0" w:rsidRPr="3982CBDC">
        <w:rPr>
          <w:rFonts w:eastAsia="Times New Roman" w:cs="Times New Roman"/>
          <w:noProof/>
        </w:rPr>
        <w:t>complemented by existing standards at the European level appears appropriate</w:t>
      </w:r>
      <w:r w:rsidR="001C513B" w:rsidRPr="3982CBDC">
        <w:rPr>
          <w:noProof/>
        </w:rPr>
        <w:fldChar w:fldCharType="begin"/>
      </w:r>
      <w:r w:rsidR="001C513B" w:rsidRPr="001C513B">
        <w:rPr>
          <w:rFonts w:eastAsia="Times New Roman" w:cs="Times New Roman"/>
          <w:noProof/>
          <w:szCs w:val="20"/>
          <w:vertAlign w:val="superscript"/>
        </w:rPr>
        <w:instrText xml:space="preserve"> NOTEREF _Ref85543886 \h </w:instrText>
      </w:r>
      <w:r w:rsidR="001C513B">
        <w:rPr>
          <w:rFonts w:eastAsia="Times New Roman" w:cs="Times New Roman"/>
          <w:noProof/>
          <w:szCs w:val="20"/>
          <w:vertAlign w:val="superscript"/>
        </w:rPr>
        <w:instrText xml:space="preserve"> \* MERGEFORMAT </w:instrText>
      </w:r>
      <w:r w:rsidR="001C513B" w:rsidRPr="3982CBDC">
        <w:rPr>
          <w:noProof/>
        </w:rPr>
      </w:r>
      <w:r w:rsidR="001C513B" w:rsidRPr="3982CBDC">
        <w:rPr>
          <w:rFonts w:eastAsia="Times New Roman" w:cs="Times New Roman"/>
          <w:noProof/>
          <w:szCs w:val="20"/>
          <w:vertAlign w:val="superscript"/>
        </w:rPr>
        <w:fldChar w:fldCharType="separate"/>
      </w:r>
      <w:r w:rsidR="00C66A21" w:rsidRPr="00C66A21">
        <w:rPr>
          <w:rFonts w:eastAsia="Times New Roman" w:cs="Times New Roman"/>
          <w:noProof/>
          <w:vertAlign w:val="superscript"/>
        </w:rPr>
        <w:t>28</w:t>
      </w:r>
      <w:r w:rsidR="001C513B" w:rsidRPr="3982CBDC">
        <w:rPr>
          <w:noProof/>
        </w:rPr>
        <w:fldChar w:fldCharType="end"/>
      </w:r>
      <w:r w:rsidR="001C1DE0" w:rsidRPr="3982CBDC">
        <w:rPr>
          <w:rFonts w:eastAsia="Times New Roman" w:cs="Times New Roman"/>
          <w:noProof/>
        </w:rPr>
        <w:t xml:space="preserve"> to ensure safe </w:t>
      </w:r>
      <w:r w:rsidR="00790197" w:rsidRPr="3982CBDC">
        <w:rPr>
          <w:rFonts w:eastAsia="Times New Roman" w:cs="Times New Roman"/>
          <w:noProof/>
        </w:rPr>
        <w:t>handling of</w:t>
      </w:r>
      <w:r w:rsidR="001C1DE0" w:rsidRPr="3982CBDC">
        <w:rPr>
          <w:rFonts w:eastAsia="Times New Roman" w:cs="Times New Roman"/>
          <w:noProof/>
        </w:rPr>
        <w:t xml:space="preserve"> equipment</w:t>
      </w:r>
      <w:r w:rsidR="00790197" w:rsidRPr="3982CBDC">
        <w:rPr>
          <w:rFonts w:eastAsia="Times New Roman" w:cs="Times New Roman"/>
          <w:noProof/>
        </w:rPr>
        <w:t xml:space="preserve"> </w:t>
      </w:r>
      <w:r w:rsidR="00C301B8">
        <w:rPr>
          <w:rFonts w:eastAsia="Times New Roman" w:cs="Times New Roman"/>
          <w:noProof/>
        </w:rPr>
        <w:t>but</w:t>
      </w:r>
      <w:r w:rsidR="001C1DE0" w:rsidRPr="3982CBDC">
        <w:rPr>
          <w:rFonts w:eastAsia="Times New Roman" w:cs="Times New Roman"/>
          <w:noProof/>
        </w:rPr>
        <w:t xml:space="preserve"> a mandator</w:t>
      </w:r>
      <w:r w:rsidR="00790197" w:rsidRPr="3982CBDC">
        <w:rPr>
          <w:rFonts w:eastAsia="Times New Roman" w:cs="Times New Roman"/>
          <w:noProof/>
        </w:rPr>
        <w:t xml:space="preserve">y EU-wide </w:t>
      </w:r>
      <w:r>
        <w:rPr>
          <w:rFonts w:eastAsia="Times New Roman" w:cs="Times New Roman"/>
          <w:noProof/>
        </w:rPr>
        <w:t xml:space="preserve">certification </w:t>
      </w:r>
      <w:r w:rsidR="00790197" w:rsidRPr="3982CBDC">
        <w:rPr>
          <w:rFonts w:eastAsia="Times New Roman" w:cs="Times New Roman"/>
          <w:noProof/>
        </w:rPr>
        <w:t>scheme does not exist.</w:t>
      </w:r>
    </w:p>
    <w:p w14:paraId="2CB2A2FC" w14:textId="77777777" w:rsidR="00925081" w:rsidRDefault="3982CBDC" w:rsidP="00AD5F1B">
      <w:pPr>
        <w:numPr>
          <w:ilvl w:val="5"/>
          <w:numId w:val="6"/>
        </w:numPr>
        <w:spacing w:after="120"/>
        <w:ind w:left="2154" w:hanging="357"/>
        <w:rPr>
          <w:rFonts w:cs="Times New Roman"/>
          <w:noProof/>
        </w:rPr>
      </w:pPr>
      <w:r w:rsidRPr="3982CBDC">
        <w:rPr>
          <w:rFonts w:cs="Times New Roman"/>
          <w:noProof/>
        </w:rPr>
        <w:t xml:space="preserve"> How the problem will evolve</w:t>
      </w:r>
    </w:p>
    <w:p w14:paraId="5C236135" w14:textId="23DBA7A0" w:rsidR="00925081" w:rsidRPr="00A14107" w:rsidRDefault="00F366CF" w:rsidP="3982CBDC">
      <w:pPr>
        <w:spacing w:after="120"/>
        <w:rPr>
          <w:rFonts w:cs="Times New Roman"/>
          <w:noProof/>
        </w:rPr>
      </w:pPr>
      <w:r>
        <w:rPr>
          <w:rFonts w:cs="Times New Roman"/>
          <w:noProof/>
        </w:rPr>
        <w:t>EU-wide availability o</w:t>
      </w:r>
      <w:r w:rsidRPr="3982CBDC">
        <w:rPr>
          <w:rFonts w:cs="Times New Roman"/>
          <w:noProof/>
        </w:rPr>
        <w:t xml:space="preserve">f training and evidence of skills </w:t>
      </w:r>
      <w:r>
        <w:rPr>
          <w:rFonts w:cs="Times New Roman"/>
          <w:noProof/>
        </w:rPr>
        <w:t xml:space="preserve">will not </w:t>
      </w:r>
      <w:r w:rsidRPr="3982CBDC">
        <w:rPr>
          <w:rFonts w:cs="Times New Roman"/>
          <w:noProof/>
        </w:rPr>
        <w:t xml:space="preserve">be ensured </w:t>
      </w:r>
      <w:r>
        <w:rPr>
          <w:rFonts w:cs="Times New Roman"/>
          <w:noProof/>
        </w:rPr>
        <w:t>and a</w:t>
      </w:r>
      <w:r w:rsidR="3982CBDC" w:rsidRPr="3982CBDC">
        <w:rPr>
          <w:rFonts w:cs="Times New Roman"/>
          <w:noProof/>
        </w:rPr>
        <w:t xml:space="preserve"> lack of skilled personnel will continue to persist, at least for the medium term. </w:t>
      </w:r>
      <w:r w:rsidR="006F7B04">
        <w:rPr>
          <w:rFonts w:cs="Times New Roman"/>
          <w:noProof/>
        </w:rPr>
        <w:t>Th</w:t>
      </w:r>
      <w:r w:rsidR="00820190">
        <w:rPr>
          <w:rFonts w:cs="Times New Roman"/>
          <w:noProof/>
        </w:rPr>
        <w:t xml:space="preserve">is will slow down the introduction </w:t>
      </w:r>
      <w:r w:rsidR="006F7B04">
        <w:rPr>
          <w:rFonts w:cs="Times New Roman"/>
          <w:noProof/>
        </w:rPr>
        <w:t xml:space="preserve">of </w:t>
      </w:r>
      <w:r w:rsidR="00820190">
        <w:rPr>
          <w:rFonts w:cs="Times New Roman"/>
          <w:noProof/>
        </w:rPr>
        <w:t>green technologies</w:t>
      </w:r>
      <w:r w:rsidR="3982CBDC" w:rsidRPr="3982CBDC">
        <w:rPr>
          <w:rFonts w:cs="Times New Roman"/>
          <w:noProof/>
        </w:rPr>
        <w:t xml:space="preserve">. </w:t>
      </w:r>
    </w:p>
    <w:p w14:paraId="24081A16" w14:textId="2D753D71" w:rsidR="00E41CDC" w:rsidRPr="008E4AE1" w:rsidRDefault="00E04F0C" w:rsidP="00E04F0C">
      <w:pPr>
        <w:pStyle w:val="Heading3"/>
        <w:rPr>
          <w:noProof/>
        </w:rPr>
      </w:pPr>
      <w:bookmarkStart w:id="61" w:name="_Ref85620940"/>
      <w:bookmarkStart w:id="62" w:name="_Toc88571901"/>
      <w:bookmarkStart w:id="63" w:name="_Ref93926206"/>
      <w:bookmarkStart w:id="64" w:name="_Ref93995424"/>
      <w:bookmarkStart w:id="65" w:name="_Toc94629494"/>
      <w:bookmarkStart w:id="66" w:name="_Toc98857738"/>
      <w:r w:rsidRPr="00E04F0C">
        <w:t>2.1.4.</w:t>
      </w:r>
      <w:r w:rsidRPr="00E04F0C">
        <w:tab/>
      </w:r>
      <w:r w:rsidR="00583FEE">
        <w:rPr>
          <w:noProof/>
        </w:rPr>
        <w:t>M</w:t>
      </w:r>
      <w:r w:rsidR="3982CBDC">
        <w:rPr>
          <w:noProof/>
        </w:rPr>
        <w:t xml:space="preserve">onitoring </w:t>
      </w:r>
      <w:bookmarkEnd w:id="61"/>
      <w:r w:rsidR="00583FEE">
        <w:rPr>
          <w:noProof/>
        </w:rPr>
        <w:t>gaps</w:t>
      </w:r>
      <w:bookmarkEnd w:id="62"/>
      <w:bookmarkEnd w:id="63"/>
      <w:r w:rsidR="00A31BA2">
        <w:rPr>
          <w:noProof/>
        </w:rPr>
        <w:t>:</w:t>
      </w:r>
      <w:r w:rsidR="006C1E5D" w:rsidRPr="006C1E5D">
        <w:rPr>
          <w:rFonts w:eastAsiaTheme="minorHAnsi"/>
          <w:noProof/>
          <w:szCs w:val="22"/>
        </w:rPr>
        <w:t xml:space="preserve"> </w:t>
      </w:r>
      <w:r w:rsidR="006C1E5D">
        <w:rPr>
          <w:noProof/>
        </w:rPr>
        <w:t>G</w:t>
      </w:r>
      <w:r w:rsidR="006C1E5D" w:rsidRPr="006C1E5D">
        <w:rPr>
          <w:noProof/>
        </w:rPr>
        <w:t xml:space="preserve">ases and activities covered </w:t>
      </w:r>
      <w:r w:rsidR="006C1E5D" w:rsidRPr="00DD4479">
        <w:rPr>
          <w:noProof/>
        </w:rPr>
        <w:t>as well as</w:t>
      </w:r>
      <w:r w:rsidR="006C1E5D" w:rsidRPr="006C1E5D">
        <w:rPr>
          <w:noProof/>
        </w:rPr>
        <w:t xml:space="preserve"> </w:t>
      </w:r>
      <w:r w:rsidR="006C1E5D">
        <w:rPr>
          <w:noProof/>
        </w:rPr>
        <w:t xml:space="preserve">rules on </w:t>
      </w:r>
      <w:r w:rsidR="006C1E5D" w:rsidRPr="006C1E5D">
        <w:rPr>
          <w:noProof/>
        </w:rPr>
        <w:t>reporting process and data verificatio</w:t>
      </w:r>
      <w:bookmarkEnd w:id="64"/>
      <w:r w:rsidR="008E4AE1">
        <w:rPr>
          <w:noProof/>
        </w:rPr>
        <w:t>n</w:t>
      </w:r>
      <w:bookmarkEnd w:id="65"/>
      <w:bookmarkEnd w:id="66"/>
    </w:p>
    <w:p w14:paraId="5D43F0F7" w14:textId="77777777" w:rsidR="003F6C99" w:rsidRDefault="3982CBDC" w:rsidP="00AD5F1B">
      <w:pPr>
        <w:numPr>
          <w:ilvl w:val="5"/>
          <w:numId w:val="11"/>
        </w:numPr>
        <w:spacing w:after="120"/>
        <w:rPr>
          <w:rFonts w:cs="Times New Roman"/>
          <w:noProof/>
        </w:rPr>
      </w:pPr>
      <w:r w:rsidRPr="3982CBDC">
        <w:rPr>
          <w:rFonts w:cs="Times New Roman"/>
          <w:noProof/>
        </w:rPr>
        <w:t>Status quo of the issue</w:t>
      </w:r>
    </w:p>
    <w:p w14:paraId="07A4846F" w14:textId="554533D5" w:rsidR="00F06E9C" w:rsidRPr="00625701" w:rsidRDefault="00C27A76" w:rsidP="009404EA">
      <w:pPr>
        <w:spacing w:after="120"/>
        <w:rPr>
          <w:rFonts w:cs="Times New Roman"/>
          <w:noProof/>
        </w:rPr>
      </w:pPr>
      <w:r>
        <w:rPr>
          <w:rFonts w:cs="Times New Roman"/>
          <w:noProof/>
        </w:rPr>
        <w:t>Production, trade activities, destruction and feedstock use of Annex I and II substances needs to be reported, but</w:t>
      </w:r>
      <w:r w:rsidR="00DD4479">
        <w:rPr>
          <w:rFonts w:cs="Times New Roman"/>
          <w:noProof/>
        </w:rPr>
        <w:t xml:space="preserve"> th</w:t>
      </w:r>
      <w:r w:rsidR="00F366CF">
        <w:rPr>
          <w:rFonts w:cs="Times New Roman"/>
          <w:noProof/>
        </w:rPr>
        <w:t xml:space="preserve">ere is no monitoring of certain </w:t>
      </w:r>
      <w:r w:rsidR="3982CBDC" w:rsidRPr="00F366CF">
        <w:rPr>
          <w:rFonts w:cs="Times New Roman"/>
          <w:b/>
          <w:bCs/>
          <w:noProof/>
        </w:rPr>
        <w:t xml:space="preserve">“new” fluorinated greenhouse gases </w:t>
      </w:r>
      <w:r w:rsidR="00F366CF">
        <w:rPr>
          <w:rFonts w:cs="Times New Roman"/>
          <w:b/>
          <w:bCs/>
          <w:noProof/>
        </w:rPr>
        <w:t xml:space="preserve">that </w:t>
      </w:r>
      <w:r>
        <w:rPr>
          <w:rFonts w:cs="Times New Roman"/>
          <w:b/>
          <w:bCs/>
          <w:noProof/>
        </w:rPr>
        <w:t xml:space="preserve">also </w:t>
      </w:r>
      <w:r w:rsidR="00F366CF">
        <w:rPr>
          <w:rFonts w:cs="Times New Roman"/>
          <w:b/>
          <w:bCs/>
          <w:noProof/>
        </w:rPr>
        <w:t xml:space="preserve">appear </w:t>
      </w:r>
      <w:r w:rsidR="3982CBDC" w:rsidRPr="00F366CF">
        <w:rPr>
          <w:rFonts w:cs="Times New Roman"/>
          <w:b/>
          <w:bCs/>
          <w:noProof/>
        </w:rPr>
        <w:t>relevant</w:t>
      </w:r>
      <w:r w:rsidR="00F366CF">
        <w:rPr>
          <w:rFonts w:cs="Times New Roman"/>
          <w:b/>
          <w:bCs/>
          <w:noProof/>
        </w:rPr>
        <w:t xml:space="preserve"> </w:t>
      </w:r>
      <w:r w:rsidR="00C77B09" w:rsidRPr="00C77B09">
        <w:rPr>
          <w:rFonts w:cs="Times New Roman"/>
          <w:bCs/>
          <w:noProof/>
        </w:rPr>
        <w:t>(e.g</w:t>
      </w:r>
      <w:r w:rsidR="00F854AA">
        <w:rPr>
          <w:rFonts w:cs="Times New Roman"/>
          <w:bCs/>
          <w:noProof/>
        </w:rPr>
        <w:t>. sulfuryl</w:t>
      </w:r>
      <w:r w:rsidR="00C77B09" w:rsidRPr="00C77B09">
        <w:rPr>
          <w:rFonts w:cs="Times New Roman"/>
          <w:bCs/>
          <w:noProof/>
        </w:rPr>
        <w:t>fluoride</w:t>
      </w:r>
      <w:r w:rsidR="00245FC5">
        <w:rPr>
          <w:rStyle w:val="FootnoteReference"/>
          <w:rFonts w:cs="Times New Roman"/>
          <w:noProof/>
        </w:rPr>
        <w:footnoteReference w:id="50"/>
      </w:r>
      <w:r w:rsidR="00C77B09" w:rsidRPr="00C77B09">
        <w:rPr>
          <w:rFonts w:cs="Times New Roman"/>
          <w:bCs/>
          <w:noProof/>
        </w:rPr>
        <w:t>)</w:t>
      </w:r>
      <w:r w:rsidR="008E4AE1">
        <w:rPr>
          <w:rFonts w:cs="Times New Roman"/>
          <w:bCs/>
          <w:noProof/>
        </w:rPr>
        <w:t xml:space="preserve"> as pointed out by the evaluation (A5.6.1.1)</w:t>
      </w:r>
      <w:r w:rsidR="00245FC5">
        <w:rPr>
          <w:rFonts w:cs="Times New Roman"/>
          <w:bCs/>
          <w:noProof/>
        </w:rPr>
        <w:t>.</w:t>
      </w:r>
      <w:r w:rsidR="00C77B09">
        <w:rPr>
          <w:rFonts w:cs="Times New Roman"/>
          <w:b/>
          <w:bCs/>
          <w:noProof/>
        </w:rPr>
        <w:t xml:space="preserve"> </w:t>
      </w:r>
      <w:r w:rsidR="00245FC5">
        <w:rPr>
          <w:rFonts w:cs="Times New Roman"/>
          <w:bCs/>
          <w:noProof/>
        </w:rPr>
        <w:t>S</w:t>
      </w:r>
      <w:r w:rsidR="00F366CF">
        <w:rPr>
          <w:rFonts w:cs="Times New Roman"/>
          <w:bCs/>
          <w:noProof/>
        </w:rPr>
        <w:t xml:space="preserve">ome of these new gases as well as some of the gases </w:t>
      </w:r>
      <w:r w:rsidR="006B4392">
        <w:rPr>
          <w:rFonts w:cs="Times New Roman"/>
          <w:bCs/>
          <w:noProof/>
        </w:rPr>
        <w:t xml:space="preserve">already </w:t>
      </w:r>
      <w:r w:rsidR="00F366CF">
        <w:rPr>
          <w:rFonts w:cs="Times New Roman"/>
          <w:bCs/>
          <w:noProof/>
        </w:rPr>
        <w:t xml:space="preserve">in Annex II </w:t>
      </w:r>
      <w:r w:rsidR="00C77B09">
        <w:rPr>
          <w:rFonts w:cs="Times New Roman"/>
          <w:bCs/>
          <w:noProof/>
        </w:rPr>
        <w:t>(i.e. H</w:t>
      </w:r>
      <w:r w:rsidR="00245FC5">
        <w:rPr>
          <w:rFonts w:cs="Times New Roman"/>
          <w:bCs/>
          <w:noProof/>
        </w:rPr>
        <w:t>(C)</w:t>
      </w:r>
      <w:r w:rsidR="00C77B09">
        <w:rPr>
          <w:rFonts w:cs="Times New Roman"/>
          <w:bCs/>
          <w:noProof/>
        </w:rPr>
        <w:t>FOs, NF</w:t>
      </w:r>
      <w:r w:rsidR="00C77B09" w:rsidRPr="00DB1EAE">
        <w:rPr>
          <w:rFonts w:cs="Times New Roman"/>
          <w:bCs/>
          <w:noProof/>
          <w:vertAlign w:val="subscript"/>
        </w:rPr>
        <w:t>3</w:t>
      </w:r>
      <w:r w:rsidR="00245FC5">
        <w:rPr>
          <w:rFonts w:cs="Times New Roman"/>
          <w:bCs/>
          <w:noProof/>
        </w:rPr>
        <w:t>, F-gases used as anaesthetics</w:t>
      </w:r>
      <w:r w:rsidR="00C77B09">
        <w:rPr>
          <w:rFonts w:cs="Times New Roman"/>
          <w:bCs/>
          <w:noProof/>
        </w:rPr>
        <w:t xml:space="preserve">) </w:t>
      </w:r>
      <w:r w:rsidR="00F366CF">
        <w:rPr>
          <w:rFonts w:cs="Times New Roman"/>
          <w:bCs/>
          <w:noProof/>
        </w:rPr>
        <w:t>appear to be emitted in relevant quantities</w:t>
      </w:r>
      <w:r w:rsidR="00D42279">
        <w:rPr>
          <w:rFonts w:cs="Times New Roman"/>
          <w:bCs/>
          <w:noProof/>
        </w:rPr>
        <w:t xml:space="preserve"> (up to 1 MtCO2 </w:t>
      </w:r>
      <w:r w:rsidR="009C71F9">
        <w:rPr>
          <w:rFonts w:cs="Times New Roman"/>
          <w:bCs/>
          <w:noProof/>
        </w:rPr>
        <w:t>annually</w:t>
      </w:r>
      <w:r w:rsidR="00D42279">
        <w:rPr>
          <w:rFonts w:cs="Times New Roman"/>
          <w:bCs/>
          <w:noProof/>
        </w:rPr>
        <w:t>)</w:t>
      </w:r>
      <w:r w:rsidR="00892FC6">
        <w:rPr>
          <w:rFonts w:cs="Times New Roman"/>
          <w:bCs/>
          <w:noProof/>
        </w:rPr>
        <w:t>,</w:t>
      </w:r>
      <w:r w:rsidR="00F366CF">
        <w:rPr>
          <w:rFonts w:cs="Times New Roman"/>
          <w:bCs/>
          <w:noProof/>
        </w:rPr>
        <w:t xml:space="preserve"> but they are not </w:t>
      </w:r>
      <w:r w:rsidR="3982CBDC" w:rsidRPr="00F366CF">
        <w:rPr>
          <w:rFonts w:cs="Times New Roman"/>
          <w:noProof/>
        </w:rPr>
        <w:t>subject to emission prevention measures</w:t>
      </w:r>
      <w:r w:rsidR="00F366CF">
        <w:rPr>
          <w:rFonts w:cs="Times New Roman"/>
          <w:noProof/>
        </w:rPr>
        <w:t xml:space="preserve">. </w:t>
      </w:r>
      <w:r w:rsidR="00A26411">
        <w:rPr>
          <w:rFonts w:cs="Times New Roman"/>
          <w:noProof/>
        </w:rPr>
        <w:t>MDI</w:t>
      </w:r>
      <w:r>
        <w:rPr>
          <w:rFonts w:cs="Times New Roman"/>
          <w:noProof/>
        </w:rPr>
        <w:t>s</w:t>
      </w:r>
      <w:r w:rsidR="00A26411">
        <w:rPr>
          <w:rFonts w:cs="Times New Roman"/>
          <w:noProof/>
        </w:rPr>
        <w:t xml:space="preserve"> and </w:t>
      </w:r>
      <w:r>
        <w:rPr>
          <w:rFonts w:cs="Times New Roman"/>
          <w:noProof/>
        </w:rPr>
        <w:t xml:space="preserve">containers with </w:t>
      </w:r>
      <w:r w:rsidR="00A26411">
        <w:rPr>
          <w:rFonts w:cs="Times New Roman"/>
          <w:noProof/>
        </w:rPr>
        <w:t xml:space="preserve">relevant Annex II substances </w:t>
      </w:r>
      <w:r w:rsidR="00B8106A">
        <w:rPr>
          <w:rFonts w:cs="Times New Roman"/>
          <w:noProof/>
        </w:rPr>
        <w:t xml:space="preserve">do not </w:t>
      </w:r>
      <w:r w:rsidR="00A26411">
        <w:rPr>
          <w:rFonts w:cs="Times New Roman"/>
          <w:noProof/>
        </w:rPr>
        <w:t xml:space="preserve">need </w:t>
      </w:r>
      <w:r>
        <w:rPr>
          <w:rFonts w:cs="Times New Roman"/>
          <w:noProof/>
        </w:rPr>
        <w:t>to</w:t>
      </w:r>
      <w:r w:rsidR="00A26411">
        <w:rPr>
          <w:rFonts w:cs="Times New Roman"/>
          <w:noProof/>
        </w:rPr>
        <w:t xml:space="preserve"> </w:t>
      </w:r>
      <w:r>
        <w:rPr>
          <w:rFonts w:cs="Times New Roman"/>
          <w:noProof/>
        </w:rPr>
        <w:t>carry a</w:t>
      </w:r>
      <w:r w:rsidR="00A26411">
        <w:rPr>
          <w:rFonts w:cs="Times New Roman"/>
          <w:noProof/>
        </w:rPr>
        <w:t xml:space="preserve"> label</w:t>
      </w:r>
      <w:r w:rsidR="006059E5">
        <w:rPr>
          <w:rFonts w:cs="Times New Roman"/>
          <w:noProof/>
        </w:rPr>
        <w:t xml:space="preserve"> </w:t>
      </w:r>
      <w:r>
        <w:rPr>
          <w:rFonts w:cs="Times New Roman"/>
          <w:noProof/>
        </w:rPr>
        <w:t>to identify them as F-gases with a GWP such as is the case for all containers of Annex I substances</w:t>
      </w:r>
      <w:r w:rsidR="00054DA2">
        <w:rPr>
          <w:rFonts w:cs="Times New Roman"/>
          <w:noProof/>
        </w:rPr>
        <w:t>,</w:t>
      </w:r>
      <w:r w:rsidR="00A26411">
        <w:rPr>
          <w:rFonts w:cs="Times New Roman"/>
          <w:noProof/>
        </w:rPr>
        <w:t xml:space="preserve"> so users may not be aware of their relevance for climate change.</w:t>
      </w:r>
      <w:r w:rsidR="00024C42">
        <w:rPr>
          <w:rFonts w:cs="Times New Roman"/>
          <w:noProof/>
        </w:rPr>
        <w:t xml:space="preserve"> T</w:t>
      </w:r>
      <w:r w:rsidR="00F366CF">
        <w:rPr>
          <w:rFonts w:cs="Times New Roman"/>
          <w:noProof/>
        </w:rPr>
        <w:t xml:space="preserve">here are </w:t>
      </w:r>
      <w:r w:rsidR="00024C42">
        <w:rPr>
          <w:rFonts w:cs="Times New Roman"/>
          <w:noProof/>
        </w:rPr>
        <w:t xml:space="preserve">also </w:t>
      </w:r>
      <w:r w:rsidR="00F366CF" w:rsidRPr="00F366CF">
        <w:rPr>
          <w:rFonts w:cs="Times New Roman"/>
          <w:b/>
          <w:noProof/>
        </w:rPr>
        <w:t>o</w:t>
      </w:r>
      <w:r w:rsidR="3982CBDC" w:rsidRPr="000265B3">
        <w:rPr>
          <w:rFonts w:cs="Times New Roman"/>
          <w:b/>
          <w:bCs/>
          <w:noProof/>
        </w:rPr>
        <w:t>ther data gaps</w:t>
      </w:r>
      <w:r w:rsidR="000374BC" w:rsidRPr="000265B3">
        <w:rPr>
          <w:rFonts w:cs="Times New Roman"/>
          <w:b/>
          <w:bCs/>
          <w:noProof/>
        </w:rPr>
        <w:t xml:space="preserve"> </w:t>
      </w:r>
      <w:r w:rsidR="3982CBDC" w:rsidRPr="000265B3">
        <w:rPr>
          <w:rFonts w:cs="Times New Roman"/>
          <w:noProof/>
        </w:rPr>
        <w:t xml:space="preserve">on emissions from </w:t>
      </w:r>
      <w:r w:rsidR="000265B3">
        <w:rPr>
          <w:rFonts w:cs="Times New Roman"/>
          <w:noProof/>
        </w:rPr>
        <w:t xml:space="preserve">the use of </w:t>
      </w:r>
      <w:r w:rsidR="3982CBDC" w:rsidRPr="000265B3">
        <w:rPr>
          <w:rFonts w:cs="Times New Roman"/>
          <w:noProof/>
        </w:rPr>
        <w:t>switchgear</w:t>
      </w:r>
      <w:r w:rsidR="000265B3">
        <w:rPr>
          <w:rFonts w:cs="Times New Roman"/>
          <w:noProof/>
        </w:rPr>
        <w:t xml:space="preserve"> </w:t>
      </w:r>
      <w:r w:rsidR="00A26411">
        <w:rPr>
          <w:rFonts w:cs="Times New Roman"/>
          <w:noProof/>
        </w:rPr>
        <w:t>and RAC equipment. T</w:t>
      </w:r>
      <w:r w:rsidR="00F366CF">
        <w:rPr>
          <w:rFonts w:cs="Times New Roman"/>
          <w:noProof/>
        </w:rPr>
        <w:t xml:space="preserve">he quantities of gases being reclaimed and </w:t>
      </w:r>
      <w:r w:rsidR="000374BC" w:rsidRPr="000265B3">
        <w:rPr>
          <w:rFonts w:cs="Times New Roman"/>
          <w:noProof/>
        </w:rPr>
        <w:t>rec</w:t>
      </w:r>
      <w:r w:rsidR="3982CBDC" w:rsidRPr="000265B3">
        <w:rPr>
          <w:rFonts w:cs="Times New Roman"/>
          <w:noProof/>
        </w:rPr>
        <w:t>ycl</w:t>
      </w:r>
      <w:r w:rsidR="00F366CF">
        <w:rPr>
          <w:rFonts w:cs="Times New Roman"/>
          <w:noProof/>
        </w:rPr>
        <w:t>ed</w:t>
      </w:r>
      <w:r w:rsidR="000265B3">
        <w:rPr>
          <w:rFonts w:cs="Times New Roman"/>
          <w:noProof/>
        </w:rPr>
        <w:t xml:space="preserve"> </w:t>
      </w:r>
      <w:r w:rsidR="007F0FC8">
        <w:rPr>
          <w:rFonts w:cs="Times New Roman"/>
          <w:noProof/>
        </w:rPr>
        <w:t xml:space="preserve">(see evaluation, A5.6.1.1) </w:t>
      </w:r>
      <w:r w:rsidR="00F366CF">
        <w:rPr>
          <w:rFonts w:cs="Times New Roman"/>
          <w:noProof/>
        </w:rPr>
        <w:t xml:space="preserve">or </w:t>
      </w:r>
      <w:r w:rsidR="3982CBDC" w:rsidRPr="000265B3">
        <w:rPr>
          <w:rFonts w:cs="Times New Roman"/>
          <w:noProof/>
        </w:rPr>
        <w:t xml:space="preserve">exported </w:t>
      </w:r>
      <w:r w:rsidR="000265B3">
        <w:rPr>
          <w:rFonts w:cs="Times New Roman"/>
          <w:noProof/>
        </w:rPr>
        <w:t>in equipment</w:t>
      </w:r>
      <w:r w:rsidR="00F366CF">
        <w:rPr>
          <w:rFonts w:cs="Times New Roman"/>
          <w:noProof/>
        </w:rPr>
        <w:t xml:space="preserve"> are unknown</w:t>
      </w:r>
      <w:r w:rsidR="00A26411">
        <w:rPr>
          <w:rFonts w:cs="Times New Roman"/>
          <w:noProof/>
        </w:rPr>
        <w:t xml:space="preserve"> and the reporting on exempted gases</w:t>
      </w:r>
      <w:r w:rsidR="00024C42">
        <w:rPr>
          <w:rStyle w:val="FootnoteReference"/>
          <w:rFonts w:cs="Times New Roman"/>
          <w:noProof/>
        </w:rPr>
        <w:footnoteReference w:id="51"/>
      </w:r>
      <w:r w:rsidR="00A26411">
        <w:rPr>
          <w:rFonts w:cs="Times New Roman"/>
          <w:noProof/>
        </w:rPr>
        <w:t xml:space="preserve"> is incomplete</w:t>
      </w:r>
      <w:r w:rsidR="00024C42">
        <w:rPr>
          <w:rFonts w:cs="Times New Roman"/>
          <w:noProof/>
        </w:rPr>
        <w:t xml:space="preserve"> since the recipients of these gases do not report</w:t>
      </w:r>
      <w:r w:rsidR="3982CBDC" w:rsidRPr="000265B3">
        <w:rPr>
          <w:rFonts w:cs="Times New Roman"/>
          <w:noProof/>
        </w:rPr>
        <w:t xml:space="preserve">. </w:t>
      </w:r>
      <w:r w:rsidR="00A26411">
        <w:rPr>
          <w:rFonts w:cs="Times New Roman"/>
          <w:noProof/>
        </w:rPr>
        <w:t>Finally</w:t>
      </w:r>
      <w:r w:rsidR="00625701">
        <w:rPr>
          <w:rFonts w:cs="Times New Roman"/>
          <w:noProof/>
        </w:rPr>
        <w:t xml:space="preserve">, </w:t>
      </w:r>
      <w:r w:rsidR="00625701" w:rsidRPr="006059E5">
        <w:rPr>
          <w:rFonts w:cs="Times New Roman"/>
          <w:bCs/>
          <w:noProof/>
        </w:rPr>
        <w:t>t</w:t>
      </w:r>
      <w:r w:rsidR="3982CBDC" w:rsidRPr="006059E5">
        <w:rPr>
          <w:rFonts w:cs="Times New Roman"/>
          <w:bCs/>
          <w:noProof/>
        </w:rPr>
        <w:t xml:space="preserve">he </w:t>
      </w:r>
      <w:r w:rsidR="005A3F65" w:rsidRPr="006059E5">
        <w:rPr>
          <w:rFonts w:cs="Times New Roman"/>
          <w:bCs/>
          <w:noProof/>
        </w:rPr>
        <w:t>evaluation found</w:t>
      </w:r>
      <w:r w:rsidR="005A3F65">
        <w:rPr>
          <w:rFonts w:cs="Times New Roman"/>
          <w:b/>
          <w:bCs/>
          <w:noProof/>
        </w:rPr>
        <w:t xml:space="preserve"> that the </w:t>
      </w:r>
      <w:r w:rsidR="00F46067">
        <w:rPr>
          <w:rFonts w:cs="Times New Roman"/>
          <w:b/>
          <w:bCs/>
          <w:noProof/>
        </w:rPr>
        <w:t xml:space="preserve">requirement to have reporting data linked to quota use verified by a </w:t>
      </w:r>
      <w:r w:rsidR="3982CBDC" w:rsidRPr="00625701">
        <w:rPr>
          <w:rFonts w:cs="Times New Roman"/>
          <w:b/>
          <w:bCs/>
          <w:noProof/>
        </w:rPr>
        <w:t>third party auditor</w:t>
      </w:r>
      <w:r w:rsidR="00F46067" w:rsidRPr="00F46067">
        <w:rPr>
          <w:rFonts w:cs="Times New Roman"/>
          <w:bCs/>
          <w:noProof/>
        </w:rPr>
        <w:t xml:space="preserve">, which is crucial for </w:t>
      </w:r>
      <w:r w:rsidR="00F46067">
        <w:rPr>
          <w:rFonts w:cs="Times New Roman"/>
          <w:bCs/>
          <w:noProof/>
        </w:rPr>
        <w:t>the</w:t>
      </w:r>
      <w:r w:rsidR="00F46067" w:rsidRPr="00F46067">
        <w:rPr>
          <w:rFonts w:cs="Times New Roman"/>
          <w:bCs/>
          <w:noProof/>
        </w:rPr>
        <w:t xml:space="preserve"> ex</w:t>
      </w:r>
      <w:r w:rsidR="00F46067">
        <w:rPr>
          <w:rFonts w:cs="Times New Roman"/>
          <w:bCs/>
          <w:noProof/>
        </w:rPr>
        <w:t>-</w:t>
      </w:r>
      <w:r w:rsidR="00F46067" w:rsidRPr="006059E5">
        <w:rPr>
          <w:rFonts w:cs="Times New Roman"/>
          <w:bCs/>
          <w:noProof/>
        </w:rPr>
        <w:t>post control of quota use</w:t>
      </w:r>
      <w:r w:rsidR="00D93A03">
        <w:rPr>
          <w:rFonts w:cs="Times New Roman"/>
          <w:bCs/>
          <w:noProof/>
        </w:rPr>
        <w:t xml:space="preserve"> and thus for compliance checking and enforcement</w:t>
      </w:r>
      <w:r w:rsidR="00F46067" w:rsidRPr="006059E5">
        <w:rPr>
          <w:rFonts w:cs="Times New Roman"/>
          <w:bCs/>
          <w:noProof/>
        </w:rPr>
        <w:t>,</w:t>
      </w:r>
      <w:r w:rsidR="00F46067">
        <w:rPr>
          <w:rFonts w:cs="Times New Roman"/>
          <w:b/>
          <w:bCs/>
          <w:noProof/>
        </w:rPr>
        <w:t xml:space="preserve"> </w:t>
      </w:r>
      <w:r w:rsidR="002235C0" w:rsidRPr="00625701">
        <w:rPr>
          <w:rFonts w:cs="Times New Roman"/>
          <w:b/>
          <w:bCs/>
          <w:noProof/>
        </w:rPr>
        <w:t xml:space="preserve">is </w:t>
      </w:r>
      <w:r w:rsidR="00F46067">
        <w:rPr>
          <w:rFonts w:cs="Times New Roman"/>
          <w:b/>
          <w:bCs/>
          <w:noProof/>
        </w:rPr>
        <w:t xml:space="preserve">currently </w:t>
      </w:r>
      <w:r w:rsidR="00625701">
        <w:rPr>
          <w:rFonts w:cs="Times New Roman"/>
          <w:b/>
          <w:bCs/>
          <w:noProof/>
        </w:rPr>
        <w:t>in</w:t>
      </w:r>
      <w:r w:rsidR="000374BC" w:rsidRPr="00625701">
        <w:rPr>
          <w:rFonts w:cs="Times New Roman"/>
          <w:b/>
          <w:bCs/>
          <w:noProof/>
        </w:rPr>
        <w:t xml:space="preserve">effective </w:t>
      </w:r>
      <w:r w:rsidR="002235C0" w:rsidRPr="00625701">
        <w:rPr>
          <w:rFonts w:cs="Times New Roman"/>
          <w:bCs/>
          <w:noProof/>
        </w:rPr>
        <w:t xml:space="preserve">as </w:t>
      </w:r>
      <w:r w:rsidR="00F46067">
        <w:rPr>
          <w:rFonts w:cs="Times New Roman"/>
          <w:bCs/>
          <w:noProof/>
        </w:rPr>
        <w:t xml:space="preserve">these auditor </w:t>
      </w:r>
      <w:r w:rsidR="000374BC" w:rsidRPr="00625701">
        <w:rPr>
          <w:rFonts w:cs="Times New Roman"/>
          <w:bCs/>
          <w:noProof/>
        </w:rPr>
        <w:t xml:space="preserve">reports are </w:t>
      </w:r>
      <w:r w:rsidR="00F46067">
        <w:rPr>
          <w:rFonts w:cs="Times New Roman"/>
          <w:bCs/>
          <w:noProof/>
        </w:rPr>
        <w:t xml:space="preserve">currently </w:t>
      </w:r>
      <w:r w:rsidR="000374BC" w:rsidRPr="00625701">
        <w:rPr>
          <w:rFonts w:cs="Times New Roman"/>
          <w:noProof/>
        </w:rPr>
        <w:t xml:space="preserve">of </w:t>
      </w:r>
      <w:r w:rsidR="3982CBDC" w:rsidRPr="00625701">
        <w:rPr>
          <w:rFonts w:cs="Times New Roman"/>
          <w:noProof/>
        </w:rPr>
        <w:t>highly varying quality</w:t>
      </w:r>
      <w:r w:rsidR="006D5B8E">
        <w:rPr>
          <w:rFonts w:cs="Times New Roman"/>
          <w:noProof/>
        </w:rPr>
        <w:t xml:space="preserve"> (see A5.6.1.5)</w:t>
      </w:r>
      <w:r w:rsidR="00625701">
        <w:rPr>
          <w:rFonts w:cs="Times New Roman"/>
          <w:noProof/>
        </w:rPr>
        <w:t xml:space="preserve">. </w:t>
      </w:r>
      <w:r w:rsidR="00024C42">
        <w:rPr>
          <w:rFonts w:cs="Times New Roman"/>
          <w:noProof/>
        </w:rPr>
        <w:t xml:space="preserve">Moreover, </w:t>
      </w:r>
      <w:r w:rsidR="3982CBDC" w:rsidRPr="00625701">
        <w:rPr>
          <w:rFonts w:cs="Times New Roman"/>
          <w:noProof/>
        </w:rPr>
        <w:t xml:space="preserve">80% of quota holders in 2021 </w:t>
      </w:r>
      <w:r w:rsidR="00A26411">
        <w:rPr>
          <w:rFonts w:cs="Times New Roman"/>
          <w:noProof/>
        </w:rPr>
        <w:t>were not oblig</w:t>
      </w:r>
      <w:r w:rsidR="00625701">
        <w:rPr>
          <w:rFonts w:cs="Times New Roman"/>
          <w:noProof/>
        </w:rPr>
        <w:t xml:space="preserve">ed to have a verified report because they had </w:t>
      </w:r>
      <w:r w:rsidR="3982CBDC" w:rsidRPr="00625701">
        <w:rPr>
          <w:rFonts w:cs="Times New Roman"/>
          <w:noProof/>
        </w:rPr>
        <w:t xml:space="preserve">dropped below the </w:t>
      </w:r>
      <w:r w:rsidR="00625701">
        <w:rPr>
          <w:rFonts w:cs="Times New Roman"/>
          <w:noProof/>
        </w:rPr>
        <w:t xml:space="preserve">verification </w:t>
      </w:r>
      <w:r w:rsidR="3982CBDC" w:rsidRPr="00625701">
        <w:rPr>
          <w:rFonts w:cs="Times New Roman"/>
          <w:noProof/>
        </w:rPr>
        <w:t>threshold</w:t>
      </w:r>
      <w:r w:rsidR="000374BC" w:rsidRPr="00625701">
        <w:rPr>
          <w:rFonts w:cs="Times New Roman"/>
          <w:noProof/>
        </w:rPr>
        <w:t xml:space="preserve">. </w:t>
      </w:r>
      <w:r w:rsidR="00A26411">
        <w:rPr>
          <w:rFonts w:cs="Times New Roman"/>
          <w:noProof/>
        </w:rPr>
        <w:t xml:space="preserve">The dates </w:t>
      </w:r>
      <w:r w:rsidR="009404EA">
        <w:rPr>
          <w:rFonts w:cs="Times New Roman"/>
          <w:noProof/>
        </w:rPr>
        <w:t xml:space="preserve">and some thresholds </w:t>
      </w:r>
      <w:r w:rsidR="00A26411">
        <w:rPr>
          <w:rFonts w:cs="Times New Roman"/>
          <w:noProof/>
        </w:rPr>
        <w:t>for reporting and verification of bulk and equipment are inconsistent</w:t>
      </w:r>
      <w:r w:rsidR="009404EA">
        <w:rPr>
          <w:rFonts w:cs="Times New Roman"/>
          <w:noProof/>
        </w:rPr>
        <w:t xml:space="preserve"> and inefficient</w:t>
      </w:r>
      <w:r w:rsidR="00A26411">
        <w:rPr>
          <w:rFonts w:cs="Times New Roman"/>
          <w:noProof/>
        </w:rPr>
        <w:t>.</w:t>
      </w:r>
    </w:p>
    <w:p w14:paraId="4D794348" w14:textId="77777777" w:rsidR="00B4561B" w:rsidRPr="00B65289" w:rsidRDefault="3982CBDC" w:rsidP="00AD5F1B">
      <w:pPr>
        <w:keepNext/>
        <w:numPr>
          <w:ilvl w:val="5"/>
          <w:numId w:val="11"/>
        </w:numPr>
        <w:spacing w:after="120" w:line="240" w:lineRule="auto"/>
        <w:outlineLvl w:val="3"/>
        <w:rPr>
          <w:rFonts w:eastAsia="Times New Roman" w:cs="Times New Roman"/>
          <w:noProof/>
        </w:rPr>
      </w:pPr>
      <w:r w:rsidRPr="3982CBDC">
        <w:rPr>
          <w:rFonts w:eastAsia="Times New Roman" w:cs="Times New Roman"/>
          <w:noProof/>
        </w:rPr>
        <w:t>Drivers</w:t>
      </w:r>
    </w:p>
    <w:p w14:paraId="4016FA65" w14:textId="0A9CC1F0" w:rsidR="00C255F7" w:rsidRPr="000A3998" w:rsidRDefault="3982CBDC" w:rsidP="00AD5F1B">
      <w:pPr>
        <w:pStyle w:val="ListParagraph"/>
        <w:numPr>
          <w:ilvl w:val="0"/>
          <w:numId w:val="10"/>
        </w:numPr>
        <w:spacing w:after="120"/>
        <w:rPr>
          <w:rFonts w:cs="Times New Roman"/>
          <w:noProof/>
        </w:rPr>
      </w:pPr>
      <w:r w:rsidRPr="3982CBDC">
        <w:rPr>
          <w:rFonts w:cs="Times New Roman"/>
          <w:noProof/>
        </w:rPr>
        <w:t xml:space="preserve">Annex II is </w:t>
      </w:r>
      <w:r w:rsidR="00632786">
        <w:rPr>
          <w:rFonts w:cs="Times New Roman"/>
          <w:noProof/>
        </w:rPr>
        <w:t>outdated</w:t>
      </w:r>
      <w:r w:rsidR="00625701">
        <w:rPr>
          <w:rFonts w:cs="Times New Roman"/>
          <w:noProof/>
        </w:rPr>
        <w:t xml:space="preserve"> and Annex I does not list all F-gases with relevant emissions</w:t>
      </w:r>
      <w:r w:rsidRPr="3982CBDC">
        <w:rPr>
          <w:rFonts w:cs="Times New Roman"/>
          <w:noProof/>
        </w:rPr>
        <w:t>.</w:t>
      </w:r>
    </w:p>
    <w:p w14:paraId="74CF3FD1" w14:textId="77777777" w:rsidR="002235C0" w:rsidRPr="00FB3115" w:rsidRDefault="002235C0" w:rsidP="00AD5F1B">
      <w:pPr>
        <w:pStyle w:val="ListParagraph"/>
        <w:numPr>
          <w:ilvl w:val="0"/>
          <w:numId w:val="10"/>
        </w:numPr>
        <w:spacing w:after="120"/>
        <w:rPr>
          <w:rFonts w:cs="Times New Roman"/>
          <w:noProof/>
        </w:rPr>
      </w:pPr>
      <w:r>
        <w:rPr>
          <w:rFonts w:cs="Times New Roman"/>
          <w:noProof/>
        </w:rPr>
        <w:t>L</w:t>
      </w:r>
      <w:r w:rsidRPr="3982CBDC">
        <w:rPr>
          <w:rFonts w:cs="Times New Roman"/>
          <w:noProof/>
        </w:rPr>
        <w:t xml:space="preserve">abelling </w:t>
      </w:r>
      <w:r>
        <w:rPr>
          <w:rFonts w:cs="Times New Roman"/>
          <w:noProof/>
        </w:rPr>
        <w:t>rules are incomplete (</w:t>
      </w:r>
      <w:r w:rsidRPr="3982CBDC">
        <w:rPr>
          <w:rFonts w:cs="Times New Roman"/>
          <w:noProof/>
        </w:rPr>
        <w:t>Annex II substances</w:t>
      </w:r>
      <w:r>
        <w:rPr>
          <w:rFonts w:cs="Times New Roman"/>
          <w:noProof/>
        </w:rPr>
        <w:t>, MDIs)</w:t>
      </w:r>
      <w:r w:rsidRPr="3982CBDC">
        <w:rPr>
          <w:rFonts w:cs="Times New Roman"/>
          <w:noProof/>
        </w:rPr>
        <w:t xml:space="preserve">. </w:t>
      </w:r>
    </w:p>
    <w:p w14:paraId="78A75798" w14:textId="1364362A" w:rsidR="002235C0" w:rsidRDefault="002235C0" w:rsidP="00AD5F1B">
      <w:pPr>
        <w:pStyle w:val="ListParagraph"/>
        <w:numPr>
          <w:ilvl w:val="0"/>
          <w:numId w:val="10"/>
        </w:numPr>
        <w:spacing w:after="120"/>
        <w:rPr>
          <w:rFonts w:cs="Times New Roman"/>
          <w:noProof/>
        </w:rPr>
      </w:pPr>
      <w:r>
        <w:rPr>
          <w:rFonts w:cs="Times New Roman"/>
          <w:noProof/>
        </w:rPr>
        <w:t xml:space="preserve">The reporting rules </w:t>
      </w:r>
      <w:r w:rsidR="00625701">
        <w:rPr>
          <w:rFonts w:cs="Times New Roman"/>
          <w:noProof/>
        </w:rPr>
        <w:t xml:space="preserve">do not include </w:t>
      </w:r>
      <w:r>
        <w:rPr>
          <w:rFonts w:cs="Times New Roman"/>
          <w:noProof/>
        </w:rPr>
        <w:t>leakages,</w:t>
      </w:r>
      <w:r w:rsidRPr="002235C0">
        <w:rPr>
          <w:rFonts w:cs="Times New Roman"/>
          <w:noProof/>
        </w:rPr>
        <w:t xml:space="preserve"> </w:t>
      </w:r>
      <w:r>
        <w:rPr>
          <w:rFonts w:cs="Times New Roman"/>
          <w:noProof/>
        </w:rPr>
        <w:t xml:space="preserve">recycling/reclaim activities, </w:t>
      </w:r>
      <w:r w:rsidR="00024C42">
        <w:rPr>
          <w:rFonts w:cs="Times New Roman"/>
          <w:noProof/>
        </w:rPr>
        <w:t xml:space="preserve">recipients of </w:t>
      </w:r>
      <w:r>
        <w:rPr>
          <w:rFonts w:cs="Times New Roman"/>
          <w:noProof/>
        </w:rPr>
        <w:t xml:space="preserve">exempted gases, </w:t>
      </w:r>
      <w:r w:rsidR="00024C42">
        <w:rPr>
          <w:rFonts w:cs="Times New Roman"/>
          <w:noProof/>
        </w:rPr>
        <w:t xml:space="preserve">and </w:t>
      </w:r>
      <w:r>
        <w:rPr>
          <w:rFonts w:cs="Times New Roman"/>
          <w:noProof/>
        </w:rPr>
        <w:t xml:space="preserve">HFC use </w:t>
      </w:r>
      <w:r w:rsidR="006600B7">
        <w:rPr>
          <w:rFonts w:cs="Times New Roman"/>
          <w:noProof/>
        </w:rPr>
        <w:t xml:space="preserve">beyond </w:t>
      </w:r>
      <w:r>
        <w:rPr>
          <w:rFonts w:cs="Times New Roman"/>
          <w:noProof/>
        </w:rPr>
        <w:t xml:space="preserve">placing on the market and export </w:t>
      </w:r>
      <w:r w:rsidR="006600B7">
        <w:rPr>
          <w:rFonts w:cs="Times New Roman"/>
          <w:noProof/>
        </w:rPr>
        <w:t xml:space="preserve">in </w:t>
      </w:r>
      <w:r>
        <w:rPr>
          <w:rFonts w:cs="Times New Roman"/>
          <w:noProof/>
        </w:rPr>
        <w:t>equipment.</w:t>
      </w:r>
    </w:p>
    <w:p w14:paraId="07B70D33" w14:textId="47342A40" w:rsidR="002235C0" w:rsidRPr="00632786" w:rsidRDefault="002235C0" w:rsidP="00AD5F1B">
      <w:pPr>
        <w:pStyle w:val="ListParagraph"/>
        <w:numPr>
          <w:ilvl w:val="0"/>
          <w:numId w:val="10"/>
        </w:numPr>
        <w:spacing w:after="120"/>
        <w:rPr>
          <w:rFonts w:cs="Times New Roman"/>
          <w:noProof/>
        </w:rPr>
      </w:pPr>
      <w:r w:rsidRPr="00632786">
        <w:rPr>
          <w:rFonts w:cs="Times New Roman"/>
          <w:bCs/>
          <w:noProof/>
        </w:rPr>
        <w:t>There are inefficiencies in threshold levels and dates for reporting and verification, and too little detail on the verification process</w:t>
      </w:r>
      <w:r w:rsidR="00F46067">
        <w:rPr>
          <w:rFonts w:cs="Times New Roman"/>
          <w:bCs/>
          <w:noProof/>
        </w:rPr>
        <w:t xml:space="preserve"> and its requirements</w:t>
      </w:r>
      <w:r w:rsidRPr="00632786">
        <w:rPr>
          <w:rFonts w:cs="Times New Roman"/>
          <w:bCs/>
          <w:noProof/>
        </w:rPr>
        <w:t>.</w:t>
      </w:r>
    </w:p>
    <w:p w14:paraId="314A0DF1" w14:textId="3FBC3AAB" w:rsidR="003C2A13" w:rsidRDefault="002235C0" w:rsidP="00AD5F1B">
      <w:pPr>
        <w:numPr>
          <w:ilvl w:val="5"/>
          <w:numId w:val="11"/>
        </w:numPr>
        <w:spacing w:after="120"/>
        <w:ind w:left="2154" w:hanging="357"/>
        <w:rPr>
          <w:rFonts w:cs="Times New Roman"/>
          <w:noProof/>
        </w:rPr>
      </w:pPr>
      <w:r>
        <w:rPr>
          <w:rFonts w:cs="Times New Roman"/>
          <w:noProof/>
        </w:rPr>
        <w:t xml:space="preserve"> </w:t>
      </w:r>
      <w:r w:rsidR="3982CBDC" w:rsidRPr="3982CBDC">
        <w:rPr>
          <w:rFonts w:cs="Times New Roman"/>
          <w:noProof/>
        </w:rPr>
        <w:t>How the problem will evolve</w:t>
      </w:r>
    </w:p>
    <w:p w14:paraId="171C227A" w14:textId="5DDFB3AA" w:rsidR="00C56D76" w:rsidRPr="006600B7" w:rsidRDefault="006600B7" w:rsidP="006600B7">
      <w:pPr>
        <w:spacing w:after="120"/>
        <w:rPr>
          <w:rFonts w:cs="Times New Roman"/>
          <w:noProof/>
        </w:rPr>
      </w:pPr>
      <w:r w:rsidRPr="006600B7">
        <w:rPr>
          <w:rFonts w:cs="Times New Roman"/>
          <w:noProof/>
        </w:rPr>
        <w:t xml:space="preserve">Monitoring gaps </w:t>
      </w:r>
      <w:r w:rsidR="00304CA9">
        <w:rPr>
          <w:rFonts w:cs="Times New Roman"/>
          <w:noProof/>
        </w:rPr>
        <w:t>will</w:t>
      </w:r>
      <w:r w:rsidR="3982CBDC" w:rsidRPr="006600B7">
        <w:rPr>
          <w:rFonts w:cs="Times New Roman"/>
          <w:noProof/>
        </w:rPr>
        <w:t xml:space="preserve"> persist</w:t>
      </w:r>
      <w:r w:rsidRPr="006600B7">
        <w:rPr>
          <w:rFonts w:cs="Times New Roman"/>
          <w:noProof/>
        </w:rPr>
        <w:t xml:space="preserve"> and pose a risk that new </w:t>
      </w:r>
      <w:r w:rsidR="3982CBDC" w:rsidRPr="006600B7">
        <w:rPr>
          <w:rFonts w:cs="Times New Roman"/>
          <w:noProof/>
        </w:rPr>
        <w:t xml:space="preserve">issues </w:t>
      </w:r>
      <w:r w:rsidR="00024C42">
        <w:rPr>
          <w:rFonts w:cs="Times New Roman"/>
          <w:noProof/>
        </w:rPr>
        <w:t>can</w:t>
      </w:r>
      <w:r w:rsidR="3982CBDC" w:rsidRPr="006600B7">
        <w:rPr>
          <w:rFonts w:cs="Times New Roman"/>
          <w:noProof/>
        </w:rPr>
        <w:t xml:space="preserve">not be spotted. Important emissions, e.g. </w:t>
      </w:r>
      <w:r>
        <w:rPr>
          <w:rFonts w:cs="Times New Roman"/>
          <w:noProof/>
        </w:rPr>
        <w:t xml:space="preserve">of </w:t>
      </w:r>
      <w:r w:rsidR="00F854AA">
        <w:rPr>
          <w:rFonts w:cs="Times New Roman"/>
          <w:noProof/>
        </w:rPr>
        <w:t>sulfuryl</w:t>
      </w:r>
      <w:r w:rsidR="3982CBDC" w:rsidRPr="006600B7">
        <w:rPr>
          <w:rFonts w:cs="Times New Roman"/>
          <w:noProof/>
        </w:rPr>
        <w:t>fluoride, NF</w:t>
      </w:r>
      <w:r w:rsidR="3982CBDC" w:rsidRPr="00DB1EAE">
        <w:rPr>
          <w:rFonts w:cs="Times New Roman"/>
          <w:noProof/>
          <w:vertAlign w:val="subscript"/>
        </w:rPr>
        <w:t>3</w:t>
      </w:r>
      <w:r w:rsidR="3982CBDC" w:rsidRPr="006600B7">
        <w:rPr>
          <w:rFonts w:cs="Times New Roman"/>
          <w:noProof/>
        </w:rPr>
        <w:t>, inhalation anaesthetics and H(C)FOs</w:t>
      </w:r>
      <w:r>
        <w:rPr>
          <w:rFonts w:cs="Times New Roman"/>
          <w:noProof/>
        </w:rPr>
        <w:t>,</w:t>
      </w:r>
      <w:r w:rsidR="3982CBDC" w:rsidRPr="006600B7">
        <w:rPr>
          <w:rFonts w:cs="Times New Roman"/>
          <w:noProof/>
        </w:rPr>
        <w:t xml:space="preserve"> that could be avoided </w:t>
      </w:r>
      <w:r>
        <w:rPr>
          <w:rFonts w:cs="Times New Roman"/>
          <w:noProof/>
        </w:rPr>
        <w:t>with prevention</w:t>
      </w:r>
      <w:r w:rsidR="006E4970">
        <w:rPr>
          <w:rFonts w:cs="Times New Roman"/>
          <w:noProof/>
        </w:rPr>
        <w:t xml:space="preserve"> measures, will continue to occ</w:t>
      </w:r>
      <w:r>
        <w:rPr>
          <w:rFonts w:cs="Times New Roman"/>
          <w:noProof/>
        </w:rPr>
        <w:t>ur.</w:t>
      </w:r>
      <w:r w:rsidR="3982CBDC" w:rsidRPr="006600B7">
        <w:rPr>
          <w:rFonts w:cs="Times New Roman"/>
          <w:noProof/>
        </w:rPr>
        <w:t xml:space="preserve"> Market surveillance, compliance checking and emission reporting is </w:t>
      </w:r>
      <w:r>
        <w:rPr>
          <w:rFonts w:cs="Times New Roman"/>
          <w:noProof/>
        </w:rPr>
        <w:t xml:space="preserve">less effective </w:t>
      </w:r>
      <w:r w:rsidR="3982CBDC" w:rsidRPr="006600B7">
        <w:rPr>
          <w:rFonts w:cs="Times New Roman"/>
          <w:noProof/>
        </w:rPr>
        <w:t>due to lack of data.</w:t>
      </w:r>
      <w:r>
        <w:rPr>
          <w:rFonts w:cs="Times New Roman"/>
          <w:noProof/>
        </w:rPr>
        <w:t xml:space="preserve"> </w:t>
      </w:r>
      <w:r w:rsidR="3982CBDC" w:rsidRPr="006600B7">
        <w:rPr>
          <w:rFonts w:cs="Times New Roman"/>
          <w:noProof/>
        </w:rPr>
        <w:t xml:space="preserve">The verification and reporting </w:t>
      </w:r>
      <w:r w:rsidR="00D97ED0" w:rsidRPr="006600B7">
        <w:rPr>
          <w:rFonts w:cs="Times New Roman"/>
          <w:noProof/>
        </w:rPr>
        <w:t xml:space="preserve">process </w:t>
      </w:r>
      <w:r w:rsidR="00304CA9">
        <w:rPr>
          <w:rFonts w:cs="Times New Roman"/>
          <w:noProof/>
        </w:rPr>
        <w:t>will</w:t>
      </w:r>
      <w:r w:rsidR="3982CBDC" w:rsidRPr="006600B7">
        <w:rPr>
          <w:rFonts w:cs="Times New Roman"/>
          <w:noProof/>
        </w:rPr>
        <w:t xml:space="preserve"> continue to place a significant burden on compliant companies</w:t>
      </w:r>
      <w:r w:rsidR="00BA1D7F">
        <w:rPr>
          <w:rFonts w:cs="Times New Roman"/>
          <w:noProof/>
        </w:rPr>
        <w:t>,</w:t>
      </w:r>
      <w:r w:rsidR="3982CBDC" w:rsidRPr="006600B7">
        <w:rPr>
          <w:rFonts w:cs="Times New Roman"/>
          <w:noProof/>
        </w:rPr>
        <w:t xml:space="preserve"> but would remain ineffective in spotting perpetrators.</w:t>
      </w:r>
    </w:p>
    <w:p w14:paraId="009506C0" w14:textId="0767A017" w:rsidR="00803D5E" w:rsidRDefault="00E04F0C" w:rsidP="00E04F0C">
      <w:pPr>
        <w:pStyle w:val="Heading3"/>
        <w:rPr>
          <w:noProof/>
        </w:rPr>
      </w:pPr>
      <w:bookmarkStart w:id="67" w:name="_Toc88571902"/>
      <w:bookmarkStart w:id="68" w:name="_Toc94629495"/>
      <w:bookmarkStart w:id="69" w:name="_Toc98857739"/>
      <w:r w:rsidRPr="00E04F0C">
        <w:t>2.1.5.</w:t>
      </w:r>
      <w:r w:rsidRPr="00E04F0C">
        <w:tab/>
      </w:r>
      <w:r w:rsidR="00803D5E">
        <w:rPr>
          <w:noProof/>
        </w:rPr>
        <w:t>Lack of clarity</w:t>
      </w:r>
      <w:bookmarkEnd w:id="67"/>
      <w:r w:rsidR="006B4392">
        <w:rPr>
          <w:noProof/>
        </w:rPr>
        <w:t xml:space="preserve"> and coherence</w:t>
      </w:r>
      <w:bookmarkEnd w:id="68"/>
      <w:bookmarkEnd w:id="69"/>
    </w:p>
    <w:p w14:paraId="35C41FFF" w14:textId="3899AAA3" w:rsidR="00803D5E" w:rsidRPr="00BD16E1" w:rsidDel="00297158" w:rsidRDefault="006600B7" w:rsidP="00D97ED0">
      <w:pPr>
        <w:spacing w:after="120"/>
        <w:rPr>
          <w:noProof/>
        </w:rPr>
      </w:pPr>
      <w:r>
        <w:rPr>
          <w:noProof/>
        </w:rPr>
        <w:t xml:space="preserve">Ideas on how to improve </w:t>
      </w:r>
      <w:r w:rsidR="00803D5E">
        <w:rPr>
          <w:noProof/>
        </w:rPr>
        <w:t xml:space="preserve">internal clarity </w:t>
      </w:r>
      <w:r w:rsidR="006B4392">
        <w:rPr>
          <w:noProof/>
        </w:rPr>
        <w:t xml:space="preserve">and coherence </w:t>
      </w:r>
      <w:r w:rsidR="00803D5E">
        <w:rPr>
          <w:noProof/>
        </w:rPr>
        <w:t xml:space="preserve">of the rules </w:t>
      </w:r>
      <w:r>
        <w:rPr>
          <w:noProof/>
        </w:rPr>
        <w:t>have been collected throughout the implementation period and the stakeholder consultation</w:t>
      </w:r>
      <w:r w:rsidR="00803D5E">
        <w:rPr>
          <w:noProof/>
        </w:rPr>
        <w:t xml:space="preserve">. </w:t>
      </w:r>
      <w:r>
        <w:rPr>
          <w:noProof/>
        </w:rPr>
        <w:t xml:space="preserve">Such issues </w:t>
      </w:r>
      <w:r w:rsidR="00803D5E">
        <w:rPr>
          <w:noProof/>
        </w:rPr>
        <w:t xml:space="preserve">hamper </w:t>
      </w:r>
      <w:r>
        <w:rPr>
          <w:noProof/>
        </w:rPr>
        <w:t xml:space="preserve">the effective implementation of the Regulation and </w:t>
      </w:r>
      <w:r w:rsidR="00803D5E">
        <w:rPr>
          <w:noProof/>
        </w:rPr>
        <w:t xml:space="preserve">should therefore </w:t>
      </w:r>
      <w:r>
        <w:rPr>
          <w:noProof/>
        </w:rPr>
        <w:t xml:space="preserve">always </w:t>
      </w:r>
      <w:r w:rsidR="00803D5E">
        <w:rPr>
          <w:noProof/>
        </w:rPr>
        <w:t>be addressed.</w:t>
      </w:r>
      <w:r w:rsidR="00BA1D7F" w:rsidRPr="00BA1D7F">
        <w:rPr>
          <w:rFonts w:cs="Times New Roman"/>
          <w:noProof/>
        </w:rPr>
        <w:t xml:space="preserve"> </w:t>
      </w:r>
      <w:r w:rsidR="00BA1D7F">
        <w:rPr>
          <w:rFonts w:cs="Times New Roman"/>
          <w:noProof/>
        </w:rPr>
        <w:t xml:space="preserve">These clarifications relate to the scope of some of the existing </w:t>
      </w:r>
      <w:r w:rsidR="00137B75" w:rsidRPr="00BA1D7F">
        <w:rPr>
          <w:noProof/>
        </w:rPr>
        <w:t>prohibitions</w:t>
      </w:r>
      <w:r w:rsidR="00D42279">
        <w:rPr>
          <w:noProof/>
        </w:rPr>
        <w:t xml:space="preserve"> and the quota system</w:t>
      </w:r>
      <w:r w:rsidR="00BA1D7F" w:rsidRPr="00BA1D7F">
        <w:rPr>
          <w:noProof/>
        </w:rPr>
        <w:t xml:space="preserve">, </w:t>
      </w:r>
      <w:r w:rsidR="00BA1D7F">
        <w:rPr>
          <w:noProof/>
        </w:rPr>
        <w:t xml:space="preserve">the </w:t>
      </w:r>
      <w:r w:rsidR="00BA1D7F" w:rsidRPr="00BA1D7F">
        <w:rPr>
          <w:noProof/>
        </w:rPr>
        <w:t>rules on custom controls</w:t>
      </w:r>
      <w:r w:rsidR="00BA1D7F">
        <w:rPr>
          <w:noProof/>
        </w:rPr>
        <w:t xml:space="preserve"> and market surveillance</w:t>
      </w:r>
      <w:r w:rsidR="00BA1D7F" w:rsidRPr="00BA1D7F">
        <w:rPr>
          <w:noProof/>
        </w:rPr>
        <w:t xml:space="preserve">, </w:t>
      </w:r>
      <w:r w:rsidR="00BA1D7F">
        <w:rPr>
          <w:noProof/>
        </w:rPr>
        <w:t xml:space="preserve">the </w:t>
      </w:r>
      <w:r w:rsidR="00BA1D7F" w:rsidRPr="00BA1D7F">
        <w:rPr>
          <w:noProof/>
        </w:rPr>
        <w:t>containment measures, and definitions</w:t>
      </w:r>
      <w:r w:rsidR="00BA1D7F">
        <w:rPr>
          <w:noProof/>
        </w:rPr>
        <w:t xml:space="preserve"> in the Regulation</w:t>
      </w:r>
      <w:r w:rsidR="00B8106A">
        <w:rPr>
          <w:noProof/>
        </w:rPr>
        <w:t xml:space="preserve"> (see Annex A6.5)</w:t>
      </w:r>
      <w:r w:rsidR="00BA1D7F">
        <w:rPr>
          <w:noProof/>
        </w:rPr>
        <w:t>.</w:t>
      </w:r>
    </w:p>
    <w:p w14:paraId="2D6358CB" w14:textId="50E54A7E" w:rsidR="00A14107" w:rsidRDefault="00E04F0C" w:rsidP="00E04F0C">
      <w:pPr>
        <w:pStyle w:val="Heading1"/>
        <w:rPr>
          <w:noProof/>
        </w:rPr>
      </w:pPr>
      <w:bookmarkStart w:id="70" w:name="_Toc71559396"/>
      <w:bookmarkStart w:id="71" w:name="_Toc71707001"/>
      <w:bookmarkStart w:id="72" w:name="_Toc71708211"/>
      <w:bookmarkStart w:id="73" w:name="_Toc71710943"/>
      <w:bookmarkStart w:id="74" w:name="_Toc72399345"/>
      <w:bookmarkStart w:id="75" w:name="_Toc88571903"/>
      <w:bookmarkStart w:id="76" w:name="_Toc94629496"/>
      <w:bookmarkStart w:id="77" w:name="_Toc98857740"/>
      <w:r w:rsidRPr="00E04F0C">
        <w:t>3.</w:t>
      </w:r>
      <w:r w:rsidRPr="00E04F0C">
        <w:tab/>
      </w:r>
      <w:r w:rsidR="3982CBDC">
        <w:rPr>
          <w:noProof/>
        </w:rPr>
        <w:t>Why should the EU act?</w:t>
      </w:r>
      <w:bookmarkEnd w:id="70"/>
      <w:bookmarkEnd w:id="71"/>
      <w:bookmarkEnd w:id="72"/>
      <w:bookmarkEnd w:id="73"/>
      <w:bookmarkEnd w:id="74"/>
      <w:bookmarkEnd w:id="75"/>
      <w:bookmarkEnd w:id="76"/>
      <w:bookmarkEnd w:id="77"/>
    </w:p>
    <w:p w14:paraId="57523F9B" w14:textId="0A6E9F63" w:rsidR="002E001A" w:rsidRDefault="00E04F0C" w:rsidP="00E04F0C">
      <w:pPr>
        <w:pStyle w:val="Heading2"/>
        <w:rPr>
          <w:noProof/>
        </w:rPr>
      </w:pPr>
      <w:bookmarkStart w:id="78" w:name="_Toc71730863"/>
      <w:bookmarkStart w:id="79" w:name="_Toc88571904"/>
      <w:bookmarkStart w:id="80" w:name="_Toc94629497"/>
      <w:bookmarkStart w:id="81" w:name="_Toc98857741"/>
      <w:r w:rsidRPr="00E04F0C">
        <w:t>3.1.</w:t>
      </w:r>
      <w:r w:rsidRPr="00E04F0C">
        <w:tab/>
      </w:r>
      <w:r w:rsidR="3982CBDC">
        <w:rPr>
          <w:noProof/>
        </w:rPr>
        <w:t>Legal basis</w:t>
      </w:r>
      <w:bookmarkEnd w:id="78"/>
      <w:bookmarkEnd w:id="79"/>
      <w:bookmarkEnd w:id="80"/>
      <w:bookmarkEnd w:id="81"/>
    </w:p>
    <w:p w14:paraId="095F11AD" w14:textId="45BB05F8" w:rsidR="004B241B" w:rsidRDefault="004B241B" w:rsidP="00D97ED0">
      <w:pPr>
        <w:spacing w:after="120"/>
        <w:rPr>
          <w:rFonts w:cs="Times New Roman"/>
          <w:noProof/>
        </w:rPr>
      </w:pPr>
      <w:bookmarkStart w:id="82" w:name="_Toc71730864"/>
      <w:r w:rsidRPr="3982CBDC">
        <w:rPr>
          <w:rFonts w:cs="Times New Roman"/>
          <w:noProof/>
        </w:rPr>
        <w:t>The legal basis for taking action is Article 19</w:t>
      </w:r>
      <w:r w:rsidR="00766F73" w:rsidRPr="3982CBDC">
        <w:rPr>
          <w:rFonts w:cs="Times New Roman"/>
          <w:noProof/>
        </w:rPr>
        <w:t>2(1)</w:t>
      </w:r>
      <w:r w:rsidRPr="3982CBDC">
        <w:rPr>
          <w:rFonts w:cs="Times New Roman"/>
          <w:noProof/>
        </w:rPr>
        <w:t xml:space="preserve"> of the Treaty on the Functioning of the European Union, in line with the objective to preserve, protect and improve the quality of the environment; protect human health; and to promote measures at international level to deal with climate change.</w:t>
      </w:r>
    </w:p>
    <w:p w14:paraId="1F35D0B3" w14:textId="73B53993" w:rsidR="004B241B" w:rsidRDefault="00E04F0C" w:rsidP="00E04F0C">
      <w:pPr>
        <w:pStyle w:val="Heading2"/>
        <w:rPr>
          <w:noProof/>
        </w:rPr>
      </w:pPr>
      <w:bookmarkStart w:id="83" w:name="_Toc88571905"/>
      <w:bookmarkStart w:id="84" w:name="_Toc94629498"/>
      <w:bookmarkStart w:id="85" w:name="_Toc98857742"/>
      <w:r w:rsidRPr="00E04F0C">
        <w:t>3.2.</w:t>
      </w:r>
      <w:r w:rsidRPr="00E04F0C">
        <w:tab/>
      </w:r>
      <w:r w:rsidR="3982CBDC">
        <w:rPr>
          <w:noProof/>
        </w:rPr>
        <w:t xml:space="preserve">Subsidiarity: </w:t>
      </w:r>
      <w:r w:rsidR="00EF3B7E">
        <w:rPr>
          <w:noProof/>
        </w:rPr>
        <w:t>Necessity</w:t>
      </w:r>
      <w:r w:rsidR="3982CBDC">
        <w:rPr>
          <w:noProof/>
        </w:rPr>
        <w:t xml:space="preserve"> of EU action</w:t>
      </w:r>
      <w:bookmarkEnd w:id="82"/>
      <w:bookmarkEnd w:id="83"/>
      <w:bookmarkEnd w:id="84"/>
      <w:bookmarkEnd w:id="85"/>
    </w:p>
    <w:p w14:paraId="4AA803A1" w14:textId="357FB727" w:rsidR="00060873" w:rsidRPr="006059E5" w:rsidRDefault="0048061E" w:rsidP="006059E5">
      <w:pPr>
        <w:rPr>
          <w:rFonts w:cs="Times New Roman"/>
          <w:noProof/>
        </w:rPr>
      </w:pPr>
      <w:r w:rsidRPr="3982CBDC">
        <w:rPr>
          <w:b/>
          <w:bCs/>
          <w:noProof/>
        </w:rPr>
        <w:t xml:space="preserve">The evaluation concluded that implementing co-ordinated action at EU level </w:t>
      </w:r>
      <w:r w:rsidR="0054523F">
        <w:rPr>
          <w:b/>
          <w:bCs/>
          <w:noProof/>
        </w:rPr>
        <w:t xml:space="preserve">is required </w:t>
      </w:r>
      <w:r w:rsidRPr="3982CBDC">
        <w:rPr>
          <w:b/>
          <w:bCs/>
          <w:noProof/>
        </w:rPr>
        <w:t>to ensure compliance with the Montreal Protocol.</w:t>
      </w:r>
      <w:r w:rsidRPr="00E576AE">
        <w:rPr>
          <w:noProof/>
        </w:rPr>
        <w:t xml:space="preserve"> </w:t>
      </w:r>
      <w:r w:rsidR="00A14107" w:rsidRPr="3982CBDC">
        <w:rPr>
          <w:rFonts w:cs="Times New Roman"/>
          <w:noProof/>
        </w:rPr>
        <w:t xml:space="preserve">The EU and the EU Member States, as </w:t>
      </w:r>
      <w:r w:rsidR="006223AC">
        <w:rPr>
          <w:rFonts w:cs="Times New Roman"/>
          <w:noProof/>
        </w:rPr>
        <w:t>P</w:t>
      </w:r>
      <w:r w:rsidR="00A14107" w:rsidRPr="3982CBDC">
        <w:rPr>
          <w:rFonts w:cs="Times New Roman"/>
          <w:noProof/>
        </w:rPr>
        <w:t>arties to the Protocol, have a number of requirements to fulfil (see 1.2</w:t>
      </w:r>
      <w:r w:rsidR="00B6202C" w:rsidRPr="3982CBDC">
        <w:rPr>
          <w:rFonts w:cs="Times New Roman"/>
          <w:noProof/>
        </w:rPr>
        <w:t>)</w:t>
      </w:r>
      <w:r w:rsidR="00A14107" w:rsidRPr="3982CBDC">
        <w:rPr>
          <w:rFonts w:cs="Times New Roman"/>
          <w:noProof/>
        </w:rPr>
        <w:t xml:space="preserve">. There are </w:t>
      </w:r>
      <w:r w:rsidR="00661012">
        <w:rPr>
          <w:rFonts w:cs="Times New Roman"/>
          <w:noProof/>
        </w:rPr>
        <w:t xml:space="preserve">also </w:t>
      </w:r>
      <w:r w:rsidR="00A14107" w:rsidRPr="3982CBDC">
        <w:rPr>
          <w:rFonts w:cs="Times New Roman"/>
          <w:noProof/>
        </w:rPr>
        <w:t>similar requirements in international trade agreements that the EU has concluded</w:t>
      </w:r>
      <w:r w:rsidR="001B7AF5" w:rsidRPr="3982CBDC">
        <w:rPr>
          <w:rFonts w:cs="Times New Roman"/>
          <w:noProof/>
        </w:rPr>
        <w:t xml:space="preserve"> and reporting obligation</w:t>
      </w:r>
      <w:r w:rsidR="00661012">
        <w:rPr>
          <w:rFonts w:cs="Times New Roman"/>
          <w:noProof/>
        </w:rPr>
        <w:t>s</w:t>
      </w:r>
      <w:r w:rsidR="001B7AF5" w:rsidRPr="3982CBDC">
        <w:rPr>
          <w:rFonts w:cs="Times New Roman"/>
          <w:noProof/>
        </w:rPr>
        <w:t xml:space="preserve"> on emissions of some F-gases under the UNFCCC</w:t>
      </w:r>
      <w:r w:rsidR="00A14107" w:rsidRPr="3982CBDC">
        <w:rPr>
          <w:rFonts w:cs="Times New Roman"/>
          <w:noProof/>
        </w:rPr>
        <w:t>. The EU is considered a regional economic integration organisation (REIO) under the Protocol, and therefore complies with these requirements at Union level (e.g. reporting, licensing system, consumption phase-</w:t>
      </w:r>
      <w:r w:rsidR="009A25A6" w:rsidRPr="3982CBDC">
        <w:rPr>
          <w:rFonts w:cs="Times New Roman"/>
          <w:noProof/>
        </w:rPr>
        <w:t>down</w:t>
      </w:r>
      <w:r w:rsidR="00A14107" w:rsidRPr="3982CBDC">
        <w:rPr>
          <w:rFonts w:cs="Times New Roman"/>
          <w:noProof/>
        </w:rPr>
        <w:t>)</w:t>
      </w:r>
      <w:r w:rsidR="00B6202C" w:rsidRPr="3982CBDC">
        <w:rPr>
          <w:rFonts w:cs="Times New Roman"/>
          <w:noProof/>
        </w:rPr>
        <w:t>. This</w:t>
      </w:r>
      <w:r w:rsidR="00A14107" w:rsidRPr="3982CBDC">
        <w:rPr>
          <w:rFonts w:cs="Times New Roman"/>
          <w:noProof/>
        </w:rPr>
        <w:t xml:space="preserve"> requires relevant legislation at the same level. </w:t>
      </w:r>
      <w:r w:rsidR="009138FE" w:rsidRPr="3982CBDC">
        <w:rPr>
          <w:rFonts w:cs="Times New Roman"/>
          <w:noProof/>
        </w:rPr>
        <w:t xml:space="preserve">A hypothetical implementation of these commitments under the Protocol at Member State level is very </w:t>
      </w:r>
      <w:r w:rsidR="009138FE" w:rsidRPr="3982CBDC">
        <w:rPr>
          <w:rFonts w:cs="Times New Roman"/>
          <w:b/>
          <w:bCs/>
          <w:noProof/>
        </w:rPr>
        <w:t>difficult to reconcile with the general principles of the EU internal market and the free movement of goods</w:t>
      </w:r>
      <w:r w:rsidR="009138FE" w:rsidRPr="3982CBDC">
        <w:rPr>
          <w:rFonts w:cs="Times New Roman"/>
          <w:noProof/>
        </w:rPr>
        <w:t xml:space="preserve">. </w:t>
      </w:r>
      <w:bookmarkStart w:id="86" w:name="_Toc71559399"/>
      <w:bookmarkStart w:id="87" w:name="_Toc71707004"/>
      <w:bookmarkStart w:id="88" w:name="_Toc71708214"/>
      <w:bookmarkStart w:id="89" w:name="_Toc71710946"/>
      <w:bookmarkStart w:id="90" w:name="_Toc72399348"/>
      <w:r w:rsidR="00661012">
        <w:rPr>
          <w:rFonts w:cs="Times New Roman"/>
          <w:noProof/>
        </w:rPr>
        <w:t xml:space="preserve">The only exception is the </w:t>
      </w:r>
      <w:r w:rsidR="007C214E" w:rsidRPr="3982CBDC">
        <w:rPr>
          <w:rFonts w:cs="Times New Roman"/>
          <w:noProof/>
        </w:rPr>
        <w:t>Protocol’s HFC production phase-down</w:t>
      </w:r>
      <w:r w:rsidR="00661012">
        <w:rPr>
          <w:rFonts w:cs="Times New Roman"/>
          <w:noProof/>
        </w:rPr>
        <w:t xml:space="preserve"> schedule</w:t>
      </w:r>
      <w:r w:rsidR="0050505E">
        <w:rPr>
          <w:rFonts w:cs="Times New Roman"/>
          <w:noProof/>
        </w:rPr>
        <w:t>,</w:t>
      </w:r>
      <w:r w:rsidR="007C214E" w:rsidRPr="3982CBDC">
        <w:rPr>
          <w:rFonts w:cs="Times New Roman"/>
          <w:noProof/>
        </w:rPr>
        <w:t xml:space="preserve"> </w:t>
      </w:r>
      <w:r w:rsidR="00661012">
        <w:rPr>
          <w:rFonts w:cs="Times New Roman"/>
          <w:noProof/>
        </w:rPr>
        <w:t>which requires compliance</w:t>
      </w:r>
      <w:r w:rsidR="00B6202C" w:rsidRPr="3982CBDC">
        <w:rPr>
          <w:rFonts w:cs="Times New Roman"/>
          <w:noProof/>
        </w:rPr>
        <w:t xml:space="preserve"> at </w:t>
      </w:r>
      <w:r w:rsidR="007C214E" w:rsidRPr="3982CBDC">
        <w:rPr>
          <w:rFonts w:cs="Times New Roman"/>
          <w:noProof/>
        </w:rPr>
        <w:t>Member States</w:t>
      </w:r>
      <w:r w:rsidR="00B6202C" w:rsidRPr="3982CBDC">
        <w:rPr>
          <w:rFonts w:cs="Times New Roman"/>
          <w:noProof/>
        </w:rPr>
        <w:t xml:space="preserve"> level</w:t>
      </w:r>
      <w:r w:rsidR="0050505E">
        <w:rPr>
          <w:rFonts w:cs="Times New Roman"/>
          <w:noProof/>
        </w:rPr>
        <w:t>.</w:t>
      </w:r>
      <w:r w:rsidR="007C214E" w:rsidRPr="3982CBDC">
        <w:rPr>
          <w:noProof/>
          <w:vertAlign w:val="superscript"/>
        </w:rPr>
        <w:footnoteReference w:id="52"/>
      </w:r>
      <w:r w:rsidR="0050505E">
        <w:rPr>
          <w:rFonts w:cs="Times New Roman"/>
          <w:noProof/>
          <w:vertAlign w:val="superscript"/>
        </w:rPr>
        <w:t>,</w:t>
      </w:r>
      <w:r w:rsidR="007C214E" w:rsidRPr="3982CBDC">
        <w:rPr>
          <w:rStyle w:val="FootnoteReference"/>
          <w:rFonts w:cs="Times New Roman"/>
          <w:noProof/>
        </w:rPr>
        <w:footnoteReference w:id="53"/>
      </w:r>
      <w:r w:rsidR="007C214E" w:rsidRPr="3982CBDC">
        <w:rPr>
          <w:rFonts w:cs="Times New Roman"/>
          <w:noProof/>
        </w:rPr>
        <w:t xml:space="preserve"> </w:t>
      </w:r>
      <w:bookmarkStart w:id="91" w:name="_Toc88571906"/>
    </w:p>
    <w:p w14:paraId="75F2C3EE" w14:textId="06DD5291" w:rsidR="006059E5" w:rsidRPr="006059E5" w:rsidRDefault="00E04F0C" w:rsidP="00E04F0C">
      <w:pPr>
        <w:pStyle w:val="Heading2"/>
        <w:rPr>
          <w:noProof/>
          <w:vanish/>
        </w:rPr>
      </w:pPr>
      <w:r w:rsidRPr="00E04F0C">
        <w:t>3.</w:t>
      </w:r>
      <w:r w:rsidRPr="00E04F0C">
        <w:tab/>
      </w:r>
    </w:p>
    <w:p w14:paraId="0685953D" w14:textId="77777777" w:rsidR="006059E5" w:rsidRPr="006059E5" w:rsidRDefault="006059E5" w:rsidP="00E04F0C">
      <w:pPr>
        <w:pStyle w:val="Heading2"/>
        <w:rPr>
          <w:noProof/>
          <w:vanish/>
        </w:rPr>
      </w:pPr>
    </w:p>
    <w:p w14:paraId="16B96FB8" w14:textId="77777777" w:rsidR="006059E5" w:rsidRPr="006059E5" w:rsidRDefault="006059E5" w:rsidP="00E04F0C">
      <w:pPr>
        <w:pStyle w:val="Heading2"/>
        <w:rPr>
          <w:noProof/>
          <w:vanish/>
        </w:rPr>
      </w:pPr>
    </w:p>
    <w:p w14:paraId="41F6A71F" w14:textId="4DBAEA40" w:rsidR="00A14107" w:rsidRPr="00E66EFA" w:rsidRDefault="00060873" w:rsidP="00E04F0C">
      <w:pPr>
        <w:pStyle w:val="Heading2"/>
        <w:rPr>
          <w:noProof/>
        </w:rPr>
      </w:pPr>
      <w:r>
        <w:rPr>
          <w:noProof/>
        </w:rPr>
        <w:t xml:space="preserve"> </w:t>
      </w:r>
      <w:bookmarkStart w:id="92" w:name="_Toc94629499"/>
      <w:bookmarkStart w:id="93" w:name="_Toc98857743"/>
      <w:r w:rsidR="3982CBDC">
        <w:rPr>
          <w:noProof/>
        </w:rPr>
        <w:t>Subsidiarity: Added value of EU action</w:t>
      </w:r>
      <w:bookmarkEnd w:id="86"/>
      <w:bookmarkEnd w:id="87"/>
      <w:bookmarkEnd w:id="88"/>
      <w:bookmarkEnd w:id="89"/>
      <w:bookmarkEnd w:id="90"/>
      <w:bookmarkEnd w:id="91"/>
      <w:bookmarkEnd w:id="92"/>
      <w:bookmarkEnd w:id="93"/>
    </w:p>
    <w:p w14:paraId="0708EFCF" w14:textId="730DDAAB" w:rsidR="00E7416F" w:rsidRPr="00B4561B" w:rsidRDefault="00E7416F" w:rsidP="0050505E">
      <w:pPr>
        <w:spacing w:after="120"/>
        <w:rPr>
          <w:noProof/>
        </w:rPr>
      </w:pPr>
      <w:r w:rsidRPr="00E7416F">
        <w:rPr>
          <w:noProof/>
        </w:rPr>
        <w:t xml:space="preserve">The Regulation has a </w:t>
      </w:r>
      <w:r w:rsidRPr="3982CBDC">
        <w:rPr>
          <w:b/>
          <w:bCs/>
          <w:noProof/>
        </w:rPr>
        <w:t xml:space="preserve">clear added value by implementing co-ordinated action at EU level to </w:t>
      </w:r>
      <w:r w:rsidR="00AB564C">
        <w:rPr>
          <w:b/>
          <w:bCs/>
          <w:noProof/>
        </w:rPr>
        <w:t>facilitate</w:t>
      </w:r>
      <w:r w:rsidRPr="3982CBDC">
        <w:rPr>
          <w:b/>
          <w:bCs/>
          <w:noProof/>
        </w:rPr>
        <w:t xml:space="preserve"> </w:t>
      </w:r>
      <w:r w:rsidR="002B5DA7">
        <w:rPr>
          <w:b/>
          <w:bCs/>
          <w:noProof/>
        </w:rPr>
        <w:t xml:space="preserve">reaching </w:t>
      </w:r>
      <w:r w:rsidRPr="3982CBDC">
        <w:rPr>
          <w:b/>
          <w:bCs/>
          <w:noProof/>
        </w:rPr>
        <w:t>the EU climate goals</w:t>
      </w:r>
      <w:r w:rsidR="001F3E16">
        <w:rPr>
          <w:noProof/>
        </w:rPr>
        <w:t xml:space="preserve">. </w:t>
      </w:r>
      <w:r w:rsidR="0050505E">
        <w:rPr>
          <w:noProof/>
        </w:rPr>
        <w:t>A</w:t>
      </w:r>
      <w:r w:rsidR="001F3E16" w:rsidRPr="001F3E16">
        <w:rPr>
          <w:noProof/>
        </w:rPr>
        <w:t xml:space="preserve"> successful reduction of F-gas emissions </w:t>
      </w:r>
      <w:r w:rsidR="0050505E">
        <w:rPr>
          <w:noProof/>
        </w:rPr>
        <w:t xml:space="preserve">has been achieved </w:t>
      </w:r>
      <w:r w:rsidR="001F3E16" w:rsidRPr="001F3E16">
        <w:rPr>
          <w:noProof/>
        </w:rPr>
        <w:t xml:space="preserve">to date due to the HFC </w:t>
      </w:r>
      <w:r w:rsidR="0050505E">
        <w:rPr>
          <w:noProof/>
        </w:rPr>
        <w:t>quota system</w:t>
      </w:r>
      <w:r w:rsidR="001F3E16">
        <w:rPr>
          <w:noProof/>
        </w:rPr>
        <w:t xml:space="preserve">, </w:t>
      </w:r>
      <w:r w:rsidR="001F3E16" w:rsidRPr="001F3E16">
        <w:rPr>
          <w:noProof/>
        </w:rPr>
        <w:t xml:space="preserve">prohibitions </w:t>
      </w:r>
      <w:r w:rsidR="001F3E16">
        <w:rPr>
          <w:noProof/>
        </w:rPr>
        <w:t xml:space="preserve">and containment measures </w:t>
      </w:r>
      <w:r w:rsidR="001F3E16" w:rsidRPr="001F3E16">
        <w:rPr>
          <w:noProof/>
        </w:rPr>
        <w:t xml:space="preserve">working together. </w:t>
      </w:r>
      <w:r w:rsidR="00B6202C">
        <w:rPr>
          <w:noProof/>
        </w:rPr>
        <w:t xml:space="preserve">If </w:t>
      </w:r>
      <w:r w:rsidR="001F3E16" w:rsidRPr="001F3E16">
        <w:rPr>
          <w:noProof/>
        </w:rPr>
        <w:t xml:space="preserve">Member States </w:t>
      </w:r>
      <w:r w:rsidR="00B6202C">
        <w:rPr>
          <w:noProof/>
        </w:rPr>
        <w:t xml:space="preserve">instead were </w:t>
      </w:r>
      <w:r w:rsidR="001F3E16" w:rsidRPr="001F3E16">
        <w:rPr>
          <w:noProof/>
        </w:rPr>
        <w:t>using different measures</w:t>
      </w:r>
      <w:r w:rsidR="001F3E16">
        <w:rPr>
          <w:noProof/>
        </w:rPr>
        <w:t xml:space="preserve"> and ambition levels</w:t>
      </w:r>
      <w:r w:rsidR="00583FEE">
        <w:rPr>
          <w:noProof/>
        </w:rPr>
        <w:t>,</w:t>
      </w:r>
      <w:r w:rsidR="001F3E16" w:rsidRPr="001F3E16">
        <w:rPr>
          <w:noProof/>
        </w:rPr>
        <w:t xml:space="preserve"> </w:t>
      </w:r>
      <w:r w:rsidR="00583FEE">
        <w:rPr>
          <w:noProof/>
        </w:rPr>
        <w:t>this</w:t>
      </w:r>
      <w:r w:rsidR="00B6202C">
        <w:rPr>
          <w:noProof/>
        </w:rPr>
        <w:t xml:space="preserve"> </w:t>
      </w:r>
      <w:r w:rsidR="00583FEE">
        <w:rPr>
          <w:noProof/>
        </w:rPr>
        <w:t xml:space="preserve">would </w:t>
      </w:r>
      <w:r w:rsidR="00B6202C">
        <w:rPr>
          <w:noProof/>
        </w:rPr>
        <w:t xml:space="preserve">most likely result in </w:t>
      </w:r>
      <w:r w:rsidR="001F3E16" w:rsidRPr="001F3E16">
        <w:rPr>
          <w:noProof/>
        </w:rPr>
        <w:t xml:space="preserve">lower </w:t>
      </w:r>
      <w:r w:rsidR="00B6202C">
        <w:rPr>
          <w:noProof/>
        </w:rPr>
        <w:t xml:space="preserve">overall </w:t>
      </w:r>
      <w:r w:rsidR="001F3E16" w:rsidRPr="001F3E16">
        <w:rPr>
          <w:noProof/>
        </w:rPr>
        <w:t>emission</w:t>
      </w:r>
      <w:r w:rsidR="00B6202C">
        <w:rPr>
          <w:noProof/>
        </w:rPr>
        <w:t xml:space="preserve"> reductions</w:t>
      </w:r>
      <w:r w:rsidR="00033B32">
        <w:rPr>
          <w:noProof/>
        </w:rPr>
        <w:t xml:space="preserve"> for these gases in these sectors</w:t>
      </w:r>
      <w:r w:rsidR="001F3E16">
        <w:rPr>
          <w:noProof/>
        </w:rPr>
        <w:t xml:space="preserve">. By way of example, a Union-wide quota system can push for the introduction of alternatives across all (sub-)sectors, including in the more difficult areas, something that cannot be achieved by </w:t>
      </w:r>
      <w:r w:rsidR="00497E9A">
        <w:rPr>
          <w:noProof/>
        </w:rPr>
        <w:t>fragmented</w:t>
      </w:r>
      <w:r w:rsidR="001F3E16">
        <w:rPr>
          <w:noProof/>
        </w:rPr>
        <w:t xml:space="preserve"> approaches at national levels.</w:t>
      </w:r>
      <w:r w:rsidR="001F3E16">
        <w:rPr>
          <w:rStyle w:val="FootnoteReference"/>
          <w:noProof/>
        </w:rPr>
        <w:footnoteReference w:id="54"/>
      </w:r>
      <w:r w:rsidR="001F3E16">
        <w:rPr>
          <w:noProof/>
        </w:rPr>
        <w:t xml:space="preserve"> </w:t>
      </w:r>
      <w:r w:rsidR="00B6202C">
        <w:rPr>
          <w:noProof/>
        </w:rPr>
        <w:t xml:space="preserve">Furthermore, a </w:t>
      </w:r>
      <w:r w:rsidR="00497E9A" w:rsidRPr="00497E9A">
        <w:rPr>
          <w:noProof/>
        </w:rPr>
        <w:t xml:space="preserve">key benefit of action at EU level is the </w:t>
      </w:r>
      <w:r w:rsidR="00497E9A" w:rsidRPr="3982CBDC">
        <w:rPr>
          <w:b/>
          <w:bCs/>
          <w:noProof/>
        </w:rPr>
        <w:t>efficiency improvements</w:t>
      </w:r>
      <w:r w:rsidR="00497E9A" w:rsidRPr="00497E9A">
        <w:rPr>
          <w:noProof/>
        </w:rPr>
        <w:t xml:space="preserve"> and achievement</w:t>
      </w:r>
      <w:r w:rsidR="007C214E">
        <w:rPr>
          <w:noProof/>
        </w:rPr>
        <w:t xml:space="preserve"> of </w:t>
      </w:r>
      <w:r w:rsidR="007C214E" w:rsidRPr="3982CBDC">
        <w:rPr>
          <w:b/>
          <w:bCs/>
          <w:noProof/>
        </w:rPr>
        <w:t>economies-of-scale</w:t>
      </w:r>
      <w:r w:rsidR="00497E9A">
        <w:rPr>
          <w:noProof/>
        </w:rPr>
        <w:t>, avoiding unnecessary costs to industry</w:t>
      </w:r>
      <w:r w:rsidR="00B6202C">
        <w:rPr>
          <w:noProof/>
        </w:rPr>
        <w:t xml:space="preserve"> to adapt to different rules in different </w:t>
      </w:r>
      <w:r w:rsidR="00497E9A">
        <w:rPr>
          <w:noProof/>
        </w:rPr>
        <w:t>Member State</w:t>
      </w:r>
      <w:r w:rsidR="00583FEE">
        <w:rPr>
          <w:noProof/>
        </w:rPr>
        <w:t>s</w:t>
      </w:r>
      <w:r w:rsidR="00497E9A" w:rsidRPr="00497E9A">
        <w:rPr>
          <w:noProof/>
        </w:rPr>
        <w:t>.</w:t>
      </w:r>
      <w:r w:rsidR="00497E9A" w:rsidRPr="00497E9A">
        <w:rPr>
          <w:rFonts w:ascii="Arial" w:hAnsi="Arial" w:cs="Times New Roman"/>
          <w:noProof/>
          <w:sz w:val="20"/>
          <w:szCs w:val="20"/>
        </w:rPr>
        <w:t xml:space="preserve"> </w:t>
      </w:r>
      <w:r w:rsidR="00497E9A" w:rsidRPr="00497E9A">
        <w:rPr>
          <w:noProof/>
        </w:rPr>
        <w:t xml:space="preserve">A joint approach across Member States makes it easier to enforce F-gas reduction policies and allows for lessons learned and knowledge sharing across Member States. Common legislation has also enhanced the market for new alternatives, </w:t>
      </w:r>
      <w:r w:rsidR="00033B32">
        <w:rPr>
          <w:noProof/>
        </w:rPr>
        <w:t xml:space="preserve">benefiting from the size of the single market and </w:t>
      </w:r>
      <w:r w:rsidR="00497E9A" w:rsidRPr="00497E9A">
        <w:rPr>
          <w:noProof/>
        </w:rPr>
        <w:t xml:space="preserve">providing </w:t>
      </w:r>
      <w:r w:rsidR="00FE59E5">
        <w:rPr>
          <w:noProof/>
        </w:rPr>
        <w:t xml:space="preserve">an </w:t>
      </w:r>
      <w:r w:rsidR="00497E9A" w:rsidRPr="00497E9A">
        <w:rPr>
          <w:noProof/>
        </w:rPr>
        <w:t>additional incentive for their development and commercialisation.</w:t>
      </w:r>
      <w:r w:rsidR="0050505E">
        <w:rPr>
          <w:noProof/>
        </w:rPr>
        <w:t xml:space="preserve"> </w:t>
      </w:r>
      <w:r w:rsidR="002B5DA7">
        <w:rPr>
          <w:noProof/>
        </w:rPr>
        <w:t>All types of s</w:t>
      </w:r>
      <w:r w:rsidR="3982CBDC">
        <w:rPr>
          <w:noProof/>
        </w:rPr>
        <w:t>takehold</w:t>
      </w:r>
      <w:r w:rsidR="0050505E">
        <w:rPr>
          <w:noProof/>
        </w:rPr>
        <w:t xml:space="preserve">ers </w:t>
      </w:r>
      <w:r w:rsidR="002B5DA7">
        <w:rPr>
          <w:noProof/>
        </w:rPr>
        <w:t>overwhelmingly</w:t>
      </w:r>
      <w:r w:rsidR="00827D46">
        <w:rPr>
          <w:noProof/>
        </w:rPr>
        <w:t xml:space="preserve"> </w:t>
      </w:r>
      <w:r w:rsidR="0050505E">
        <w:rPr>
          <w:noProof/>
        </w:rPr>
        <w:t>agree</w:t>
      </w:r>
      <w:r w:rsidR="002B5DA7">
        <w:rPr>
          <w:noProof/>
        </w:rPr>
        <w:t xml:space="preserve"> on the EU added value</w:t>
      </w:r>
      <w:r w:rsidR="3982CBDC">
        <w:rPr>
          <w:noProof/>
        </w:rPr>
        <w:t xml:space="preserve">, in particular the competent authorities of Member States. </w:t>
      </w:r>
      <w:r w:rsidR="002B5DA7">
        <w:rPr>
          <w:noProof/>
        </w:rPr>
        <w:t xml:space="preserve">The progress achieved as a result of EU policies on </w:t>
      </w:r>
      <w:r w:rsidR="00710BEF">
        <w:rPr>
          <w:noProof/>
        </w:rPr>
        <w:t>F-</w:t>
      </w:r>
      <w:r w:rsidR="002B5DA7">
        <w:rPr>
          <w:noProof/>
        </w:rPr>
        <w:t xml:space="preserve">gases facilitates the task of Member States to reach their own national targets to reduce </w:t>
      </w:r>
      <w:r w:rsidR="00033B32">
        <w:rPr>
          <w:noProof/>
        </w:rPr>
        <w:t xml:space="preserve">a basket of </w:t>
      </w:r>
      <w:r w:rsidR="00C9056E">
        <w:rPr>
          <w:noProof/>
        </w:rPr>
        <w:t>GHGs</w:t>
      </w:r>
      <w:r w:rsidR="002B5DA7">
        <w:rPr>
          <w:noProof/>
        </w:rPr>
        <w:t xml:space="preserve"> </w:t>
      </w:r>
      <w:r w:rsidR="00A562F5">
        <w:rPr>
          <w:noProof/>
        </w:rPr>
        <w:t>under the E</w:t>
      </w:r>
      <w:r w:rsidR="00710BEF">
        <w:rPr>
          <w:noProof/>
        </w:rPr>
        <w:t>SR</w:t>
      </w:r>
      <w:r w:rsidR="002B5DA7">
        <w:rPr>
          <w:noProof/>
        </w:rPr>
        <w:t>.</w:t>
      </w:r>
    </w:p>
    <w:p w14:paraId="7CE4956A" w14:textId="514CB58A" w:rsidR="00A14107" w:rsidRPr="00A14107" w:rsidRDefault="00E04F0C" w:rsidP="00E04F0C">
      <w:pPr>
        <w:pStyle w:val="Heading1"/>
        <w:rPr>
          <w:noProof/>
        </w:rPr>
      </w:pPr>
      <w:bookmarkStart w:id="94" w:name="_Toc71559400"/>
      <w:bookmarkStart w:id="95" w:name="_Toc71707005"/>
      <w:bookmarkStart w:id="96" w:name="_Toc71708215"/>
      <w:bookmarkStart w:id="97" w:name="_Toc71710947"/>
      <w:bookmarkStart w:id="98" w:name="_Toc72399349"/>
      <w:bookmarkStart w:id="99" w:name="_Toc88571907"/>
      <w:r w:rsidRPr="00E04F0C">
        <w:t>4.</w:t>
      </w:r>
      <w:r w:rsidRPr="00E04F0C">
        <w:tab/>
      </w:r>
      <w:r w:rsidR="00060873">
        <w:rPr>
          <w:noProof/>
        </w:rPr>
        <w:t xml:space="preserve"> </w:t>
      </w:r>
      <w:bookmarkStart w:id="100" w:name="_Toc94629500"/>
      <w:bookmarkStart w:id="101" w:name="_Toc98857744"/>
      <w:r w:rsidR="3982CBDC">
        <w:rPr>
          <w:noProof/>
        </w:rPr>
        <w:t>Objectives: What is to be achieved?</w:t>
      </w:r>
      <w:bookmarkEnd w:id="94"/>
      <w:bookmarkEnd w:id="95"/>
      <w:bookmarkEnd w:id="96"/>
      <w:bookmarkEnd w:id="97"/>
      <w:bookmarkEnd w:id="98"/>
      <w:bookmarkEnd w:id="99"/>
      <w:bookmarkEnd w:id="100"/>
      <w:bookmarkEnd w:id="101"/>
    </w:p>
    <w:p w14:paraId="6844ECB4" w14:textId="3AEDD68D" w:rsidR="00A14107" w:rsidRPr="006578FA" w:rsidRDefault="00E04F0C" w:rsidP="00E04F0C">
      <w:pPr>
        <w:pStyle w:val="Heading2"/>
        <w:rPr>
          <w:noProof/>
        </w:rPr>
      </w:pPr>
      <w:bookmarkStart w:id="102" w:name="_Toc71559401"/>
      <w:bookmarkStart w:id="103" w:name="_Toc71707006"/>
      <w:bookmarkStart w:id="104" w:name="_Toc71708216"/>
      <w:bookmarkStart w:id="105" w:name="_Toc71710948"/>
      <w:bookmarkStart w:id="106" w:name="_Toc72399350"/>
      <w:bookmarkStart w:id="107" w:name="_Toc88571908"/>
      <w:bookmarkStart w:id="108" w:name="_Toc94629501"/>
      <w:bookmarkStart w:id="109" w:name="_Toc98857745"/>
      <w:r w:rsidRPr="00E04F0C">
        <w:t>4.1.</w:t>
      </w:r>
      <w:r w:rsidRPr="00E04F0C">
        <w:tab/>
      </w:r>
      <w:r w:rsidR="3982CBDC">
        <w:rPr>
          <w:noProof/>
        </w:rPr>
        <w:t>General (review) objectives</w:t>
      </w:r>
      <w:bookmarkEnd w:id="102"/>
      <w:bookmarkEnd w:id="103"/>
      <w:bookmarkEnd w:id="104"/>
      <w:bookmarkEnd w:id="105"/>
      <w:bookmarkEnd w:id="106"/>
      <w:bookmarkEnd w:id="107"/>
      <w:bookmarkEnd w:id="108"/>
      <w:bookmarkEnd w:id="109"/>
    </w:p>
    <w:p w14:paraId="3739B67E" w14:textId="72DCA89E" w:rsidR="00A14107" w:rsidRPr="00BB4760" w:rsidRDefault="3982CBDC" w:rsidP="006F1FFB">
      <w:pPr>
        <w:spacing w:after="120"/>
        <w:rPr>
          <w:rFonts w:cs="Times New Roman"/>
          <w:noProof/>
        </w:rPr>
      </w:pPr>
      <w:r w:rsidRPr="3982CBDC">
        <w:rPr>
          <w:rFonts w:cs="Times New Roman"/>
          <w:noProof/>
        </w:rPr>
        <w:t xml:space="preserve">The review must ensure that the F-gas </w:t>
      </w:r>
      <w:r w:rsidR="00CE2D95">
        <w:rPr>
          <w:rFonts w:cs="Times New Roman"/>
          <w:noProof/>
        </w:rPr>
        <w:t xml:space="preserve">Regulation </w:t>
      </w:r>
      <w:r w:rsidR="00983F22">
        <w:rPr>
          <w:rFonts w:cs="Times New Roman"/>
          <w:noProof/>
        </w:rPr>
        <w:t>contributes to</w:t>
      </w:r>
      <w:r w:rsidR="00CE2D95">
        <w:rPr>
          <w:rFonts w:cs="Times New Roman"/>
          <w:noProof/>
        </w:rPr>
        <w:t xml:space="preserve"> the </w:t>
      </w:r>
      <w:r w:rsidRPr="006600B7">
        <w:rPr>
          <w:rFonts w:cs="Times New Roman"/>
          <w:b/>
          <w:noProof/>
        </w:rPr>
        <w:t>ambitious climate objectives</w:t>
      </w:r>
      <w:r w:rsidRPr="3982CBDC">
        <w:rPr>
          <w:rFonts w:cs="Times New Roman"/>
          <w:noProof/>
        </w:rPr>
        <w:t xml:space="preserve"> under the European Green Deal. Furthermore, it is paramount to </w:t>
      </w:r>
      <w:r w:rsidRPr="006600B7">
        <w:rPr>
          <w:rFonts w:cs="Times New Roman"/>
          <w:b/>
          <w:noProof/>
        </w:rPr>
        <w:t>ensure compliance with rules under the Protocol</w:t>
      </w:r>
      <w:r w:rsidRPr="3982CBDC">
        <w:rPr>
          <w:rFonts w:cs="Times New Roman"/>
          <w:noProof/>
        </w:rPr>
        <w:t xml:space="preserve">, and enable </w:t>
      </w:r>
      <w:r w:rsidRPr="006600B7">
        <w:rPr>
          <w:rFonts w:cs="Times New Roman"/>
          <w:b/>
          <w:noProof/>
        </w:rPr>
        <w:t>good enforcement</w:t>
      </w:r>
      <w:r w:rsidRPr="3982CBDC">
        <w:rPr>
          <w:rFonts w:cs="Times New Roman"/>
          <w:noProof/>
        </w:rPr>
        <w:t xml:space="preserve"> of the rules</w:t>
      </w:r>
      <w:r w:rsidR="006600B7">
        <w:rPr>
          <w:rFonts w:cs="Times New Roman"/>
          <w:noProof/>
        </w:rPr>
        <w:t xml:space="preserve"> in an </w:t>
      </w:r>
      <w:r w:rsidRPr="006600B7">
        <w:rPr>
          <w:rFonts w:cs="Times New Roman"/>
          <w:b/>
          <w:iCs/>
          <w:noProof/>
        </w:rPr>
        <w:t>efficient, coherent and clear</w:t>
      </w:r>
      <w:r w:rsidRPr="006600B7">
        <w:rPr>
          <w:rFonts w:cs="Times New Roman"/>
          <w:iCs/>
          <w:noProof/>
        </w:rPr>
        <w:t xml:space="preserve"> manner</w:t>
      </w:r>
      <w:r w:rsidRPr="3982CBDC">
        <w:rPr>
          <w:rFonts w:cs="Times New Roman"/>
          <w:noProof/>
        </w:rPr>
        <w:t xml:space="preserve">. </w:t>
      </w:r>
    </w:p>
    <w:p w14:paraId="3C1AD857" w14:textId="5E99520E" w:rsidR="00A14107" w:rsidRPr="006578FA" w:rsidRDefault="00E04F0C" w:rsidP="00E04F0C">
      <w:pPr>
        <w:pStyle w:val="Heading2"/>
        <w:rPr>
          <w:noProof/>
        </w:rPr>
      </w:pPr>
      <w:bookmarkStart w:id="110" w:name="_Toc71559402"/>
      <w:bookmarkStart w:id="111" w:name="_Toc71707007"/>
      <w:bookmarkStart w:id="112" w:name="_Toc71708217"/>
      <w:bookmarkStart w:id="113" w:name="_Toc71710949"/>
      <w:bookmarkStart w:id="114" w:name="_Toc72399351"/>
      <w:bookmarkStart w:id="115" w:name="_Toc88571909"/>
      <w:bookmarkStart w:id="116" w:name="_Toc94629502"/>
      <w:bookmarkStart w:id="117" w:name="_Toc98857746"/>
      <w:r w:rsidRPr="00E04F0C">
        <w:t>4.2.</w:t>
      </w:r>
      <w:r w:rsidRPr="00E04F0C">
        <w:tab/>
      </w:r>
      <w:r w:rsidR="3982CBDC">
        <w:rPr>
          <w:noProof/>
        </w:rPr>
        <w:t>Specific (review) objectives</w:t>
      </w:r>
      <w:bookmarkEnd w:id="110"/>
      <w:bookmarkEnd w:id="111"/>
      <w:bookmarkEnd w:id="112"/>
      <w:bookmarkEnd w:id="113"/>
      <w:bookmarkEnd w:id="114"/>
      <w:bookmarkEnd w:id="115"/>
      <w:bookmarkEnd w:id="116"/>
      <w:bookmarkEnd w:id="117"/>
    </w:p>
    <w:p w14:paraId="6CEA4FE7" w14:textId="0D7F0C41" w:rsidR="00A14107" w:rsidRPr="00A14107" w:rsidRDefault="00117AEF" w:rsidP="3982CBDC">
      <w:pPr>
        <w:spacing w:after="0"/>
        <w:rPr>
          <w:rFonts w:cs="Times New Roman"/>
          <w:b/>
          <w:bCs/>
          <w:noProof/>
        </w:rPr>
      </w:pPr>
      <w:r w:rsidRPr="00117AEF">
        <w:rPr>
          <w:rFonts w:cs="Times New Roman"/>
          <w:bCs/>
          <w:noProof/>
        </w:rPr>
        <w:t xml:space="preserve">To </w:t>
      </w:r>
      <w:r>
        <w:rPr>
          <w:rFonts w:cs="Times New Roman"/>
          <w:bCs/>
          <w:noProof/>
        </w:rPr>
        <w:t xml:space="preserve">reach those general objectives </w:t>
      </w:r>
      <w:r w:rsidR="002D11B4">
        <w:rPr>
          <w:rFonts w:cs="Times New Roman"/>
          <w:bCs/>
          <w:noProof/>
        </w:rPr>
        <w:t xml:space="preserve">and based on the findings in the evaluation, </w:t>
      </w:r>
      <w:r w:rsidRPr="00117AEF">
        <w:rPr>
          <w:rFonts w:cs="Times New Roman"/>
          <w:bCs/>
          <w:noProof/>
        </w:rPr>
        <w:t xml:space="preserve">the review measures </w:t>
      </w:r>
      <w:r>
        <w:rPr>
          <w:rFonts w:cs="Times New Roman"/>
          <w:bCs/>
          <w:noProof/>
        </w:rPr>
        <w:t xml:space="preserve">will </w:t>
      </w:r>
      <w:r w:rsidRPr="00117AEF">
        <w:rPr>
          <w:rFonts w:cs="Times New Roman"/>
          <w:bCs/>
          <w:noProof/>
        </w:rPr>
        <w:t>target</w:t>
      </w:r>
      <w:r>
        <w:rPr>
          <w:rFonts w:cs="Times New Roman"/>
          <w:b/>
          <w:bCs/>
          <w:noProof/>
        </w:rPr>
        <w:t xml:space="preserve"> </w:t>
      </w:r>
      <w:r w:rsidRPr="00117AEF">
        <w:rPr>
          <w:rFonts w:cs="Times New Roman"/>
          <w:bCs/>
          <w:noProof/>
        </w:rPr>
        <w:t xml:space="preserve">the following </w:t>
      </w:r>
      <w:r>
        <w:rPr>
          <w:rFonts w:cs="Times New Roman"/>
          <w:b/>
          <w:bCs/>
          <w:noProof/>
        </w:rPr>
        <w:t xml:space="preserve">specific </w:t>
      </w:r>
      <w:r w:rsidR="002D11B4">
        <w:rPr>
          <w:rFonts w:cs="Times New Roman"/>
          <w:b/>
          <w:bCs/>
          <w:noProof/>
        </w:rPr>
        <w:t xml:space="preserve">review </w:t>
      </w:r>
      <w:r>
        <w:rPr>
          <w:rFonts w:cs="Times New Roman"/>
          <w:b/>
          <w:bCs/>
          <w:noProof/>
        </w:rPr>
        <w:t>objectives</w:t>
      </w:r>
      <w:r w:rsidR="3982CBDC" w:rsidRPr="3982CBDC">
        <w:rPr>
          <w:rFonts w:cs="Times New Roman"/>
          <w:b/>
          <w:bCs/>
          <w:noProof/>
        </w:rPr>
        <w:t>:</w:t>
      </w:r>
    </w:p>
    <w:p w14:paraId="74084A00" w14:textId="02FFAE78" w:rsidR="00A14107" w:rsidRPr="0035568C" w:rsidRDefault="00A14107" w:rsidP="3982CBDC">
      <w:pPr>
        <w:numPr>
          <w:ilvl w:val="0"/>
          <w:numId w:val="2"/>
        </w:numPr>
        <w:spacing w:after="0"/>
        <w:ind w:left="714" w:hanging="357"/>
        <w:contextualSpacing/>
        <w:rPr>
          <w:rFonts w:cs="Times New Roman"/>
          <w:noProof/>
        </w:rPr>
      </w:pPr>
      <w:r w:rsidRPr="3982CBDC">
        <w:rPr>
          <w:rFonts w:cs="Times New Roman"/>
          <w:noProof/>
          <w:color w:val="000000" w:themeColor="text1"/>
        </w:rPr>
        <w:t xml:space="preserve">Achieve </w:t>
      </w:r>
      <w:r w:rsidRPr="00117AEF">
        <w:rPr>
          <w:rFonts w:cs="Times New Roman"/>
          <w:b/>
          <w:noProof/>
          <w:color w:val="000000" w:themeColor="text1"/>
        </w:rPr>
        <w:t xml:space="preserve">additional </w:t>
      </w:r>
      <w:r w:rsidR="004B34BE" w:rsidRPr="00117AEF">
        <w:rPr>
          <w:rFonts w:cs="Times New Roman"/>
          <w:b/>
          <w:noProof/>
          <w:color w:val="000000" w:themeColor="text1"/>
        </w:rPr>
        <w:t xml:space="preserve">F-gas </w:t>
      </w:r>
      <w:r w:rsidRPr="00117AEF">
        <w:rPr>
          <w:rFonts w:cs="Times New Roman"/>
          <w:b/>
          <w:noProof/>
          <w:color w:val="000000" w:themeColor="text1"/>
        </w:rPr>
        <w:t>emission redu</w:t>
      </w:r>
      <w:r w:rsidRPr="00117AEF">
        <w:rPr>
          <w:rFonts w:cs="Times New Roman"/>
          <w:b/>
          <w:noProof/>
          <w:color w:val="000000" w:themeColor="text1"/>
          <w:shd w:val="clear" w:color="auto" w:fill="F9F9F9"/>
        </w:rPr>
        <w:t>cti</w:t>
      </w:r>
      <w:r w:rsidR="0035568C" w:rsidRPr="00117AEF">
        <w:rPr>
          <w:rFonts w:cs="Times New Roman"/>
          <w:b/>
          <w:noProof/>
          <w:color w:val="000000" w:themeColor="text1"/>
        </w:rPr>
        <w:t>ons</w:t>
      </w:r>
      <w:r w:rsidR="0035568C" w:rsidRPr="3982CBDC">
        <w:rPr>
          <w:rFonts w:cs="Times New Roman"/>
          <w:noProof/>
          <w:color w:val="000000" w:themeColor="text1"/>
        </w:rPr>
        <w:t xml:space="preserve"> to </w:t>
      </w:r>
      <w:r w:rsidR="00D566FD">
        <w:rPr>
          <w:rFonts w:cs="Times New Roman"/>
          <w:noProof/>
          <w:color w:val="000000" w:themeColor="text1"/>
        </w:rPr>
        <w:t>contribute to</w:t>
      </w:r>
      <w:r w:rsidR="0035568C" w:rsidRPr="3982CBDC">
        <w:rPr>
          <w:rFonts w:cs="Times New Roman"/>
          <w:noProof/>
          <w:color w:val="000000" w:themeColor="text1"/>
        </w:rPr>
        <w:t xml:space="preserve"> reaching the 55% of </w:t>
      </w:r>
      <w:r w:rsidR="009A25A6" w:rsidRPr="3982CBDC">
        <w:rPr>
          <w:rFonts w:cs="Times New Roman"/>
          <w:noProof/>
          <w:color w:val="000000" w:themeColor="text1"/>
        </w:rPr>
        <w:t>emissions</w:t>
      </w:r>
      <w:r w:rsidR="0035568C" w:rsidRPr="3982CBDC">
        <w:rPr>
          <w:rFonts w:cs="Times New Roman"/>
          <w:noProof/>
          <w:color w:val="000000" w:themeColor="text1"/>
        </w:rPr>
        <w:t xml:space="preserve"> reductions by 2030 and </w:t>
      </w:r>
      <w:r w:rsidR="00963729">
        <w:rPr>
          <w:rFonts w:cs="Times New Roman"/>
          <w:noProof/>
          <w:color w:val="000000" w:themeColor="text1"/>
        </w:rPr>
        <w:t xml:space="preserve">net </w:t>
      </w:r>
      <w:r w:rsidR="0035568C" w:rsidRPr="3982CBDC">
        <w:rPr>
          <w:rFonts w:cs="Times New Roman"/>
          <w:noProof/>
          <w:color w:val="000000" w:themeColor="text1"/>
        </w:rPr>
        <w:t>carbon neutrality by 2050</w:t>
      </w:r>
      <w:r w:rsidR="00983F22">
        <w:rPr>
          <w:rFonts w:cs="Times New Roman"/>
          <w:noProof/>
          <w:color w:val="000000" w:themeColor="text1"/>
        </w:rPr>
        <w:t>.</w:t>
      </w:r>
    </w:p>
    <w:p w14:paraId="493FD5AD" w14:textId="4D38D3DC" w:rsidR="005340FD" w:rsidRPr="005340FD" w:rsidRDefault="3982CBDC" w:rsidP="3982CBDC">
      <w:pPr>
        <w:pStyle w:val="ListParagraph"/>
        <w:numPr>
          <w:ilvl w:val="0"/>
          <w:numId w:val="2"/>
        </w:numPr>
        <w:spacing w:after="0"/>
        <w:rPr>
          <w:rFonts w:cs="Times New Roman"/>
          <w:noProof/>
          <w:color w:val="000000" w:themeColor="text1"/>
        </w:rPr>
      </w:pPr>
      <w:r w:rsidRPr="00117AEF">
        <w:rPr>
          <w:rFonts w:cs="Times New Roman"/>
          <w:b/>
          <w:noProof/>
          <w:color w:val="000000" w:themeColor="text1"/>
        </w:rPr>
        <w:t>Fully align with the Protocol</w:t>
      </w:r>
      <w:r w:rsidR="00983F22">
        <w:rPr>
          <w:rFonts w:cs="Times New Roman"/>
          <w:noProof/>
          <w:color w:val="000000" w:themeColor="text1"/>
        </w:rPr>
        <w:t>.</w:t>
      </w:r>
    </w:p>
    <w:p w14:paraId="47BB5FB7" w14:textId="0F74CAD6" w:rsidR="00A14107" w:rsidRPr="00FE59E5" w:rsidRDefault="3982CBDC" w:rsidP="3982CBDC">
      <w:pPr>
        <w:numPr>
          <w:ilvl w:val="0"/>
          <w:numId w:val="2"/>
        </w:numPr>
        <w:contextualSpacing/>
        <w:rPr>
          <w:rFonts w:cs="Times New Roman"/>
          <w:noProof/>
        </w:rPr>
      </w:pPr>
      <w:r w:rsidRPr="3982CBDC">
        <w:rPr>
          <w:rFonts w:cs="Times New Roman"/>
          <w:noProof/>
        </w:rPr>
        <w:t xml:space="preserve">Facilitate </w:t>
      </w:r>
      <w:r w:rsidR="006C33F3">
        <w:rPr>
          <w:rFonts w:cs="Times New Roman"/>
          <w:noProof/>
        </w:rPr>
        <w:t xml:space="preserve">enhanced </w:t>
      </w:r>
      <w:r w:rsidRPr="00117AEF">
        <w:rPr>
          <w:rFonts w:cs="Times New Roman"/>
          <w:b/>
          <w:noProof/>
        </w:rPr>
        <w:t>implementation and enforcement</w:t>
      </w:r>
      <w:r w:rsidR="00C80CA9">
        <w:rPr>
          <w:rFonts w:cs="Times New Roman"/>
          <w:b/>
          <w:noProof/>
        </w:rPr>
        <w:t xml:space="preserve"> </w:t>
      </w:r>
      <w:r w:rsidR="00C80CA9" w:rsidRPr="00983F22">
        <w:rPr>
          <w:rFonts w:cs="Times New Roman"/>
          <w:noProof/>
        </w:rPr>
        <w:t xml:space="preserve">on matters of illegal trade, the functioning of the quota system and the training needs on </w:t>
      </w:r>
      <w:r w:rsidR="00C80CA9">
        <w:rPr>
          <w:rFonts w:cs="Times New Roman"/>
          <w:noProof/>
        </w:rPr>
        <w:t xml:space="preserve">F-gas </w:t>
      </w:r>
      <w:r w:rsidR="00C80CA9" w:rsidRPr="00983F22">
        <w:rPr>
          <w:rFonts w:cs="Times New Roman"/>
          <w:noProof/>
        </w:rPr>
        <w:t>alternatives</w:t>
      </w:r>
      <w:r w:rsidR="00983F22">
        <w:rPr>
          <w:rFonts w:cs="Times New Roman"/>
          <w:noProof/>
        </w:rPr>
        <w:t>.</w:t>
      </w:r>
    </w:p>
    <w:p w14:paraId="7A53B8AF" w14:textId="192CDACB" w:rsidR="000B080C" w:rsidRPr="00FE59E5" w:rsidRDefault="3982CBDC" w:rsidP="3982CBDC">
      <w:pPr>
        <w:numPr>
          <w:ilvl w:val="0"/>
          <w:numId w:val="2"/>
        </w:numPr>
        <w:contextualSpacing/>
        <w:rPr>
          <w:rFonts w:cs="Times New Roman"/>
          <w:noProof/>
        </w:rPr>
      </w:pPr>
      <w:r w:rsidRPr="3982CBDC">
        <w:rPr>
          <w:rFonts w:cs="Times New Roman"/>
          <w:noProof/>
        </w:rPr>
        <w:t xml:space="preserve">Improve </w:t>
      </w:r>
      <w:r w:rsidRPr="00117AEF">
        <w:rPr>
          <w:rFonts w:cs="Times New Roman"/>
          <w:b/>
          <w:noProof/>
        </w:rPr>
        <w:t>monitoring and reporting</w:t>
      </w:r>
      <w:r w:rsidR="00C80CA9">
        <w:rPr>
          <w:rFonts w:cs="Times New Roman"/>
          <w:b/>
          <w:noProof/>
        </w:rPr>
        <w:t xml:space="preserve"> </w:t>
      </w:r>
      <w:r w:rsidR="00C80CA9" w:rsidRPr="00983F22">
        <w:rPr>
          <w:rFonts w:cs="Times New Roman"/>
          <w:noProof/>
        </w:rPr>
        <w:t>to fill existing gaps</w:t>
      </w:r>
      <w:r w:rsidR="00C80CA9">
        <w:rPr>
          <w:rFonts w:cs="Times New Roman"/>
          <w:noProof/>
        </w:rPr>
        <w:t xml:space="preserve"> and improve process and data quality for compliance</w:t>
      </w:r>
      <w:r w:rsidR="00983F22">
        <w:rPr>
          <w:rFonts w:cs="Times New Roman"/>
          <w:noProof/>
        </w:rPr>
        <w:t>.</w:t>
      </w:r>
    </w:p>
    <w:p w14:paraId="78E0FD2B" w14:textId="37233C86" w:rsidR="00A14107" w:rsidRDefault="006C33F3" w:rsidP="3982CBDC">
      <w:pPr>
        <w:numPr>
          <w:ilvl w:val="0"/>
          <w:numId w:val="2"/>
        </w:numPr>
        <w:ind w:left="714" w:hanging="357"/>
        <w:rPr>
          <w:rFonts w:cs="Times New Roman"/>
          <w:noProof/>
        </w:rPr>
      </w:pPr>
      <w:r w:rsidRPr="006C33F3">
        <w:rPr>
          <w:rFonts w:cs="Times New Roman"/>
          <w:noProof/>
        </w:rPr>
        <w:t>Improve</w:t>
      </w:r>
      <w:r>
        <w:rPr>
          <w:rFonts w:cs="Times New Roman"/>
          <w:b/>
          <w:noProof/>
        </w:rPr>
        <w:t xml:space="preserve"> clarity and </w:t>
      </w:r>
      <w:r w:rsidR="00344142">
        <w:rPr>
          <w:rFonts w:cs="Times New Roman"/>
          <w:b/>
          <w:noProof/>
        </w:rPr>
        <w:t xml:space="preserve">internal </w:t>
      </w:r>
      <w:r>
        <w:rPr>
          <w:rFonts w:cs="Times New Roman"/>
          <w:b/>
          <w:noProof/>
        </w:rPr>
        <w:t>c</w:t>
      </w:r>
      <w:r w:rsidR="00117AEF">
        <w:rPr>
          <w:rFonts w:cs="Times New Roman"/>
          <w:b/>
          <w:noProof/>
        </w:rPr>
        <w:t>o</w:t>
      </w:r>
      <w:r>
        <w:rPr>
          <w:rFonts w:cs="Times New Roman"/>
          <w:b/>
          <w:noProof/>
        </w:rPr>
        <w:t>herence</w:t>
      </w:r>
      <w:r w:rsidR="00C80CA9">
        <w:rPr>
          <w:rFonts w:cs="Times New Roman"/>
          <w:noProof/>
        </w:rPr>
        <w:t xml:space="preserve"> to support better implementation and understanding of the rules</w:t>
      </w:r>
      <w:r w:rsidR="00983F22">
        <w:rPr>
          <w:rFonts w:cs="Times New Roman"/>
          <w:noProof/>
        </w:rPr>
        <w:t>.</w:t>
      </w:r>
    </w:p>
    <w:p w14:paraId="2FA7B489" w14:textId="3FB52585" w:rsidR="00710BEF" w:rsidRPr="000F75D6" w:rsidRDefault="00EB763C" w:rsidP="009235A6">
      <w:pPr>
        <w:tabs>
          <w:tab w:val="left" w:pos="2302"/>
        </w:tabs>
        <w:spacing w:after="120"/>
        <w:rPr>
          <w:rFonts w:eastAsia="Times New Roman" w:cs="Times New Roman"/>
          <w:noProof/>
        </w:rPr>
      </w:pPr>
      <w:r>
        <w:rPr>
          <w:rFonts w:cs="Times New Roman"/>
          <w:noProof/>
        </w:rPr>
        <w:t xml:space="preserve">There is no </w:t>
      </w:r>
      <w:r w:rsidR="00867B41">
        <w:rPr>
          <w:rFonts w:cs="Times New Roman"/>
          <w:noProof/>
        </w:rPr>
        <w:t xml:space="preserve">expected </w:t>
      </w:r>
      <w:r>
        <w:rPr>
          <w:rFonts w:cs="Times New Roman"/>
          <w:noProof/>
        </w:rPr>
        <w:t xml:space="preserve">trade-off between these review objectives and therefore also no hierarchy. </w:t>
      </w:r>
      <w:r w:rsidR="003571E2">
        <w:rPr>
          <w:rFonts w:cs="Times New Roman"/>
          <w:noProof/>
        </w:rPr>
        <w:t>The aim is to</w:t>
      </w:r>
      <w:r w:rsidR="00867B41">
        <w:rPr>
          <w:rFonts w:cs="Times New Roman"/>
          <w:noProof/>
        </w:rPr>
        <w:t xml:space="preserve"> target all of them. </w:t>
      </w:r>
      <w:r>
        <w:rPr>
          <w:rFonts w:cs="Times New Roman"/>
          <w:noProof/>
        </w:rPr>
        <w:t xml:space="preserve">However, whereas the objective to fully align with the Montreal Protocol </w:t>
      </w:r>
      <w:r w:rsidR="003F31D3">
        <w:rPr>
          <w:rFonts w:cs="Times New Roman"/>
          <w:noProof/>
        </w:rPr>
        <w:t>does not leave</w:t>
      </w:r>
      <w:r>
        <w:rPr>
          <w:rFonts w:cs="Times New Roman"/>
          <w:noProof/>
        </w:rPr>
        <w:t xml:space="preserve"> much margin for manoeuvre</w:t>
      </w:r>
      <w:r w:rsidR="002D11B4">
        <w:rPr>
          <w:rFonts w:cs="Times New Roman"/>
          <w:noProof/>
        </w:rPr>
        <w:t>,</w:t>
      </w:r>
      <w:r>
        <w:rPr>
          <w:rFonts w:cs="Times New Roman"/>
          <w:noProof/>
        </w:rPr>
        <w:t xml:space="preserve"> the other objectives can be achieved to a varying extent. </w:t>
      </w:r>
      <w:r w:rsidR="00C80CA9">
        <w:rPr>
          <w:rFonts w:cs="Times New Roman"/>
          <w:noProof/>
        </w:rPr>
        <w:t xml:space="preserve">As </w:t>
      </w:r>
      <w:r w:rsidR="003F31D3">
        <w:rPr>
          <w:rFonts w:cs="Times New Roman"/>
          <w:noProof/>
        </w:rPr>
        <w:t xml:space="preserve">the aim of </w:t>
      </w:r>
      <w:r w:rsidR="00C80CA9" w:rsidRPr="009235A6">
        <w:rPr>
          <w:rFonts w:eastAsia="Times New Roman" w:cs="Times New Roman"/>
          <w:noProof/>
        </w:rPr>
        <w:t xml:space="preserve">this review </w:t>
      </w:r>
      <w:r w:rsidR="00B41771">
        <w:rPr>
          <w:rFonts w:eastAsia="Times New Roman" w:cs="Times New Roman"/>
          <w:noProof/>
        </w:rPr>
        <w:t xml:space="preserve">is </w:t>
      </w:r>
      <w:r w:rsidR="003F31D3">
        <w:rPr>
          <w:rFonts w:eastAsia="Times New Roman" w:cs="Times New Roman"/>
          <w:noProof/>
        </w:rPr>
        <w:t xml:space="preserve">the </w:t>
      </w:r>
      <w:r w:rsidR="00C80CA9" w:rsidRPr="009235A6">
        <w:rPr>
          <w:rFonts w:eastAsia="Times New Roman" w:cs="Times New Roman"/>
          <w:noProof/>
        </w:rPr>
        <w:t>fine-tun</w:t>
      </w:r>
      <w:r w:rsidR="00B41771">
        <w:rPr>
          <w:rFonts w:eastAsia="Times New Roman" w:cs="Times New Roman"/>
          <w:noProof/>
        </w:rPr>
        <w:t>ing</w:t>
      </w:r>
      <w:r>
        <w:rPr>
          <w:rFonts w:eastAsia="Times New Roman" w:cs="Times New Roman"/>
          <w:noProof/>
        </w:rPr>
        <w:t xml:space="preserve"> </w:t>
      </w:r>
      <w:r w:rsidR="003F31D3">
        <w:rPr>
          <w:rFonts w:eastAsia="Times New Roman" w:cs="Times New Roman"/>
          <w:noProof/>
        </w:rPr>
        <w:t xml:space="preserve">of </w:t>
      </w:r>
      <w:r>
        <w:rPr>
          <w:rFonts w:eastAsia="Times New Roman" w:cs="Times New Roman"/>
          <w:noProof/>
        </w:rPr>
        <w:t>the Regulation</w:t>
      </w:r>
      <w:r w:rsidR="003F31D3">
        <w:rPr>
          <w:rFonts w:eastAsia="Times New Roman" w:cs="Times New Roman"/>
          <w:noProof/>
        </w:rPr>
        <w:t xml:space="preserve"> currently in force</w:t>
      </w:r>
      <w:r>
        <w:rPr>
          <w:rFonts w:eastAsia="Times New Roman" w:cs="Times New Roman"/>
          <w:noProof/>
        </w:rPr>
        <w:t>, its</w:t>
      </w:r>
      <w:r w:rsidR="00C80CA9" w:rsidRPr="009235A6">
        <w:rPr>
          <w:rFonts w:eastAsia="Times New Roman" w:cs="Times New Roman"/>
          <w:noProof/>
        </w:rPr>
        <w:t xml:space="preserve"> original objectives as listed in section </w:t>
      </w:r>
      <w:r w:rsidR="00C9056E">
        <w:rPr>
          <w:rFonts w:eastAsia="Times New Roman" w:cs="Times New Roman"/>
          <w:noProof/>
        </w:rPr>
        <w:t>1.3</w:t>
      </w:r>
      <w:r w:rsidR="00C80CA9" w:rsidRPr="009235A6">
        <w:rPr>
          <w:rFonts w:eastAsia="Times New Roman" w:cs="Times New Roman"/>
          <w:noProof/>
        </w:rPr>
        <w:t xml:space="preserve"> remain valid. The only exception is the </w:t>
      </w:r>
      <w:r w:rsidR="00867B41">
        <w:rPr>
          <w:rFonts w:eastAsia="Times New Roman" w:cs="Times New Roman"/>
          <w:noProof/>
        </w:rPr>
        <w:t>original</w:t>
      </w:r>
      <w:r w:rsidR="00C80CA9" w:rsidRPr="009235A6">
        <w:rPr>
          <w:rFonts w:eastAsia="Times New Roman" w:cs="Times New Roman"/>
          <w:noProof/>
        </w:rPr>
        <w:t xml:space="preserve"> objective to facilitate reaching an international agreement</w:t>
      </w:r>
      <w:r w:rsidR="00867B41">
        <w:rPr>
          <w:rFonts w:eastAsia="Times New Roman" w:cs="Times New Roman"/>
          <w:noProof/>
        </w:rPr>
        <w:t>. Since this</w:t>
      </w:r>
      <w:r w:rsidR="00C80CA9" w:rsidRPr="009235A6">
        <w:rPr>
          <w:rFonts w:eastAsia="Times New Roman" w:cs="Times New Roman"/>
          <w:noProof/>
        </w:rPr>
        <w:t xml:space="preserve"> </w:t>
      </w:r>
      <w:r w:rsidR="002D11B4">
        <w:rPr>
          <w:rFonts w:eastAsia="Times New Roman" w:cs="Times New Roman"/>
          <w:noProof/>
        </w:rPr>
        <w:t>was</w:t>
      </w:r>
      <w:r w:rsidR="00C80CA9" w:rsidRPr="009235A6">
        <w:rPr>
          <w:rFonts w:eastAsia="Times New Roman" w:cs="Times New Roman"/>
          <w:noProof/>
        </w:rPr>
        <w:t xml:space="preserve"> achieved </w:t>
      </w:r>
      <w:r w:rsidR="002D11B4">
        <w:rPr>
          <w:rFonts w:eastAsia="Times New Roman" w:cs="Times New Roman"/>
          <w:noProof/>
        </w:rPr>
        <w:t>in 2016</w:t>
      </w:r>
      <w:r w:rsidR="00C9056E">
        <w:rPr>
          <w:rFonts w:eastAsia="Times New Roman" w:cs="Times New Roman"/>
          <w:noProof/>
        </w:rPr>
        <w:t xml:space="preserve"> (see 1.1)</w:t>
      </w:r>
      <w:r w:rsidR="003F31D3">
        <w:rPr>
          <w:rFonts w:eastAsia="Times New Roman" w:cs="Times New Roman"/>
          <w:noProof/>
        </w:rPr>
        <w:t>,</w:t>
      </w:r>
      <w:r w:rsidR="002D11B4">
        <w:rPr>
          <w:rFonts w:eastAsia="Times New Roman" w:cs="Times New Roman"/>
          <w:noProof/>
        </w:rPr>
        <w:t xml:space="preserve"> </w:t>
      </w:r>
      <w:r w:rsidR="003F31D3">
        <w:rPr>
          <w:rFonts w:eastAsia="Times New Roman" w:cs="Times New Roman"/>
          <w:noProof/>
        </w:rPr>
        <w:t>that objective</w:t>
      </w:r>
      <w:r w:rsidR="00C80CA9" w:rsidRPr="009235A6">
        <w:rPr>
          <w:rFonts w:eastAsia="Times New Roman" w:cs="Times New Roman"/>
          <w:noProof/>
        </w:rPr>
        <w:t xml:space="preserve"> has become obsolete. </w:t>
      </w:r>
      <w:r w:rsidR="00867B41">
        <w:rPr>
          <w:rFonts w:eastAsia="Times New Roman" w:cs="Times New Roman"/>
          <w:noProof/>
        </w:rPr>
        <w:t>Instead</w:t>
      </w:r>
      <w:r w:rsidR="00C80CA9" w:rsidRPr="009235A6">
        <w:rPr>
          <w:rFonts w:eastAsia="Times New Roman" w:cs="Times New Roman"/>
          <w:noProof/>
        </w:rPr>
        <w:t>, the Regulation must now aim to ensure compliance with th</w:t>
      </w:r>
      <w:r w:rsidR="00867B41">
        <w:rPr>
          <w:rFonts w:eastAsia="Times New Roman" w:cs="Times New Roman"/>
          <w:noProof/>
        </w:rPr>
        <w:t>ose</w:t>
      </w:r>
      <w:r w:rsidR="00C80CA9" w:rsidRPr="009235A6">
        <w:rPr>
          <w:rFonts w:eastAsia="Times New Roman" w:cs="Times New Roman"/>
          <w:noProof/>
        </w:rPr>
        <w:t xml:space="preserve"> new international rules (objective B above).</w:t>
      </w:r>
    </w:p>
    <w:p w14:paraId="5C15DEE1" w14:textId="758AC9C7" w:rsidR="00710BEF" w:rsidRDefault="00710BEF" w:rsidP="00983F22">
      <w:pPr>
        <w:tabs>
          <w:tab w:val="left" w:pos="2302"/>
        </w:tabs>
        <w:spacing w:after="120"/>
        <w:rPr>
          <w:rFonts w:cs="Times New Roman"/>
          <w:noProof/>
        </w:rPr>
      </w:pPr>
      <w:r w:rsidRPr="00983F22">
        <w:rPr>
          <w:rFonts w:eastAsia="Times New Roman" w:cs="Times New Roman"/>
          <w:noProof/>
        </w:rPr>
        <w:t xml:space="preserve">In the public consultation, stakeholders were asked to what extent they agreed to the first three review objectives on a scale from 1 (fully agree) to 5 (strongly disagree). The objective </w:t>
      </w:r>
      <w:r w:rsidRPr="00983F22">
        <w:rPr>
          <w:rFonts w:eastAsia="Times New Roman" w:cs="Times New Roman"/>
          <w:i/>
          <w:noProof/>
        </w:rPr>
        <w:t>improving</w:t>
      </w:r>
      <w:r w:rsidRPr="00983F22">
        <w:rPr>
          <w:rFonts w:eastAsia="Times New Roman" w:cs="Times New Roman"/>
          <w:noProof/>
        </w:rPr>
        <w:t xml:space="preserve"> </w:t>
      </w:r>
      <w:r w:rsidRPr="00983F22">
        <w:rPr>
          <w:rFonts w:eastAsia="Times New Roman" w:cs="Times New Roman"/>
          <w:i/>
          <w:noProof/>
        </w:rPr>
        <w:t>implementation and enforcement</w:t>
      </w:r>
      <w:r w:rsidRPr="00983F22">
        <w:rPr>
          <w:rFonts w:eastAsia="Times New Roman" w:cs="Times New Roman"/>
          <w:noProof/>
        </w:rPr>
        <w:t>, was seen as the most relevant with an average response of 1.6. This was followed by the objective</w:t>
      </w:r>
      <w:r>
        <w:rPr>
          <w:rFonts w:eastAsia="Times New Roman" w:cs="Times New Roman"/>
          <w:noProof/>
        </w:rPr>
        <w:t xml:space="preserve"> to </w:t>
      </w:r>
      <w:r w:rsidRPr="00983F22">
        <w:rPr>
          <w:rFonts w:eastAsia="Times New Roman" w:cs="Times New Roman"/>
          <w:i/>
          <w:noProof/>
        </w:rPr>
        <w:t>ensure EU long-term compliance with Montreal Protocol</w:t>
      </w:r>
      <w:r w:rsidRPr="00983F22">
        <w:rPr>
          <w:rFonts w:eastAsia="Times New Roman" w:cs="Times New Roman"/>
          <w:noProof/>
        </w:rPr>
        <w:t xml:space="preserve"> (with an average response of 1.8). The objective to </w:t>
      </w:r>
      <w:r w:rsidRPr="00983F22">
        <w:rPr>
          <w:rFonts w:eastAsia="Times New Roman" w:cs="Times New Roman"/>
          <w:i/>
          <w:noProof/>
        </w:rPr>
        <w:t>raise ambition in light of the Green Deal and technological progress</w:t>
      </w:r>
      <w:r w:rsidRPr="00983F22">
        <w:rPr>
          <w:rFonts w:eastAsia="Times New Roman" w:cs="Times New Roman"/>
          <w:noProof/>
        </w:rPr>
        <w:t xml:space="preserve"> was also </w:t>
      </w:r>
      <w:r w:rsidR="00983F22">
        <w:rPr>
          <w:rFonts w:eastAsia="Times New Roman" w:cs="Times New Roman"/>
          <w:noProof/>
        </w:rPr>
        <w:t xml:space="preserve">generally </w:t>
      </w:r>
      <w:r w:rsidRPr="00983F22">
        <w:rPr>
          <w:rFonts w:eastAsia="Times New Roman" w:cs="Times New Roman"/>
          <w:noProof/>
        </w:rPr>
        <w:t>su</w:t>
      </w:r>
      <w:r w:rsidR="00983F22">
        <w:rPr>
          <w:rFonts w:eastAsia="Times New Roman" w:cs="Times New Roman"/>
          <w:noProof/>
        </w:rPr>
        <w:t>pported,</w:t>
      </w:r>
      <w:r w:rsidRPr="00983F22">
        <w:rPr>
          <w:rFonts w:eastAsia="Times New Roman" w:cs="Times New Roman"/>
          <w:noProof/>
        </w:rPr>
        <w:t xml:space="preserve"> albeit to a slightly lower degree (an average response of 2.2)</w:t>
      </w:r>
      <w:r w:rsidR="00B06D5A">
        <w:rPr>
          <w:rFonts w:eastAsia="Times New Roman" w:cs="Times New Roman"/>
          <w:noProof/>
        </w:rPr>
        <w:t xml:space="preserve">, with </w:t>
      </w:r>
      <w:r w:rsidR="00B41771">
        <w:rPr>
          <w:rFonts w:eastAsia="Times New Roman" w:cs="Times New Roman"/>
          <w:noProof/>
        </w:rPr>
        <w:t xml:space="preserve">some industry </w:t>
      </w:r>
      <w:r w:rsidR="00C9056E">
        <w:rPr>
          <w:rFonts w:eastAsia="Times New Roman" w:cs="Times New Roman"/>
          <w:noProof/>
        </w:rPr>
        <w:t>organisations commenting</w:t>
      </w:r>
      <w:r w:rsidRPr="00983F22">
        <w:rPr>
          <w:rFonts w:eastAsia="Times New Roman" w:cs="Times New Roman"/>
          <w:noProof/>
        </w:rPr>
        <w:t xml:space="preserve"> that the key focus need</w:t>
      </w:r>
      <w:r w:rsidR="00983F22">
        <w:rPr>
          <w:rFonts w:eastAsia="Times New Roman" w:cs="Times New Roman"/>
          <w:noProof/>
        </w:rPr>
        <w:t>ed</w:t>
      </w:r>
      <w:r w:rsidRPr="00983F22">
        <w:rPr>
          <w:rFonts w:eastAsia="Times New Roman" w:cs="Times New Roman"/>
          <w:noProof/>
        </w:rPr>
        <w:t xml:space="preserve"> to be on improving implementation and enforcement while aligning with the Montreal Protocol in case </w:t>
      </w:r>
      <w:r w:rsidR="00983F22">
        <w:rPr>
          <w:rFonts w:eastAsia="Times New Roman" w:cs="Times New Roman"/>
          <w:noProof/>
        </w:rPr>
        <w:t xml:space="preserve">where </w:t>
      </w:r>
      <w:r w:rsidRPr="00983F22">
        <w:rPr>
          <w:rFonts w:eastAsia="Times New Roman" w:cs="Times New Roman"/>
          <w:noProof/>
        </w:rPr>
        <w:t xml:space="preserve">such alignment is necessary. </w:t>
      </w:r>
      <w:r w:rsidR="00983F22">
        <w:rPr>
          <w:rFonts w:eastAsia="Times New Roman" w:cs="Times New Roman"/>
          <w:noProof/>
        </w:rPr>
        <w:t xml:space="preserve">The same organisations added that </w:t>
      </w:r>
      <w:r w:rsidR="00983F22" w:rsidRPr="00983F22">
        <w:rPr>
          <w:rFonts w:eastAsia="Times New Roman" w:cs="Times New Roman"/>
          <w:noProof/>
        </w:rPr>
        <w:t>the Regulation does not need to be aligned "downwards</w:t>
      </w:r>
      <w:r w:rsidR="00983F22" w:rsidRPr="00964094">
        <w:rPr>
          <w:noProof/>
        </w:rPr>
        <w:t>"</w:t>
      </w:r>
      <w:r w:rsidR="00983F22">
        <w:rPr>
          <w:noProof/>
        </w:rPr>
        <w:t xml:space="preserve"> </w:t>
      </w:r>
      <w:r w:rsidR="00983F22">
        <w:rPr>
          <w:rFonts w:eastAsia="Times New Roman" w:cs="Times New Roman"/>
          <w:noProof/>
        </w:rPr>
        <w:t>in case</w:t>
      </w:r>
      <w:r w:rsidRPr="00983F22">
        <w:rPr>
          <w:rFonts w:eastAsia="Times New Roman" w:cs="Times New Roman"/>
          <w:noProof/>
        </w:rPr>
        <w:t xml:space="preserve"> in-depth analysis </w:t>
      </w:r>
      <w:r w:rsidR="00983F22">
        <w:rPr>
          <w:rFonts w:eastAsia="Times New Roman" w:cs="Times New Roman"/>
          <w:noProof/>
        </w:rPr>
        <w:t>would reveal</w:t>
      </w:r>
      <w:r w:rsidRPr="00983F22">
        <w:rPr>
          <w:rFonts w:eastAsia="Times New Roman" w:cs="Times New Roman"/>
          <w:noProof/>
        </w:rPr>
        <w:t xml:space="preserve"> that the Regulation is more ambitious than the Kigali </w:t>
      </w:r>
      <w:r w:rsidR="00983F22">
        <w:rPr>
          <w:rFonts w:eastAsia="Times New Roman" w:cs="Times New Roman"/>
          <w:noProof/>
        </w:rPr>
        <w:t>Amendment.</w:t>
      </w:r>
    </w:p>
    <w:p w14:paraId="6A5D5487" w14:textId="5970FCA6" w:rsidR="00A14107" w:rsidRPr="00A14107" w:rsidRDefault="00E04F0C" w:rsidP="00E04F0C">
      <w:pPr>
        <w:pStyle w:val="Heading1"/>
        <w:rPr>
          <w:noProof/>
        </w:rPr>
      </w:pPr>
      <w:bookmarkStart w:id="118" w:name="_Toc71559403"/>
      <w:bookmarkStart w:id="119" w:name="_Toc71707008"/>
      <w:bookmarkStart w:id="120" w:name="_Toc71708218"/>
      <w:bookmarkStart w:id="121" w:name="_Toc71710950"/>
      <w:bookmarkStart w:id="122" w:name="_Toc72399352"/>
      <w:bookmarkStart w:id="123" w:name="_Toc88571910"/>
      <w:bookmarkStart w:id="124" w:name="_Toc94629503"/>
      <w:bookmarkStart w:id="125" w:name="_Toc98857747"/>
      <w:r w:rsidRPr="00E04F0C">
        <w:t>5.</w:t>
      </w:r>
      <w:r w:rsidRPr="00E04F0C">
        <w:tab/>
      </w:r>
      <w:r w:rsidR="3982CBDC">
        <w:rPr>
          <w:noProof/>
        </w:rPr>
        <w:t>What are the available policy options?</w:t>
      </w:r>
      <w:bookmarkEnd w:id="118"/>
      <w:bookmarkEnd w:id="119"/>
      <w:bookmarkEnd w:id="120"/>
      <w:bookmarkEnd w:id="121"/>
      <w:bookmarkEnd w:id="122"/>
      <w:bookmarkEnd w:id="123"/>
      <w:bookmarkEnd w:id="124"/>
      <w:bookmarkEnd w:id="125"/>
    </w:p>
    <w:p w14:paraId="1980AD44" w14:textId="2CB93D4A" w:rsidR="00A14107" w:rsidRPr="00E66EFA" w:rsidRDefault="00E04F0C" w:rsidP="00E04F0C">
      <w:pPr>
        <w:pStyle w:val="Heading2"/>
        <w:rPr>
          <w:noProof/>
        </w:rPr>
      </w:pPr>
      <w:bookmarkStart w:id="126" w:name="_Toc71559404"/>
      <w:bookmarkStart w:id="127" w:name="_Toc71707009"/>
      <w:bookmarkStart w:id="128" w:name="_Toc71708219"/>
      <w:bookmarkStart w:id="129" w:name="_Toc71710951"/>
      <w:bookmarkStart w:id="130" w:name="_Toc72399353"/>
      <w:bookmarkStart w:id="131" w:name="_Toc88571911"/>
      <w:bookmarkStart w:id="132" w:name="_Toc94629504"/>
      <w:bookmarkStart w:id="133" w:name="_Toc98857748"/>
      <w:r w:rsidRPr="00E04F0C">
        <w:t>5.1.</w:t>
      </w:r>
      <w:r w:rsidRPr="00E04F0C">
        <w:tab/>
      </w:r>
      <w:r w:rsidR="3982CBDC">
        <w:rPr>
          <w:noProof/>
        </w:rPr>
        <w:t>What is the baseline from which options are assessed?</w:t>
      </w:r>
      <w:bookmarkEnd w:id="126"/>
      <w:bookmarkEnd w:id="127"/>
      <w:bookmarkEnd w:id="128"/>
      <w:bookmarkEnd w:id="129"/>
      <w:bookmarkEnd w:id="130"/>
      <w:bookmarkEnd w:id="131"/>
      <w:bookmarkEnd w:id="132"/>
      <w:bookmarkEnd w:id="133"/>
    </w:p>
    <w:p w14:paraId="103290F3" w14:textId="615E8ABE" w:rsidR="009218BB" w:rsidRDefault="3982CBDC" w:rsidP="006F1FFB">
      <w:pPr>
        <w:tabs>
          <w:tab w:val="left" w:pos="2302"/>
        </w:tabs>
        <w:spacing w:after="120"/>
        <w:rPr>
          <w:noProof/>
        </w:rPr>
      </w:pPr>
      <w:r w:rsidRPr="3982CBDC">
        <w:rPr>
          <w:rFonts w:eastAsia="Times New Roman" w:cs="Times New Roman"/>
          <w:noProof/>
        </w:rPr>
        <w:t>The baseline, against which policy options are assessed, assumes that the Regulation remain</w:t>
      </w:r>
      <w:r w:rsidR="009C7D99">
        <w:rPr>
          <w:rFonts w:eastAsia="Times New Roman" w:cs="Times New Roman"/>
          <w:noProof/>
        </w:rPr>
        <w:t>s</w:t>
      </w:r>
      <w:r w:rsidRPr="3982CBDC">
        <w:rPr>
          <w:rFonts w:eastAsia="Times New Roman" w:cs="Times New Roman"/>
          <w:noProof/>
        </w:rPr>
        <w:t xml:space="preserve"> in place unchanged. </w:t>
      </w:r>
      <w:r w:rsidR="006F1FFB">
        <w:rPr>
          <w:noProof/>
        </w:rPr>
        <w:t xml:space="preserve">The </w:t>
      </w:r>
      <w:r w:rsidR="00E9190D" w:rsidRPr="00E9190D">
        <w:rPr>
          <w:b/>
          <w:noProof/>
        </w:rPr>
        <w:t xml:space="preserve">demand for F-gases </w:t>
      </w:r>
      <w:r w:rsidR="00E9190D">
        <w:rPr>
          <w:b/>
          <w:noProof/>
        </w:rPr>
        <w:t>(</w:t>
      </w:r>
      <w:r w:rsidR="00E9190D" w:rsidRPr="00E9190D">
        <w:rPr>
          <w:b/>
          <w:noProof/>
        </w:rPr>
        <w:t xml:space="preserve">and their </w:t>
      </w:r>
      <w:r w:rsidR="009218BB">
        <w:rPr>
          <w:b/>
          <w:noProof/>
        </w:rPr>
        <w:t xml:space="preserve">resulting </w:t>
      </w:r>
      <w:r w:rsidR="006F1FFB" w:rsidRPr="00E9190D">
        <w:rPr>
          <w:b/>
          <w:noProof/>
        </w:rPr>
        <w:t>emissions</w:t>
      </w:r>
      <w:r w:rsidR="00E9190D">
        <w:rPr>
          <w:b/>
          <w:noProof/>
        </w:rPr>
        <w:t>)</w:t>
      </w:r>
      <w:r w:rsidR="006F1FFB" w:rsidRPr="0071174E">
        <w:rPr>
          <w:b/>
          <w:noProof/>
        </w:rPr>
        <w:t xml:space="preserve"> are modelled taking into account </w:t>
      </w:r>
      <w:r w:rsidR="009218BB">
        <w:rPr>
          <w:b/>
          <w:noProof/>
        </w:rPr>
        <w:t xml:space="preserve">the existing F-gas using applications, their </w:t>
      </w:r>
      <w:r w:rsidR="0071174E">
        <w:rPr>
          <w:b/>
          <w:noProof/>
        </w:rPr>
        <w:t xml:space="preserve">emissions rates and the amount and type of F-gas used </w:t>
      </w:r>
      <w:r w:rsidR="006F1B53" w:rsidRPr="00662704">
        <w:rPr>
          <w:noProof/>
        </w:rPr>
        <w:t xml:space="preserve">(see </w:t>
      </w:r>
      <w:r w:rsidR="00700980" w:rsidRPr="00662704">
        <w:rPr>
          <w:noProof/>
        </w:rPr>
        <w:t xml:space="preserve">section 6 </w:t>
      </w:r>
      <w:r w:rsidR="006F1B53" w:rsidRPr="00662704">
        <w:rPr>
          <w:noProof/>
        </w:rPr>
        <w:t xml:space="preserve">and </w:t>
      </w:r>
      <w:r w:rsidR="00C6054C" w:rsidRPr="00662704">
        <w:rPr>
          <w:noProof/>
        </w:rPr>
        <w:t>Annex</w:t>
      </w:r>
      <w:r w:rsidR="00700980" w:rsidRPr="00662704">
        <w:rPr>
          <w:noProof/>
        </w:rPr>
        <w:t xml:space="preserve"> A4.2.1</w:t>
      </w:r>
      <w:r w:rsidR="00C6054C" w:rsidRPr="00662704">
        <w:rPr>
          <w:noProof/>
        </w:rPr>
        <w:t>)</w:t>
      </w:r>
      <w:r w:rsidR="006F1FFB" w:rsidRPr="00700980">
        <w:rPr>
          <w:noProof/>
        </w:rPr>
        <w:t>.</w:t>
      </w:r>
      <w:r w:rsidR="006F1FFB">
        <w:rPr>
          <w:noProof/>
        </w:rPr>
        <w:t xml:space="preserve"> </w:t>
      </w:r>
      <w:r w:rsidR="009218BB" w:rsidRPr="006F1B53">
        <w:rPr>
          <w:noProof/>
        </w:rPr>
        <w:t xml:space="preserve">F-gas demand is the sum of quantities of F-gases used in the initial first filling of equipment and the re-filling in the servicing of equipment during its lifetime. Emissions are the sum of emissions of F-gases </w:t>
      </w:r>
      <w:r w:rsidR="009218BB">
        <w:rPr>
          <w:noProof/>
        </w:rPr>
        <w:t xml:space="preserve">lost </w:t>
      </w:r>
      <w:r w:rsidR="009218BB" w:rsidRPr="006F1B53">
        <w:rPr>
          <w:noProof/>
        </w:rPr>
        <w:t>during the lifetime of equipment (lifetime emissions) and F-gases that are released to the atmosphere during disposal of old equipment (disposal emissions).</w:t>
      </w:r>
      <w:r w:rsidR="009218BB">
        <w:rPr>
          <w:rStyle w:val="FootnoteReference"/>
          <w:noProof/>
        </w:rPr>
        <w:footnoteReference w:id="55"/>
      </w:r>
      <w:r w:rsidR="009218BB" w:rsidRPr="006F1B53">
        <w:rPr>
          <w:noProof/>
        </w:rPr>
        <w:t xml:space="preserve"> </w:t>
      </w:r>
    </w:p>
    <w:p w14:paraId="3C8BCD4A" w14:textId="1612444D" w:rsidR="002F38FD" w:rsidRDefault="00B40915" w:rsidP="006F1FFB">
      <w:pPr>
        <w:tabs>
          <w:tab w:val="left" w:pos="2302"/>
        </w:tabs>
        <w:spacing w:after="120"/>
        <w:rPr>
          <w:noProof/>
        </w:rPr>
      </w:pPr>
      <w:r>
        <w:rPr>
          <w:noProof/>
        </w:rPr>
        <w:t>The ongoing review of the ODS Regulation will not affect the F-gas baseline, as the changes envisaged do not affect F-gas use (i</w:t>
      </w:r>
      <w:r w:rsidR="00CE2D95">
        <w:rPr>
          <w:noProof/>
        </w:rPr>
        <w:t>.</w:t>
      </w:r>
      <w:r>
        <w:rPr>
          <w:noProof/>
        </w:rPr>
        <w:t>e. demand; see also section 1.2</w:t>
      </w:r>
      <w:r w:rsidR="00795225">
        <w:rPr>
          <w:noProof/>
        </w:rPr>
        <w:t xml:space="preserve"> and 1.3</w:t>
      </w:r>
      <w:r>
        <w:rPr>
          <w:noProof/>
        </w:rPr>
        <w:t xml:space="preserve">). </w:t>
      </w:r>
      <w:r w:rsidR="0086666B">
        <w:rPr>
          <w:noProof/>
        </w:rPr>
        <w:t>As regards</w:t>
      </w:r>
      <w:r w:rsidR="00DC1DF1">
        <w:rPr>
          <w:noProof/>
        </w:rPr>
        <w:t xml:space="preserve"> the </w:t>
      </w:r>
      <w:r w:rsidR="0086666B">
        <w:rPr>
          <w:noProof/>
        </w:rPr>
        <w:t xml:space="preserve">proposed higher </w:t>
      </w:r>
      <w:r w:rsidR="00D72019">
        <w:rPr>
          <w:noProof/>
        </w:rPr>
        <w:t>ESR</w:t>
      </w:r>
      <w:r w:rsidR="0086666B">
        <w:rPr>
          <w:noProof/>
        </w:rPr>
        <w:t xml:space="preserve"> targets for </w:t>
      </w:r>
      <w:r w:rsidR="00DC1DF1">
        <w:rPr>
          <w:noProof/>
        </w:rPr>
        <w:t xml:space="preserve">Member States, </w:t>
      </w:r>
      <w:r w:rsidR="0086666B">
        <w:rPr>
          <w:noProof/>
        </w:rPr>
        <w:t xml:space="preserve">any emission savings that are not achieved by (future) EU legislation, including for F-gases, would have to be picked up by the Member States themselves to achieve their overall GHG target, by taking additional measures </w:t>
      </w:r>
      <w:r w:rsidR="0086666B" w:rsidRPr="0086666B">
        <w:rPr>
          <w:b/>
          <w:noProof/>
        </w:rPr>
        <w:t>in any of the sectors regulated</w:t>
      </w:r>
      <w:r w:rsidR="0086666B">
        <w:rPr>
          <w:noProof/>
        </w:rPr>
        <w:t xml:space="preserve"> by the ESR. </w:t>
      </w:r>
      <w:r w:rsidR="00DD1F72">
        <w:rPr>
          <w:noProof/>
        </w:rPr>
        <w:t>Th</w:t>
      </w:r>
      <w:r w:rsidR="004B42F9">
        <w:rPr>
          <w:noProof/>
        </w:rPr>
        <w:t>is includes</w:t>
      </w:r>
      <w:r w:rsidR="00DC1DF1">
        <w:rPr>
          <w:noProof/>
        </w:rPr>
        <w:t xml:space="preserve"> additional action on F-gases to achieve their overall GHG reduction targets, as they have done in the past (e.g. taxes on HFCs, tax breaks for using alternatives, measures to further encourage better HFC management or waste practices (see A5.4.2.2)).</w:t>
      </w:r>
      <w:r w:rsidR="0071081F">
        <w:rPr>
          <w:noProof/>
        </w:rPr>
        <w:t xml:space="preserve"> </w:t>
      </w:r>
      <w:r w:rsidR="00F13C9A">
        <w:rPr>
          <w:noProof/>
        </w:rPr>
        <w:t xml:space="preserve">Whereas </w:t>
      </w:r>
      <w:r w:rsidR="00E421EA">
        <w:rPr>
          <w:noProof/>
        </w:rPr>
        <w:t>e</w:t>
      </w:r>
      <w:r w:rsidR="00DC1DF1">
        <w:rPr>
          <w:noProof/>
        </w:rPr>
        <w:t xml:space="preserve">xisting </w:t>
      </w:r>
      <w:r w:rsidR="0071081F">
        <w:rPr>
          <w:noProof/>
        </w:rPr>
        <w:t xml:space="preserve">Member State </w:t>
      </w:r>
      <w:r w:rsidR="00E421EA">
        <w:rPr>
          <w:noProof/>
        </w:rPr>
        <w:t xml:space="preserve">F-gas </w:t>
      </w:r>
      <w:r w:rsidR="00DC1DF1">
        <w:rPr>
          <w:noProof/>
        </w:rPr>
        <w:t xml:space="preserve">actions </w:t>
      </w:r>
      <w:r w:rsidR="00E421EA">
        <w:rPr>
          <w:noProof/>
        </w:rPr>
        <w:t xml:space="preserve">already </w:t>
      </w:r>
      <w:r w:rsidR="00DC1DF1">
        <w:rPr>
          <w:noProof/>
        </w:rPr>
        <w:t xml:space="preserve">form part of the </w:t>
      </w:r>
      <w:r w:rsidR="00E421EA">
        <w:rPr>
          <w:noProof/>
        </w:rPr>
        <w:t xml:space="preserve">F-gas </w:t>
      </w:r>
      <w:r w:rsidR="00DC1DF1">
        <w:rPr>
          <w:noProof/>
        </w:rPr>
        <w:t>baseline</w:t>
      </w:r>
      <w:r w:rsidR="00F13C9A">
        <w:rPr>
          <w:noProof/>
        </w:rPr>
        <w:t>,</w:t>
      </w:r>
      <w:r w:rsidR="00E421EA">
        <w:rPr>
          <w:noProof/>
        </w:rPr>
        <w:t xml:space="preserve"> </w:t>
      </w:r>
      <w:r w:rsidR="00F13C9A">
        <w:rPr>
          <w:noProof/>
        </w:rPr>
        <w:t xml:space="preserve">future </w:t>
      </w:r>
      <w:r w:rsidR="00867B41">
        <w:rPr>
          <w:noProof/>
        </w:rPr>
        <w:t xml:space="preserve">F-gas </w:t>
      </w:r>
      <w:r w:rsidR="00DC1DF1">
        <w:rPr>
          <w:noProof/>
        </w:rPr>
        <w:t xml:space="preserve">actions </w:t>
      </w:r>
      <w:r w:rsidR="00AA0118">
        <w:rPr>
          <w:noProof/>
        </w:rPr>
        <w:t xml:space="preserve">at </w:t>
      </w:r>
      <w:r w:rsidR="00DC1DF1">
        <w:rPr>
          <w:noProof/>
        </w:rPr>
        <w:t>Member State</w:t>
      </w:r>
      <w:r w:rsidR="00AA0118">
        <w:rPr>
          <w:noProof/>
        </w:rPr>
        <w:t xml:space="preserve"> level </w:t>
      </w:r>
      <w:r w:rsidR="00DD1F72">
        <w:rPr>
          <w:noProof/>
        </w:rPr>
        <w:t xml:space="preserve">that </w:t>
      </w:r>
      <w:r w:rsidR="00C27B87" w:rsidRPr="00F13C9A">
        <w:rPr>
          <w:b/>
          <w:noProof/>
        </w:rPr>
        <w:t>could</w:t>
      </w:r>
      <w:r w:rsidR="00C27B87">
        <w:rPr>
          <w:noProof/>
        </w:rPr>
        <w:t xml:space="preserve"> increase F-gas </w:t>
      </w:r>
      <w:r w:rsidR="009142FA">
        <w:rPr>
          <w:noProof/>
        </w:rPr>
        <w:t>emission savings in the EU</w:t>
      </w:r>
      <w:r w:rsidR="00DD1F72">
        <w:rPr>
          <w:noProof/>
        </w:rPr>
        <w:t xml:space="preserve"> </w:t>
      </w:r>
      <w:r w:rsidR="00AA0118">
        <w:rPr>
          <w:noProof/>
        </w:rPr>
        <w:t>are not assumed at this stage</w:t>
      </w:r>
      <w:r w:rsidR="00F13C9A">
        <w:rPr>
          <w:noProof/>
        </w:rPr>
        <w:t xml:space="preserve">, </w:t>
      </w:r>
      <w:r w:rsidR="004B42F9">
        <w:rPr>
          <w:noProof/>
        </w:rPr>
        <w:t xml:space="preserve">e.g. </w:t>
      </w:r>
      <w:r w:rsidR="00DD1F72">
        <w:rPr>
          <w:noProof/>
        </w:rPr>
        <w:t xml:space="preserve">measures that </w:t>
      </w:r>
      <w:r w:rsidR="0086666B">
        <w:rPr>
          <w:noProof/>
        </w:rPr>
        <w:t xml:space="preserve">further prevent </w:t>
      </w:r>
      <w:r w:rsidR="00F13C9A">
        <w:rPr>
          <w:noProof/>
        </w:rPr>
        <w:t>emissions at the stage of use or decommissioning of installations</w:t>
      </w:r>
      <w:r w:rsidR="00C27B87">
        <w:rPr>
          <w:noProof/>
        </w:rPr>
        <w:t>.</w:t>
      </w:r>
      <w:r w:rsidR="00DD1F72">
        <w:rPr>
          <w:noProof/>
        </w:rPr>
        <w:t xml:space="preserve"> </w:t>
      </w:r>
      <w:r w:rsidR="00795225">
        <w:rPr>
          <w:noProof/>
        </w:rPr>
        <w:t xml:space="preserve">This is because the degree to which Member States will pursue further action in this policy area in the future is difficult to foresee. It is </w:t>
      </w:r>
      <w:r w:rsidR="00AB467C">
        <w:rPr>
          <w:noProof/>
        </w:rPr>
        <w:t xml:space="preserve">however rather </w:t>
      </w:r>
      <w:r w:rsidR="00795225">
        <w:rPr>
          <w:noProof/>
        </w:rPr>
        <w:t>unlikely that Member States will introduce further sectoral prohibitions</w:t>
      </w:r>
      <w:r w:rsidR="00AB467C">
        <w:rPr>
          <w:noProof/>
        </w:rPr>
        <w:t xml:space="preserve">  or more detail on national reporting rules, while</w:t>
      </w:r>
      <w:r w:rsidR="00795225">
        <w:rPr>
          <w:noProof/>
        </w:rPr>
        <w:t xml:space="preserve"> further action on e.g. waste policies or financial incentiv</w:t>
      </w:r>
      <w:r w:rsidR="00AB467C">
        <w:rPr>
          <w:noProof/>
        </w:rPr>
        <w:t>es for alternatives are probable</w:t>
      </w:r>
      <w:r w:rsidR="00795225">
        <w:rPr>
          <w:noProof/>
        </w:rPr>
        <w:t xml:space="preserve">.  </w:t>
      </w:r>
      <w:r w:rsidR="00843780">
        <w:rPr>
          <w:noProof/>
        </w:rPr>
        <w:t>Furthermore, s</w:t>
      </w:r>
      <w:r w:rsidR="00F13C9A">
        <w:rPr>
          <w:noProof/>
        </w:rPr>
        <w:t xml:space="preserve">ome </w:t>
      </w:r>
      <w:r w:rsidR="00DD1F72">
        <w:rPr>
          <w:noProof/>
        </w:rPr>
        <w:t xml:space="preserve">types of </w:t>
      </w:r>
      <w:r w:rsidR="00C67FE6">
        <w:rPr>
          <w:noProof/>
        </w:rPr>
        <w:t xml:space="preserve">actions </w:t>
      </w:r>
      <w:r w:rsidR="00AB467C">
        <w:rPr>
          <w:noProof/>
        </w:rPr>
        <w:t xml:space="preserve">(e.g. national HFC prohibitions) </w:t>
      </w:r>
      <w:r w:rsidR="00F13C9A">
        <w:rPr>
          <w:noProof/>
        </w:rPr>
        <w:t xml:space="preserve">would not </w:t>
      </w:r>
      <w:r w:rsidR="009142FA">
        <w:rPr>
          <w:noProof/>
        </w:rPr>
        <w:t xml:space="preserve">reduce </w:t>
      </w:r>
      <w:r w:rsidR="00DD1F72">
        <w:rPr>
          <w:noProof/>
        </w:rPr>
        <w:t xml:space="preserve">EU </w:t>
      </w:r>
      <w:r w:rsidR="001D39CC">
        <w:rPr>
          <w:noProof/>
        </w:rPr>
        <w:t xml:space="preserve">F-gas </w:t>
      </w:r>
      <w:r w:rsidR="009142FA">
        <w:rPr>
          <w:noProof/>
        </w:rPr>
        <w:t>emission</w:t>
      </w:r>
      <w:r w:rsidR="00DD1F72">
        <w:rPr>
          <w:noProof/>
        </w:rPr>
        <w:t>s further</w:t>
      </w:r>
      <w:r w:rsidR="009142FA">
        <w:rPr>
          <w:noProof/>
        </w:rPr>
        <w:t>,</w:t>
      </w:r>
      <w:r w:rsidR="00E421EA">
        <w:rPr>
          <w:noProof/>
        </w:rPr>
        <w:t xml:space="preserve"> </w:t>
      </w:r>
      <w:r w:rsidR="00F13C9A">
        <w:rPr>
          <w:noProof/>
        </w:rPr>
        <w:t xml:space="preserve">as they </w:t>
      </w:r>
      <w:r w:rsidR="0086666B">
        <w:rPr>
          <w:noProof/>
        </w:rPr>
        <w:t xml:space="preserve">would </w:t>
      </w:r>
      <w:r w:rsidR="009142FA">
        <w:rPr>
          <w:noProof/>
        </w:rPr>
        <w:t xml:space="preserve">rather tend to </w:t>
      </w:r>
      <w:r w:rsidR="00150288">
        <w:rPr>
          <w:noProof/>
        </w:rPr>
        <w:t xml:space="preserve">shift </w:t>
      </w:r>
      <w:r w:rsidR="00E421EA">
        <w:rPr>
          <w:noProof/>
        </w:rPr>
        <w:t xml:space="preserve">HFC demand and </w:t>
      </w:r>
      <w:r w:rsidR="00C27B87">
        <w:rPr>
          <w:noProof/>
        </w:rPr>
        <w:t xml:space="preserve">emissions </w:t>
      </w:r>
      <w:r w:rsidR="001D39CC">
        <w:rPr>
          <w:noProof/>
        </w:rPr>
        <w:t xml:space="preserve">within the EU </w:t>
      </w:r>
      <w:r w:rsidR="00150288">
        <w:rPr>
          <w:noProof/>
        </w:rPr>
        <w:t xml:space="preserve">and/or </w:t>
      </w:r>
      <w:r w:rsidR="001D39CC">
        <w:rPr>
          <w:noProof/>
        </w:rPr>
        <w:t>between sectors</w:t>
      </w:r>
      <w:r w:rsidR="00150288">
        <w:rPr>
          <w:noProof/>
        </w:rPr>
        <w:t>,</w:t>
      </w:r>
      <w:r w:rsidR="001D39CC">
        <w:rPr>
          <w:noProof/>
        </w:rPr>
        <w:t xml:space="preserve"> given that the EU has one </w:t>
      </w:r>
      <w:r w:rsidR="00DD1F72">
        <w:rPr>
          <w:noProof/>
        </w:rPr>
        <w:t xml:space="preserve">common </w:t>
      </w:r>
      <w:r w:rsidR="00150288">
        <w:rPr>
          <w:noProof/>
        </w:rPr>
        <w:t xml:space="preserve">EU </w:t>
      </w:r>
      <w:r w:rsidR="00DD1F72">
        <w:rPr>
          <w:noProof/>
        </w:rPr>
        <w:t xml:space="preserve">HFC </w:t>
      </w:r>
      <w:r w:rsidR="001D39CC">
        <w:rPr>
          <w:noProof/>
        </w:rPr>
        <w:t xml:space="preserve">quota limit. </w:t>
      </w:r>
      <w:r w:rsidR="00843780">
        <w:rPr>
          <w:noProof/>
        </w:rPr>
        <w:t xml:space="preserve">Finally, </w:t>
      </w:r>
      <w:r w:rsidR="00AB7EC3">
        <w:rPr>
          <w:noProof/>
        </w:rPr>
        <w:t xml:space="preserve">even if Member States are taking </w:t>
      </w:r>
      <w:r w:rsidR="00FC200F">
        <w:rPr>
          <w:noProof/>
        </w:rPr>
        <w:t xml:space="preserve">additional </w:t>
      </w:r>
      <w:r w:rsidR="00AB7EC3">
        <w:rPr>
          <w:noProof/>
        </w:rPr>
        <w:t>new F-gas measures at a later stage</w:t>
      </w:r>
      <w:r w:rsidR="00FC200F">
        <w:rPr>
          <w:noProof/>
        </w:rPr>
        <w:t>,</w:t>
      </w:r>
      <w:r w:rsidR="00AB7EC3">
        <w:rPr>
          <w:noProof/>
        </w:rPr>
        <w:t xml:space="preserve"> th</w:t>
      </w:r>
      <w:r w:rsidR="00FC200F">
        <w:rPr>
          <w:noProof/>
        </w:rPr>
        <w:t>e latter</w:t>
      </w:r>
      <w:r w:rsidR="00AB7EC3">
        <w:rPr>
          <w:noProof/>
        </w:rPr>
        <w:t xml:space="preserve"> are</w:t>
      </w:r>
      <w:r w:rsidR="00EA18ED">
        <w:rPr>
          <w:noProof/>
        </w:rPr>
        <w:t xml:space="preserve"> </w:t>
      </w:r>
      <w:r w:rsidR="00843780">
        <w:rPr>
          <w:noProof/>
        </w:rPr>
        <w:t xml:space="preserve">unlikely to </w:t>
      </w:r>
      <w:r w:rsidR="00EA18ED">
        <w:rPr>
          <w:noProof/>
        </w:rPr>
        <w:t xml:space="preserve">have a </w:t>
      </w:r>
      <w:r w:rsidR="00843780">
        <w:rPr>
          <w:noProof/>
        </w:rPr>
        <w:t xml:space="preserve">decisive </w:t>
      </w:r>
      <w:r w:rsidR="00EA18ED">
        <w:rPr>
          <w:noProof/>
        </w:rPr>
        <w:t xml:space="preserve">impact on the </w:t>
      </w:r>
      <w:r w:rsidR="00AB467C">
        <w:rPr>
          <w:noProof/>
        </w:rPr>
        <w:t xml:space="preserve">effectiveness of the </w:t>
      </w:r>
      <w:r w:rsidR="00843780">
        <w:rPr>
          <w:noProof/>
        </w:rPr>
        <w:t xml:space="preserve">measures </w:t>
      </w:r>
      <w:r w:rsidR="00ED47E0">
        <w:rPr>
          <w:noProof/>
        </w:rPr>
        <w:t xml:space="preserve">chosen </w:t>
      </w:r>
      <w:r w:rsidR="00843780">
        <w:rPr>
          <w:noProof/>
        </w:rPr>
        <w:t>at EU level</w:t>
      </w:r>
      <w:r w:rsidR="00AB7EC3">
        <w:rPr>
          <w:noProof/>
        </w:rPr>
        <w:t>,</w:t>
      </w:r>
      <w:r w:rsidR="00843780">
        <w:rPr>
          <w:noProof/>
        </w:rPr>
        <w:t xml:space="preserve"> </w:t>
      </w:r>
      <w:r w:rsidR="00AB467C">
        <w:rPr>
          <w:noProof/>
        </w:rPr>
        <w:t>given that they would be rather of a complementary, auxiliary nature (</w:t>
      </w:r>
      <w:r w:rsidR="00F854AA">
        <w:rPr>
          <w:noProof/>
        </w:rPr>
        <w:t xml:space="preserve">e.g. </w:t>
      </w:r>
      <w:r w:rsidR="00AB467C">
        <w:rPr>
          <w:noProof/>
        </w:rPr>
        <w:t>incentives, waste</w:t>
      </w:r>
      <w:r w:rsidR="00F854AA">
        <w:rPr>
          <w:noProof/>
        </w:rPr>
        <w:t xml:space="preserve"> policies, market surveillance</w:t>
      </w:r>
      <w:r w:rsidR="00AB467C">
        <w:rPr>
          <w:noProof/>
        </w:rPr>
        <w:t>)</w:t>
      </w:r>
      <w:r w:rsidR="00EA18ED">
        <w:rPr>
          <w:noProof/>
        </w:rPr>
        <w:t>.</w:t>
      </w:r>
    </w:p>
    <w:p w14:paraId="0FDB9DB8" w14:textId="1B03BDBE" w:rsidR="006F1FFB" w:rsidRDefault="006F1FFB" w:rsidP="006F1FFB">
      <w:pPr>
        <w:tabs>
          <w:tab w:val="left" w:pos="2302"/>
        </w:tabs>
        <w:spacing w:after="120"/>
        <w:rPr>
          <w:noProof/>
        </w:rPr>
      </w:pPr>
      <w:r>
        <w:rPr>
          <w:noProof/>
        </w:rPr>
        <w:t xml:space="preserve">Overall demand for F-gases </w:t>
      </w:r>
      <w:r w:rsidR="0071174E">
        <w:rPr>
          <w:noProof/>
        </w:rPr>
        <w:t xml:space="preserve">in tCO2e </w:t>
      </w:r>
      <w:r>
        <w:rPr>
          <w:noProof/>
        </w:rPr>
        <w:t xml:space="preserve">will </w:t>
      </w:r>
      <w:r w:rsidRPr="00B547E1">
        <w:rPr>
          <w:noProof/>
        </w:rPr>
        <w:t>decrease until 2030</w:t>
      </w:r>
      <w:r>
        <w:rPr>
          <w:noProof/>
        </w:rPr>
        <w:t xml:space="preserve"> and increase slightly </w:t>
      </w:r>
      <w:r w:rsidRPr="00B547E1">
        <w:rPr>
          <w:noProof/>
        </w:rPr>
        <w:t>thereafter until 2050</w:t>
      </w:r>
      <w:r>
        <w:rPr>
          <w:noProof/>
        </w:rPr>
        <w:t xml:space="preserve">, see </w:t>
      </w:r>
      <w:r w:rsidRPr="00583FEE">
        <w:rPr>
          <w:rFonts w:cs="Times New Roman"/>
          <w:noProof/>
        </w:rPr>
        <w:fldChar w:fldCharType="begin"/>
      </w:r>
      <w:r w:rsidRPr="00583FEE">
        <w:rPr>
          <w:rFonts w:cs="Times New Roman"/>
          <w:noProof/>
        </w:rPr>
        <w:instrText xml:space="preserve"> REF _Ref80869512 \h  \* MERGEFORMAT </w:instrText>
      </w:r>
      <w:r w:rsidRPr="00583FEE">
        <w:rPr>
          <w:rFonts w:cs="Times New Roman"/>
          <w:noProof/>
        </w:rPr>
      </w:r>
      <w:r w:rsidRPr="00583FEE">
        <w:rPr>
          <w:rFonts w:cs="Times New Roman"/>
          <w:noProof/>
        </w:rPr>
        <w:fldChar w:fldCharType="separate"/>
      </w:r>
      <w:r w:rsidR="00C66A21" w:rsidRPr="00C66A21">
        <w:rPr>
          <w:rFonts w:cs="Times New Roman"/>
          <w:bCs/>
          <w:noProof/>
        </w:rPr>
        <w:t>Figure 1</w:t>
      </w:r>
      <w:r w:rsidRPr="00583FEE">
        <w:rPr>
          <w:rFonts w:cs="Times New Roman"/>
          <w:noProof/>
        </w:rPr>
        <w:fldChar w:fldCharType="end"/>
      </w:r>
      <w:r w:rsidRPr="00B547E1">
        <w:rPr>
          <w:noProof/>
        </w:rPr>
        <w:t>.</w:t>
      </w:r>
      <w:r>
        <w:rPr>
          <w:noProof/>
        </w:rPr>
        <w:t xml:space="preserve"> Th</w:t>
      </w:r>
      <w:r w:rsidR="009C7D99">
        <w:rPr>
          <w:noProof/>
        </w:rPr>
        <w:t xml:space="preserve">is is </w:t>
      </w:r>
      <w:r>
        <w:rPr>
          <w:noProof/>
        </w:rPr>
        <w:t>driven by a decrease in demand for HFCs from 89 MtCO2e in 2020 to 25 MtCO2e</w:t>
      </w:r>
      <w:r w:rsidRPr="00B547E1">
        <w:rPr>
          <w:noProof/>
        </w:rPr>
        <w:t xml:space="preserve"> in 2050, while </w:t>
      </w:r>
      <w:r>
        <w:rPr>
          <w:noProof/>
        </w:rPr>
        <w:t xml:space="preserve">demand for </w:t>
      </w:r>
      <w:r w:rsidRPr="00B547E1">
        <w:rPr>
          <w:noProof/>
        </w:rPr>
        <w:t>SF</w:t>
      </w:r>
      <w:r w:rsidRPr="00FB5433">
        <w:rPr>
          <w:noProof/>
          <w:vertAlign w:val="subscript"/>
        </w:rPr>
        <w:t>6</w:t>
      </w:r>
      <w:r>
        <w:rPr>
          <w:noProof/>
        </w:rPr>
        <w:t xml:space="preserve"> increases from 28 to 48 MtCO2e</w:t>
      </w:r>
      <w:r w:rsidRPr="00B547E1">
        <w:rPr>
          <w:noProof/>
        </w:rPr>
        <w:t xml:space="preserve">. </w:t>
      </w:r>
      <w:r>
        <w:rPr>
          <w:noProof/>
        </w:rPr>
        <w:t>Other F-gases (</w:t>
      </w:r>
      <w:r w:rsidRPr="00B547E1">
        <w:rPr>
          <w:noProof/>
        </w:rPr>
        <w:t>PFCs</w:t>
      </w:r>
      <w:r>
        <w:rPr>
          <w:noProof/>
        </w:rPr>
        <w:t xml:space="preserve">, </w:t>
      </w:r>
      <w:r w:rsidRPr="00B547E1">
        <w:rPr>
          <w:noProof/>
        </w:rPr>
        <w:t>H</w:t>
      </w:r>
      <w:r>
        <w:rPr>
          <w:noProof/>
        </w:rPr>
        <w:t>(C)FO</w:t>
      </w:r>
      <w:r w:rsidRPr="00B547E1">
        <w:rPr>
          <w:noProof/>
        </w:rPr>
        <w:t>s and NF</w:t>
      </w:r>
      <w:r w:rsidRPr="00583FEE">
        <w:rPr>
          <w:noProof/>
          <w:vertAlign w:val="subscript"/>
        </w:rPr>
        <w:t>3</w:t>
      </w:r>
      <w:r>
        <w:rPr>
          <w:rStyle w:val="FootnoteReference"/>
          <w:noProof/>
        </w:rPr>
        <w:footnoteReference w:id="56"/>
      </w:r>
      <w:r>
        <w:rPr>
          <w:noProof/>
        </w:rPr>
        <w:t xml:space="preserve">) </w:t>
      </w:r>
      <w:r w:rsidR="009C7D99">
        <w:rPr>
          <w:noProof/>
        </w:rPr>
        <w:t xml:space="preserve">are only </w:t>
      </w:r>
      <w:r w:rsidRPr="00B547E1">
        <w:rPr>
          <w:noProof/>
        </w:rPr>
        <w:t>co</w:t>
      </w:r>
      <w:r>
        <w:rPr>
          <w:noProof/>
        </w:rPr>
        <w:t>ntributing with less than 1 MtCO2e</w:t>
      </w:r>
      <w:r w:rsidRPr="00B547E1">
        <w:rPr>
          <w:noProof/>
        </w:rPr>
        <w:t xml:space="preserve"> per year.</w:t>
      </w:r>
      <w:r>
        <w:rPr>
          <w:noProof/>
        </w:rPr>
        <w:t xml:space="preserve"> </w:t>
      </w:r>
      <w:r w:rsidR="00771D1A">
        <w:rPr>
          <w:noProof/>
        </w:rPr>
        <w:t xml:space="preserve">The </w:t>
      </w:r>
      <w:r>
        <w:rPr>
          <w:noProof/>
        </w:rPr>
        <w:t xml:space="preserve">HFC demand is </w:t>
      </w:r>
      <w:r w:rsidRPr="00B547E1">
        <w:rPr>
          <w:noProof/>
        </w:rPr>
        <w:t>strong</w:t>
      </w:r>
      <w:r>
        <w:rPr>
          <w:noProof/>
        </w:rPr>
        <w:t xml:space="preserve">ly decreasing in </w:t>
      </w:r>
      <w:r w:rsidRPr="00FE59E5">
        <w:rPr>
          <w:noProof/>
          <w:color w:val="000000" w:themeColor="text1"/>
        </w:rPr>
        <w:t>refrigeration</w:t>
      </w:r>
      <w:r w:rsidRPr="00B547E1">
        <w:rPr>
          <w:noProof/>
        </w:rPr>
        <w:t xml:space="preserve"> equipment</w:t>
      </w:r>
      <w:r>
        <w:rPr>
          <w:noProof/>
        </w:rPr>
        <w:t xml:space="preserve"> (elimination of R404a) and </w:t>
      </w:r>
      <w:r w:rsidR="00771D1A">
        <w:rPr>
          <w:noProof/>
        </w:rPr>
        <w:t xml:space="preserve">in </w:t>
      </w:r>
      <w:r>
        <w:rPr>
          <w:noProof/>
        </w:rPr>
        <w:t>some AC</w:t>
      </w:r>
      <w:r w:rsidR="00366176">
        <w:rPr>
          <w:noProof/>
        </w:rPr>
        <w:t xml:space="preserve"> applications until 2030</w:t>
      </w:r>
      <w:r>
        <w:rPr>
          <w:rStyle w:val="FootnoteReference"/>
          <w:noProof/>
        </w:rPr>
        <w:footnoteReference w:id="57"/>
      </w:r>
      <w:r w:rsidRPr="00B547E1">
        <w:rPr>
          <w:noProof/>
        </w:rPr>
        <w:t xml:space="preserve"> </w:t>
      </w:r>
      <w:r>
        <w:rPr>
          <w:noProof/>
        </w:rPr>
        <w:t>(see</w:t>
      </w:r>
      <w:r w:rsidR="007045CC">
        <w:rPr>
          <w:noProof/>
        </w:rPr>
        <w:t xml:space="preserve"> Annex </w:t>
      </w:r>
      <w:r w:rsidR="00C66A21">
        <w:rPr>
          <w:noProof/>
        </w:rPr>
        <w:t>A11.1.1</w:t>
      </w:r>
      <w:r w:rsidR="003725EF">
        <w:rPr>
          <w:noProof/>
        </w:rPr>
        <w:t>). Climate-</w:t>
      </w:r>
      <w:r>
        <w:rPr>
          <w:noProof/>
        </w:rPr>
        <w:t xml:space="preserve">friendly alternatives to the propellant </w:t>
      </w:r>
      <w:r w:rsidR="009218BB">
        <w:rPr>
          <w:noProof/>
        </w:rPr>
        <w:t xml:space="preserve">used </w:t>
      </w:r>
      <w:r>
        <w:rPr>
          <w:noProof/>
        </w:rPr>
        <w:t>in MDIs are also emerging</w:t>
      </w:r>
      <w:r w:rsidR="009218BB">
        <w:rPr>
          <w:noProof/>
        </w:rPr>
        <w:t>,</w:t>
      </w:r>
      <w:r>
        <w:rPr>
          <w:noProof/>
        </w:rPr>
        <w:t xml:space="preserve"> but industry is expecting a rather slow market uptake</w:t>
      </w:r>
      <w:r w:rsidR="00366176">
        <w:rPr>
          <w:noProof/>
        </w:rPr>
        <w:t>, i.e</w:t>
      </w:r>
      <w:r w:rsidR="006E4970">
        <w:rPr>
          <w:noProof/>
        </w:rPr>
        <w:t>.</w:t>
      </w:r>
      <w:r w:rsidR="00366176">
        <w:rPr>
          <w:noProof/>
        </w:rPr>
        <w:t xml:space="preserve"> only </w:t>
      </w:r>
      <w:r>
        <w:rPr>
          <w:noProof/>
        </w:rPr>
        <w:t>1% in 2026 going to 50% in 2050</w:t>
      </w:r>
      <w:r>
        <w:rPr>
          <w:rStyle w:val="FootnoteReference"/>
          <w:noProof/>
        </w:rPr>
        <w:footnoteReference w:id="58"/>
      </w:r>
      <w:r>
        <w:rPr>
          <w:noProof/>
        </w:rPr>
        <w:t>.</w:t>
      </w:r>
      <w:r w:rsidRPr="00EC70E6">
        <w:rPr>
          <w:noProof/>
        </w:rPr>
        <w:t xml:space="preserve"> </w:t>
      </w:r>
      <w:r>
        <w:rPr>
          <w:noProof/>
        </w:rPr>
        <w:t>The increase in SF</w:t>
      </w:r>
      <w:r w:rsidRPr="009235A6">
        <w:rPr>
          <w:noProof/>
          <w:vertAlign w:val="subscript"/>
        </w:rPr>
        <w:t>6</w:t>
      </w:r>
      <w:r>
        <w:rPr>
          <w:noProof/>
        </w:rPr>
        <w:t xml:space="preserve"> demand is due to a market </w:t>
      </w:r>
      <w:r w:rsidRPr="00B547E1">
        <w:rPr>
          <w:noProof/>
        </w:rPr>
        <w:t>growth of 2 %</w:t>
      </w:r>
      <w:r>
        <w:rPr>
          <w:noProof/>
        </w:rPr>
        <w:t xml:space="preserve"> for electrical equipment</w:t>
      </w:r>
      <w:r w:rsidR="004D6845">
        <w:rPr>
          <w:rStyle w:val="FootnoteReference"/>
          <w:noProof/>
        </w:rPr>
        <w:footnoteReference w:id="59"/>
      </w:r>
      <w:r>
        <w:rPr>
          <w:noProof/>
        </w:rPr>
        <w:t xml:space="preserve"> that continue to use SF</w:t>
      </w:r>
      <w:r w:rsidRPr="009235A6">
        <w:rPr>
          <w:noProof/>
          <w:vertAlign w:val="subscript"/>
        </w:rPr>
        <w:t>6</w:t>
      </w:r>
      <w:r>
        <w:rPr>
          <w:noProof/>
        </w:rPr>
        <w:t>, e.g. for smart grids</w:t>
      </w:r>
      <w:r w:rsidR="00366176">
        <w:rPr>
          <w:noProof/>
        </w:rPr>
        <w:t xml:space="preserve"> and infrastructure for renewable energies</w:t>
      </w:r>
      <w:r w:rsidRPr="00B547E1">
        <w:rPr>
          <w:noProof/>
        </w:rPr>
        <w:t>.</w:t>
      </w:r>
      <w:r>
        <w:rPr>
          <w:noProof/>
        </w:rPr>
        <w:t xml:space="preserve"> O</w:t>
      </w:r>
      <w:r w:rsidRPr="00B547E1">
        <w:rPr>
          <w:noProof/>
        </w:rPr>
        <w:t>ther sectors contribute relatively little to the overall demand</w:t>
      </w:r>
      <w:r>
        <w:rPr>
          <w:noProof/>
        </w:rPr>
        <w:t xml:space="preserve"> after 2023</w:t>
      </w:r>
      <w:r w:rsidR="00771D1A">
        <w:rPr>
          <w:noProof/>
        </w:rPr>
        <w:t>, e.g</w:t>
      </w:r>
      <w:r w:rsidR="006E4970">
        <w:rPr>
          <w:noProof/>
        </w:rPr>
        <w:t>.</w:t>
      </w:r>
      <w:r w:rsidR="00771D1A">
        <w:rPr>
          <w:noProof/>
        </w:rPr>
        <w:t xml:space="preserve"> </w:t>
      </w:r>
      <w:r>
        <w:rPr>
          <w:noProof/>
        </w:rPr>
        <w:t>demand for uses such as foams, fire protection, non-medical propellants a</w:t>
      </w:r>
      <w:r w:rsidR="00366176">
        <w:rPr>
          <w:noProof/>
        </w:rPr>
        <w:t>nd solvents mostly disappears</w:t>
      </w:r>
      <w:r>
        <w:rPr>
          <w:noProof/>
        </w:rPr>
        <w:t>.</w:t>
      </w:r>
    </w:p>
    <w:p w14:paraId="6CE3E147" w14:textId="11E457DD" w:rsidR="00E17094" w:rsidRDefault="00366176" w:rsidP="00E17094">
      <w:pPr>
        <w:tabs>
          <w:tab w:val="left" w:pos="2302"/>
        </w:tabs>
        <w:spacing w:after="120"/>
        <w:rPr>
          <w:noProof/>
        </w:rPr>
      </w:pPr>
      <w:r>
        <w:rPr>
          <w:rFonts w:eastAsia="Times New Roman" w:cs="Times New Roman"/>
          <w:noProof/>
        </w:rPr>
        <w:t>As a result</w:t>
      </w:r>
      <w:r w:rsidR="003725EF">
        <w:rPr>
          <w:rFonts w:eastAsia="Times New Roman" w:cs="Times New Roman"/>
          <w:noProof/>
        </w:rPr>
        <w:t xml:space="preserve"> of these </w:t>
      </w:r>
      <w:r w:rsidR="00D170AF">
        <w:rPr>
          <w:rFonts w:eastAsia="Times New Roman" w:cs="Times New Roman"/>
          <w:noProof/>
        </w:rPr>
        <w:t xml:space="preserve">developments of the </w:t>
      </w:r>
      <w:r w:rsidR="003725EF">
        <w:rPr>
          <w:rFonts w:eastAsia="Times New Roman" w:cs="Times New Roman"/>
          <w:noProof/>
        </w:rPr>
        <w:t>demand</w:t>
      </w:r>
      <w:r>
        <w:rPr>
          <w:rFonts w:eastAsia="Times New Roman" w:cs="Times New Roman"/>
          <w:noProof/>
        </w:rPr>
        <w:t xml:space="preserve">, </w:t>
      </w:r>
      <w:r w:rsidRPr="003725EF">
        <w:rPr>
          <w:rFonts w:eastAsia="Times New Roman" w:cs="Times New Roman"/>
          <w:b/>
          <w:noProof/>
        </w:rPr>
        <w:t>e</w:t>
      </w:r>
      <w:r w:rsidR="000E1AE6" w:rsidRPr="003725EF">
        <w:rPr>
          <w:b/>
          <w:noProof/>
        </w:rPr>
        <w:t xml:space="preserve">missions </w:t>
      </w:r>
      <w:r w:rsidR="006F1FFB" w:rsidRPr="003725EF">
        <w:rPr>
          <w:b/>
          <w:noProof/>
        </w:rPr>
        <w:t xml:space="preserve">will </w:t>
      </w:r>
      <w:r w:rsidR="000E1AE6" w:rsidRPr="003725EF">
        <w:rPr>
          <w:b/>
          <w:noProof/>
        </w:rPr>
        <w:t>decline from 92 MtCO2e in 2020 to 44 in 2030 and 27 MtCO2e in 2050</w:t>
      </w:r>
      <w:r w:rsidR="001E68EB">
        <w:rPr>
          <w:b/>
          <w:noProof/>
        </w:rPr>
        <w:t xml:space="preserve"> </w:t>
      </w:r>
      <w:r w:rsidR="001E68EB" w:rsidRPr="001E68EB">
        <w:rPr>
          <w:noProof/>
        </w:rPr>
        <w:t>(see A11.1.2)</w:t>
      </w:r>
      <w:r w:rsidR="000E1AE6">
        <w:rPr>
          <w:rStyle w:val="FootnoteReference"/>
          <w:noProof/>
        </w:rPr>
        <w:footnoteReference w:id="60"/>
      </w:r>
      <w:r>
        <w:rPr>
          <w:noProof/>
        </w:rPr>
        <w:t>. This is mostly related to</w:t>
      </w:r>
      <w:r w:rsidR="0017644C">
        <w:rPr>
          <w:noProof/>
        </w:rPr>
        <w:t xml:space="preserve"> </w:t>
      </w:r>
      <w:r>
        <w:rPr>
          <w:noProof/>
        </w:rPr>
        <w:t>declining</w:t>
      </w:r>
      <w:r w:rsidR="000E7E12">
        <w:rPr>
          <w:noProof/>
        </w:rPr>
        <w:t xml:space="preserve"> HFC emissions</w:t>
      </w:r>
      <w:r>
        <w:rPr>
          <w:noProof/>
        </w:rPr>
        <w:t xml:space="preserve"> </w:t>
      </w:r>
      <w:r w:rsidR="0097058C">
        <w:rPr>
          <w:noProof/>
        </w:rPr>
        <w:t xml:space="preserve">(highest </w:t>
      </w:r>
      <w:r>
        <w:rPr>
          <w:noProof/>
        </w:rPr>
        <w:t>demand</w:t>
      </w:r>
      <w:r w:rsidR="0097058C">
        <w:rPr>
          <w:noProof/>
        </w:rPr>
        <w:t xml:space="preserve"> decrease)</w:t>
      </w:r>
      <w:r w:rsidR="000E7E12">
        <w:rPr>
          <w:noProof/>
        </w:rPr>
        <w:t xml:space="preserve">, </w:t>
      </w:r>
      <w:r>
        <w:rPr>
          <w:noProof/>
        </w:rPr>
        <w:t xml:space="preserve">while </w:t>
      </w:r>
      <w:r w:rsidR="000E7E12">
        <w:rPr>
          <w:noProof/>
        </w:rPr>
        <w:t>t</w:t>
      </w:r>
      <w:r w:rsidR="0017644C">
        <w:rPr>
          <w:noProof/>
        </w:rPr>
        <w:t xml:space="preserve">he share of </w:t>
      </w:r>
      <w:r w:rsidR="0017644C" w:rsidRPr="00FB5433">
        <w:rPr>
          <w:noProof/>
        </w:rPr>
        <w:t>SF</w:t>
      </w:r>
      <w:r w:rsidR="0017644C" w:rsidRPr="00FB5433">
        <w:rPr>
          <w:noProof/>
          <w:vertAlign w:val="subscript"/>
        </w:rPr>
        <w:t>6</w:t>
      </w:r>
      <w:r w:rsidR="0017644C">
        <w:rPr>
          <w:noProof/>
        </w:rPr>
        <w:t xml:space="preserve"> emissions is growing from 16% to 26</w:t>
      </w:r>
      <w:r w:rsidR="0017644C" w:rsidRPr="00FB5433">
        <w:rPr>
          <w:noProof/>
        </w:rPr>
        <w:t xml:space="preserve">% </w:t>
      </w:r>
      <w:r w:rsidR="0017644C">
        <w:rPr>
          <w:noProof/>
        </w:rPr>
        <w:t>between 2030 and 2050</w:t>
      </w:r>
      <w:r w:rsidR="009F6C90">
        <w:rPr>
          <w:noProof/>
        </w:rPr>
        <w:t xml:space="preserve"> (even if there is also a decline in absolute quantities, 7MtCO2e (2030) and 5 MtCO2e (2050))</w:t>
      </w:r>
      <w:r w:rsidR="0017644C">
        <w:rPr>
          <w:noProof/>
        </w:rPr>
        <w:t>.</w:t>
      </w:r>
      <w:r w:rsidR="000E7E12">
        <w:rPr>
          <w:noProof/>
        </w:rPr>
        <w:t xml:space="preserve"> </w:t>
      </w:r>
      <w:r w:rsidR="006F1FFB">
        <w:rPr>
          <w:noProof/>
        </w:rPr>
        <w:t>As regards SF</w:t>
      </w:r>
      <w:r w:rsidR="006F1FFB" w:rsidRPr="009235A6">
        <w:rPr>
          <w:noProof/>
          <w:vertAlign w:val="subscript"/>
        </w:rPr>
        <w:t>6</w:t>
      </w:r>
      <w:r w:rsidR="006F1FFB">
        <w:rPr>
          <w:noProof/>
        </w:rPr>
        <w:t xml:space="preserve"> emissions, the electrical transmission industry</w:t>
      </w:r>
      <w:r w:rsidR="00E17094">
        <w:rPr>
          <w:noProof/>
        </w:rPr>
        <w:t xml:space="preserve"> </w:t>
      </w:r>
      <w:r w:rsidR="006F1FFB">
        <w:rPr>
          <w:noProof/>
        </w:rPr>
        <w:t>inform</w:t>
      </w:r>
      <w:r w:rsidR="003B4671">
        <w:rPr>
          <w:noProof/>
        </w:rPr>
        <w:t>s</w:t>
      </w:r>
      <w:r>
        <w:rPr>
          <w:noProof/>
        </w:rPr>
        <w:t xml:space="preserve"> </w:t>
      </w:r>
      <w:r w:rsidR="00E17094">
        <w:rPr>
          <w:noProof/>
        </w:rPr>
        <w:t>that losses are low and thus emissions are assumed to be relatively low (</w:t>
      </w:r>
      <w:r w:rsidR="006F1FFB">
        <w:rPr>
          <w:noProof/>
        </w:rPr>
        <w:t xml:space="preserve">EU-wide </w:t>
      </w:r>
      <w:r w:rsidR="00E17094">
        <w:rPr>
          <w:noProof/>
        </w:rPr>
        <w:t xml:space="preserve">monitoring data </w:t>
      </w:r>
      <w:r w:rsidR="003F31D3">
        <w:rPr>
          <w:noProof/>
        </w:rPr>
        <w:t>are</w:t>
      </w:r>
      <w:r w:rsidR="00E17094">
        <w:rPr>
          <w:noProof/>
        </w:rPr>
        <w:t xml:space="preserve"> not available). There </w:t>
      </w:r>
      <w:r w:rsidR="00E17094" w:rsidRPr="0077178F">
        <w:rPr>
          <w:noProof/>
        </w:rPr>
        <w:t xml:space="preserve">are </w:t>
      </w:r>
      <w:r w:rsidR="00E17094">
        <w:rPr>
          <w:noProof/>
        </w:rPr>
        <w:t>also some persisting</w:t>
      </w:r>
      <w:r w:rsidR="00E17094" w:rsidRPr="0077178F">
        <w:rPr>
          <w:noProof/>
        </w:rPr>
        <w:t xml:space="preserve"> legacy emissions</w:t>
      </w:r>
      <w:r w:rsidR="00E17094">
        <w:rPr>
          <w:noProof/>
        </w:rPr>
        <w:t xml:space="preserve"> of SF</w:t>
      </w:r>
      <w:r w:rsidR="00E17094">
        <w:rPr>
          <w:noProof/>
          <w:vertAlign w:val="subscript"/>
        </w:rPr>
        <w:t>6</w:t>
      </w:r>
      <w:r w:rsidR="00E17094">
        <w:rPr>
          <w:noProof/>
        </w:rPr>
        <w:t xml:space="preserve"> </w:t>
      </w:r>
      <w:r w:rsidR="00E17094" w:rsidRPr="0077178F">
        <w:rPr>
          <w:noProof/>
        </w:rPr>
        <w:t>(from windows</w:t>
      </w:r>
      <w:r w:rsidR="00E17094" w:rsidRPr="0077178F">
        <w:rPr>
          <w:rStyle w:val="FootnoteReference"/>
          <w:noProof/>
        </w:rPr>
        <w:footnoteReference w:id="61"/>
      </w:r>
      <w:r w:rsidR="00E17094">
        <w:rPr>
          <w:noProof/>
        </w:rPr>
        <w:t>, etc.</w:t>
      </w:r>
      <w:r w:rsidR="00E17094" w:rsidRPr="0077178F">
        <w:rPr>
          <w:noProof/>
        </w:rPr>
        <w:t>)</w:t>
      </w:r>
      <w:r w:rsidR="00E17094">
        <w:rPr>
          <w:noProof/>
        </w:rPr>
        <w:t>, other SF</w:t>
      </w:r>
      <w:r w:rsidR="00E17094">
        <w:rPr>
          <w:noProof/>
          <w:vertAlign w:val="subscript"/>
        </w:rPr>
        <w:t xml:space="preserve">6 </w:t>
      </w:r>
      <w:r w:rsidR="00E17094">
        <w:rPr>
          <w:noProof/>
        </w:rPr>
        <w:t xml:space="preserve">uses and F-gas losses from production (by-production and fugitive emissions). Due to the long lifetimes of insulation foams in buildings (e.g. 50 years), emissions of end-of-life losses when these foams are broken down or landfilled are expected </w:t>
      </w:r>
      <w:r>
        <w:rPr>
          <w:noProof/>
        </w:rPr>
        <w:t xml:space="preserve">to </w:t>
      </w:r>
      <w:r w:rsidR="00E17094">
        <w:rPr>
          <w:noProof/>
        </w:rPr>
        <w:t>pick up after 2050.</w:t>
      </w:r>
      <w:r w:rsidR="00E17094">
        <w:rPr>
          <w:rStyle w:val="FootnoteReference"/>
          <w:noProof/>
        </w:rPr>
        <w:footnoteReference w:id="62"/>
      </w:r>
    </w:p>
    <w:p w14:paraId="23DC9600" w14:textId="52D3B571" w:rsidR="00E9190D" w:rsidRPr="006F1FFB" w:rsidRDefault="00E9190D" w:rsidP="00E17094">
      <w:pPr>
        <w:tabs>
          <w:tab w:val="left" w:pos="2302"/>
        </w:tabs>
        <w:spacing w:after="120"/>
        <w:rPr>
          <w:rFonts w:eastAsia="Times New Roman" w:cs="Times New Roman"/>
          <w:noProof/>
        </w:rPr>
      </w:pPr>
      <w:r w:rsidRPr="00E9190D">
        <w:rPr>
          <w:rFonts w:eastAsia="Times New Roman" w:cs="Times New Roman"/>
          <w:noProof/>
        </w:rPr>
        <w:t xml:space="preserve">The total annual </w:t>
      </w:r>
      <w:r w:rsidRPr="00E9190D">
        <w:rPr>
          <w:rFonts w:eastAsia="Times New Roman" w:cs="Times New Roman"/>
          <w:b/>
          <w:noProof/>
        </w:rPr>
        <w:t>cost of</w:t>
      </w:r>
      <w:r w:rsidRPr="00E9190D">
        <w:rPr>
          <w:rFonts w:eastAsia="Times New Roman" w:cs="Times New Roman"/>
          <w:noProof/>
        </w:rPr>
        <w:t xml:space="preserve"> </w:t>
      </w:r>
      <w:r w:rsidRPr="00E9190D">
        <w:rPr>
          <w:rFonts w:eastAsia="Times New Roman" w:cs="Times New Roman"/>
          <w:b/>
          <w:noProof/>
        </w:rPr>
        <w:t>technological change</w:t>
      </w:r>
      <w:r w:rsidR="00F705F2">
        <w:rPr>
          <w:rStyle w:val="FootnoteReference"/>
          <w:rFonts w:eastAsia="Times New Roman" w:cs="Times New Roman"/>
          <w:b/>
          <w:noProof/>
        </w:rPr>
        <w:footnoteReference w:id="63"/>
      </w:r>
      <w:r w:rsidR="0042648F">
        <w:rPr>
          <w:rFonts w:eastAsia="Times New Roman" w:cs="Times New Roman"/>
          <w:b/>
          <w:noProof/>
        </w:rPr>
        <w:t xml:space="preserve"> </w:t>
      </w:r>
      <w:r w:rsidRPr="00E9190D">
        <w:rPr>
          <w:rFonts w:eastAsia="Times New Roman" w:cs="Times New Roman"/>
          <w:noProof/>
        </w:rPr>
        <w:t>in the baseline scenario would on average be 240 Mio €/year in the period 2024-2036. Most costs would be incurred in the refrigeration and the mobile A/C sector (without the passenger cars). By 2050, costs of technological change would be strongly negative (i.e. cost savings</w:t>
      </w:r>
      <w:r w:rsidR="00F705F2">
        <w:rPr>
          <w:rFonts w:eastAsia="Times New Roman" w:cs="Times New Roman"/>
          <w:noProof/>
        </w:rPr>
        <w:t xml:space="preserve"> </w:t>
      </w:r>
      <w:r w:rsidR="00662704">
        <w:rPr>
          <w:rFonts w:eastAsia="Times New Roman" w:cs="Times New Roman"/>
          <w:noProof/>
        </w:rPr>
        <w:t>due to less operational costs, e.g.</w:t>
      </w:r>
      <w:r w:rsidR="00F705F2">
        <w:rPr>
          <w:rFonts w:eastAsia="Times New Roman" w:cs="Times New Roman"/>
          <w:noProof/>
        </w:rPr>
        <w:t xml:space="preserve"> energy savings</w:t>
      </w:r>
      <w:r w:rsidRPr="00E9190D">
        <w:rPr>
          <w:rFonts w:eastAsia="Times New Roman" w:cs="Times New Roman"/>
          <w:noProof/>
        </w:rPr>
        <w:t xml:space="preserve">) in refrigeration and stationary AC, while there would still be some costs for mobile AC. See detail in Annex </w:t>
      </w:r>
      <w:r w:rsidR="00C66A21">
        <w:rPr>
          <w:rFonts w:eastAsia="Times New Roman" w:cs="Times New Roman"/>
          <w:noProof/>
        </w:rPr>
        <w:t>A12.5</w:t>
      </w:r>
      <w:r w:rsidRPr="00E9190D">
        <w:rPr>
          <w:rFonts w:eastAsia="Times New Roman" w:cs="Times New Roman"/>
          <w:noProof/>
        </w:rPr>
        <w:t>. Due to the increasing scarcity of quotas until 2030, higher HFC gas prices may impact on those users that still use HFCs.</w:t>
      </w:r>
      <w:r w:rsidRPr="00E9190D">
        <w:rPr>
          <w:rFonts w:eastAsia="Times New Roman" w:cs="Times New Roman"/>
          <w:noProof/>
          <w:vertAlign w:val="superscript"/>
        </w:rPr>
        <w:footnoteReference w:id="64"/>
      </w:r>
      <w:r w:rsidR="00A33BFA">
        <w:rPr>
          <w:rFonts w:eastAsia="Times New Roman" w:cs="Times New Roman"/>
          <w:noProof/>
        </w:rPr>
        <w:t xml:space="preserve"> </w:t>
      </w:r>
    </w:p>
    <w:p w14:paraId="2AA86BBC" w14:textId="77777777" w:rsidR="00A33BFA" w:rsidRDefault="001E0E4B" w:rsidP="007A1A81">
      <w:pPr>
        <w:spacing w:after="120"/>
        <w:jc w:val="center"/>
        <w:rPr>
          <w:rFonts w:asciiTheme="minorHAnsi" w:hAnsiTheme="minorHAnsi"/>
          <w:b/>
          <w:bCs/>
          <w:noProof/>
          <w:color w:val="0070C0"/>
        </w:rPr>
      </w:pPr>
      <w:r>
        <w:rPr>
          <w:noProof/>
          <w:lang w:eastAsia="en-GB"/>
        </w:rPr>
        <w:drawing>
          <wp:inline distT="0" distB="0" distL="0" distR="0" wp14:anchorId="5E0F82F6" wp14:editId="5C466DDC">
            <wp:extent cx="4638674" cy="3313339"/>
            <wp:effectExtent l="0" t="0" r="0" b="1905"/>
            <wp:docPr id="50946710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38674" cy="3313339"/>
                    </a:xfrm>
                    <a:prstGeom prst="rect">
                      <a:avLst/>
                    </a:prstGeom>
                  </pic:spPr>
                </pic:pic>
              </a:graphicData>
            </a:graphic>
          </wp:inline>
        </w:drawing>
      </w:r>
      <w:bookmarkStart w:id="134" w:name="_Ref80869512"/>
    </w:p>
    <w:p w14:paraId="103BD68C" w14:textId="3BE3BBCD" w:rsidR="001E0E4B" w:rsidRDefault="001E0E4B" w:rsidP="00A33BFA">
      <w:pPr>
        <w:rPr>
          <w:rFonts w:asciiTheme="minorHAnsi" w:hAnsiTheme="minorHAnsi"/>
          <w:noProof/>
          <w:color w:val="0070C0"/>
        </w:rPr>
      </w:pPr>
      <w:r w:rsidRPr="00A33BFA">
        <w:rPr>
          <w:rFonts w:asciiTheme="minorHAnsi" w:hAnsiTheme="minorHAnsi" w:cstheme="minorHAnsi"/>
          <w:b/>
          <w:bCs/>
          <w:noProof/>
          <w:color w:val="0070C0"/>
          <w:sz w:val="20"/>
          <w:szCs w:val="20"/>
        </w:rPr>
        <w:t xml:space="preserve">Figure </w:t>
      </w:r>
      <w:r w:rsidR="001B4F82" w:rsidRPr="00A33BFA">
        <w:rPr>
          <w:rFonts w:asciiTheme="minorHAnsi" w:hAnsiTheme="minorHAnsi" w:cstheme="minorHAnsi"/>
          <w:noProof/>
          <w:sz w:val="20"/>
          <w:szCs w:val="20"/>
        </w:rPr>
        <w:fldChar w:fldCharType="begin"/>
      </w:r>
      <w:r w:rsidR="001B4F82" w:rsidRPr="00782474">
        <w:rPr>
          <w:rFonts w:asciiTheme="minorHAnsi" w:hAnsiTheme="minorHAnsi" w:cstheme="minorHAnsi"/>
          <w:b/>
          <w:noProof/>
          <w:color w:val="0070C0"/>
        </w:rPr>
        <w:instrText xml:space="preserve"> SEQ Figure \* ARABIC </w:instrText>
      </w:r>
      <w:r w:rsidR="001B4F82" w:rsidRPr="00A33BFA">
        <w:rPr>
          <w:rFonts w:asciiTheme="minorHAnsi" w:hAnsiTheme="minorHAnsi" w:cstheme="minorHAnsi"/>
          <w:b/>
          <w:noProof/>
          <w:color w:val="0070C0"/>
        </w:rPr>
        <w:fldChar w:fldCharType="separate"/>
      </w:r>
      <w:r w:rsidR="00C66A21">
        <w:rPr>
          <w:rFonts w:asciiTheme="minorHAnsi" w:hAnsiTheme="minorHAnsi" w:cstheme="minorHAnsi"/>
          <w:b/>
          <w:noProof/>
          <w:color w:val="0070C0"/>
        </w:rPr>
        <w:t>1</w:t>
      </w:r>
      <w:r w:rsidR="001B4F82" w:rsidRPr="00A33BFA">
        <w:rPr>
          <w:rFonts w:asciiTheme="minorHAnsi" w:hAnsiTheme="minorHAnsi" w:cstheme="minorHAnsi"/>
          <w:noProof/>
          <w:sz w:val="20"/>
          <w:szCs w:val="20"/>
        </w:rPr>
        <w:fldChar w:fldCharType="end"/>
      </w:r>
      <w:bookmarkEnd w:id="134"/>
      <w:r w:rsidRPr="3982CBDC">
        <w:rPr>
          <w:rFonts w:asciiTheme="minorHAnsi" w:hAnsiTheme="minorHAnsi"/>
          <w:b/>
          <w:noProof/>
          <w:color w:val="0070C0"/>
        </w:rPr>
        <w:t>.</w:t>
      </w:r>
      <w:r w:rsidRPr="3982CBDC">
        <w:rPr>
          <w:rFonts w:asciiTheme="minorHAnsi" w:hAnsiTheme="minorHAnsi"/>
          <w:noProof/>
          <w:color w:val="0070C0"/>
        </w:rPr>
        <w:t xml:space="preserve"> Baseline demand of HFCs, SF</w:t>
      </w:r>
      <w:r w:rsidRPr="009235A6">
        <w:rPr>
          <w:rFonts w:asciiTheme="minorHAnsi" w:hAnsiTheme="minorHAnsi"/>
          <w:noProof/>
          <w:color w:val="0070C0"/>
          <w:vertAlign w:val="subscript"/>
        </w:rPr>
        <w:t>6</w:t>
      </w:r>
      <w:r w:rsidRPr="3982CBDC">
        <w:rPr>
          <w:rFonts w:asciiTheme="minorHAnsi" w:hAnsiTheme="minorHAnsi"/>
          <w:noProof/>
          <w:color w:val="0070C0"/>
        </w:rPr>
        <w:t xml:space="preserve"> and other F-gases in climate terms (MtCO2e)</w:t>
      </w:r>
    </w:p>
    <w:p w14:paraId="4AE7168A" w14:textId="3F711BD0" w:rsidR="00607C28" w:rsidRDefault="00ED4F18" w:rsidP="000C1980">
      <w:pPr>
        <w:spacing w:before="240" w:after="120"/>
        <w:rPr>
          <w:noProof/>
          <w:szCs w:val="24"/>
          <w:lang w:val="en-US"/>
        </w:rPr>
      </w:pPr>
      <w:r>
        <w:rPr>
          <w:rFonts w:cs="Times New Roman"/>
          <w:noProof/>
          <w:szCs w:val="24"/>
          <w:lang w:val="en-US"/>
        </w:rPr>
        <w:t xml:space="preserve">A factor in </w:t>
      </w:r>
      <w:r w:rsidR="00B21D6A">
        <w:rPr>
          <w:rFonts w:cs="Times New Roman"/>
          <w:noProof/>
          <w:szCs w:val="24"/>
          <w:lang w:val="en-US"/>
        </w:rPr>
        <w:t xml:space="preserve">the </w:t>
      </w:r>
      <w:r>
        <w:rPr>
          <w:rFonts w:cs="Times New Roman"/>
          <w:noProof/>
          <w:szCs w:val="24"/>
          <w:lang w:val="en-US"/>
        </w:rPr>
        <w:t xml:space="preserve">baseline development </w:t>
      </w:r>
      <w:r w:rsidR="00B21D6A">
        <w:rPr>
          <w:rFonts w:cs="Times New Roman"/>
          <w:noProof/>
          <w:szCs w:val="24"/>
          <w:lang w:val="en-US"/>
        </w:rPr>
        <w:t xml:space="preserve">is </w:t>
      </w:r>
      <w:r>
        <w:rPr>
          <w:rFonts w:cs="Times New Roman"/>
          <w:noProof/>
          <w:szCs w:val="24"/>
          <w:lang w:val="en-US"/>
        </w:rPr>
        <w:t xml:space="preserve">also be the underlining demand for the products that may make use of F-gases. </w:t>
      </w:r>
      <w:r w:rsidR="00FE01FF">
        <w:rPr>
          <w:rFonts w:cs="Times New Roman"/>
          <w:noProof/>
          <w:szCs w:val="24"/>
          <w:lang w:val="en-US"/>
        </w:rPr>
        <w:t>Other EU policies can impact this. This is for instance the case for the demand for heat pumps</w:t>
      </w:r>
      <w:r w:rsidR="00425559">
        <w:rPr>
          <w:rFonts w:cs="Times New Roman"/>
          <w:noProof/>
          <w:szCs w:val="24"/>
          <w:lang w:val="en-US"/>
        </w:rPr>
        <w:t xml:space="preserve"> due to energy and climate policies</w:t>
      </w:r>
      <w:r w:rsidR="00FE01FF">
        <w:rPr>
          <w:rFonts w:cs="Times New Roman"/>
          <w:noProof/>
          <w:szCs w:val="24"/>
          <w:lang w:val="en-US"/>
        </w:rPr>
        <w:t xml:space="preserve">. </w:t>
      </w:r>
      <w:r w:rsidR="005D69ED">
        <w:rPr>
          <w:rFonts w:cs="Times New Roman"/>
          <w:noProof/>
          <w:szCs w:val="24"/>
          <w:lang w:val="en-US"/>
        </w:rPr>
        <w:t>Recent development</w:t>
      </w:r>
      <w:r w:rsidR="00F830F4">
        <w:rPr>
          <w:rFonts w:cs="Times New Roman"/>
          <w:noProof/>
          <w:szCs w:val="24"/>
          <w:lang w:val="en-US"/>
        </w:rPr>
        <w:t>s f</w:t>
      </w:r>
      <w:r w:rsidR="00F830F4" w:rsidRPr="00F830F4">
        <w:rPr>
          <w:rFonts w:cs="Times New Roman"/>
          <w:noProof/>
          <w:szCs w:val="24"/>
          <w:lang w:val="en-US"/>
        </w:rPr>
        <w:t xml:space="preserve">ollowing the invasion of Ukraine by Russia </w:t>
      </w:r>
      <w:r w:rsidR="00F830F4">
        <w:rPr>
          <w:rFonts w:cs="Times New Roman"/>
          <w:noProof/>
          <w:szCs w:val="24"/>
          <w:lang w:val="en-US"/>
        </w:rPr>
        <w:t xml:space="preserve">have increased the call for a faster energy transition. </w:t>
      </w:r>
      <w:r w:rsidR="00425559">
        <w:rPr>
          <w:rFonts w:cs="Times New Roman"/>
          <w:noProof/>
          <w:szCs w:val="24"/>
          <w:lang w:val="en-US"/>
        </w:rPr>
        <w:t>T</w:t>
      </w:r>
      <w:r w:rsidR="00F830F4">
        <w:rPr>
          <w:rFonts w:cs="Times New Roman"/>
          <w:noProof/>
          <w:szCs w:val="24"/>
          <w:lang w:val="en-US"/>
        </w:rPr>
        <w:t xml:space="preserve">he </w:t>
      </w:r>
      <w:r w:rsidR="00F830F4" w:rsidRPr="00F830F4">
        <w:rPr>
          <w:rFonts w:cs="Times New Roman"/>
          <w:noProof/>
          <w:szCs w:val="24"/>
          <w:lang w:val="en-US"/>
        </w:rPr>
        <w:t>REPowerEU</w:t>
      </w:r>
      <w:r w:rsidR="00F830F4">
        <w:rPr>
          <w:rFonts w:cs="Times New Roman"/>
          <w:noProof/>
          <w:szCs w:val="24"/>
          <w:lang w:val="en-US"/>
        </w:rPr>
        <w:t xml:space="preserve"> Communication</w:t>
      </w:r>
      <w:r w:rsidR="00F830F4">
        <w:rPr>
          <w:rStyle w:val="FootnoteReference"/>
          <w:rFonts w:cs="Times New Roman"/>
          <w:noProof/>
          <w:szCs w:val="24"/>
          <w:lang w:val="en-US"/>
        </w:rPr>
        <w:footnoteReference w:id="65"/>
      </w:r>
      <w:r w:rsidR="00F830F4">
        <w:rPr>
          <w:rFonts w:cs="Times New Roman"/>
          <w:noProof/>
          <w:szCs w:val="24"/>
          <w:lang w:val="en-US"/>
        </w:rPr>
        <w:t xml:space="preserve"> </w:t>
      </w:r>
      <w:r w:rsidR="00425559">
        <w:rPr>
          <w:rFonts w:cs="Times New Roman"/>
          <w:noProof/>
          <w:szCs w:val="24"/>
          <w:lang w:val="en-US"/>
        </w:rPr>
        <w:t xml:space="preserve">underlined the role of increased uptake of </w:t>
      </w:r>
      <w:r w:rsidR="005B1E75">
        <w:rPr>
          <w:rFonts w:cs="Times New Roman"/>
          <w:noProof/>
          <w:szCs w:val="24"/>
          <w:lang w:val="en-US"/>
        </w:rPr>
        <w:t>heat pumps</w:t>
      </w:r>
      <w:r w:rsidR="000C1980">
        <w:rPr>
          <w:rFonts w:cs="Times New Roman"/>
          <w:noProof/>
          <w:szCs w:val="24"/>
          <w:lang w:val="en-US"/>
        </w:rPr>
        <w:t xml:space="preserve"> </w:t>
      </w:r>
      <w:r w:rsidR="005A5EA3">
        <w:rPr>
          <w:rFonts w:cs="Times New Roman"/>
          <w:noProof/>
          <w:szCs w:val="24"/>
          <w:lang w:val="en-US"/>
        </w:rPr>
        <w:t>in the heating of building</w:t>
      </w:r>
      <w:r w:rsidR="00857B26">
        <w:rPr>
          <w:rFonts w:cs="Times New Roman"/>
          <w:noProof/>
          <w:szCs w:val="24"/>
          <w:lang w:val="en-US"/>
        </w:rPr>
        <w:t>s</w:t>
      </w:r>
      <w:r w:rsidR="002E7EBF" w:rsidRPr="002E7EBF">
        <w:rPr>
          <w:rFonts w:cs="Times New Roman"/>
          <w:noProof/>
          <w:szCs w:val="24"/>
          <w:lang w:val="en-US"/>
        </w:rPr>
        <w:t xml:space="preserve"> </w:t>
      </w:r>
      <w:r w:rsidR="002E7EBF">
        <w:rPr>
          <w:rFonts w:cs="Times New Roman"/>
          <w:noProof/>
          <w:szCs w:val="24"/>
          <w:lang w:val="en-US"/>
        </w:rPr>
        <w:t>in this specific situation</w:t>
      </w:r>
      <w:r w:rsidR="005A5EA3">
        <w:rPr>
          <w:rFonts w:cs="Times New Roman"/>
          <w:noProof/>
          <w:szCs w:val="24"/>
          <w:lang w:val="en-US"/>
        </w:rPr>
        <w:t>. This</w:t>
      </w:r>
      <w:r w:rsidR="005B1E75">
        <w:rPr>
          <w:rFonts w:cs="Times New Roman"/>
          <w:noProof/>
          <w:szCs w:val="24"/>
          <w:lang w:val="en-US"/>
        </w:rPr>
        <w:t xml:space="preserve"> can improve energy efficiency and reduce natural gas consumption. It pointed </w:t>
      </w:r>
      <w:r w:rsidR="00553CA1">
        <w:rPr>
          <w:rFonts w:cs="Times New Roman"/>
          <w:noProof/>
          <w:szCs w:val="24"/>
          <w:lang w:val="en-US"/>
        </w:rPr>
        <w:t xml:space="preserve">towards </w:t>
      </w:r>
      <w:r w:rsidR="005B1E75" w:rsidRPr="005B1E75">
        <w:rPr>
          <w:rFonts w:cs="Times New Roman"/>
          <w:noProof/>
          <w:szCs w:val="24"/>
          <w:lang w:val="en-US"/>
        </w:rPr>
        <w:t xml:space="preserve">doubling </w:t>
      </w:r>
      <w:r w:rsidR="005A5EA3">
        <w:rPr>
          <w:rFonts w:cs="Times New Roman"/>
          <w:noProof/>
          <w:szCs w:val="24"/>
          <w:lang w:val="en-US"/>
        </w:rPr>
        <w:t xml:space="preserve">the </w:t>
      </w:r>
      <w:r w:rsidR="005B1E75" w:rsidRPr="005B1E75">
        <w:rPr>
          <w:rFonts w:cs="Times New Roman"/>
          <w:noProof/>
          <w:szCs w:val="24"/>
          <w:lang w:val="en-US"/>
        </w:rPr>
        <w:t>pace of deployment of heat pumps</w:t>
      </w:r>
      <w:r w:rsidR="00553CA1">
        <w:rPr>
          <w:rFonts w:cs="Times New Roman"/>
          <w:noProof/>
          <w:szCs w:val="24"/>
          <w:lang w:val="en-US"/>
        </w:rPr>
        <w:t xml:space="preserve">, with </w:t>
      </w:r>
      <w:r w:rsidR="005B1E75" w:rsidRPr="005B1E75">
        <w:rPr>
          <w:rFonts w:cs="Times New Roman"/>
          <w:noProof/>
          <w:szCs w:val="24"/>
          <w:lang w:val="en-US"/>
        </w:rPr>
        <w:t xml:space="preserve">10 million </w:t>
      </w:r>
      <w:r w:rsidR="00553CA1">
        <w:rPr>
          <w:rFonts w:cs="Times New Roman"/>
          <w:noProof/>
          <w:szCs w:val="24"/>
          <w:lang w:val="en-US"/>
        </w:rPr>
        <w:t xml:space="preserve">newly installed </w:t>
      </w:r>
      <w:r w:rsidR="005B1E75" w:rsidRPr="005B1E75">
        <w:rPr>
          <w:rFonts w:cs="Times New Roman"/>
          <w:noProof/>
          <w:szCs w:val="24"/>
          <w:lang w:val="en-US"/>
        </w:rPr>
        <w:t>heat pumps</w:t>
      </w:r>
      <w:r w:rsidR="00F86C45">
        <w:rPr>
          <w:rFonts w:cs="Times New Roman"/>
          <w:noProof/>
          <w:szCs w:val="24"/>
          <w:lang w:val="en-US"/>
        </w:rPr>
        <w:t xml:space="preserve"> over the next 5 years and 30 million by 2030</w:t>
      </w:r>
      <w:r w:rsidR="005B1E75" w:rsidRPr="005B1E75">
        <w:rPr>
          <w:rFonts w:cs="Times New Roman"/>
          <w:noProof/>
          <w:szCs w:val="24"/>
          <w:lang w:val="en-US"/>
        </w:rPr>
        <w:t xml:space="preserve">. </w:t>
      </w:r>
      <w:r w:rsidR="005B486E">
        <w:rPr>
          <w:rFonts w:cs="Times New Roman"/>
          <w:noProof/>
          <w:szCs w:val="24"/>
          <w:lang w:val="en-US"/>
        </w:rPr>
        <w:t xml:space="preserve">With a focus on replacing existing gas boilers, this </w:t>
      </w:r>
      <w:r w:rsidR="00F207A3">
        <w:rPr>
          <w:rFonts w:cs="Times New Roman"/>
          <w:noProof/>
          <w:szCs w:val="24"/>
          <w:lang w:val="en-US"/>
        </w:rPr>
        <w:t xml:space="preserve">ambition </w:t>
      </w:r>
      <w:r w:rsidR="00F86C45">
        <w:rPr>
          <w:rFonts w:cs="Times New Roman"/>
          <w:noProof/>
          <w:szCs w:val="24"/>
          <w:lang w:val="en-US"/>
        </w:rPr>
        <w:t xml:space="preserve">mainly </w:t>
      </w:r>
      <w:r w:rsidR="005B486E">
        <w:rPr>
          <w:rFonts w:cs="Times New Roman"/>
          <w:noProof/>
          <w:szCs w:val="24"/>
          <w:lang w:val="en-US"/>
        </w:rPr>
        <w:t xml:space="preserve">relates to the installation of hydronic heat pumps (e.g. air to water or ground to water heat pumps). </w:t>
      </w:r>
      <w:r w:rsidR="009D03F2">
        <w:rPr>
          <w:rFonts w:cs="Times New Roman"/>
          <w:noProof/>
          <w:szCs w:val="24"/>
          <w:lang w:val="en-US"/>
        </w:rPr>
        <w:t xml:space="preserve">Whereas it was not possible </w:t>
      </w:r>
      <w:r w:rsidR="00F207A3">
        <w:rPr>
          <w:rFonts w:cs="Times New Roman"/>
          <w:noProof/>
          <w:szCs w:val="24"/>
          <w:lang w:val="en-US"/>
        </w:rPr>
        <w:t xml:space="preserve">for this impact assessment </w:t>
      </w:r>
      <w:r w:rsidR="009D03F2">
        <w:rPr>
          <w:rFonts w:cs="Times New Roman"/>
          <w:noProof/>
          <w:szCs w:val="24"/>
          <w:lang w:val="en-US"/>
        </w:rPr>
        <w:t xml:space="preserve">to capture the consequence of such developments in the baseline, a short assessment was made of what its impacts would be </w:t>
      </w:r>
      <w:r w:rsidR="00F207A3">
        <w:rPr>
          <w:rFonts w:cs="Times New Roman"/>
          <w:noProof/>
          <w:szCs w:val="24"/>
          <w:lang w:val="en-US"/>
        </w:rPr>
        <w:t xml:space="preserve">on </w:t>
      </w:r>
      <w:r w:rsidR="009D03F2">
        <w:rPr>
          <w:rFonts w:cs="Times New Roman"/>
          <w:noProof/>
          <w:szCs w:val="24"/>
          <w:lang w:val="en-US"/>
        </w:rPr>
        <w:t xml:space="preserve">the </w:t>
      </w:r>
      <w:r w:rsidR="002E7EBF">
        <w:rPr>
          <w:rFonts w:cs="Times New Roman"/>
          <w:noProof/>
          <w:szCs w:val="24"/>
          <w:lang w:val="en-US"/>
        </w:rPr>
        <w:t xml:space="preserve">considered </w:t>
      </w:r>
      <w:r w:rsidR="009D03F2">
        <w:rPr>
          <w:rFonts w:cs="Times New Roman"/>
          <w:noProof/>
          <w:szCs w:val="24"/>
          <w:lang w:val="en-US"/>
        </w:rPr>
        <w:t>options consider in section</w:t>
      </w:r>
      <w:r w:rsidR="00CC0E3B">
        <w:rPr>
          <w:rFonts w:cs="Times New Roman"/>
          <w:noProof/>
          <w:szCs w:val="24"/>
          <w:lang w:val="en-US"/>
        </w:rPr>
        <w:t xml:space="preserve"> 6.1.4</w:t>
      </w:r>
      <w:r w:rsidR="00F207A3">
        <w:rPr>
          <w:rFonts w:cs="Times New Roman"/>
          <w:noProof/>
          <w:szCs w:val="24"/>
          <w:lang w:val="en-US"/>
        </w:rPr>
        <w:t>.</w:t>
      </w:r>
    </w:p>
    <w:p w14:paraId="28962768" w14:textId="77777777" w:rsidR="00E11CF2" w:rsidRPr="00322072" w:rsidRDefault="00E11CF2" w:rsidP="00A33BFA">
      <w:pPr>
        <w:rPr>
          <w:rFonts w:asciiTheme="minorHAnsi" w:hAnsiTheme="minorHAnsi"/>
          <w:noProof/>
          <w:color w:val="0070C0"/>
          <w:lang w:val="en-US"/>
        </w:rPr>
      </w:pPr>
    </w:p>
    <w:p w14:paraId="21349802" w14:textId="7708EEAC" w:rsidR="00A14107" w:rsidRPr="006578FA" w:rsidRDefault="00E04F0C" w:rsidP="00E04F0C">
      <w:pPr>
        <w:pStyle w:val="Heading2"/>
        <w:rPr>
          <w:noProof/>
        </w:rPr>
      </w:pPr>
      <w:bookmarkStart w:id="135" w:name="_Toc71559408"/>
      <w:bookmarkStart w:id="136" w:name="_Toc71707013"/>
      <w:bookmarkStart w:id="137" w:name="_Toc71708223"/>
      <w:bookmarkStart w:id="138" w:name="_Toc71710955"/>
      <w:bookmarkStart w:id="139" w:name="_Toc72399357"/>
      <w:bookmarkStart w:id="140" w:name="_Toc88571912"/>
      <w:bookmarkStart w:id="141" w:name="_Toc94629505"/>
      <w:bookmarkStart w:id="142" w:name="_Toc98857749"/>
      <w:r w:rsidRPr="00E04F0C">
        <w:t>5.2.</w:t>
      </w:r>
      <w:r w:rsidRPr="00E04F0C">
        <w:tab/>
      </w:r>
      <w:r w:rsidR="3982CBDC">
        <w:rPr>
          <w:noProof/>
        </w:rPr>
        <w:t>Description of the policy options</w:t>
      </w:r>
      <w:bookmarkEnd w:id="135"/>
      <w:bookmarkEnd w:id="136"/>
      <w:bookmarkEnd w:id="137"/>
      <w:bookmarkEnd w:id="138"/>
      <w:bookmarkEnd w:id="139"/>
      <w:bookmarkEnd w:id="140"/>
      <w:bookmarkEnd w:id="141"/>
      <w:bookmarkEnd w:id="142"/>
    </w:p>
    <w:p w14:paraId="70E42F64" w14:textId="6FE8CD83" w:rsidR="002C3897" w:rsidRDefault="00D2719E" w:rsidP="3982CBDC">
      <w:pPr>
        <w:spacing w:after="120"/>
        <w:rPr>
          <w:rFonts w:cs="Times New Roman"/>
          <w:noProof/>
        </w:rPr>
      </w:pPr>
      <w:r>
        <w:rPr>
          <w:rFonts w:cs="Times New Roman"/>
          <w:noProof/>
        </w:rPr>
        <w:t>As mentioned</w:t>
      </w:r>
      <w:r w:rsidR="00BA1633">
        <w:rPr>
          <w:rFonts w:cs="Times New Roman"/>
          <w:noProof/>
        </w:rPr>
        <w:t xml:space="preserve"> above</w:t>
      </w:r>
      <w:r>
        <w:rPr>
          <w:rFonts w:cs="Times New Roman"/>
          <w:noProof/>
        </w:rPr>
        <w:t xml:space="preserve">, </w:t>
      </w:r>
      <w:r w:rsidR="003837B6" w:rsidRPr="3982CBDC">
        <w:rPr>
          <w:rFonts w:cs="Times New Roman"/>
          <w:noProof/>
        </w:rPr>
        <w:t xml:space="preserve">the overall approach </w:t>
      </w:r>
      <w:r w:rsidR="00373703">
        <w:rPr>
          <w:rFonts w:cs="Times New Roman"/>
          <w:noProof/>
        </w:rPr>
        <w:t>relying on a quota system</w:t>
      </w:r>
      <w:r w:rsidR="001D39CC">
        <w:rPr>
          <w:rFonts w:cs="Times New Roman"/>
          <w:noProof/>
        </w:rPr>
        <w:t xml:space="preserve"> for placing on the market</w:t>
      </w:r>
      <w:r w:rsidR="001E68EB">
        <w:rPr>
          <w:rFonts w:cs="Times New Roman"/>
          <w:noProof/>
        </w:rPr>
        <w:t xml:space="preserve"> HFCs</w:t>
      </w:r>
      <w:r w:rsidR="00373703">
        <w:rPr>
          <w:rFonts w:cs="Times New Roman"/>
          <w:noProof/>
        </w:rPr>
        <w:t xml:space="preserve">, accompanying prohibitions </w:t>
      </w:r>
      <w:r w:rsidR="001D39CC">
        <w:rPr>
          <w:rFonts w:cs="Times New Roman"/>
          <w:noProof/>
        </w:rPr>
        <w:t xml:space="preserve">of use </w:t>
      </w:r>
      <w:r w:rsidR="001E68EB">
        <w:rPr>
          <w:rFonts w:cs="Times New Roman"/>
          <w:noProof/>
        </w:rPr>
        <w:t xml:space="preserve">of F-gases </w:t>
      </w:r>
      <w:r w:rsidR="00373703">
        <w:rPr>
          <w:rFonts w:cs="Times New Roman"/>
          <w:noProof/>
        </w:rPr>
        <w:t xml:space="preserve">and containment measures </w:t>
      </w:r>
      <w:r w:rsidR="001D39CC">
        <w:rPr>
          <w:rFonts w:cs="Times New Roman"/>
          <w:noProof/>
        </w:rPr>
        <w:t xml:space="preserve">to reduce any remaining emissions </w:t>
      </w:r>
      <w:r w:rsidR="003837B6" w:rsidRPr="3982CBDC">
        <w:rPr>
          <w:rFonts w:cs="Times New Roman"/>
          <w:noProof/>
        </w:rPr>
        <w:t xml:space="preserve">should be kept. </w:t>
      </w:r>
      <w:r w:rsidR="00060915" w:rsidRPr="3982CBDC">
        <w:rPr>
          <w:rFonts w:cs="Times New Roman"/>
          <w:noProof/>
        </w:rPr>
        <w:t xml:space="preserve">Most stakeholders agree </w:t>
      </w:r>
      <w:r w:rsidR="00060915">
        <w:rPr>
          <w:rFonts w:cs="Times New Roman"/>
          <w:noProof/>
        </w:rPr>
        <w:t xml:space="preserve">to this and abrupt changes would result in uncertainty for business. </w:t>
      </w:r>
      <w:r w:rsidR="0083019B" w:rsidRPr="3982CBDC">
        <w:rPr>
          <w:rFonts w:cs="Times New Roman"/>
          <w:noProof/>
        </w:rPr>
        <w:t xml:space="preserve">Consequently, </w:t>
      </w:r>
      <w:r w:rsidR="00170DE2" w:rsidRPr="009235A6">
        <w:rPr>
          <w:rFonts w:cs="Times New Roman"/>
          <w:b/>
          <w:noProof/>
        </w:rPr>
        <w:t xml:space="preserve">this review </w:t>
      </w:r>
      <w:r w:rsidR="00060915" w:rsidRPr="009235A6">
        <w:rPr>
          <w:rFonts w:cs="Times New Roman"/>
          <w:b/>
          <w:noProof/>
        </w:rPr>
        <w:t xml:space="preserve">is </w:t>
      </w:r>
      <w:r w:rsidR="0083019B" w:rsidRPr="009235A6">
        <w:rPr>
          <w:rFonts w:cs="Times New Roman"/>
          <w:b/>
          <w:noProof/>
        </w:rPr>
        <w:t>fine-tuning the Regulation</w:t>
      </w:r>
      <w:r w:rsidR="009F6FAF" w:rsidRPr="009235A6">
        <w:rPr>
          <w:rFonts w:cs="Times New Roman"/>
          <w:b/>
          <w:noProof/>
        </w:rPr>
        <w:t xml:space="preserve"> </w:t>
      </w:r>
      <w:r w:rsidR="00060915" w:rsidRPr="009235A6">
        <w:rPr>
          <w:rFonts w:cs="Times New Roman"/>
          <w:b/>
          <w:noProof/>
        </w:rPr>
        <w:t xml:space="preserve">with the </w:t>
      </w:r>
      <w:r w:rsidR="002C3897" w:rsidRPr="009235A6">
        <w:rPr>
          <w:rFonts w:cs="Times New Roman"/>
          <w:b/>
          <w:noProof/>
        </w:rPr>
        <w:t xml:space="preserve">aim to provide </w:t>
      </w:r>
      <w:r w:rsidR="009F6FAF" w:rsidRPr="009235A6">
        <w:rPr>
          <w:rFonts w:cs="Times New Roman"/>
          <w:b/>
          <w:noProof/>
        </w:rPr>
        <w:t xml:space="preserve">policy </w:t>
      </w:r>
      <w:r w:rsidR="002C3897" w:rsidRPr="009235A6">
        <w:rPr>
          <w:rFonts w:cs="Times New Roman"/>
          <w:b/>
          <w:noProof/>
        </w:rPr>
        <w:t>responses to the problems identified</w:t>
      </w:r>
      <w:r w:rsidR="002C3897">
        <w:rPr>
          <w:rFonts w:cs="Times New Roman"/>
          <w:noProof/>
        </w:rPr>
        <w:t xml:space="preserve"> (section 2). The relationship between the problems, the </w:t>
      </w:r>
      <w:r w:rsidR="00060915">
        <w:rPr>
          <w:rFonts w:cs="Times New Roman"/>
          <w:noProof/>
        </w:rPr>
        <w:t xml:space="preserve">specific </w:t>
      </w:r>
      <w:r w:rsidR="002C3897">
        <w:rPr>
          <w:rFonts w:cs="Times New Roman"/>
          <w:noProof/>
        </w:rPr>
        <w:t xml:space="preserve">review objectives and the required policy responses are visualised </w:t>
      </w:r>
      <w:r w:rsidR="002C3897" w:rsidRPr="007045CC">
        <w:rPr>
          <w:rFonts w:cs="Times New Roman"/>
          <w:noProof/>
        </w:rPr>
        <w:t xml:space="preserve">in </w:t>
      </w:r>
      <w:r w:rsidR="007045CC" w:rsidRPr="007045CC">
        <w:rPr>
          <w:rFonts w:cs="Times New Roman"/>
          <w:noProof/>
        </w:rPr>
        <w:fldChar w:fldCharType="begin"/>
      </w:r>
      <w:r w:rsidR="007045CC" w:rsidRPr="007045CC">
        <w:rPr>
          <w:rFonts w:cs="Times New Roman"/>
          <w:noProof/>
        </w:rPr>
        <w:instrText xml:space="preserve"> REF _Ref88738562 \h  \* MERGEFORMAT </w:instrText>
      </w:r>
      <w:r w:rsidR="007045CC" w:rsidRPr="007045CC">
        <w:rPr>
          <w:rFonts w:cs="Times New Roman"/>
          <w:noProof/>
        </w:rPr>
      </w:r>
      <w:r w:rsidR="007045CC" w:rsidRPr="007045CC">
        <w:rPr>
          <w:rFonts w:cs="Times New Roman"/>
          <w:noProof/>
        </w:rPr>
        <w:fldChar w:fldCharType="separate"/>
      </w:r>
      <w:r w:rsidR="00C66A21" w:rsidRPr="00C66A21">
        <w:rPr>
          <w:rFonts w:cs="Times New Roman"/>
          <w:noProof/>
        </w:rPr>
        <w:t>Figure 2</w:t>
      </w:r>
      <w:r w:rsidR="007045CC" w:rsidRPr="007045CC">
        <w:rPr>
          <w:rFonts w:cs="Times New Roman"/>
          <w:noProof/>
        </w:rPr>
        <w:fldChar w:fldCharType="end"/>
      </w:r>
      <w:r w:rsidR="007045CC" w:rsidRPr="007045CC">
        <w:rPr>
          <w:rFonts w:cs="Times New Roman"/>
          <w:noProof/>
        </w:rPr>
        <w:t>.</w:t>
      </w:r>
    </w:p>
    <w:p w14:paraId="6E129355" w14:textId="7D79E029" w:rsidR="002C3897" w:rsidRDefault="002C3897" w:rsidP="3982CBDC">
      <w:pPr>
        <w:spacing w:after="120"/>
        <w:rPr>
          <w:rFonts w:cs="Times New Roman"/>
          <w:noProof/>
        </w:rPr>
      </w:pPr>
      <w:r>
        <w:rPr>
          <w:noProof/>
          <w:lang w:eastAsia="en-GB"/>
        </w:rPr>
        <w:drawing>
          <wp:inline distT="0" distB="0" distL="0" distR="0" wp14:anchorId="47998ED6" wp14:editId="624B2691">
            <wp:extent cx="5731510" cy="3223895"/>
            <wp:effectExtent l="0" t="0" r="2540" b="0"/>
            <wp:docPr id="180744610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4">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726CB984" w14:textId="6D2050D2" w:rsidR="002C3897" w:rsidRPr="006B5A60" w:rsidRDefault="002C3897" w:rsidP="006B5A60">
      <w:pPr>
        <w:pStyle w:val="Caption"/>
        <w:rPr>
          <w:rFonts w:ascii="Calibri" w:hAnsi="Calibri" w:cs="Calibri"/>
          <w:noProof/>
        </w:rPr>
      </w:pPr>
      <w:bookmarkStart w:id="143" w:name="_Ref88738562"/>
      <w:bookmarkStart w:id="144" w:name="_Ref87536489"/>
      <w:r w:rsidRPr="002C3897">
        <w:rPr>
          <w:rFonts w:ascii="Calibri" w:hAnsi="Calibri" w:cs="Calibri"/>
          <w:b/>
          <w:noProof/>
        </w:rPr>
        <w:t xml:space="preserve">Figure </w:t>
      </w:r>
      <w:r w:rsidRPr="002C3897">
        <w:rPr>
          <w:rFonts w:ascii="Calibri" w:hAnsi="Calibri" w:cs="Calibri"/>
          <w:b/>
          <w:noProof/>
        </w:rPr>
        <w:fldChar w:fldCharType="begin"/>
      </w:r>
      <w:r w:rsidRPr="002C3897">
        <w:rPr>
          <w:rFonts w:ascii="Calibri" w:hAnsi="Calibri" w:cs="Calibri"/>
          <w:b/>
          <w:noProof/>
        </w:rPr>
        <w:instrText xml:space="preserve"> SEQ Figure \* ARABIC </w:instrText>
      </w:r>
      <w:r w:rsidRPr="002C3897">
        <w:rPr>
          <w:rFonts w:ascii="Calibri" w:hAnsi="Calibri" w:cs="Calibri"/>
          <w:b/>
          <w:noProof/>
        </w:rPr>
        <w:fldChar w:fldCharType="separate"/>
      </w:r>
      <w:r w:rsidR="00C66A21">
        <w:rPr>
          <w:rFonts w:ascii="Calibri" w:hAnsi="Calibri" w:cs="Calibri"/>
          <w:b/>
          <w:noProof/>
        </w:rPr>
        <w:t>2</w:t>
      </w:r>
      <w:r w:rsidRPr="002C3897">
        <w:rPr>
          <w:rFonts w:ascii="Calibri" w:hAnsi="Calibri" w:cs="Calibri"/>
          <w:b/>
          <w:noProof/>
        </w:rPr>
        <w:fldChar w:fldCharType="end"/>
      </w:r>
      <w:bookmarkEnd w:id="143"/>
      <w:r w:rsidRPr="002C3897">
        <w:rPr>
          <w:rFonts w:ascii="Calibri" w:hAnsi="Calibri" w:cs="Calibri"/>
          <w:b/>
          <w:noProof/>
        </w:rPr>
        <w:t>.</w:t>
      </w:r>
      <w:r w:rsidRPr="002C3897">
        <w:rPr>
          <w:rFonts w:ascii="Calibri" w:hAnsi="Calibri" w:cs="Calibri"/>
          <w:noProof/>
        </w:rPr>
        <w:t xml:space="preserve"> Relationship between the problems, review objectives and policy responses</w:t>
      </w:r>
      <w:bookmarkEnd w:id="144"/>
    </w:p>
    <w:p w14:paraId="6302BF4F" w14:textId="685E8D7B" w:rsidR="00723AA4" w:rsidRDefault="004D2976" w:rsidP="006B5A60">
      <w:pPr>
        <w:spacing w:before="240" w:after="120"/>
        <w:rPr>
          <w:rFonts w:cs="Times New Roman"/>
          <w:noProof/>
        </w:rPr>
      </w:pPr>
      <w:r>
        <w:rPr>
          <w:rFonts w:cs="Times New Roman"/>
          <w:noProof/>
        </w:rPr>
        <w:t xml:space="preserve">To </w:t>
      </w:r>
      <w:r w:rsidR="00723AA4">
        <w:rPr>
          <w:rFonts w:cs="Times New Roman"/>
          <w:noProof/>
        </w:rPr>
        <w:t>develop</w:t>
      </w:r>
      <w:r>
        <w:rPr>
          <w:rFonts w:cs="Times New Roman"/>
          <w:noProof/>
        </w:rPr>
        <w:t xml:space="preserve"> policy responses, detailed</w:t>
      </w:r>
      <w:r w:rsidRPr="00C8266A">
        <w:rPr>
          <w:rFonts w:cs="Times New Roman"/>
          <w:noProof/>
        </w:rPr>
        <w:t xml:space="preserve"> </w:t>
      </w:r>
      <w:r>
        <w:rPr>
          <w:rFonts w:cs="Times New Roman"/>
          <w:noProof/>
        </w:rPr>
        <w:t xml:space="preserve">policy </w:t>
      </w:r>
      <w:r w:rsidRPr="00C8266A">
        <w:rPr>
          <w:rFonts w:cs="Times New Roman"/>
          <w:noProof/>
        </w:rPr>
        <w:t>measures</w:t>
      </w:r>
      <w:r>
        <w:rPr>
          <w:rFonts w:cs="Times New Roman"/>
          <w:b/>
          <w:noProof/>
        </w:rPr>
        <w:t xml:space="preserve"> </w:t>
      </w:r>
      <w:r w:rsidRPr="00770E17">
        <w:rPr>
          <w:rFonts w:cs="Times New Roman"/>
          <w:noProof/>
        </w:rPr>
        <w:t xml:space="preserve">(e.g. a specific </w:t>
      </w:r>
      <w:r w:rsidRPr="004D2976">
        <w:rPr>
          <w:rFonts w:cs="Times New Roman"/>
          <w:noProof/>
        </w:rPr>
        <w:t>prohibition</w:t>
      </w:r>
      <w:r w:rsidRPr="00770E17">
        <w:rPr>
          <w:rFonts w:cs="Times New Roman"/>
          <w:noProof/>
        </w:rPr>
        <w:t xml:space="preserve">, a specific improvement on custom checks) </w:t>
      </w:r>
      <w:r w:rsidRPr="002C4287">
        <w:rPr>
          <w:rFonts w:cs="Times New Roman"/>
          <w:noProof/>
        </w:rPr>
        <w:t>were collect</w:t>
      </w:r>
      <w:r w:rsidRPr="00C8266A">
        <w:rPr>
          <w:rFonts w:cs="Times New Roman"/>
          <w:noProof/>
        </w:rPr>
        <w:t>ed fro</w:t>
      </w:r>
      <w:r w:rsidRPr="002C4287">
        <w:rPr>
          <w:rFonts w:cs="Times New Roman"/>
          <w:noProof/>
        </w:rPr>
        <w:t>m stakeholders</w:t>
      </w:r>
      <w:r>
        <w:rPr>
          <w:rFonts w:cs="Times New Roman"/>
          <w:noProof/>
        </w:rPr>
        <w:t xml:space="preserve"> and external experts</w:t>
      </w:r>
      <w:r w:rsidRPr="002C4287">
        <w:rPr>
          <w:rFonts w:cs="Times New Roman"/>
          <w:noProof/>
        </w:rPr>
        <w:t xml:space="preserve"> during the consu</w:t>
      </w:r>
      <w:r w:rsidRPr="00C8266A">
        <w:rPr>
          <w:rFonts w:cs="Times New Roman"/>
          <w:noProof/>
        </w:rPr>
        <w:t>l</w:t>
      </w:r>
      <w:r>
        <w:rPr>
          <w:rFonts w:cs="Times New Roman"/>
          <w:noProof/>
        </w:rPr>
        <w:t>t</w:t>
      </w:r>
      <w:r w:rsidRPr="002C4287">
        <w:rPr>
          <w:rFonts w:cs="Times New Roman"/>
          <w:noProof/>
        </w:rPr>
        <w:t>a</w:t>
      </w:r>
      <w:r w:rsidRPr="00C8266A">
        <w:rPr>
          <w:rFonts w:cs="Times New Roman"/>
          <w:noProof/>
        </w:rPr>
        <w:t>t</w:t>
      </w:r>
      <w:r>
        <w:rPr>
          <w:rFonts w:cs="Times New Roman"/>
          <w:noProof/>
        </w:rPr>
        <w:t>i</w:t>
      </w:r>
      <w:r w:rsidRPr="00C8266A">
        <w:rPr>
          <w:rFonts w:cs="Times New Roman"/>
          <w:noProof/>
        </w:rPr>
        <w:t>ons</w:t>
      </w:r>
      <w:r>
        <w:rPr>
          <w:rFonts w:cs="Times New Roman"/>
          <w:noProof/>
        </w:rPr>
        <w:t>, in</w:t>
      </w:r>
      <w:r w:rsidR="00723AA4">
        <w:rPr>
          <w:rFonts w:cs="Times New Roman"/>
          <w:noProof/>
        </w:rPr>
        <w:t>cluding</w:t>
      </w:r>
      <w:r>
        <w:rPr>
          <w:rFonts w:cs="Times New Roman"/>
          <w:noProof/>
        </w:rPr>
        <w:t xml:space="preserve"> from </w:t>
      </w:r>
      <w:r w:rsidR="00723AA4">
        <w:rPr>
          <w:rFonts w:cs="Times New Roman"/>
          <w:noProof/>
        </w:rPr>
        <w:t>F-gas</w:t>
      </w:r>
      <w:r>
        <w:rPr>
          <w:rFonts w:cs="Times New Roman"/>
          <w:noProof/>
        </w:rPr>
        <w:t xml:space="preserve"> authorities and customs,</w:t>
      </w:r>
      <w:r w:rsidRPr="00C8266A">
        <w:rPr>
          <w:rFonts w:cs="Times New Roman"/>
          <w:noProof/>
        </w:rPr>
        <w:t xml:space="preserve"> </w:t>
      </w:r>
      <w:r>
        <w:rPr>
          <w:rFonts w:cs="Times New Roman"/>
          <w:noProof/>
        </w:rPr>
        <w:t>and/or designed on the basis of the expertise acquired implementing this policy.</w:t>
      </w:r>
      <w:r w:rsidRPr="00E82F73">
        <w:rPr>
          <w:rFonts w:cs="Times New Roman"/>
          <w:noProof/>
        </w:rPr>
        <w:t xml:space="preserve"> </w:t>
      </w:r>
      <w:r>
        <w:rPr>
          <w:rFonts w:cs="Times New Roman"/>
          <w:noProof/>
        </w:rPr>
        <w:t xml:space="preserve">Some of the collected measures were deemed infeasible and discarded from the outset based on different considerations of feasibility as outlined in Annex A6.6. </w:t>
      </w:r>
      <w:r w:rsidRPr="00E82F73">
        <w:rPr>
          <w:rFonts w:cs="Times New Roman"/>
          <w:noProof/>
        </w:rPr>
        <w:t xml:space="preserve">A detailed description of </w:t>
      </w:r>
      <w:r>
        <w:rPr>
          <w:rFonts w:cs="Times New Roman"/>
          <w:noProof/>
        </w:rPr>
        <w:t xml:space="preserve">all </w:t>
      </w:r>
      <w:r w:rsidRPr="00E82F73">
        <w:rPr>
          <w:rFonts w:cs="Times New Roman"/>
          <w:noProof/>
        </w:rPr>
        <w:t xml:space="preserve">the </w:t>
      </w:r>
      <w:r>
        <w:rPr>
          <w:rFonts w:cs="Times New Roman"/>
          <w:noProof/>
        </w:rPr>
        <w:t xml:space="preserve">detailed </w:t>
      </w:r>
      <w:r w:rsidRPr="00E82F73">
        <w:rPr>
          <w:rFonts w:cs="Times New Roman"/>
          <w:noProof/>
        </w:rPr>
        <w:t xml:space="preserve">measures is given in Annex A6. </w:t>
      </w:r>
      <w:r w:rsidRPr="3982CBDC" w:rsidDel="00002C3C">
        <w:rPr>
          <w:rFonts w:cs="Times New Roman"/>
          <w:noProof/>
        </w:rPr>
        <w:t xml:space="preserve"> </w:t>
      </w:r>
    </w:p>
    <w:p w14:paraId="64CF93DB" w14:textId="6182B64D" w:rsidR="00C06CBD" w:rsidRDefault="00723AA4" w:rsidP="00DF457D">
      <w:pPr>
        <w:spacing w:after="120"/>
        <w:rPr>
          <w:rFonts w:cs="Times New Roman"/>
          <w:noProof/>
        </w:rPr>
      </w:pPr>
      <w:r>
        <w:rPr>
          <w:rFonts w:cs="Times New Roman"/>
          <w:noProof/>
        </w:rPr>
        <w:t>T</w:t>
      </w:r>
      <w:r w:rsidR="004D2976">
        <w:rPr>
          <w:rFonts w:cs="Times New Roman"/>
          <w:noProof/>
        </w:rPr>
        <w:t>h</w:t>
      </w:r>
      <w:r w:rsidR="00A721AB" w:rsidRPr="00060915">
        <w:rPr>
          <w:rFonts w:cs="Times New Roman"/>
          <w:noProof/>
        </w:rPr>
        <w:t xml:space="preserve">ree </w:t>
      </w:r>
      <w:r w:rsidR="00170DE2" w:rsidRPr="00060915">
        <w:rPr>
          <w:rFonts w:cs="Times New Roman"/>
          <w:noProof/>
        </w:rPr>
        <w:t xml:space="preserve">different policy </w:t>
      </w:r>
      <w:r w:rsidR="00A721AB" w:rsidRPr="00060915">
        <w:rPr>
          <w:rFonts w:cs="Times New Roman"/>
          <w:noProof/>
        </w:rPr>
        <w:t xml:space="preserve">options </w:t>
      </w:r>
      <w:r w:rsidR="004D2976">
        <w:rPr>
          <w:rFonts w:cs="Times New Roman"/>
          <w:noProof/>
        </w:rPr>
        <w:t>were then</w:t>
      </w:r>
      <w:r w:rsidR="002C3897" w:rsidRPr="002C3897">
        <w:rPr>
          <w:rFonts w:cs="Times New Roman"/>
          <w:b/>
          <w:noProof/>
        </w:rPr>
        <w:t xml:space="preserve"> designed </w:t>
      </w:r>
      <w:r w:rsidR="004D2976">
        <w:rPr>
          <w:rFonts w:cs="Times New Roman"/>
          <w:b/>
          <w:noProof/>
        </w:rPr>
        <w:t>by assigning detai</w:t>
      </w:r>
      <w:r w:rsidR="00734C13">
        <w:rPr>
          <w:rFonts w:cs="Times New Roman"/>
          <w:b/>
          <w:noProof/>
        </w:rPr>
        <w:t>led measures to</w:t>
      </w:r>
      <w:r w:rsidR="00625F4A">
        <w:rPr>
          <w:rFonts w:cs="Times New Roman"/>
          <w:b/>
          <w:noProof/>
        </w:rPr>
        <w:t xml:space="preserve"> </w:t>
      </w:r>
      <w:r w:rsidR="00CB08BB">
        <w:rPr>
          <w:rFonts w:cs="Times New Roman"/>
          <w:b/>
          <w:noProof/>
        </w:rPr>
        <w:t xml:space="preserve">each of the </w:t>
      </w:r>
      <w:r w:rsidR="00625F4A">
        <w:rPr>
          <w:rFonts w:cs="Times New Roman"/>
          <w:b/>
          <w:noProof/>
        </w:rPr>
        <w:t>options.</w:t>
      </w:r>
      <w:r w:rsidR="00C06CBD">
        <w:rPr>
          <w:rFonts w:cs="Times New Roman"/>
          <w:b/>
          <w:noProof/>
        </w:rPr>
        <w:t xml:space="preserve"> </w:t>
      </w:r>
      <w:r w:rsidR="00226F8D" w:rsidRPr="00C06CBD">
        <w:rPr>
          <w:rFonts w:cs="Times New Roman"/>
          <w:noProof/>
        </w:rPr>
        <w:t>As there is no EU target for F-gas emissions</w:t>
      </w:r>
      <w:r w:rsidR="00734C13">
        <w:rPr>
          <w:rFonts w:cs="Times New Roman"/>
          <w:noProof/>
        </w:rPr>
        <w:t>,</w:t>
      </w:r>
      <w:r w:rsidR="00226F8D" w:rsidRPr="00C06CBD">
        <w:rPr>
          <w:rFonts w:cs="Times New Roman"/>
          <w:noProof/>
        </w:rPr>
        <w:t xml:space="preserve"> it is a political choice to </w:t>
      </w:r>
      <w:r w:rsidR="00F453AE" w:rsidRPr="00C06CBD">
        <w:rPr>
          <w:rFonts w:cs="Times New Roman"/>
          <w:noProof/>
        </w:rPr>
        <w:t xml:space="preserve">how much the Regulation </w:t>
      </w:r>
      <w:r w:rsidR="00226F8D" w:rsidRPr="00C06CBD">
        <w:rPr>
          <w:rFonts w:cs="Times New Roman"/>
          <w:noProof/>
        </w:rPr>
        <w:t xml:space="preserve">should </w:t>
      </w:r>
      <w:r w:rsidR="00F453AE" w:rsidRPr="00C06CBD">
        <w:rPr>
          <w:rFonts w:cs="Times New Roman"/>
          <w:noProof/>
        </w:rPr>
        <w:t xml:space="preserve">contribute to saving </w:t>
      </w:r>
      <w:r w:rsidR="00C06CBD" w:rsidRPr="00C06CBD">
        <w:rPr>
          <w:rFonts w:cs="Times New Roman"/>
          <w:noProof/>
        </w:rPr>
        <w:t>emissions</w:t>
      </w:r>
      <w:r w:rsidR="00F453AE" w:rsidRPr="00C06CBD">
        <w:rPr>
          <w:rFonts w:cs="Times New Roman"/>
          <w:noProof/>
        </w:rPr>
        <w:t>, and what the effort should be in addressing the issues of implementation and monitoring. However</w:t>
      </w:r>
      <w:r w:rsidR="00226F8D" w:rsidRPr="00C06CBD">
        <w:rPr>
          <w:rFonts w:cs="Times New Roman"/>
          <w:noProof/>
        </w:rPr>
        <w:t>,</w:t>
      </w:r>
      <w:r w:rsidR="00C06CBD">
        <w:rPr>
          <w:rFonts w:cs="Times New Roman"/>
          <w:noProof/>
        </w:rPr>
        <w:t xml:space="preserve"> </w:t>
      </w:r>
      <w:r w:rsidR="00226F8D" w:rsidRPr="00C06CBD">
        <w:rPr>
          <w:rFonts w:cs="Times New Roman"/>
          <w:noProof/>
        </w:rPr>
        <w:t>compliance with the Protocol must be safeguarded in all cases.</w:t>
      </w:r>
      <w:r w:rsidR="00226F8D">
        <w:rPr>
          <w:rFonts w:cs="Times New Roman"/>
          <w:noProof/>
        </w:rPr>
        <w:t xml:space="preserve">  Thus the </w:t>
      </w:r>
      <w:r w:rsidR="00F453AE">
        <w:rPr>
          <w:rFonts w:cs="Times New Roman"/>
          <w:noProof/>
        </w:rPr>
        <w:t xml:space="preserve">detailed </w:t>
      </w:r>
      <w:r w:rsidR="00226F8D">
        <w:rPr>
          <w:rFonts w:cs="Times New Roman"/>
          <w:noProof/>
        </w:rPr>
        <w:t xml:space="preserve">measures were </w:t>
      </w:r>
      <w:r w:rsidR="00625F4A" w:rsidRPr="00C06CBD">
        <w:rPr>
          <w:rFonts w:cs="Times New Roman"/>
          <w:noProof/>
        </w:rPr>
        <w:t>assign</w:t>
      </w:r>
      <w:r w:rsidR="00226F8D" w:rsidRPr="00C06CBD">
        <w:rPr>
          <w:rFonts w:cs="Times New Roman"/>
          <w:noProof/>
        </w:rPr>
        <w:t>ed</w:t>
      </w:r>
      <w:r w:rsidR="00625F4A" w:rsidRPr="00C06CBD">
        <w:rPr>
          <w:rFonts w:cs="Times New Roman"/>
          <w:noProof/>
        </w:rPr>
        <w:t xml:space="preserve"> on the premise that a</w:t>
      </w:r>
      <w:r w:rsidR="00466C85" w:rsidRPr="00C06CBD">
        <w:rPr>
          <w:rFonts w:cs="Times New Roman"/>
          <w:noProof/>
        </w:rPr>
        <w:t>ll options</w:t>
      </w:r>
      <w:r w:rsidR="002C4287" w:rsidRPr="00C06CBD">
        <w:rPr>
          <w:rFonts w:cs="Times New Roman"/>
          <w:noProof/>
        </w:rPr>
        <w:t xml:space="preserve"> </w:t>
      </w:r>
      <w:r w:rsidR="00625F4A" w:rsidRPr="00C06CBD">
        <w:rPr>
          <w:rFonts w:cs="Times New Roman"/>
          <w:noProof/>
        </w:rPr>
        <w:t>should</w:t>
      </w:r>
      <w:r w:rsidR="002C4287" w:rsidRPr="00C06CBD">
        <w:rPr>
          <w:rFonts w:cs="Times New Roman"/>
          <w:noProof/>
        </w:rPr>
        <w:t xml:space="preserve"> </w:t>
      </w:r>
      <w:r w:rsidR="00F453AE" w:rsidRPr="00C06CBD">
        <w:rPr>
          <w:rFonts w:cs="Times New Roman"/>
          <w:noProof/>
        </w:rPr>
        <w:t>do the latter as well as impro</w:t>
      </w:r>
      <w:r w:rsidR="00C06CBD" w:rsidRPr="00C06CBD">
        <w:rPr>
          <w:rFonts w:cs="Times New Roman"/>
          <w:noProof/>
        </w:rPr>
        <w:t>ve internal clarity and coheren</w:t>
      </w:r>
      <w:r w:rsidR="00F453AE" w:rsidRPr="00C06CBD">
        <w:rPr>
          <w:rFonts w:cs="Times New Roman"/>
          <w:noProof/>
        </w:rPr>
        <w:t>ce</w:t>
      </w:r>
      <w:r w:rsidR="00C06CBD" w:rsidRPr="00C06CBD">
        <w:rPr>
          <w:rFonts w:cs="Times New Roman"/>
          <w:noProof/>
        </w:rPr>
        <w:t>,</w:t>
      </w:r>
      <w:r w:rsidR="00F453AE" w:rsidRPr="00C06CBD">
        <w:rPr>
          <w:rFonts w:cs="Times New Roman"/>
          <w:noProof/>
        </w:rPr>
        <w:t xml:space="preserve"> but that the </w:t>
      </w:r>
      <w:r w:rsidR="00734C13" w:rsidRPr="00734C13">
        <w:rPr>
          <w:rFonts w:cs="Times New Roman"/>
          <w:b/>
          <w:noProof/>
        </w:rPr>
        <w:t xml:space="preserve">resulting </w:t>
      </w:r>
      <w:r w:rsidR="00F453AE">
        <w:rPr>
          <w:rFonts w:cs="Times New Roman"/>
          <w:b/>
          <w:noProof/>
        </w:rPr>
        <w:t>contribution to the other objectives should give a choice</w:t>
      </w:r>
      <w:r w:rsidR="00C06CBD">
        <w:rPr>
          <w:rFonts w:cs="Times New Roman"/>
          <w:b/>
          <w:noProof/>
        </w:rPr>
        <w:t xml:space="preserve"> </w:t>
      </w:r>
      <w:r w:rsidR="00734C13">
        <w:rPr>
          <w:rFonts w:cs="Times New Roman"/>
          <w:b/>
          <w:noProof/>
        </w:rPr>
        <w:t xml:space="preserve">on the basis of </w:t>
      </w:r>
      <w:r w:rsidR="00C06CBD">
        <w:rPr>
          <w:rFonts w:cs="Times New Roman"/>
          <w:b/>
          <w:noProof/>
        </w:rPr>
        <w:t xml:space="preserve">the </w:t>
      </w:r>
      <w:r w:rsidR="00DC1F2D" w:rsidRPr="002C3897">
        <w:rPr>
          <w:rFonts w:cs="Times New Roman"/>
          <w:b/>
          <w:noProof/>
        </w:rPr>
        <w:t xml:space="preserve">different </w:t>
      </w:r>
      <w:r w:rsidR="00625F4A">
        <w:rPr>
          <w:rFonts w:cs="Times New Roman"/>
          <w:b/>
          <w:noProof/>
        </w:rPr>
        <w:t xml:space="preserve">expected </w:t>
      </w:r>
      <w:r w:rsidR="00DC1F2D" w:rsidRPr="002C3897">
        <w:rPr>
          <w:rFonts w:cs="Times New Roman"/>
          <w:b/>
          <w:noProof/>
        </w:rPr>
        <w:t>levels of costs</w:t>
      </w:r>
      <w:r w:rsidR="00CF338B">
        <w:rPr>
          <w:rFonts w:cs="Times New Roman"/>
          <w:b/>
          <w:noProof/>
        </w:rPr>
        <w:t xml:space="preserve"> and effort</w:t>
      </w:r>
      <w:r w:rsidR="00925544">
        <w:rPr>
          <w:rFonts w:cs="Times New Roman"/>
          <w:b/>
          <w:noProof/>
        </w:rPr>
        <w:t xml:space="preserve"> (low-medium-high)</w:t>
      </w:r>
      <w:r w:rsidR="00DC1F2D" w:rsidRPr="002C3897">
        <w:rPr>
          <w:rFonts w:cs="Times New Roman"/>
          <w:b/>
          <w:noProof/>
        </w:rPr>
        <w:t>.</w:t>
      </w:r>
      <w:r w:rsidR="008B0CC2">
        <w:rPr>
          <w:rFonts w:cs="Times New Roman"/>
          <w:b/>
          <w:noProof/>
        </w:rPr>
        <w:t xml:space="preserve"> </w:t>
      </w:r>
      <w:r w:rsidR="00F453AE" w:rsidRPr="00C06CBD">
        <w:rPr>
          <w:rFonts w:cs="Times New Roman"/>
          <w:noProof/>
        </w:rPr>
        <w:t xml:space="preserve">The </w:t>
      </w:r>
      <w:r w:rsidR="00C06CBD" w:rsidRPr="00C06CBD">
        <w:rPr>
          <w:rFonts w:cs="Times New Roman"/>
          <w:noProof/>
        </w:rPr>
        <w:t xml:space="preserve">ensuing </w:t>
      </w:r>
      <w:r w:rsidR="00F453AE" w:rsidRPr="00C06CBD">
        <w:rPr>
          <w:rFonts w:cs="Times New Roman"/>
          <w:noProof/>
        </w:rPr>
        <w:t>assessment then</w:t>
      </w:r>
      <w:r w:rsidR="00C06CBD" w:rsidRPr="00C06CBD">
        <w:rPr>
          <w:rFonts w:cs="Times New Roman"/>
          <w:noProof/>
        </w:rPr>
        <w:t xml:space="preserve"> establishe</w:t>
      </w:r>
      <w:r w:rsidR="00C06CBD">
        <w:rPr>
          <w:rFonts w:cs="Times New Roman"/>
          <w:noProof/>
        </w:rPr>
        <w:t>s</w:t>
      </w:r>
      <w:r w:rsidR="00734C13">
        <w:rPr>
          <w:rFonts w:cs="Times New Roman"/>
          <w:noProof/>
        </w:rPr>
        <w:t xml:space="preserve"> how much the options</w:t>
      </w:r>
      <w:r w:rsidR="00F453AE" w:rsidRPr="00C06CBD">
        <w:rPr>
          <w:rFonts w:cs="Times New Roman"/>
          <w:noProof/>
        </w:rPr>
        <w:t xml:space="preserve"> actually contribute</w:t>
      </w:r>
      <w:r w:rsidR="00C06CBD" w:rsidRPr="00C06CBD">
        <w:rPr>
          <w:rFonts w:cs="Times New Roman"/>
          <w:noProof/>
        </w:rPr>
        <w:t xml:space="preserve"> to the other objectives, and</w:t>
      </w:r>
      <w:r w:rsidR="00C06CBD">
        <w:rPr>
          <w:rFonts w:cs="Times New Roman"/>
          <w:b/>
          <w:noProof/>
        </w:rPr>
        <w:t xml:space="preserve"> </w:t>
      </w:r>
      <w:r w:rsidR="00C06CBD" w:rsidRPr="00C8266A">
        <w:rPr>
          <w:rFonts w:cs="Times New Roman"/>
          <w:noProof/>
        </w:rPr>
        <w:t xml:space="preserve">a policy </w:t>
      </w:r>
      <w:r w:rsidR="00C06CBD">
        <w:rPr>
          <w:rFonts w:cs="Times New Roman"/>
          <w:noProof/>
        </w:rPr>
        <w:t xml:space="preserve">choice </w:t>
      </w:r>
      <w:r w:rsidR="00C06CBD" w:rsidRPr="00C8266A">
        <w:rPr>
          <w:rFonts w:cs="Times New Roman"/>
          <w:noProof/>
        </w:rPr>
        <w:t xml:space="preserve">can be </w:t>
      </w:r>
      <w:r w:rsidR="00C06CBD">
        <w:rPr>
          <w:rFonts w:cs="Times New Roman"/>
          <w:noProof/>
        </w:rPr>
        <w:t>made</w:t>
      </w:r>
      <w:r w:rsidR="00C06CBD" w:rsidRPr="00C8266A">
        <w:rPr>
          <w:rFonts w:cs="Times New Roman"/>
          <w:noProof/>
        </w:rPr>
        <w:t xml:space="preserve"> on the basis of the balance between </w:t>
      </w:r>
      <w:r w:rsidR="00C06CBD">
        <w:rPr>
          <w:rFonts w:cs="Times New Roman"/>
          <w:noProof/>
        </w:rPr>
        <w:t>achievable</w:t>
      </w:r>
      <w:r w:rsidR="00C06CBD" w:rsidRPr="00C8266A">
        <w:rPr>
          <w:rFonts w:cs="Times New Roman"/>
          <w:noProof/>
        </w:rPr>
        <w:t xml:space="preserve"> </w:t>
      </w:r>
      <w:r w:rsidR="00C06CBD">
        <w:rPr>
          <w:rFonts w:cs="Times New Roman"/>
          <w:noProof/>
        </w:rPr>
        <w:t>benefits</w:t>
      </w:r>
      <w:r w:rsidR="00C06CBD" w:rsidRPr="00C8266A">
        <w:rPr>
          <w:rFonts w:cs="Times New Roman"/>
          <w:noProof/>
        </w:rPr>
        <w:t xml:space="preserve"> and </w:t>
      </w:r>
      <w:r w:rsidR="00C06CBD">
        <w:rPr>
          <w:rFonts w:cs="Times New Roman"/>
          <w:noProof/>
        </w:rPr>
        <w:t xml:space="preserve">the </w:t>
      </w:r>
      <w:r w:rsidR="00C06CBD" w:rsidRPr="00C8266A">
        <w:rPr>
          <w:rFonts w:cs="Times New Roman"/>
          <w:noProof/>
        </w:rPr>
        <w:t>cost</w:t>
      </w:r>
      <w:r w:rsidR="00C06CBD">
        <w:rPr>
          <w:rFonts w:cs="Times New Roman"/>
          <w:noProof/>
        </w:rPr>
        <w:t xml:space="preserve"> and effort level involved. </w:t>
      </w:r>
      <w:r w:rsidR="00C06CBD" w:rsidRPr="00C06CBD">
        <w:rPr>
          <w:rFonts w:cs="Times New Roman"/>
          <w:noProof/>
        </w:rPr>
        <w:t>The original assigning of measures to the options was done on the basis of ex ante expected impacts and efforts and/or costs involved.</w:t>
      </w:r>
      <w:r w:rsidR="00C06CBD">
        <w:rPr>
          <w:rFonts w:cs="Times New Roman"/>
          <w:b/>
          <w:noProof/>
        </w:rPr>
        <w:t xml:space="preserve"> </w:t>
      </w:r>
      <w:r w:rsidR="00C06CBD">
        <w:rPr>
          <w:rFonts w:cs="Times New Roman"/>
          <w:noProof/>
        </w:rPr>
        <w:t>This approach was considered the most useful, in particular since Option 1 largely reflects the view expressed by some industry associations in the stakeholder consultations, which maintain that today`s Regulation is sufficiently ambitious and the review should merely align with global rules and address the challenges to implementation and control. Option 3 is advocated by other stakeholders, notably the NGOs and by some manufactures that want to invest in innovative climate-friendly technologies also in niche sectors where this may become expe</w:t>
      </w:r>
      <w:r w:rsidR="00C06CBD" w:rsidRPr="00C06CBD">
        <w:rPr>
          <w:rFonts w:cs="Times New Roman"/>
          <w:noProof/>
        </w:rPr>
        <w:t>nsive and Option 2 reflects the middle ground.</w:t>
      </w:r>
      <w:r w:rsidR="00C06CBD">
        <w:rPr>
          <w:rFonts w:cs="Times New Roman"/>
          <w:noProof/>
        </w:rPr>
        <w:t xml:space="preserve"> It is therefore politically relevant to explore the impacts of all three options. </w:t>
      </w:r>
    </w:p>
    <w:p w14:paraId="2B5C740C" w14:textId="17F86491" w:rsidR="0035568C" w:rsidRPr="00C06CBD" w:rsidRDefault="00C06CBD" w:rsidP="00DF457D">
      <w:pPr>
        <w:spacing w:after="120"/>
        <w:rPr>
          <w:rFonts w:cs="Times New Roman"/>
          <w:noProof/>
        </w:rPr>
      </w:pPr>
      <w:r w:rsidRPr="3982CBDC">
        <w:rPr>
          <w:rFonts w:cs="Times New Roman"/>
          <w:noProof/>
        </w:rPr>
        <w:t>The three options are described in more detail below</w:t>
      </w:r>
      <w:r>
        <w:rPr>
          <w:rFonts w:cs="Times New Roman"/>
          <w:noProof/>
        </w:rPr>
        <w:t xml:space="preserve"> and an overview of the bundling of individual measures in the three options are given in </w:t>
      </w:r>
      <w:r w:rsidRPr="00E82F73">
        <w:rPr>
          <w:rFonts w:cs="Times New Roman"/>
          <w:noProof/>
        </w:rPr>
        <w:fldChar w:fldCharType="begin"/>
      </w:r>
      <w:r w:rsidRPr="00E82F73">
        <w:rPr>
          <w:rFonts w:cs="Times New Roman"/>
          <w:noProof/>
        </w:rPr>
        <w:instrText xml:space="preserve"> REF _Ref80881102 \h </w:instrText>
      </w:r>
      <w:r w:rsidRPr="00C8266A">
        <w:rPr>
          <w:rFonts w:cs="Times New Roman"/>
          <w:noProof/>
        </w:rPr>
        <w:instrText xml:space="preserve"> \* MERGEFORMAT </w:instrText>
      </w:r>
      <w:r w:rsidRPr="00E82F73">
        <w:rPr>
          <w:rFonts w:cs="Times New Roman"/>
          <w:noProof/>
        </w:rPr>
      </w:r>
      <w:r w:rsidRPr="00E82F73">
        <w:rPr>
          <w:rFonts w:cs="Times New Roman"/>
          <w:noProof/>
        </w:rPr>
        <w:fldChar w:fldCharType="separate"/>
      </w:r>
      <w:r w:rsidRPr="00C8266A">
        <w:rPr>
          <w:rFonts w:cs="Times New Roman"/>
          <w:noProof/>
        </w:rPr>
        <w:t>Table 1</w:t>
      </w:r>
      <w:r w:rsidRPr="00E82F73">
        <w:rPr>
          <w:rFonts w:cs="Times New Roman"/>
          <w:noProof/>
        </w:rPr>
        <w:fldChar w:fldCharType="end"/>
      </w:r>
      <w:r>
        <w:rPr>
          <w:rFonts w:cs="Times New Roman"/>
          <w:noProof/>
        </w:rPr>
        <w:t xml:space="preserve">. </w:t>
      </w:r>
      <w:r w:rsidR="00625F4A" w:rsidRPr="00060915">
        <w:rPr>
          <w:rFonts w:cs="Times New Roman"/>
          <w:noProof/>
        </w:rPr>
        <w:t>T</w:t>
      </w:r>
      <w:r w:rsidR="00625F4A">
        <w:rPr>
          <w:rFonts w:cs="Times New Roman"/>
          <w:noProof/>
        </w:rPr>
        <w:t>he individual measures are mostly compatible and complementary to each other</w:t>
      </w:r>
      <w:r w:rsidR="00625F4A">
        <w:rPr>
          <w:rStyle w:val="FootnoteReference"/>
          <w:rFonts w:cs="Times New Roman"/>
          <w:noProof/>
        </w:rPr>
        <w:footnoteReference w:id="66"/>
      </w:r>
      <w:r w:rsidR="00625F4A">
        <w:rPr>
          <w:rFonts w:cs="Times New Roman"/>
          <w:noProof/>
        </w:rPr>
        <w:t xml:space="preserve"> and all </w:t>
      </w:r>
      <w:r w:rsidR="00625F4A" w:rsidRPr="3982CBDC">
        <w:rPr>
          <w:rFonts w:cs="Times New Roman"/>
          <w:noProof/>
        </w:rPr>
        <w:t>complementary measures included in Option 1</w:t>
      </w:r>
      <w:r w:rsidR="00625F4A">
        <w:rPr>
          <w:rFonts w:cs="Times New Roman"/>
          <w:noProof/>
        </w:rPr>
        <w:t xml:space="preserve"> are also </w:t>
      </w:r>
      <w:r w:rsidR="00625F4A" w:rsidRPr="3982CBDC">
        <w:rPr>
          <w:rFonts w:cs="Times New Roman"/>
          <w:noProof/>
        </w:rPr>
        <w:t xml:space="preserve">included </w:t>
      </w:r>
      <w:r w:rsidR="00625F4A">
        <w:rPr>
          <w:rFonts w:cs="Times New Roman"/>
          <w:noProof/>
        </w:rPr>
        <w:t xml:space="preserve">also in Option 2, just as </w:t>
      </w:r>
      <w:r w:rsidR="00625F4A" w:rsidRPr="3982CBDC">
        <w:rPr>
          <w:rFonts w:cs="Times New Roman"/>
          <w:noProof/>
        </w:rPr>
        <w:t xml:space="preserve">all </w:t>
      </w:r>
      <w:r w:rsidR="00625F4A">
        <w:rPr>
          <w:rFonts w:cs="Times New Roman"/>
          <w:noProof/>
        </w:rPr>
        <w:t xml:space="preserve">complementary </w:t>
      </w:r>
      <w:r w:rsidR="00625F4A" w:rsidRPr="3982CBDC">
        <w:rPr>
          <w:rFonts w:cs="Times New Roman"/>
          <w:noProof/>
        </w:rPr>
        <w:t xml:space="preserve">measures in Option 1 and 2 </w:t>
      </w:r>
      <w:r w:rsidR="00625F4A">
        <w:rPr>
          <w:rFonts w:cs="Times New Roman"/>
          <w:noProof/>
        </w:rPr>
        <w:t xml:space="preserve">are also </w:t>
      </w:r>
      <w:r w:rsidR="00625F4A" w:rsidRPr="3982CBDC">
        <w:rPr>
          <w:rFonts w:cs="Times New Roman"/>
          <w:noProof/>
        </w:rPr>
        <w:t xml:space="preserve">included in Option 3. Moreover, </w:t>
      </w:r>
      <w:r w:rsidR="00625F4A" w:rsidRPr="00C06CBD">
        <w:rPr>
          <w:rFonts w:cs="Times New Roman"/>
          <w:noProof/>
        </w:rPr>
        <w:t>any improvements seeking to clarify the rules or make them more coherent are included in all three options.</w:t>
      </w:r>
      <w:r w:rsidR="00625F4A" w:rsidRPr="3982CBDC">
        <w:rPr>
          <w:rFonts w:cs="Times New Roman"/>
          <w:noProof/>
        </w:rPr>
        <w:t xml:space="preserve"> </w:t>
      </w:r>
    </w:p>
    <w:p w14:paraId="14DCB96B" w14:textId="77777777" w:rsidR="000466BF" w:rsidRPr="00514C0F" w:rsidRDefault="3982CBDC" w:rsidP="00AD5F1B">
      <w:pPr>
        <w:pStyle w:val="ListParagraph"/>
        <w:keepNext/>
        <w:numPr>
          <w:ilvl w:val="0"/>
          <w:numId w:val="63"/>
        </w:numPr>
        <w:spacing w:after="120"/>
        <w:ind w:left="714" w:hanging="357"/>
        <w:rPr>
          <w:rFonts w:cs="Times New Roman"/>
          <w:b/>
          <w:bCs/>
          <w:noProof/>
        </w:rPr>
      </w:pPr>
      <w:r w:rsidRPr="3982CBDC">
        <w:rPr>
          <w:rFonts w:cs="Times New Roman"/>
          <w:b/>
          <w:bCs/>
          <w:noProof/>
        </w:rPr>
        <w:t>Option 1: Align with the Protocol &amp; low cost measures</w:t>
      </w:r>
    </w:p>
    <w:p w14:paraId="72C1F52A" w14:textId="1604AE92" w:rsidR="00271113" w:rsidRDefault="3982CBDC" w:rsidP="3982CBDC">
      <w:pPr>
        <w:spacing w:after="120"/>
        <w:rPr>
          <w:rFonts w:cs="Times New Roman"/>
          <w:noProof/>
        </w:rPr>
      </w:pPr>
      <w:r w:rsidRPr="3982CBDC">
        <w:rPr>
          <w:rFonts w:cs="Times New Roman"/>
          <w:noProof/>
        </w:rPr>
        <w:t xml:space="preserve">This option </w:t>
      </w:r>
      <w:r w:rsidR="006E1263">
        <w:rPr>
          <w:rFonts w:cs="Times New Roman"/>
          <w:noProof/>
        </w:rPr>
        <w:t>is a l</w:t>
      </w:r>
      <w:r w:rsidR="006E1263" w:rsidRPr="00C8266A">
        <w:rPr>
          <w:rFonts w:cs="Times New Roman"/>
          <w:b/>
          <w:noProof/>
        </w:rPr>
        <w:t>ow cost/low effort option</w:t>
      </w:r>
      <w:r w:rsidR="006E1263">
        <w:rPr>
          <w:rFonts w:cs="Times New Roman"/>
          <w:noProof/>
        </w:rPr>
        <w:t xml:space="preserve">. It </w:t>
      </w:r>
      <w:r w:rsidRPr="3982CBDC">
        <w:rPr>
          <w:rFonts w:cs="Times New Roman"/>
          <w:noProof/>
        </w:rPr>
        <w:t xml:space="preserve">includes </w:t>
      </w:r>
      <w:r w:rsidRPr="00C8266A">
        <w:rPr>
          <w:rFonts w:cs="Times New Roman"/>
          <w:bCs/>
          <w:noProof/>
        </w:rPr>
        <w:t>all measures to ensure long-term compliance with the Montreal Protocol</w:t>
      </w:r>
      <w:r w:rsidR="00466C85" w:rsidRPr="00C8266A">
        <w:rPr>
          <w:rFonts w:cs="Times New Roman"/>
          <w:bCs/>
          <w:noProof/>
        </w:rPr>
        <w:t xml:space="preserve">. It also includes </w:t>
      </w:r>
      <w:r w:rsidR="00E82F73">
        <w:rPr>
          <w:rFonts w:cs="Times New Roman"/>
          <w:bCs/>
          <w:noProof/>
        </w:rPr>
        <w:t xml:space="preserve">any </w:t>
      </w:r>
      <w:r w:rsidR="00466C85" w:rsidRPr="00C8266A">
        <w:rPr>
          <w:rFonts w:cs="Times New Roman"/>
          <w:bCs/>
          <w:noProof/>
        </w:rPr>
        <w:t xml:space="preserve">beneficial </w:t>
      </w:r>
      <w:r w:rsidRPr="00C8266A">
        <w:rPr>
          <w:rFonts w:cs="Times New Roman"/>
          <w:bCs/>
          <w:noProof/>
        </w:rPr>
        <w:t xml:space="preserve">measures </w:t>
      </w:r>
      <w:r w:rsidR="00DF457D">
        <w:rPr>
          <w:rFonts w:cs="Times New Roman"/>
          <w:bCs/>
          <w:noProof/>
        </w:rPr>
        <w:t>in the responses to the</w:t>
      </w:r>
      <w:r w:rsidR="006E1263" w:rsidRPr="00C8266A">
        <w:rPr>
          <w:rFonts w:cs="Times New Roman"/>
          <w:bCs/>
          <w:noProof/>
        </w:rPr>
        <w:t xml:space="preserve"> objectives </w:t>
      </w:r>
      <w:r w:rsidRPr="00C8266A">
        <w:rPr>
          <w:rFonts w:cs="Times New Roman"/>
          <w:bCs/>
          <w:noProof/>
        </w:rPr>
        <w:t xml:space="preserve">that </w:t>
      </w:r>
      <w:r w:rsidR="00E82F73">
        <w:rPr>
          <w:rFonts w:cs="Times New Roman"/>
          <w:bCs/>
          <w:noProof/>
        </w:rPr>
        <w:t>we</w:t>
      </w:r>
      <w:r w:rsidRPr="00C8266A">
        <w:rPr>
          <w:rFonts w:cs="Times New Roman"/>
          <w:bCs/>
          <w:noProof/>
        </w:rPr>
        <w:t>re expected to result in very low costs</w:t>
      </w:r>
      <w:r w:rsidR="006E1263" w:rsidRPr="00C8266A">
        <w:rPr>
          <w:rFonts w:cs="Times New Roman"/>
          <w:bCs/>
          <w:noProof/>
        </w:rPr>
        <w:t xml:space="preserve"> and effort</w:t>
      </w:r>
      <w:r w:rsidRPr="00C8266A">
        <w:rPr>
          <w:rFonts w:cs="Times New Roman"/>
          <w:bCs/>
          <w:noProof/>
        </w:rPr>
        <w:t>, if any</w:t>
      </w:r>
      <w:r w:rsidRPr="00E82F73">
        <w:rPr>
          <w:rFonts w:cs="Times New Roman"/>
          <w:noProof/>
        </w:rPr>
        <w:t>.</w:t>
      </w:r>
      <w:r w:rsidRPr="3982CBDC">
        <w:rPr>
          <w:rFonts w:cs="Times New Roman"/>
          <w:noProof/>
        </w:rPr>
        <w:t xml:space="preserve"> </w:t>
      </w:r>
    </w:p>
    <w:p w14:paraId="65B7D940" w14:textId="56BC7E76" w:rsidR="00A721AB" w:rsidRPr="000D3769" w:rsidRDefault="3982CBDC" w:rsidP="3982CBDC">
      <w:pPr>
        <w:spacing w:after="120"/>
        <w:rPr>
          <w:rFonts w:cs="Times New Roman"/>
          <w:noProof/>
        </w:rPr>
      </w:pPr>
      <w:r w:rsidRPr="005E093F">
        <w:rPr>
          <w:rFonts w:cs="Times New Roman"/>
          <w:b/>
          <w:noProof/>
        </w:rPr>
        <w:t>To align</w:t>
      </w:r>
      <w:r w:rsidR="00E82F73">
        <w:rPr>
          <w:rFonts w:cs="Times New Roman"/>
          <w:b/>
          <w:noProof/>
        </w:rPr>
        <w:t xml:space="preserve"> with global rules</w:t>
      </w:r>
      <w:r w:rsidR="00FC7AC8">
        <w:rPr>
          <w:rFonts w:cs="Times New Roman"/>
          <w:b/>
          <w:noProof/>
        </w:rPr>
        <w:t>,</w:t>
      </w:r>
      <w:r w:rsidRPr="3982CBDC">
        <w:rPr>
          <w:rFonts w:cs="Times New Roman"/>
          <w:noProof/>
        </w:rPr>
        <w:t xml:space="preserve"> the sizeable quota exemption for MDIs and the </w:t>
      </w:r>
      <w:r w:rsidRPr="3982CBDC">
        <w:rPr>
          <w:rFonts w:cs="Times New Roman"/>
          <w:i/>
          <w:iCs/>
          <w:noProof/>
        </w:rPr>
        <w:t>de minimis</w:t>
      </w:r>
      <w:r w:rsidRPr="3982CBDC">
        <w:rPr>
          <w:rFonts w:cs="Times New Roman"/>
          <w:noProof/>
        </w:rPr>
        <w:t xml:space="preserve"> thresholds </w:t>
      </w:r>
      <w:r w:rsidR="005B794A">
        <w:rPr>
          <w:rFonts w:cs="Times New Roman"/>
          <w:noProof/>
        </w:rPr>
        <w:t xml:space="preserve">for quota and </w:t>
      </w:r>
      <w:r w:rsidRPr="3982CBDC">
        <w:rPr>
          <w:rFonts w:cs="Times New Roman"/>
          <w:noProof/>
        </w:rPr>
        <w:t xml:space="preserve">reporting are removed. </w:t>
      </w:r>
      <w:r w:rsidR="00060915">
        <w:rPr>
          <w:rFonts w:cs="Times New Roman"/>
          <w:noProof/>
        </w:rPr>
        <w:t>T</w:t>
      </w:r>
      <w:r w:rsidR="00E63D04" w:rsidRPr="3982CBDC">
        <w:rPr>
          <w:rFonts w:cs="Times New Roman"/>
          <w:noProof/>
        </w:rPr>
        <w:t xml:space="preserve">he </w:t>
      </w:r>
      <w:r w:rsidR="00E63D04" w:rsidRPr="005E093F">
        <w:rPr>
          <w:rFonts w:cs="Times New Roman"/>
          <w:bCs/>
          <w:noProof/>
        </w:rPr>
        <w:t xml:space="preserve">HFC quota </w:t>
      </w:r>
      <w:r w:rsidR="00F114C9" w:rsidRPr="005E093F">
        <w:rPr>
          <w:rFonts w:cs="Times New Roman"/>
          <w:bCs/>
          <w:noProof/>
        </w:rPr>
        <w:t>levels</w:t>
      </w:r>
      <w:r w:rsidRPr="005E093F">
        <w:rPr>
          <w:rFonts w:cs="Times New Roman"/>
          <w:bCs/>
          <w:noProof/>
        </w:rPr>
        <w:t xml:space="preserve"> after 2030 are set </w:t>
      </w:r>
      <w:r w:rsidR="00F114C9" w:rsidRPr="005E093F">
        <w:rPr>
          <w:rFonts w:cs="Times New Roman"/>
          <w:bCs/>
          <w:noProof/>
        </w:rPr>
        <w:t xml:space="preserve">to </w:t>
      </w:r>
      <w:r w:rsidR="007045CC">
        <w:rPr>
          <w:rFonts w:cs="Times New Roman"/>
          <w:bCs/>
          <w:noProof/>
        </w:rPr>
        <w:t>(</w:t>
      </w:r>
      <w:r w:rsidR="005B794A">
        <w:rPr>
          <w:rFonts w:cs="Times New Roman"/>
          <w:bCs/>
          <w:noProof/>
        </w:rPr>
        <w:t>just</w:t>
      </w:r>
      <w:r w:rsidR="007045CC">
        <w:rPr>
          <w:rFonts w:cs="Times New Roman"/>
          <w:bCs/>
          <w:noProof/>
        </w:rPr>
        <w:t>)</w:t>
      </w:r>
      <w:r w:rsidR="005B794A">
        <w:rPr>
          <w:rFonts w:cs="Times New Roman"/>
          <w:bCs/>
          <w:noProof/>
        </w:rPr>
        <w:t xml:space="preserve"> </w:t>
      </w:r>
      <w:r w:rsidRPr="005E093F">
        <w:rPr>
          <w:rFonts w:cs="Times New Roman"/>
          <w:bCs/>
          <w:noProof/>
        </w:rPr>
        <w:t>ascertain that the Protocol consumption phase-down can be met in the long run</w:t>
      </w:r>
      <w:r w:rsidRPr="005E093F">
        <w:rPr>
          <w:rFonts w:cs="Times New Roman"/>
          <w:noProof/>
        </w:rPr>
        <w:t xml:space="preserve"> and</w:t>
      </w:r>
      <w:r w:rsidRPr="3982CBDC">
        <w:rPr>
          <w:rFonts w:cs="Times New Roman"/>
          <w:noProof/>
        </w:rPr>
        <w:t xml:space="preserve"> under all circumstanc</w:t>
      </w:r>
      <w:r w:rsidR="00E63D04">
        <w:rPr>
          <w:rFonts w:cs="Times New Roman"/>
          <w:noProof/>
        </w:rPr>
        <w:t xml:space="preserve">es. </w:t>
      </w:r>
      <w:r w:rsidR="00FC7AC8">
        <w:rPr>
          <w:rFonts w:cs="Times New Roman"/>
          <w:noProof/>
        </w:rPr>
        <w:t xml:space="preserve">A </w:t>
      </w:r>
      <w:r w:rsidR="00FC7AC8" w:rsidRPr="3982CBDC">
        <w:rPr>
          <w:rFonts w:cs="Times New Roman"/>
          <w:noProof/>
        </w:rPr>
        <w:t>separate HFC pr</w:t>
      </w:r>
      <w:r w:rsidR="00FC7AC8">
        <w:rPr>
          <w:rFonts w:cs="Times New Roman"/>
          <w:noProof/>
        </w:rPr>
        <w:t>oduction phase-down,</w:t>
      </w:r>
      <w:r w:rsidR="00FC7AC8" w:rsidRPr="3982CBDC">
        <w:rPr>
          <w:rFonts w:cs="Times New Roman"/>
          <w:noProof/>
        </w:rPr>
        <w:t xml:space="preserve"> a ban on trade with non-parties to the Protocol</w:t>
      </w:r>
      <w:r w:rsidR="007045CC">
        <w:rPr>
          <w:rFonts w:cs="Times New Roman"/>
          <w:noProof/>
        </w:rPr>
        <w:t xml:space="preserve"> from 2033</w:t>
      </w:r>
      <w:r w:rsidR="00FC7AC8" w:rsidRPr="3982CBDC">
        <w:rPr>
          <w:rFonts w:cs="Times New Roman"/>
          <w:noProof/>
        </w:rPr>
        <w:t xml:space="preserve"> and flexibility to allow </w:t>
      </w:r>
      <w:r w:rsidR="00FC7AC8">
        <w:rPr>
          <w:rFonts w:cs="Times New Roman"/>
          <w:noProof/>
        </w:rPr>
        <w:t xml:space="preserve">further </w:t>
      </w:r>
      <w:r w:rsidR="00FC7AC8" w:rsidRPr="3982CBDC">
        <w:rPr>
          <w:rFonts w:cs="Times New Roman"/>
          <w:noProof/>
        </w:rPr>
        <w:t>alignment with new international rules</w:t>
      </w:r>
      <w:r w:rsidR="00FC7AC8">
        <w:rPr>
          <w:rFonts w:cs="Times New Roman"/>
          <w:noProof/>
        </w:rPr>
        <w:t xml:space="preserve"> are introduced. </w:t>
      </w:r>
      <w:r w:rsidR="00E63D04" w:rsidRPr="007045CC">
        <w:rPr>
          <w:rFonts w:cs="Times New Roman"/>
          <w:b/>
          <w:noProof/>
        </w:rPr>
        <w:t>To complement the HFC quota system</w:t>
      </w:r>
      <w:r w:rsidRPr="3982CBDC">
        <w:rPr>
          <w:rFonts w:cs="Times New Roman"/>
          <w:noProof/>
        </w:rPr>
        <w:t xml:space="preserve">, some </w:t>
      </w:r>
      <w:r w:rsidR="00FC7AC8" w:rsidRPr="00C8266A">
        <w:rPr>
          <w:rFonts w:cs="Times New Roman"/>
          <w:i/>
          <w:noProof/>
        </w:rPr>
        <w:t>low-</w:t>
      </w:r>
      <w:r w:rsidR="00060915" w:rsidRPr="00C8266A">
        <w:rPr>
          <w:rFonts w:cs="Times New Roman"/>
          <w:i/>
          <w:noProof/>
        </w:rPr>
        <w:t>cost</w:t>
      </w:r>
      <w:r w:rsidR="00060915">
        <w:rPr>
          <w:rFonts w:cs="Times New Roman"/>
          <w:noProof/>
        </w:rPr>
        <w:t xml:space="preserve"> </w:t>
      </w:r>
      <w:r w:rsidRPr="3982CBDC">
        <w:rPr>
          <w:rFonts w:cs="Times New Roman"/>
          <w:noProof/>
        </w:rPr>
        <w:t xml:space="preserve">prohibitions to use F-gases in new cooling and fire equipment </w:t>
      </w:r>
      <w:r w:rsidR="007045CC">
        <w:rPr>
          <w:rFonts w:cs="Times New Roman"/>
          <w:noProof/>
        </w:rPr>
        <w:t xml:space="preserve">and </w:t>
      </w:r>
      <w:r w:rsidR="00FC7AC8" w:rsidRPr="007045CC">
        <w:rPr>
          <w:rFonts w:cs="Times New Roman"/>
          <w:noProof/>
        </w:rPr>
        <w:t>a</w:t>
      </w:r>
      <w:r w:rsidR="005B794A" w:rsidRPr="007045CC">
        <w:rPr>
          <w:rFonts w:cs="Times New Roman"/>
          <w:noProof/>
        </w:rPr>
        <w:t xml:space="preserve"> </w:t>
      </w:r>
      <w:r w:rsidR="00FC7AC8" w:rsidRPr="00C8266A">
        <w:rPr>
          <w:rFonts w:cs="Times New Roman"/>
          <w:i/>
          <w:noProof/>
        </w:rPr>
        <w:t>low-cost</w:t>
      </w:r>
      <w:r w:rsidR="00FC7AC8" w:rsidRPr="007045CC">
        <w:rPr>
          <w:rFonts w:cs="Times New Roman"/>
          <w:noProof/>
        </w:rPr>
        <w:t xml:space="preserve"> measure</w:t>
      </w:r>
      <w:r w:rsidR="003C5091" w:rsidRPr="007045CC">
        <w:rPr>
          <w:rFonts w:cs="Times New Roman"/>
          <w:noProof/>
        </w:rPr>
        <w:t xml:space="preserve"> to </w:t>
      </w:r>
      <w:r w:rsidR="005B794A" w:rsidRPr="007045CC">
        <w:rPr>
          <w:rFonts w:cs="Times New Roman"/>
          <w:noProof/>
        </w:rPr>
        <w:t>prevent emissions</w:t>
      </w:r>
      <w:r w:rsidR="00FC7AC8">
        <w:rPr>
          <w:rFonts w:cs="Times New Roman"/>
          <w:b/>
          <w:noProof/>
        </w:rPr>
        <w:t xml:space="preserve"> </w:t>
      </w:r>
      <w:r w:rsidR="007045CC" w:rsidRPr="007045CC">
        <w:rPr>
          <w:rFonts w:cs="Times New Roman"/>
          <w:noProof/>
        </w:rPr>
        <w:t xml:space="preserve">from </w:t>
      </w:r>
      <w:r w:rsidR="007045CC" w:rsidRPr="3982CBDC">
        <w:rPr>
          <w:rFonts w:cs="Times New Roman"/>
          <w:noProof/>
        </w:rPr>
        <w:t xml:space="preserve">one </w:t>
      </w:r>
      <w:r w:rsidR="003F31D3">
        <w:rPr>
          <w:rFonts w:cs="Times New Roman"/>
          <w:noProof/>
        </w:rPr>
        <w:t xml:space="preserve">specific </w:t>
      </w:r>
      <w:r w:rsidR="007045CC" w:rsidRPr="3982CBDC">
        <w:rPr>
          <w:rFonts w:cs="Times New Roman"/>
          <w:noProof/>
        </w:rPr>
        <w:t>type of insulation foam (“sandwich panels”)</w:t>
      </w:r>
      <w:r w:rsidR="007045CC">
        <w:rPr>
          <w:rFonts w:cs="Times New Roman"/>
          <w:noProof/>
        </w:rPr>
        <w:t xml:space="preserve"> using HFCs</w:t>
      </w:r>
      <w:r w:rsidR="007045CC">
        <w:rPr>
          <w:rStyle w:val="FootnoteReference"/>
          <w:rFonts w:cs="Times New Roman"/>
          <w:noProof/>
        </w:rPr>
        <w:footnoteReference w:id="67"/>
      </w:r>
      <w:r w:rsidR="007045CC" w:rsidRPr="3982CBDC">
        <w:rPr>
          <w:rFonts w:cs="Times New Roman"/>
          <w:noProof/>
        </w:rPr>
        <w:t xml:space="preserve"> </w:t>
      </w:r>
      <w:r w:rsidR="00FC7AC8" w:rsidRPr="007045CC">
        <w:rPr>
          <w:rFonts w:cs="Times New Roman"/>
          <w:noProof/>
        </w:rPr>
        <w:t>is</w:t>
      </w:r>
      <w:r w:rsidR="003C5091" w:rsidRPr="007045CC">
        <w:rPr>
          <w:rFonts w:cs="Times New Roman"/>
          <w:noProof/>
        </w:rPr>
        <w:t xml:space="preserve"> included</w:t>
      </w:r>
      <w:r w:rsidR="007045CC" w:rsidRPr="007045CC">
        <w:rPr>
          <w:rFonts w:cs="Times New Roman"/>
          <w:noProof/>
        </w:rPr>
        <w:t>.</w:t>
      </w:r>
      <w:r w:rsidR="00FC7AC8">
        <w:rPr>
          <w:rFonts w:cs="Times New Roman"/>
          <w:noProof/>
        </w:rPr>
        <w:t xml:space="preserve"> </w:t>
      </w:r>
      <w:r w:rsidR="005E093F" w:rsidRPr="00F44848">
        <w:rPr>
          <w:rFonts w:cs="Times New Roman"/>
          <w:b/>
          <w:noProof/>
        </w:rPr>
        <w:t>Low cost measures t</w:t>
      </w:r>
      <w:r w:rsidRPr="00F44848">
        <w:rPr>
          <w:rFonts w:cs="Times New Roman"/>
          <w:b/>
          <w:noProof/>
        </w:rPr>
        <w:t>o improve control, implementation and monitoring</w:t>
      </w:r>
      <w:r w:rsidR="005E093F" w:rsidRPr="00F44848">
        <w:rPr>
          <w:rFonts w:cs="Times New Roman"/>
          <w:b/>
          <w:noProof/>
        </w:rPr>
        <w:t xml:space="preserve"> </w:t>
      </w:r>
      <w:r w:rsidR="005E093F" w:rsidRPr="00F44848">
        <w:rPr>
          <w:rFonts w:cs="Times New Roman"/>
          <w:noProof/>
        </w:rPr>
        <w:t>include that</w:t>
      </w:r>
      <w:r w:rsidRPr="00F44848">
        <w:rPr>
          <w:rFonts w:cs="Times New Roman"/>
          <w:b/>
          <w:noProof/>
        </w:rPr>
        <w:t xml:space="preserve"> </w:t>
      </w:r>
      <w:r w:rsidR="005E093F" w:rsidRPr="00F44848">
        <w:rPr>
          <w:rFonts w:cs="Times New Roman"/>
          <w:noProof/>
        </w:rPr>
        <w:t>e</w:t>
      </w:r>
      <w:r w:rsidRPr="00F44848">
        <w:rPr>
          <w:rFonts w:cs="Times New Roman"/>
          <w:noProof/>
        </w:rPr>
        <w:t xml:space="preserve">nergy efficiency aspects </w:t>
      </w:r>
      <w:r w:rsidR="005E093F" w:rsidRPr="00F44848">
        <w:rPr>
          <w:rFonts w:cs="Times New Roman"/>
          <w:noProof/>
        </w:rPr>
        <w:t xml:space="preserve">are </w:t>
      </w:r>
      <w:r w:rsidRPr="00F44848">
        <w:rPr>
          <w:rFonts w:cs="Times New Roman"/>
          <w:noProof/>
        </w:rPr>
        <w:t>added to the training curriculum for equipment service personn</w:t>
      </w:r>
      <w:r w:rsidR="005E093F" w:rsidRPr="00F44848">
        <w:rPr>
          <w:rFonts w:cs="Times New Roman"/>
          <w:noProof/>
        </w:rPr>
        <w:t>el</w:t>
      </w:r>
      <w:r w:rsidR="003C5091" w:rsidRPr="00F44848">
        <w:rPr>
          <w:rFonts w:cs="Times New Roman"/>
          <w:noProof/>
        </w:rPr>
        <w:t xml:space="preserve">. Furthermore, </w:t>
      </w:r>
      <w:r w:rsidRPr="00F44848">
        <w:rPr>
          <w:rFonts w:cs="Times New Roman"/>
          <w:noProof/>
        </w:rPr>
        <w:t>rules for customs will be clarified and reinforced</w:t>
      </w:r>
      <w:r w:rsidR="003C5091" w:rsidRPr="00F44848">
        <w:rPr>
          <w:rFonts w:cs="Times New Roman"/>
          <w:noProof/>
        </w:rPr>
        <w:t xml:space="preserve"> and it </w:t>
      </w:r>
      <w:r w:rsidR="000408C1">
        <w:rPr>
          <w:rFonts w:cs="Times New Roman"/>
          <w:noProof/>
        </w:rPr>
        <w:t>will be stipulated</w:t>
      </w:r>
      <w:r w:rsidR="005E093F" w:rsidRPr="00F44848">
        <w:rPr>
          <w:rFonts w:cs="Times New Roman"/>
          <w:noProof/>
        </w:rPr>
        <w:t xml:space="preserve"> that </w:t>
      </w:r>
      <w:r w:rsidRPr="00F44848">
        <w:rPr>
          <w:rFonts w:cs="Times New Roman"/>
          <w:noProof/>
        </w:rPr>
        <w:t xml:space="preserve">importers need to have sufficient quota and </w:t>
      </w:r>
      <w:r w:rsidR="005E093F" w:rsidRPr="00F44848">
        <w:rPr>
          <w:rFonts w:cs="Times New Roman"/>
          <w:noProof/>
        </w:rPr>
        <w:t xml:space="preserve">appropriate </w:t>
      </w:r>
      <w:r w:rsidRPr="00F44848">
        <w:rPr>
          <w:rFonts w:cs="Times New Roman"/>
          <w:noProof/>
        </w:rPr>
        <w:t xml:space="preserve">labelling </w:t>
      </w:r>
      <w:r w:rsidRPr="00F44848">
        <w:rPr>
          <w:rFonts w:cs="Times New Roman"/>
          <w:noProof/>
          <w:u w:val="single"/>
        </w:rPr>
        <w:t>at the moment</w:t>
      </w:r>
      <w:r w:rsidRPr="00F44848">
        <w:rPr>
          <w:rFonts w:cs="Times New Roman"/>
          <w:noProof/>
        </w:rPr>
        <w:t xml:space="preserve"> of import or physical entry</w:t>
      </w:r>
      <w:r w:rsidR="00007848">
        <w:rPr>
          <w:rStyle w:val="FootnoteReference"/>
          <w:rFonts w:cs="Times New Roman"/>
          <w:noProof/>
        </w:rPr>
        <w:footnoteReference w:id="68"/>
      </w:r>
      <w:r w:rsidR="007045CC" w:rsidRPr="00F44848">
        <w:rPr>
          <w:rFonts w:cs="Times New Roman"/>
          <w:noProof/>
        </w:rPr>
        <w:t>.</w:t>
      </w:r>
      <w:r w:rsidR="003C5091">
        <w:rPr>
          <w:rFonts w:cs="Times New Roman"/>
          <w:noProof/>
        </w:rPr>
        <w:t xml:space="preserve"> </w:t>
      </w:r>
      <w:r w:rsidR="00F44848">
        <w:rPr>
          <w:rFonts w:cs="Times New Roman"/>
          <w:noProof/>
        </w:rPr>
        <w:t xml:space="preserve">The </w:t>
      </w:r>
      <w:r w:rsidR="000408C1">
        <w:rPr>
          <w:rFonts w:cs="Times New Roman"/>
          <w:noProof/>
        </w:rPr>
        <w:t xml:space="preserve">improvement of the </w:t>
      </w:r>
      <w:r w:rsidR="00F44848">
        <w:rPr>
          <w:rFonts w:cs="Times New Roman"/>
          <w:noProof/>
        </w:rPr>
        <w:t xml:space="preserve">rules concerning reporting and verification </w:t>
      </w:r>
      <w:r w:rsidR="000408C1">
        <w:rPr>
          <w:rFonts w:cs="Times New Roman"/>
          <w:noProof/>
        </w:rPr>
        <w:t>increases</w:t>
      </w:r>
      <w:r w:rsidR="00F44848">
        <w:rPr>
          <w:rFonts w:cs="Times New Roman"/>
          <w:noProof/>
        </w:rPr>
        <w:t xml:space="preserve"> efficie</w:t>
      </w:r>
      <w:r w:rsidR="000408C1">
        <w:rPr>
          <w:rFonts w:cs="Times New Roman"/>
          <w:noProof/>
        </w:rPr>
        <w:t xml:space="preserve">ncy and </w:t>
      </w:r>
      <w:r w:rsidR="00F44848">
        <w:rPr>
          <w:rFonts w:cs="Times New Roman"/>
          <w:noProof/>
        </w:rPr>
        <w:t>support</w:t>
      </w:r>
      <w:r w:rsidR="000408C1">
        <w:rPr>
          <w:rFonts w:cs="Times New Roman"/>
          <w:noProof/>
        </w:rPr>
        <w:t>s</w:t>
      </w:r>
      <w:r w:rsidR="00F44848">
        <w:rPr>
          <w:rFonts w:cs="Times New Roman"/>
          <w:noProof/>
        </w:rPr>
        <w:t xml:space="preserve"> compliance checking.</w:t>
      </w:r>
      <w:r w:rsidR="003C5091" w:rsidRPr="00F44848">
        <w:rPr>
          <w:rFonts w:cs="Times New Roman"/>
          <w:noProof/>
        </w:rPr>
        <w:t xml:space="preserve"> </w:t>
      </w:r>
      <w:r w:rsidR="00F44848">
        <w:rPr>
          <w:rFonts w:cs="Times New Roman"/>
          <w:noProof/>
        </w:rPr>
        <w:t>S</w:t>
      </w:r>
      <w:r w:rsidRPr="00F44848">
        <w:rPr>
          <w:rFonts w:cs="Times New Roman"/>
          <w:noProof/>
        </w:rPr>
        <w:t xml:space="preserve">ome </w:t>
      </w:r>
      <w:r w:rsidR="00F44848">
        <w:rPr>
          <w:rFonts w:cs="Times New Roman"/>
          <w:noProof/>
        </w:rPr>
        <w:t xml:space="preserve">new relevant </w:t>
      </w:r>
      <w:r w:rsidRPr="00F44848">
        <w:rPr>
          <w:rFonts w:cs="Times New Roman"/>
          <w:noProof/>
        </w:rPr>
        <w:t xml:space="preserve">substances are added. </w:t>
      </w:r>
    </w:p>
    <w:p w14:paraId="5916548D" w14:textId="68A51A68" w:rsidR="000466BF" w:rsidRPr="00A721AB" w:rsidRDefault="3982CBDC" w:rsidP="00AD5F1B">
      <w:pPr>
        <w:numPr>
          <w:ilvl w:val="0"/>
          <w:numId w:val="8"/>
        </w:numPr>
        <w:spacing w:after="120"/>
        <w:ind w:left="714" w:hanging="357"/>
        <w:rPr>
          <w:rFonts w:cs="Times New Roman"/>
          <w:b/>
          <w:bCs/>
          <w:noProof/>
        </w:rPr>
      </w:pPr>
      <w:r w:rsidRPr="3982CBDC">
        <w:rPr>
          <w:rFonts w:cs="Times New Roman"/>
          <w:b/>
          <w:bCs/>
          <w:noProof/>
        </w:rPr>
        <w:t xml:space="preserve">Option 2: Achieve proportionate emission </w:t>
      </w:r>
      <w:r w:rsidR="00D566FD">
        <w:rPr>
          <w:rFonts w:cs="Times New Roman"/>
          <w:b/>
          <w:bCs/>
          <w:noProof/>
        </w:rPr>
        <w:t>reduction</w:t>
      </w:r>
      <w:r w:rsidRPr="3982CBDC">
        <w:rPr>
          <w:rFonts w:cs="Times New Roman"/>
          <w:b/>
          <w:bCs/>
          <w:noProof/>
        </w:rPr>
        <w:t>s and implementation improvements</w:t>
      </w:r>
    </w:p>
    <w:p w14:paraId="38485DFD" w14:textId="4A69863F" w:rsidR="003130F2" w:rsidRDefault="005758A5" w:rsidP="003130F2">
      <w:pPr>
        <w:spacing w:after="120"/>
        <w:rPr>
          <w:rFonts w:cs="Times New Roman"/>
          <w:noProof/>
        </w:rPr>
      </w:pPr>
      <w:r w:rsidRPr="00C8266A">
        <w:rPr>
          <w:rFonts w:cs="Times New Roman"/>
          <w:b/>
          <w:noProof/>
        </w:rPr>
        <w:t>Option 2 requires moderate costs and effort</w:t>
      </w:r>
      <w:r>
        <w:rPr>
          <w:rFonts w:cs="Times New Roman"/>
          <w:noProof/>
        </w:rPr>
        <w:t xml:space="preserve">. </w:t>
      </w:r>
      <w:r w:rsidR="3982CBDC" w:rsidRPr="3982CBDC">
        <w:rPr>
          <w:rFonts w:cs="Times New Roman"/>
          <w:noProof/>
        </w:rPr>
        <w:t>In addition to the measures in Option 1,</w:t>
      </w:r>
      <w:r w:rsidR="3982CBDC" w:rsidRPr="3982CBDC">
        <w:rPr>
          <w:rFonts w:cs="Times New Roman"/>
          <w:b/>
          <w:bCs/>
          <w:noProof/>
        </w:rPr>
        <w:t xml:space="preserve"> </w:t>
      </w:r>
      <w:r w:rsidR="3982CBDC" w:rsidRPr="3982CBDC">
        <w:rPr>
          <w:rFonts w:cs="Times New Roman"/>
          <w:noProof/>
        </w:rPr>
        <w:t xml:space="preserve">Option 2 will seek to </w:t>
      </w:r>
      <w:r w:rsidR="00DF457D">
        <w:rPr>
          <w:rFonts w:cs="Times New Roman"/>
          <w:b/>
          <w:bCs/>
          <w:noProof/>
        </w:rPr>
        <w:t>reduce emissions further, but only to the point</w:t>
      </w:r>
      <w:r w:rsidR="3982CBDC" w:rsidRPr="3982CBDC">
        <w:rPr>
          <w:rFonts w:cs="Times New Roman"/>
          <w:b/>
          <w:bCs/>
          <w:noProof/>
        </w:rPr>
        <w:t xml:space="preserve"> </w:t>
      </w:r>
      <w:r w:rsidR="00DF457D">
        <w:rPr>
          <w:rFonts w:cs="Times New Roman"/>
          <w:b/>
          <w:bCs/>
          <w:noProof/>
        </w:rPr>
        <w:t>where a sub-sector would not have to pay more than marginal sectoral abatement costs expected for the economy overall</w:t>
      </w:r>
      <w:r w:rsidR="3982CBDC" w:rsidRPr="3982CBDC">
        <w:rPr>
          <w:rFonts w:cs="Times New Roman"/>
          <w:b/>
          <w:bCs/>
          <w:noProof/>
        </w:rPr>
        <w:t xml:space="preserve"> to reach carbon neutrality in 2050</w:t>
      </w:r>
      <w:r w:rsidR="00DF457D">
        <w:rPr>
          <w:rFonts w:cs="Times New Roman"/>
          <w:b/>
          <w:bCs/>
          <w:noProof/>
        </w:rPr>
        <w:t xml:space="preserve"> </w:t>
      </w:r>
      <w:r w:rsidR="00DF457D" w:rsidRPr="00DF457D">
        <w:rPr>
          <w:rFonts w:cs="Times New Roman"/>
          <w:bCs/>
          <w:noProof/>
        </w:rPr>
        <w:t>(see below)</w:t>
      </w:r>
      <w:r w:rsidR="3982CBDC" w:rsidRPr="00DF457D">
        <w:rPr>
          <w:rFonts w:cs="Times New Roman"/>
          <w:noProof/>
        </w:rPr>
        <w:t>.</w:t>
      </w:r>
      <w:r w:rsidR="00963729">
        <w:rPr>
          <w:rFonts w:cs="Times New Roman"/>
          <w:noProof/>
        </w:rPr>
        <w:t xml:space="preserve"> </w:t>
      </w:r>
      <w:r w:rsidR="003130F2">
        <w:rPr>
          <w:rFonts w:cs="Times New Roman"/>
          <w:noProof/>
        </w:rPr>
        <w:t xml:space="preserve">The </w:t>
      </w:r>
      <w:r w:rsidR="003130F2" w:rsidRPr="003130F2">
        <w:rPr>
          <w:rFonts w:cs="Times New Roman"/>
          <w:b/>
          <w:noProof/>
        </w:rPr>
        <w:t>alignment measures</w:t>
      </w:r>
      <w:r w:rsidR="003130F2">
        <w:rPr>
          <w:rFonts w:cs="Times New Roman"/>
          <w:noProof/>
        </w:rPr>
        <w:t xml:space="preserve"> are essentially the same as Option 1, but the </w:t>
      </w:r>
      <w:r w:rsidR="00304CA9">
        <w:rPr>
          <w:rFonts w:cs="Times New Roman"/>
          <w:noProof/>
        </w:rPr>
        <w:t xml:space="preserve">prohibition to </w:t>
      </w:r>
      <w:r w:rsidR="003130F2">
        <w:rPr>
          <w:rFonts w:cs="Times New Roman"/>
          <w:noProof/>
        </w:rPr>
        <w:t>trade with Parties that have not ratified the Kigali Amendment is slightly advanced to 2028, in order to provide an incentive for timel</w:t>
      </w:r>
      <w:r w:rsidR="006E4970">
        <w:rPr>
          <w:rFonts w:cs="Times New Roman"/>
          <w:noProof/>
        </w:rPr>
        <w:t>y ratification by remaining Par</w:t>
      </w:r>
      <w:r w:rsidR="003130F2">
        <w:rPr>
          <w:rFonts w:cs="Times New Roman"/>
          <w:noProof/>
        </w:rPr>
        <w:t>t</w:t>
      </w:r>
      <w:r w:rsidR="006E4970">
        <w:rPr>
          <w:rFonts w:cs="Times New Roman"/>
          <w:noProof/>
        </w:rPr>
        <w:t>i</w:t>
      </w:r>
      <w:r w:rsidR="003130F2">
        <w:rPr>
          <w:rFonts w:cs="Times New Roman"/>
          <w:noProof/>
        </w:rPr>
        <w:t xml:space="preserve">es and </w:t>
      </w:r>
      <w:r w:rsidR="000408C1">
        <w:rPr>
          <w:rFonts w:cs="Times New Roman"/>
          <w:noProof/>
        </w:rPr>
        <w:t xml:space="preserve">to </w:t>
      </w:r>
      <w:r w:rsidR="003130F2">
        <w:rPr>
          <w:rFonts w:cs="Times New Roman"/>
          <w:noProof/>
        </w:rPr>
        <w:t xml:space="preserve">ensure that the global HFC reduction measures of the Kigali Amendment provides the envisaged benefit to the climate. </w:t>
      </w:r>
    </w:p>
    <w:p w14:paraId="1B4F64D5" w14:textId="0B2A96A8" w:rsidR="002F2CFC" w:rsidRDefault="3982CBDC" w:rsidP="3982CBDC">
      <w:pPr>
        <w:spacing w:after="120"/>
        <w:rPr>
          <w:rFonts w:cs="Times New Roman"/>
          <w:noProof/>
        </w:rPr>
      </w:pPr>
      <w:r w:rsidRPr="3982CBDC">
        <w:rPr>
          <w:rFonts w:cs="Times New Roman"/>
          <w:noProof/>
        </w:rPr>
        <w:t xml:space="preserve">The </w:t>
      </w:r>
      <w:r w:rsidR="00E63D04">
        <w:rPr>
          <w:rFonts w:cs="Times New Roman"/>
          <w:b/>
          <w:bCs/>
          <w:noProof/>
        </w:rPr>
        <w:t xml:space="preserve">HFC quota </w:t>
      </w:r>
      <w:r w:rsidR="00F114C9">
        <w:rPr>
          <w:rFonts w:cs="Times New Roman"/>
          <w:b/>
          <w:bCs/>
          <w:noProof/>
        </w:rPr>
        <w:t>levels are more restrictive</w:t>
      </w:r>
      <w:r w:rsidR="003C5091">
        <w:rPr>
          <w:rFonts w:cs="Times New Roman"/>
          <w:b/>
          <w:bCs/>
          <w:noProof/>
        </w:rPr>
        <w:t xml:space="preserve"> </w:t>
      </w:r>
      <w:r w:rsidR="003C5091">
        <w:rPr>
          <w:rFonts w:cs="Times New Roman"/>
          <w:bCs/>
          <w:noProof/>
        </w:rPr>
        <w:t>than in Option 1</w:t>
      </w:r>
      <w:r w:rsidRPr="3982CBDC">
        <w:rPr>
          <w:rFonts w:cs="Times New Roman"/>
          <w:b/>
          <w:bCs/>
          <w:noProof/>
        </w:rPr>
        <w:t xml:space="preserve">. </w:t>
      </w:r>
      <w:r w:rsidRPr="3982CBDC">
        <w:rPr>
          <w:rFonts w:cs="Times New Roman"/>
          <w:noProof/>
        </w:rPr>
        <w:t xml:space="preserve">The </w:t>
      </w:r>
      <w:r w:rsidR="00F114C9">
        <w:rPr>
          <w:rFonts w:cs="Times New Roman"/>
          <w:noProof/>
        </w:rPr>
        <w:t>levels</w:t>
      </w:r>
      <w:r w:rsidRPr="3982CBDC">
        <w:rPr>
          <w:rFonts w:cs="Times New Roman"/>
          <w:noProof/>
        </w:rPr>
        <w:t xml:space="preserve"> are </w:t>
      </w:r>
      <w:r w:rsidR="003C5091">
        <w:rPr>
          <w:rFonts w:cs="Times New Roman"/>
          <w:noProof/>
        </w:rPr>
        <w:t xml:space="preserve">set to ensure that </w:t>
      </w:r>
      <w:r w:rsidRPr="3982CBDC">
        <w:rPr>
          <w:rFonts w:cs="Times New Roman"/>
          <w:noProof/>
        </w:rPr>
        <w:t xml:space="preserve">HFCs </w:t>
      </w:r>
      <w:r w:rsidR="003C5091">
        <w:rPr>
          <w:rFonts w:cs="Times New Roman"/>
          <w:noProof/>
        </w:rPr>
        <w:t xml:space="preserve">are </w:t>
      </w:r>
      <w:r w:rsidR="00F44848">
        <w:rPr>
          <w:rFonts w:cs="Times New Roman"/>
          <w:noProof/>
        </w:rPr>
        <w:t xml:space="preserve">only </w:t>
      </w:r>
      <w:r w:rsidRPr="3982CBDC">
        <w:rPr>
          <w:rFonts w:cs="Times New Roman"/>
          <w:noProof/>
        </w:rPr>
        <w:t xml:space="preserve">available for appliances where it is not </w:t>
      </w:r>
      <w:r w:rsidR="00F44848">
        <w:rPr>
          <w:rFonts w:cs="Times New Roman"/>
          <w:noProof/>
        </w:rPr>
        <w:t xml:space="preserve">yet </w:t>
      </w:r>
      <w:r w:rsidRPr="3982CBDC">
        <w:rPr>
          <w:rFonts w:cs="Times New Roman"/>
          <w:noProof/>
        </w:rPr>
        <w:t>possible to replace (highly warming) HFCs</w:t>
      </w:r>
      <w:r w:rsidR="00827D46">
        <w:rPr>
          <w:rFonts w:cs="Times New Roman"/>
          <w:noProof/>
        </w:rPr>
        <w:t xml:space="preserve">. </w:t>
      </w:r>
      <w:r w:rsidR="00FE6641">
        <w:rPr>
          <w:rFonts w:cs="Times New Roman"/>
          <w:noProof/>
        </w:rPr>
        <w:t>As r</w:t>
      </w:r>
      <w:r w:rsidR="00827D46">
        <w:rPr>
          <w:rFonts w:cs="Times New Roman"/>
          <w:noProof/>
        </w:rPr>
        <w:t>eplacement is undertaken with</w:t>
      </w:r>
      <w:r w:rsidRPr="3982CBDC">
        <w:rPr>
          <w:rFonts w:cs="Times New Roman"/>
          <w:noProof/>
        </w:rPr>
        <w:t xml:space="preserve"> </w:t>
      </w:r>
      <w:r w:rsidR="00827D46">
        <w:rPr>
          <w:rFonts w:cs="Times New Roman"/>
          <w:noProof/>
        </w:rPr>
        <w:t xml:space="preserve">gradually increasing costs, </w:t>
      </w:r>
      <w:r w:rsidR="00FE6641">
        <w:rPr>
          <w:rFonts w:cs="Times New Roman"/>
          <w:noProof/>
        </w:rPr>
        <w:t xml:space="preserve">such </w:t>
      </w:r>
      <w:r w:rsidR="00D6011E">
        <w:rPr>
          <w:rFonts w:cs="Times New Roman"/>
          <w:noProof/>
        </w:rPr>
        <w:t xml:space="preserve">marginal abatement </w:t>
      </w:r>
      <w:r w:rsidR="00FE6641">
        <w:rPr>
          <w:rFonts w:cs="Times New Roman"/>
          <w:noProof/>
        </w:rPr>
        <w:t xml:space="preserve">costs </w:t>
      </w:r>
      <w:r w:rsidR="00D6011E">
        <w:rPr>
          <w:rFonts w:cs="Times New Roman"/>
          <w:noProof/>
        </w:rPr>
        <w:t xml:space="preserve">at sub-sectoral level </w:t>
      </w:r>
      <w:r w:rsidR="00FE6641">
        <w:rPr>
          <w:rFonts w:cs="Times New Roman"/>
          <w:noProof/>
        </w:rPr>
        <w:t xml:space="preserve">should remain </w:t>
      </w:r>
      <w:r w:rsidR="00F44848">
        <w:rPr>
          <w:rFonts w:cs="Times New Roman"/>
          <w:noProof/>
        </w:rPr>
        <w:t>below</w:t>
      </w:r>
      <w:r w:rsidR="00F114C9">
        <w:rPr>
          <w:rFonts w:cs="Times New Roman"/>
          <w:noProof/>
        </w:rPr>
        <w:t xml:space="preserve"> </w:t>
      </w:r>
      <w:r w:rsidRPr="3982CBDC">
        <w:rPr>
          <w:rFonts w:cs="Times New Roman"/>
          <w:noProof/>
        </w:rPr>
        <w:t>€390/</w:t>
      </w:r>
      <w:r w:rsidR="00304CA9">
        <w:rPr>
          <w:rFonts w:cs="Times New Roman"/>
          <w:noProof/>
        </w:rPr>
        <w:t>t</w:t>
      </w:r>
      <w:r w:rsidRPr="3982CBDC">
        <w:rPr>
          <w:rFonts w:cs="Times New Roman"/>
          <w:noProof/>
        </w:rPr>
        <w:t>CO2e</w:t>
      </w:r>
      <w:r w:rsidR="00FE6641">
        <w:rPr>
          <w:rFonts w:cs="Times New Roman"/>
          <w:noProof/>
        </w:rPr>
        <w:t xml:space="preserve"> until 2050</w:t>
      </w:r>
      <w:r w:rsidRPr="3982CBDC">
        <w:rPr>
          <w:rFonts w:cs="Times New Roman"/>
          <w:noProof/>
        </w:rPr>
        <w:t xml:space="preserve">. </w:t>
      </w:r>
      <w:r w:rsidR="006E1263">
        <w:rPr>
          <w:rFonts w:cs="Times New Roman"/>
          <w:noProof/>
        </w:rPr>
        <w:t xml:space="preserve">This cut-off </w:t>
      </w:r>
      <w:r w:rsidR="00D6011E">
        <w:rPr>
          <w:rFonts w:cs="Times New Roman"/>
          <w:noProof/>
        </w:rPr>
        <w:t xml:space="preserve">to exclude difficult sectors </w:t>
      </w:r>
      <w:r w:rsidR="006E1263">
        <w:rPr>
          <w:rFonts w:cs="Times New Roman"/>
          <w:noProof/>
        </w:rPr>
        <w:t>was chosen as a benchmark</w:t>
      </w:r>
      <w:r w:rsidR="00FE6641">
        <w:rPr>
          <w:rFonts w:cs="Times New Roman"/>
          <w:noProof/>
        </w:rPr>
        <w:t xml:space="preserve"> to be </w:t>
      </w:r>
      <w:r w:rsidR="006E1263">
        <w:rPr>
          <w:rFonts w:cs="Times New Roman"/>
          <w:noProof/>
        </w:rPr>
        <w:t xml:space="preserve">comparable to </w:t>
      </w:r>
      <w:r w:rsidR="17C3CFE8" w:rsidRPr="3ED43B6F">
        <w:rPr>
          <w:rFonts w:cs="Times New Roman"/>
          <w:noProof/>
        </w:rPr>
        <w:t>the effort needed</w:t>
      </w:r>
      <w:r w:rsidR="006E1263">
        <w:rPr>
          <w:rFonts w:cs="Times New Roman"/>
          <w:noProof/>
        </w:rPr>
        <w:t xml:space="preserve"> in other areas following the 2050 Roadmap modelling. </w:t>
      </w:r>
      <w:r w:rsidR="00162736">
        <w:rPr>
          <w:rFonts w:cs="Times New Roman"/>
          <w:b/>
          <w:bCs/>
          <w:noProof/>
        </w:rPr>
        <w:t>A</w:t>
      </w:r>
      <w:r w:rsidRPr="3982CBDC">
        <w:rPr>
          <w:rFonts w:cs="Times New Roman"/>
          <w:b/>
          <w:bCs/>
          <w:noProof/>
        </w:rPr>
        <w:t xml:space="preserve">dditional </w:t>
      </w:r>
      <w:r w:rsidR="003C5091">
        <w:rPr>
          <w:rFonts w:cs="Times New Roman"/>
          <w:b/>
          <w:bCs/>
          <w:noProof/>
        </w:rPr>
        <w:t xml:space="preserve">F-gas </w:t>
      </w:r>
      <w:r w:rsidRPr="3982CBDC">
        <w:rPr>
          <w:rFonts w:cs="Times New Roman"/>
          <w:b/>
          <w:bCs/>
          <w:noProof/>
        </w:rPr>
        <w:t xml:space="preserve">prohibitions </w:t>
      </w:r>
      <w:r w:rsidR="00162736">
        <w:rPr>
          <w:rFonts w:cs="Times New Roman"/>
          <w:b/>
          <w:bCs/>
          <w:noProof/>
        </w:rPr>
        <w:t xml:space="preserve">with specific GWP limits and dates </w:t>
      </w:r>
      <w:r w:rsidR="00162736">
        <w:rPr>
          <w:rFonts w:cs="Times New Roman"/>
          <w:bCs/>
          <w:noProof/>
        </w:rPr>
        <w:t xml:space="preserve">complement the phase-down. They </w:t>
      </w:r>
      <w:r w:rsidR="003C5091">
        <w:rPr>
          <w:rFonts w:cs="Times New Roman"/>
          <w:noProof/>
        </w:rPr>
        <w:t>relat</w:t>
      </w:r>
      <w:r w:rsidR="00162736">
        <w:rPr>
          <w:rFonts w:cs="Times New Roman"/>
          <w:noProof/>
        </w:rPr>
        <w:t>e</w:t>
      </w:r>
      <w:r w:rsidR="003C5091">
        <w:rPr>
          <w:rFonts w:cs="Times New Roman"/>
          <w:noProof/>
        </w:rPr>
        <w:t xml:space="preserve"> to </w:t>
      </w:r>
      <w:r w:rsidRPr="3982CBDC">
        <w:rPr>
          <w:rFonts w:cs="Times New Roman"/>
          <w:noProof/>
        </w:rPr>
        <w:t>stationary AC</w:t>
      </w:r>
      <w:r w:rsidR="003C5091">
        <w:rPr>
          <w:rFonts w:cs="Times New Roman"/>
          <w:noProof/>
        </w:rPr>
        <w:t>;</w:t>
      </w:r>
      <w:r w:rsidRPr="3982CBDC">
        <w:rPr>
          <w:rFonts w:cs="Times New Roman"/>
          <w:noProof/>
        </w:rPr>
        <w:t xml:space="preserve"> </w:t>
      </w:r>
      <w:r w:rsidR="001438D7" w:rsidRPr="3982CBDC">
        <w:rPr>
          <w:rFonts w:cs="Times New Roman"/>
          <w:noProof/>
        </w:rPr>
        <w:t>smaller refrigeration equipment</w:t>
      </w:r>
      <w:r w:rsidR="001438D7">
        <w:rPr>
          <w:rFonts w:cs="Times New Roman"/>
          <w:noProof/>
        </w:rPr>
        <w:t>; personal care products and</w:t>
      </w:r>
      <w:r w:rsidRPr="3982CBDC">
        <w:rPr>
          <w:rFonts w:cs="Times New Roman"/>
          <w:noProof/>
        </w:rPr>
        <w:t xml:space="preserve"> skin cooling</w:t>
      </w:r>
      <w:r w:rsidR="001438D7">
        <w:rPr>
          <w:rFonts w:cs="Times New Roman"/>
          <w:noProof/>
        </w:rPr>
        <w:t xml:space="preserve"> equipment</w:t>
      </w:r>
      <w:r w:rsidR="00162736">
        <w:rPr>
          <w:rFonts w:cs="Times New Roman"/>
          <w:noProof/>
        </w:rPr>
        <w:t>,</w:t>
      </w:r>
      <w:r w:rsidR="003C5091">
        <w:rPr>
          <w:rFonts w:cs="Times New Roman"/>
          <w:noProof/>
        </w:rPr>
        <w:t xml:space="preserve"> </w:t>
      </w:r>
      <w:r w:rsidRPr="3982CBDC">
        <w:rPr>
          <w:rFonts w:cs="Times New Roman"/>
          <w:noProof/>
        </w:rPr>
        <w:t>inhalation anaesthetic</w:t>
      </w:r>
      <w:r w:rsidR="004A586D">
        <w:rPr>
          <w:rFonts w:cs="Times New Roman"/>
          <w:noProof/>
        </w:rPr>
        <w:t>s</w:t>
      </w:r>
      <w:r w:rsidR="00162736">
        <w:rPr>
          <w:rFonts w:cs="Times New Roman"/>
          <w:noProof/>
        </w:rPr>
        <w:t xml:space="preserve"> and switchgear</w:t>
      </w:r>
      <w:r w:rsidRPr="3982CBDC">
        <w:rPr>
          <w:rFonts w:cs="Times New Roman"/>
          <w:noProof/>
        </w:rPr>
        <w:t xml:space="preserve">. </w:t>
      </w:r>
      <w:r w:rsidR="00162736">
        <w:rPr>
          <w:rFonts w:cs="Times New Roman"/>
          <w:noProof/>
        </w:rPr>
        <w:t xml:space="preserve">Where </w:t>
      </w:r>
      <w:r w:rsidRPr="3982CBDC">
        <w:rPr>
          <w:rFonts w:cs="Times New Roman"/>
          <w:noProof/>
        </w:rPr>
        <w:t xml:space="preserve">prohibitions </w:t>
      </w:r>
      <w:r w:rsidR="00162736">
        <w:rPr>
          <w:rFonts w:cs="Times New Roman"/>
          <w:noProof/>
        </w:rPr>
        <w:t xml:space="preserve">conflict with </w:t>
      </w:r>
      <w:r w:rsidRPr="3982CBDC">
        <w:rPr>
          <w:rFonts w:cs="Times New Roman"/>
          <w:noProof/>
        </w:rPr>
        <w:t xml:space="preserve">safety rules </w:t>
      </w:r>
      <w:r w:rsidR="00162736">
        <w:rPr>
          <w:rFonts w:cs="Times New Roman"/>
          <w:noProof/>
        </w:rPr>
        <w:t xml:space="preserve">(e.g. </w:t>
      </w:r>
      <w:r w:rsidRPr="3982CBDC">
        <w:rPr>
          <w:rFonts w:cs="Times New Roman"/>
          <w:noProof/>
        </w:rPr>
        <w:t>use of flammable substances</w:t>
      </w:r>
      <w:r w:rsidR="00162736">
        <w:rPr>
          <w:rFonts w:cs="Times New Roman"/>
          <w:noProof/>
        </w:rPr>
        <w:t>) or where F-gases are needed in niche applications</w:t>
      </w:r>
      <w:r w:rsidR="004A586D">
        <w:rPr>
          <w:rFonts w:cs="Times New Roman"/>
          <w:noProof/>
        </w:rPr>
        <w:t>,</w:t>
      </w:r>
      <w:r w:rsidR="00162736">
        <w:rPr>
          <w:rFonts w:cs="Times New Roman"/>
          <w:noProof/>
        </w:rPr>
        <w:t xml:space="preserve"> they may still be used. </w:t>
      </w:r>
      <w:r w:rsidRPr="3982CBDC">
        <w:rPr>
          <w:rFonts w:cs="Times New Roman"/>
          <w:noProof/>
        </w:rPr>
        <w:t xml:space="preserve">Obligatory F-gas recovery and destruction (or re-use) </w:t>
      </w:r>
      <w:r w:rsidR="004A586D">
        <w:rPr>
          <w:rFonts w:cs="Times New Roman"/>
          <w:noProof/>
        </w:rPr>
        <w:t>from insulation foa</w:t>
      </w:r>
      <w:r w:rsidR="00162736">
        <w:rPr>
          <w:rFonts w:cs="Times New Roman"/>
          <w:noProof/>
        </w:rPr>
        <w:t>m</w:t>
      </w:r>
      <w:r w:rsidR="004A586D">
        <w:rPr>
          <w:rFonts w:cs="Times New Roman"/>
          <w:noProof/>
        </w:rPr>
        <w:t>s</w:t>
      </w:r>
      <w:r w:rsidR="00162736">
        <w:rPr>
          <w:rFonts w:cs="Times New Roman"/>
          <w:noProof/>
        </w:rPr>
        <w:t xml:space="preserve"> </w:t>
      </w:r>
      <w:r w:rsidR="004A586D">
        <w:rPr>
          <w:rFonts w:cs="Times New Roman"/>
          <w:noProof/>
        </w:rPr>
        <w:t xml:space="preserve">will </w:t>
      </w:r>
      <w:r w:rsidRPr="3982CBDC">
        <w:rPr>
          <w:rFonts w:cs="Times New Roman"/>
          <w:noProof/>
        </w:rPr>
        <w:t xml:space="preserve">cover </w:t>
      </w:r>
      <w:r w:rsidR="004A586D">
        <w:rPr>
          <w:rFonts w:cs="Times New Roman"/>
          <w:noProof/>
        </w:rPr>
        <w:t xml:space="preserve">also </w:t>
      </w:r>
      <w:r w:rsidRPr="3982CBDC">
        <w:rPr>
          <w:rFonts w:cs="Times New Roman"/>
          <w:noProof/>
        </w:rPr>
        <w:t xml:space="preserve">laminated boards </w:t>
      </w:r>
      <w:r w:rsidR="00162736">
        <w:rPr>
          <w:rFonts w:cs="Times New Roman"/>
          <w:noProof/>
        </w:rPr>
        <w:t>(</w:t>
      </w:r>
      <w:r w:rsidRPr="3982CBDC">
        <w:rPr>
          <w:rFonts w:cs="Times New Roman"/>
          <w:noProof/>
        </w:rPr>
        <w:t>besides sandwich panels)</w:t>
      </w:r>
      <w:r w:rsidR="004A586D">
        <w:rPr>
          <w:rFonts w:cs="Times New Roman"/>
          <w:noProof/>
        </w:rPr>
        <w:t xml:space="preserve"> which in this way would achieve full synergies with </w:t>
      </w:r>
      <w:r w:rsidR="001B4836">
        <w:rPr>
          <w:rFonts w:cs="Times New Roman"/>
          <w:noProof/>
        </w:rPr>
        <w:t xml:space="preserve">a similar measure proposed in </w:t>
      </w:r>
      <w:r w:rsidR="004A586D">
        <w:rPr>
          <w:rFonts w:cs="Times New Roman"/>
          <w:noProof/>
        </w:rPr>
        <w:t>the review of the ODS Regulation</w:t>
      </w:r>
      <w:r w:rsidR="00162736">
        <w:rPr>
          <w:rFonts w:cs="Times New Roman"/>
          <w:noProof/>
        </w:rPr>
        <w:t xml:space="preserve">. Finally an obligation </w:t>
      </w:r>
      <w:r w:rsidR="004A586D">
        <w:rPr>
          <w:rFonts w:cs="Times New Roman"/>
          <w:noProof/>
        </w:rPr>
        <w:t>to prevent emissions during activities such as</w:t>
      </w:r>
      <w:r w:rsidRPr="3982CBDC">
        <w:rPr>
          <w:rFonts w:cs="Times New Roman"/>
          <w:noProof/>
        </w:rPr>
        <w:t xml:space="preserve"> manufacturing, storage and transport </w:t>
      </w:r>
      <w:r w:rsidR="00162736">
        <w:rPr>
          <w:rFonts w:cs="Times New Roman"/>
          <w:noProof/>
        </w:rPr>
        <w:t>will be extended to all actors</w:t>
      </w:r>
      <w:r w:rsidR="004A586D">
        <w:rPr>
          <w:rFonts w:cs="Times New Roman"/>
          <w:noProof/>
        </w:rPr>
        <w:t xml:space="preserve"> on the Union market</w:t>
      </w:r>
      <w:r w:rsidR="00162736">
        <w:rPr>
          <w:rFonts w:cs="Times New Roman"/>
          <w:noProof/>
        </w:rPr>
        <w:t xml:space="preserve"> and </w:t>
      </w:r>
      <w:r w:rsidR="004A586D">
        <w:rPr>
          <w:rFonts w:cs="Times New Roman"/>
          <w:noProof/>
        </w:rPr>
        <w:t xml:space="preserve">also </w:t>
      </w:r>
      <w:r w:rsidR="00162736">
        <w:rPr>
          <w:rFonts w:cs="Times New Roman"/>
          <w:noProof/>
        </w:rPr>
        <w:t xml:space="preserve">cover </w:t>
      </w:r>
      <w:r w:rsidRPr="3982CBDC">
        <w:rPr>
          <w:rFonts w:cs="Times New Roman"/>
          <w:noProof/>
        </w:rPr>
        <w:t xml:space="preserve">some Annex II </w:t>
      </w:r>
      <w:r w:rsidR="0031329B">
        <w:rPr>
          <w:rFonts w:cs="Times New Roman"/>
          <w:noProof/>
        </w:rPr>
        <w:t xml:space="preserve">and new </w:t>
      </w:r>
      <w:r w:rsidRPr="3982CBDC">
        <w:rPr>
          <w:rFonts w:cs="Times New Roman"/>
          <w:noProof/>
        </w:rPr>
        <w:t>gases</w:t>
      </w:r>
      <w:r w:rsidR="0031329B">
        <w:rPr>
          <w:rFonts w:cs="Times New Roman"/>
          <w:noProof/>
        </w:rPr>
        <w:t xml:space="preserve"> to be added.</w:t>
      </w:r>
      <w:r w:rsidRPr="3982CBDC">
        <w:rPr>
          <w:rFonts w:cs="Times New Roman"/>
          <w:noProof/>
        </w:rPr>
        <w:t xml:space="preserve"> </w:t>
      </w:r>
    </w:p>
    <w:p w14:paraId="475926B1" w14:textId="0C9AB603" w:rsidR="00A721AB" w:rsidRPr="009C7D99" w:rsidRDefault="00477247" w:rsidP="3982CBDC">
      <w:pPr>
        <w:spacing w:after="120"/>
        <w:rPr>
          <w:rFonts w:cs="Times New Roman"/>
          <w:b/>
          <w:bCs/>
          <w:noProof/>
        </w:rPr>
      </w:pPr>
      <w:r w:rsidRPr="00477247">
        <w:rPr>
          <w:rFonts w:cs="Times New Roman"/>
          <w:b/>
          <w:noProof/>
        </w:rPr>
        <w:t>A</w:t>
      </w:r>
      <w:r w:rsidR="007D6B83" w:rsidRPr="3982CBDC">
        <w:rPr>
          <w:rFonts w:cs="Times New Roman"/>
          <w:b/>
          <w:bCs/>
          <w:noProof/>
        </w:rPr>
        <w:t xml:space="preserve">dditional </w:t>
      </w:r>
      <w:r w:rsidR="00A721AB" w:rsidRPr="3982CBDC">
        <w:rPr>
          <w:rFonts w:cs="Times New Roman"/>
          <w:b/>
          <w:bCs/>
          <w:noProof/>
        </w:rPr>
        <w:t xml:space="preserve">measures </w:t>
      </w:r>
      <w:r w:rsidR="00A02907" w:rsidRPr="3982CBDC">
        <w:rPr>
          <w:rFonts w:cs="Times New Roman"/>
          <w:b/>
          <w:bCs/>
          <w:noProof/>
        </w:rPr>
        <w:t xml:space="preserve">at moderate costs </w:t>
      </w:r>
      <w:r w:rsidR="00A721AB" w:rsidRPr="3982CBDC">
        <w:rPr>
          <w:rFonts w:cs="Times New Roman"/>
          <w:b/>
          <w:bCs/>
          <w:noProof/>
        </w:rPr>
        <w:t>to improve control</w:t>
      </w:r>
      <w:r w:rsidR="00505314" w:rsidRPr="3982CBDC">
        <w:rPr>
          <w:rFonts w:cs="Times New Roman"/>
          <w:b/>
          <w:bCs/>
          <w:noProof/>
        </w:rPr>
        <w:t xml:space="preserve"> and</w:t>
      </w:r>
      <w:r w:rsidR="00A721AB" w:rsidRPr="3982CBDC">
        <w:rPr>
          <w:rFonts w:cs="Times New Roman"/>
          <w:b/>
          <w:bCs/>
          <w:noProof/>
        </w:rPr>
        <w:t xml:space="preserve"> implementation</w:t>
      </w:r>
      <w:r w:rsidR="002A4397" w:rsidRPr="3982CBDC">
        <w:rPr>
          <w:rFonts w:cs="Times New Roman"/>
          <w:b/>
          <w:bCs/>
          <w:noProof/>
        </w:rPr>
        <w:t xml:space="preserve"> are included</w:t>
      </w:r>
      <w:r w:rsidR="00A721AB" w:rsidRPr="3982CBDC">
        <w:rPr>
          <w:rFonts w:cs="Times New Roman"/>
          <w:b/>
          <w:bCs/>
          <w:noProof/>
        </w:rPr>
        <w:t>,</w:t>
      </w:r>
      <w:r w:rsidR="00505314" w:rsidRPr="3982CBDC">
        <w:rPr>
          <w:rFonts w:cs="Times New Roman"/>
          <w:b/>
          <w:bCs/>
          <w:noProof/>
        </w:rPr>
        <w:t xml:space="preserve"> </w:t>
      </w:r>
      <w:r w:rsidR="00A02907" w:rsidRPr="3982CBDC">
        <w:rPr>
          <w:rFonts w:cs="Times New Roman"/>
          <w:noProof/>
        </w:rPr>
        <w:t>e.g</w:t>
      </w:r>
      <w:r w:rsidR="00A02907" w:rsidRPr="3982CBDC">
        <w:rPr>
          <w:rFonts w:cs="Times New Roman"/>
          <w:b/>
          <w:bCs/>
          <w:noProof/>
        </w:rPr>
        <w:t xml:space="preserve">. </w:t>
      </w:r>
      <w:r w:rsidR="000408C1">
        <w:rPr>
          <w:rFonts w:cs="Times New Roman"/>
          <w:b/>
          <w:bCs/>
          <w:noProof/>
        </w:rPr>
        <w:t xml:space="preserve">a </w:t>
      </w:r>
      <w:r w:rsidR="00162736" w:rsidRPr="3982CBDC">
        <w:rPr>
          <w:rFonts w:cs="Times New Roman"/>
          <w:b/>
          <w:bCs/>
          <w:noProof/>
        </w:rPr>
        <w:t>price</w:t>
      </w:r>
      <w:r w:rsidR="00162736" w:rsidRPr="3982CBDC">
        <w:rPr>
          <w:rFonts w:cs="Times New Roman"/>
          <w:noProof/>
        </w:rPr>
        <w:t xml:space="preserve"> </w:t>
      </w:r>
      <w:r w:rsidR="000408C1" w:rsidRPr="000408C1">
        <w:rPr>
          <w:rFonts w:cs="Times New Roman"/>
          <w:b/>
          <w:noProof/>
        </w:rPr>
        <w:t>to pay for quota</w:t>
      </w:r>
      <w:r w:rsidR="000408C1">
        <w:rPr>
          <w:rFonts w:cs="Times New Roman"/>
          <w:noProof/>
        </w:rPr>
        <w:t xml:space="preserve"> </w:t>
      </w:r>
      <w:r w:rsidR="00162736" w:rsidRPr="000408C1">
        <w:rPr>
          <w:rFonts w:cs="Times New Roman"/>
          <w:bCs/>
          <w:noProof/>
        </w:rPr>
        <w:t xml:space="preserve">to </w:t>
      </w:r>
      <w:r w:rsidR="000408C1">
        <w:rPr>
          <w:rFonts w:cs="Times New Roman"/>
          <w:bCs/>
          <w:noProof/>
        </w:rPr>
        <w:t xml:space="preserve">disincentivise speculative behaviour and to </w:t>
      </w:r>
      <w:r w:rsidR="00162736" w:rsidRPr="00FC48B6">
        <w:rPr>
          <w:noProof/>
        </w:rPr>
        <w:t xml:space="preserve">limit the participants to serious gas traders and </w:t>
      </w:r>
      <w:r w:rsidR="00DD553F" w:rsidRPr="00FC48B6">
        <w:rPr>
          <w:noProof/>
        </w:rPr>
        <w:t xml:space="preserve">EU </w:t>
      </w:r>
      <w:r w:rsidR="00162736" w:rsidRPr="00FC48B6">
        <w:rPr>
          <w:noProof/>
        </w:rPr>
        <w:t xml:space="preserve">producers. </w:t>
      </w:r>
      <w:r w:rsidR="00162736" w:rsidRPr="3982CBDC">
        <w:rPr>
          <w:rFonts w:cs="Times New Roman"/>
          <w:noProof/>
        </w:rPr>
        <w:t>The initial allocation price is set at 3€/tCO2e</w:t>
      </w:r>
      <w:r w:rsidR="00162736" w:rsidRPr="3982CBDC">
        <w:rPr>
          <w:rStyle w:val="FootnoteReference"/>
          <w:rFonts w:cs="Times New Roman"/>
          <w:noProof/>
        </w:rPr>
        <w:footnoteReference w:id="69"/>
      </w:r>
      <w:r w:rsidR="00162736" w:rsidRPr="3982CBDC">
        <w:rPr>
          <w:rFonts w:cs="Times New Roman"/>
          <w:noProof/>
        </w:rPr>
        <w:t>.</w:t>
      </w:r>
      <w:r w:rsidR="006B0349">
        <w:rPr>
          <w:rFonts w:cs="Times New Roman"/>
          <w:noProof/>
        </w:rPr>
        <w:t xml:space="preserve"> This measure will also include some flexibility to manage the quota system</w:t>
      </w:r>
      <w:r w:rsidR="00007848">
        <w:rPr>
          <w:rStyle w:val="FootnoteReference"/>
          <w:rFonts w:cs="Times New Roman"/>
          <w:noProof/>
        </w:rPr>
        <w:footnoteReference w:id="70"/>
      </w:r>
      <w:r w:rsidR="006B0349">
        <w:rPr>
          <w:rFonts w:cs="Times New Roman"/>
          <w:noProof/>
        </w:rPr>
        <w:t>.</w:t>
      </w:r>
      <w:r w:rsidR="00162736">
        <w:rPr>
          <w:rFonts w:cs="Times New Roman"/>
          <w:noProof/>
        </w:rPr>
        <w:t xml:space="preserve"> Moreover, </w:t>
      </w:r>
      <w:r w:rsidR="00472DE6" w:rsidRPr="00137153">
        <w:rPr>
          <w:rFonts w:cs="Times New Roman"/>
          <w:b/>
          <w:noProof/>
        </w:rPr>
        <w:t>penalties at Member State level</w:t>
      </w:r>
      <w:r w:rsidR="00162736" w:rsidRPr="00137153">
        <w:rPr>
          <w:rFonts w:cs="Times New Roman"/>
          <w:b/>
          <w:noProof/>
        </w:rPr>
        <w:t xml:space="preserve"> will be </w:t>
      </w:r>
      <w:r w:rsidR="00137153">
        <w:rPr>
          <w:rFonts w:cs="Times New Roman"/>
          <w:b/>
          <w:noProof/>
        </w:rPr>
        <w:t xml:space="preserve">subject to </w:t>
      </w:r>
      <w:r w:rsidR="00162736" w:rsidRPr="00137153">
        <w:rPr>
          <w:rFonts w:cs="Times New Roman"/>
          <w:b/>
          <w:noProof/>
        </w:rPr>
        <w:t>more prescriptive</w:t>
      </w:r>
      <w:r w:rsidR="00137153">
        <w:rPr>
          <w:rFonts w:cs="Times New Roman"/>
          <w:b/>
          <w:noProof/>
        </w:rPr>
        <w:t xml:space="preserve"> requirements</w:t>
      </w:r>
      <w:r w:rsidR="00162736">
        <w:rPr>
          <w:rFonts w:cs="Times New Roman"/>
          <w:noProof/>
        </w:rPr>
        <w:t>. L</w:t>
      </w:r>
      <w:r w:rsidR="0022663D" w:rsidRPr="3982CBDC">
        <w:rPr>
          <w:rFonts w:cs="Times New Roman"/>
          <w:noProof/>
        </w:rPr>
        <w:t xml:space="preserve">abelling </w:t>
      </w:r>
      <w:r w:rsidR="00162736">
        <w:rPr>
          <w:rFonts w:cs="Times New Roman"/>
          <w:noProof/>
        </w:rPr>
        <w:t xml:space="preserve">will be </w:t>
      </w:r>
      <w:r w:rsidR="0022663D" w:rsidRPr="3982CBDC">
        <w:rPr>
          <w:rFonts w:cs="Times New Roman"/>
          <w:noProof/>
        </w:rPr>
        <w:t xml:space="preserve">slightly </w:t>
      </w:r>
      <w:r w:rsidR="00162736">
        <w:rPr>
          <w:rFonts w:cs="Times New Roman"/>
          <w:noProof/>
        </w:rPr>
        <w:t xml:space="preserve">extended </w:t>
      </w:r>
      <w:r w:rsidR="0022663D" w:rsidRPr="3982CBDC">
        <w:rPr>
          <w:rFonts w:cs="Times New Roman"/>
          <w:noProof/>
        </w:rPr>
        <w:t xml:space="preserve">and </w:t>
      </w:r>
      <w:r w:rsidR="00137153">
        <w:rPr>
          <w:rFonts w:cs="Times New Roman"/>
          <w:noProof/>
        </w:rPr>
        <w:t xml:space="preserve">the type of </w:t>
      </w:r>
      <w:r w:rsidR="0022663D" w:rsidRPr="3982CBDC">
        <w:rPr>
          <w:rFonts w:cs="Times New Roman"/>
          <w:noProof/>
        </w:rPr>
        <w:t xml:space="preserve">evidence </w:t>
      </w:r>
      <w:r w:rsidR="00137153">
        <w:rPr>
          <w:rFonts w:cs="Times New Roman"/>
          <w:noProof/>
        </w:rPr>
        <w:t xml:space="preserve">needed when placing </w:t>
      </w:r>
      <w:r w:rsidR="0022663D" w:rsidRPr="3982CBDC">
        <w:rPr>
          <w:rFonts w:cs="Times New Roman"/>
          <w:noProof/>
        </w:rPr>
        <w:t>bulk gas</w:t>
      </w:r>
      <w:r w:rsidR="00137153">
        <w:rPr>
          <w:rFonts w:cs="Times New Roman"/>
          <w:noProof/>
        </w:rPr>
        <w:t>es on the market will be specified</w:t>
      </w:r>
      <w:r w:rsidR="00833228">
        <w:rPr>
          <w:rFonts w:cs="Times New Roman"/>
          <w:noProof/>
        </w:rPr>
        <w:t xml:space="preserve"> in more detail</w:t>
      </w:r>
      <w:r w:rsidR="00472DE6" w:rsidRPr="3982CBDC">
        <w:rPr>
          <w:rFonts w:cs="Times New Roman"/>
          <w:noProof/>
        </w:rPr>
        <w:t xml:space="preserve">. Also, </w:t>
      </w:r>
      <w:r w:rsidR="00372BD7" w:rsidRPr="3982CBDC">
        <w:rPr>
          <w:rFonts w:cs="Times New Roman"/>
          <w:noProof/>
        </w:rPr>
        <w:t xml:space="preserve">Member </w:t>
      </w:r>
      <w:r w:rsidR="00A93B0B" w:rsidRPr="3982CBDC">
        <w:rPr>
          <w:rFonts w:cs="Times New Roman"/>
          <w:noProof/>
        </w:rPr>
        <w:t>S</w:t>
      </w:r>
      <w:r w:rsidR="00372BD7" w:rsidRPr="3982CBDC">
        <w:rPr>
          <w:rFonts w:cs="Times New Roman"/>
          <w:noProof/>
        </w:rPr>
        <w:t xml:space="preserve">tates </w:t>
      </w:r>
      <w:r w:rsidR="00472DE6" w:rsidRPr="3982CBDC">
        <w:rPr>
          <w:rFonts w:cs="Times New Roman"/>
          <w:noProof/>
        </w:rPr>
        <w:t xml:space="preserve">are required </w:t>
      </w:r>
      <w:r w:rsidR="00372BD7" w:rsidRPr="3982CBDC">
        <w:rPr>
          <w:rFonts w:cs="Times New Roman"/>
          <w:noProof/>
        </w:rPr>
        <w:t>to provide</w:t>
      </w:r>
      <w:r w:rsidR="002F2CFC" w:rsidRPr="3982CBDC">
        <w:rPr>
          <w:rFonts w:cs="Times New Roman"/>
          <w:noProof/>
        </w:rPr>
        <w:t xml:space="preserve"> certification and practical training for relevant climate-friendly alternatives </w:t>
      </w:r>
      <w:r w:rsidR="00472DE6" w:rsidRPr="3982CBDC">
        <w:rPr>
          <w:rFonts w:cs="Times New Roman"/>
          <w:noProof/>
        </w:rPr>
        <w:t xml:space="preserve">and </w:t>
      </w:r>
      <w:r w:rsidR="002F2CFC" w:rsidRPr="3982CBDC">
        <w:rPr>
          <w:rFonts w:cs="Times New Roman"/>
          <w:noProof/>
        </w:rPr>
        <w:t xml:space="preserve">equipment containing </w:t>
      </w:r>
      <w:r w:rsidR="00472DE6" w:rsidRPr="3982CBDC">
        <w:rPr>
          <w:rFonts w:cs="Times New Roman"/>
          <w:noProof/>
        </w:rPr>
        <w:t>H</w:t>
      </w:r>
      <w:r w:rsidR="0022663D" w:rsidRPr="3982CBDC">
        <w:rPr>
          <w:rFonts w:cs="Times New Roman"/>
          <w:noProof/>
        </w:rPr>
        <w:t>(</w:t>
      </w:r>
      <w:r w:rsidR="00472DE6" w:rsidRPr="3982CBDC">
        <w:rPr>
          <w:rFonts w:cs="Times New Roman"/>
          <w:noProof/>
        </w:rPr>
        <w:t>C</w:t>
      </w:r>
      <w:r w:rsidR="0022663D" w:rsidRPr="3982CBDC">
        <w:rPr>
          <w:rFonts w:cs="Times New Roman"/>
          <w:noProof/>
        </w:rPr>
        <w:t>)</w:t>
      </w:r>
      <w:r w:rsidR="00472DE6" w:rsidRPr="3982CBDC">
        <w:rPr>
          <w:rFonts w:cs="Times New Roman"/>
          <w:noProof/>
        </w:rPr>
        <w:t>FO</w:t>
      </w:r>
      <w:r w:rsidR="0022663D" w:rsidRPr="3982CBDC">
        <w:rPr>
          <w:rFonts w:cs="Times New Roman"/>
          <w:noProof/>
        </w:rPr>
        <w:t>s</w:t>
      </w:r>
      <w:r w:rsidR="002F2CFC" w:rsidRPr="3982CBDC">
        <w:rPr>
          <w:rFonts w:cs="Times New Roman"/>
          <w:noProof/>
        </w:rPr>
        <w:t xml:space="preserve">, </w:t>
      </w:r>
      <w:r w:rsidR="0022663D" w:rsidRPr="3982CBDC">
        <w:rPr>
          <w:rFonts w:cs="Times New Roman"/>
          <w:noProof/>
        </w:rPr>
        <w:t xml:space="preserve">and </w:t>
      </w:r>
      <w:r w:rsidR="002F2CFC" w:rsidRPr="3982CBDC">
        <w:rPr>
          <w:rFonts w:cs="Times New Roman"/>
          <w:noProof/>
        </w:rPr>
        <w:t xml:space="preserve">installing, servicing, maintenance or repair that involves the refrigerant-carrying circuit </w:t>
      </w:r>
      <w:r w:rsidR="0022663D" w:rsidRPr="3982CBDC">
        <w:rPr>
          <w:rFonts w:cs="Times New Roman"/>
          <w:noProof/>
        </w:rPr>
        <w:t xml:space="preserve">with H(C)FOs </w:t>
      </w:r>
      <w:r w:rsidR="002F2CFC" w:rsidRPr="3982CBDC">
        <w:rPr>
          <w:rFonts w:cs="Times New Roman"/>
          <w:noProof/>
        </w:rPr>
        <w:t xml:space="preserve">will only be allowed by certified personnel in analogy to other F-gases. </w:t>
      </w:r>
      <w:r w:rsidR="3982CBDC" w:rsidRPr="3982CBDC">
        <w:rPr>
          <w:rFonts w:cs="Times New Roman"/>
          <w:b/>
          <w:bCs/>
          <w:noProof/>
        </w:rPr>
        <w:t>To close monitoring and reporting gaps</w:t>
      </w:r>
      <w:r w:rsidR="3982CBDC" w:rsidRPr="3982CBDC">
        <w:rPr>
          <w:rFonts w:cs="Times New Roman"/>
          <w:noProof/>
        </w:rPr>
        <w:t xml:space="preserve">, a new obligation to report for recipients of quota-exempted HFCs and some reclamation facilities not yet covered is </w:t>
      </w:r>
      <w:r w:rsidR="006B0349">
        <w:rPr>
          <w:rFonts w:cs="Times New Roman"/>
          <w:noProof/>
        </w:rPr>
        <w:t xml:space="preserve">also </w:t>
      </w:r>
      <w:r w:rsidR="3982CBDC" w:rsidRPr="3982CBDC">
        <w:rPr>
          <w:rFonts w:cs="Times New Roman"/>
          <w:noProof/>
        </w:rPr>
        <w:t>added. To facilitate the mandatory verification of F-gas reporting, an electronic verification process will be included. Member States are encouraged to establish databases on activities such as servicing, leak checking and sales, for better market control and to derive real-world emission rates.</w:t>
      </w:r>
    </w:p>
    <w:p w14:paraId="422E2D3E" w14:textId="77777777" w:rsidR="000466BF" w:rsidRPr="00A721AB" w:rsidRDefault="3982CBDC" w:rsidP="001B4836">
      <w:pPr>
        <w:keepNext/>
        <w:numPr>
          <w:ilvl w:val="0"/>
          <w:numId w:val="8"/>
        </w:numPr>
        <w:spacing w:after="120"/>
        <w:ind w:left="714" w:hanging="357"/>
        <w:rPr>
          <w:rFonts w:cs="Times New Roman"/>
          <w:b/>
          <w:bCs/>
          <w:noProof/>
        </w:rPr>
      </w:pPr>
      <w:r w:rsidRPr="3982CBDC">
        <w:rPr>
          <w:rFonts w:cs="Times New Roman"/>
          <w:b/>
          <w:bCs/>
          <w:noProof/>
        </w:rPr>
        <w:t>Option 3: Maximum feasibility and implementation improvements</w:t>
      </w:r>
    </w:p>
    <w:p w14:paraId="008A6E4E" w14:textId="5BF456BB" w:rsidR="00BA046B" w:rsidRPr="009240BB" w:rsidRDefault="00FE6641" w:rsidP="3982CBDC">
      <w:pPr>
        <w:spacing w:after="120"/>
        <w:rPr>
          <w:rFonts w:cs="Times New Roman"/>
          <w:noProof/>
        </w:rPr>
      </w:pPr>
      <w:r>
        <w:rPr>
          <w:rFonts w:cs="Times New Roman"/>
          <w:noProof/>
        </w:rPr>
        <w:t xml:space="preserve">Option 3 is a </w:t>
      </w:r>
      <w:r w:rsidRPr="009235A6">
        <w:rPr>
          <w:rFonts w:cs="Times New Roman"/>
          <w:b/>
          <w:noProof/>
        </w:rPr>
        <w:t>high cost option</w:t>
      </w:r>
      <w:r>
        <w:rPr>
          <w:rFonts w:cs="Times New Roman"/>
          <w:noProof/>
        </w:rPr>
        <w:t xml:space="preserve">. </w:t>
      </w:r>
      <w:r w:rsidR="3982CBDC" w:rsidRPr="3982CBDC">
        <w:rPr>
          <w:rFonts w:cs="Times New Roman"/>
          <w:noProof/>
        </w:rPr>
        <w:t xml:space="preserve">In addition to the measures in Option 1 and Option 2, Option 3 will include </w:t>
      </w:r>
      <w:r w:rsidR="00D20072">
        <w:rPr>
          <w:rFonts w:cs="Times New Roman"/>
          <w:noProof/>
        </w:rPr>
        <w:t xml:space="preserve">all </w:t>
      </w:r>
      <w:r w:rsidR="3982CBDC" w:rsidRPr="3982CBDC">
        <w:rPr>
          <w:rFonts w:cs="Times New Roman"/>
          <w:noProof/>
        </w:rPr>
        <w:t xml:space="preserve">measures that seek to </w:t>
      </w:r>
      <w:r w:rsidR="3982CBDC" w:rsidRPr="3982CBDC">
        <w:rPr>
          <w:rFonts w:cs="Times New Roman"/>
          <w:b/>
          <w:bCs/>
          <w:noProof/>
        </w:rPr>
        <w:t>achieve the maximum GHG emission reductions based on today’s technical feasibility while taking into account energy efficiency and safety</w:t>
      </w:r>
      <w:r w:rsidR="3982CBDC" w:rsidRPr="3982CBDC">
        <w:rPr>
          <w:rFonts w:cs="Times New Roman"/>
          <w:noProof/>
        </w:rPr>
        <w:t xml:space="preserve"> aspects. It also includes </w:t>
      </w:r>
      <w:r w:rsidR="3982CBDC" w:rsidRPr="3982CBDC">
        <w:rPr>
          <w:rFonts w:cs="Times New Roman"/>
          <w:b/>
          <w:bCs/>
          <w:noProof/>
        </w:rPr>
        <w:t>all measures regarded as feasible to improve control,</w:t>
      </w:r>
      <w:r w:rsidR="00D20072">
        <w:rPr>
          <w:rFonts w:cs="Times New Roman"/>
          <w:b/>
          <w:bCs/>
          <w:noProof/>
        </w:rPr>
        <w:t xml:space="preserve"> implementation, and monitoring</w:t>
      </w:r>
      <w:r w:rsidR="3982CBDC" w:rsidRPr="3982CBDC">
        <w:rPr>
          <w:rFonts w:cs="Times New Roman"/>
          <w:noProof/>
        </w:rPr>
        <w:t>, including those proposed by stakeholders</w:t>
      </w:r>
      <w:r w:rsidR="00477247">
        <w:rPr>
          <w:rFonts w:cs="Times New Roman"/>
          <w:noProof/>
        </w:rPr>
        <w:t xml:space="preserve">, regardless of the </w:t>
      </w:r>
      <w:r w:rsidR="00D20072">
        <w:rPr>
          <w:rFonts w:cs="Times New Roman"/>
          <w:noProof/>
        </w:rPr>
        <w:t xml:space="preserve">price or </w:t>
      </w:r>
      <w:r w:rsidR="00477247">
        <w:rPr>
          <w:rFonts w:cs="Times New Roman"/>
          <w:noProof/>
        </w:rPr>
        <w:t>effort involved</w:t>
      </w:r>
      <w:r w:rsidR="3982CBDC" w:rsidRPr="3982CBDC">
        <w:rPr>
          <w:rFonts w:cs="Times New Roman"/>
          <w:noProof/>
        </w:rPr>
        <w:t>.</w:t>
      </w:r>
      <w:r w:rsidR="00C234AD">
        <w:rPr>
          <w:rFonts w:cs="Times New Roman"/>
          <w:noProof/>
        </w:rPr>
        <w:t xml:space="preserve"> </w:t>
      </w:r>
      <w:r w:rsidR="00A20BA8">
        <w:rPr>
          <w:rFonts w:cs="Times New Roman"/>
          <w:noProof/>
        </w:rPr>
        <w:t xml:space="preserve">This option was examined in order to see what price tag would be necessary to take all </w:t>
      </w:r>
      <w:r w:rsidR="00AB467C">
        <w:rPr>
          <w:rFonts w:cs="Times New Roman"/>
          <w:noProof/>
        </w:rPr>
        <w:t xml:space="preserve">feasible </w:t>
      </w:r>
      <w:r w:rsidR="00A20BA8">
        <w:rPr>
          <w:rFonts w:cs="Times New Roman"/>
          <w:noProof/>
        </w:rPr>
        <w:t xml:space="preserve">measures considered, and what would be the </w:t>
      </w:r>
      <w:r w:rsidR="00AB467C">
        <w:rPr>
          <w:rFonts w:cs="Times New Roman"/>
          <w:noProof/>
        </w:rPr>
        <w:t>added</w:t>
      </w:r>
      <w:r w:rsidR="00A20BA8">
        <w:rPr>
          <w:rFonts w:cs="Times New Roman"/>
          <w:noProof/>
        </w:rPr>
        <w:t xml:space="preserve"> value of achieving them.  </w:t>
      </w:r>
    </w:p>
    <w:p w14:paraId="5784492B" w14:textId="2438C731" w:rsidR="002C3897" w:rsidRPr="009C7D99" w:rsidRDefault="00D13A99" w:rsidP="00E114B2">
      <w:pPr>
        <w:spacing w:after="120"/>
        <w:rPr>
          <w:rFonts w:cs="Times New Roman"/>
          <w:b/>
          <w:bCs/>
          <w:noProof/>
        </w:rPr>
      </w:pPr>
      <w:r w:rsidRPr="3982CBDC">
        <w:rPr>
          <w:rFonts w:cs="Times New Roman"/>
          <w:noProof/>
        </w:rPr>
        <w:t>T</w:t>
      </w:r>
      <w:r w:rsidR="00D6486A" w:rsidRPr="3982CBDC">
        <w:rPr>
          <w:rFonts w:cs="Times New Roman"/>
          <w:noProof/>
        </w:rPr>
        <w:t>his o</w:t>
      </w:r>
      <w:r w:rsidRPr="3982CBDC">
        <w:rPr>
          <w:rFonts w:cs="Times New Roman"/>
          <w:noProof/>
        </w:rPr>
        <w:t xml:space="preserve">ption has the </w:t>
      </w:r>
      <w:r w:rsidRPr="009C7D99">
        <w:rPr>
          <w:rFonts w:cs="Times New Roman"/>
          <w:b/>
          <w:noProof/>
        </w:rPr>
        <w:t xml:space="preserve">steepest </w:t>
      </w:r>
      <w:r w:rsidR="00477247" w:rsidRPr="009C7D99">
        <w:rPr>
          <w:rFonts w:cs="Times New Roman"/>
          <w:b/>
          <w:noProof/>
        </w:rPr>
        <w:t>quota system</w:t>
      </w:r>
      <w:r w:rsidR="00D6486A" w:rsidRPr="3982CBDC">
        <w:rPr>
          <w:rFonts w:cs="Times New Roman"/>
          <w:noProof/>
        </w:rPr>
        <w:t xml:space="preserve"> </w:t>
      </w:r>
      <w:r w:rsidR="00771D1A">
        <w:rPr>
          <w:rFonts w:cs="Times New Roman"/>
          <w:noProof/>
        </w:rPr>
        <w:t xml:space="preserve">that </w:t>
      </w:r>
      <w:r w:rsidR="0042650C" w:rsidRPr="3982CBDC">
        <w:rPr>
          <w:rFonts w:cs="Times New Roman"/>
          <w:noProof/>
          <w:lang w:val="en-US"/>
        </w:rPr>
        <w:t xml:space="preserve">is assuming replacement of high and medium high GHGs </w:t>
      </w:r>
      <w:r w:rsidR="0042650C" w:rsidRPr="3982CBDC">
        <w:rPr>
          <w:rFonts w:cs="Times New Roman"/>
          <w:i/>
          <w:iCs/>
          <w:noProof/>
          <w:lang w:val="en-US"/>
        </w:rPr>
        <w:t>as soon as</w:t>
      </w:r>
      <w:r w:rsidR="0042650C" w:rsidRPr="3982CBDC">
        <w:rPr>
          <w:rFonts w:cs="Times New Roman"/>
          <w:noProof/>
          <w:lang w:val="en-US"/>
        </w:rPr>
        <w:t xml:space="preserve"> this is technically possible</w:t>
      </w:r>
      <w:r w:rsidR="00497C18" w:rsidRPr="3982CBDC">
        <w:rPr>
          <w:rFonts w:cs="Times New Roman"/>
          <w:noProof/>
          <w:lang w:val="en-US"/>
        </w:rPr>
        <w:t>,</w:t>
      </w:r>
      <w:r w:rsidR="0042650C" w:rsidRPr="3982CBDC">
        <w:rPr>
          <w:rFonts w:cs="Times New Roman"/>
          <w:noProof/>
          <w:lang w:val="en-US"/>
        </w:rPr>
        <w:t xml:space="preserve"> even if </w:t>
      </w:r>
      <w:r w:rsidR="00D6011E">
        <w:rPr>
          <w:rFonts w:cs="Times New Roman"/>
          <w:noProof/>
          <w:lang w:val="en-US"/>
        </w:rPr>
        <w:t xml:space="preserve">marginal abatement </w:t>
      </w:r>
      <w:r w:rsidR="0042650C" w:rsidRPr="3982CBDC">
        <w:rPr>
          <w:rFonts w:cs="Times New Roman"/>
          <w:noProof/>
          <w:lang w:val="en-US"/>
        </w:rPr>
        <w:t xml:space="preserve">costs </w:t>
      </w:r>
      <w:r w:rsidR="00D6011E">
        <w:rPr>
          <w:rFonts w:cs="Times New Roman"/>
          <w:noProof/>
          <w:lang w:val="en-US"/>
        </w:rPr>
        <w:t xml:space="preserve">at sub-sectoral level </w:t>
      </w:r>
      <w:r w:rsidR="0042650C" w:rsidRPr="3982CBDC">
        <w:rPr>
          <w:rFonts w:cs="Times New Roman"/>
          <w:noProof/>
          <w:lang w:val="en-US"/>
        </w:rPr>
        <w:t xml:space="preserve">go </w:t>
      </w:r>
      <w:r w:rsidR="00827D46">
        <w:rPr>
          <w:rFonts w:cs="Times New Roman"/>
          <w:noProof/>
          <w:lang w:val="en-US"/>
        </w:rPr>
        <w:t xml:space="preserve">up faster, and </w:t>
      </w:r>
      <w:r w:rsidR="0042650C" w:rsidRPr="3982CBDC">
        <w:rPr>
          <w:rFonts w:cs="Times New Roman"/>
          <w:noProof/>
          <w:lang w:val="en-US"/>
        </w:rPr>
        <w:t>beyond €390/tCO2e</w:t>
      </w:r>
      <w:r w:rsidR="00827D46">
        <w:rPr>
          <w:rFonts w:cs="Times New Roman"/>
          <w:noProof/>
          <w:lang w:val="en-US"/>
        </w:rPr>
        <w:t xml:space="preserve"> already before 2050</w:t>
      </w:r>
      <w:r w:rsidR="0042650C" w:rsidRPr="3982CBDC">
        <w:rPr>
          <w:rFonts w:cs="Times New Roman"/>
          <w:noProof/>
          <w:lang w:val="en-US"/>
        </w:rPr>
        <w:t xml:space="preserve">. </w:t>
      </w:r>
      <w:r w:rsidR="00771D1A">
        <w:rPr>
          <w:rFonts w:cs="Times New Roman"/>
          <w:noProof/>
          <w:lang w:val="en-US"/>
        </w:rPr>
        <w:t>A</w:t>
      </w:r>
      <w:r w:rsidR="00BA046B" w:rsidRPr="3982CBDC">
        <w:rPr>
          <w:rFonts w:cs="Times New Roman"/>
          <w:noProof/>
        </w:rPr>
        <w:t>dditionally</w:t>
      </w:r>
      <w:r w:rsidR="006B0349">
        <w:rPr>
          <w:rFonts w:cs="Times New Roman"/>
          <w:noProof/>
        </w:rPr>
        <w:t>,</w:t>
      </w:r>
      <w:r w:rsidR="00BA046B" w:rsidRPr="3982CBDC">
        <w:rPr>
          <w:rFonts w:cs="Times New Roman"/>
          <w:noProof/>
        </w:rPr>
        <w:t xml:space="preserve"> </w:t>
      </w:r>
      <w:r w:rsidR="00771D1A">
        <w:rPr>
          <w:rFonts w:cs="Times New Roman"/>
          <w:noProof/>
        </w:rPr>
        <w:t xml:space="preserve">it </w:t>
      </w:r>
      <w:r w:rsidR="009240BB" w:rsidRPr="009C7D99">
        <w:rPr>
          <w:rFonts w:cs="Times New Roman"/>
          <w:b/>
          <w:noProof/>
        </w:rPr>
        <w:t xml:space="preserve">removes </w:t>
      </w:r>
      <w:r w:rsidR="00BA046B" w:rsidRPr="009C7D99">
        <w:rPr>
          <w:rFonts w:cs="Times New Roman"/>
          <w:b/>
          <w:noProof/>
        </w:rPr>
        <w:t>exemption</w:t>
      </w:r>
      <w:r w:rsidR="009240BB" w:rsidRPr="009C7D99">
        <w:rPr>
          <w:rFonts w:cs="Times New Roman"/>
          <w:b/>
          <w:noProof/>
        </w:rPr>
        <w:t>s</w:t>
      </w:r>
      <w:r w:rsidR="00BA046B" w:rsidRPr="009C7D99">
        <w:rPr>
          <w:rFonts w:cs="Times New Roman"/>
          <w:b/>
          <w:noProof/>
        </w:rPr>
        <w:t xml:space="preserve"> </w:t>
      </w:r>
      <w:r w:rsidR="00BA046B" w:rsidRPr="009C7D99">
        <w:rPr>
          <w:rFonts w:cs="Times New Roman"/>
          <w:noProof/>
        </w:rPr>
        <w:t xml:space="preserve">for military equipment </w:t>
      </w:r>
      <w:r w:rsidR="009240BB" w:rsidRPr="009C7D99">
        <w:rPr>
          <w:rFonts w:cs="Times New Roman"/>
          <w:noProof/>
        </w:rPr>
        <w:t>and semiconductors</w:t>
      </w:r>
      <w:r w:rsidR="009240BB" w:rsidRPr="3982CBDC">
        <w:rPr>
          <w:rFonts w:cs="Times New Roman"/>
          <w:noProof/>
        </w:rPr>
        <w:t xml:space="preserve">, which both </w:t>
      </w:r>
      <w:r w:rsidR="00BA046B" w:rsidRPr="3982CBDC">
        <w:rPr>
          <w:rFonts w:cs="Times New Roman"/>
          <w:noProof/>
        </w:rPr>
        <w:t>relate to small amounts</w:t>
      </w:r>
      <w:r w:rsidR="009240BB" w:rsidRPr="3982CBDC">
        <w:rPr>
          <w:rFonts w:cs="Times New Roman"/>
          <w:noProof/>
        </w:rPr>
        <w:t xml:space="preserve"> being consumed</w:t>
      </w:r>
      <w:r w:rsidR="00BA046B" w:rsidRPr="3982CBDC">
        <w:rPr>
          <w:rFonts w:cs="Times New Roman"/>
          <w:noProof/>
        </w:rPr>
        <w:t>.</w:t>
      </w:r>
      <w:r w:rsidR="009240BB" w:rsidRPr="3982CBDC">
        <w:rPr>
          <w:rStyle w:val="FootnoteReference"/>
          <w:rFonts w:cs="Times New Roman"/>
          <w:noProof/>
        </w:rPr>
        <w:footnoteReference w:id="71"/>
      </w:r>
      <w:r w:rsidR="009C7D99">
        <w:rPr>
          <w:rFonts w:cs="Times New Roman"/>
          <w:b/>
          <w:bCs/>
          <w:noProof/>
        </w:rPr>
        <w:t xml:space="preserve"> </w:t>
      </w:r>
      <w:r w:rsidR="3982CBDC" w:rsidRPr="3982CBDC">
        <w:rPr>
          <w:rFonts w:cs="Times New Roman"/>
          <w:noProof/>
        </w:rPr>
        <w:t xml:space="preserve">To further improve implementation, measures that come with a relatively high burden are </w:t>
      </w:r>
      <w:r w:rsidR="00771D1A">
        <w:rPr>
          <w:rFonts w:cs="Times New Roman"/>
          <w:noProof/>
        </w:rPr>
        <w:t>included, e.g.</w:t>
      </w:r>
      <w:r w:rsidR="3982CBDC" w:rsidRPr="3982CBDC">
        <w:rPr>
          <w:rFonts w:cs="Times New Roman"/>
          <w:noProof/>
        </w:rPr>
        <w:t xml:space="preserve"> </w:t>
      </w:r>
      <w:r w:rsidR="00304CA9">
        <w:rPr>
          <w:rFonts w:cs="Times New Roman"/>
          <w:b/>
          <w:noProof/>
        </w:rPr>
        <w:t>m</w:t>
      </w:r>
      <w:r w:rsidR="3982CBDC" w:rsidRPr="009C7D99">
        <w:rPr>
          <w:rFonts w:cs="Times New Roman"/>
          <w:b/>
          <w:noProof/>
        </w:rPr>
        <w:t>andatory certification for importers and online sellers</w:t>
      </w:r>
      <w:r w:rsidR="00771D1A">
        <w:rPr>
          <w:rFonts w:cs="Times New Roman"/>
          <w:b/>
          <w:noProof/>
        </w:rPr>
        <w:t xml:space="preserve"> and a requirement to have a </w:t>
      </w:r>
      <w:r w:rsidR="3982CBDC" w:rsidRPr="009C7D99">
        <w:rPr>
          <w:rFonts w:cs="Times New Roman"/>
          <w:b/>
          <w:noProof/>
        </w:rPr>
        <w:t>declaration of conformity and record keeping</w:t>
      </w:r>
      <w:r w:rsidR="3982CBDC" w:rsidRPr="3982CBDC">
        <w:rPr>
          <w:rFonts w:cs="Times New Roman"/>
          <w:noProof/>
        </w:rPr>
        <w:t xml:space="preserve"> to prove the origin of the gases</w:t>
      </w:r>
      <w:r w:rsidR="00771D1A">
        <w:rPr>
          <w:rFonts w:cs="Times New Roman"/>
          <w:noProof/>
        </w:rPr>
        <w:t xml:space="preserve"> for all </w:t>
      </w:r>
      <w:r w:rsidR="00771D1A" w:rsidRPr="009C7D99">
        <w:rPr>
          <w:rFonts w:cs="Times New Roman"/>
          <w:b/>
          <w:noProof/>
        </w:rPr>
        <w:t>downstream HFC sellers</w:t>
      </w:r>
      <w:r w:rsidR="3982CBDC" w:rsidRPr="3982CBDC">
        <w:rPr>
          <w:rFonts w:cs="Times New Roman"/>
          <w:noProof/>
        </w:rPr>
        <w:t xml:space="preserve">. Reporting would be extended to exporters of equipment to better gauge the effect of EU produced goods elsewhere and </w:t>
      </w:r>
      <w:r w:rsidR="00771D1A">
        <w:rPr>
          <w:rFonts w:cs="Times New Roman"/>
          <w:noProof/>
        </w:rPr>
        <w:t xml:space="preserve">to </w:t>
      </w:r>
      <w:r w:rsidR="3982CBDC" w:rsidRPr="3982CBDC">
        <w:rPr>
          <w:rFonts w:cs="Times New Roman"/>
          <w:noProof/>
        </w:rPr>
        <w:t xml:space="preserve">recycling companies (in addition to reclamation). </w:t>
      </w:r>
      <w:r w:rsidR="3982CBDC" w:rsidRPr="009C7D99">
        <w:rPr>
          <w:rFonts w:cs="Times New Roman"/>
          <w:b/>
          <w:noProof/>
        </w:rPr>
        <w:t>Better estimation of emissions</w:t>
      </w:r>
      <w:r w:rsidR="3982CBDC" w:rsidRPr="3982CBDC">
        <w:rPr>
          <w:rFonts w:cs="Times New Roman"/>
          <w:noProof/>
        </w:rPr>
        <w:t xml:space="preserve"> are obtained by requiring operators of switchgear in electrical transmission to report</w:t>
      </w:r>
      <w:r w:rsidR="00771D1A">
        <w:rPr>
          <w:rFonts w:cs="Times New Roman"/>
          <w:noProof/>
        </w:rPr>
        <w:t xml:space="preserve"> and </w:t>
      </w:r>
      <w:r w:rsidR="3982CBDC" w:rsidRPr="3982CBDC">
        <w:rPr>
          <w:rFonts w:cs="Times New Roman"/>
          <w:noProof/>
        </w:rPr>
        <w:t xml:space="preserve">Member States to establish databases on available company data on servicing, leak checking and sales data. </w:t>
      </w:r>
    </w:p>
    <w:p w14:paraId="238E6920" w14:textId="1243ACA6" w:rsidR="00E371ED" w:rsidRDefault="00497C18" w:rsidP="006B5A60">
      <w:pPr>
        <w:spacing w:after="0"/>
        <w:rPr>
          <w:rFonts w:cs="Times New Roman"/>
          <w:noProof/>
        </w:rPr>
      </w:pPr>
      <w:r w:rsidRPr="0020600C">
        <w:rPr>
          <w:rFonts w:cs="Times New Roman"/>
          <w:noProof/>
        </w:rPr>
        <w:fldChar w:fldCharType="begin"/>
      </w:r>
      <w:r w:rsidRPr="0020600C">
        <w:rPr>
          <w:rFonts w:cs="Times New Roman"/>
          <w:noProof/>
          <w:szCs w:val="24"/>
        </w:rPr>
        <w:instrText xml:space="preserve"> REF _Ref80881102 \h </w:instrText>
      </w:r>
      <w:r w:rsidR="0020600C" w:rsidRPr="0020600C">
        <w:rPr>
          <w:rFonts w:cs="Times New Roman"/>
          <w:noProof/>
        </w:rPr>
        <w:instrText xml:space="preserve"> \* MERGEFORMAT </w:instrText>
      </w:r>
      <w:r w:rsidRPr="0020600C">
        <w:rPr>
          <w:rFonts w:cs="Times New Roman"/>
          <w:noProof/>
        </w:rPr>
      </w:r>
      <w:r w:rsidRPr="0020600C">
        <w:rPr>
          <w:rFonts w:cs="Times New Roman"/>
          <w:noProof/>
          <w:szCs w:val="24"/>
        </w:rPr>
        <w:fldChar w:fldCharType="separate"/>
      </w:r>
      <w:r w:rsidR="00C66A21" w:rsidRPr="00C66A21">
        <w:rPr>
          <w:rFonts w:cs="Times New Roman"/>
          <w:noProof/>
        </w:rPr>
        <w:t>Table 1</w:t>
      </w:r>
      <w:r w:rsidRPr="0020600C">
        <w:rPr>
          <w:rFonts w:cs="Times New Roman"/>
          <w:noProof/>
        </w:rPr>
        <w:fldChar w:fldCharType="end"/>
      </w:r>
      <w:r w:rsidRPr="0020600C">
        <w:rPr>
          <w:rFonts w:cs="Times New Roman"/>
          <w:noProof/>
        </w:rPr>
        <w:t xml:space="preserve"> </w:t>
      </w:r>
      <w:r w:rsidR="00250F03" w:rsidRPr="3982CBDC">
        <w:rPr>
          <w:rFonts w:cs="Times New Roman"/>
          <w:noProof/>
        </w:rPr>
        <w:t>show</w:t>
      </w:r>
      <w:r w:rsidRPr="3982CBDC">
        <w:rPr>
          <w:rFonts w:cs="Times New Roman"/>
          <w:noProof/>
        </w:rPr>
        <w:t>s</w:t>
      </w:r>
      <w:r w:rsidR="00250F03" w:rsidRPr="3982CBDC">
        <w:rPr>
          <w:rFonts w:cs="Times New Roman"/>
          <w:noProof/>
        </w:rPr>
        <w:t xml:space="preserve"> </w:t>
      </w:r>
      <w:r w:rsidR="00A074E5" w:rsidRPr="3982CBDC">
        <w:rPr>
          <w:rFonts w:cs="Times New Roman"/>
          <w:noProof/>
        </w:rPr>
        <w:t xml:space="preserve">the </w:t>
      </w:r>
      <w:r w:rsidR="0020600C">
        <w:rPr>
          <w:rFonts w:cs="Times New Roman"/>
          <w:noProof/>
        </w:rPr>
        <w:t xml:space="preserve">individual </w:t>
      </w:r>
      <w:r w:rsidR="00250F03" w:rsidRPr="3982CBDC">
        <w:rPr>
          <w:rFonts w:cs="Times New Roman"/>
          <w:noProof/>
        </w:rPr>
        <w:t>measures</w:t>
      </w:r>
      <w:r w:rsidR="001E54A6" w:rsidRPr="3982CBDC">
        <w:rPr>
          <w:rFonts w:cs="Times New Roman"/>
          <w:noProof/>
        </w:rPr>
        <w:t xml:space="preserve"> </w:t>
      </w:r>
      <w:r w:rsidR="00022DC7" w:rsidRPr="3982CBDC">
        <w:rPr>
          <w:rFonts w:cs="Times New Roman"/>
          <w:noProof/>
        </w:rPr>
        <w:t xml:space="preserve">and their grouping </w:t>
      </w:r>
      <w:r w:rsidR="00A074E5" w:rsidRPr="3982CBDC">
        <w:rPr>
          <w:rFonts w:cs="Times New Roman"/>
          <w:noProof/>
        </w:rPr>
        <w:t>under</w:t>
      </w:r>
      <w:r w:rsidR="00022DC7" w:rsidRPr="3982CBDC">
        <w:rPr>
          <w:rFonts w:cs="Times New Roman"/>
          <w:noProof/>
        </w:rPr>
        <w:t xml:space="preserve"> </w:t>
      </w:r>
      <w:r w:rsidR="00250F03" w:rsidRPr="3982CBDC">
        <w:rPr>
          <w:rFonts w:cs="Times New Roman"/>
          <w:noProof/>
        </w:rPr>
        <w:t xml:space="preserve">the review </w:t>
      </w:r>
      <w:r w:rsidR="001E54A6" w:rsidRPr="3982CBDC">
        <w:rPr>
          <w:rFonts w:cs="Times New Roman"/>
          <w:noProof/>
        </w:rPr>
        <w:t>objective the</w:t>
      </w:r>
      <w:r w:rsidR="00022DC7" w:rsidRPr="3982CBDC">
        <w:rPr>
          <w:rFonts w:cs="Times New Roman"/>
          <w:noProof/>
        </w:rPr>
        <w:t xml:space="preserve">y are </w:t>
      </w:r>
      <w:r w:rsidR="0020600C">
        <w:rPr>
          <w:rFonts w:cs="Times New Roman"/>
          <w:noProof/>
        </w:rPr>
        <w:t>targeting, and how they relate to each policy option.</w:t>
      </w:r>
      <w:r w:rsidR="00D404B1">
        <w:rPr>
          <w:rFonts w:cs="Times New Roman"/>
          <w:noProof/>
        </w:rPr>
        <w:t xml:space="preserve"> A more detailed description of the </w:t>
      </w:r>
      <w:r w:rsidR="00E114B2">
        <w:rPr>
          <w:rFonts w:cs="Times New Roman"/>
          <w:noProof/>
        </w:rPr>
        <w:t>measures</w:t>
      </w:r>
      <w:r w:rsidR="00D404B1">
        <w:rPr>
          <w:rFonts w:cs="Times New Roman"/>
          <w:noProof/>
        </w:rPr>
        <w:t xml:space="preserve"> is given in Annex</w:t>
      </w:r>
      <w:r w:rsidR="005A0ADC">
        <w:rPr>
          <w:rFonts w:cs="Times New Roman"/>
          <w:noProof/>
        </w:rPr>
        <w:t xml:space="preserve"> </w:t>
      </w:r>
      <w:r w:rsidR="00492D4F">
        <w:rPr>
          <w:rFonts w:cs="Times New Roman"/>
          <w:noProof/>
        </w:rPr>
        <w:t>A6</w:t>
      </w:r>
      <w:r w:rsidR="00D404B1">
        <w:rPr>
          <w:rFonts w:cs="Times New Roman"/>
          <w:noProof/>
        </w:rPr>
        <w:t>.</w:t>
      </w:r>
      <w:r w:rsidR="00D31CCF" w:rsidRPr="3982CBDC">
        <w:rPr>
          <w:rFonts w:cs="Times New Roman"/>
          <w:noProof/>
        </w:rPr>
        <w:t xml:space="preserve"> </w:t>
      </w:r>
      <w:r w:rsidR="00CF475A" w:rsidRPr="3982CBDC">
        <w:rPr>
          <w:rFonts w:cs="Times New Roman"/>
          <w:noProof/>
        </w:rPr>
        <w:t>M</w:t>
      </w:r>
      <w:r w:rsidR="00D31CCF" w:rsidRPr="3982CBDC">
        <w:rPr>
          <w:rFonts w:cs="Times New Roman"/>
          <w:noProof/>
        </w:rPr>
        <w:t xml:space="preserve">utually exclusive </w:t>
      </w:r>
      <w:r w:rsidR="00CF475A" w:rsidRPr="3982CBDC">
        <w:rPr>
          <w:rFonts w:cs="Times New Roman"/>
          <w:noProof/>
        </w:rPr>
        <w:t xml:space="preserve">measures </w:t>
      </w:r>
      <w:r w:rsidR="00A074E5" w:rsidRPr="3982CBDC">
        <w:rPr>
          <w:rFonts w:cs="Times New Roman"/>
          <w:noProof/>
        </w:rPr>
        <w:t>are</w:t>
      </w:r>
      <w:r w:rsidR="00672B5F" w:rsidRPr="3982CBDC">
        <w:rPr>
          <w:rFonts w:cs="Times New Roman"/>
          <w:noProof/>
        </w:rPr>
        <w:t xml:space="preserve"> indicated with </w:t>
      </w:r>
      <w:r w:rsidR="00D31CCF" w:rsidRPr="3982CBDC">
        <w:rPr>
          <w:rFonts w:cs="Times New Roman"/>
          <w:noProof/>
        </w:rPr>
        <w:t>a</w:t>
      </w:r>
      <w:r w:rsidR="006B5A60">
        <w:rPr>
          <w:rFonts w:cs="Times New Roman"/>
          <w:noProof/>
        </w:rPr>
        <w:t>n</w:t>
      </w:r>
      <w:r w:rsidR="00D31CCF" w:rsidRPr="3982CBDC">
        <w:rPr>
          <w:rFonts w:cs="Times New Roman"/>
          <w:noProof/>
        </w:rPr>
        <w:t xml:space="preserve"> ‘*’</w:t>
      </w:r>
      <w:r w:rsidR="00CF475A" w:rsidRPr="3982CBDC">
        <w:rPr>
          <w:rFonts w:cs="Times New Roman"/>
          <w:noProof/>
        </w:rPr>
        <w:t xml:space="preserve">. All other measures are complementary and </w:t>
      </w:r>
      <w:r w:rsidR="00022DC7" w:rsidRPr="3982CBDC">
        <w:rPr>
          <w:rFonts w:cs="Times New Roman"/>
          <w:noProof/>
        </w:rPr>
        <w:t>are</w:t>
      </w:r>
      <w:r w:rsidR="00CF475A" w:rsidRPr="3982CBDC">
        <w:rPr>
          <w:rFonts w:cs="Times New Roman"/>
          <w:noProof/>
        </w:rPr>
        <w:t xml:space="preserve"> shown as follows:</w:t>
      </w:r>
    </w:p>
    <w:p w14:paraId="2963C5AC" w14:textId="2A74D54A" w:rsidR="00E371ED" w:rsidRPr="00E371ED" w:rsidRDefault="3982CBDC" w:rsidP="0017603A">
      <w:pPr>
        <w:pStyle w:val="ListParagraph"/>
        <w:numPr>
          <w:ilvl w:val="0"/>
          <w:numId w:val="98"/>
        </w:numPr>
        <w:spacing w:after="240"/>
        <w:rPr>
          <w:noProof/>
        </w:rPr>
      </w:pPr>
      <w:r w:rsidRPr="3982CBDC">
        <w:rPr>
          <w:rFonts w:cs="Times New Roman"/>
          <w:noProof/>
        </w:rPr>
        <w:t xml:space="preserve">Option 1 includes all measures </w:t>
      </w:r>
      <w:r>
        <w:rPr>
          <w:noProof/>
        </w:rPr>
        <w:t xml:space="preserve">shaded </w:t>
      </w:r>
      <w:r w:rsidR="0075286C">
        <w:rPr>
          <w:noProof/>
        </w:rPr>
        <w:t>[</w:t>
      </w:r>
      <w:r>
        <w:rPr>
          <w:noProof/>
        </w:rPr>
        <w:t>white</w:t>
      </w:r>
      <w:r w:rsidR="0075286C">
        <w:rPr>
          <w:noProof/>
        </w:rPr>
        <w:t>]</w:t>
      </w:r>
      <w:r>
        <w:rPr>
          <w:noProof/>
        </w:rPr>
        <w:t xml:space="preserve">. </w:t>
      </w:r>
    </w:p>
    <w:p w14:paraId="73A3112D" w14:textId="2514FA1B" w:rsidR="00E371ED" w:rsidRPr="00E371ED" w:rsidRDefault="3982CBDC" w:rsidP="0017603A">
      <w:pPr>
        <w:pStyle w:val="ListParagraph"/>
        <w:numPr>
          <w:ilvl w:val="0"/>
          <w:numId w:val="98"/>
        </w:numPr>
        <w:spacing w:after="240"/>
        <w:rPr>
          <w:noProof/>
        </w:rPr>
      </w:pPr>
      <w:r>
        <w:rPr>
          <w:noProof/>
        </w:rPr>
        <w:t xml:space="preserve">Option 2 includes measures shaded </w:t>
      </w:r>
      <w:r w:rsidRPr="3982CBDC">
        <w:rPr>
          <w:noProof/>
          <w:highlight w:val="lightGray"/>
        </w:rPr>
        <w:t>light grey</w:t>
      </w:r>
      <w:r>
        <w:rPr>
          <w:noProof/>
        </w:rPr>
        <w:t xml:space="preserve"> plus </w:t>
      </w:r>
      <w:r w:rsidR="0075286C">
        <w:rPr>
          <w:noProof/>
        </w:rPr>
        <w:t>[</w:t>
      </w:r>
      <w:r>
        <w:rPr>
          <w:noProof/>
        </w:rPr>
        <w:t>white</w:t>
      </w:r>
      <w:r w:rsidR="0075286C">
        <w:rPr>
          <w:noProof/>
        </w:rPr>
        <w:t>]</w:t>
      </w:r>
      <w:r>
        <w:rPr>
          <w:noProof/>
        </w:rPr>
        <w:t xml:space="preserve"> (except </w:t>
      </w:r>
      <w:r w:rsidR="0020600C">
        <w:rPr>
          <w:noProof/>
        </w:rPr>
        <w:t>“</w:t>
      </w:r>
      <w:r>
        <w:rPr>
          <w:noProof/>
        </w:rPr>
        <w:t>* Option 1</w:t>
      </w:r>
      <w:r w:rsidR="0020600C">
        <w:rPr>
          <w:noProof/>
        </w:rPr>
        <w:t>”</w:t>
      </w:r>
      <w:r>
        <w:rPr>
          <w:noProof/>
        </w:rPr>
        <w:t>)</w:t>
      </w:r>
    </w:p>
    <w:p w14:paraId="51D6E64E" w14:textId="64B6E3C8" w:rsidR="00D31CCF" w:rsidRDefault="3982CBDC" w:rsidP="0017603A">
      <w:pPr>
        <w:pStyle w:val="ListParagraph"/>
        <w:numPr>
          <w:ilvl w:val="0"/>
          <w:numId w:val="98"/>
        </w:numPr>
        <w:spacing w:after="240"/>
        <w:rPr>
          <w:rFonts w:cs="Times New Roman"/>
          <w:noProof/>
        </w:rPr>
      </w:pPr>
      <w:r>
        <w:rPr>
          <w:noProof/>
        </w:rPr>
        <w:t xml:space="preserve">Option 3 includes measures shaded </w:t>
      </w:r>
      <w:r w:rsidRPr="3982CBDC">
        <w:rPr>
          <w:noProof/>
          <w:highlight w:val="darkGray"/>
        </w:rPr>
        <w:t>dark grey</w:t>
      </w:r>
      <w:r w:rsidR="0020600C">
        <w:rPr>
          <w:noProof/>
        </w:rPr>
        <w:t>,</w:t>
      </w:r>
      <w:r>
        <w:rPr>
          <w:noProof/>
        </w:rPr>
        <w:t xml:space="preserve"> plus those in </w:t>
      </w:r>
      <w:r w:rsidR="0075286C">
        <w:rPr>
          <w:noProof/>
        </w:rPr>
        <w:t>[</w:t>
      </w:r>
      <w:r>
        <w:rPr>
          <w:noProof/>
        </w:rPr>
        <w:t>white</w:t>
      </w:r>
      <w:r w:rsidR="0075286C">
        <w:rPr>
          <w:noProof/>
        </w:rPr>
        <w:t>]</w:t>
      </w:r>
      <w:r>
        <w:rPr>
          <w:noProof/>
        </w:rPr>
        <w:t xml:space="preserve"> and  </w:t>
      </w:r>
      <w:r w:rsidRPr="3982CBDC">
        <w:rPr>
          <w:noProof/>
          <w:highlight w:val="lightGray"/>
        </w:rPr>
        <w:t>light grey</w:t>
      </w:r>
      <w:r>
        <w:rPr>
          <w:noProof/>
        </w:rPr>
        <w:t xml:space="preserve"> (except </w:t>
      </w:r>
      <w:r w:rsidR="0020600C">
        <w:rPr>
          <w:noProof/>
        </w:rPr>
        <w:t>“</w:t>
      </w:r>
      <w:r>
        <w:rPr>
          <w:noProof/>
        </w:rPr>
        <w:t>* Option 1</w:t>
      </w:r>
      <w:r w:rsidR="0020600C">
        <w:rPr>
          <w:noProof/>
        </w:rPr>
        <w:t>”</w:t>
      </w:r>
      <w:r>
        <w:rPr>
          <w:noProof/>
        </w:rPr>
        <w:t xml:space="preserve"> and </w:t>
      </w:r>
      <w:r w:rsidR="0020600C">
        <w:rPr>
          <w:noProof/>
        </w:rPr>
        <w:t>“</w:t>
      </w:r>
      <w:r>
        <w:rPr>
          <w:noProof/>
        </w:rPr>
        <w:t>* Option 2</w:t>
      </w:r>
      <w:r w:rsidR="0020600C">
        <w:rPr>
          <w:noProof/>
        </w:rPr>
        <w:t>”</w:t>
      </w:r>
      <w:r>
        <w:rPr>
          <w:noProof/>
        </w:rPr>
        <w:t>)</w:t>
      </w:r>
    </w:p>
    <w:p w14:paraId="3C4E1B06" w14:textId="14CA43A2" w:rsidR="00497C18" w:rsidRPr="00477247" w:rsidRDefault="00497C18" w:rsidP="003B12C0">
      <w:pPr>
        <w:pStyle w:val="Caption"/>
        <w:rPr>
          <w:rFonts w:asciiTheme="minorHAnsi" w:hAnsiTheme="minorHAnsi" w:cstheme="minorHAnsi"/>
          <w:noProof/>
        </w:rPr>
      </w:pPr>
      <w:bookmarkStart w:id="145" w:name="_Ref80881102"/>
      <w:r w:rsidRPr="00477247">
        <w:rPr>
          <w:rFonts w:asciiTheme="minorHAnsi" w:hAnsiTheme="minorHAnsi" w:cstheme="minorHAnsi"/>
          <w:b/>
          <w:noProof/>
        </w:rPr>
        <w:t xml:space="preserve">Table </w:t>
      </w:r>
      <w:r w:rsidR="0050162E" w:rsidRPr="00477247">
        <w:rPr>
          <w:rFonts w:asciiTheme="minorHAnsi" w:hAnsiTheme="minorHAnsi" w:cstheme="minorHAnsi"/>
          <w:b/>
          <w:noProof/>
        </w:rPr>
        <w:fldChar w:fldCharType="begin"/>
      </w:r>
      <w:r w:rsidR="0050162E" w:rsidRPr="00477247">
        <w:rPr>
          <w:rFonts w:asciiTheme="minorHAnsi" w:hAnsiTheme="minorHAnsi" w:cstheme="minorHAnsi"/>
          <w:b/>
          <w:noProof/>
        </w:rPr>
        <w:instrText xml:space="preserve"> SEQ Table \* ARABIC </w:instrText>
      </w:r>
      <w:r w:rsidR="0050162E" w:rsidRPr="00477247">
        <w:rPr>
          <w:rFonts w:asciiTheme="minorHAnsi" w:hAnsiTheme="minorHAnsi" w:cstheme="minorHAnsi"/>
          <w:b/>
          <w:noProof/>
        </w:rPr>
        <w:fldChar w:fldCharType="separate"/>
      </w:r>
      <w:r w:rsidR="00830261">
        <w:rPr>
          <w:rFonts w:asciiTheme="minorHAnsi" w:hAnsiTheme="minorHAnsi" w:cstheme="minorHAnsi"/>
          <w:b/>
          <w:noProof/>
        </w:rPr>
        <w:t>1</w:t>
      </w:r>
      <w:r w:rsidR="0050162E" w:rsidRPr="00477247">
        <w:rPr>
          <w:rFonts w:asciiTheme="minorHAnsi" w:hAnsiTheme="minorHAnsi" w:cstheme="minorHAnsi"/>
          <w:b/>
          <w:noProof/>
        </w:rPr>
        <w:fldChar w:fldCharType="end"/>
      </w:r>
      <w:bookmarkEnd w:id="145"/>
      <w:r w:rsidRPr="00477247">
        <w:rPr>
          <w:rFonts w:asciiTheme="minorHAnsi" w:hAnsiTheme="minorHAnsi" w:cstheme="minorHAnsi"/>
          <w:b/>
          <w:noProof/>
        </w:rPr>
        <w:t>.</w:t>
      </w:r>
      <w:r w:rsidRPr="00477247">
        <w:rPr>
          <w:rFonts w:asciiTheme="minorHAnsi" w:hAnsiTheme="minorHAnsi" w:cstheme="minorHAnsi"/>
          <w:noProof/>
        </w:rPr>
        <w:t xml:space="preserve"> Individual measures con</w:t>
      </w:r>
      <w:r w:rsidR="003B12C0" w:rsidRPr="00477247">
        <w:rPr>
          <w:rFonts w:asciiTheme="minorHAnsi" w:hAnsiTheme="minorHAnsi" w:cstheme="minorHAnsi"/>
          <w:noProof/>
        </w:rPr>
        <w:t>sidered under the three options</w:t>
      </w:r>
      <w:r w:rsidR="00485D1C">
        <w:rPr>
          <w:rFonts w:asciiTheme="minorHAnsi" w:hAnsiTheme="minorHAnsi" w:cstheme="minorHAnsi"/>
          <w:noProof/>
        </w:rPr>
        <w:t>, b</w:t>
      </w:r>
      <w:r w:rsidR="006B62CA">
        <w:rPr>
          <w:rFonts w:asciiTheme="minorHAnsi" w:hAnsiTheme="minorHAnsi" w:cstheme="minorHAnsi"/>
          <w:noProof/>
        </w:rPr>
        <w:t>y objective and policy response</w:t>
      </w:r>
    </w:p>
    <w:tbl>
      <w:tblPr>
        <w:tblStyle w:val="DocumentTable3"/>
        <w:tblW w:w="0" w:type="auto"/>
        <w:tblLook w:val="04A0" w:firstRow="1" w:lastRow="0" w:firstColumn="1" w:lastColumn="0" w:noHBand="0" w:noVBand="1"/>
      </w:tblPr>
      <w:tblGrid>
        <w:gridCol w:w="8834"/>
      </w:tblGrid>
      <w:tr w:rsidR="003B12C0" w:rsidRPr="00DC58BB" w14:paraId="2005790E" w14:textId="77777777" w:rsidTr="3F3807E4">
        <w:tc>
          <w:tcPr>
            <w:tcW w:w="8834" w:type="dxa"/>
            <w:shd w:val="clear" w:color="auto" w:fill="FFFFFF" w:themeFill="background1"/>
          </w:tcPr>
          <w:p w14:paraId="1B6F831C" w14:textId="77777777" w:rsidR="003B12C0" w:rsidRPr="00DC58BB" w:rsidRDefault="3F3807E4" w:rsidP="3982CBDC">
            <w:pPr>
              <w:spacing w:after="60"/>
              <w:rPr>
                <w:rFonts w:ascii="Arial" w:hAnsi="Arial" w:cs="Arial"/>
                <w:noProof/>
                <w:color w:val="FFFFFF" w:themeColor="background1"/>
                <w:sz w:val="18"/>
                <w:szCs w:val="18"/>
              </w:rPr>
            </w:pPr>
            <w:r w:rsidRPr="3F3807E4">
              <w:rPr>
                <w:rFonts w:ascii="Arial" w:hAnsi="Arial" w:cs="Arial"/>
                <w:b/>
                <w:bCs/>
                <w:noProof/>
                <w:sz w:val="18"/>
                <w:szCs w:val="18"/>
              </w:rPr>
              <w:t>Objective A – Achieving additional emission reductions</w:t>
            </w:r>
          </w:p>
        </w:tc>
      </w:tr>
      <w:tr w:rsidR="00DC58BB" w:rsidRPr="00DC58BB" w14:paraId="17D01E76" w14:textId="77777777" w:rsidTr="3F3807E4">
        <w:tc>
          <w:tcPr>
            <w:tcW w:w="8834" w:type="dxa"/>
            <w:shd w:val="clear" w:color="auto" w:fill="003300"/>
          </w:tcPr>
          <w:p w14:paraId="0D01C430" w14:textId="3F37A539" w:rsidR="00DC58BB" w:rsidRPr="00C34A70" w:rsidRDefault="3F3807E4" w:rsidP="00477247">
            <w:pPr>
              <w:spacing w:after="60" w:line="276" w:lineRule="auto"/>
              <w:rPr>
                <w:rFonts w:ascii="Arial" w:hAnsi="Arial" w:cs="Arial"/>
                <w:noProof/>
                <w:color w:val="FFFFFF" w:themeColor="background1"/>
                <w:sz w:val="18"/>
                <w:szCs w:val="18"/>
              </w:rPr>
            </w:pPr>
            <w:r w:rsidRPr="3F3807E4">
              <w:rPr>
                <w:rFonts w:ascii="Arial" w:hAnsi="Arial" w:cs="Arial"/>
                <w:noProof/>
                <w:color w:val="FFFFFF" w:themeColor="background1"/>
                <w:sz w:val="18"/>
                <w:szCs w:val="18"/>
              </w:rPr>
              <w:t>A1: Increasing the ambition of the HFC quota system  (mutually exclusive)</w:t>
            </w:r>
          </w:p>
        </w:tc>
      </w:tr>
      <w:tr w:rsidR="00DC58BB" w:rsidRPr="00DC58BB" w14:paraId="338D7A83" w14:textId="77777777" w:rsidTr="3F3807E4">
        <w:tc>
          <w:tcPr>
            <w:tcW w:w="8834" w:type="dxa"/>
          </w:tcPr>
          <w:p w14:paraId="262D511D" w14:textId="2DF7D210" w:rsidR="00DC58BB" w:rsidRPr="00DC58BB" w:rsidRDefault="3982CBDC" w:rsidP="00AD5F1B">
            <w:pPr>
              <w:numPr>
                <w:ilvl w:val="0"/>
                <w:numId w:val="13"/>
              </w:numPr>
              <w:spacing w:after="60" w:line="276" w:lineRule="auto"/>
              <w:ind w:left="456" w:hanging="283"/>
              <w:jc w:val="left"/>
              <w:rPr>
                <w:rFonts w:ascii="Arial" w:hAnsi="Arial" w:cs="Arial"/>
                <w:noProof/>
                <w:sz w:val="18"/>
                <w:szCs w:val="18"/>
              </w:rPr>
            </w:pPr>
            <w:r w:rsidRPr="3982CBDC">
              <w:rPr>
                <w:rFonts w:ascii="Arial" w:hAnsi="Arial" w:cs="Arial"/>
                <w:noProof/>
                <w:sz w:val="18"/>
                <w:szCs w:val="18"/>
              </w:rPr>
              <w:t xml:space="preserve">* Option 1: Steps included after 2030 </w:t>
            </w:r>
            <w:r w:rsidR="00BD16E1">
              <w:rPr>
                <w:rFonts w:ascii="Arial" w:hAnsi="Arial" w:cs="Arial"/>
                <w:noProof/>
                <w:sz w:val="18"/>
                <w:szCs w:val="18"/>
              </w:rPr>
              <w:t xml:space="preserve">to </w:t>
            </w:r>
            <w:r w:rsidRPr="3982CBDC">
              <w:rPr>
                <w:rFonts w:ascii="Arial" w:hAnsi="Arial" w:cs="Arial"/>
                <w:noProof/>
                <w:sz w:val="18"/>
                <w:szCs w:val="18"/>
              </w:rPr>
              <w:t>ensure long-term compliance with the Protocol</w:t>
            </w:r>
            <w:r w:rsidR="009E41BE">
              <w:rPr>
                <w:rFonts w:ascii="Arial" w:hAnsi="Arial" w:cs="Arial"/>
                <w:noProof/>
                <w:sz w:val="18"/>
                <w:szCs w:val="18"/>
              </w:rPr>
              <w:t>, only</w:t>
            </w:r>
          </w:p>
        </w:tc>
      </w:tr>
      <w:tr w:rsidR="00DC58BB" w:rsidRPr="00DC58BB" w14:paraId="37FD0D0B" w14:textId="77777777" w:rsidTr="3F3807E4">
        <w:tc>
          <w:tcPr>
            <w:tcW w:w="8834" w:type="dxa"/>
            <w:shd w:val="clear" w:color="auto" w:fill="D9D9D9" w:themeFill="background1" w:themeFillShade="D9"/>
          </w:tcPr>
          <w:p w14:paraId="55A1B72D" w14:textId="12A04C6F" w:rsidR="00DC58BB" w:rsidRPr="00DC58BB" w:rsidRDefault="3982CBDC" w:rsidP="00AD5F1B">
            <w:pPr>
              <w:numPr>
                <w:ilvl w:val="0"/>
                <w:numId w:val="13"/>
              </w:numPr>
              <w:spacing w:after="60" w:line="276" w:lineRule="auto"/>
              <w:ind w:left="456" w:hanging="283"/>
              <w:jc w:val="left"/>
              <w:rPr>
                <w:rFonts w:ascii="Arial" w:hAnsi="Arial" w:cs="Arial"/>
                <w:noProof/>
                <w:sz w:val="18"/>
                <w:szCs w:val="18"/>
              </w:rPr>
            </w:pPr>
            <w:r w:rsidRPr="3982CBDC">
              <w:rPr>
                <w:rFonts w:ascii="Arial" w:hAnsi="Arial" w:cs="Arial"/>
                <w:noProof/>
                <w:sz w:val="18"/>
                <w:szCs w:val="18"/>
              </w:rPr>
              <w:t>* Option 2</w:t>
            </w:r>
            <w:r w:rsidR="00EB62B1">
              <w:rPr>
                <w:rFonts w:ascii="Arial" w:hAnsi="Arial" w:cs="Arial"/>
                <w:noProof/>
                <w:sz w:val="18"/>
                <w:szCs w:val="18"/>
              </w:rPr>
              <w:t>:</w:t>
            </w:r>
            <w:r w:rsidRPr="3982CBDC">
              <w:rPr>
                <w:rFonts w:ascii="Arial" w:hAnsi="Arial" w:cs="Arial"/>
                <w:noProof/>
                <w:sz w:val="18"/>
                <w:szCs w:val="18"/>
              </w:rPr>
              <w:t xml:space="preserve"> Steeper phase-down </w:t>
            </w:r>
            <w:r w:rsidR="009E41BE">
              <w:rPr>
                <w:rFonts w:ascii="Arial" w:hAnsi="Arial" w:cs="Arial"/>
                <w:noProof/>
                <w:sz w:val="18"/>
                <w:szCs w:val="18"/>
              </w:rPr>
              <w:t>with HFC</w:t>
            </w:r>
            <w:r w:rsidRPr="3982CBDC">
              <w:rPr>
                <w:rFonts w:ascii="Arial" w:hAnsi="Arial" w:cs="Arial"/>
                <w:noProof/>
                <w:sz w:val="18"/>
                <w:szCs w:val="18"/>
              </w:rPr>
              <w:t xml:space="preserve"> replacement </w:t>
            </w:r>
            <w:r w:rsidR="009E41BE">
              <w:rPr>
                <w:rFonts w:ascii="Arial" w:hAnsi="Arial" w:cs="Arial"/>
                <w:noProof/>
                <w:sz w:val="18"/>
                <w:szCs w:val="18"/>
              </w:rPr>
              <w:t xml:space="preserve">where feasible </w:t>
            </w:r>
            <w:r w:rsidRPr="3982CBDC">
              <w:rPr>
                <w:rFonts w:ascii="Arial" w:hAnsi="Arial" w:cs="Arial"/>
                <w:noProof/>
                <w:sz w:val="18"/>
                <w:szCs w:val="18"/>
              </w:rPr>
              <w:t>at proportionate costs</w:t>
            </w:r>
          </w:p>
        </w:tc>
      </w:tr>
      <w:tr w:rsidR="00DC58BB" w:rsidRPr="00DC58BB" w14:paraId="10F52288" w14:textId="77777777" w:rsidTr="3F3807E4">
        <w:tc>
          <w:tcPr>
            <w:tcW w:w="8834" w:type="dxa"/>
            <w:shd w:val="clear" w:color="auto" w:fill="A6A6A6" w:themeFill="background1" w:themeFillShade="A6"/>
          </w:tcPr>
          <w:p w14:paraId="01EA34B8" w14:textId="40FF8EC4" w:rsidR="00DC58BB" w:rsidRDefault="3982CBDC" w:rsidP="00AD5F1B">
            <w:pPr>
              <w:numPr>
                <w:ilvl w:val="0"/>
                <w:numId w:val="13"/>
              </w:numPr>
              <w:spacing w:after="60"/>
              <w:ind w:left="456" w:hanging="283"/>
              <w:jc w:val="left"/>
              <w:rPr>
                <w:rFonts w:ascii="Arial" w:hAnsi="Arial" w:cs="Arial"/>
                <w:noProof/>
                <w:sz w:val="18"/>
                <w:szCs w:val="18"/>
              </w:rPr>
            </w:pPr>
            <w:r w:rsidRPr="3982CBDC">
              <w:rPr>
                <w:rFonts w:ascii="Arial" w:hAnsi="Arial" w:cs="Arial"/>
                <w:noProof/>
                <w:sz w:val="18"/>
                <w:szCs w:val="18"/>
                <w:lang w:val="en-GB"/>
              </w:rPr>
              <w:t>* Option 3</w:t>
            </w:r>
            <w:r w:rsidR="00EB62B1">
              <w:rPr>
                <w:rFonts w:ascii="Arial" w:hAnsi="Arial" w:cs="Arial"/>
                <w:noProof/>
                <w:sz w:val="18"/>
                <w:szCs w:val="18"/>
                <w:lang w:val="en-GB"/>
              </w:rPr>
              <w:t>:</w:t>
            </w:r>
            <w:r w:rsidRPr="3982CBDC">
              <w:rPr>
                <w:rFonts w:ascii="Arial" w:hAnsi="Arial" w:cs="Arial"/>
                <w:noProof/>
                <w:sz w:val="18"/>
                <w:szCs w:val="18"/>
                <w:lang w:val="en-GB"/>
              </w:rPr>
              <w:t xml:space="preserve"> Steepest phase-down </w:t>
            </w:r>
            <w:r w:rsidR="009E41BE">
              <w:rPr>
                <w:rFonts w:ascii="Arial" w:hAnsi="Arial" w:cs="Arial"/>
                <w:noProof/>
                <w:sz w:val="18"/>
                <w:szCs w:val="18"/>
                <w:lang w:val="en-GB"/>
              </w:rPr>
              <w:t>ensuring</w:t>
            </w:r>
            <w:r w:rsidRPr="3982CBDC">
              <w:rPr>
                <w:rFonts w:ascii="Arial" w:hAnsi="Arial" w:cs="Arial"/>
                <w:noProof/>
                <w:sz w:val="18"/>
                <w:szCs w:val="18"/>
                <w:lang w:val="en-GB"/>
              </w:rPr>
              <w:t xml:space="preserve"> max</w:t>
            </w:r>
            <w:r w:rsidR="00477247">
              <w:rPr>
                <w:rFonts w:ascii="Arial" w:hAnsi="Arial" w:cs="Arial"/>
                <w:noProof/>
                <w:sz w:val="18"/>
                <w:szCs w:val="18"/>
                <w:lang w:val="en-GB"/>
              </w:rPr>
              <w:t>imum</w:t>
            </w:r>
            <w:r w:rsidRPr="3982CBDC">
              <w:rPr>
                <w:rFonts w:ascii="Arial" w:hAnsi="Arial" w:cs="Arial"/>
                <w:noProof/>
                <w:sz w:val="18"/>
                <w:szCs w:val="18"/>
                <w:lang w:val="en-GB"/>
              </w:rPr>
              <w:t xml:space="preserve"> </w:t>
            </w:r>
            <w:r w:rsidR="009E41BE">
              <w:rPr>
                <w:rFonts w:ascii="Arial" w:hAnsi="Arial" w:cs="Arial"/>
                <w:noProof/>
                <w:sz w:val="18"/>
                <w:szCs w:val="18"/>
                <w:lang w:val="en-GB"/>
              </w:rPr>
              <w:t xml:space="preserve">HFC </w:t>
            </w:r>
            <w:r w:rsidRPr="3982CBDC">
              <w:rPr>
                <w:rFonts w:ascii="Arial" w:hAnsi="Arial" w:cs="Arial"/>
                <w:noProof/>
                <w:sz w:val="18"/>
                <w:szCs w:val="18"/>
                <w:lang w:val="en-GB"/>
              </w:rPr>
              <w:t xml:space="preserve">replacement </w:t>
            </w:r>
            <w:r w:rsidR="009E41BE">
              <w:rPr>
                <w:rFonts w:ascii="Arial" w:hAnsi="Arial" w:cs="Arial"/>
                <w:noProof/>
                <w:sz w:val="18"/>
                <w:szCs w:val="18"/>
                <w:lang w:val="en-GB"/>
              </w:rPr>
              <w:t>whe</w:t>
            </w:r>
            <w:r w:rsidR="00BD16E1">
              <w:rPr>
                <w:rFonts w:ascii="Arial" w:hAnsi="Arial" w:cs="Arial"/>
                <w:noProof/>
                <w:sz w:val="18"/>
                <w:szCs w:val="18"/>
                <w:lang w:val="en-GB"/>
              </w:rPr>
              <w:t>re</w:t>
            </w:r>
            <w:r w:rsidRPr="3982CBDC">
              <w:rPr>
                <w:rFonts w:ascii="Arial" w:hAnsi="Arial" w:cs="Arial"/>
                <w:noProof/>
                <w:sz w:val="18"/>
                <w:szCs w:val="18"/>
                <w:lang w:val="en-GB"/>
              </w:rPr>
              <w:t xml:space="preserve"> </w:t>
            </w:r>
            <w:r w:rsidR="009E41BE">
              <w:rPr>
                <w:rFonts w:ascii="Arial" w:hAnsi="Arial" w:cs="Arial"/>
                <w:noProof/>
                <w:sz w:val="18"/>
                <w:szCs w:val="18"/>
                <w:lang w:val="en-GB"/>
              </w:rPr>
              <w:t>feasible</w:t>
            </w:r>
            <w:r w:rsidR="00BD16E1">
              <w:rPr>
                <w:rFonts w:ascii="Arial" w:hAnsi="Arial" w:cs="Arial"/>
                <w:noProof/>
                <w:sz w:val="18"/>
                <w:szCs w:val="18"/>
                <w:lang w:val="en-GB"/>
              </w:rPr>
              <w:t xml:space="preserve"> at any cost</w:t>
            </w:r>
          </w:p>
        </w:tc>
      </w:tr>
      <w:tr w:rsidR="00DC58BB" w:rsidRPr="00DC58BB" w14:paraId="072463A2" w14:textId="77777777" w:rsidTr="3F3807E4">
        <w:tc>
          <w:tcPr>
            <w:tcW w:w="8834" w:type="dxa"/>
            <w:shd w:val="clear" w:color="auto" w:fill="003300"/>
          </w:tcPr>
          <w:p w14:paraId="273A6AEA" w14:textId="56876E33" w:rsidR="00DC58BB" w:rsidRPr="00DC58BB" w:rsidRDefault="3F3807E4" w:rsidP="0065465A">
            <w:pPr>
              <w:spacing w:after="60" w:line="276" w:lineRule="auto"/>
              <w:jc w:val="left"/>
              <w:rPr>
                <w:rFonts w:ascii="Arial" w:hAnsi="Arial" w:cs="Arial"/>
                <w:noProof/>
                <w:sz w:val="18"/>
                <w:szCs w:val="18"/>
              </w:rPr>
            </w:pPr>
            <w:r w:rsidRPr="3F3807E4">
              <w:rPr>
                <w:rFonts w:ascii="Arial" w:hAnsi="Arial" w:cs="Arial"/>
                <w:noProof/>
                <w:color w:val="FFFFFF" w:themeColor="background1"/>
                <w:sz w:val="18"/>
                <w:szCs w:val="18"/>
              </w:rPr>
              <w:t xml:space="preserve">A2: New prohibitions for F-gases above a certain GWP limit and from a specific date </w:t>
            </w:r>
          </w:p>
        </w:tc>
      </w:tr>
      <w:tr w:rsidR="00037F64" w:rsidRPr="00DC58BB" w14:paraId="4CDC57B3" w14:textId="77777777" w:rsidTr="3F3807E4">
        <w:trPr>
          <w:trHeight w:val="317"/>
        </w:trPr>
        <w:tc>
          <w:tcPr>
            <w:tcW w:w="8834" w:type="dxa"/>
            <w:tcBorders>
              <w:bottom w:val="nil"/>
            </w:tcBorders>
            <w:shd w:val="clear" w:color="auto" w:fill="auto"/>
          </w:tcPr>
          <w:p w14:paraId="1A0F026A" w14:textId="7A4848A5" w:rsidR="00037F64" w:rsidRPr="004B62B9" w:rsidRDefault="008A2EBB" w:rsidP="00AD5F1B">
            <w:pPr>
              <w:numPr>
                <w:ilvl w:val="0"/>
                <w:numId w:val="13"/>
              </w:numPr>
              <w:spacing w:after="60"/>
              <w:ind w:left="456" w:hanging="283"/>
              <w:jc w:val="left"/>
              <w:rPr>
                <w:rFonts w:ascii="Arial" w:hAnsi="Arial" w:cs="Arial"/>
                <w:noProof/>
                <w:sz w:val="18"/>
                <w:szCs w:val="18"/>
              </w:rPr>
            </w:pPr>
            <w:r>
              <w:rPr>
                <w:rFonts w:ascii="Arial" w:hAnsi="Arial" w:cs="Arial"/>
                <w:noProof/>
                <w:sz w:val="18"/>
                <w:szCs w:val="18"/>
              </w:rPr>
              <w:t>Prohibitions r</w:t>
            </w:r>
            <w:r w:rsidR="006E34B1">
              <w:rPr>
                <w:rFonts w:ascii="Arial" w:hAnsi="Arial" w:cs="Arial"/>
                <w:noProof/>
                <w:sz w:val="18"/>
                <w:szCs w:val="18"/>
              </w:rPr>
              <w:t xml:space="preserve">elated to </w:t>
            </w:r>
            <w:r w:rsidR="0065465A" w:rsidRPr="0065465A">
              <w:rPr>
                <w:rFonts w:ascii="Arial" w:hAnsi="Arial" w:cs="Arial"/>
                <w:noProof/>
                <w:sz w:val="18"/>
                <w:szCs w:val="18"/>
              </w:rPr>
              <w:t xml:space="preserve">F-gases </w:t>
            </w:r>
            <w:r w:rsidR="0065465A">
              <w:rPr>
                <w:rFonts w:ascii="Arial" w:hAnsi="Arial" w:cs="Arial"/>
                <w:noProof/>
                <w:sz w:val="18"/>
                <w:szCs w:val="18"/>
              </w:rPr>
              <w:t xml:space="preserve">in </w:t>
            </w:r>
            <w:r w:rsidR="00477247">
              <w:rPr>
                <w:rFonts w:ascii="Arial" w:hAnsi="Arial" w:cs="Arial"/>
                <w:b/>
                <w:bCs/>
                <w:noProof/>
                <w:sz w:val="18"/>
                <w:szCs w:val="18"/>
              </w:rPr>
              <w:t>f</w:t>
            </w:r>
            <w:r w:rsidR="006E34B1">
              <w:rPr>
                <w:rFonts w:ascii="Arial" w:hAnsi="Arial" w:cs="Arial"/>
                <w:b/>
                <w:bCs/>
                <w:noProof/>
                <w:sz w:val="18"/>
                <w:szCs w:val="18"/>
              </w:rPr>
              <w:t>ire protection equipment</w:t>
            </w:r>
            <w:r w:rsidR="003D1F05">
              <w:rPr>
                <w:rFonts w:ascii="Arial" w:hAnsi="Arial" w:cs="Arial"/>
                <w:b/>
                <w:bCs/>
                <w:noProof/>
                <w:sz w:val="18"/>
                <w:szCs w:val="18"/>
              </w:rPr>
              <w:t xml:space="preserve"> and </w:t>
            </w:r>
            <w:r w:rsidR="003857BD" w:rsidRPr="006E34B1">
              <w:rPr>
                <w:rFonts w:ascii="Arial" w:hAnsi="Arial" w:cs="Arial"/>
                <w:b/>
                <w:noProof/>
                <w:sz w:val="18"/>
                <w:szCs w:val="18"/>
              </w:rPr>
              <w:t>small hermetic RAC systems</w:t>
            </w:r>
            <w:r w:rsidR="003857BD" w:rsidRPr="006E34B1">
              <w:rPr>
                <w:rFonts w:ascii="Arial" w:hAnsi="Arial" w:cs="Arial"/>
                <w:noProof/>
                <w:sz w:val="18"/>
                <w:szCs w:val="18"/>
              </w:rPr>
              <w:t xml:space="preserve"> </w:t>
            </w:r>
            <w:r w:rsidR="003D1F05">
              <w:rPr>
                <w:rFonts w:ascii="Arial" w:hAnsi="Arial" w:cs="Arial"/>
                <w:noProof/>
                <w:sz w:val="18"/>
                <w:szCs w:val="18"/>
              </w:rPr>
              <w:t>and PFC</w:t>
            </w:r>
            <w:r w:rsidR="0065465A">
              <w:rPr>
                <w:rFonts w:ascii="Arial" w:hAnsi="Arial" w:cs="Arial"/>
                <w:noProof/>
                <w:sz w:val="18"/>
                <w:szCs w:val="18"/>
              </w:rPr>
              <w:t>s</w:t>
            </w:r>
            <w:r w:rsidR="003D1F05">
              <w:rPr>
                <w:rFonts w:ascii="Arial" w:hAnsi="Arial" w:cs="Arial"/>
                <w:noProof/>
                <w:sz w:val="18"/>
                <w:szCs w:val="18"/>
              </w:rPr>
              <w:t xml:space="preserve"> </w:t>
            </w:r>
            <w:r w:rsidR="0065465A">
              <w:rPr>
                <w:rFonts w:ascii="Arial" w:hAnsi="Arial" w:cs="Arial"/>
                <w:noProof/>
                <w:sz w:val="18"/>
                <w:szCs w:val="18"/>
              </w:rPr>
              <w:t xml:space="preserve">in </w:t>
            </w:r>
            <w:r w:rsidR="003857BD" w:rsidRPr="00740354">
              <w:rPr>
                <w:rFonts w:ascii="Arial" w:hAnsi="Arial" w:cs="Arial"/>
                <w:b/>
                <w:noProof/>
                <w:sz w:val="18"/>
                <w:szCs w:val="18"/>
              </w:rPr>
              <w:t xml:space="preserve">RAC </w:t>
            </w:r>
            <w:r w:rsidR="003D1F05">
              <w:rPr>
                <w:rFonts w:ascii="Arial" w:hAnsi="Arial" w:cs="Arial"/>
                <w:b/>
                <w:noProof/>
                <w:sz w:val="18"/>
                <w:szCs w:val="18"/>
              </w:rPr>
              <w:t xml:space="preserve">equipment </w:t>
            </w:r>
          </w:p>
        </w:tc>
      </w:tr>
      <w:tr w:rsidR="00037F64" w:rsidRPr="003D1F05" w14:paraId="7B7247B0" w14:textId="77777777" w:rsidTr="3F3807E4">
        <w:trPr>
          <w:trHeight w:val="274"/>
        </w:trPr>
        <w:tc>
          <w:tcPr>
            <w:tcW w:w="8834" w:type="dxa"/>
            <w:tcBorders>
              <w:bottom w:val="nil"/>
            </w:tcBorders>
            <w:shd w:val="clear" w:color="auto" w:fill="D9D9D9" w:themeFill="background1" w:themeFillShade="D9"/>
          </w:tcPr>
          <w:p w14:paraId="48122716" w14:textId="1DA22D2C" w:rsidR="003D1F05" w:rsidRPr="008A2EBB" w:rsidRDefault="00740354" w:rsidP="00AD5F1B">
            <w:pPr>
              <w:numPr>
                <w:ilvl w:val="0"/>
                <w:numId w:val="13"/>
              </w:numPr>
              <w:spacing w:after="60"/>
              <w:ind w:left="456" w:hanging="283"/>
              <w:jc w:val="left"/>
              <w:rPr>
                <w:rFonts w:ascii="Arial" w:hAnsi="Arial" w:cs="Arial"/>
                <w:noProof/>
                <w:sz w:val="18"/>
                <w:szCs w:val="18"/>
              </w:rPr>
            </w:pPr>
            <w:r>
              <w:rPr>
                <w:rFonts w:ascii="Arial" w:hAnsi="Arial" w:cs="Arial"/>
                <w:noProof/>
                <w:sz w:val="18"/>
                <w:szCs w:val="18"/>
              </w:rPr>
              <w:t>P</w:t>
            </w:r>
            <w:r w:rsidR="008A2EBB">
              <w:rPr>
                <w:rFonts w:ascii="Arial" w:hAnsi="Arial" w:cs="Arial"/>
                <w:noProof/>
                <w:sz w:val="18"/>
                <w:szCs w:val="18"/>
              </w:rPr>
              <w:t xml:space="preserve">rohibitions related to </w:t>
            </w:r>
            <w:r w:rsidR="3982CBDC" w:rsidRPr="00363DBF">
              <w:rPr>
                <w:rFonts w:ascii="Arial" w:hAnsi="Arial" w:cs="Arial"/>
                <w:b/>
                <w:noProof/>
                <w:sz w:val="18"/>
                <w:szCs w:val="18"/>
              </w:rPr>
              <w:t>stationary AC</w:t>
            </w:r>
            <w:r w:rsidR="00A20D73" w:rsidRPr="00363DBF">
              <w:rPr>
                <w:rFonts w:ascii="Arial" w:hAnsi="Arial" w:cs="Arial"/>
                <w:b/>
                <w:noProof/>
                <w:sz w:val="18"/>
                <w:szCs w:val="18"/>
              </w:rPr>
              <w:t>,</w:t>
            </w:r>
            <w:r w:rsidR="003D1F05" w:rsidRPr="00363DBF">
              <w:rPr>
                <w:rFonts w:ascii="Arial" w:hAnsi="Arial" w:cs="Arial"/>
                <w:b/>
                <w:noProof/>
                <w:sz w:val="18"/>
                <w:szCs w:val="18"/>
              </w:rPr>
              <w:t xml:space="preserve"> </w:t>
            </w:r>
            <w:r w:rsidR="008A2EBB">
              <w:rPr>
                <w:rFonts w:ascii="Arial" w:hAnsi="Arial" w:cs="Arial"/>
                <w:b/>
                <w:noProof/>
                <w:sz w:val="18"/>
                <w:szCs w:val="18"/>
              </w:rPr>
              <w:t xml:space="preserve">smaller refrigeration equipment, </w:t>
            </w:r>
            <w:r w:rsidR="003D1F05" w:rsidRPr="00363DBF">
              <w:rPr>
                <w:rFonts w:ascii="Arial" w:hAnsi="Arial" w:cs="Arial"/>
                <w:b/>
                <w:noProof/>
                <w:sz w:val="18"/>
                <w:szCs w:val="18"/>
              </w:rPr>
              <w:t xml:space="preserve">personal </w:t>
            </w:r>
            <w:r w:rsidR="002619DA">
              <w:rPr>
                <w:rFonts w:ascii="Arial" w:hAnsi="Arial" w:cs="Arial"/>
                <w:b/>
                <w:noProof/>
                <w:sz w:val="18"/>
                <w:szCs w:val="18"/>
              </w:rPr>
              <w:t xml:space="preserve">care </w:t>
            </w:r>
            <w:r w:rsidR="003D1F05" w:rsidRPr="00363DBF">
              <w:rPr>
                <w:rFonts w:ascii="Arial" w:hAnsi="Arial" w:cs="Arial"/>
                <w:b/>
                <w:noProof/>
                <w:sz w:val="18"/>
                <w:szCs w:val="18"/>
              </w:rPr>
              <w:t>products</w:t>
            </w:r>
            <w:r w:rsidR="003D1F05" w:rsidRPr="3982CBDC">
              <w:rPr>
                <w:rFonts w:ascii="Arial" w:hAnsi="Arial" w:cs="Arial"/>
                <w:noProof/>
                <w:sz w:val="18"/>
                <w:szCs w:val="18"/>
              </w:rPr>
              <w:t xml:space="preserve"> (</w:t>
            </w:r>
            <w:r w:rsidR="003D1F05">
              <w:rPr>
                <w:rFonts w:ascii="Arial" w:hAnsi="Arial" w:cs="Arial"/>
                <w:noProof/>
                <w:sz w:val="18"/>
                <w:szCs w:val="18"/>
              </w:rPr>
              <w:t xml:space="preserve">e.g. </w:t>
            </w:r>
            <w:r w:rsidR="003D1F05" w:rsidRPr="3982CBDC">
              <w:rPr>
                <w:rFonts w:ascii="Arial" w:hAnsi="Arial" w:cs="Arial"/>
                <w:noProof/>
                <w:sz w:val="18"/>
                <w:szCs w:val="18"/>
              </w:rPr>
              <w:t>creams, mousses, foams)</w:t>
            </w:r>
            <w:r w:rsidR="008A2EBB">
              <w:rPr>
                <w:rFonts w:ascii="Arial" w:hAnsi="Arial" w:cs="Arial"/>
                <w:noProof/>
                <w:sz w:val="18"/>
                <w:szCs w:val="18"/>
              </w:rPr>
              <w:t>,</w:t>
            </w:r>
            <w:r w:rsidR="003D1F05">
              <w:rPr>
                <w:rFonts w:ascii="Arial" w:hAnsi="Arial" w:cs="Arial"/>
                <w:noProof/>
                <w:sz w:val="18"/>
                <w:szCs w:val="18"/>
              </w:rPr>
              <w:t xml:space="preserve"> </w:t>
            </w:r>
            <w:r w:rsidR="003D1F05" w:rsidRPr="00363DBF">
              <w:rPr>
                <w:rFonts w:ascii="Arial" w:hAnsi="Arial" w:cs="Arial"/>
                <w:b/>
                <w:noProof/>
                <w:sz w:val="18"/>
                <w:szCs w:val="18"/>
              </w:rPr>
              <w:t>skin cooling equipment</w:t>
            </w:r>
            <w:r w:rsidR="00E41EB9">
              <w:rPr>
                <w:rFonts w:ascii="Arial" w:hAnsi="Arial" w:cs="Arial"/>
                <w:b/>
                <w:noProof/>
                <w:sz w:val="18"/>
                <w:szCs w:val="18"/>
              </w:rPr>
              <w:t>, one</w:t>
            </w:r>
            <w:r w:rsidR="008A2EBB">
              <w:rPr>
                <w:rFonts w:ascii="Arial" w:hAnsi="Arial" w:cs="Arial"/>
                <w:b/>
                <w:noProof/>
                <w:sz w:val="18"/>
                <w:szCs w:val="18"/>
              </w:rPr>
              <w:t xml:space="preserve"> inhalation anesthetic</w:t>
            </w:r>
            <w:r w:rsidR="00E41EB9">
              <w:rPr>
                <w:rFonts w:ascii="Arial" w:hAnsi="Arial" w:cs="Arial"/>
                <w:b/>
                <w:noProof/>
                <w:sz w:val="18"/>
                <w:szCs w:val="18"/>
              </w:rPr>
              <w:t xml:space="preserve"> and</w:t>
            </w:r>
            <w:r w:rsidR="00E41EB9" w:rsidRPr="00363DBF">
              <w:rPr>
                <w:rFonts w:ascii="Arial" w:hAnsi="Arial" w:cs="Arial"/>
                <w:b/>
                <w:noProof/>
                <w:sz w:val="18"/>
                <w:szCs w:val="18"/>
              </w:rPr>
              <w:t xml:space="preserve"> </w:t>
            </w:r>
            <w:r w:rsidR="00E41EB9">
              <w:rPr>
                <w:rFonts w:ascii="Arial" w:hAnsi="Arial" w:cs="Arial"/>
                <w:b/>
                <w:noProof/>
                <w:sz w:val="18"/>
                <w:szCs w:val="18"/>
              </w:rPr>
              <w:t>switchgears</w:t>
            </w:r>
            <w:r w:rsidR="003D1F05" w:rsidRPr="00363DBF">
              <w:rPr>
                <w:rFonts w:ascii="Arial" w:hAnsi="Arial" w:cs="Arial"/>
                <w:noProof/>
                <w:sz w:val="18"/>
                <w:szCs w:val="18"/>
              </w:rPr>
              <w:t xml:space="preserve">. </w:t>
            </w:r>
            <w:r w:rsidR="00A773CF">
              <w:rPr>
                <w:rFonts w:ascii="Arial" w:hAnsi="Arial" w:cs="Arial"/>
                <w:noProof/>
                <w:sz w:val="18"/>
                <w:szCs w:val="18"/>
              </w:rPr>
              <w:t xml:space="preserve">F-gases still allowed if </w:t>
            </w:r>
            <w:r w:rsidR="008A2EBB">
              <w:rPr>
                <w:rFonts w:ascii="Arial" w:hAnsi="Arial" w:cs="Arial"/>
                <w:noProof/>
                <w:sz w:val="18"/>
                <w:szCs w:val="18"/>
              </w:rPr>
              <w:t xml:space="preserve">strictly necessary e.g. </w:t>
            </w:r>
            <w:r w:rsidR="0065465A" w:rsidRPr="00363DBF">
              <w:rPr>
                <w:rFonts w:ascii="Arial" w:hAnsi="Arial" w:cs="Arial"/>
                <w:noProof/>
                <w:sz w:val="18"/>
                <w:szCs w:val="18"/>
              </w:rPr>
              <w:t xml:space="preserve">due </w:t>
            </w:r>
            <w:r w:rsidR="003D1F05" w:rsidRPr="00363DBF">
              <w:rPr>
                <w:rFonts w:ascii="Arial" w:hAnsi="Arial" w:cs="Arial"/>
                <w:noProof/>
                <w:sz w:val="18"/>
                <w:szCs w:val="18"/>
              </w:rPr>
              <w:t xml:space="preserve">to </w:t>
            </w:r>
            <w:r w:rsidR="0066456C">
              <w:rPr>
                <w:rFonts w:ascii="Arial" w:hAnsi="Arial" w:cs="Arial"/>
                <w:noProof/>
                <w:sz w:val="18"/>
                <w:szCs w:val="18"/>
              </w:rPr>
              <w:t xml:space="preserve">health or </w:t>
            </w:r>
            <w:r w:rsidR="003D1F05" w:rsidRPr="00363DBF">
              <w:rPr>
                <w:rFonts w:ascii="Arial" w:hAnsi="Arial" w:cs="Arial"/>
                <w:noProof/>
                <w:sz w:val="18"/>
                <w:szCs w:val="18"/>
              </w:rPr>
              <w:t xml:space="preserve">safety rules, </w:t>
            </w:r>
            <w:r w:rsidR="0066456C">
              <w:rPr>
                <w:rFonts w:ascii="Arial" w:hAnsi="Arial" w:cs="Arial"/>
                <w:noProof/>
                <w:sz w:val="18"/>
                <w:szCs w:val="18"/>
              </w:rPr>
              <w:t xml:space="preserve">and </w:t>
            </w:r>
            <w:r w:rsidR="003D1F05" w:rsidRPr="00363DBF">
              <w:rPr>
                <w:rFonts w:ascii="Arial" w:hAnsi="Arial" w:cs="Arial"/>
                <w:noProof/>
                <w:sz w:val="18"/>
                <w:szCs w:val="18"/>
              </w:rPr>
              <w:t>lack of alternatives.</w:t>
            </w:r>
            <w:r w:rsidR="008A2EBB">
              <w:rPr>
                <w:rFonts w:ascii="Arial" w:hAnsi="Arial" w:cs="Arial"/>
                <w:noProof/>
                <w:sz w:val="18"/>
                <w:szCs w:val="18"/>
              </w:rPr>
              <w:t xml:space="preserve"> Such exemptio</w:t>
            </w:r>
            <w:r w:rsidR="00360DFA">
              <w:rPr>
                <w:rFonts w:ascii="Arial" w:hAnsi="Arial" w:cs="Arial"/>
                <w:noProof/>
                <w:sz w:val="18"/>
                <w:szCs w:val="18"/>
              </w:rPr>
              <w:t>ns will be subject to labelling</w:t>
            </w:r>
            <w:r w:rsidR="00E41EB9">
              <w:rPr>
                <w:rFonts w:ascii="Arial" w:hAnsi="Arial" w:cs="Arial"/>
                <w:noProof/>
                <w:sz w:val="18"/>
                <w:szCs w:val="18"/>
              </w:rPr>
              <w:t>.</w:t>
            </w:r>
          </w:p>
        </w:tc>
      </w:tr>
      <w:tr w:rsidR="00037F64" w:rsidRPr="00DC58BB" w14:paraId="0FF5155E" w14:textId="77777777" w:rsidTr="3F3807E4">
        <w:tc>
          <w:tcPr>
            <w:tcW w:w="8834" w:type="dxa"/>
            <w:shd w:val="clear" w:color="auto" w:fill="003300"/>
          </w:tcPr>
          <w:p w14:paraId="5CE31DA4" w14:textId="650EA2FE" w:rsidR="00037F64" w:rsidRPr="0043132B" w:rsidRDefault="3F3807E4" w:rsidP="3982CBDC">
            <w:pPr>
              <w:spacing w:after="60"/>
              <w:jc w:val="left"/>
              <w:rPr>
                <w:rFonts w:ascii="Arial" w:hAnsi="Arial" w:cs="Arial"/>
                <w:noProof/>
                <w:color w:val="FFFFFF" w:themeColor="background1"/>
                <w:sz w:val="18"/>
                <w:szCs w:val="18"/>
                <w:lang w:val="en-GB"/>
              </w:rPr>
            </w:pPr>
            <w:r w:rsidRPr="3F3807E4">
              <w:rPr>
                <w:rFonts w:ascii="Arial" w:hAnsi="Arial" w:cs="Arial"/>
                <w:noProof/>
                <w:color w:val="FFFFFF" w:themeColor="background1"/>
                <w:sz w:val="18"/>
                <w:szCs w:val="18"/>
              </w:rPr>
              <w:t xml:space="preserve">A3: Extend </w:t>
            </w:r>
            <w:r w:rsidRPr="3F3807E4">
              <w:rPr>
                <w:rFonts w:ascii="Arial" w:hAnsi="Arial" w:cs="Arial"/>
                <w:noProof/>
                <w:color w:val="FFFFFF" w:themeColor="background1"/>
                <w:sz w:val="18"/>
                <w:szCs w:val="18"/>
                <w:lang w:val="en-GB"/>
              </w:rPr>
              <w:t>requirements for the prevention of F-gas emissions</w:t>
            </w:r>
          </w:p>
        </w:tc>
      </w:tr>
      <w:tr w:rsidR="00037F64" w:rsidRPr="00DC58BB" w14:paraId="0F84DABC" w14:textId="77777777" w:rsidTr="3F3807E4">
        <w:tc>
          <w:tcPr>
            <w:tcW w:w="8834" w:type="dxa"/>
            <w:tcBorders>
              <w:bottom w:val="nil"/>
            </w:tcBorders>
            <w:shd w:val="clear" w:color="auto" w:fill="D9D9D9" w:themeFill="background1" w:themeFillShade="D9"/>
          </w:tcPr>
          <w:p w14:paraId="48416322" w14:textId="00F9E874" w:rsidR="00037F64" w:rsidRPr="00380950" w:rsidRDefault="00740354" w:rsidP="00EA12D6">
            <w:pPr>
              <w:numPr>
                <w:ilvl w:val="0"/>
                <w:numId w:val="13"/>
              </w:numPr>
              <w:spacing w:after="60" w:line="276" w:lineRule="auto"/>
              <w:ind w:left="456" w:hanging="283"/>
              <w:jc w:val="left"/>
              <w:rPr>
                <w:rFonts w:ascii="Arial" w:hAnsi="Arial" w:cs="Arial"/>
                <w:noProof/>
                <w:sz w:val="18"/>
                <w:szCs w:val="18"/>
              </w:rPr>
            </w:pPr>
            <w:r>
              <w:rPr>
                <w:rFonts w:ascii="Arial" w:hAnsi="Arial" w:cs="Arial"/>
                <w:iCs/>
                <w:noProof/>
                <w:sz w:val="18"/>
                <w:szCs w:val="18"/>
              </w:rPr>
              <w:t xml:space="preserve">Require </w:t>
            </w:r>
            <w:r w:rsidR="00DC57A9" w:rsidRPr="005A526F">
              <w:rPr>
                <w:rFonts w:ascii="Arial" w:hAnsi="Arial" w:cs="Arial"/>
                <w:iCs/>
                <w:noProof/>
                <w:sz w:val="18"/>
                <w:szCs w:val="18"/>
              </w:rPr>
              <w:t>emission prevention</w:t>
            </w:r>
            <w:r w:rsidR="3982CBDC" w:rsidRPr="3982CBDC">
              <w:rPr>
                <w:rFonts w:ascii="Arial" w:hAnsi="Arial" w:cs="Arial"/>
                <w:noProof/>
                <w:sz w:val="18"/>
                <w:szCs w:val="18"/>
              </w:rPr>
              <w:t xml:space="preserve"> </w:t>
            </w:r>
            <w:r w:rsidR="004A586D">
              <w:rPr>
                <w:rFonts w:ascii="Arial" w:hAnsi="Arial" w:cs="Arial"/>
                <w:noProof/>
                <w:sz w:val="18"/>
                <w:szCs w:val="18"/>
              </w:rPr>
              <w:t xml:space="preserve">also </w:t>
            </w:r>
            <w:r>
              <w:rPr>
                <w:rFonts w:ascii="Arial" w:hAnsi="Arial" w:cs="Arial"/>
                <w:noProof/>
                <w:sz w:val="18"/>
                <w:szCs w:val="18"/>
              </w:rPr>
              <w:t xml:space="preserve">for </w:t>
            </w:r>
            <w:r w:rsidR="3982CBDC" w:rsidRPr="3982CBDC">
              <w:rPr>
                <w:rFonts w:ascii="Arial" w:hAnsi="Arial" w:cs="Arial"/>
                <w:noProof/>
                <w:sz w:val="18"/>
                <w:szCs w:val="18"/>
              </w:rPr>
              <w:t>some</w:t>
            </w:r>
            <w:r w:rsidR="00E41EB9">
              <w:rPr>
                <w:rFonts w:ascii="Arial" w:hAnsi="Arial" w:cs="Arial"/>
                <w:noProof/>
                <w:sz w:val="18"/>
                <w:szCs w:val="18"/>
              </w:rPr>
              <w:t xml:space="preserve"> </w:t>
            </w:r>
            <w:r w:rsidR="3982CBDC" w:rsidRPr="00C51253">
              <w:rPr>
                <w:rFonts w:ascii="Arial" w:hAnsi="Arial" w:cs="Arial"/>
                <w:b/>
                <w:noProof/>
                <w:sz w:val="18"/>
                <w:szCs w:val="18"/>
              </w:rPr>
              <w:t>Annex II</w:t>
            </w:r>
            <w:r w:rsidR="00E41EB9">
              <w:rPr>
                <w:rFonts w:ascii="Arial" w:hAnsi="Arial" w:cs="Arial"/>
                <w:b/>
                <w:noProof/>
                <w:sz w:val="18"/>
                <w:szCs w:val="18"/>
              </w:rPr>
              <w:t xml:space="preserve"> and new</w:t>
            </w:r>
            <w:r w:rsidR="00BB2C41">
              <w:rPr>
                <w:rFonts w:ascii="Arial" w:hAnsi="Arial" w:cs="Arial"/>
                <w:b/>
                <w:noProof/>
                <w:sz w:val="18"/>
                <w:szCs w:val="18"/>
              </w:rPr>
              <w:t>ly added</w:t>
            </w:r>
            <w:r w:rsidR="00E41EB9">
              <w:rPr>
                <w:rFonts w:ascii="Arial" w:hAnsi="Arial" w:cs="Arial"/>
                <w:b/>
                <w:noProof/>
                <w:sz w:val="18"/>
                <w:szCs w:val="18"/>
              </w:rPr>
              <w:t xml:space="preserve"> gases</w:t>
            </w:r>
            <w:r w:rsidR="00BB2C41">
              <w:rPr>
                <w:rFonts w:ascii="Arial" w:hAnsi="Arial" w:cs="Arial"/>
                <w:b/>
                <w:noProof/>
                <w:sz w:val="18"/>
                <w:szCs w:val="18"/>
              </w:rPr>
              <w:t>,</w:t>
            </w:r>
            <w:r w:rsidR="007B4010">
              <w:rPr>
                <w:rFonts w:ascii="Arial" w:hAnsi="Arial" w:cs="Arial"/>
                <w:noProof/>
                <w:sz w:val="18"/>
                <w:szCs w:val="18"/>
              </w:rPr>
              <w:t xml:space="preserve"> </w:t>
            </w:r>
            <w:r w:rsidR="00E361A5">
              <w:rPr>
                <w:rFonts w:ascii="Arial" w:hAnsi="Arial" w:cs="Arial"/>
                <w:noProof/>
                <w:sz w:val="18"/>
                <w:szCs w:val="18"/>
              </w:rPr>
              <w:t xml:space="preserve">and for </w:t>
            </w:r>
            <w:r w:rsidR="00E361A5" w:rsidRPr="005A526F">
              <w:rPr>
                <w:rFonts w:ascii="Arial" w:hAnsi="Arial" w:cs="Arial"/>
                <w:b/>
                <w:noProof/>
                <w:sz w:val="18"/>
                <w:szCs w:val="18"/>
              </w:rPr>
              <w:t xml:space="preserve">all </w:t>
            </w:r>
            <w:r w:rsidR="004A586D">
              <w:rPr>
                <w:rFonts w:ascii="Arial" w:hAnsi="Arial" w:cs="Arial"/>
                <w:b/>
                <w:noProof/>
                <w:sz w:val="18"/>
                <w:szCs w:val="18"/>
              </w:rPr>
              <w:t xml:space="preserve">EU </w:t>
            </w:r>
            <w:r w:rsidR="00E361A5" w:rsidRPr="005A526F">
              <w:rPr>
                <w:rFonts w:ascii="Arial" w:hAnsi="Arial" w:cs="Arial"/>
                <w:b/>
                <w:noProof/>
                <w:sz w:val="18"/>
                <w:szCs w:val="18"/>
              </w:rPr>
              <w:t>actors</w:t>
            </w:r>
            <w:r w:rsidR="00E361A5">
              <w:rPr>
                <w:rFonts w:ascii="Arial" w:hAnsi="Arial" w:cs="Arial"/>
                <w:noProof/>
                <w:sz w:val="18"/>
                <w:szCs w:val="18"/>
              </w:rPr>
              <w:t xml:space="preserve"> </w:t>
            </w:r>
            <w:r w:rsidR="00E361A5" w:rsidRPr="3982CBDC">
              <w:rPr>
                <w:rFonts w:ascii="Arial" w:hAnsi="Arial" w:cs="Arial"/>
                <w:noProof/>
                <w:sz w:val="18"/>
                <w:szCs w:val="18"/>
              </w:rPr>
              <w:t xml:space="preserve">during </w:t>
            </w:r>
            <w:r w:rsidR="00E361A5">
              <w:rPr>
                <w:rFonts w:ascii="Arial" w:hAnsi="Arial" w:cs="Arial"/>
                <w:noProof/>
                <w:sz w:val="18"/>
                <w:szCs w:val="18"/>
              </w:rPr>
              <w:t xml:space="preserve">gas </w:t>
            </w:r>
            <w:r w:rsidR="00E361A5" w:rsidRPr="3982CBDC">
              <w:rPr>
                <w:rFonts w:ascii="Arial" w:hAnsi="Arial" w:cs="Arial"/>
                <w:noProof/>
                <w:sz w:val="18"/>
                <w:szCs w:val="18"/>
              </w:rPr>
              <w:t xml:space="preserve">production, </w:t>
            </w:r>
            <w:r w:rsidR="003344D5">
              <w:rPr>
                <w:rFonts w:ascii="Arial" w:hAnsi="Arial" w:cs="Arial"/>
                <w:noProof/>
                <w:sz w:val="18"/>
                <w:szCs w:val="18"/>
              </w:rPr>
              <w:t xml:space="preserve">equipment </w:t>
            </w:r>
            <w:r w:rsidR="00E361A5" w:rsidRPr="3982CBDC">
              <w:rPr>
                <w:rFonts w:ascii="Arial" w:hAnsi="Arial" w:cs="Arial"/>
                <w:noProof/>
                <w:sz w:val="18"/>
                <w:szCs w:val="18"/>
              </w:rPr>
              <w:t xml:space="preserve">manufacturing, </w:t>
            </w:r>
            <w:r w:rsidR="000D4D45">
              <w:rPr>
                <w:rFonts w:ascii="Arial" w:hAnsi="Arial" w:cs="Arial"/>
                <w:noProof/>
                <w:sz w:val="18"/>
                <w:szCs w:val="18"/>
              </w:rPr>
              <w:t>storage, transfer</w:t>
            </w:r>
            <w:r w:rsidR="00E361A5" w:rsidRPr="3982CBDC">
              <w:rPr>
                <w:rFonts w:ascii="Arial" w:hAnsi="Arial" w:cs="Arial"/>
                <w:noProof/>
                <w:sz w:val="18"/>
                <w:szCs w:val="18"/>
              </w:rPr>
              <w:t xml:space="preserve"> and transport</w:t>
            </w:r>
          </w:p>
        </w:tc>
      </w:tr>
      <w:tr w:rsidR="00037F64" w:rsidRPr="00DC58BB" w14:paraId="1D070890" w14:textId="77777777" w:rsidTr="3F3807E4">
        <w:tc>
          <w:tcPr>
            <w:tcW w:w="8834" w:type="dxa"/>
            <w:shd w:val="clear" w:color="auto" w:fill="003300"/>
          </w:tcPr>
          <w:p w14:paraId="7CCE9A6B" w14:textId="77777777" w:rsidR="00037F64" w:rsidRDefault="3F3807E4" w:rsidP="3982CBDC">
            <w:pPr>
              <w:spacing w:after="60"/>
              <w:jc w:val="left"/>
              <w:rPr>
                <w:rFonts w:ascii="Arial" w:hAnsi="Arial" w:cs="Arial"/>
                <w:noProof/>
                <w:sz w:val="18"/>
                <w:szCs w:val="18"/>
              </w:rPr>
            </w:pPr>
            <w:r w:rsidRPr="3F3807E4">
              <w:rPr>
                <w:rFonts w:ascii="Arial" w:hAnsi="Arial" w:cs="Arial"/>
                <w:noProof/>
                <w:color w:val="FFFFFF" w:themeColor="background1"/>
                <w:sz w:val="18"/>
                <w:szCs w:val="18"/>
              </w:rPr>
              <w:t>A4: Recovery obligation of insulation foams blown with HFCs</w:t>
            </w:r>
          </w:p>
        </w:tc>
      </w:tr>
      <w:tr w:rsidR="00037F64" w:rsidRPr="00DC58BB" w14:paraId="035F09FC" w14:textId="77777777" w:rsidTr="3F3807E4">
        <w:tc>
          <w:tcPr>
            <w:tcW w:w="8834" w:type="dxa"/>
          </w:tcPr>
          <w:p w14:paraId="31E0425F" w14:textId="2822B4C3" w:rsidR="00037F64" w:rsidRPr="00DC58BB" w:rsidRDefault="3982CBDC" w:rsidP="00AD5F1B">
            <w:pPr>
              <w:numPr>
                <w:ilvl w:val="0"/>
                <w:numId w:val="13"/>
              </w:numPr>
              <w:spacing w:after="60"/>
              <w:ind w:left="456" w:hanging="283"/>
              <w:jc w:val="left"/>
              <w:rPr>
                <w:rFonts w:ascii="Arial" w:hAnsi="Arial" w:cs="Arial"/>
                <w:noProof/>
                <w:sz w:val="18"/>
                <w:szCs w:val="18"/>
              </w:rPr>
            </w:pPr>
            <w:r w:rsidRPr="3982CBDC">
              <w:rPr>
                <w:rFonts w:ascii="Arial" w:hAnsi="Arial" w:cs="Arial"/>
                <w:noProof/>
                <w:sz w:val="18"/>
                <w:szCs w:val="18"/>
              </w:rPr>
              <w:t xml:space="preserve">Require destruction </w:t>
            </w:r>
            <w:r w:rsidR="007B4010">
              <w:rPr>
                <w:rFonts w:ascii="Arial" w:hAnsi="Arial" w:cs="Arial"/>
                <w:noProof/>
                <w:sz w:val="18"/>
                <w:szCs w:val="18"/>
              </w:rPr>
              <w:t xml:space="preserve">or reuse </w:t>
            </w:r>
            <w:r w:rsidRPr="3982CBDC">
              <w:rPr>
                <w:rFonts w:ascii="Arial" w:hAnsi="Arial" w:cs="Arial"/>
                <w:noProof/>
                <w:sz w:val="18"/>
                <w:szCs w:val="18"/>
              </w:rPr>
              <w:t xml:space="preserve">of HFCs in </w:t>
            </w:r>
            <w:r w:rsidR="0004587E">
              <w:rPr>
                <w:rFonts w:ascii="Arial" w:hAnsi="Arial" w:cs="Arial"/>
                <w:b/>
                <w:bCs/>
                <w:noProof/>
                <w:sz w:val="18"/>
                <w:szCs w:val="18"/>
              </w:rPr>
              <w:t>metal</w:t>
            </w:r>
            <w:r w:rsidRPr="3982CBDC">
              <w:rPr>
                <w:rFonts w:ascii="Arial" w:hAnsi="Arial" w:cs="Arial"/>
                <w:b/>
                <w:bCs/>
                <w:noProof/>
                <w:sz w:val="18"/>
                <w:szCs w:val="18"/>
              </w:rPr>
              <w:t>-faced panels</w:t>
            </w:r>
          </w:p>
        </w:tc>
      </w:tr>
      <w:tr w:rsidR="00037F64" w:rsidRPr="00DC58BB" w14:paraId="024FACD6" w14:textId="77777777" w:rsidTr="3F3807E4">
        <w:tc>
          <w:tcPr>
            <w:tcW w:w="8834" w:type="dxa"/>
            <w:shd w:val="clear" w:color="auto" w:fill="D9D9D9" w:themeFill="background1" w:themeFillShade="D9"/>
          </w:tcPr>
          <w:p w14:paraId="700EC95B" w14:textId="0BC8CB35" w:rsidR="00037F64" w:rsidRDefault="00C64DBD" w:rsidP="00AD5F1B">
            <w:pPr>
              <w:numPr>
                <w:ilvl w:val="0"/>
                <w:numId w:val="13"/>
              </w:numPr>
              <w:spacing w:after="60"/>
              <w:ind w:left="456" w:hanging="283"/>
              <w:jc w:val="left"/>
              <w:rPr>
                <w:rFonts w:ascii="Arial" w:hAnsi="Arial" w:cs="Arial"/>
                <w:noProof/>
                <w:sz w:val="18"/>
                <w:szCs w:val="18"/>
              </w:rPr>
            </w:pPr>
            <w:r>
              <w:rPr>
                <w:rFonts w:ascii="Arial" w:hAnsi="Arial" w:cs="Arial"/>
                <w:noProof/>
                <w:sz w:val="18"/>
                <w:szCs w:val="18"/>
              </w:rPr>
              <w:t>Require</w:t>
            </w:r>
            <w:r w:rsidR="00946908">
              <w:rPr>
                <w:rFonts w:ascii="Arial" w:hAnsi="Arial" w:cs="Arial"/>
                <w:noProof/>
                <w:sz w:val="18"/>
                <w:szCs w:val="18"/>
              </w:rPr>
              <w:t xml:space="preserve"> d</w:t>
            </w:r>
            <w:r w:rsidR="00037F64">
              <w:rPr>
                <w:rFonts w:ascii="Arial" w:hAnsi="Arial" w:cs="Arial"/>
                <w:noProof/>
                <w:sz w:val="18"/>
                <w:szCs w:val="18"/>
              </w:rPr>
              <w:t xml:space="preserve">estruction or reuse of HFCs in </w:t>
            </w:r>
            <w:r w:rsidR="00037F64" w:rsidRPr="3982CBDC">
              <w:rPr>
                <w:rFonts w:ascii="Arial" w:hAnsi="Arial" w:cs="Arial"/>
                <w:b/>
                <w:bCs/>
                <w:noProof/>
                <w:sz w:val="18"/>
                <w:szCs w:val="18"/>
                <w:shd w:val="clear" w:color="auto" w:fill="D9D9D9" w:themeFill="background1" w:themeFillShade="D9"/>
              </w:rPr>
              <w:t>laminated boards in built-up structures and cavities</w:t>
            </w:r>
            <w:r w:rsidR="00037F64" w:rsidRPr="00FE6BBB">
              <w:rPr>
                <w:rFonts w:ascii="Arial" w:hAnsi="Arial" w:cs="Arial"/>
                <w:noProof/>
                <w:sz w:val="18"/>
                <w:szCs w:val="18"/>
                <w:shd w:val="clear" w:color="auto" w:fill="D9D9D9" w:themeFill="background1" w:themeFillShade="D9"/>
              </w:rPr>
              <w:t>,</w:t>
            </w:r>
            <w:r w:rsidR="00037F64">
              <w:rPr>
                <w:rFonts w:ascii="Arial" w:hAnsi="Arial" w:cs="Arial"/>
                <w:noProof/>
                <w:sz w:val="18"/>
                <w:szCs w:val="18"/>
                <w:shd w:val="clear" w:color="auto" w:fill="D9D9D9" w:themeFill="background1" w:themeFillShade="D9"/>
              </w:rPr>
              <w:t xml:space="preserve"> unless </w:t>
            </w:r>
            <w:r w:rsidR="00A93FBB">
              <w:rPr>
                <w:rFonts w:ascii="Arial" w:hAnsi="Arial" w:cs="Arial"/>
                <w:noProof/>
                <w:sz w:val="18"/>
                <w:szCs w:val="18"/>
                <w:shd w:val="clear" w:color="auto" w:fill="D9D9D9" w:themeFill="background1" w:themeFillShade="D9"/>
              </w:rPr>
              <w:t xml:space="preserve">infeasible and subject to documentation </w:t>
            </w:r>
          </w:p>
        </w:tc>
      </w:tr>
    </w:tbl>
    <w:p w14:paraId="45A63C1F" w14:textId="77777777" w:rsidR="00DC58BB" w:rsidRPr="00DC58BB" w:rsidRDefault="00DC58BB" w:rsidP="00E114B2">
      <w:pPr>
        <w:spacing w:after="0"/>
        <w:jc w:val="left"/>
        <w:rPr>
          <w:rFonts w:ascii="Arial" w:eastAsia="Calibri" w:hAnsi="Arial" w:cs="Arial"/>
          <w:b/>
          <w:bCs/>
          <w:noProof/>
          <w:sz w:val="18"/>
          <w:szCs w:val="18"/>
        </w:rPr>
      </w:pPr>
    </w:p>
    <w:tbl>
      <w:tblPr>
        <w:tblStyle w:val="DocumentTable3"/>
        <w:tblW w:w="0" w:type="auto"/>
        <w:tblLook w:val="04A0" w:firstRow="1" w:lastRow="0" w:firstColumn="1" w:lastColumn="0" w:noHBand="0" w:noVBand="1"/>
      </w:tblPr>
      <w:tblGrid>
        <w:gridCol w:w="8834"/>
      </w:tblGrid>
      <w:tr w:rsidR="00321C4F" w:rsidRPr="00DC58BB" w14:paraId="39981048" w14:textId="77777777" w:rsidTr="3F3807E4">
        <w:tc>
          <w:tcPr>
            <w:tcW w:w="8834" w:type="dxa"/>
            <w:shd w:val="clear" w:color="auto" w:fill="FFFFFF" w:themeFill="background1"/>
          </w:tcPr>
          <w:p w14:paraId="155D5BD1" w14:textId="77777777" w:rsidR="00321C4F" w:rsidRPr="00380950" w:rsidRDefault="00321C4F" w:rsidP="3982CBDC">
            <w:pPr>
              <w:spacing w:before="120" w:after="120"/>
              <w:jc w:val="left"/>
              <w:rPr>
                <w:rFonts w:ascii="Arial" w:hAnsi="Arial" w:cs="Arial"/>
                <w:b/>
                <w:bCs/>
                <w:noProof/>
                <w:sz w:val="18"/>
                <w:szCs w:val="18"/>
              </w:rPr>
            </w:pPr>
            <w:r w:rsidRPr="0084507A">
              <w:rPr>
                <w:rFonts w:ascii="Arial" w:hAnsi="Arial" w:cs="Arial"/>
                <w:b/>
                <w:bCs/>
                <w:noProof/>
                <w:sz w:val="18"/>
                <w:szCs w:val="18"/>
                <w:shd w:val="clear" w:color="auto" w:fill="FFFFFF" w:themeFill="background1"/>
              </w:rPr>
              <w:t>Objective B – Seeking alignment with the Montreal Protocol</w:t>
            </w:r>
          </w:p>
        </w:tc>
      </w:tr>
      <w:tr w:rsidR="00DC58BB" w:rsidRPr="00DC58BB" w14:paraId="6004DCC2" w14:textId="77777777" w:rsidTr="3F3807E4">
        <w:tc>
          <w:tcPr>
            <w:tcW w:w="8834" w:type="dxa"/>
            <w:shd w:val="clear" w:color="auto" w:fill="003300"/>
          </w:tcPr>
          <w:p w14:paraId="19B56C35" w14:textId="3D6632AE" w:rsidR="00DC58BB" w:rsidRPr="00DC58BB" w:rsidRDefault="3F3807E4" w:rsidP="00360DFA">
            <w:pPr>
              <w:spacing w:after="60" w:line="276" w:lineRule="auto"/>
              <w:jc w:val="left"/>
              <w:rPr>
                <w:rFonts w:ascii="Arial" w:hAnsi="Arial" w:cs="Arial"/>
                <w:noProof/>
                <w:sz w:val="16"/>
                <w:szCs w:val="16"/>
              </w:rPr>
            </w:pPr>
            <w:r w:rsidRPr="3F3807E4">
              <w:rPr>
                <w:rFonts w:ascii="Arial" w:hAnsi="Arial" w:cs="Arial"/>
                <w:noProof/>
                <w:color w:val="FFFFFF" w:themeColor="background1"/>
                <w:sz w:val="16"/>
                <w:szCs w:val="16"/>
              </w:rPr>
              <w:t>B1 &amp; B2 : Achieve alignment, remove (some) exemptions not foreseen by the Montreal Protocol</w:t>
            </w:r>
          </w:p>
        </w:tc>
      </w:tr>
      <w:tr w:rsidR="00DC58BB" w:rsidRPr="00FE6BBB" w14:paraId="5184227E" w14:textId="77777777" w:rsidTr="3F3807E4">
        <w:trPr>
          <w:trHeight w:val="350"/>
        </w:trPr>
        <w:tc>
          <w:tcPr>
            <w:tcW w:w="8834" w:type="dxa"/>
          </w:tcPr>
          <w:p w14:paraId="3595DE76" w14:textId="42FCDF4B" w:rsidR="00DC58BB" w:rsidRPr="00360DFA" w:rsidRDefault="00A93FBB" w:rsidP="00AD5F1B">
            <w:pPr>
              <w:numPr>
                <w:ilvl w:val="0"/>
                <w:numId w:val="13"/>
              </w:numPr>
              <w:spacing w:after="60" w:line="276" w:lineRule="auto"/>
              <w:ind w:left="456" w:hanging="283"/>
              <w:jc w:val="left"/>
              <w:rPr>
                <w:rFonts w:ascii="Arial" w:hAnsi="Arial" w:cs="Arial"/>
                <w:noProof/>
                <w:sz w:val="16"/>
                <w:szCs w:val="16"/>
              </w:rPr>
            </w:pPr>
            <w:r>
              <w:rPr>
                <w:rFonts w:ascii="Arial" w:hAnsi="Arial" w:cs="Arial"/>
                <w:noProof/>
                <w:sz w:val="18"/>
                <w:szCs w:val="18"/>
              </w:rPr>
              <w:t>Include HFC use</w:t>
            </w:r>
            <w:r w:rsidR="3982CBDC" w:rsidRPr="3982CBDC">
              <w:rPr>
                <w:rFonts w:ascii="Arial" w:hAnsi="Arial" w:cs="Arial"/>
                <w:noProof/>
                <w:sz w:val="18"/>
                <w:szCs w:val="18"/>
              </w:rPr>
              <w:t xml:space="preserve"> for </w:t>
            </w:r>
            <w:r w:rsidR="3982CBDC" w:rsidRPr="00F539FA">
              <w:rPr>
                <w:rFonts w:ascii="Arial" w:hAnsi="Arial" w:cs="Arial"/>
                <w:b/>
                <w:noProof/>
                <w:sz w:val="18"/>
                <w:szCs w:val="18"/>
              </w:rPr>
              <w:t xml:space="preserve">Metered dose inhalers (MDIs) </w:t>
            </w:r>
            <w:r w:rsidRPr="00F539FA">
              <w:rPr>
                <w:rFonts w:ascii="Arial" w:hAnsi="Arial" w:cs="Arial"/>
                <w:b/>
                <w:noProof/>
                <w:sz w:val="18"/>
                <w:szCs w:val="18"/>
              </w:rPr>
              <w:t>under</w:t>
            </w:r>
            <w:r w:rsidR="3982CBDC" w:rsidRPr="00F539FA">
              <w:rPr>
                <w:rFonts w:ascii="Arial" w:hAnsi="Arial" w:cs="Arial"/>
                <w:b/>
                <w:noProof/>
                <w:sz w:val="18"/>
                <w:szCs w:val="18"/>
              </w:rPr>
              <w:t xml:space="preserve"> the </w:t>
            </w:r>
            <w:r w:rsidRPr="00F539FA">
              <w:rPr>
                <w:rFonts w:ascii="Arial" w:hAnsi="Arial" w:cs="Arial"/>
                <w:b/>
                <w:noProof/>
                <w:sz w:val="18"/>
                <w:szCs w:val="18"/>
              </w:rPr>
              <w:t>quota system</w:t>
            </w:r>
            <w:r>
              <w:rPr>
                <w:rFonts w:ascii="Arial" w:hAnsi="Arial" w:cs="Arial"/>
                <w:noProof/>
                <w:sz w:val="18"/>
                <w:szCs w:val="18"/>
              </w:rPr>
              <w:t xml:space="preserve"> </w:t>
            </w:r>
            <w:r w:rsidR="00360DFA">
              <w:rPr>
                <w:rFonts w:ascii="Arial" w:hAnsi="Arial" w:cs="Arial"/>
                <w:noProof/>
                <w:sz w:val="18"/>
                <w:szCs w:val="18"/>
              </w:rPr>
              <w:t xml:space="preserve">and </w:t>
            </w:r>
            <w:r w:rsidR="00360DFA" w:rsidRPr="0080701C">
              <w:rPr>
                <w:rFonts w:ascii="Arial" w:hAnsi="Arial" w:cs="Arial"/>
                <w:b/>
                <w:noProof/>
                <w:sz w:val="18"/>
                <w:szCs w:val="18"/>
              </w:rPr>
              <w:t xml:space="preserve">remove </w:t>
            </w:r>
            <w:r w:rsidR="0080701C" w:rsidRPr="0080701C">
              <w:rPr>
                <w:rFonts w:ascii="Arial" w:hAnsi="Arial" w:cs="Arial"/>
                <w:b/>
                <w:noProof/>
                <w:sz w:val="18"/>
                <w:szCs w:val="18"/>
              </w:rPr>
              <w:t>minimum</w:t>
            </w:r>
            <w:r w:rsidR="0080701C">
              <w:rPr>
                <w:rFonts w:ascii="Arial" w:hAnsi="Arial" w:cs="Arial"/>
                <w:noProof/>
                <w:sz w:val="18"/>
                <w:szCs w:val="18"/>
              </w:rPr>
              <w:t xml:space="preserve"> </w:t>
            </w:r>
            <w:r w:rsidR="0080701C" w:rsidRPr="00F539FA">
              <w:rPr>
                <w:rFonts w:ascii="Arial" w:hAnsi="Arial" w:cs="Arial"/>
                <w:b/>
                <w:noProof/>
                <w:sz w:val="18"/>
                <w:szCs w:val="18"/>
              </w:rPr>
              <w:t xml:space="preserve">thresholds </w:t>
            </w:r>
            <w:r w:rsidR="0080701C">
              <w:rPr>
                <w:rFonts w:ascii="Arial" w:hAnsi="Arial" w:cs="Arial"/>
                <w:b/>
                <w:noProof/>
                <w:sz w:val="18"/>
                <w:szCs w:val="18"/>
              </w:rPr>
              <w:t xml:space="preserve">for the </w:t>
            </w:r>
            <w:r w:rsidR="00360DFA" w:rsidRPr="00F539FA">
              <w:rPr>
                <w:rFonts w:ascii="Arial" w:hAnsi="Arial" w:cs="Arial"/>
                <w:b/>
                <w:noProof/>
                <w:sz w:val="18"/>
                <w:szCs w:val="18"/>
              </w:rPr>
              <w:t xml:space="preserve">quota system and reporting </w:t>
            </w:r>
          </w:p>
        </w:tc>
      </w:tr>
      <w:tr w:rsidR="00EF10C4" w:rsidRPr="00FE6BBB" w14:paraId="4CC02252" w14:textId="77777777" w:rsidTr="3F3807E4">
        <w:trPr>
          <w:trHeight w:val="295"/>
        </w:trPr>
        <w:tc>
          <w:tcPr>
            <w:tcW w:w="8834" w:type="dxa"/>
            <w:shd w:val="clear" w:color="auto" w:fill="A6A6A6" w:themeFill="background1" w:themeFillShade="A6"/>
          </w:tcPr>
          <w:p w14:paraId="13D77C16" w14:textId="74B7C495" w:rsidR="00EF10C4" w:rsidRPr="00A93FBB" w:rsidRDefault="00A93FBB" w:rsidP="00AD5F1B">
            <w:pPr>
              <w:numPr>
                <w:ilvl w:val="0"/>
                <w:numId w:val="13"/>
              </w:numPr>
              <w:shd w:val="clear" w:color="auto" w:fill="A6A6A6" w:themeFill="background1" w:themeFillShade="A6"/>
              <w:spacing w:line="276" w:lineRule="auto"/>
              <w:ind w:left="426" w:hanging="284"/>
              <w:jc w:val="left"/>
              <w:rPr>
                <w:rFonts w:ascii="Arial" w:hAnsi="Arial" w:cs="Arial"/>
                <w:noProof/>
                <w:sz w:val="18"/>
                <w:szCs w:val="18"/>
                <w:lang w:val="en-GB"/>
              </w:rPr>
            </w:pPr>
            <w:r>
              <w:rPr>
                <w:rFonts w:ascii="Arial" w:hAnsi="Arial" w:cs="Arial"/>
                <w:noProof/>
                <w:sz w:val="18"/>
                <w:szCs w:val="18"/>
                <w:lang w:val="en-GB"/>
              </w:rPr>
              <w:t>Include HFC use</w:t>
            </w:r>
            <w:r w:rsidR="00A773CF">
              <w:rPr>
                <w:rFonts w:ascii="Arial" w:hAnsi="Arial" w:cs="Arial"/>
                <w:noProof/>
                <w:sz w:val="18"/>
                <w:szCs w:val="18"/>
                <w:lang w:val="en-GB"/>
              </w:rPr>
              <w:t xml:space="preserve"> for </w:t>
            </w:r>
            <w:r w:rsidRPr="00F539FA">
              <w:rPr>
                <w:rFonts w:ascii="Arial" w:hAnsi="Arial" w:cs="Arial"/>
                <w:b/>
                <w:noProof/>
                <w:sz w:val="18"/>
                <w:szCs w:val="18"/>
                <w:lang w:val="en-GB"/>
              </w:rPr>
              <w:t xml:space="preserve">military </w:t>
            </w:r>
            <w:r w:rsidR="00A773CF">
              <w:rPr>
                <w:rFonts w:ascii="Arial" w:hAnsi="Arial" w:cs="Arial"/>
                <w:b/>
                <w:noProof/>
                <w:sz w:val="18"/>
                <w:szCs w:val="18"/>
                <w:lang w:val="en-GB"/>
              </w:rPr>
              <w:t>&amp;</w:t>
            </w:r>
            <w:r w:rsidRPr="00F539FA">
              <w:rPr>
                <w:rFonts w:ascii="Arial" w:hAnsi="Arial" w:cs="Arial"/>
                <w:b/>
                <w:noProof/>
                <w:sz w:val="18"/>
                <w:szCs w:val="18"/>
                <w:lang w:val="en-GB"/>
              </w:rPr>
              <w:t xml:space="preserve"> the </w:t>
            </w:r>
            <w:r w:rsidR="3982CBDC" w:rsidRPr="00F539FA">
              <w:rPr>
                <w:rFonts w:ascii="Arial" w:hAnsi="Arial" w:cs="Arial"/>
                <w:b/>
                <w:noProof/>
                <w:sz w:val="18"/>
                <w:szCs w:val="18"/>
                <w:lang w:val="en-GB"/>
              </w:rPr>
              <w:t>semiconductor</w:t>
            </w:r>
            <w:r w:rsidR="00A773CF">
              <w:rPr>
                <w:rFonts w:ascii="Arial" w:hAnsi="Arial" w:cs="Arial"/>
                <w:b/>
                <w:noProof/>
                <w:sz w:val="18"/>
                <w:szCs w:val="18"/>
                <w:lang w:val="en-GB"/>
              </w:rPr>
              <w:t>s</w:t>
            </w:r>
            <w:r w:rsidRPr="00F539FA">
              <w:rPr>
                <w:rFonts w:ascii="Arial" w:hAnsi="Arial" w:cs="Arial"/>
                <w:b/>
                <w:noProof/>
                <w:sz w:val="18"/>
                <w:szCs w:val="18"/>
                <w:lang w:val="en-GB"/>
              </w:rPr>
              <w:t xml:space="preserve"> under the quota system</w:t>
            </w:r>
            <w:r w:rsidRPr="00E41E4E">
              <w:rPr>
                <w:rFonts w:ascii="Arial" w:hAnsi="Arial" w:cs="Arial"/>
                <w:noProof/>
                <w:sz w:val="18"/>
                <w:szCs w:val="18"/>
                <w:lang w:val="en-GB"/>
              </w:rPr>
              <w:t xml:space="preserve"> </w:t>
            </w:r>
          </w:p>
        </w:tc>
      </w:tr>
      <w:tr w:rsidR="00D90886" w:rsidRPr="00DC58BB" w14:paraId="29814EBF" w14:textId="77777777" w:rsidTr="3F3807E4">
        <w:tc>
          <w:tcPr>
            <w:tcW w:w="8834" w:type="dxa"/>
            <w:shd w:val="clear" w:color="auto" w:fill="003300"/>
          </w:tcPr>
          <w:p w14:paraId="01F184D3" w14:textId="346A7C1D" w:rsidR="00D90886" w:rsidRPr="00DC58BB" w:rsidRDefault="3F3807E4" w:rsidP="00360DFA">
            <w:pPr>
              <w:spacing w:after="60"/>
              <w:jc w:val="left"/>
              <w:rPr>
                <w:rFonts w:ascii="Arial" w:hAnsi="Arial" w:cs="Arial"/>
                <w:noProof/>
                <w:sz w:val="18"/>
                <w:szCs w:val="18"/>
              </w:rPr>
            </w:pPr>
            <w:r w:rsidRPr="3F3807E4">
              <w:rPr>
                <w:rFonts w:ascii="Arial" w:hAnsi="Arial" w:cs="Arial"/>
                <w:noProof/>
                <w:color w:val="FFFFFF" w:themeColor="background1"/>
                <w:sz w:val="16"/>
                <w:szCs w:val="16"/>
              </w:rPr>
              <w:t>B3 &amp; B4 Achieve Montreal Protocol alignment production phase down limits and non-Party trade</w:t>
            </w:r>
          </w:p>
        </w:tc>
      </w:tr>
      <w:tr w:rsidR="00D90886" w:rsidRPr="00DC58BB" w14:paraId="5E5BA236" w14:textId="77777777" w:rsidTr="3F3807E4">
        <w:tc>
          <w:tcPr>
            <w:tcW w:w="8834" w:type="dxa"/>
          </w:tcPr>
          <w:p w14:paraId="60B6C2CA" w14:textId="1A3B6A43" w:rsidR="00D90886" w:rsidRPr="00360DFA" w:rsidRDefault="00BB4E5B" w:rsidP="00AD5F1B">
            <w:pPr>
              <w:numPr>
                <w:ilvl w:val="0"/>
                <w:numId w:val="13"/>
              </w:numPr>
              <w:spacing w:after="60" w:line="276" w:lineRule="auto"/>
              <w:ind w:left="456" w:hanging="283"/>
              <w:jc w:val="left"/>
              <w:rPr>
                <w:rFonts w:ascii="Arial" w:hAnsi="Arial" w:cs="Arial"/>
                <w:noProof/>
                <w:sz w:val="16"/>
                <w:szCs w:val="16"/>
              </w:rPr>
            </w:pPr>
            <w:r w:rsidRPr="3982CBDC">
              <w:rPr>
                <w:rFonts w:ascii="Arial" w:hAnsi="Arial" w:cs="Arial"/>
                <w:noProof/>
                <w:sz w:val="18"/>
                <w:szCs w:val="18"/>
              </w:rPr>
              <w:t xml:space="preserve">Include a </w:t>
            </w:r>
            <w:r w:rsidRPr="00F539FA">
              <w:rPr>
                <w:rFonts w:ascii="Arial" w:hAnsi="Arial" w:cs="Arial"/>
                <w:b/>
                <w:noProof/>
                <w:sz w:val="18"/>
                <w:szCs w:val="18"/>
              </w:rPr>
              <w:t>separate HFC production phase-down at entity level</w:t>
            </w:r>
            <w:r w:rsidRPr="3982CBDC">
              <w:rPr>
                <w:rFonts w:ascii="Arial" w:hAnsi="Arial" w:cs="Arial"/>
                <w:noProof/>
                <w:sz w:val="18"/>
                <w:szCs w:val="18"/>
              </w:rPr>
              <w:t xml:space="preserve"> </w:t>
            </w:r>
            <w:r>
              <w:rPr>
                <w:rFonts w:ascii="Arial" w:hAnsi="Arial" w:cs="Arial"/>
                <w:noProof/>
                <w:sz w:val="18"/>
                <w:szCs w:val="18"/>
              </w:rPr>
              <w:t>mirroring the Protocol</w:t>
            </w:r>
            <w:r w:rsidR="00360DFA">
              <w:rPr>
                <w:rFonts w:ascii="Arial" w:hAnsi="Arial" w:cs="Arial"/>
                <w:noProof/>
                <w:sz w:val="18"/>
                <w:szCs w:val="18"/>
              </w:rPr>
              <w:t xml:space="preserve"> and p</w:t>
            </w:r>
            <w:r w:rsidRPr="00360DFA">
              <w:rPr>
                <w:rFonts w:ascii="Arial" w:hAnsi="Arial" w:cs="Arial"/>
                <w:noProof/>
                <w:sz w:val="18"/>
                <w:szCs w:val="18"/>
              </w:rPr>
              <w:t xml:space="preserve">rohibit trade in bulk HFCs from/to </w:t>
            </w:r>
            <w:r w:rsidRPr="00360DFA">
              <w:rPr>
                <w:rFonts w:ascii="Arial" w:hAnsi="Arial" w:cs="Arial"/>
                <w:b/>
                <w:noProof/>
                <w:sz w:val="18"/>
                <w:szCs w:val="18"/>
              </w:rPr>
              <w:t>any country not Party to the Kigali Amendment</w:t>
            </w:r>
            <w:r w:rsidRPr="00360DFA">
              <w:rPr>
                <w:rFonts w:ascii="Arial" w:hAnsi="Arial" w:cs="Arial"/>
                <w:noProof/>
                <w:sz w:val="18"/>
                <w:szCs w:val="18"/>
              </w:rPr>
              <w:t xml:space="preserve"> </w:t>
            </w:r>
            <w:r w:rsidR="007878EB">
              <w:rPr>
                <w:rFonts w:ascii="Arial" w:hAnsi="Arial" w:cs="Arial"/>
                <w:noProof/>
                <w:sz w:val="18"/>
                <w:szCs w:val="18"/>
              </w:rPr>
              <w:t xml:space="preserve">(from 2033 in </w:t>
            </w:r>
            <w:r w:rsidR="006B62CA">
              <w:rPr>
                <w:rFonts w:ascii="Arial" w:hAnsi="Arial" w:cs="Arial"/>
                <w:noProof/>
                <w:sz w:val="18"/>
                <w:szCs w:val="18"/>
              </w:rPr>
              <w:t xml:space="preserve">* </w:t>
            </w:r>
            <w:r w:rsidR="007878EB">
              <w:rPr>
                <w:rFonts w:ascii="Arial" w:hAnsi="Arial" w:cs="Arial"/>
                <w:noProof/>
                <w:sz w:val="18"/>
                <w:szCs w:val="18"/>
              </w:rPr>
              <w:t xml:space="preserve">Option 1; </w:t>
            </w:r>
            <w:r w:rsidR="007878EB" w:rsidRPr="00E41EB9">
              <w:rPr>
                <w:rFonts w:ascii="Arial" w:hAnsi="Arial" w:cs="Arial"/>
                <w:noProof/>
                <w:sz w:val="18"/>
                <w:szCs w:val="18"/>
                <w:highlight w:val="lightGray"/>
              </w:rPr>
              <w:t>2028 in Option 2 and 3</w:t>
            </w:r>
            <w:r w:rsidR="007878EB">
              <w:rPr>
                <w:rFonts w:ascii="Arial" w:hAnsi="Arial" w:cs="Arial"/>
                <w:noProof/>
                <w:sz w:val="18"/>
                <w:szCs w:val="18"/>
              </w:rPr>
              <w:t>)</w:t>
            </w:r>
          </w:p>
        </w:tc>
      </w:tr>
    </w:tbl>
    <w:p w14:paraId="22A33625" w14:textId="77777777" w:rsidR="009C7D99" w:rsidRPr="00DC58BB" w:rsidRDefault="009C7D99" w:rsidP="00E114B2">
      <w:pPr>
        <w:spacing w:after="0" w:line="288" w:lineRule="auto"/>
        <w:jc w:val="left"/>
        <w:rPr>
          <w:rFonts w:ascii="Arial" w:eastAsia="Calibri" w:hAnsi="Arial" w:cs="Arial"/>
          <w:noProof/>
          <w:sz w:val="20"/>
        </w:rPr>
      </w:pPr>
    </w:p>
    <w:tbl>
      <w:tblPr>
        <w:tblStyle w:val="DocumentTable3"/>
        <w:tblW w:w="0" w:type="auto"/>
        <w:tblLook w:val="04A0" w:firstRow="1" w:lastRow="0" w:firstColumn="1" w:lastColumn="0" w:noHBand="0" w:noVBand="1"/>
      </w:tblPr>
      <w:tblGrid>
        <w:gridCol w:w="8834"/>
      </w:tblGrid>
      <w:tr w:rsidR="0084507A" w:rsidRPr="00DC58BB" w14:paraId="23ED93AE" w14:textId="77777777" w:rsidTr="3F3807E4">
        <w:tc>
          <w:tcPr>
            <w:tcW w:w="8834" w:type="dxa"/>
            <w:shd w:val="clear" w:color="auto" w:fill="FFFFFF" w:themeFill="background1"/>
          </w:tcPr>
          <w:p w14:paraId="6A60F03F" w14:textId="77777777" w:rsidR="0084507A" w:rsidRPr="0084507A" w:rsidRDefault="3982CBDC" w:rsidP="3982CBDC">
            <w:pPr>
              <w:spacing w:after="120" w:line="288" w:lineRule="auto"/>
              <w:jc w:val="left"/>
              <w:rPr>
                <w:rFonts w:ascii="Arial" w:hAnsi="Arial" w:cs="Arial"/>
                <w:b/>
                <w:bCs/>
                <w:noProof/>
                <w:sz w:val="18"/>
                <w:szCs w:val="18"/>
              </w:rPr>
            </w:pPr>
            <w:r w:rsidRPr="3982CBDC">
              <w:rPr>
                <w:rFonts w:ascii="Arial" w:hAnsi="Arial" w:cs="Arial"/>
                <w:b/>
                <w:bCs/>
                <w:noProof/>
                <w:sz w:val="18"/>
                <w:szCs w:val="18"/>
              </w:rPr>
              <w:t>Objective C – Improving implementation and enforcement</w:t>
            </w:r>
          </w:p>
        </w:tc>
      </w:tr>
      <w:tr w:rsidR="00DC58BB" w:rsidRPr="00DC58BB" w14:paraId="0342F882" w14:textId="77777777" w:rsidTr="3F3807E4">
        <w:tc>
          <w:tcPr>
            <w:tcW w:w="8834" w:type="dxa"/>
            <w:shd w:val="clear" w:color="auto" w:fill="003300"/>
          </w:tcPr>
          <w:p w14:paraId="6C47382D" w14:textId="4C725014" w:rsidR="00DC58BB" w:rsidRPr="00DC58BB" w:rsidRDefault="00DC58BB" w:rsidP="00E41EB9">
            <w:pPr>
              <w:spacing w:after="60"/>
              <w:jc w:val="left"/>
              <w:rPr>
                <w:rFonts w:ascii="Arial" w:hAnsi="Arial" w:cs="Arial"/>
                <w:noProof/>
                <w:sz w:val="16"/>
                <w:szCs w:val="16"/>
              </w:rPr>
            </w:pPr>
            <w:r w:rsidRPr="3982CBDC">
              <w:rPr>
                <w:rFonts w:ascii="Arial" w:hAnsi="Arial" w:cs="Arial"/>
                <w:noProof/>
                <w:color w:val="FFFFFF"/>
                <w:sz w:val="16"/>
                <w:szCs w:val="16"/>
              </w:rPr>
              <w:t xml:space="preserve">C1: </w:t>
            </w:r>
            <w:r w:rsidR="00ED04E2" w:rsidRPr="3982CBDC">
              <w:rPr>
                <w:rFonts w:ascii="Arial" w:hAnsi="Arial" w:cs="Arial"/>
                <w:noProof/>
                <w:color w:val="FFFFFF"/>
                <w:sz w:val="16"/>
                <w:szCs w:val="16"/>
              </w:rPr>
              <w:t xml:space="preserve">Extend </w:t>
            </w:r>
            <w:r w:rsidR="00205856" w:rsidRPr="3982CBDC">
              <w:rPr>
                <w:rFonts w:ascii="Arial" w:hAnsi="Arial" w:cs="Arial"/>
                <w:noProof/>
                <w:color w:val="FFFFFF"/>
                <w:sz w:val="16"/>
                <w:szCs w:val="16"/>
              </w:rPr>
              <w:t>c</w:t>
            </w:r>
            <w:r w:rsidRPr="3982CBDC">
              <w:rPr>
                <w:rFonts w:ascii="Arial" w:hAnsi="Arial" w:cs="Arial"/>
                <w:noProof/>
                <w:color w:val="FFFFFF"/>
                <w:sz w:val="16"/>
                <w:szCs w:val="16"/>
              </w:rPr>
              <w:t xml:space="preserve">ertification </w:t>
            </w:r>
            <w:r w:rsidR="00DD1670" w:rsidRPr="3982CBDC">
              <w:rPr>
                <w:rFonts w:ascii="Arial" w:hAnsi="Arial" w:cs="Arial"/>
                <w:noProof/>
                <w:color w:val="FFFFFF"/>
                <w:sz w:val="16"/>
                <w:szCs w:val="16"/>
              </w:rPr>
              <w:t xml:space="preserve">and training </w:t>
            </w:r>
            <w:r w:rsidR="006F5D53" w:rsidRPr="3982CBDC">
              <w:rPr>
                <w:rFonts w:ascii="Arial" w:hAnsi="Arial" w:cs="Arial"/>
                <w:noProof/>
                <w:color w:val="FFFFFF"/>
                <w:sz w:val="16"/>
                <w:szCs w:val="16"/>
              </w:rPr>
              <w:t xml:space="preserve">for </w:t>
            </w:r>
            <w:r w:rsidR="00DD1670" w:rsidRPr="3982CBDC">
              <w:rPr>
                <w:rFonts w:ascii="Arial" w:hAnsi="Arial" w:cs="Arial"/>
                <w:noProof/>
                <w:color w:val="FFFFFF"/>
                <w:sz w:val="16"/>
                <w:szCs w:val="16"/>
              </w:rPr>
              <w:t>RAC</w:t>
            </w:r>
            <w:r w:rsidR="00205856" w:rsidRPr="3982CBDC">
              <w:rPr>
                <w:rStyle w:val="FootnoteReference"/>
                <w:rFonts w:ascii="Arial" w:hAnsi="Arial" w:cs="Arial"/>
                <w:noProof/>
                <w:color w:val="FFFFFF"/>
                <w:sz w:val="16"/>
                <w:szCs w:val="16"/>
              </w:rPr>
              <w:footnoteReference w:id="72"/>
            </w:r>
            <w:r w:rsidR="00DD1670" w:rsidRPr="3982CBDC">
              <w:rPr>
                <w:rFonts w:ascii="Arial" w:hAnsi="Arial" w:cs="Arial"/>
                <w:noProof/>
                <w:color w:val="FFFFFF"/>
                <w:sz w:val="16"/>
                <w:szCs w:val="16"/>
              </w:rPr>
              <w:t xml:space="preserve"> </w:t>
            </w:r>
            <w:r w:rsidR="00205856" w:rsidRPr="3982CBDC">
              <w:rPr>
                <w:rFonts w:ascii="Arial" w:hAnsi="Arial" w:cs="Arial"/>
                <w:noProof/>
                <w:color w:val="FFFFFF"/>
                <w:sz w:val="16"/>
                <w:szCs w:val="16"/>
              </w:rPr>
              <w:t>technicians</w:t>
            </w:r>
            <w:r w:rsidRPr="3982CBDC">
              <w:rPr>
                <w:rFonts w:ascii="Arial" w:hAnsi="Arial" w:cs="Arial"/>
                <w:noProof/>
                <w:color w:val="FFFFFF"/>
                <w:sz w:val="16"/>
                <w:szCs w:val="16"/>
              </w:rPr>
              <w:t xml:space="preserve"> </w:t>
            </w:r>
          </w:p>
        </w:tc>
      </w:tr>
      <w:tr w:rsidR="00C31995" w:rsidRPr="00DC58BB" w14:paraId="45143C2B" w14:textId="77777777" w:rsidTr="3F3807E4">
        <w:tc>
          <w:tcPr>
            <w:tcW w:w="8834" w:type="dxa"/>
          </w:tcPr>
          <w:p w14:paraId="3B4444E8" w14:textId="48FCFEE4" w:rsidR="00C31995" w:rsidRDefault="3982CBDC" w:rsidP="00AD5F1B">
            <w:pPr>
              <w:numPr>
                <w:ilvl w:val="0"/>
                <w:numId w:val="13"/>
              </w:numPr>
              <w:spacing w:after="60"/>
              <w:ind w:left="456" w:hanging="283"/>
              <w:jc w:val="left"/>
              <w:rPr>
                <w:rFonts w:ascii="Arial" w:hAnsi="Arial" w:cs="Arial"/>
                <w:noProof/>
                <w:sz w:val="18"/>
                <w:szCs w:val="18"/>
              </w:rPr>
            </w:pPr>
            <w:r w:rsidRPr="3982CBDC">
              <w:rPr>
                <w:rFonts w:ascii="Arial" w:hAnsi="Arial" w:cs="Arial"/>
                <w:noProof/>
                <w:sz w:val="18"/>
                <w:szCs w:val="18"/>
              </w:rPr>
              <w:t xml:space="preserve">Add </w:t>
            </w:r>
            <w:r w:rsidRPr="00F539FA">
              <w:rPr>
                <w:rFonts w:ascii="Arial" w:hAnsi="Arial" w:cs="Arial"/>
                <w:b/>
                <w:noProof/>
                <w:sz w:val="18"/>
                <w:szCs w:val="18"/>
              </w:rPr>
              <w:t>energy efficiency</w:t>
            </w:r>
            <w:r w:rsidRPr="3982CBDC">
              <w:rPr>
                <w:rFonts w:ascii="Arial" w:hAnsi="Arial" w:cs="Arial"/>
                <w:noProof/>
                <w:sz w:val="18"/>
                <w:szCs w:val="18"/>
              </w:rPr>
              <w:t xml:space="preserve"> aspects to the required knowledge</w:t>
            </w:r>
            <w:r w:rsidR="00FC6726">
              <w:rPr>
                <w:rFonts w:ascii="Arial" w:hAnsi="Arial" w:cs="Arial"/>
                <w:noProof/>
                <w:sz w:val="18"/>
                <w:szCs w:val="18"/>
              </w:rPr>
              <w:t xml:space="preserve"> for training and certification</w:t>
            </w:r>
          </w:p>
        </w:tc>
      </w:tr>
      <w:tr w:rsidR="00DC58BB" w:rsidRPr="00DC58BB" w14:paraId="2B613F3B" w14:textId="77777777" w:rsidTr="3F3807E4">
        <w:tc>
          <w:tcPr>
            <w:tcW w:w="8834" w:type="dxa"/>
            <w:tcBorders>
              <w:bottom w:val="nil"/>
            </w:tcBorders>
            <w:shd w:val="clear" w:color="auto" w:fill="D9D9D9" w:themeFill="background1" w:themeFillShade="D9"/>
          </w:tcPr>
          <w:p w14:paraId="4066308C" w14:textId="29450D65" w:rsidR="00A10662" w:rsidRPr="00205856" w:rsidRDefault="00445DCD" w:rsidP="00AD5F1B">
            <w:pPr>
              <w:numPr>
                <w:ilvl w:val="0"/>
                <w:numId w:val="13"/>
              </w:numPr>
              <w:spacing w:after="60"/>
              <w:ind w:left="456" w:hanging="283"/>
              <w:jc w:val="left"/>
              <w:rPr>
                <w:rFonts w:ascii="Arial" w:hAnsi="Arial" w:cs="Arial"/>
                <w:noProof/>
                <w:sz w:val="18"/>
                <w:szCs w:val="18"/>
              </w:rPr>
            </w:pPr>
            <w:r>
              <w:rPr>
                <w:rFonts w:ascii="Arial" w:hAnsi="Arial" w:cs="Arial"/>
                <w:noProof/>
                <w:sz w:val="18"/>
                <w:szCs w:val="18"/>
              </w:rPr>
              <w:t xml:space="preserve">Require that </w:t>
            </w:r>
            <w:r w:rsidR="00F539FA">
              <w:rPr>
                <w:rFonts w:ascii="Arial" w:hAnsi="Arial" w:cs="Arial"/>
                <w:noProof/>
                <w:sz w:val="18"/>
                <w:szCs w:val="18"/>
              </w:rPr>
              <w:t>certification</w:t>
            </w:r>
            <w:r w:rsidR="00A773CF">
              <w:rPr>
                <w:rFonts w:ascii="Arial" w:hAnsi="Arial" w:cs="Arial"/>
                <w:noProof/>
                <w:sz w:val="18"/>
                <w:szCs w:val="18"/>
              </w:rPr>
              <w:t>/</w:t>
            </w:r>
            <w:r w:rsidR="00F539FA">
              <w:rPr>
                <w:rFonts w:ascii="Arial" w:hAnsi="Arial" w:cs="Arial"/>
                <w:noProof/>
                <w:sz w:val="18"/>
                <w:szCs w:val="18"/>
              </w:rPr>
              <w:t xml:space="preserve">training </w:t>
            </w:r>
            <w:r>
              <w:rPr>
                <w:rFonts w:ascii="Arial" w:hAnsi="Arial" w:cs="Arial"/>
                <w:noProof/>
                <w:sz w:val="18"/>
                <w:szCs w:val="18"/>
              </w:rPr>
              <w:t xml:space="preserve">covers </w:t>
            </w:r>
            <w:r w:rsidR="00F539FA">
              <w:rPr>
                <w:rFonts w:ascii="Arial" w:hAnsi="Arial" w:cs="Arial"/>
                <w:noProof/>
                <w:sz w:val="18"/>
                <w:szCs w:val="18"/>
              </w:rPr>
              <w:t>equipment with</w:t>
            </w:r>
            <w:r w:rsidR="3982CBDC" w:rsidRPr="3982CBDC">
              <w:rPr>
                <w:rFonts w:ascii="Arial" w:hAnsi="Arial" w:cs="Arial"/>
                <w:noProof/>
                <w:sz w:val="18"/>
                <w:szCs w:val="18"/>
              </w:rPr>
              <w:t xml:space="preserve"> </w:t>
            </w:r>
            <w:r w:rsidR="00A773CF" w:rsidRPr="00A773CF">
              <w:rPr>
                <w:rFonts w:ascii="Arial" w:hAnsi="Arial" w:cs="Arial"/>
                <w:b/>
                <w:noProof/>
                <w:sz w:val="18"/>
                <w:szCs w:val="18"/>
              </w:rPr>
              <w:t xml:space="preserve">F-gas </w:t>
            </w:r>
            <w:r w:rsidR="3982CBDC" w:rsidRPr="00F539FA">
              <w:rPr>
                <w:rFonts w:ascii="Arial" w:hAnsi="Arial" w:cs="Arial"/>
                <w:b/>
                <w:noProof/>
                <w:sz w:val="18"/>
                <w:szCs w:val="18"/>
              </w:rPr>
              <w:t>alternatives</w:t>
            </w:r>
            <w:r w:rsidR="005A526F">
              <w:rPr>
                <w:rFonts w:ascii="Arial" w:hAnsi="Arial" w:cs="Arial"/>
                <w:b/>
                <w:noProof/>
                <w:sz w:val="18"/>
                <w:szCs w:val="18"/>
              </w:rPr>
              <w:t>,</w:t>
            </w:r>
            <w:r w:rsidR="3982CBDC" w:rsidRPr="3982CBDC">
              <w:rPr>
                <w:rFonts w:ascii="Arial" w:hAnsi="Arial" w:cs="Arial"/>
                <w:noProof/>
                <w:sz w:val="18"/>
                <w:szCs w:val="18"/>
              </w:rPr>
              <w:t xml:space="preserve"> </w:t>
            </w:r>
            <w:r w:rsidR="005A526F">
              <w:rPr>
                <w:rFonts w:ascii="Arial" w:hAnsi="Arial" w:cs="Arial"/>
                <w:noProof/>
                <w:sz w:val="18"/>
                <w:szCs w:val="18"/>
              </w:rPr>
              <w:t xml:space="preserve">and </w:t>
            </w:r>
            <w:r w:rsidR="00A773CF">
              <w:rPr>
                <w:rFonts w:ascii="Arial" w:hAnsi="Arial" w:cs="Arial"/>
                <w:noProof/>
                <w:sz w:val="18"/>
                <w:szCs w:val="18"/>
              </w:rPr>
              <w:t xml:space="preserve">require </w:t>
            </w:r>
            <w:r w:rsidR="005A526F">
              <w:rPr>
                <w:rFonts w:ascii="Arial" w:hAnsi="Arial" w:cs="Arial"/>
                <w:noProof/>
                <w:sz w:val="18"/>
                <w:szCs w:val="18"/>
              </w:rPr>
              <w:t xml:space="preserve">certification when carrying out certain activities on </w:t>
            </w:r>
            <w:r w:rsidR="005A526F" w:rsidRPr="00F539FA">
              <w:rPr>
                <w:rFonts w:ascii="Arial" w:hAnsi="Arial" w:cs="Arial"/>
                <w:b/>
                <w:noProof/>
                <w:sz w:val="18"/>
                <w:szCs w:val="18"/>
              </w:rPr>
              <w:t>RAC equipment containing H(C)FOs</w:t>
            </w:r>
            <w:r w:rsidR="005A526F">
              <w:rPr>
                <w:rFonts w:ascii="Arial" w:hAnsi="Arial" w:cs="Arial"/>
                <w:noProof/>
                <w:sz w:val="18"/>
                <w:szCs w:val="18"/>
              </w:rPr>
              <w:t xml:space="preserve"> (</w:t>
            </w:r>
            <w:r w:rsidR="00A773CF">
              <w:rPr>
                <w:rFonts w:ascii="Arial" w:hAnsi="Arial" w:cs="Arial"/>
                <w:noProof/>
                <w:sz w:val="18"/>
                <w:szCs w:val="18"/>
              </w:rPr>
              <w:t xml:space="preserve">now </w:t>
            </w:r>
            <w:r w:rsidR="005A526F">
              <w:rPr>
                <w:rFonts w:ascii="Arial" w:hAnsi="Arial" w:cs="Arial"/>
                <w:noProof/>
                <w:sz w:val="18"/>
                <w:szCs w:val="18"/>
              </w:rPr>
              <w:t>only for Annex I)</w:t>
            </w:r>
          </w:p>
        </w:tc>
      </w:tr>
      <w:tr w:rsidR="00DC58BB" w:rsidRPr="00082381" w14:paraId="0163FFE7" w14:textId="77777777" w:rsidTr="3F3807E4">
        <w:tc>
          <w:tcPr>
            <w:tcW w:w="8834" w:type="dxa"/>
            <w:shd w:val="clear" w:color="auto" w:fill="003300"/>
          </w:tcPr>
          <w:p w14:paraId="3F858C4B" w14:textId="7CCB9E2D" w:rsidR="00DC58BB" w:rsidRPr="00DC58BB" w:rsidRDefault="3F3807E4" w:rsidP="00082381">
            <w:pPr>
              <w:spacing w:after="60"/>
              <w:jc w:val="left"/>
              <w:rPr>
                <w:rFonts w:ascii="Arial" w:hAnsi="Arial" w:cs="Arial"/>
                <w:noProof/>
                <w:sz w:val="16"/>
                <w:szCs w:val="16"/>
              </w:rPr>
            </w:pPr>
            <w:r w:rsidRPr="3F3807E4">
              <w:rPr>
                <w:rFonts w:ascii="Arial" w:hAnsi="Arial" w:cs="Arial"/>
                <w:noProof/>
                <w:color w:val="FFFFFF" w:themeColor="background1"/>
                <w:sz w:val="16"/>
                <w:szCs w:val="16"/>
              </w:rPr>
              <w:t>C2: Including detailed rules to empower customs and surveillance authorities; C3: Facilitate the use of the EU “Single Window Environment for Customs” &amp; C4: Limit the quota system to genuine F-gas traders and producers</w:t>
            </w:r>
          </w:p>
        </w:tc>
      </w:tr>
      <w:tr w:rsidR="00082381" w:rsidRPr="00DC58BB" w14:paraId="2C386274" w14:textId="77777777" w:rsidTr="3F3807E4">
        <w:trPr>
          <w:trHeight w:val="538"/>
        </w:trPr>
        <w:tc>
          <w:tcPr>
            <w:tcW w:w="8834" w:type="dxa"/>
          </w:tcPr>
          <w:p w14:paraId="66C1E67D" w14:textId="77777777" w:rsidR="005664AB" w:rsidRDefault="00082381" w:rsidP="00AD5F1B">
            <w:pPr>
              <w:numPr>
                <w:ilvl w:val="0"/>
                <w:numId w:val="13"/>
              </w:numPr>
              <w:spacing w:after="60"/>
              <w:ind w:left="456" w:hanging="283"/>
              <w:jc w:val="left"/>
              <w:rPr>
                <w:rFonts w:ascii="Arial" w:hAnsi="Arial" w:cs="Arial"/>
                <w:noProof/>
                <w:sz w:val="18"/>
                <w:szCs w:val="18"/>
              </w:rPr>
            </w:pPr>
            <w:r w:rsidRPr="00BB4E5B">
              <w:rPr>
                <w:rFonts w:ascii="Arial" w:hAnsi="Arial" w:cs="Arial"/>
                <w:noProof/>
                <w:sz w:val="18"/>
                <w:szCs w:val="18"/>
              </w:rPr>
              <w:t>R</w:t>
            </w:r>
            <w:r w:rsidR="00E41EB9">
              <w:rPr>
                <w:rFonts w:ascii="Arial" w:hAnsi="Arial" w:cs="Arial"/>
                <w:noProof/>
                <w:sz w:val="18"/>
                <w:szCs w:val="18"/>
              </w:rPr>
              <w:t xml:space="preserve">einforced rules on </w:t>
            </w:r>
            <w:r w:rsidR="00E41EB9" w:rsidRPr="00E41EB9">
              <w:rPr>
                <w:rFonts w:ascii="Arial" w:hAnsi="Arial" w:cs="Arial"/>
                <w:b/>
                <w:noProof/>
                <w:sz w:val="18"/>
                <w:szCs w:val="18"/>
              </w:rPr>
              <w:t>special custom procedures</w:t>
            </w:r>
            <w:r w:rsidR="00E41EB9">
              <w:rPr>
                <w:rFonts w:ascii="Arial" w:hAnsi="Arial" w:cs="Arial"/>
                <w:noProof/>
                <w:sz w:val="18"/>
                <w:szCs w:val="18"/>
              </w:rPr>
              <w:t xml:space="preserve"> and physical entry of </w:t>
            </w:r>
            <w:r w:rsidR="00E41EB9" w:rsidRPr="00E41EB9">
              <w:rPr>
                <w:rFonts w:ascii="Arial" w:hAnsi="Arial" w:cs="Arial"/>
                <w:b/>
                <w:noProof/>
                <w:sz w:val="18"/>
                <w:szCs w:val="18"/>
              </w:rPr>
              <w:t>prohibited goods</w:t>
            </w:r>
            <w:r w:rsidR="00E41EB9">
              <w:rPr>
                <w:rFonts w:ascii="Arial" w:hAnsi="Arial" w:cs="Arial"/>
                <w:noProof/>
                <w:sz w:val="18"/>
                <w:szCs w:val="18"/>
              </w:rPr>
              <w:t xml:space="preserve"> </w:t>
            </w:r>
          </w:p>
          <w:p w14:paraId="745CEE8C" w14:textId="736E3A5D" w:rsidR="00082381" w:rsidRPr="005664AB" w:rsidRDefault="005664AB" w:rsidP="00AD5F1B">
            <w:pPr>
              <w:numPr>
                <w:ilvl w:val="0"/>
                <w:numId w:val="13"/>
              </w:numPr>
              <w:spacing w:after="60"/>
              <w:ind w:left="456" w:hanging="283"/>
              <w:jc w:val="left"/>
              <w:rPr>
                <w:rFonts w:ascii="Arial" w:hAnsi="Arial" w:cs="Arial"/>
                <w:noProof/>
                <w:sz w:val="18"/>
                <w:szCs w:val="18"/>
              </w:rPr>
            </w:pPr>
            <w:r w:rsidRPr="005664AB">
              <w:rPr>
                <w:rFonts w:ascii="Arial" w:hAnsi="Arial" w:cs="Arial"/>
                <w:noProof/>
                <w:sz w:val="18"/>
                <w:szCs w:val="18"/>
              </w:rPr>
              <w:t xml:space="preserve">Tighter rules on </w:t>
            </w:r>
            <w:r w:rsidRPr="005664AB">
              <w:rPr>
                <w:rFonts w:ascii="Arial" w:hAnsi="Arial" w:cs="Arial"/>
                <w:b/>
                <w:noProof/>
                <w:sz w:val="18"/>
                <w:szCs w:val="18"/>
              </w:rPr>
              <w:t>quota use and availability</w:t>
            </w:r>
          </w:p>
        </w:tc>
      </w:tr>
      <w:tr w:rsidR="00CD4280" w:rsidRPr="00DC58BB" w14:paraId="75915C97" w14:textId="77777777" w:rsidTr="3F3807E4">
        <w:tc>
          <w:tcPr>
            <w:tcW w:w="8834" w:type="dxa"/>
            <w:tcBorders>
              <w:bottom w:val="nil"/>
            </w:tcBorders>
            <w:shd w:val="clear" w:color="auto" w:fill="D9D9D9" w:themeFill="background1" w:themeFillShade="D9"/>
          </w:tcPr>
          <w:p w14:paraId="25C41E41" w14:textId="77777777" w:rsidR="00866183" w:rsidRDefault="3982CBDC" w:rsidP="00AD5F1B">
            <w:pPr>
              <w:numPr>
                <w:ilvl w:val="0"/>
                <w:numId w:val="13"/>
              </w:numPr>
              <w:spacing w:after="60"/>
              <w:ind w:left="426" w:hanging="284"/>
              <w:jc w:val="left"/>
              <w:rPr>
                <w:rFonts w:ascii="Arial" w:hAnsi="Arial" w:cs="Arial"/>
                <w:noProof/>
                <w:sz w:val="18"/>
                <w:szCs w:val="18"/>
              </w:rPr>
            </w:pPr>
            <w:r w:rsidRPr="3982CBDC">
              <w:rPr>
                <w:rFonts w:ascii="Arial" w:hAnsi="Arial" w:cs="Arial"/>
                <w:noProof/>
                <w:sz w:val="18"/>
                <w:szCs w:val="18"/>
              </w:rPr>
              <w:t xml:space="preserve">Require </w:t>
            </w:r>
            <w:r w:rsidRPr="00A20D73">
              <w:rPr>
                <w:rFonts w:ascii="Arial" w:hAnsi="Arial" w:cs="Arial"/>
                <w:b/>
                <w:noProof/>
                <w:sz w:val="18"/>
                <w:szCs w:val="18"/>
              </w:rPr>
              <w:t>minimum penalties</w:t>
            </w:r>
            <w:r w:rsidRPr="00535183">
              <w:rPr>
                <w:rFonts w:ascii="Arial" w:hAnsi="Arial" w:cs="Arial"/>
                <w:b/>
                <w:noProof/>
                <w:sz w:val="18"/>
                <w:szCs w:val="18"/>
              </w:rPr>
              <w:t xml:space="preserve"> for non-compliance</w:t>
            </w:r>
          </w:p>
          <w:p w14:paraId="505E7E77" w14:textId="47ACE09E" w:rsidR="00360DFA" w:rsidRPr="00866183" w:rsidRDefault="00866183" w:rsidP="00AD5F1B">
            <w:pPr>
              <w:numPr>
                <w:ilvl w:val="0"/>
                <w:numId w:val="13"/>
              </w:numPr>
              <w:spacing w:after="60"/>
              <w:ind w:left="426" w:hanging="284"/>
              <w:jc w:val="left"/>
              <w:rPr>
                <w:rFonts w:ascii="Arial" w:hAnsi="Arial" w:cs="Arial"/>
                <w:noProof/>
                <w:sz w:val="18"/>
                <w:szCs w:val="18"/>
              </w:rPr>
            </w:pPr>
            <w:r>
              <w:rPr>
                <w:rFonts w:ascii="Arial" w:hAnsi="Arial" w:cs="Arial"/>
                <w:noProof/>
                <w:sz w:val="18"/>
                <w:szCs w:val="18"/>
              </w:rPr>
              <w:t xml:space="preserve">Require </w:t>
            </w:r>
            <w:r w:rsidRPr="00866183">
              <w:rPr>
                <w:rFonts w:ascii="Arial" w:hAnsi="Arial" w:cs="Arial"/>
                <w:b/>
                <w:noProof/>
                <w:sz w:val="18"/>
                <w:szCs w:val="18"/>
              </w:rPr>
              <w:t>evidence to be provided</w:t>
            </w:r>
            <w:r>
              <w:rPr>
                <w:rFonts w:ascii="Arial" w:hAnsi="Arial" w:cs="Arial"/>
                <w:noProof/>
                <w:sz w:val="18"/>
                <w:szCs w:val="18"/>
              </w:rPr>
              <w:t xml:space="preserve"> by EU producers and importers on</w:t>
            </w:r>
            <w:r w:rsidR="00BB4E5B">
              <w:rPr>
                <w:rFonts w:ascii="Arial" w:hAnsi="Arial" w:cs="Arial"/>
                <w:noProof/>
                <w:sz w:val="18"/>
                <w:szCs w:val="18"/>
              </w:rPr>
              <w:t xml:space="preserve"> </w:t>
            </w:r>
            <w:r w:rsidR="005A526F" w:rsidRPr="3982CBDC">
              <w:rPr>
                <w:rFonts w:ascii="Arial" w:hAnsi="Arial" w:cs="Arial"/>
                <w:noProof/>
                <w:sz w:val="18"/>
                <w:szCs w:val="18"/>
              </w:rPr>
              <w:t xml:space="preserve">HFC23 </w:t>
            </w:r>
            <w:r w:rsidR="00341106">
              <w:rPr>
                <w:rFonts w:ascii="Arial" w:hAnsi="Arial" w:cs="Arial"/>
                <w:noProof/>
                <w:sz w:val="18"/>
                <w:szCs w:val="18"/>
              </w:rPr>
              <w:t>destruction of by-production</w:t>
            </w:r>
            <w:r>
              <w:rPr>
                <w:rFonts w:ascii="Arial" w:hAnsi="Arial" w:cs="Arial"/>
                <w:noProof/>
                <w:sz w:val="18"/>
                <w:szCs w:val="18"/>
              </w:rPr>
              <w:t xml:space="preserve"> and </w:t>
            </w:r>
            <w:r>
              <w:rPr>
                <w:rFonts w:ascii="Arial" w:hAnsi="Arial" w:cs="Arial"/>
                <w:b/>
                <w:noProof/>
                <w:sz w:val="18"/>
                <w:szCs w:val="18"/>
              </w:rPr>
              <w:t>r</w:t>
            </w:r>
            <w:r w:rsidR="00082381" w:rsidRPr="00866183">
              <w:rPr>
                <w:rFonts w:ascii="Arial" w:hAnsi="Arial" w:cs="Arial"/>
                <w:b/>
                <w:noProof/>
                <w:sz w:val="18"/>
                <w:szCs w:val="18"/>
              </w:rPr>
              <w:t xml:space="preserve">equire labelling </w:t>
            </w:r>
            <w:r w:rsidR="00082381" w:rsidRPr="00866183">
              <w:rPr>
                <w:rFonts w:ascii="Arial" w:hAnsi="Arial" w:cs="Arial"/>
                <w:noProof/>
                <w:sz w:val="18"/>
                <w:szCs w:val="18"/>
              </w:rPr>
              <w:t xml:space="preserve">of </w:t>
            </w:r>
            <w:r w:rsidRPr="00866183">
              <w:rPr>
                <w:rFonts w:ascii="Arial" w:hAnsi="Arial" w:cs="Arial"/>
                <w:noProof/>
                <w:sz w:val="18"/>
                <w:szCs w:val="18"/>
              </w:rPr>
              <w:t xml:space="preserve">some Annex II and new gases </w:t>
            </w:r>
            <w:r w:rsidR="00082381" w:rsidRPr="00866183">
              <w:rPr>
                <w:rFonts w:ascii="Arial" w:hAnsi="Arial" w:cs="Arial"/>
                <w:noProof/>
                <w:sz w:val="18"/>
                <w:szCs w:val="18"/>
              </w:rPr>
              <w:t>as well as labelling MDIs</w:t>
            </w:r>
            <w:r>
              <w:rPr>
                <w:rFonts w:ascii="Arial" w:hAnsi="Arial" w:cs="Arial"/>
                <w:noProof/>
                <w:sz w:val="18"/>
                <w:szCs w:val="18"/>
              </w:rPr>
              <w:t xml:space="preserve"> as containing F-gases</w:t>
            </w:r>
          </w:p>
          <w:p w14:paraId="58A964EA" w14:textId="09248609" w:rsidR="00CD4280" w:rsidRPr="00CD4280" w:rsidRDefault="00360DFA" w:rsidP="00AD5F1B">
            <w:pPr>
              <w:numPr>
                <w:ilvl w:val="0"/>
                <w:numId w:val="13"/>
              </w:numPr>
              <w:spacing w:after="60"/>
              <w:ind w:left="426" w:hanging="284"/>
              <w:jc w:val="left"/>
              <w:rPr>
                <w:rFonts w:ascii="Arial" w:hAnsi="Arial" w:cs="Arial"/>
                <w:noProof/>
                <w:sz w:val="18"/>
                <w:szCs w:val="18"/>
              </w:rPr>
            </w:pPr>
            <w:r w:rsidRPr="00EF22E4">
              <w:rPr>
                <w:rFonts w:ascii="Arial" w:hAnsi="Arial" w:cs="Arial"/>
                <w:noProof/>
                <w:sz w:val="18"/>
                <w:szCs w:val="18"/>
                <w:shd w:val="clear" w:color="auto" w:fill="D9D9D9" w:themeFill="background1" w:themeFillShade="D9"/>
              </w:rPr>
              <w:t xml:space="preserve">Introduce </w:t>
            </w:r>
            <w:r w:rsidRPr="006467A5">
              <w:rPr>
                <w:rFonts w:ascii="Arial" w:hAnsi="Arial" w:cs="Arial"/>
                <w:noProof/>
                <w:sz w:val="18"/>
                <w:szCs w:val="18"/>
                <w:shd w:val="clear" w:color="auto" w:fill="D9D9D9" w:themeFill="background1" w:themeFillShade="D9"/>
              </w:rPr>
              <w:t>an</w:t>
            </w:r>
            <w:r w:rsidRPr="00EF22E4">
              <w:rPr>
                <w:rFonts w:ascii="Arial" w:hAnsi="Arial" w:cs="Arial"/>
                <w:noProof/>
                <w:sz w:val="18"/>
                <w:szCs w:val="18"/>
                <w:shd w:val="clear" w:color="auto" w:fill="D9D9D9" w:themeFill="background1" w:themeFillShade="D9"/>
              </w:rPr>
              <w:t xml:space="preserve"> </w:t>
            </w:r>
            <w:r w:rsidRPr="00535183">
              <w:rPr>
                <w:rFonts w:ascii="Arial" w:hAnsi="Arial" w:cs="Arial"/>
                <w:b/>
                <w:noProof/>
                <w:sz w:val="18"/>
                <w:szCs w:val="18"/>
                <w:shd w:val="clear" w:color="auto" w:fill="D9D9D9" w:themeFill="background1" w:themeFillShade="D9"/>
              </w:rPr>
              <w:t>allocation price</w:t>
            </w:r>
            <w:r>
              <w:rPr>
                <w:rFonts w:ascii="Arial" w:hAnsi="Arial" w:cs="Arial"/>
                <w:b/>
                <w:noProof/>
                <w:sz w:val="18"/>
                <w:szCs w:val="18"/>
                <w:shd w:val="clear" w:color="auto" w:fill="D9D9D9" w:themeFill="background1" w:themeFillShade="D9"/>
              </w:rPr>
              <w:t xml:space="preserve"> of </w:t>
            </w:r>
            <w:r w:rsidRPr="00535183">
              <w:rPr>
                <w:rFonts w:ascii="Arial" w:hAnsi="Arial" w:cs="Arial"/>
                <w:b/>
                <w:noProof/>
                <w:sz w:val="18"/>
                <w:szCs w:val="18"/>
                <w:shd w:val="clear" w:color="auto" w:fill="D9D9D9" w:themeFill="background1" w:themeFillShade="D9"/>
              </w:rPr>
              <w:t>€3/CO2e</w:t>
            </w:r>
            <w:r w:rsidR="0080701C">
              <w:rPr>
                <w:rFonts w:ascii="Arial" w:hAnsi="Arial" w:cs="Arial"/>
                <w:b/>
                <w:noProof/>
                <w:sz w:val="18"/>
                <w:szCs w:val="18"/>
                <w:shd w:val="clear" w:color="auto" w:fill="D9D9D9" w:themeFill="background1" w:themeFillShade="D9"/>
              </w:rPr>
              <w:t xml:space="preserve"> for EU producers and importers</w:t>
            </w:r>
            <w:r>
              <w:rPr>
                <w:rFonts w:ascii="Arial" w:hAnsi="Arial" w:cs="Arial"/>
                <w:b/>
                <w:noProof/>
                <w:sz w:val="18"/>
                <w:szCs w:val="18"/>
                <w:shd w:val="clear" w:color="auto" w:fill="D9D9D9" w:themeFill="background1" w:themeFillShade="D9"/>
              </w:rPr>
              <w:t xml:space="preserve">. </w:t>
            </w:r>
            <w:r>
              <w:rPr>
                <w:rFonts w:ascii="Arial" w:hAnsi="Arial" w:cs="Arial"/>
                <w:noProof/>
                <w:sz w:val="18"/>
                <w:szCs w:val="18"/>
                <w:shd w:val="clear" w:color="auto" w:fill="D9D9D9" w:themeFill="background1" w:themeFillShade="D9"/>
              </w:rPr>
              <w:t xml:space="preserve">Use the revenue to cover administrative costs to operate the quota registry and the Protocol licensing systems. </w:t>
            </w:r>
            <w:r>
              <w:rPr>
                <w:rFonts w:ascii="Arial" w:hAnsi="Arial" w:cs="Arial"/>
                <w:noProof/>
                <w:sz w:val="18"/>
                <w:szCs w:val="18"/>
              </w:rPr>
              <w:t xml:space="preserve">Also, </w:t>
            </w:r>
            <w:r>
              <w:rPr>
                <w:rFonts w:ascii="Arial" w:hAnsi="Arial" w:cs="Arial"/>
                <w:noProof/>
                <w:sz w:val="18"/>
                <w:szCs w:val="18"/>
                <w:shd w:val="clear" w:color="auto" w:fill="D9D9D9" w:themeFill="background1" w:themeFillShade="D9"/>
              </w:rPr>
              <w:t>i</w:t>
            </w:r>
            <w:r w:rsidRPr="00BB4E5B">
              <w:rPr>
                <w:rFonts w:ascii="Arial" w:hAnsi="Arial" w:cs="Arial"/>
                <w:noProof/>
                <w:sz w:val="18"/>
                <w:szCs w:val="18"/>
                <w:shd w:val="clear" w:color="auto" w:fill="D9D9D9" w:themeFill="background1" w:themeFillShade="D9"/>
              </w:rPr>
              <w:t xml:space="preserve">nclude </w:t>
            </w:r>
            <w:r w:rsidRPr="00BB4E5B">
              <w:rPr>
                <w:rFonts w:ascii="Arial" w:hAnsi="Arial" w:cs="Arial"/>
                <w:b/>
                <w:noProof/>
                <w:sz w:val="18"/>
                <w:szCs w:val="18"/>
                <w:shd w:val="clear" w:color="auto" w:fill="D9D9D9" w:themeFill="background1" w:themeFillShade="D9"/>
              </w:rPr>
              <w:t>flexibilities</w:t>
            </w:r>
            <w:r w:rsidRPr="00BB4E5B">
              <w:rPr>
                <w:rFonts w:ascii="Arial" w:hAnsi="Arial" w:cs="Arial"/>
                <w:noProof/>
                <w:sz w:val="18"/>
                <w:szCs w:val="18"/>
                <w:shd w:val="clear" w:color="auto" w:fill="D9D9D9" w:themeFill="background1" w:themeFillShade="D9"/>
              </w:rPr>
              <w:t xml:space="preserve"> to react e.g. if the quota allocation price is having unintended effects; in case of major HFC market disruptions; when cases are unsettled at the moment of annual quota allocation or to require certain skills/characterist</w:t>
            </w:r>
            <w:r w:rsidR="00866183">
              <w:rPr>
                <w:rFonts w:ascii="Arial" w:hAnsi="Arial" w:cs="Arial"/>
                <w:noProof/>
                <w:sz w:val="18"/>
                <w:szCs w:val="18"/>
                <w:shd w:val="clear" w:color="auto" w:fill="D9D9D9" w:themeFill="background1" w:themeFillShade="D9"/>
              </w:rPr>
              <w:t>ics for quota holding companies</w:t>
            </w:r>
          </w:p>
        </w:tc>
      </w:tr>
      <w:tr w:rsidR="00CD4280" w:rsidRPr="00DC58BB" w14:paraId="611B7571" w14:textId="77777777" w:rsidTr="3F3807E4">
        <w:tc>
          <w:tcPr>
            <w:tcW w:w="8834" w:type="dxa"/>
            <w:tcBorders>
              <w:bottom w:val="nil"/>
            </w:tcBorders>
            <w:shd w:val="clear" w:color="auto" w:fill="A6A6A6" w:themeFill="background1" w:themeFillShade="A6"/>
          </w:tcPr>
          <w:p w14:paraId="6C2EF936" w14:textId="5E826963" w:rsidR="00CD4280" w:rsidRPr="00DC58BB" w:rsidRDefault="3982CBDC" w:rsidP="00AD5F1B">
            <w:pPr>
              <w:numPr>
                <w:ilvl w:val="0"/>
                <w:numId w:val="13"/>
              </w:numPr>
              <w:spacing w:after="60"/>
              <w:ind w:left="426" w:hanging="284"/>
              <w:jc w:val="left"/>
              <w:rPr>
                <w:rFonts w:ascii="Arial" w:hAnsi="Arial" w:cs="Arial"/>
                <w:noProof/>
                <w:sz w:val="16"/>
                <w:szCs w:val="16"/>
              </w:rPr>
            </w:pPr>
            <w:r w:rsidRPr="3982CBDC">
              <w:rPr>
                <w:rFonts w:ascii="Arial" w:hAnsi="Arial" w:cs="Arial"/>
                <w:noProof/>
                <w:sz w:val="18"/>
                <w:szCs w:val="18"/>
              </w:rPr>
              <w:t xml:space="preserve">Require </w:t>
            </w:r>
            <w:r w:rsidRPr="00535183">
              <w:rPr>
                <w:rFonts w:ascii="Arial" w:hAnsi="Arial" w:cs="Arial"/>
                <w:b/>
                <w:noProof/>
                <w:sz w:val="18"/>
                <w:szCs w:val="18"/>
              </w:rPr>
              <w:t>documentation for downstream sales</w:t>
            </w:r>
            <w:r w:rsidRPr="3982CBDC">
              <w:rPr>
                <w:rFonts w:ascii="Arial" w:hAnsi="Arial" w:cs="Arial"/>
                <w:noProof/>
                <w:sz w:val="18"/>
                <w:szCs w:val="18"/>
              </w:rPr>
              <w:t xml:space="preserve"> for bulk HFC/F-gases (e.g. “declaration of conformity”) and record keeping</w:t>
            </w:r>
            <w:r w:rsidR="00BB4E5B">
              <w:rPr>
                <w:rFonts w:ascii="Arial" w:hAnsi="Arial" w:cs="Arial"/>
                <w:noProof/>
                <w:sz w:val="18"/>
                <w:szCs w:val="18"/>
              </w:rPr>
              <w:t xml:space="preserve"> and </w:t>
            </w:r>
            <w:r w:rsidR="005A526F" w:rsidRPr="00535183">
              <w:rPr>
                <w:rFonts w:ascii="Arial" w:hAnsi="Arial" w:cs="Arial"/>
                <w:b/>
                <w:noProof/>
                <w:sz w:val="18"/>
                <w:szCs w:val="18"/>
              </w:rPr>
              <w:t xml:space="preserve">mandatory certification for </w:t>
            </w:r>
            <w:r w:rsidR="00BB4E5B">
              <w:rPr>
                <w:rFonts w:ascii="Arial" w:hAnsi="Arial" w:cs="Arial"/>
                <w:b/>
                <w:noProof/>
                <w:sz w:val="18"/>
                <w:szCs w:val="18"/>
              </w:rPr>
              <w:t xml:space="preserve">bulk </w:t>
            </w:r>
            <w:r w:rsidR="005A526F" w:rsidRPr="00535183">
              <w:rPr>
                <w:rFonts w:ascii="Arial" w:hAnsi="Arial" w:cs="Arial"/>
                <w:b/>
                <w:noProof/>
                <w:sz w:val="18"/>
                <w:szCs w:val="18"/>
              </w:rPr>
              <w:t>importers</w:t>
            </w:r>
            <w:r w:rsidR="005A526F" w:rsidRPr="3982CBDC">
              <w:rPr>
                <w:rFonts w:ascii="Arial" w:hAnsi="Arial" w:cs="Arial"/>
                <w:noProof/>
                <w:sz w:val="18"/>
                <w:szCs w:val="18"/>
              </w:rPr>
              <w:t xml:space="preserve"> and </w:t>
            </w:r>
            <w:r w:rsidR="005A526F" w:rsidRPr="00535183">
              <w:rPr>
                <w:rFonts w:ascii="Arial" w:hAnsi="Arial" w:cs="Arial"/>
                <w:b/>
                <w:noProof/>
                <w:sz w:val="18"/>
                <w:szCs w:val="18"/>
              </w:rPr>
              <w:t>undertakings selling bulk F-gases online</w:t>
            </w:r>
          </w:p>
        </w:tc>
      </w:tr>
    </w:tbl>
    <w:p w14:paraId="381F784B" w14:textId="77777777" w:rsidR="005D174E" w:rsidRDefault="005D174E" w:rsidP="005D174E">
      <w:pPr>
        <w:spacing w:after="120" w:line="288" w:lineRule="auto"/>
        <w:jc w:val="left"/>
        <w:rPr>
          <w:rFonts w:ascii="Arial" w:eastAsia="Calibri" w:hAnsi="Arial" w:cs="Arial"/>
          <w:b/>
          <w:bCs/>
          <w:noProof/>
          <w:sz w:val="18"/>
          <w:szCs w:val="18"/>
        </w:rPr>
      </w:pPr>
    </w:p>
    <w:tbl>
      <w:tblPr>
        <w:tblStyle w:val="DocumentTable3"/>
        <w:tblW w:w="0" w:type="auto"/>
        <w:tblLook w:val="04A0" w:firstRow="1" w:lastRow="0" w:firstColumn="1" w:lastColumn="0" w:noHBand="0" w:noVBand="1"/>
      </w:tblPr>
      <w:tblGrid>
        <w:gridCol w:w="8834"/>
      </w:tblGrid>
      <w:tr w:rsidR="00FB00BE" w:rsidRPr="00DC58BB" w14:paraId="5987DC2C" w14:textId="77777777" w:rsidTr="3F3807E4">
        <w:tc>
          <w:tcPr>
            <w:tcW w:w="8834" w:type="dxa"/>
            <w:shd w:val="clear" w:color="auto" w:fill="FFFFFF" w:themeFill="background1"/>
          </w:tcPr>
          <w:p w14:paraId="2A56A86B" w14:textId="3AFD5934" w:rsidR="00FB00BE" w:rsidRPr="00FB00BE" w:rsidRDefault="3982CBDC" w:rsidP="3982CBDC">
            <w:pPr>
              <w:spacing w:after="120" w:line="288" w:lineRule="auto"/>
              <w:jc w:val="left"/>
              <w:rPr>
                <w:rFonts w:ascii="Arial" w:hAnsi="Arial" w:cs="Arial"/>
                <w:b/>
                <w:bCs/>
                <w:noProof/>
                <w:sz w:val="18"/>
                <w:szCs w:val="18"/>
              </w:rPr>
            </w:pPr>
            <w:r w:rsidRPr="3982CBDC">
              <w:rPr>
                <w:rFonts w:ascii="Arial" w:hAnsi="Arial" w:cs="Arial"/>
                <w:b/>
                <w:bCs/>
                <w:noProof/>
                <w:sz w:val="18"/>
                <w:szCs w:val="18"/>
              </w:rPr>
              <w:t xml:space="preserve">Objective D – </w:t>
            </w:r>
            <w:r w:rsidR="00755BF9">
              <w:rPr>
                <w:rFonts w:ascii="Arial" w:hAnsi="Arial" w:cs="Arial"/>
                <w:b/>
                <w:bCs/>
                <w:noProof/>
                <w:sz w:val="18"/>
                <w:szCs w:val="18"/>
              </w:rPr>
              <w:t xml:space="preserve">Improving </w:t>
            </w:r>
            <w:r w:rsidRPr="3982CBDC">
              <w:rPr>
                <w:rFonts w:ascii="Arial" w:hAnsi="Arial" w:cs="Arial"/>
                <w:b/>
                <w:bCs/>
                <w:noProof/>
                <w:sz w:val="18"/>
                <w:szCs w:val="18"/>
              </w:rPr>
              <w:t>Monitoring and Reporting</w:t>
            </w:r>
          </w:p>
        </w:tc>
      </w:tr>
      <w:tr w:rsidR="005D174E" w:rsidRPr="00DC58BB" w14:paraId="1441F4FD" w14:textId="77777777" w:rsidTr="3F3807E4">
        <w:tc>
          <w:tcPr>
            <w:tcW w:w="8834" w:type="dxa"/>
            <w:shd w:val="clear" w:color="auto" w:fill="003300"/>
          </w:tcPr>
          <w:p w14:paraId="4C1672E1" w14:textId="77777777" w:rsidR="005D174E" w:rsidRPr="00DC58BB" w:rsidRDefault="3F3807E4" w:rsidP="3982CBDC">
            <w:pPr>
              <w:spacing w:after="60"/>
              <w:jc w:val="left"/>
              <w:rPr>
                <w:rFonts w:ascii="Arial" w:hAnsi="Arial" w:cs="Arial"/>
                <w:noProof/>
                <w:sz w:val="16"/>
                <w:szCs w:val="16"/>
              </w:rPr>
            </w:pPr>
            <w:r w:rsidRPr="3F3807E4">
              <w:rPr>
                <w:rFonts w:ascii="Arial" w:hAnsi="Arial" w:cs="Arial"/>
                <w:noProof/>
                <w:color w:val="FFFFFF" w:themeColor="background1"/>
                <w:sz w:val="16"/>
                <w:szCs w:val="16"/>
              </w:rPr>
              <w:t>D1: Reporting scope – substances</w:t>
            </w:r>
          </w:p>
        </w:tc>
      </w:tr>
      <w:tr w:rsidR="005D174E" w:rsidRPr="002E7660" w14:paraId="4820A0E8" w14:textId="77777777" w:rsidTr="3F3807E4">
        <w:tc>
          <w:tcPr>
            <w:tcW w:w="8834" w:type="dxa"/>
          </w:tcPr>
          <w:p w14:paraId="65249979" w14:textId="14ACECB4" w:rsidR="005D174E" w:rsidRPr="00BB4E5B" w:rsidRDefault="3982CBDC" w:rsidP="00AD5F1B">
            <w:pPr>
              <w:numPr>
                <w:ilvl w:val="0"/>
                <w:numId w:val="13"/>
              </w:numPr>
              <w:spacing w:after="60"/>
              <w:ind w:left="456" w:hanging="283"/>
              <w:jc w:val="left"/>
              <w:rPr>
                <w:rFonts w:ascii="Arial" w:hAnsi="Arial" w:cs="Arial"/>
                <w:noProof/>
                <w:sz w:val="18"/>
                <w:szCs w:val="18"/>
              </w:rPr>
            </w:pPr>
            <w:r w:rsidRPr="3982CBDC">
              <w:rPr>
                <w:rFonts w:ascii="Arial" w:hAnsi="Arial" w:cs="Arial"/>
                <w:noProof/>
                <w:sz w:val="18"/>
                <w:szCs w:val="18"/>
              </w:rPr>
              <w:t xml:space="preserve">Include new </w:t>
            </w:r>
            <w:r w:rsidR="006467A5">
              <w:rPr>
                <w:rFonts w:ascii="Arial" w:hAnsi="Arial" w:cs="Arial"/>
                <w:noProof/>
                <w:sz w:val="18"/>
                <w:szCs w:val="18"/>
              </w:rPr>
              <w:t>PFCs</w:t>
            </w:r>
            <w:r w:rsidR="006B62CA">
              <w:rPr>
                <w:rFonts w:ascii="Arial" w:hAnsi="Arial" w:cs="Arial"/>
                <w:noProof/>
                <w:sz w:val="18"/>
                <w:szCs w:val="18"/>
              </w:rPr>
              <w:t xml:space="preserve"> </w:t>
            </w:r>
            <w:r w:rsidRPr="3982CBDC">
              <w:rPr>
                <w:rFonts w:ascii="Arial" w:hAnsi="Arial" w:cs="Arial"/>
                <w:noProof/>
                <w:sz w:val="18"/>
                <w:szCs w:val="18"/>
              </w:rPr>
              <w:t xml:space="preserve">in Annex </w:t>
            </w:r>
            <w:r w:rsidR="00BB4E5B">
              <w:rPr>
                <w:rFonts w:ascii="Arial" w:hAnsi="Arial" w:cs="Arial"/>
                <w:noProof/>
                <w:sz w:val="18"/>
                <w:szCs w:val="18"/>
              </w:rPr>
              <w:t>I and i</w:t>
            </w:r>
            <w:r w:rsidRPr="00BB4E5B">
              <w:rPr>
                <w:rFonts w:ascii="Arial" w:hAnsi="Arial" w:cs="Arial"/>
                <w:noProof/>
                <w:sz w:val="18"/>
                <w:szCs w:val="18"/>
              </w:rPr>
              <w:t xml:space="preserve">nclude new substances in Annex II </w:t>
            </w:r>
          </w:p>
        </w:tc>
      </w:tr>
      <w:tr w:rsidR="005D174E" w:rsidRPr="00DC58BB" w14:paraId="23A3C78A" w14:textId="77777777" w:rsidTr="3F3807E4">
        <w:tc>
          <w:tcPr>
            <w:tcW w:w="8834" w:type="dxa"/>
            <w:shd w:val="clear" w:color="auto" w:fill="003300"/>
          </w:tcPr>
          <w:p w14:paraId="26C9B7FA" w14:textId="2616C757" w:rsidR="005D174E" w:rsidRPr="00DC58BB" w:rsidRDefault="3F3807E4" w:rsidP="3982CBDC">
            <w:pPr>
              <w:spacing w:after="60"/>
              <w:jc w:val="left"/>
              <w:rPr>
                <w:rFonts w:ascii="Arial" w:hAnsi="Arial" w:cs="Arial"/>
                <w:noProof/>
                <w:sz w:val="16"/>
                <w:szCs w:val="16"/>
              </w:rPr>
            </w:pPr>
            <w:r w:rsidRPr="3F3807E4">
              <w:rPr>
                <w:rFonts w:ascii="Arial" w:hAnsi="Arial" w:cs="Arial"/>
                <w:noProof/>
                <w:color w:val="FFFFFF" w:themeColor="background1"/>
                <w:sz w:val="16"/>
                <w:szCs w:val="16"/>
              </w:rPr>
              <w:t>D2: Reporting scope - F-gas related activities</w:t>
            </w:r>
          </w:p>
        </w:tc>
      </w:tr>
      <w:tr w:rsidR="005D174E" w:rsidRPr="00DC58BB" w14:paraId="126202C0" w14:textId="77777777" w:rsidTr="3F3807E4">
        <w:trPr>
          <w:trHeight w:val="363"/>
        </w:trPr>
        <w:tc>
          <w:tcPr>
            <w:tcW w:w="8834" w:type="dxa"/>
            <w:shd w:val="clear" w:color="auto" w:fill="D9D9D9" w:themeFill="background1" w:themeFillShade="D9"/>
          </w:tcPr>
          <w:p w14:paraId="4DC17994" w14:textId="1DFFBFD3" w:rsidR="005D174E" w:rsidRPr="00FB00BE" w:rsidRDefault="006467A5" w:rsidP="00AD5F1B">
            <w:pPr>
              <w:numPr>
                <w:ilvl w:val="0"/>
                <w:numId w:val="13"/>
              </w:numPr>
              <w:spacing w:after="60"/>
              <w:ind w:left="456" w:hanging="283"/>
              <w:jc w:val="left"/>
              <w:rPr>
                <w:rFonts w:ascii="Arial" w:hAnsi="Arial" w:cs="Arial"/>
                <w:noProof/>
                <w:sz w:val="18"/>
                <w:szCs w:val="18"/>
              </w:rPr>
            </w:pPr>
            <w:r>
              <w:rPr>
                <w:rFonts w:ascii="Arial" w:hAnsi="Arial" w:cs="Arial"/>
                <w:noProof/>
                <w:sz w:val="18"/>
                <w:szCs w:val="18"/>
              </w:rPr>
              <w:t>Include r</w:t>
            </w:r>
            <w:r w:rsidR="3982CBDC" w:rsidRPr="3982CBDC">
              <w:rPr>
                <w:rFonts w:ascii="Arial" w:hAnsi="Arial" w:cs="Arial"/>
                <w:noProof/>
                <w:sz w:val="18"/>
                <w:szCs w:val="18"/>
              </w:rPr>
              <w:t>ecipients of quota-exempted HFCs</w:t>
            </w:r>
            <w:r>
              <w:rPr>
                <w:rFonts w:ascii="Arial" w:hAnsi="Arial" w:cs="Arial"/>
                <w:noProof/>
                <w:sz w:val="18"/>
                <w:szCs w:val="18"/>
              </w:rPr>
              <w:t xml:space="preserve"> and </w:t>
            </w:r>
            <w:r w:rsidR="001E6C48">
              <w:rPr>
                <w:rFonts w:ascii="Arial" w:hAnsi="Arial" w:cs="Arial"/>
                <w:noProof/>
                <w:sz w:val="18"/>
                <w:szCs w:val="18"/>
              </w:rPr>
              <w:t xml:space="preserve">all </w:t>
            </w:r>
            <w:r>
              <w:rPr>
                <w:rFonts w:ascii="Arial" w:hAnsi="Arial" w:cs="Arial"/>
                <w:noProof/>
                <w:sz w:val="18"/>
                <w:szCs w:val="18"/>
              </w:rPr>
              <w:t>u</w:t>
            </w:r>
            <w:r w:rsidR="3982CBDC" w:rsidRPr="006467A5">
              <w:rPr>
                <w:rFonts w:ascii="Arial" w:hAnsi="Arial" w:cs="Arial"/>
                <w:noProof/>
                <w:sz w:val="18"/>
                <w:szCs w:val="18"/>
              </w:rPr>
              <w:t>ndertakings</w:t>
            </w:r>
            <w:r w:rsidR="3982CBDC" w:rsidRPr="3982CBDC">
              <w:rPr>
                <w:rFonts w:ascii="Arial" w:hAnsi="Arial" w:cs="Arial"/>
                <w:noProof/>
                <w:sz w:val="18"/>
                <w:szCs w:val="18"/>
              </w:rPr>
              <w:t xml:space="preserve"> performing reclamation of F-gases</w:t>
            </w:r>
          </w:p>
        </w:tc>
      </w:tr>
      <w:tr w:rsidR="005D174E" w:rsidRPr="00E54BC7" w14:paraId="45A2F341" w14:textId="77777777" w:rsidTr="3F3807E4">
        <w:trPr>
          <w:trHeight w:val="363"/>
        </w:trPr>
        <w:tc>
          <w:tcPr>
            <w:tcW w:w="8834" w:type="dxa"/>
            <w:shd w:val="clear" w:color="auto" w:fill="A6A6A6" w:themeFill="background1" w:themeFillShade="A6"/>
          </w:tcPr>
          <w:p w14:paraId="6D753C9B" w14:textId="1F274374" w:rsidR="00E54BC7" w:rsidRPr="00C83B21" w:rsidRDefault="006467A5" w:rsidP="00AD5F1B">
            <w:pPr>
              <w:numPr>
                <w:ilvl w:val="0"/>
                <w:numId w:val="13"/>
              </w:numPr>
              <w:spacing w:after="60"/>
              <w:ind w:left="456" w:hanging="283"/>
              <w:jc w:val="left"/>
              <w:rPr>
                <w:rFonts w:ascii="Arial" w:hAnsi="Arial" w:cs="Arial"/>
                <w:noProof/>
                <w:sz w:val="18"/>
                <w:szCs w:val="18"/>
              </w:rPr>
            </w:pPr>
            <w:r>
              <w:rPr>
                <w:rFonts w:ascii="Arial" w:hAnsi="Arial" w:cs="Arial"/>
                <w:noProof/>
                <w:sz w:val="18"/>
                <w:szCs w:val="18"/>
              </w:rPr>
              <w:t>Include e</w:t>
            </w:r>
            <w:r w:rsidR="3982CBDC" w:rsidRPr="3982CBDC">
              <w:rPr>
                <w:rFonts w:ascii="Arial" w:hAnsi="Arial" w:cs="Arial"/>
                <w:noProof/>
                <w:sz w:val="18"/>
                <w:szCs w:val="18"/>
              </w:rPr>
              <w:t>xporters of products and equipment containing F-gases and other fluorinated substances (plus registration obligation</w:t>
            </w:r>
            <w:r>
              <w:rPr>
                <w:rFonts w:ascii="Arial" w:hAnsi="Arial" w:cs="Arial"/>
                <w:noProof/>
                <w:sz w:val="18"/>
                <w:szCs w:val="18"/>
              </w:rPr>
              <w:t xml:space="preserve"> and u</w:t>
            </w:r>
            <w:r w:rsidR="3982CBDC" w:rsidRPr="006467A5">
              <w:rPr>
                <w:rFonts w:ascii="Arial" w:hAnsi="Arial" w:cs="Arial"/>
                <w:noProof/>
                <w:sz w:val="18"/>
                <w:szCs w:val="18"/>
              </w:rPr>
              <w:t>ndertakings</w:t>
            </w:r>
            <w:r w:rsidR="3982CBDC" w:rsidRPr="3982CBDC">
              <w:rPr>
                <w:rFonts w:ascii="Arial" w:hAnsi="Arial" w:cs="Arial"/>
                <w:noProof/>
                <w:sz w:val="18"/>
                <w:szCs w:val="18"/>
              </w:rPr>
              <w:t xml:space="preserve"> performing recycling (in addition to reclamation) of F-gases</w:t>
            </w:r>
          </w:p>
        </w:tc>
      </w:tr>
      <w:tr w:rsidR="00620F74" w:rsidRPr="00DC58BB" w14:paraId="14B5D293" w14:textId="77777777" w:rsidTr="3F3807E4">
        <w:trPr>
          <w:trHeight w:val="363"/>
        </w:trPr>
        <w:tc>
          <w:tcPr>
            <w:tcW w:w="8834" w:type="dxa"/>
            <w:shd w:val="clear" w:color="auto" w:fill="003300"/>
          </w:tcPr>
          <w:p w14:paraId="175AE2A7" w14:textId="77777777" w:rsidR="00620F74" w:rsidRPr="00DC58BB" w:rsidRDefault="3F3807E4" w:rsidP="3982CBDC">
            <w:pPr>
              <w:spacing w:before="40" w:after="40"/>
              <w:jc w:val="left"/>
              <w:rPr>
                <w:rFonts w:ascii="Arial" w:hAnsi="Arial" w:cs="Arial"/>
                <w:noProof/>
                <w:sz w:val="18"/>
                <w:szCs w:val="18"/>
              </w:rPr>
            </w:pPr>
            <w:r w:rsidRPr="3F3807E4">
              <w:rPr>
                <w:rFonts w:ascii="Arial" w:hAnsi="Arial" w:cs="Arial"/>
                <w:noProof/>
                <w:color w:val="FFFFFF" w:themeColor="background1"/>
                <w:sz w:val="16"/>
                <w:szCs w:val="16"/>
              </w:rPr>
              <w:t>D3: Emission reporting</w:t>
            </w:r>
          </w:p>
        </w:tc>
      </w:tr>
      <w:tr w:rsidR="005D174E" w:rsidRPr="00DC58BB" w14:paraId="4B0BBF38" w14:textId="77777777" w:rsidTr="3F3807E4">
        <w:trPr>
          <w:trHeight w:val="363"/>
        </w:trPr>
        <w:tc>
          <w:tcPr>
            <w:tcW w:w="8834" w:type="dxa"/>
            <w:tcBorders>
              <w:bottom w:val="dashSmallGap" w:sz="4" w:space="0" w:color="auto"/>
            </w:tcBorders>
            <w:shd w:val="clear" w:color="auto" w:fill="D9D9D9" w:themeFill="background1" w:themeFillShade="D9"/>
          </w:tcPr>
          <w:p w14:paraId="1E5C03D5" w14:textId="53660210" w:rsidR="005D174E" w:rsidRPr="00DC58BB" w:rsidRDefault="3982CBDC" w:rsidP="00AD5F1B">
            <w:pPr>
              <w:numPr>
                <w:ilvl w:val="0"/>
                <w:numId w:val="13"/>
              </w:numPr>
              <w:spacing w:after="60"/>
              <w:ind w:left="456" w:hanging="283"/>
              <w:jc w:val="left"/>
              <w:rPr>
                <w:rFonts w:ascii="Arial" w:hAnsi="Arial" w:cs="Arial"/>
                <w:noProof/>
                <w:sz w:val="18"/>
                <w:szCs w:val="18"/>
              </w:rPr>
            </w:pPr>
            <w:r w:rsidRPr="006467A5">
              <w:rPr>
                <w:rFonts w:ascii="Arial" w:hAnsi="Arial" w:cs="Arial"/>
                <w:b/>
                <w:noProof/>
                <w:sz w:val="18"/>
                <w:szCs w:val="18"/>
              </w:rPr>
              <w:t>*Option 2:</w:t>
            </w:r>
            <w:r w:rsidRPr="3982CBDC">
              <w:rPr>
                <w:rFonts w:ascii="Arial" w:hAnsi="Arial" w:cs="Arial"/>
                <w:noProof/>
                <w:sz w:val="18"/>
                <w:szCs w:val="18"/>
              </w:rPr>
              <w:t xml:space="preserve"> </w:t>
            </w:r>
            <w:r w:rsidRPr="006467A5">
              <w:rPr>
                <w:rFonts w:ascii="Arial" w:hAnsi="Arial" w:cs="Arial"/>
                <w:b/>
                <w:noProof/>
                <w:sz w:val="18"/>
                <w:szCs w:val="18"/>
              </w:rPr>
              <w:t>Encourage</w:t>
            </w:r>
            <w:r w:rsidRPr="3982CBDC">
              <w:rPr>
                <w:rFonts w:ascii="Arial" w:hAnsi="Arial" w:cs="Arial"/>
                <w:noProof/>
                <w:sz w:val="18"/>
                <w:szCs w:val="18"/>
              </w:rPr>
              <w:t xml:space="preserve"> </w:t>
            </w:r>
            <w:r w:rsidRPr="006467A5">
              <w:rPr>
                <w:rFonts w:ascii="Arial" w:hAnsi="Arial" w:cs="Arial"/>
                <w:b/>
                <w:noProof/>
                <w:sz w:val="18"/>
                <w:szCs w:val="18"/>
              </w:rPr>
              <w:t>Member States to use electronic reporting systems</w:t>
            </w:r>
            <w:r w:rsidRPr="3982CBDC">
              <w:rPr>
                <w:rFonts w:ascii="Arial" w:hAnsi="Arial" w:cs="Arial"/>
                <w:noProof/>
                <w:sz w:val="18"/>
                <w:szCs w:val="18"/>
              </w:rPr>
              <w:t xml:space="preserve"> for collection of F-gas and emissions data (mutually exclusive)</w:t>
            </w:r>
          </w:p>
        </w:tc>
      </w:tr>
      <w:tr w:rsidR="00620F74" w:rsidRPr="00DC58BB" w14:paraId="350FB928" w14:textId="77777777" w:rsidTr="3F3807E4">
        <w:trPr>
          <w:trHeight w:val="363"/>
        </w:trPr>
        <w:tc>
          <w:tcPr>
            <w:tcW w:w="8834" w:type="dxa"/>
            <w:tcBorders>
              <w:top w:val="dashSmallGap" w:sz="4" w:space="0" w:color="auto"/>
              <w:bottom w:val="nil"/>
            </w:tcBorders>
            <w:shd w:val="clear" w:color="auto" w:fill="A6A6A6" w:themeFill="background1" w:themeFillShade="A6"/>
          </w:tcPr>
          <w:p w14:paraId="1CB3B411" w14:textId="10B16482" w:rsidR="00620F74" w:rsidRPr="00620F74" w:rsidRDefault="3982CBDC" w:rsidP="00AD5F1B">
            <w:pPr>
              <w:pStyle w:val="ListParagraph"/>
              <w:numPr>
                <w:ilvl w:val="0"/>
                <w:numId w:val="8"/>
              </w:numPr>
              <w:spacing w:before="40" w:after="40"/>
              <w:ind w:left="426" w:hanging="284"/>
              <w:jc w:val="left"/>
              <w:rPr>
                <w:rFonts w:ascii="Arial" w:hAnsi="Arial" w:cs="Arial"/>
                <w:noProof/>
                <w:sz w:val="16"/>
                <w:szCs w:val="16"/>
              </w:rPr>
            </w:pPr>
            <w:r w:rsidRPr="006467A5">
              <w:rPr>
                <w:rFonts w:ascii="Arial" w:hAnsi="Arial" w:cs="Arial"/>
                <w:b/>
                <w:noProof/>
                <w:sz w:val="18"/>
                <w:szCs w:val="18"/>
              </w:rPr>
              <w:t>* Option 3</w:t>
            </w:r>
            <w:r w:rsidRPr="3982CBDC">
              <w:rPr>
                <w:rFonts w:ascii="Arial" w:hAnsi="Arial" w:cs="Arial"/>
                <w:noProof/>
                <w:sz w:val="18"/>
                <w:szCs w:val="18"/>
              </w:rPr>
              <w:t xml:space="preserve">: </w:t>
            </w:r>
            <w:r w:rsidRPr="006467A5">
              <w:rPr>
                <w:rFonts w:ascii="Arial" w:hAnsi="Arial" w:cs="Arial"/>
                <w:b/>
                <w:noProof/>
                <w:sz w:val="18"/>
                <w:szCs w:val="18"/>
              </w:rPr>
              <w:t>Require</w:t>
            </w:r>
            <w:r w:rsidRPr="3982CBDC">
              <w:rPr>
                <w:rFonts w:ascii="Arial" w:hAnsi="Arial" w:cs="Arial"/>
                <w:noProof/>
                <w:sz w:val="18"/>
                <w:szCs w:val="18"/>
              </w:rPr>
              <w:t xml:space="preserve"> </w:t>
            </w:r>
            <w:r w:rsidRPr="006467A5">
              <w:rPr>
                <w:rFonts w:ascii="Arial" w:hAnsi="Arial" w:cs="Arial"/>
                <w:b/>
                <w:noProof/>
                <w:sz w:val="18"/>
                <w:szCs w:val="18"/>
              </w:rPr>
              <w:t>Member States to use electronic reporting systems</w:t>
            </w:r>
            <w:r w:rsidRPr="3982CBDC">
              <w:rPr>
                <w:rFonts w:ascii="Arial" w:hAnsi="Arial" w:cs="Arial"/>
                <w:noProof/>
                <w:sz w:val="18"/>
                <w:szCs w:val="18"/>
              </w:rPr>
              <w:t xml:space="preserve"> for collection of F-gas and emissions data (mutually exclusive)</w:t>
            </w:r>
            <w:r w:rsidR="00BB4E5B">
              <w:rPr>
                <w:rFonts w:ascii="Arial" w:hAnsi="Arial" w:cs="Arial"/>
                <w:noProof/>
                <w:sz w:val="18"/>
                <w:szCs w:val="18"/>
              </w:rPr>
              <w:t xml:space="preserve"> and </w:t>
            </w:r>
            <w:r w:rsidR="00BB4E5B" w:rsidRPr="006467A5">
              <w:rPr>
                <w:rFonts w:ascii="Arial" w:hAnsi="Arial" w:cs="Arial"/>
                <w:b/>
                <w:noProof/>
                <w:sz w:val="18"/>
                <w:szCs w:val="18"/>
                <w:lang w:val="en-GB"/>
              </w:rPr>
              <w:t>operators of switchgear and electrical equipment</w:t>
            </w:r>
            <w:r w:rsidR="00BB4E5B">
              <w:rPr>
                <w:rFonts w:ascii="Arial" w:hAnsi="Arial" w:cs="Arial"/>
                <w:b/>
                <w:noProof/>
                <w:sz w:val="18"/>
                <w:szCs w:val="18"/>
                <w:lang w:val="en-GB"/>
              </w:rPr>
              <w:t xml:space="preserve"> </w:t>
            </w:r>
            <w:r w:rsidR="00BB4E5B">
              <w:rPr>
                <w:rFonts w:ascii="Arial" w:hAnsi="Arial" w:cs="Arial"/>
                <w:noProof/>
                <w:sz w:val="18"/>
                <w:szCs w:val="18"/>
                <w:lang w:val="en-GB"/>
              </w:rPr>
              <w:t>to report on SF</w:t>
            </w:r>
            <w:r w:rsidR="00BB4E5B" w:rsidRPr="00492D4F">
              <w:rPr>
                <w:rFonts w:ascii="Arial" w:hAnsi="Arial" w:cs="Arial"/>
                <w:noProof/>
                <w:sz w:val="18"/>
                <w:szCs w:val="18"/>
                <w:vertAlign w:val="subscript"/>
              </w:rPr>
              <w:t>6</w:t>
            </w:r>
            <w:r w:rsidR="00BB4E5B">
              <w:rPr>
                <w:rFonts w:ascii="Arial" w:hAnsi="Arial" w:cs="Arial"/>
                <w:noProof/>
                <w:sz w:val="18"/>
                <w:szCs w:val="18"/>
                <w:lang w:val="en-GB"/>
              </w:rPr>
              <w:t xml:space="preserve"> </w:t>
            </w:r>
            <w:r w:rsidR="00363DBF">
              <w:rPr>
                <w:rFonts w:ascii="Arial" w:hAnsi="Arial" w:cs="Arial"/>
                <w:noProof/>
                <w:sz w:val="18"/>
                <w:szCs w:val="18"/>
                <w:lang w:val="en-GB"/>
              </w:rPr>
              <w:t>emissions</w:t>
            </w:r>
          </w:p>
        </w:tc>
      </w:tr>
      <w:tr w:rsidR="00620F74" w:rsidRPr="00DC58BB" w14:paraId="1BA28DF1" w14:textId="77777777" w:rsidTr="3F3807E4">
        <w:tc>
          <w:tcPr>
            <w:tcW w:w="8834" w:type="dxa"/>
            <w:shd w:val="clear" w:color="auto" w:fill="003300"/>
          </w:tcPr>
          <w:p w14:paraId="0088D00F" w14:textId="77777777" w:rsidR="00620F74" w:rsidRPr="00DC58BB" w:rsidRDefault="3F3807E4" w:rsidP="3982CBDC">
            <w:pPr>
              <w:spacing w:after="60"/>
              <w:jc w:val="left"/>
              <w:rPr>
                <w:rFonts w:ascii="Arial" w:hAnsi="Arial" w:cs="Arial"/>
                <w:noProof/>
                <w:sz w:val="18"/>
                <w:szCs w:val="18"/>
              </w:rPr>
            </w:pPr>
            <w:r w:rsidRPr="3F3807E4">
              <w:rPr>
                <w:rFonts w:ascii="Arial" w:hAnsi="Arial" w:cs="Arial"/>
                <w:noProof/>
                <w:color w:val="FFFFFF" w:themeColor="background1"/>
                <w:sz w:val="16"/>
                <w:szCs w:val="16"/>
              </w:rPr>
              <w:t xml:space="preserve">D4: Reporting process and data verification </w:t>
            </w:r>
          </w:p>
        </w:tc>
      </w:tr>
      <w:tr w:rsidR="005D174E" w:rsidRPr="00DC58BB" w14:paraId="302D0C00" w14:textId="77777777" w:rsidTr="3F3807E4">
        <w:tc>
          <w:tcPr>
            <w:tcW w:w="8834" w:type="dxa"/>
          </w:tcPr>
          <w:p w14:paraId="2EE8B323" w14:textId="5CE477BF" w:rsidR="005D174E" w:rsidRPr="00C83B21" w:rsidRDefault="006867B6" w:rsidP="00AD5F1B">
            <w:pPr>
              <w:numPr>
                <w:ilvl w:val="0"/>
                <w:numId w:val="13"/>
              </w:numPr>
              <w:spacing w:after="60"/>
              <w:ind w:left="456" w:hanging="283"/>
              <w:jc w:val="left"/>
              <w:rPr>
                <w:rFonts w:ascii="Arial" w:hAnsi="Arial" w:cs="Arial"/>
                <w:noProof/>
                <w:sz w:val="18"/>
                <w:szCs w:val="18"/>
              </w:rPr>
            </w:pPr>
            <w:r w:rsidRPr="006B62CA">
              <w:rPr>
                <w:rFonts w:ascii="Arial" w:hAnsi="Arial" w:cs="Arial"/>
                <w:b/>
                <w:noProof/>
                <w:sz w:val="18"/>
                <w:szCs w:val="18"/>
              </w:rPr>
              <w:t>S</w:t>
            </w:r>
            <w:r w:rsidR="001526E7" w:rsidRPr="006B62CA">
              <w:rPr>
                <w:rFonts w:ascii="Arial" w:hAnsi="Arial" w:cs="Arial"/>
                <w:b/>
                <w:noProof/>
                <w:sz w:val="18"/>
                <w:szCs w:val="18"/>
              </w:rPr>
              <w:t>treamline</w:t>
            </w:r>
            <w:r w:rsidR="3982CBDC" w:rsidRPr="006B62CA">
              <w:rPr>
                <w:rFonts w:ascii="Arial" w:hAnsi="Arial" w:cs="Arial"/>
                <w:b/>
                <w:noProof/>
                <w:sz w:val="18"/>
                <w:szCs w:val="18"/>
              </w:rPr>
              <w:t xml:space="preserve"> reporting and </w:t>
            </w:r>
            <w:r w:rsidR="001526E7" w:rsidRPr="006B62CA">
              <w:rPr>
                <w:rFonts w:ascii="Arial" w:hAnsi="Arial" w:cs="Arial"/>
                <w:b/>
                <w:noProof/>
                <w:sz w:val="18"/>
                <w:szCs w:val="18"/>
              </w:rPr>
              <w:t>verification</w:t>
            </w:r>
            <w:r w:rsidR="006B62CA">
              <w:rPr>
                <w:rFonts w:ascii="Arial" w:hAnsi="Arial" w:cs="Arial"/>
                <w:b/>
                <w:noProof/>
                <w:sz w:val="18"/>
                <w:szCs w:val="18"/>
              </w:rPr>
              <w:t xml:space="preserve"> rules,</w:t>
            </w:r>
            <w:r w:rsidR="001526E7" w:rsidRPr="006B62CA">
              <w:rPr>
                <w:rFonts w:ascii="Arial" w:hAnsi="Arial" w:cs="Arial"/>
                <w:b/>
                <w:noProof/>
                <w:sz w:val="18"/>
                <w:szCs w:val="18"/>
              </w:rPr>
              <w:t xml:space="preserve"> </w:t>
            </w:r>
            <w:r w:rsidR="3982CBDC" w:rsidRPr="006B62CA">
              <w:rPr>
                <w:rFonts w:ascii="Arial" w:hAnsi="Arial" w:cs="Arial"/>
                <w:b/>
                <w:noProof/>
                <w:sz w:val="18"/>
                <w:szCs w:val="18"/>
              </w:rPr>
              <w:t>thresholds</w:t>
            </w:r>
            <w:r w:rsidR="3982CBDC" w:rsidRPr="006B62CA">
              <w:rPr>
                <w:rFonts w:ascii="Arial" w:hAnsi="Arial" w:cs="Arial"/>
                <w:noProof/>
                <w:sz w:val="18"/>
                <w:szCs w:val="18"/>
              </w:rPr>
              <w:t xml:space="preserve"> </w:t>
            </w:r>
            <w:r w:rsidR="006B62CA" w:rsidRPr="006B62CA">
              <w:rPr>
                <w:rFonts w:ascii="Arial" w:hAnsi="Arial" w:cs="Arial"/>
                <w:b/>
                <w:noProof/>
                <w:sz w:val="18"/>
                <w:szCs w:val="18"/>
              </w:rPr>
              <w:t>and dates</w:t>
            </w:r>
            <w:r w:rsidR="006B62CA">
              <w:rPr>
                <w:rFonts w:ascii="Arial" w:hAnsi="Arial" w:cs="Arial"/>
                <w:noProof/>
                <w:sz w:val="18"/>
                <w:szCs w:val="18"/>
              </w:rPr>
              <w:t xml:space="preserve"> </w:t>
            </w:r>
            <w:r w:rsidR="3982CBDC" w:rsidRPr="006B62CA">
              <w:rPr>
                <w:rFonts w:ascii="Arial" w:hAnsi="Arial" w:cs="Arial"/>
                <w:noProof/>
                <w:sz w:val="18"/>
                <w:szCs w:val="18"/>
              </w:rPr>
              <w:t xml:space="preserve">for </w:t>
            </w:r>
            <w:r w:rsidR="006B62CA">
              <w:rPr>
                <w:rFonts w:ascii="Arial" w:hAnsi="Arial" w:cs="Arial"/>
                <w:noProof/>
                <w:sz w:val="18"/>
                <w:szCs w:val="18"/>
              </w:rPr>
              <w:t xml:space="preserve">EU producers and </w:t>
            </w:r>
            <w:r w:rsidR="001526E7" w:rsidRPr="006B62CA">
              <w:rPr>
                <w:rFonts w:ascii="Arial" w:hAnsi="Arial" w:cs="Arial"/>
                <w:noProof/>
                <w:sz w:val="18"/>
                <w:szCs w:val="18"/>
              </w:rPr>
              <w:t xml:space="preserve">importers of bulk </w:t>
            </w:r>
            <w:r w:rsidR="3982CBDC" w:rsidRPr="006B62CA">
              <w:rPr>
                <w:rFonts w:ascii="Arial" w:hAnsi="Arial" w:cs="Arial"/>
                <w:noProof/>
                <w:sz w:val="18"/>
                <w:szCs w:val="18"/>
              </w:rPr>
              <w:t xml:space="preserve">and </w:t>
            </w:r>
            <w:r w:rsidR="001526E7" w:rsidRPr="006B62CA">
              <w:rPr>
                <w:rFonts w:ascii="Arial" w:hAnsi="Arial" w:cs="Arial"/>
                <w:noProof/>
                <w:sz w:val="18"/>
                <w:szCs w:val="18"/>
              </w:rPr>
              <w:t xml:space="preserve">of </w:t>
            </w:r>
            <w:r w:rsidR="3982CBDC" w:rsidRPr="006B62CA">
              <w:rPr>
                <w:rFonts w:ascii="Arial" w:hAnsi="Arial" w:cs="Arial"/>
                <w:noProof/>
                <w:sz w:val="18"/>
                <w:szCs w:val="18"/>
              </w:rPr>
              <w:t>equipment</w:t>
            </w:r>
            <w:r w:rsidR="3982CBDC" w:rsidRPr="3982CBDC">
              <w:rPr>
                <w:rFonts w:ascii="Arial" w:hAnsi="Arial" w:cs="Arial"/>
                <w:noProof/>
                <w:sz w:val="18"/>
                <w:szCs w:val="18"/>
              </w:rPr>
              <w:t xml:space="preserve"> </w:t>
            </w:r>
          </w:p>
        </w:tc>
      </w:tr>
      <w:tr w:rsidR="005D174E" w:rsidRPr="00DC58BB" w14:paraId="5CB633E7" w14:textId="77777777" w:rsidTr="3F3807E4">
        <w:tc>
          <w:tcPr>
            <w:tcW w:w="8834" w:type="dxa"/>
            <w:shd w:val="clear" w:color="auto" w:fill="D9D9D9" w:themeFill="background1" w:themeFillShade="D9"/>
          </w:tcPr>
          <w:p w14:paraId="4B321E03" w14:textId="77777777" w:rsidR="005D174E" w:rsidRPr="00B440FE" w:rsidRDefault="3982CBDC" w:rsidP="00AD5F1B">
            <w:pPr>
              <w:numPr>
                <w:ilvl w:val="0"/>
                <w:numId w:val="16"/>
              </w:numPr>
              <w:spacing w:before="40" w:after="40" w:line="276" w:lineRule="auto"/>
              <w:ind w:left="426" w:hanging="284"/>
              <w:jc w:val="left"/>
              <w:rPr>
                <w:rFonts w:ascii="Arial" w:hAnsi="Arial" w:cs="Arial"/>
                <w:noProof/>
                <w:sz w:val="16"/>
                <w:szCs w:val="16"/>
              </w:rPr>
            </w:pPr>
            <w:r w:rsidRPr="3982CBDC">
              <w:rPr>
                <w:rFonts w:ascii="Arial" w:hAnsi="Arial" w:cs="Arial"/>
                <w:noProof/>
                <w:sz w:val="18"/>
                <w:szCs w:val="18"/>
              </w:rPr>
              <w:t xml:space="preserve">Introduce </w:t>
            </w:r>
            <w:r w:rsidRPr="003857BD">
              <w:rPr>
                <w:rFonts w:ascii="Arial" w:hAnsi="Arial" w:cs="Arial"/>
                <w:b/>
                <w:noProof/>
                <w:sz w:val="18"/>
                <w:szCs w:val="18"/>
              </w:rPr>
              <w:t>an electronic verification process</w:t>
            </w:r>
            <w:r w:rsidRPr="3982CBDC">
              <w:rPr>
                <w:rFonts w:ascii="Arial" w:hAnsi="Arial" w:cs="Arial"/>
                <w:noProof/>
                <w:sz w:val="18"/>
                <w:szCs w:val="18"/>
              </w:rPr>
              <w:t xml:space="preserve"> (separately for bulk and pre-charged products and equipment)</w:t>
            </w:r>
          </w:p>
        </w:tc>
      </w:tr>
    </w:tbl>
    <w:p w14:paraId="6BA3F763" w14:textId="77777777" w:rsidR="00A727EC" w:rsidRDefault="00A727EC" w:rsidP="00A727EC">
      <w:pPr>
        <w:spacing w:after="120" w:line="288" w:lineRule="auto"/>
        <w:jc w:val="left"/>
        <w:rPr>
          <w:rFonts w:ascii="Arial" w:eastAsia="Calibri" w:hAnsi="Arial" w:cs="Arial"/>
          <w:b/>
          <w:bCs/>
          <w:noProof/>
          <w:sz w:val="18"/>
          <w:szCs w:val="18"/>
        </w:rPr>
      </w:pPr>
    </w:p>
    <w:tbl>
      <w:tblPr>
        <w:tblStyle w:val="DocumentTable3"/>
        <w:tblW w:w="0" w:type="auto"/>
        <w:tblLook w:val="04A0" w:firstRow="1" w:lastRow="0" w:firstColumn="1" w:lastColumn="0" w:noHBand="0" w:noVBand="1"/>
      </w:tblPr>
      <w:tblGrid>
        <w:gridCol w:w="8834"/>
      </w:tblGrid>
      <w:tr w:rsidR="00A727EC" w:rsidRPr="00DC58BB" w14:paraId="6B408783" w14:textId="77777777" w:rsidTr="3F3807E4">
        <w:tc>
          <w:tcPr>
            <w:tcW w:w="8834" w:type="dxa"/>
            <w:shd w:val="clear" w:color="auto" w:fill="FFFFFF" w:themeFill="background1"/>
          </w:tcPr>
          <w:p w14:paraId="0C56712D" w14:textId="78CC6C48" w:rsidR="00A727EC" w:rsidRPr="00FB00BE" w:rsidRDefault="000408C1" w:rsidP="00A727EC">
            <w:pPr>
              <w:spacing w:after="120"/>
              <w:rPr>
                <w:rFonts w:ascii="Arial" w:hAnsi="Arial" w:cs="Arial"/>
                <w:b/>
                <w:bCs/>
                <w:noProof/>
                <w:sz w:val="18"/>
                <w:szCs w:val="18"/>
              </w:rPr>
            </w:pPr>
            <w:r>
              <w:rPr>
                <w:rFonts w:ascii="Arial" w:hAnsi="Arial" w:cs="Arial"/>
                <w:b/>
                <w:bCs/>
                <w:noProof/>
                <w:sz w:val="18"/>
                <w:szCs w:val="18"/>
              </w:rPr>
              <w:t>Objective E – More Clarity</w:t>
            </w:r>
            <w:r w:rsidR="00A727EC">
              <w:rPr>
                <w:rFonts w:ascii="Arial" w:hAnsi="Arial" w:cs="Arial"/>
                <w:b/>
                <w:bCs/>
                <w:noProof/>
                <w:sz w:val="18"/>
                <w:szCs w:val="18"/>
              </w:rPr>
              <w:t xml:space="preserve"> and C</w:t>
            </w:r>
            <w:r>
              <w:rPr>
                <w:rFonts w:ascii="Arial" w:hAnsi="Arial" w:cs="Arial"/>
                <w:b/>
                <w:bCs/>
                <w:noProof/>
                <w:sz w:val="18"/>
                <w:szCs w:val="18"/>
              </w:rPr>
              <w:t>oherence</w:t>
            </w:r>
          </w:p>
        </w:tc>
      </w:tr>
      <w:tr w:rsidR="00A727EC" w:rsidRPr="00DC58BB" w14:paraId="5F6EE302" w14:textId="77777777" w:rsidTr="3F3807E4">
        <w:tc>
          <w:tcPr>
            <w:tcW w:w="8834" w:type="dxa"/>
            <w:shd w:val="clear" w:color="auto" w:fill="003300"/>
          </w:tcPr>
          <w:p w14:paraId="259BA753" w14:textId="14E9B09E" w:rsidR="00A727EC" w:rsidRPr="00DC58BB" w:rsidRDefault="00D71A1F" w:rsidP="00D71A1F">
            <w:pPr>
              <w:spacing w:after="60"/>
              <w:jc w:val="left"/>
              <w:rPr>
                <w:rFonts w:ascii="Arial" w:hAnsi="Arial" w:cs="Arial"/>
                <w:noProof/>
                <w:sz w:val="16"/>
                <w:szCs w:val="16"/>
              </w:rPr>
            </w:pPr>
            <w:r>
              <w:rPr>
                <w:rFonts w:ascii="Arial" w:hAnsi="Arial" w:cs="Arial"/>
                <w:bCs/>
                <w:noProof/>
                <w:sz w:val="18"/>
                <w:szCs w:val="18"/>
              </w:rPr>
              <w:t>E</w:t>
            </w:r>
            <w:r w:rsidR="00A727EC">
              <w:rPr>
                <w:rFonts w:ascii="Arial" w:hAnsi="Arial" w:cs="Arial"/>
                <w:bCs/>
                <w:noProof/>
                <w:sz w:val="18"/>
                <w:szCs w:val="18"/>
              </w:rPr>
              <w:t>nvisaged improvements</w:t>
            </w:r>
            <w:r w:rsidR="006867B6">
              <w:rPr>
                <w:rFonts w:ascii="Arial" w:hAnsi="Arial" w:cs="Arial"/>
                <w:bCs/>
                <w:noProof/>
                <w:sz w:val="18"/>
                <w:szCs w:val="18"/>
              </w:rPr>
              <w:t xml:space="preserve"> to make the Regulation more clear and coherent</w:t>
            </w:r>
          </w:p>
        </w:tc>
      </w:tr>
      <w:tr w:rsidR="00A727EC" w:rsidRPr="002E7660" w14:paraId="208D43E6" w14:textId="77777777" w:rsidTr="3F3807E4">
        <w:tc>
          <w:tcPr>
            <w:tcW w:w="8834" w:type="dxa"/>
          </w:tcPr>
          <w:p w14:paraId="0C51288C" w14:textId="2FE8F8FD" w:rsidR="00A727EC" w:rsidRPr="00A727EC" w:rsidRDefault="00D71A1F" w:rsidP="00D71A1F">
            <w:pPr>
              <w:spacing w:after="120"/>
              <w:rPr>
                <w:rFonts w:ascii="Arial" w:hAnsi="Arial" w:cs="Arial"/>
                <w:bCs/>
                <w:noProof/>
                <w:sz w:val="18"/>
                <w:szCs w:val="18"/>
              </w:rPr>
            </w:pPr>
            <w:r>
              <w:rPr>
                <w:rFonts w:ascii="Arial" w:hAnsi="Arial" w:cs="Arial"/>
                <w:bCs/>
                <w:noProof/>
                <w:sz w:val="18"/>
                <w:szCs w:val="18"/>
              </w:rPr>
              <w:t>Are included in all three options, s</w:t>
            </w:r>
            <w:r w:rsidR="00A727EC">
              <w:rPr>
                <w:rFonts w:ascii="Arial" w:hAnsi="Arial" w:cs="Arial"/>
                <w:bCs/>
                <w:noProof/>
                <w:sz w:val="18"/>
                <w:szCs w:val="18"/>
              </w:rPr>
              <w:t xml:space="preserve">ee Annex </w:t>
            </w:r>
            <w:r w:rsidR="00C66A21">
              <w:rPr>
                <w:rFonts w:ascii="Arial" w:hAnsi="Arial" w:cs="Arial"/>
                <w:bCs/>
                <w:noProof/>
                <w:sz w:val="18"/>
                <w:szCs w:val="18"/>
              </w:rPr>
              <w:t>A6.5</w:t>
            </w:r>
            <w:r>
              <w:rPr>
                <w:rFonts w:ascii="Arial" w:hAnsi="Arial" w:cs="Arial"/>
                <w:bCs/>
                <w:noProof/>
                <w:sz w:val="18"/>
                <w:szCs w:val="18"/>
              </w:rPr>
              <w:t xml:space="preserve"> for details</w:t>
            </w:r>
            <w:r w:rsidR="00A727EC">
              <w:rPr>
                <w:rFonts w:ascii="Arial" w:hAnsi="Arial" w:cs="Arial"/>
                <w:bCs/>
                <w:noProof/>
                <w:sz w:val="18"/>
                <w:szCs w:val="18"/>
              </w:rPr>
              <w:t xml:space="preserve"> </w:t>
            </w:r>
          </w:p>
        </w:tc>
      </w:tr>
    </w:tbl>
    <w:p w14:paraId="54F20473" w14:textId="77777777" w:rsidR="00A727EC" w:rsidRDefault="00A727EC" w:rsidP="006B62CA">
      <w:pPr>
        <w:spacing w:after="0"/>
        <w:rPr>
          <w:noProof/>
        </w:rPr>
      </w:pPr>
    </w:p>
    <w:p w14:paraId="568D971F" w14:textId="38069758" w:rsidR="005E188D" w:rsidRDefault="00022DC7" w:rsidP="00C353D3">
      <w:pPr>
        <w:spacing w:after="120"/>
        <w:rPr>
          <w:noProof/>
        </w:rPr>
      </w:pPr>
      <w:r>
        <w:rPr>
          <w:noProof/>
        </w:rPr>
        <w:t>T</w:t>
      </w:r>
      <w:r w:rsidR="005138A3">
        <w:rPr>
          <w:noProof/>
        </w:rPr>
        <w:t xml:space="preserve">he </w:t>
      </w:r>
      <w:r w:rsidR="007F2DF6">
        <w:rPr>
          <w:noProof/>
        </w:rPr>
        <w:t xml:space="preserve">different ambition levels for the </w:t>
      </w:r>
      <w:r w:rsidR="003C7CDD">
        <w:rPr>
          <w:noProof/>
        </w:rPr>
        <w:t xml:space="preserve">HFC </w:t>
      </w:r>
      <w:r w:rsidR="007F2DF6">
        <w:rPr>
          <w:noProof/>
        </w:rPr>
        <w:t>quota system</w:t>
      </w:r>
      <w:r w:rsidR="005138A3">
        <w:rPr>
          <w:noProof/>
        </w:rPr>
        <w:t xml:space="preserve"> in</w:t>
      </w:r>
      <w:r w:rsidR="00CE210C">
        <w:rPr>
          <w:noProof/>
        </w:rPr>
        <w:t xml:space="preserve"> Option</w:t>
      </w:r>
      <w:r w:rsidR="00000C1C">
        <w:rPr>
          <w:noProof/>
        </w:rPr>
        <w:t>s</w:t>
      </w:r>
      <w:r w:rsidR="00CE210C">
        <w:rPr>
          <w:noProof/>
        </w:rPr>
        <w:t xml:space="preserve"> 1, 2 and 3</w:t>
      </w:r>
      <w:r>
        <w:rPr>
          <w:noProof/>
        </w:rPr>
        <w:t xml:space="preserve"> </w:t>
      </w:r>
      <w:r w:rsidR="001904C0">
        <w:rPr>
          <w:noProof/>
        </w:rPr>
        <w:t xml:space="preserve">are shown </w:t>
      </w:r>
      <w:r w:rsidR="007F2DF6">
        <w:rPr>
          <w:noProof/>
        </w:rPr>
        <w:t xml:space="preserve">in </w:t>
      </w:r>
      <w:r w:rsidR="007F2DF6" w:rsidRPr="00A6530D">
        <w:rPr>
          <w:rFonts w:cs="Times New Roman"/>
          <w:noProof/>
        </w:rPr>
        <w:fldChar w:fldCharType="begin"/>
      </w:r>
      <w:r w:rsidR="007F2DF6" w:rsidRPr="00A6530D">
        <w:rPr>
          <w:rFonts w:cs="Times New Roman"/>
          <w:noProof/>
        </w:rPr>
        <w:instrText xml:space="preserve"> REF _Ref85642176 \h </w:instrText>
      </w:r>
      <w:r w:rsidR="00A6530D" w:rsidRPr="00A6530D">
        <w:rPr>
          <w:rFonts w:cs="Times New Roman"/>
          <w:noProof/>
        </w:rPr>
        <w:instrText xml:space="preserve"> \* MERGEFORMAT </w:instrText>
      </w:r>
      <w:r w:rsidR="007F2DF6" w:rsidRPr="00A6530D">
        <w:rPr>
          <w:rFonts w:cs="Times New Roman"/>
          <w:noProof/>
        </w:rPr>
      </w:r>
      <w:r w:rsidR="007F2DF6" w:rsidRPr="00A6530D">
        <w:rPr>
          <w:rFonts w:cs="Times New Roman"/>
          <w:noProof/>
        </w:rPr>
        <w:fldChar w:fldCharType="separate"/>
      </w:r>
      <w:r w:rsidR="00C66A21" w:rsidRPr="00C66A21">
        <w:rPr>
          <w:rFonts w:cs="Times New Roman"/>
          <w:noProof/>
        </w:rPr>
        <w:t>Table 2</w:t>
      </w:r>
      <w:r w:rsidR="007F2DF6" w:rsidRPr="00A6530D">
        <w:rPr>
          <w:rFonts w:cs="Times New Roman"/>
          <w:noProof/>
        </w:rPr>
        <w:fldChar w:fldCharType="end"/>
      </w:r>
      <w:r w:rsidR="001C3A3C">
        <w:rPr>
          <w:noProof/>
        </w:rPr>
        <w:t>,</w:t>
      </w:r>
      <w:r w:rsidR="007F2DF6">
        <w:rPr>
          <w:noProof/>
        </w:rPr>
        <w:t xml:space="preserve"> alongside </w:t>
      </w:r>
      <w:r w:rsidR="001904C0">
        <w:rPr>
          <w:noProof/>
        </w:rPr>
        <w:t xml:space="preserve">the </w:t>
      </w:r>
      <w:r w:rsidR="001C3A3C">
        <w:rPr>
          <w:noProof/>
        </w:rPr>
        <w:t>maximum quota under</w:t>
      </w:r>
      <w:r w:rsidR="001904C0">
        <w:rPr>
          <w:noProof/>
        </w:rPr>
        <w:t xml:space="preserve"> the b</w:t>
      </w:r>
      <w:r>
        <w:rPr>
          <w:noProof/>
        </w:rPr>
        <w:t>aseline</w:t>
      </w:r>
      <w:r w:rsidR="00A31685">
        <w:rPr>
          <w:noProof/>
        </w:rPr>
        <w:t xml:space="preserve">. </w:t>
      </w:r>
      <w:r w:rsidR="001C3A3C">
        <w:rPr>
          <w:noProof/>
        </w:rPr>
        <w:t>However, t</w:t>
      </w:r>
      <w:r w:rsidR="00CE210C">
        <w:rPr>
          <w:noProof/>
        </w:rPr>
        <w:t>he</w:t>
      </w:r>
      <w:r w:rsidR="00000C1C">
        <w:rPr>
          <w:noProof/>
        </w:rPr>
        <w:t xml:space="preserve"> baseline is</w:t>
      </w:r>
      <w:r>
        <w:rPr>
          <w:noProof/>
        </w:rPr>
        <w:t xml:space="preserve"> not </w:t>
      </w:r>
      <w:r w:rsidR="00CE210C">
        <w:rPr>
          <w:noProof/>
        </w:rPr>
        <w:t xml:space="preserve">directly comparable </w:t>
      </w:r>
      <w:r w:rsidR="00000C1C">
        <w:rPr>
          <w:noProof/>
        </w:rPr>
        <w:t>to the three options</w:t>
      </w:r>
      <w:r w:rsidR="005138A3">
        <w:rPr>
          <w:noProof/>
        </w:rPr>
        <w:t xml:space="preserve"> because</w:t>
      </w:r>
      <w:r w:rsidR="00083B45">
        <w:rPr>
          <w:noProof/>
        </w:rPr>
        <w:t>,</w:t>
      </w:r>
      <w:r w:rsidR="005138A3">
        <w:rPr>
          <w:noProof/>
        </w:rPr>
        <w:t xml:space="preserve"> contrary to the three options, </w:t>
      </w:r>
      <w:r w:rsidR="005E188D">
        <w:rPr>
          <w:noProof/>
        </w:rPr>
        <w:t>HFCs used for</w:t>
      </w:r>
      <w:r w:rsidR="001904C0">
        <w:rPr>
          <w:noProof/>
        </w:rPr>
        <w:t xml:space="preserve"> </w:t>
      </w:r>
      <w:r w:rsidR="00CE210C">
        <w:rPr>
          <w:noProof/>
        </w:rPr>
        <w:t xml:space="preserve">MDIs </w:t>
      </w:r>
      <w:r w:rsidR="005E188D">
        <w:rPr>
          <w:noProof/>
        </w:rPr>
        <w:t xml:space="preserve">do not require quota </w:t>
      </w:r>
      <w:r w:rsidR="001904C0">
        <w:rPr>
          <w:noProof/>
        </w:rPr>
        <w:t xml:space="preserve">in the </w:t>
      </w:r>
      <w:r w:rsidR="00BA4FA9">
        <w:rPr>
          <w:noProof/>
        </w:rPr>
        <w:t>baseline</w:t>
      </w:r>
      <w:r w:rsidR="001904C0">
        <w:rPr>
          <w:noProof/>
        </w:rPr>
        <w:t xml:space="preserve"> </w:t>
      </w:r>
      <w:r w:rsidR="005E188D">
        <w:rPr>
          <w:noProof/>
        </w:rPr>
        <w:t>(</w:t>
      </w:r>
      <w:r w:rsidR="001904C0">
        <w:rPr>
          <w:noProof/>
        </w:rPr>
        <w:t>exempted</w:t>
      </w:r>
      <w:r w:rsidR="005E188D">
        <w:rPr>
          <w:noProof/>
        </w:rPr>
        <w:t xml:space="preserve">) </w:t>
      </w:r>
      <w:r w:rsidR="001904C0">
        <w:rPr>
          <w:noProof/>
        </w:rPr>
        <w:t>and th</w:t>
      </w:r>
      <w:r w:rsidR="00AD06BF">
        <w:rPr>
          <w:noProof/>
        </w:rPr>
        <w:t>us</w:t>
      </w:r>
      <w:r w:rsidR="001904C0">
        <w:rPr>
          <w:noProof/>
        </w:rPr>
        <w:t xml:space="preserve"> the </w:t>
      </w:r>
      <w:r w:rsidR="00BA4FA9">
        <w:rPr>
          <w:noProof/>
        </w:rPr>
        <w:t>baseline</w:t>
      </w:r>
      <w:r w:rsidR="001904C0">
        <w:rPr>
          <w:noProof/>
        </w:rPr>
        <w:t xml:space="preserve"> </w:t>
      </w:r>
      <w:r w:rsidR="00AD06BF">
        <w:rPr>
          <w:noProof/>
        </w:rPr>
        <w:t xml:space="preserve">quota </w:t>
      </w:r>
      <w:r w:rsidR="005E188D">
        <w:rPr>
          <w:noProof/>
        </w:rPr>
        <w:t xml:space="preserve">is not </w:t>
      </w:r>
      <w:r w:rsidR="00AD06BF">
        <w:rPr>
          <w:noProof/>
        </w:rPr>
        <w:t>covering</w:t>
      </w:r>
      <w:r w:rsidR="005E188D">
        <w:rPr>
          <w:noProof/>
        </w:rPr>
        <w:t xml:space="preserve"> any</w:t>
      </w:r>
      <w:r w:rsidR="00000C1C">
        <w:rPr>
          <w:noProof/>
        </w:rPr>
        <w:t xml:space="preserve"> </w:t>
      </w:r>
      <w:r w:rsidR="001904C0">
        <w:rPr>
          <w:noProof/>
        </w:rPr>
        <w:t xml:space="preserve">need </w:t>
      </w:r>
      <w:r w:rsidR="005E188D">
        <w:rPr>
          <w:noProof/>
        </w:rPr>
        <w:t xml:space="preserve">for </w:t>
      </w:r>
      <w:r w:rsidR="005138A3">
        <w:rPr>
          <w:noProof/>
        </w:rPr>
        <w:t>HFC</w:t>
      </w:r>
      <w:r w:rsidR="00AD06BF">
        <w:rPr>
          <w:noProof/>
        </w:rPr>
        <w:t>s</w:t>
      </w:r>
      <w:r w:rsidR="005138A3">
        <w:rPr>
          <w:noProof/>
        </w:rPr>
        <w:t xml:space="preserve"> </w:t>
      </w:r>
      <w:r w:rsidR="005E188D">
        <w:rPr>
          <w:noProof/>
        </w:rPr>
        <w:t xml:space="preserve">for </w:t>
      </w:r>
      <w:r w:rsidR="005138A3">
        <w:rPr>
          <w:noProof/>
        </w:rPr>
        <w:t>MDIs</w:t>
      </w:r>
      <w:r w:rsidR="001904C0">
        <w:rPr>
          <w:noProof/>
        </w:rPr>
        <w:t>.</w:t>
      </w:r>
      <w:r w:rsidR="00CE210C">
        <w:rPr>
          <w:noProof/>
        </w:rPr>
        <w:t xml:space="preserve"> </w:t>
      </w:r>
    </w:p>
    <w:p w14:paraId="793FA188" w14:textId="7AE2FBE9" w:rsidR="00BB5E25" w:rsidRDefault="002423F5" w:rsidP="00BB5E25">
      <w:pPr>
        <w:spacing w:after="120"/>
        <w:rPr>
          <w:noProof/>
        </w:rPr>
      </w:pPr>
      <w:r>
        <w:rPr>
          <w:noProof/>
        </w:rPr>
        <w:t xml:space="preserve">The quota limits for Option 1 are set to ensure that the Protocol’s consumption limits can be met. </w:t>
      </w:r>
      <w:r w:rsidR="009148C5">
        <w:rPr>
          <w:noProof/>
        </w:rPr>
        <w:t xml:space="preserve">Option 2 is based on the need to supply HFCs for appliances, for which it is not feasible to use climate friendly alternatives </w:t>
      </w:r>
      <w:r w:rsidR="00D5026E">
        <w:rPr>
          <w:noProof/>
        </w:rPr>
        <w:t xml:space="preserve">by </w:t>
      </w:r>
      <w:r w:rsidR="00827D46">
        <w:rPr>
          <w:noProof/>
        </w:rPr>
        <w:t xml:space="preserve">2050 </w:t>
      </w:r>
      <w:r w:rsidR="009148C5">
        <w:rPr>
          <w:noProof/>
        </w:rPr>
        <w:t xml:space="preserve">below </w:t>
      </w:r>
      <w:r w:rsidR="00D6011E">
        <w:rPr>
          <w:noProof/>
        </w:rPr>
        <w:t xml:space="preserve">marginal abatement </w:t>
      </w:r>
      <w:r w:rsidR="009148C5">
        <w:rPr>
          <w:noProof/>
        </w:rPr>
        <w:t xml:space="preserve">costs of €390/tCO2e or not feasible at all. </w:t>
      </w:r>
      <w:r>
        <w:rPr>
          <w:noProof/>
        </w:rPr>
        <w:t>O</w:t>
      </w:r>
      <w:r w:rsidR="007F2DF6">
        <w:rPr>
          <w:noProof/>
        </w:rPr>
        <w:t>ption</w:t>
      </w:r>
      <w:r>
        <w:rPr>
          <w:noProof/>
        </w:rPr>
        <w:t xml:space="preserve"> 3</w:t>
      </w:r>
      <w:r w:rsidR="007F2DF6">
        <w:rPr>
          <w:noProof/>
        </w:rPr>
        <w:t xml:space="preserve"> </w:t>
      </w:r>
      <w:r w:rsidR="009148C5">
        <w:rPr>
          <w:noProof/>
        </w:rPr>
        <w:t>only ensures supply for appliances where it is infeasible to use alternatives</w:t>
      </w:r>
      <w:r w:rsidR="007F2DF6">
        <w:rPr>
          <w:noProof/>
        </w:rPr>
        <w:t xml:space="preserve">. </w:t>
      </w:r>
      <w:r w:rsidR="0047618D">
        <w:rPr>
          <w:noProof/>
        </w:rPr>
        <w:t xml:space="preserve">The </w:t>
      </w:r>
      <w:r w:rsidR="005138A3">
        <w:rPr>
          <w:noProof/>
        </w:rPr>
        <w:t xml:space="preserve">feasibility </w:t>
      </w:r>
      <w:r w:rsidR="0047618D">
        <w:rPr>
          <w:noProof/>
        </w:rPr>
        <w:t xml:space="preserve">is </w:t>
      </w:r>
      <w:r w:rsidR="003A539B">
        <w:rPr>
          <w:noProof/>
        </w:rPr>
        <w:t xml:space="preserve">based on </w:t>
      </w:r>
      <w:r w:rsidR="0047618D">
        <w:rPr>
          <w:noProof/>
        </w:rPr>
        <w:t>t</w:t>
      </w:r>
      <w:r w:rsidR="00CF1F0C">
        <w:rPr>
          <w:noProof/>
        </w:rPr>
        <w:t>echnologies know</w:t>
      </w:r>
      <w:r w:rsidR="00D16A5D">
        <w:rPr>
          <w:noProof/>
        </w:rPr>
        <w:t>n today</w:t>
      </w:r>
      <w:r w:rsidR="003A539B">
        <w:rPr>
          <w:noProof/>
        </w:rPr>
        <w:t xml:space="preserve">. </w:t>
      </w:r>
      <w:r w:rsidR="00CC72AC">
        <w:rPr>
          <w:noProof/>
        </w:rPr>
        <w:t xml:space="preserve">Thus by the time the future F-gas Regulation is reviewed, it is highly likely that the quota system schedule can be further strengthened in line with new technological developments. </w:t>
      </w:r>
    </w:p>
    <w:p w14:paraId="4A903CE2" w14:textId="3A03BACE" w:rsidR="0090411D" w:rsidRPr="00000C1C" w:rsidRDefault="00C83B21" w:rsidP="00C83B21">
      <w:pPr>
        <w:pStyle w:val="Caption"/>
        <w:rPr>
          <w:rFonts w:asciiTheme="minorHAnsi" w:hAnsiTheme="minorHAnsi" w:cstheme="minorHAnsi"/>
          <w:noProof/>
        </w:rPr>
      </w:pPr>
      <w:bookmarkStart w:id="146" w:name="_Ref85642176"/>
      <w:bookmarkStart w:id="147" w:name="_Ref85642053"/>
      <w:r w:rsidRPr="00000C1C">
        <w:rPr>
          <w:rFonts w:asciiTheme="minorHAnsi" w:hAnsiTheme="minorHAnsi" w:cstheme="minorHAnsi"/>
          <w:b/>
          <w:noProof/>
        </w:rPr>
        <w:t xml:space="preserve">Table </w:t>
      </w:r>
      <w:r w:rsidR="0050162E" w:rsidRPr="00000C1C">
        <w:rPr>
          <w:rFonts w:asciiTheme="minorHAnsi" w:hAnsiTheme="minorHAnsi" w:cstheme="minorHAnsi"/>
          <w:b/>
          <w:noProof/>
        </w:rPr>
        <w:fldChar w:fldCharType="begin"/>
      </w:r>
      <w:r w:rsidR="0050162E" w:rsidRPr="00000C1C">
        <w:rPr>
          <w:rFonts w:asciiTheme="minorHAnsi" w:hAnsiTheme="minorHAnsi" w:cstheme="minorHAnsi"/>
          <w:b/>
          <w:noProof/>
        </w:rPr>
        <w:instrText xml:space="preserve"> SEQ Table \* ARABIC </w:instrText>
      </w:r>
      <w:r w:rsidR="0050162E" w:rsidRPr="00000C1C">
        <w:rPr>
          <w:rFonts w:asciiTheme="minorHAnsi" w:hAnsiTheme="minorHAnsi" w:cstheme="minorHAnsi"/>
          <w:b/>
          <w:noProof/>
        </w:rPr>
        <w:fldChar w:fldCharType="separate"/>
      </w:r>
      <w:r w:rsidR="00830261">
        <w:rPr>
          <w:rFonts w:asciiTheme="minorHAnsi" w:hAnsiTheme="minorHAnsi" w:cstheme="minorHAnsi"/>
          <w:b/>
          <w:noProof/>
        </w:rPr>
        <w:t>2</w:t>
      </w:r>
      <w:r w:rsidR="0050162E" w:rsidRPr="00000C1C">
        <w:rPr>
          <w:rFonts w:asciiTheme="minorHAnsi" w:hAnsiTheme="minorHAnsi" w:cstheme="minorHAnsi"/>
          <w:b/>
          <w:noProof/>
        </w:rPr>
        <w:fldChar w:fldCharType="end"/>
      </w:r>
      <w:bookmarkEnd w:id="146"/>
      <w:r w:rsidR="00000C1C" w:rsidRPr="00000C1C">
        <w:rPr>
          <w:rFonts w:asciiTheme="minorHAnsi" w:hAnsiTheme="minorHAnsi" w:cstheme="minorHAnsi"/>
          <w:noProof/>
        </w:rPr>
        <w:t xml:space="preserve">. </w:t>
      </w:r>
      <w:r w:rsidR="003C7CDD">
        <w:rPr>
          <w:rFonts w:asciiTheme="minorHAnsi" w:hAnsiTheme="minorHAnsi" w:cstheme="minorHAnsi"/>
          <w:noProof/>
        </w:rPr>
        <w:t>Total annual quota allowances</w:t>
      </w:r>
      <w:r w:rsidR="0090411D" w:rsidRPr="00000C1C">
        <w:rPr>
          <w:rFonts w:asciiTheme="minorHAnsi" w:hAnsiTheme="minorHAnsi" w:cstheme="minorHAnsi"/>
          <w:noProof/>
        </w:rPr>
        <w:t xml:space="preserve"> </w:t>
      </w:r>
      <w:r w:rsidR="003C7CDD">
        <w:rPr>
          <w:rFonts w:asciiTheme="minorHAnsi" w:hAnsiTheme="minorHAnsi" w:cstheme="minorHAnsi"/>
          <w:noProof/>
        </w:rPr>
        <w:t xml:space="preserve">for HFCs (POM) </w:t>
      </w:r>
      <w:r w:rsidR="0090411D" w:rsidRPr="00000C1C">
        <w:rPr>
          <w:rFonts w:asciiTheme="minorHAnsi" w:hAnsiTheme="minorHAnsi" w:cstheme="minorHAnsi"/>
          <w:noProof/>
        </w:rPr>
        <w:t xml:space="preserve">under the three options </w:t>
      </w:r>
      <w:r w:rsidR="001904C0" w:rsidRPr="00000C1C">
        <w:rPr>
          <w:rFonts w:asciiTheme="minorHAnsi" w:hAnsiTheme="minorHAnsi" w:cstheme="minorHAnsi"/>
          <w:noProof/>
        </w:rPr>
        <w:t xml:space="preserve">and the baseline </w:t>
      </w:r>
      <w:r w:rsidR="003C7CDD">
        <w:rPr>
          <w:rFonts w:asciiTheme="minorHAnsi" w:hAnsiTheme="minorHAnsi" w:cstheme="minorHAnsi"/>
          <w:noProof/>
        </w:rPr>
        <w:t>[</w:t>
      </w:r>
      <w:r w:rsidR="00234FE7" w:rsidRPr="00000C1C">
        <w:rPr>
          <w:rFonts w:asciiTheme="minorHAnsi" w:hAnsiTheme="minorHAnsi" w:cstheme="minorHAnsi"/>
          <w:noProof/>
        </w:rPr>
        <w:t>Mt</w:t>
      </w:r>
      <w:r w:rsidR="0090411D" w:rsidRPr="00000C1C">
        <w:rPr>
          <w:rFonts w:asciiTheme="minorHAnsi" w:hAnsiTheme="minorHAnsi" w:cstheme="minorHAnsi"/>
          <w:noProof/>
        </w:rPr>
        <w:t>CO2eq</w:t>
      </w:r>
      <w:bookmarkEnd w:id="147"/>
      <w:r w:rsidR="003C7CDD">
        <w:rPr>
          <w:rFonts w:asciiTheme="minorHAnsi" w:hAnsiTheme="minorHAnsi" w:cstheme="minorHAnsi"/>
          <w:noProof/>
        </w:rPr>
        <w:t>]</w:t>
      </w:r>
    </w:p>
    <w:tbl>
      <w:tblPr>
        <w:tblStyle w:val="UBATabellemitKopf"/>
        <w:tblW w:w="0" w:type="auto"/>
        <w:tblLayout w:type="fixed"/>
        <w:tblLook w:val="04A0" w:firstRow="1" w:lastRow="0" w:firstColumn="1" w:lastColumn="0" w:noHBand="0" w:noVBand="1"/>
      </w:tblPr>
      <w:tblGrid>
        <w:gridCol w:w="1696"/>
        <w:gridCol w:w="1800"/>
        <w:gridCol w:w="1800"/>
        <w:gridCol w:w="1800"/>
        <w:gridCol w:w="1801"/>
      </w:tblGrid>
      <w:tr w:rsidR="00C37C2D" w14:paraId="1D1C0F81" w14:textId="77777777" w:rsidTr="00CC72AC">
        <w:trPr>
          <w:cnfStyle w:val="100000000000" w:firstRow="1" w:lastRow="0" w:firstColumn="0" w:lastColumn="0" w:oddVBand="0" w:evenVBand="0" w:oddHBand="0" w:evenHBand="0" w:firstRowFirstColumn="0" w:firstRowLastColumn="0" w:lastRowFirstColumn="0" w:lastRowLastColumn="0"/>
        </w:trPr>
        <w:tc>
          <w:tcPr>
            <w:tcW w:w="1696" w:type="dxa"/>
            <w:shd w:val="clear" w:color="auto" w:fill="7F7F7F" w:themeFill="background1" w:themeFillShade="7F"/>
          </w:tcPr>
          <w:p w14:paraId="1A7C94CD" w14:textId="77777777" w:rsidR="00C37C2D" w:rsidRPr="007A7DB7" w:rsidRDefault="3982CBDC" w:rsidP="3982CBDC">
            <w:pPr>
              <w:rPr>
                <w:rFonts w:ascii="Calibri" w:hAnsi="Calibri"/>
                <w:noProof/>
                <w:sz w:val="22"/>
                <w:szCs w:val="22"/>
              </w:rPr>
            </w:pPr>
            <w:r w:rsidRPr="3982CBDC">
              <w:rPr>
                <w:rFonts w:ascii="Calibri" w:hAnsi="Calibri"/>
                <w:noProof/>
                <w:sz w:val="22"/>
                <w:szCs w:val="22"/>
              </w:rPr>
              <w:t>Years</w:t>
            </w:r>
          </w:p>
        </w:tc>
        <w:tc>
          <w:tcPr>
            <w:tcW w:w="1800" w:type="dxa"/>
            <w:shd w:val="clear" w:color="auto" w:fill="7F7F7F" w:themeFill="background1" w:themeFillShade="7F"/>
          </w:tcPr>
          <w:p w14:paraId="38654920" w14:textId="77777777" w:rsidR="00C37C2D" w:rsidRPr="00C37C2D" w:rsidRDefault="00C37C2D" w:rsidP="3982CBDC">
            <w:pPr>
              <w:rPr>
                <w:rFonts w:ascii="Calibri" w:hAnsi="Calibri"/>
                <w:noProof/>
                <w:sz w:val="22"/>
                <w:szCs w:val="22"/>
              </w:rPr>
            </w:pPr>
            <w:r w:rsidRPr="3982CBDC">
              <w:rPr>
                <w:rFonts w:ascii="Calibri" w:hAnsi="Calibri"/>
                <w:noProof/>
                <w:sz w:val="22"/>
                <w:szCs w:val="22"/>
              </w:rPr>
              <w:t>Baseline</w:t>
            </w:r>
            <w:r w:rsidRPr="3982CBDC">
              <w:rPr>
                <w:rStyle w:val="FootnoteReference"/>
                <w:rFonts w:ascii="Calibri" w:hAnsi="Calibri"/>
                <w:noProof/>
                <w:sz w:val="22"/>
                <w:szCs w:val="22"/>
              </w:rPr>
              <w:footnoteReference w:id="73"/>
            </w:r>
          </w:p>
        </w:tc>
        <w:tc>
          <w:tcPr>
            <w:tcW w:w="1800" w:type="dxa"/>
            <w:shd w:val="clear" w:color="auto" w:fill="7F7F7F" w:themeFill="background1" w:themeFillShade="7F"/>
          </w:tcPr>
          <w:p w14:paraId="20B3237F" w14:textId="77777777" w:rsidR="00C37C2D" w:rsidRPr="00C37C2D" w:rsidRDefault="3982CBDC" w:rsidP="3982CBDC">
            <w:pPr>
              <w:rPr>
                <w:rFonts w:ascii="Calibri" w:hAnsi="Calibri"/>
                <w:noProof/>
                <w:sz w:val="22"/>
                <w:szCs w:val="22"/>
              </w:rPr>
            </w:pPr>
            <w:r w:rsidRPr="3982CBDC">
              <w:rPr>
                <w:rFonts w:ascii="Calibri" w:hAnsi="Calibri"/>
                <w:noProof/>
                <w:sz w:val="22"/>
                <w:szCs w:val="22"/>
              </w:rPr>
              <w:t>Option 1</w:t>
            </w:r>
          </w:p>
          <w:p w14:paraId="136594EF" w14:textId="048AA647" w:rsidR="00C37C2D" w:rsidRPr="00C37C2D" w:rsidRDefault="00C37C2D" w:rsidP="3982CBDC">
            <w:pPr>
              <w:rPr>
                <w:rFonts w:ascii="Calibri" w:hAnsi="Calibri"/>
                <w:noProof/>
                <w:sz w:val="22"/>
                <w:szCs w:val="22"/>
              </w:rPr>
            </w:pPr>
          </w:p>
        </w:tc>
        <w:tc>
          <w:tcPr>
            <w:tcW w:w="1800" w:type="dxa"/>
            <w:shd w:val="clear" w:color="auto" w:fill="7F7F7F" w:themeFill="background1" w:themeFillShade="7F"/>
          </w:tcPr>
          <w:p w14:paraId="3B0F477A" w14:textId="77777777" w:rsidR="00C37C2D" w:rsidRPr="00C37C2D" w:rsidRDefault="3982CBDC" w:rsidP="3982CBDC">
            <w:pPr>
              <w:rPr>
                <w:rFonts w:ascii="Calibri" w:hAnsi="Calibri"/>
                <w:noProof/>
                <w:sz w:val="22"/>
                <w:szCs w:val="22"/>
              </w:rPr>
            </w:pPr>
            <w:r w:rsidRPr="3982CBDC">
              <w:rPr>
                <w:rFonts w:ascii="Calibri" w:hAnsi="Calibri"/>
                <w:noProof/>
                <w:sz w:val="22"/>
                <w:szCs w:val="22"/>
              </w:rPr>
              <w:t>Option 2</w:t>
            </w:r>
          </w:p>
          <w:p w14:paraId="5435E511" w14:textId="4669E6EC" w:rsidR="00C37C2D" w:rsidRPr="00C37C2D" w:rsidRDefault="00C37C2D" w:rsidP="3982CBDC">
            <w:pPr>
              <w:rPr>
                <w:rFonts w:ascii="Calibri" w:hAnsi="Calibri"/>
                <w:noProof/>
                <w:sz w:val="22"/>
                <w:szCs w:val="22"/>
              </w:rPr>
            </w:pPr>
          </w:p>
        </w:tc>
        <w:tc>
          <w:tcPr>
            <w:tcW w:w="1801" w:type="dxa"/>
            <w:shd w:val="clear" w:color="auto" w:fill="7F7F7F" w:themeFill="background1" w:themeFillShade="7F"/>
          </w:tcPr>
          <w:p w14:paraId="32A19D89" w14:textId="77777777" w:rsidR="00C37C2D" w:rsidRPr="00C37C2D" w:rsidRDefault="3982CBDC" w:rsidP="3982CBDC">
            <w:pPr>
              <w:rPr>
                <w:rFonts w:ascii="Calibri" w:hAnsi="Calibri"/>
                <w:noProof/>
                <w:sz w:val="22"/>
                <w:szCs w:val="22"/>
              </w:rPr>
            </w:pPr>
            <w:r w:rsidRPr="3982CBDC">
              <w:rPr>
                <w:rFonts w:ascii="Calibri" w:hAnsi="Calibri"/>
                <w:noProof/>
                <w:sz w:val="22"/>
                <w:szCs w:val="22"/>
              </w:rPr>
              <w:t>Option 3</w:t>
            </w:r>
          </w:p>
          <w:p w14:paraId="7D255ADF" w14:textId="38333B91" w:rsidR="00C37C2D" w:rsidRPr="007A7DB7" w:rsidRDefault="00C37C2D" w:rsidP="3982CBDC">
            <w:pPr>
              <w:rPr>
                <w:rFonts w:ascii="Calibri" w:hAnsi="Calibri"/>
                <w:noProof/>
                <w:sz w:val="22"/>
                <w:szCs w:val="22"/>
              </w:rPr>
            </w:pPr>
          </w:p>
        </w:tc>
      </w:tr>
      <w:tr w:rsidR="00C37C2D" w14:paraId="4F52A03E" w14:textId="77777777" w:rsidTr="00CC72AC">
        <w:trPr>
          <w:cnfStyle w:val="000000100000" w:firstRow="0" w:lastRow="0" w:firstColumn="0" w:lastColumn="0" w:oddVBand="0" w:evenVBand="0" w:oddHBand="1" w:evenHBand="0" w:firstRowFirstColumn="0" w:firstRowLastColumn="0" w:lastRowFirstColumn="0" w:lastRowLastColumn="0"/>
        </w:trPr>
        <w:tc>
          <w:tcPr>
            <w:tcW w:w="1696" w:type="dxa"/>
          </w:tcPr>
          <w:p w14:paraId="588B9051" w14:textId="77777777" w:rsidR="00C37C2D" w:rsidRPr="00C37C2D" w:rsidRDefault="3982CBDC" w:rsidP="3982CBDC">
            <w:pPr>
              <w:rPr>
                <w:rFonts w:ascii="Calibri" w:hAnsi="Calibri"/>
                <w:noProof/>
                <w:sz w:val="22"/>
                <w:szCs w:val="22"/>
              </w:rPr>
            </w:pPr>
            <w:r w:rsidRPr="3982CBDC">
              <w:rPr>
                <w:rFonts w:ascii="Calibri" w:hAnsi="Calibri"/>
                <w:noProof/>
                <w:sz w:val="22"/>
                <w:szCs w:val="22"/>
              </w:rPr>
              <w:t>2024-2026</w:t>
            </w:r>
          </w:p>
        </w:tc>
        <w:tc>
          <w:tcPr>
            <w:tcW w:w="1800" w:type="dxa"/>
          </w:tcPr>
          <w:p w14:paraId="7D2C6610" w14:textId="77777777" w:rsidR="00C37C2D" w:rsidRPr="00C37C2D" w:rsidRDefault="3982CBDC" w:rsidP="3982CBDC">
            <w:pPr>
              <w:rPr>
                <w:rFonts w:ascii="Calibri" w:hAnsi="Calibri"/>
                <w:noProof/>
                <w:color w:val="000000" w:themeColor="text1"/>
                <w:sz w:val="22"/>
                <w:szCs w:val="22"/>
              </w:rPr>
            </w:pPr>
            <w:r w:rsidRPr="3982CBDC">
              <w:rPr>
                <w:rFonts w:ascii="Calibri" w:hAnsi="Calibri"/>
                <w:noProof/>
                <w:color w:val="000000" w:themeColor="text1"/>
                <w:sz w:val="22"/>
                <w:szCs w:val="22"/>
              </w:rPr>
              <w:t>37.54</w:t>
            </w:r>
          </w:p>
        </w:tc>
        <w:tc>
          <w:tcPr>
            <w:tcW w:w="1800" w:type="dxa"/>
          </w:tcPr>
          <w:p w14:paraId="2B547092" w14:textId="77777777" w:rsidR="00C37C2D" w:rsidRPr="00C37C2D" w:rsidRDefault="3982CBDC" w:rsidP="3982CBDC">
            <w:pPr>
              <w:rPr>
                <w:rFonts w:ascii="Calibri" w:hAnsi="Calibri"/>
                <w:noProof/>
                <w:sz w:val="22"/>
                <w:szCs w:val="22"/>
              </w:rPr>
            </w:pPr>
            <w:r w:rsidRPr="3982CBDC">
              <w:rPr>
                <w:rFonts w:ascii="Calibri" w:hAnsi="Calibri"/>
                <w:noProof/>
                <w:color w:val="000000" w:themeColor="text1"/>
                <w:sz w:val="22"/>
                <w:szCs w:val="22"/>
              </w:rPr>
              <w:t>49.04</w:t>
            </w:r>
          </w:p>
        </w:tc>
        <w:tc>
          <w:tcPr>
            <w:tcW w:w="1800" w:type="dxa"/>
          </w:tcPr>
          <w:p w14:paraId="616F5526" w14:textId="77777777" w:rsidR="00C37C2D" w:rsidRPr="00C37C2D" w:rsidRDefault="3982CBDC" w:rsidP="3982CBDC">
            <w:pPr>
              <w:rPr>
                <w:rFonts w:ascii="Calibri" w:hAnsi="Calibri"/>
                <w:noProof/>
                <w:sz w:val="22"/>
                <w:szCs w:val="22"/>
              </w:rPr>
            </w:pPr>
            <w:r w:rsidRPr="3982CBDC">
              <w:rPr>
                <w:rFonts w:ascii="Calibri" w:hAnsi="Calibri"/>
                <w:noProof/>
                <w:color w:val="000000" w:themeColor="text1"/>
                <w:sz w:val="22"/>
                <w:szCs w:val="22"/>
              </w:rPr>
              <w:t>41.70</w:t>
            </w:r>
          </w:p>
        </w:tc>
        <w:tc>
          <w:tcPr>
            <w:tcW w:w="1801" w:type="dxa"/>
          </w:tcPr>
          <w:p w14:paraId="072270EB" w14:textId="77777777" w:rsidR="00C37C2D" w:rsidRPr="00C37C2D" w:rsidRDefault="3982CBDC" w:rsidP="3982CBDC">
            <w:pPr>
              <w:rPr>
                <w:rFonts w:ascii="Calibri" w:hAnsi="Calibri"/>
                <w:noProof/>
                <w:sz w:val="22"/>
                <w:szCs w:val="22"/>
              </w:rPr>
            </w:pPr>
            <w:r w:rsidRPr="3982CBDC">
              <w:rPr>
                <w:rFonts w:ascii="Calibri" w:hAnsi="Calibri"/>
                <w:noProof/>
                <w:color w:val="000000" w:themeColor="text1"/>
                <w:sz w:val="22"/>
                <w:szCs w:val="22"/>
              </w:rPr>
              <w:t>41.04</w:t>
            </w:r>
          </w:p>
        </w:tc>
      </w:tr>
      <w:tr w:rsidR="00C37C2D" w14:paraId="05478290" w14:textId="77777777" w:rsidTr="00CC72AC">
        <w:tc>
          <w:tcPr>
            <w:tcW w:w="1696" w:type="dxa"/>
          </w:tcPr>
          <w:p w14:paraId="2FDA3F32" w14:textId="77777777" w:rsidR="00C37C2D" w:rsidRPr="00C37C2D" w:rsidRDefault="3982CBDC" w:rsidP="3982CBDC">
            <w:pPr>
              <w:rPr>
                <w:rFonts w:ascii="Calibri" w:hAnsi="Calibri"/>
                <w:noProof/>
                <w:sz w:val="22"/>
                <w:szCs w:val="22"/>
              </w:rPr>
            </w:pPr>
            <w:r w:rsidRPr="3982CBDC">
              <w:rPr>
                <w:rFonts w:ascii="Calibri" w:hAnsi="Calibri"/>
                <w:noProof/>
                <w:sz w:val="22"/>
                <w:szCs w:val="22"/>
              </w:rPr>
              <w:t>2027-2029</w:t>
            </w:r>
          </w:p>
        </w:tc>
        <w:tc>
          <w:tcPr>
            <w:tcW w:w="1800" w:type="dxa"/>
          </w:tcPr>
          <w:p w14:paraId="62B71E61" w14:textId="77777777" w:rsidR="00C37C2D" w:rsidRPr="00C37C2D" w:rsidRDefault="3982CBDC" w:rsidP="3982CBDC">
            <w:pPr>
              <w:rPr>
                <w:rFonts w:ascii="Calibri" w:hAnsi="Calibri"/>
                <w:noProof/>
                <w:color w:val="000000" w:themeColor="text1"/>
                <w:sz w:val="22"/>
                <w:szCs w:val="22"/>
              </w:rPr>
            </w:pPr>
            <w:r w:rsidRPr="3982CBDC">
              <w:rPr>
                <w:rFonts w:ascii="Calibri" w:hAnsi="Calibri"/>
                <w:noProof/>
                <w:color w:val="000000" w:themeColor="text1"/>
                <w:sz w:val="22"/>
                <w:szCs w:val="22"/>
              </w:rPr>
              <w:t>25.17</w:t>
            </w:r>
          </w:p>
        </w:tc>
        <w:tc>
          <w:tcPr>
            <w:tcW w:w="1800" w:type="dxa"/>
          </w:tcPr>
          <w:p w14:paraId="26155871" w14:textId="77777777" w:rsidR="00C37C2D" w:rsidRPr="00C37C2D" w:rsidRDefault="3982CBDC" w:rsidP="3982CBDC">
            <w:pPr>
              <w:rPr>
                <w:rFonts w:ascii="Calibri" w:hAnsi="Calibri"/>
                <w:noProof/>
                <w:sz w:val="22"/>
                <w:szCs w:val="22"/>
              </w:rPr>
            </w:pPr>
            <w:r w:rsidRPr="3982CBDC">
              <w:rPr>
                <w:rFonts w:ascii="Calibri" w:hAnsi="Calibri"/>
                <w:noProof/>
                <w:color w:val="000000" w:themeColor="text1"/>
                <w:sz w:val="22"/>
                <w:szCs w:val="22"/>
              </w:rPr>
              <w:t>36.67</w:t>
            </w:r>
          </w:p>
        </w:tc>
        <w:tc>
          <w:tcPr>
            <w:tcW w:w="1800" w:type="dxa"/>
          </w:tcPr>
          <w:p w14:paraId="1BEE9B6E" w14:textId="77777777" w:rsidR="00C37C2D" w:rsidRPr="00C37C2D" w:rsidRDefault="3982CBDC" w:rsidP="3982CBDC">
            <w:pPr>
              <w:rPr>
                <w:rFonts w:ascii="Calibri" w:hAnsi="Calibri"/>
                <w:noProof/>
                <w:sz w:val="22"/>
                <w:szCs w:val="22"/>
              </w:rPr>
            </w:pPr>
            <w:r w:rsidRPr="3982CBDC">
              <w:rPr>
                <w:rFonts w:ascii="Calibri" w:hAnsi="Calibri"/>
                <w:noProof/>
                <w:color w:val="000000" w:themeColor="text1"/>
                <w:sz w:val="22"/>
                <w:szCs w:val="22"/>
              </w:rPr>
              <w:t>17.69</w:t>
            </w:r>
          </w:p>
        </w:tc>
        <w:tc>
          <w:tcPr>
            <w:tcW w:w="1801" w:type="dxa"/>
          </w:tcPr>
          <w:p w14:paraId="2BCD7D2A" w14:textId="77777777" w:rsidR="00C37C2D" w:rsidRPr="00C37C2D" w:rsidRDefault="3982CBDC" w:rsidP="3982CBDC">
            <w:pPr>
              <w:rPr>
                <w:rFonts w:ascii="Calibri" w:hAnsi="Calibri"/>
                <w:noProof/>
                <w:sz w:val="22"/>
                <w:szCs w:val="22"/>
              </w:rPr>
            </w:pPr>
            <w:r w:rsidRPr="3982CBDC">
              <w:rPr>
                <w:rFonts w:ascii="Calibri" w:hAnsi="Calibri"/>
                <w:noProof/>
                <w:color w:val="000000" w:themeColor="text1"/>
                <w:sz w:val="22"/>
                <w:szCs w:val="22"/>
              </w:rPr>
              <w:t>15.96</w:t>
            </w:r>
          </w:p>
        </w:tc>
      </w:tr>
      <w:tr w:rsidR="00C37C2D" w14:paraId="645274AE" w14:textId="77777777" w:rsidTr="00CC72AC">
        <w:trPr>
          <w:cnfStyle w:val="000000100000" w:firstRow="0" w:lastRow="0" w:firstColumn="0" w:lastColumn="0" w:oddVBand="0" w:evenVBand="0" w:oddHBand="1" w:evenHBand="0" w:firstRowFirstColumn="0" w:firstRowLastColumn="0" w:lastRowFirstColumn="0" w:lastRowLastColumn="0"/>
        </w:trPr>
        <w:tc>
          <w:tcPr>
            <w:tcW w:w="1696" w:type="dxa"/>
          </w:tcPr>
          <w:p w14:paraId="23687AAC" w14:textId="77777777" w:rsidR="00C37C2D" w:rsidRPr="00C37C2D" w:rsidRDefault="3982CBDC" w:rsidP="3982CBDC">
            <w:pPr>
              <w:rPr>
                <w:rFonts w:ascii="Calibri" w:hAnsi="Calibri"/>
                <w:noProof/>
                <w:sz w:val="22"/>
                <w:szCs w:val="22"/>
              </w:rPr>
            </w:pPr>
            <w:r w:rsidRPr="3982CBDC">
              <w:rPr>
                <w:rFonts w:ascii="Calibri" w:hAnsi="Calibri"/>
                <w:noProof/>
                <w:sz w:val="22"/>
                <w:szCs w:val="22"/>
              </w:rPr>
              <w:t>2030-2032</w:t>
            </w:r>
          </w:p>
        </w:tc>
        <w:tc>
          <w:tcPr>
            <w:tcW w:w="1800" w:type="dxa"/>
          </w:tcPr>
          <w:p w14:paraId="7A36E056" w14:textId="77777777" w:rsidR="00C37C2D" w:rsidRPr="00C37C2D" w:rsidRDefault="3982CBDC" w:rsidP="3982CBDC">
            <w:pPr>
              <w:rPr>
                <w:rFonts w:ascii="Calibri" w:hAnsi="Calibri"/>
                <w:noProof/>
                <w:color w:val="000000" w:themeColor="text1"/>
                <w:sz w:val="22"/>
                <w:szCs w:val="22"/>
              </w:rPr>
            </w:pPr>
            <w:r w:rsidRPr="3982CBDC">
              <w:rPr>
                <w:rFonts w:ascii="Calibri" w:hAnsi="Calibri"/>
                <w:noProof/>
                <w:color w:val="000000" w:themeColor="text1"/>
                <w:sz w:val="22"/>
                <w:szCs w:val="22"/>
              </w:rPr>
              <w:t>19.87</w:t>
            </w:r>
          </w:p>
        </w:tc>
        <w:tc>
          <w:tcPr>
            <w:tcW w:w="1800" w:type="dxa"/>
          </w:tcPr>
          <w:p w14:paraId="26494ADD" w14:textId="77777777" w:rsidR="00C37C2D" w:rsidRPr="00C37C2D" w:rsidRDefault="3982CBDC" w:rsidP="3982CBDC">
            <w:pPr>
              <w:rPr>
                <w:rFonts w:ascii="Calibri" w:hAnsi="Calibri"/>
                <w:noProof/>
                <w:sz w:val="22"/>
                <w:szCs w:val="22"/>
              </w:rPr>
            </w:pPr>
            <w:r w:rsidRPr="3982CBDC">
              <w:rPr>
                <w:rFonts w:ascii="Calibri" w:hAnsi="Calibri"/>
                <w:noProof/>
                <w:color w:val="000000" w:themeColor="text1"/>
                <w:sz w:val="22"/>
                <w:szCs w:val="22"/>
              </w:rPr>
              <w:t>31.37</w:t>
            </w:r>
          </w:p>
        </w:tc>
        <w:tc>
          <w:tcPr>
            <w:tcW w:w="1800" w:type="dxa"/>
          </w:tcPr>
          <w:p w14:paraId="64C9D16E" w14:textId="77777777" w:rsidR="00C37C2D" w:rsidRPr="00C37C2D" w:rsidRDefault="3982CBDC" w:rsidP="3982CBDC">
            <w:pPr>
              <w:rPr>
                <w:rFonts w:ascii="Calibri" w:hAnsi="Calibri"/>
                <w:noProof/>
                <w:sz w:val="22"/>
                <w:szCs w:val="22"/>
              </w:rPr>
            </w:pPr>
            <w:r w:rsidRPr="3982CBDC">
              <w:rPr>
                <w:rFonts w:ascii="Calibri" w:hAnsi="Calibri"/>
                <w:noProof/>
                <w:color w:val="000000" w:themeColor="text1"/>
                <w:sz w:val="22"/>
                <w:szCs w:val="22"/>
              </w:rPr>
              <w:t>9.13</w:t>
            </w:r>
          </w:p>
        </w:tc>
        <w:tc>
          <w:tcPr>
            <w:tcW w:w="1801" w:type="dxa"/>
          </w:tcPr>
          <w:p w14:paraId="2D745E4D" w14:textId="77777777" w:rsidR="00C37C2D" w:rsidRPr="00C37C2D" w:rsidRDefault="3982CBDC" w:rsidP="3982CBDC">
            <w:pPr>
              <w:rPr>
                <w:rFonts w:ascii="Calibri" w:hAnsi="Calibri"/>
                <w:noProof/>
                <w:sz w:val="22"/>
                <w:szCs w:val="22"/>
              </w:rPr>
            </w:pPr>
            <w:r w:rsidRPr="3982CBDC">
              <w:rPr>
                <w:rFonts w:ascii="Calibri" w:hAnsi="Calibri"/>
                <w:noProof/>
                <w:color w:val="000000" w:themeColor="text1"/>
                <w:sz w:val="22"/>
                <w:szCs w:val="22"/>
              </w:rPr>
              <w:t>6.92</w:t>
            </w:r>
          </w:p>
        </w:tc>
      </w:tr>
      <w:tr w:rsidR="00C37C2D" w14:paraId="289F85A8" w14:textId="77777777" w:rsidTr="00CC72AC">
        <w:tc>
          <w:tcPr>
            <w:tcW w:w="1696" w:type="dxa"/>
          </w:tcPr>
          <w:p w14:paraId="4A5326B4" w14:textId="77777777" w:rsidR="00C37C2D" w:rsidRPr="00C37C2D" w:rsidRDefault="3982CBDC" w:rsidP="3982CBDC">
            <w:pPr>
              <w:rPr>
                <w:rFonts w:ascii="Calibri" w:hAnsi="Calibri"/>
                <w:noProof/>
                <w:sz w:val="22"/>
                <w:szCs w:val="22"/>
              </w:rPr>
            </w:pPr>
            <w:r w:rsidRPr="3982CBDC">
              <w:rPr>
                <w:rFonts w:ascii="Calibri" w:hAnsi="Calibri"/>
                <w:noProof/>
                <w:sz w:val="22"/>
                <w:szCs w:val="22"/>
              </w:rPr>
              <w:t>2033-2035</w:t>
            </w:r>
          </w:p>
        </w:tc>
        <w:tc>
          <w:tcPr>
            <w:tcW w:w="1800" w:type="dxa"/>
          </w:tcPr>
          <w:p w14:paraId="7300AC04" w14:textId="77777777" w:rsidR="00C37C2D" w:rsidRPr="00C37C2D" w:rsidRDefault="3982CBDC" w:rsidP="3982CBDC">
            <w:pPr>
              <w:rPr>
                <w:rFonts w:ascii="Calibri" w:hAnsi="Calibri"/>
                <w:noProof/>
                <w:color w:val="000000" w:themeColor="text1"/>
                <w:sz w:val="22"/>
                <w:szCs w:val="22"/>
              </w:rPr>
            </w:pPr>
            <w:r w:rsidRPr="3982CBDC">
              <w:rPr>
                <w:rFonts w:ascii="Calibri" w:hAnsi="Calibri"/>
                <w:noProof/>
                <w:color w:val="000000" w:themeColor="text1"/>
                <w:sz w:val="22"/>
                <w:szCs w:val="22"/>
              </w:rPr>
              <w:t>19.87</w:t>
            </w:r>
          </w:p>
        </w:tc>
        <w:tc>
          <w:tcPr>
            <w:tcW w:w="1800" w:type="dxa"/>
          </w:tcPr>
          <w:p w14:paraId="7BD4137B" w14:textId="77777777" w:rsidR="00C37C2D" w:rsidRPr="00C37C2D" w:rsidRDefault="3982CBDC" w:rsidP="3982CBDC">
            <w:pPr>
              <w:rPr>
                <w:rFonts w:ascii="Calibri" w:hAnsi="Calibri"/>
                <w:noProof/>
                <w:sz w:val="22"/>
                <w:szCs w:val="22"/>
              </w:rPr>
            </w:pPr>
            <w:r w:rsidRPr="3982CBDC">
              <w:rPr>
                <w:rFonts w:ascii="Calibri" w:hAnsi="Calibri"/>
                <w:noProof/>
                <w:color w:val="000000" w:themeColor="text1"/>
                <w:sz w:val="22"/>
                <w:szCs w:val="22"/>
              </w:rPr>
              <w:t>28.72</w:t>
            </w:r>
          </w:p>
        </w:tc>
        <w:tc>
          <w:tcPr>
            <w:tcW w:w="1800" w:type="dxa"/>
          </w:tcPr>
          <w:p w14:paraId="11FC439B" w14:textId="77777777" w:rsidR="00C37C2D" w:rsidRPr="00C37C2D" w:rsidRDefault="3982CBDC" w:rsidP="3982CBDC">
            <w:pPr>
              <w:rPr>
                <w:rFonts w:ascii="Calibri" w:hAnsi="Calibri"/>
                <w:noProof/>
                <w:sz w:val="22"/>
                <w:szCs w:val="22"/>
              </w:rPr>
            </w:pPr>
            <w:r w:rsidRPr="3982CBDC">
              <w:rPr>
                <w:rFonts w:ascii="Calibri" w:hAnsi="Calibri"/>
                <w:noProof/>
                <w:color w:val="000000" w:themeColor="text1"/>
                <w:sz w:val="22"/>
                <w:szCs w:val="22"/>
              </w:rPr>
              <w:t>8.45</w:t>
            </w:r>
          </w:p>
        </w:tc>
        <w:tc>
          <w:tcPr>
            <w:tcW w:w="1801" w:type="dxa"/>
          </w:tcPr>
          <w:p w14:paraId="15BA56C5" w14:textId="77777777" w:rsidR="00C37C2D" w:rsidRPr="00C37C2D" w:rsidRDefault="3982CBDC" w:rsidP="3982CBDC">
            <w:pPr>
              <w:rPr>
                <w:rFonts w:ascii="Calibri" w:hAnsi="Calibri"/>
                <w:noProof/>
                <w:sz w:val="22"/>
                <w:szCs w:val="22"/>
              </w:rPr>
            </w:pPr>
            <w:r w:rsidRPr="3982CBDC">
              <w:rPr>
                <w:rFonts w:ascii="Calibri" w:hAnsi="Calibri"/>
                <w:noProof/>
                <w:color w:val="000000" w:themeColor="text1"/>
                <w:sz w:val="22"/>
                <w:szCs w:val="22"/>
              </w:rPr>
              <w:t>5.79</w:t>
            </w:r>
          </w:p>
        </w:tc>
      </w:tr>
      <w:tr w:rsidR="00C37C2D" w14:paraId="7FEA607A" w14:textId="77777777" w:rsidTr="00CC72AC">
        <w:trPr>
          <w:cnfStyle w:val="000000100000" w:firstRow="0" w:lastRow="0" w:firstColumn="0" w:lastColumn="0" w:oddVBand="0" w:evenVBand="0" w:oddHBand="1" w:evenHBand="0" w:firstRowFirstColumn="0" w:firstRowLastColumn="0" w:lastRowFirstColumn="0" w:lastRowLastColumn="0"/>
        </w:trPr>
        <w:tc>
          <w:tcPr>
            <w:tcW w:w="1696" w:type="dxa"/>
          </w:tcPr>
          <w:p w14:paraId="0AD73974" w14:textId="77777777" w:rsidR="00C37C2D" w:rsidRPr="00C37C2D" w:rsidRDefault="3982CBDC" w:rsidP="3982CBDC">
            <w:pPr>
              <w:rPr>
                <w:rFonts w:ascii="Calibri" w:hAnsi="Calibri"/>
                <w:noProof/>
                <w:sz w:val="22"/>
                <w:szCs w:val="22"/>
              </w:rPr>
            </w:pPr>
            <w:r w:rsidRPr="3982CBDC">
              <w:rPr>
                <w:rFonts w:ascii="Calibri" w:hAnsi="Calibri"/>
                <w:noProof/>
                <w:sz w:val="22"/>
                <w:szCs w:val="22"/>
              </w:rPr>
              <w:t>2036-2038</w:t>
            </w:r>
          </w:p>
        </w:tc>
        <w:tc>
          <w:tcPr>
            <w:tcW w:w="1800" w:type="dxa"/>
          </w:tcPr>
          <w:p w14:paraId="7DC3CC30" w14:textId="77777777" w:rsidR="00C37C2D" w:rsidRPr="00C37C2D" w:rsidRDefault="3982CBDC" w:rsidP="3982CBDC">
            <w:pPr>
              <w:rPr>
                <w:rFonts w:ascii="Calibri" w:hAnsi="Calibri"/>
                <w:noProof/>
                <w:color w:val="000000" w:themeColor="text1"/>
                <w:sz w:val="22"/>
                <w:szCs w:val="22"/>
              </w:rPr>
            </w:pPr>
            <w:r w:rsidRPr="3982CBDC">
              <w:rPr>
                <w:rFonts w:ascii="Calibri" w:hAnsi="Calibri"/>
                <w:noProof/>
                <w:color w:val="000000" w:themeColor="text1"/>
                <w:sz w:val="22"/>
                <w:szCs w:val="22"/>
              </w:rPr>
              <w:t>19.87</w:t>
            </w:r>
          </w:p>
        </w:tc>
        <w:tc>
          <w:tcPr>
            <w:tcW w:w="1800" w:type="dxa"/>
          </w:tcPr>
          <w:p w14:paraId="5B7D3E5A" w14:textId="77777777" w:rsidR="00C37C2D" w:rsidRPr="00C37C2D" w:rsidRDefault="3982CBDC" w:rsidP="3982CBDC">
            <w:pPr>
              <w:rPr>
                <w:rFonts w:ascii="Calibri" w:hAnsi="Calibri"/>
                <w:noProof/>
                <w:sz w:val="22"/>
                <w:szCs w:val="22"/>
              </w:rPr>
            </w:pPr>
            <w:r w:rsidRPr="3982CBDC">
              <w:rPr>
                <w:rFonts w:ascii="Calibri" w:hAnsi="Calibri"/>
                <w:noProof/>
                <w:color w:val="000000" w:themeColor="text1"/>
                <w:sz w:val="22"/>
                <w:szCs w:val="22"/>
              </w:rPr>
              <w:t>20.54</w:t>
            </w:r>
          </w:p>
        </w:tc>
        <w:tc>
          <w:tcPr>
            <w:tcW w:w="1800" w:type="dxa"/>
          </w:tcPr>
          <w:p w14:paraId="6ECDF8B4" w14:textId="77777777" w:rsidR="00C37C2D" w:rsidRPr="00C37C2D" w:rsidRDefault="3982CBDC" w:rsidP="3982CBDC">
            <w:pPr>
              <w:rPr>
                <w:rFonts w:ascii="Calibri" w:hAnsi="Calibri"/>
                <w:noProof/>
                <w:sz w:val="22"/>
                <w:szCs w:val="22"/>
              </w:rPr>
            </w:pPr>
            <w:r w:rsidRPr="3982CBDC">
              <w:rPr>
                <w:rFonts w:ascii="Calibri" w:hAnsi="Calibri"/>
                <w:noProof/>
                <w:color w:val="000000" w:themeColor="text1"/>
                <w:sz w:val="22"/>
                <w:szCs w:val="22"/>
              </w:rPr>
              <w:t>6.78</w:t>
            </w:r>
          </w:p>
        </w:tc>
        <w:tc>
          <w:tcPr>
            <w:tcW w:w="1801" w:type="dxa"/>
          </w:tcPr>
          <w:p w14:paraId="6ECB14D0" w14:textId="77777777" w:rsidR="00C37C2D" w:rsidRPr="00C37C2D" w:rsidRDefault="3982CBDC" w:rsidP="3982CBDC">
            <w:pPr>
              <w:rPr>
                <w:rFonts w:ascii="Calibri" w:hAnsi="Calibri"/>
                <w:noProof/>
                <w:sz w:val="22"/>
                <w:szCs w:val="22"/>
              </w:rPr>
            </w:pPr>
            <w:r w:rsidRPr="3982CBDC">
              <w:rPr>
                <w:rFonts w:ascii="Calibri" w:hAnsi="Calibri"/>
                <w:noProof/>
                <w:color w:val="000000" w:themeColor="text1"/>
                <w:sz w:val="22"/>
                <w:szCs w:val="22"/>
              </w:rPr>
              <w:t>5.47</w:t>
            </w:r>
          </w:p>
        </w:tc>
      </w:tr>
      <w:tr w:rsidR="00C37C2D" w14:paraId="1FD92D28" w14:textId="77777777" w:rsidTr="00CC72AC">
        <w:tc>
          <w:tcPr>
            <w:tcW w:w="1696" w:type="dxa"/>
          </w:tcPr>
          <w:p w14:paraId="5D841E55" w14:textId="77777777" w:rsidR="00C37C2D" w:rsidRPr="00C37C2D" w:rsidRDefault="3982CBDC" w:rsidP="3982CBDC">
            <w:pPr>
              <w:rPr>
                <w:rFonts w:ascii="Calibri" w:hAnsi="Calibri"/>
                <w:noProof/>
                <w:sz w:val="22"/>
                <w:szCs w:val="22"/>
              </w:rPr>
            </w:pPr>
            <w:r w:rsidRPr="3982CBDC">
              <w:rPr>
                <w:rFonts w:ascii="Calibri" w:hAnsi="Calibri"/>
                <w:noProof/>
                <w:sz w:val="22"/>
                <w:szCs w:val="22"/>
              </w:rPr>
              <w:t>2039-2041</w:t>
            </w:r>
          </w:p>
        </w:tc>
        <w:tc>
          <w:tcPr>
            <w:tcW w:w="1800" w:type="dxa"/>
          </w:tcPr>
          <w:p w14:paraId="308C8004" w14:textId="77777777" w:rsidR="00C37C2D" w:rsidRPr="00C37C2D" w:rsidRDefault="3982CBDC" w:rsidP="3982CBDC">
            <w:pPr>
              <w:rPr>
                <w:rFonts w:ascii="Calibri" w:hAnsi="Calibri"/>
                <w:noProof/>
                <w:color w:val="000000" w:themeColor="text1"/>
                <w:sz w:val="22"/>
                <w:szCs w:val="22"/>
              </w:rPr>
            </w:pPr>
            <w:r w:rsidRPr="3982CBDC">
              <w:rPr>
                <w:rFonts w:ascii="Calibri" w:hAnsi="Calibri"/>
                <w:noProof/>
                <w:color w:val="000000" w:themeColor="text1"/>
                <w:sz w:val="22"/>
                <w:szCs w:val="22"/>
              </w:rPr>
              <w:t>19.87</w:t>
            </w:r>
          </w:p>
        </w:tc>
        <w:tc>
          <w:tcPr>
            <w:tcW w:w="1800" w:type="dxa"/>
          </w:tcPr>
          <w:p w14:paraId="1917EAD4" w14:textId="77777777" w:rsidR="00C37C2D" w:rsidRPr="00C37C2D" w:rsidRDefault="3982CBDC" w:rsidP="3982CBDC">
            <w:pPr>
              <w:rPr>
                <w:rFonts w:ascii="Calibri" w:hAnsi="Calibri"/>
                <w:noProof/>
                <w:sz w:val="22"/>
                <w:szCs w:val="22"/>
              </w:rPr>
            </w:pPr>
            <w:r w:rsidRPr="3982CBDC">
              <w:rPr>
                <w:rFonts w:ascii="Calibri" w:hAnsi="Calibri"/>
                <w:noProof/>
                <w:color w:val="000000" w:themeColor="text1"/>
                <w:sz w:val="22"/>
                <w:szCs w:val="22"/>
              </w:rPr>
              <w:t>20.54</w:t>
            </w:r>
          </w:p>
        </w:tc>
        <w:tc>
          <w:tcPr>
            <w:tcW w:w="1800" w:type="dxa"/>
          </w:tcPr>
          <w:p w14:paraId="45988488" w14:textId="77777777" w:rsidR="00C37C2D" w:rsidRPr="00C37C2D" w:rsidRDefault="3982CBDC" w:rsidP="3982CBDC">
            <w:pPr>
              <w:rPr>
                <w:rFonts w:ascii="Calibri" w:hAnsi="Calibri"/>
                <w:noProof/>
                <w:sz w:val="22"/>
                <w:szCs w:val="22"/>
              </w:rPr>
            </w:pPr>
            <w:r w:rsidRPr="3982CBDC">
              <w:rPr>
                <w:rFonts w:ascii="Calibri" w:hAnsi="Calibri"/>
                <w:noProof/>
                <w:color w:val="000000" w:themeColor="text1"/>
                <w:sz w:val="22"/>
                <w:szCs w:val="22"/>
              </w:rPr>
              <w:t>6.14</w:t>
            </w:r>
          </w:p>
        </w:tc>
        <w:tc>
          <w:tcPr>
            <w:tcW w:w="1801" w:type="dxa"/>
          </w:tcPr>
          <w:p w14:paraId="0721341F" w14:textId="77777777" w:rsidR="00C37C2D" w:rsidRPr="00C37C2D" w:rsidRDefault="3982CBDC" w:rsidP="3982CBDC">
            <w:pPr>
              <w:rPr>
                <w:rFonts w:ascii="Calibri" w:hAnsi="Calibri"/>
                <w:noProof/>
                <w:sz w:val="22"/>
                <w:szCs w:val="22"/>
              </w:rPr>
            </w:pPr>
            <w:r w:rsidRPr="3982CBDC">
              <w:rPr>
                <w:rFonts w:ascii="Calibri" w:hAnsi="Calibri"/>
                <w:noProof/>
                <w:color w:val="000000" w:themeColor="text1"/>
                <w:sz w:val="22"/>
                <w:szCs w:val="22"/>
              </w:rPr>
              <w:t>5.01</w:t>
            </w:r>
          </w:p>
        </w:tc>
      </w:tr>
      <w:tr w:rsidR="00C37C2D" w14:paraId="72B86693" w14:textId="77777777" w:rsidTr="00CC72AC">
        <w:trPr>
          <w:cnfStyle w:val="000000100000" w:firstRow="0" w:lastRow="0" w:firstColumn="0" w:lastColumn="0" w:oddVBand="0" w:evenVBand="0" w:oddHBand="1" w:evenHBand="0" w:firstRowFirstColumn="0" w:firstRowLastColumn="0" w:lastRowFirstColumn="0" w:lastRowLastColumn="0"/>
        </w:trPr>
        <w:tc>
          <w:tcPr>
            <w:tcW w:w="1696" w:type="dxa"/>
          </w:tcPr>
          <w:p w14:paraId="69A60B3B" w14:textId="77777777" w:rsidR="00C37C2D" w:rsidRPr="00C37C2D" w:rsidRDefault="3982CBDC" w:rsidP="3982CBDC">
            <w:pPr>
              <w:rPr>
                <w:rFonts w:ascii="Calibri" w:hAnsi="Calibri"/>
                <w:noProof/>
                <w:sz w:val="22"/>
                <w:szCs w:val="22"/>
              </w:rPr>
            </w:pPr>
            <w:r w:rsidRPr="3982CBDC">
              <w:rPr>
                <w:rFonts w:ascii="Calibri" w:hAnsi="Calibri"/>
                <w:noProof/>
                <w:sz w:val="22"/>
                <w:szCs w:val="22"/>
              </w:rPr>
              <w:t>2042-2044</w:t>
            </w:r>
          </w:p>
        </w:tc>
        <w:tc>
          <w:tcPr>
            <w:tcW w:w="1800" w:type="dxa"/>
          </w:tcPr>
          <w:p w14:paraId="2209BD03" w14:textId="77777777" w:rsidR="00C37C2D" w:rsidRPr="00C37C2D" w:rsidRDefault="3982CBDC" w:rsidP="3982CBDC">
            <w:pPr>
              <w:rPr>
                <w:rFonts w:ascii="Calibri" w:hAnsi="Calibri"/>
                <w:noProof/>
                <w:color w:val="000000" w:themeColor="text1"/>
                <w:sz w:val="22"/>
                <w:szCs w:val="22"/>
              </w:rPr>
            </w:pPr>
            <w:r w:rsidRPr="3982CBDC">
              <w:rPr>
                <w:rFonts w:ascii="Calibri" w:hAnsi="Calibri"/>
                <w:noProof/>
                <w:color w:val="000000" w:themeColor="text1"/>
                <w:sz w:val="22"/>
                <w:szCs w:val="22"/>
              </w:rPr>
              <w:t>19.87</w:t>
            </w:r>
          </w:p>
        </w:tc>
        <w:tc>
          <w:tcPr>
            <w:tcW w:w="1800" w:type="dxa"/>
          </w:tcPr>
          <w:p w14:paraId="6AA4E91D" w14:textId="77777777" w:rsidR="00C37C2D" w:rsidRPr="00C37C2D" w:rsidRDefault="3982CBDC" w:rsidP="3982CBDC">
            <w:pPr>
              <w:rPr>
                <w:rFonts w:ascii="Calibri" w:hAnsi="Calibri"/>
                <w:noProof/>
                <w:sz w:val="22"/>
                <w:szCs w:val="22"/>
              </w:rPr>
            </w:pPr>
            <w:r w:rsidRPr="3982CBDC">
              <w:rPr>
                <w:rFonts w:ascii="Calibri" w:hAnsi="Calibri"/>
                <w:noProof/>
                <w:color w:val="000000" w:themeColor="text1"/>
                <w:sz w:val="22"/>
                <w:szCs w:val="22"/>
              </w:rPr>
              <w:t>20.54</w:t>
            </w:r>
          </w:p>
        </w:tc>
        <w:tc>
          <w:tcPr>
            <w:tcW w:w="1800" w:type="dxa"/>
          </w:tcPr>
          <w:p w14:paraId="538FF33F" w14:textId="77777777" w:rsidR="00C37C2D" w:rsidRPr="00C37C2D" w:rsidRDefault="3982CBDC" w:rsidP="3982CBDC">
            <w:pPr>
              <w:rPr>
                <w:rFonts w:ascii="Calibri" w:hAnsi="Calibri"/>
                <w:noProof/>
                <w:sz w:val="22"/>
                <w:szCs w:val="22"/>
              </w:rPr>
            </w:pPr>
            <w:r w:rsidRPr="3982CBDC">
              <w:rPr>
                <w:rFonts w:ascii="Calibri" w:hAnsi="Calibri"/>
                <w:noProof/>
                <w:color w:val="000000" w:themeColor="text1"/>
                <w:sz w:val="22"/>
                <w:szCs w:val="22"/>
              </w:rPr>
              <w:t>5.49</w:t>
            </w:r>
          </w:p>
        </w:tc>
        <w:tc>
          <w:tcPr>
            <w:tcW w:w="1801" w:type="dxa"/>
          </w:tcPr>
          <w:p w14:paraId="54739F70" w14:textId="77777777" w:rsidR="00C37C2D" w:rsidRPr="00C37C2D" w:rsidRDefault="3982CBDC" w:rsidP="3982CBDC">
            <w:pPr>
              <w:rPr>
                <w:rFonts w:ascii="Calibri" w:hAnsi="Calibri"/>
                <w:noProof/>
                <w:sz w:val="22"/>
                <w:szCs w:val="22"/>
              </w:rPr>
            </w:pPr>
            <w:r w:rsidRPr="3982CBDC">
              <w:rPr>
                <w:rFonts w:ascii="Calibri" w:hAnsi="Calibri"/>
                <w:noProof/>
                <w:color w:val="000000" w:themeColor="text1"/>
                <w:sz w:val="22"/>
                <w:szCs w:val="22"/>
              </w:rPr>
              <w:t>4.54</w:t>
            </w:r>
          </w:p>
        </w:tc>
      </w:tr>
      <w:tr w:rsidR="00C37C2D" w14:paraId="1D24F886" w14:textId="77777777" w:rsidTr="00CC72AC">
        <w:tc>
          <w:tcPr>
            <w:tcW w:w="1696" w:type="dxa"/>
          </w:tcPr>
          <w:p w14:paraId="2743FBE8" w14:textId="77777777" w:rsidR="00C37C2D" w:rsidRPr="00C37C2D" w:rsidRDefault="3982CBDC" w:rsidP="3982CBDC">
            <w:pPr>
              <w:rPr>
                <w:rFonts w:ascii="Calibri" w:hAnsi="Calibri"/>
                <w:noProof/>
                <w:sz w:val="22"/>
                <w:szCs w:val="22"/>
              </w:rPr>
            </w:pPr>
            <w:r w:rsidRPr="3982CBDC">
              <w:rPr>
                <w:rFonts w:ascii="Calibri" w:hAnsi="Calibri"/>
                <w:noProof/>
                <w:sz w:val="22"/>
                <w:szCs w:val="22"/>
              </w:rPr>
              <w:t>2045-2047</w:t>
            </w:r>
          </w:p>
        </w:tc>
        <w:tc>
          <w:tcPr>
            <w:tcW w:w="1800" w:type="dxa"/>
          </w:tcPr>
          <w:p w14:paraId="7623B956" w14:textId="77777777" w:rsidR="00C37C2D" w:rsidRPr="00C37C2D" w:rsidRDefault="3982CBDC" w:rsidP="3982CBDC">
            <w:pPr>
              <w:rPr>
                <w:rFonts w:ascii="Calibri" w:hAnsi="Calibri"/>
                <w:noProof/>
                <w:color w:val="000000" w:themeColor="text1"/>
                <w:sz w:val="22"/>
                <w:szCs w:val="22"/>
              </w:rPr>
            </w:pPr>
            <w:r w:rsidRPr="3982CBDC">
              <w:rPr>
                <w:rFonts w:ascii="Calibri" w:hAnsi="Calibri"/>
                <w:noProof/>
                <w:color w:val="000000" w:themeColor="text1"/>
                <w:sz w:val="22"/>
                <w:szCs w:val="22"/>
              </w:rPr>
              <w:t>19.87</w:t>
            </w:r>
          </w:p>
        </w:tc>
        <w:tc>
          <w:tcPr>
            <w:tcW w:w="1800" w:type="dxa"/>
          </w:tcPr>
          <w:p w14:paraId="538A1213" w14:textId="77777777" w:rsidR="00C37C2D" w:rsidRPr="00C37C2D" w:rsidRDefault="3982CBDC" w:rsidP="3982CBDC">
            <w:pPr>
              <w:rPr>
                <w:rFonts w:ascii="Calibri" w:hAnsi="Calibri"/>
                <w:noProof/>
                <w:sz w:val="22"/>
                <w:szCs w:val="22"/>
              </w:rPr>
            </w:pPr>
            <w:r w:rsidRPr="3982CBDC">
              <w:rPr>
                <w:rFonts w:ascii="Calibri" w:hAnsi="Calibri"/>
                <w:noProof/>
                <w:color w:val="000000" w:themeColor="text1"/>
                <w:sz w:val="22"/>
                <w:szCs w:val="22"/>
              </w:rPr>
              <w:t>20.54</w:t>
            </w:r>
          </w:p>
        </w:tc>
        <w:tc>
          <w:tcPr>
            <w:tcW w:w="1800" w:type="dxa"/>
          </w:tcPr>
          <w:p w14:paraId="72E44A3A" w14:textId="77777777" w:rsidR="00C37C2D" w:rsidRPr="00C37C2D" w:rsidRDefault="3982CBDC" w:rsidP="3982CBDC">
            <w:pPr>
              <w:rPr>
                <w:rFonts w:ascii="Calibri" w:hAnsi="Calibri"/>
                <w:noProof/>
                <w:sz w:val="22"/>
                <w:szCs w:val="22"/>
              </w:rPr>
            </w:pPr>
            <w:r w:rsidRPr="3982CBDC">
              <w:rPr>
                <w:rFonts w:ascii="Calibri" w:hAnsi="Calibri"/>
                <w:noProof/>
                <w:color w:val="000000" w:themeColor="text1"/>
                <w:sz w:val="22"/>
                <w:szCs w:val="22"/>
              </w:rPr>
              <w:t>4.85</w:t>
            </w:r>
          </w:p>
        </w:tc>
        <w:tc>
          <w:tcPr>
            <w:tcW w:w="1801" w:type="dxa"/>
          </w:tcPr>
          <w:p w14:paraId="3B007F6B" w14:textId="77777777" w:rsidR="00C37C2D" w:rsidRPr="00C37C2D" w:rsidRDefault="3982CBDC" w:rsidP="3982CBDC">
            <w:pPr>
              <w:rPr>
                <w:rFonts w:ascii="Calibri" w:hAnsi="Calibri"/>
                <w:noProof/>
                <w:sz w:val="22"/>
                <w:szCs w:val="22"/>
              </w:rPr>
            </w:pPr>
            <w:r w:rsidRPr="3982CBDC">
              <w:rPr>
                <w:rFonts w:ascii="Calibri" w:hAnsi="Calibri"/>
                <w:noProof/>
                <w:color w:val="000000" w:themeColor="text1"/>
                <w:sz w:val="22"/>
                <w:szCs w:val="22"/>
              </w:rPr>
              <w:t>4.08</w:t>
            </w:r>
          </w:p>
        </w:tc>
      </w:tr>
      <w:tr w:rsidR="00C37C2D" w14:paraId="7A5E5BD5" w14:textId="77777777" w:rsidTr="00CC72AC">
        <w:trPr>
          <w:cnfStyle w:val="000000100000" w:firstRow="0" w:lastRow="0" w:firstColumn="0" w:lastColumn="0" w:oddVBand="0" w:evenVBand="0" w:oddHBand="1" w:evenHBand="0" w:firstRowFirstColumn="0" w:firstRowLastColumn="0" w:lastRowFirstColumn="0" w:lastRowLastColumn="0"/>
        </w:trPr>
        <w:tc>
          <w:tcPr>
            <w:tcW w:w="1696" w:type="dxa"/>
          </w:tcPr>
          <w:p w14:paraId="2E5EFF8D" w14:textId="77777777" w:rsidR="00C37C2D" w:rsidRPr="00FA5809" w:rsidRDefault="3982CBDC" w:rsidP="3982CBDC">
            <w:pPr>
              <w:rPr>
                <w:rFonts w:ascii="Calibri" w:hAnsi="Calibri"/>
                <w:noProof/>
                <w:sz w:val="22"/>
                <w:szCs w:val="22"/>
              </w:rPr>
            </w:pPr>
            <w:r w:rsidRPr="3982CBDC">
              <w:rPr>
                <w:rFonts w:ascii="Calibri" w:hAnsi="Calibri"/>
                <w:noProof/>
                <w:sz w:val="22"/>
                <w:szCs w:val="22"/>
              </w:rPr>
              <w:t>2048 and later</w:t>
            </w:r>
          </w:p>
        </w:tc>
        <w:tc>
          <w:tcPr>
            <w:tcW w:w="1800" w:type="dxa"/>
          </w:tcPr>
          <w:p w14:paraId="0D7E9A05" w14:textId="77777777" w:rsidR="00C37C2D" w:rsidRPr="00C37C2D" w:rsidRDefault="3982CBDC" w:rsidP="3982CBDC">
            <w:pPr>
              <w:rPr>
                <w:rFonts w:ascii="Calibri" w:hAnsi="Calibri"/>
                <w:noProof/>
                <w:color w:val="000000" w:themeColor="text1"/>
                <w:sz w:val="22"/>
                <w:szCs w:val="22"/>
              </w:rPr>
            </w:pPr>
            <w:r w:rsidRPr="3982CBDC">
              <w:rPr>
                <w:rFonts w:ascii="Calibri" w:hAnsi="Calibri"/>
                <w:noProof/>
                <w:color w:val="000000" w:themeColor="text1"/>
                <w:sz w:val="22"/>
                <w:szCs w:val="22"/>
              </w:rPr>
              <w:t>19.87</w:t>
            </w:r>
          </w:p>
        </w:tc>
        <w:tc>
          <w:tcPr>
            <w:tcW w:w="1800" w:type="dxa"/>
          </w:tcPr>
          <w:p w14:paraId="4CE76478" w14:textId="77777777" w:rsidR="00C37C2D" w:rsidRPr="00FA5809" w:rsidRDefault="3982CBDC" w:rsidP="3982CBDC">
            <w:pPr>
              <w:rPr>
                <w:rFonts w:ascii="Calibri" w:hAnsi="Calibri"/>
                <w:noProof/>
                <w:sz w:val="22"/>
                <w:szCs w:val="22"/>
              </w:rPr>
            </w:pPr>
            <w:r w:rsidRPr="3982CBDC">
              <w:rPr>
                <w:rFonts w:ascii="Calibri" w:hAnsi="Calibri"/>
                <w:noProof/>
                <w:color w:val="000000" w:themeColor="text1"/>
                <w:sz w:val="22"/>
                <w:szCs w:val="22"/>
              </w:rPr>
              <w:t>20.54</w:t>
            </w:r>
          </w:p>
        </w:tc>
        <w:tc>
          <w:tcPr>
            <w:tcW w:w="1800" w:type="dxa"/>
          </w:tcPr>
          <w:p w14:paraId="64062157" w14:textId="77777777" w:rsidR="00C37C2D" w:rsidRPr="00FA5809" w:rsidRDefault="3982CBDC" w:rsidP="3982CBDC">
            <w:pPr>
              <w:rPr>
                <w:rFonts w:ascii="Calibri" w:hAnsi="Calibri"/>
                <w:noProof/>
                <w:sz w:val="22"/>
                <w:szCs w:val="22"/>
              </w:rPr>
            </w:pPr>
            <w:r w:rsidRPr="3982CBDC">
              <w:rPr>
                <w:rFonts w:ascii="Calibri" w:hAnsi="Calibri"/>
                <w:noProof/>
                <w:color w:val="000000" w:themeColor="text1"/>
                <w:sz w:val="22"/>
                <w:szCs w:val="22"/>
              </w:rPr>
              <w:t>4.20</w:t>
            </w:r>
          </w:p>
        </w:tc>
        <w:tc>
          <w:tcPr>
            <w:tcW w:w="1801" w:type="dxa"/>
          </w:tcPr>
          <w:p w14:paraId="5A39E6F6" w14:textId="77777777" w:rsidR="00C37C2D" w:rsidRPr="00FA5809" w:rsidRDefault="3982CBDC" w:rsidP="3982CBDC">
            <w:pPr>
              <w:rPr>
                <w:rFonts w:ascii="Calibri" w:hAnsi="Calibri"/>
                <w:noProof/>
                <w:sz w:val="22"/>
                <w:szCs w:val="22"/>
              </w:rPr>
            </w:pPr>
            <w:r w:rsidRPr="3982CBDC">
              <w:rPr>
                <w:rFonts w:ascii="Calibri" w:hAnsi="Calibri"/>
                <w:noProof/>
                <w:color w:val="000000" w:themeColor="text1"/>
                <w:sz w:val="22"/>
                <w:szCs w:val="22"/>
              </w:rPr>
              <w:t>3.62</w:t>
            </w:r>
          </w:p>
        </w:tc>
      </w:tr>
    </w:tbl>
    <w:p w14:paraId="5FA41A71" w14:textId="0CF96E47" w:rsidR="00FD4181" w:rsidRDefault="00FD4181" w:rsidP="00FA5809">
      <w:pPr>
        <w:spacing w:after="0"/>
        <w:rPr>
          <w:rFonts w:asciiTheme="minorHAnsi" w:hAnsiTheme="minorHAnsi"/>
          <w:noProof/>
          <w:sz w:val="20"/>
          <w:szCs w:val="20"/>
        </w:rPr>
      </w:pPr>
      <w:r w:rsidRPr="0085241A">
        <w:rPr>
          <w:rFonts w:asciiTheme="minorHAnsi" w:hAnsiTheme="minorHAnsi"/>
          <w:b/>
          <w:noProof/>
          <w:sz w:val="20"/>
        </w:rPr>
        <w:t>Note:</w:t>
      </w:r>
      <w:r w:rsidRPr="00A958EC">
        <w:rPr>
          <w:rFonts w:asciiTheme="minorHAnsi" w:hAnsiTheme="minorHAnsi"/>
          <w:noProof/>
          <w:sz w:val="20"/>
          <w:szCs w:val="20"/>
        </w:rPr>
        <w:t xml:space="preserve"> Quantities </w:t>
      </w:r>
      <w:r w:rsidR="000E3DC9" w:rsidRPr="00A958EC">
        <w:rPr>
          <w:rFonts w:asciiTheme="minorHAnsi" w:hAnsiTheme="minorHAnsi"/>
          <w:noProof/>
          <w:sz w:val="20"/>
          <w:szCs w:val="20"/>
        </w:rPr>
        <w:t>needed for MDIs are only included in the options</w:t>
      </w:r>
      <w:r w:rsidR="00A958EC">
        <w:rPr>
          <w:rFonts w:asciiTheme="minorHAnsi" w:hAnsiTheme="minorHAnsi"/>
          <w:noProof/>
          <w:sz w:val="20"/>
          <w:szCs w:val="20"/>
        </w:rPr>
        <w:t xml:space="preserve"> but</w:t>
      </w:r>
      <w:r w:rsidR="000E3DC9" w:rsidRPr="00A958EC">
        <w:rPr>
          <w:rFonts w:asciiTheme="minorHAnsi" w:hAnsiTheme="minorHAnsi"/>
          <w:noProof/>
          <w:sz w:val="20"/>
          <w:szCs w:val="20"/>
        </w:rPr>
        <w:t xml:space="preserve"> not </w:t>
      </w:r>
      <w:r w:rsidR="000E3DC9" w:rsidRPr="3982CBDC">
        <w:rPr>
          <w:rFonts w:asciiTheme="minorHAnsi" w:hAnsiTheme="minorHAnsi"/>
          <w:noProof/>
          <w:sz w:val="20"/>
          <w:szCs w:val="20"/>
        </w:rPr>
        <w:t xml:space="preserve">in </w:t>
      </w:r>
      <w:r w:rsidR="000E3DC9" w:rsidRPr="00A958EC">
        <w:rPr>
          <w:rFonts w:asciiTheme="minorHAnsi" w:hAnsiTheme="minorHAnsi"/>
          <w:noProof/>
          <w:sz w:val="20"/>
          <w:szCs w:val="20"/>
        </w:rPr>
        <w:t>the baseline</w:t>
      </w:r>
      <w:r w:rsidR="00CC72AC">
        <w:rPr>
          <w:rFonts w:asciiTheme="minorHAnsi" w:hAnsiTheme="minorHAnsi"/>
          <w:noProof/>
          <w:sz w:val="20"/>
          <w:szCs w:val="20"/>
        </w:rPr>
        <w:t xml:space="preserve">, this explains why all options have higher initial quota allowances (MDIs are ca. </w:t>
      </w:r>
      <w:r w:rsidR="003C7CDD">
        <w:rPr>
          <w:rFonts w:asciiTheme="minorHAnsi" w:hAnsiTheme="minorHAnsi"/>
          <w:noProof/>
          <w:sz w:val="20"/>
          <w:szCs w:val="20"/>
        </w:rPr>
        <w:t>10</w:t>
      </w:r>
      <w:r w:rsidR="00CC72AC">
        <w:rPr>
          <w:rFonts w:asciiTheme="minorHAnsi" w:hAnsiTheme="minorHAnsi"/>
          <w:noProof/>
          <w:sz w:val="20"/>
          <w:szCs w:val="20"/>
        </w:rPr>
        <w:t xml:space="preserve"> MtCO2</w:t>
      </w:r>
      <w:r w:rsidR="003C7CDD">
        <w:rPr>
          <w:rFonts w:asciiTheme="minorHAnsi" w:hAnsiTheme="minorHAnsi"/>
          <w:noProof/>
          <w:sz w:val="20"/>
          <w:szCs w:val="20"/>
        </w:rPr>
        <w:t xml:space="preserve"> today</w:t>
      </w:r>
      <w:r w:rsidR="00CC72AC">
        <w:rPr>
          <w:rFonts w:asciiTheme="minorHAnsi" w:hAnsiTheme="minorHAnsi"/>
          <w:noProof/>
          <w:sz w:val="20"/>
          <w:szCs w:val="20"/>
        </w:rPr>
        <w:t>)</w:t>
      </w:r>
    </w:p>
    <w:p w14:paraId="4061E3D0" w14:textId="2C39E15A" w:rsidR="00BB5E25" w:rsidRPr="00485C49" w:rsidDel="009122DE" w:rsidRDefault="00BB5E25" w:rsidP="00FA5809">
      <w:pPr>
        <w:spacing w:after="0"/>
        <w:rPr>
          <w:rFonts w:asciiTheme="minorHAnsi" w:hAnsiTheme="minorHAnsi"/>
          <w:noProof/>
          <w:sz w:val="20"/>
          <w:szCs w:val="20"/>
        </w:rPr>
      </w:pPr>
    </w:p>
    <w:p w14:paraId="4ACB9ADF" w14:textId="6A7DCC06" w:rsidR="00A14107" w:rsidRDefault="00E04F0C" w:rsidP="00E04F0C">
      <w:pPr>
        <w:pStyle w:val="Heading2"/>
        <w:rPr>
          <w:noProof/>
        </w:rPr>
      </w:pPr>
      <w:bookmarkStart w:id="148" w:name="_Toc71559413"/>
      <w:bookmarkStart w:id="149" w:name="_Toc71707018"/>
      <w:bookmarkStart w:id="150" w:name="_Toc71708228"/>
      <w:bookmarkStart w:id="151" w:name="_Toc71710960"/>
      <w:bookmarkStart w:id="152" w:name="_Toc72399362"/>
      <w:bookmarkStart w:id="153" w:name="_Toc88571913"/>
      <w:bookmarkStart w:id="154" w:name="_Toc94629506"/>
      <w:bookmarkStart w:id="155" w:name="_Toc98857750"/>
      <w:r w:rsidRPr="00E04F0C">
        <w:t>5.3.</w:t>
      </w:r>
      <w:r w:rsidRPr="00E04F0C">
        <w:tab/>
      </w:r>
      <w:r w:rsidR="3982CBDC">
        <w:rPr>
          <w:noProof/>
        </w:rPr>
        <w:t>Options discarded at an early stage</w:t>
      </w:r>
      <w:bookmarkEnd w:id="148"/>
      <w:bookmarkEnd w:id="149"/>
      <w:bookmarkEnd w:id="150"/>
      <w:bookmarkEnd w:id="151"/>
      <w:bookmarkEnd w:id="152"/>
      <w:bookmarkEnd w:id="153"/>
      <w:bookmarkEnd w:id="154"/>
      <w:bookmarkEnd w:id="155"/>
    </w:p>
    <w:p w14:paraId="00013369" w14:textId="25A914B7" w:rsidR="00692BE0" w:rsidRPr="00895323" w:rsidRDefault="004D1E99" w:rsidP="00F847A6">
      <w:pPr>
        <w:spacing w:after="120"/>
        <w:rPr>
          <w:rFonts w:cs="Arial"/>
          <w:noProof/>
        </w:rPr>
      </w:pPr>
      <w:r>
        <w:rPr>
          <w:rFonts w:cs="Arial"/>
          <w:noProof/>
        </w:rPr>
        <w:t>T</w:t>
      </w:r>
      <w:r w:rsidR="00A801E4">
        <w:rPr>
          <w:rFonts w:cs="Arial"/>
          <w:noProof/>
        </w:rPr>
        <w:t xml:space="preserve">he possibility to </w:t>
      </w:r>
      <w:r w:rsidR="007068C1">
        <w:rPr>
          <w:rFonts w:cs="Arial"/>
          <w:noProof/>
        </w:rPr>
        <w:t>r</w:t>
      </w:r>
      <w:r w:rsidR="00692BE0" w:rsidRPr="00895323">
        <w:rPr>
          <w:rFonts w:cs="Arial"/>
          <w:noProof/>
        </w:rPr>
        <w:t xml:space="preserve">epeal </w:t>
      </w:r>
      <w:r w:rsidR="00EF4938">
        <w:rPr>
          <w:rFonts w:cs="Arial"/>
          <w:noProof/>
        </w:rPr>
        <w:t xml:space="preserve">the Regulation </w:t>
      </w:r>
      <w:r w:rsidR="00692BE0" w:rsidRPr="00895323">
        <w:rPr>
          <w:rFonts w:cs="Arial"/>
          <w:noProof/>
        </w:rPr>
        <w:t xml:space="preserve">and </w:t>
      </w:r>
      <w:r w:rsidR="00EF4938">
        <w:rPr>
          <w:rFonts w:cs="Arial"/>
          <w:noProof/>
        </w:rPr>
        <w:t xml:space="preserve">rely on </w:t>
      </w:r>
      <w:r w:rsidR="00692BE0" w:rsidRPr="00895323">
        <w:rPr>
          <w:rFonts w:cs="Arial"/>
          <w:noProof/>
        </w:rPr>
        <w:t>voluntary agreements</w:t>
      </w:r>
      <w:r w:rsidR="00A801E4">
        <w:rPr>
          <w:rFonts w:cs="Arial"/>
          <w:noProof/>
        </w:rPr>
        <w:t xml:space="preserve"> or national</w:t>
      </w:r>
      <w:r w:rsidR="007375D4">
        <w:rPr>
          <w:rFonts w:cs="Arial"/>
          <w:noProof/>
        </w:rPr>
        <w:t xml:space="preserve"> measures </w:t>
      </w:r>
      <w:r w:rsidR="00F847A6">
        <w:rPr>
          <w:rFonts w:cs="Arial"/>
          <w:noProof/>
        </w:rPr>
        <w:t xml:space="preserve">was </w:t>
      </w:r>
      <w:r w:rsidR="00B86409">
        <w:rPr>
          <w:rFonts w:cs="Arial"/>
          <w:noProof/>
        </w:rPr>
        <w:t>discarded</w:t>
      </w:r>
      <w:r w:rsidR="00F847A6">
        <w:rPr>
          <w:rFonts w:cs="Arial"/>
          <w:noProof/>
        </w:rPr>
        <w:t xml:space="preserve"> from the outset</w:t>
      </w:r>
      <w:r w:rsidR="000F6436">
        <w:rPr>
          <w:rFonts w:cs="Arial"/>
          <w:noProof/>
        </w:rPr>
        <w:t>.</w:t>
      </w:r>
      <w:r w:rsidR="00CA4680">
        <w:rPr>
          <w:rFonts w:cs="Arial"/>
          <w:noProof/>
        </w:rPr>
        <w:t xml:space="preserve"> </w:t>
      </w:r>
      <w:r w:rsidR="000F6436">
        <w:rPr>
          <w:rFonts w:cs="Arial"/>
          <w:noProof/>
        </w:rPr>
        <w:t>First</w:t>
      </w:r>
      <w:r w:rsidR="007375D4">
        <w:rPr>
          <w:rFonts w:cs="Arial"/>
          <w:noProof/>
        </w:rPr>
        <w:t>ly</w:t>
      </w:r>
      <w:r w:rsidR="000F6436">
        <w:rPr>
          <w:rFonts w:cs="Arial"/>
          <w:noProof/>
        </w:rPr>
        <w:t xml:space="preserve">, </w:t>
      </w:r>
      <w:r w:rsidR="00B86409">
        <w:rPr>
          <w:rFonts w:cs="Arial"/>
          <w:noProof/>
        </w:rPr>
        <w:t xml:space="preserve">the current measures have </w:t>
      </w:r>
      <w:r w:rsidR="007D4AEF">
        <w:rPr>
          <w:rFonts w:cs="Arial"/>
          <w:noProof/>
        </w:rPr>
        <w:t xml:space="preserve">overall </w:t>
      </w:r>
      <w:r w:rsidR="00B86409">
        <w:rPr>
          <w:rFonts w:cs="Arial"/>
          <w:noProof/>
        </w:rPr>
        <w:t>been effective</w:t>
      </w:r>
      <w:r w:rsidR="00D566FD" w:rsidRPr="00D566FD">
        <w:rPr>
          <w:rFonts w:cs="Arial"/>
          <w:noProof/>
        </w:rPr>
        <w:t xml:space="preserve"> to meet its objectives</w:t>
      </w:r>
      <w:r w:rsidR="00D566FD">
        <w:rPr>
          <w:rFonts w:cs="Arial"/>
          <w:noProof/>
        </w:rPr>
        <w:t>.</w:t>
      </w:r>
      <w:r w:rsidR="00D566FD" w:rsidRPr="00D566FD">
        <w:rPr>
          <w:rFonts w:cs="Arial"/>
          <w:noProof/>
        </w:rPr>
        <w:t xml:space="preserve"> </w:t>
      </w:r>
      <w:r w:rsidR="00D566FD">
        <w:rPr>
          <w:rFonts w:cs="Arial"/>
          <w:noProof/>
        </w:rPr>
        <w:t>T</w:t>
      </w:r>
      <w:r w:rsidR="00D566FD" w:rsidRPr="00D566FD">
        <w:rPr>
          <w:rFonts w:cs="Arial"/>
          <w:noProof/>
        </w:rPr>
        <w:t xml:space="preserve">he Regulation remains necessary and </w:t>
      </w:r>
      <w:r w:rsidR="00D566FD">
        <w:rPr>
          <w:rFonts w:cs="Arial"/>
          <w:noProof/>
        </w:rPr>
        <w:t>has clear</w:t>
      </w:r>
      <w:r w:rsidR="00D566FD" w:rsidRPr="00D566FD">
        <w:rPr>
          <w:rFonts w:cs="Arial"/>
          <w:noProof/>
        </w:rPr>
        <w:t xml:space="preserve"> EU added value in light of EU climate objectives as well as </w:t>
      </w:r>
      <w:r w:rsidR="00D566FD">
        <w:rPr>
          <w:rFonts w:cs="Arial"/>
          <w:noProof/>
        </w:rPr>
        <w:t xml:space="preserve">the </w:t>
      </w:r>
      <w:r w:rsidR="00D566FD" w:rsidRPr="00D566FD">
        <w:rPr>
          <w:rFonts w:cs="Arial"/>
          <w:noProof/>
        </w:rPr>
        <w:t>EU’s international commitments</w:t>
      </w:r>
      <w:r w:rsidR="00B86409">
        <w:rPr>
          <w:rFonts w:cs="Arial"/>
          <w:noProof/>
        </w:rPr>
        <w:t>. Second</w:t>
      </w:r>
      <w:r w:rsidR="007375D4">
        <w:rPr>
          <w:rFonts w:cs="Arial"/>
          <w:noProof/>
        </w:rPr>
        <w:t>ly,</w:t>
      </w:r>
      <w:r w:rsidR="00B86409">
        <w:rPr>
          <w:rFonts w:cs="Arial"/>
          <w:noProof/>
        </w:rPr>
        <w:t xml:space="preserve"> </w:t>
      </w:r>
      <w:r w:rsidR="00A801E4">
        <w:rPr>
          <w:rFonts w:cs="Arial"/>
          <w:noProof/>
        </w:rPr>
        <w:t xml:space="preserve">voluntary action or national measures </w:t>
      </w:r>
      <w:r w:rsidR="00CA4680">
        <w:rPr>
          <w:rFonts w:cs="Arial"/>
          <w:noProof/>
        </w:rPr>
        <w:t xml:space="preserve">would result in </w:t>
      </w:r>
      <w:r w:rsidR="00A801E4">
        <w:rPr>
          <w:rFonts w:cs="Arial"/>
          <w:noProof/>
        </w:rPr>
        <w:t xml:space="preserve">lower emission reductions </w:t>
      </w:r>
      <w:r>
        <w:rPr>
          <w:rFonts w:cs="Arial"/>
          <w:noProof/>
        </w:rPr>
        <w:t xml:space="preserve">and would even </w:t>
      </w:r>
      <w:r w:rsidRPr="00895323">
        <w:rPr>
          <w:rFonts w:cs="Arial"/>
          <w:noProof/>
        </w:rPr>
        <w:t>endanger the progress made so</w:t>
      </w:r>
      <w:r>
        <w:rPr>
          <w:rFonts w:cs="Arial"/>
          <w:noProof/>
        </w:rPr>
        <w:t xml:space="preserve"> far. Thus</w:t>
      </w:r>
      <w:r w:rsidR="003F31D3">
        <w:rPr>
          <w:rFonts w:cs="Arial"/>
          <w:noProof/>
        </w:rPr>
        <w:t xml:space="preserve"> the option</w:t>
      </w:r>
      <w:r>
        <w:rPr>
          <w:rFonts w:cs="Arial"/>
          <w:noProof/>
        </w:rPr>
        <w:t xml:space="preserve"> would </w:t>
      </w:r>
      <w:r w:rsidR="00895323">
        <w:rPr>
          <w:rFonts w:cs="Arial"/>
          <w:noProof/>
        </w:rPr>
        <w:t xml:space="preserve">be </w:t>
      </w:r>
      <w:r>
        <w:rPr>
          <w:rFonts w:cs="Arial"/>
          <w:noProof/>
        </w:rPr>
        <w:t xml:space="preserve">inconsistent with </w:t>
      </w:r>
      <w:r w:rsidR="00D566FD">
        <w:rPr>
          <w:rFonts w:cs="Arial"/>
          <w:noProof/>
        </w:rPr>
        <w:t xml:space="preserve">the </w:t>
      </w:r>
      <w:r w:rsidR="003C7CDD">
        <w:rPr>
          <w:rFonts w:cs="Arial"/>
          <w:noProof/>
        </w:rPr>
        <w:t>EU</w:t>
      </w:r>
      <w:r w:rsidR="00D566FD">
        <w:rPr>
          <w:rFonts w:cs="Arial"/>
          <w:noProof/>
        </w:rPr>
        <w:t>’s new and more ambitious</w:t>
      </w:r>
      <w:r w:rsidR="003C7CDD">
        <w:rPr>
          <w:rFonts w:cs="Arial"/>
          <w:noProof/>
        </w:rPr>
        <w:t xml:space="preserve"> </w:t>
      </w:r>
      <w:r w:rsidR="00895323">
        <w:rPr>
          <w:rFonts w:cs="Arial"/>
          <w:noProof/>
        </w:rPr>
        <w:t xml:space="preserve">climate objectives. </w:t>
      </w:r>
      <w:r w:rsidR="00A801E4">
        <w:rPr>
          <w:rFonts w:cs="Arial"/>
          <w:noProof/>
        </w:rPr>
        <w:t>Third</w:t>
      </w:r>
      <w:r w:rsidR="007375D4">
        <w:rPr>
          <w:rFonts w:cs="Arial"/>
          <w:noProof/>
        </w:rPr>
        <w:t>ly</w:t>
      </w:r>
      <w:r w:rsidR="00895323">
        <w:rPr>
          <w:rFonts w:cs="Arial"/>
          <w:noProof/>
        </w:rPr>
        <w:t xml:space="preserve">, the </w:t>
      </w:r>
      <w:r w:rsidR="007068C1">
        <w:rPr>
          <w:rFonts w:cs="Arial"/>
          <w:noProof/>
        </w:rPr>
        <w:t xml:space="preserve">existing </w:t>
      </w:r>
      <w:r w:rsidR="00895323">
        <w:rPr>
          <w:rFonts w:cs="Arial"/>
          <w:noProof/>
        </w:rPr>
        <w:t>types of</w:t>
      </w:r>
      <w:r w:rsidR="007375D4">
        <w:rPr>
          <w:rFonts w:cs="Arial"/>
          <w:noProof/>
        </w:rPr>
        <w:t xml:space="preserve"> </w:t>
      </w:r>
      <w:r w:rsidR="00895323">
        <w:rPr>
          <w:rFonts w:cs="Arial"/>
          <w:noProof/>
        </w:rPr>
        <w:t>rules</w:t>
      </w:r>
      <w:r w:rsidR="007068C1">
        <w:rPr>
          <w:rFonts w:cs="Arial"/>
          <w:noProof/>
        </w:rPr>
        <w:t xml:space="preserve"> </w:t>
      </w:r>
      <w:r w:rsidR="00895323">
        <w:rPr>
          <w:rFonts w:cs="Arial"/>
          <w:noProof/>
        </w:rPr>
        <w:t>provide a clear signal to industry</w:t>
      </w:r>
      <w:r w:rsidR="007D4AEF">
        <w:rPr>
          <w:rFonts w:cs="Arial"/>
          <w:noProof/>
        </w:rPr>
        <w:t xml:space="preserve"> and </w:t>
      </w:r>
      <w:r w:rsidR="00895323">
        <w:rPr>
          <w:rFonts w:cs="Arial"/>
          <w:noProof/>
        </w:rPr>
        <w:t xml:space="preserve">are accepted by </w:t>
      </w:r>
      <w:r w:rsidR="00826DB6" w:rsidRPr="00895323">
        <w:rPr>
          <w:rFonts w:cs="Arial"/>
          <w:noProof/>
        </w:rPr>
        <w:t>stakeholders</w:t>
      </w:r>
      <w:r w:rsidR="00007848">
        <w:rPr>
          <w:rFonts w:cs="Arial"/>
          <w:noProof/>
        </w:rPr>
        <w:t>,</w:t>
      </w:r>
      <w:r w:rsidR="00F847A6">
        <w:rPr>
          <w:rFonts w:cs="Arial"/>
          <w:noProof/>
        </w:rPr>
        <w:t xml:space="preserve"> as clearly shown by the consultations</w:t>
      </w:r>
      <w:r w:rsidR="00895323">
        <w:rPr>
          <w:rFonts w:cs="Arial"/>
          <w:noProof/>
        </w:rPr>
        <w:t xml:space="preserve">. </w:t>
      </w:r>
    </w:p>
    <w:p w14:paraId="491DE0D1" w14:textId="296CD37C" w:rsidR="00432BFE" w:rsidRPr="00497E9A" w:rsidRDefault="00F847A6" w:rsidP="00F847A6">
      <w:pPr>
        <w:spacing w:after="120"/>
        <w:rPr>
          <w:noProof/>
        </w:rPr>
      </w:pPr>
      <w:r>
        <w:rPr>
          <w:rFonts w:cs="Arial"/>
          <w:noProof/>
        </w:rPr>
        <w:t>Furthermore</w:t>
      </w:r>
      <w:r w:rsidR="007375D4">
        <w:rPr>
          <w:rFonts w:cs="Arial"/>
          <w:noProof/>
        </w:rPr>
        <w:t>,</w:t>
      </w:r>
      <w:r w:rsidR="004D1E99" w:rsidRPr="007375D4">
        <w:rPr>
          <w:rFonts w:cs="Arial"/>
          <w:noProof/>
        </w:rPr>
        <w:t xml:space="preserve"> </w:t>
      </w:r>
      <w:r w:rsidR="00A801E4" w:rsidRPr="007375D4">
        <w:rPr>
          <w:rFonts w:cs="Arial"/>
          <w:noProof/>
        </w:rPr>
        <w:t>a</w:t>
      </w:r>
      <w:r w:rsidR="004D1E99" w:rsidRPr="007375D4">
        <w:rPr>
          <w:rFonts w:cs="Arial"/>
          <w:noProof/>
        </w:rPr>
        <w:t xml:space="preserve"> number of </w:t>
      </w:r>
      <w:r w:rsidR="007375D4">
        <w:rPr>
          <w:rFonts w:cs="Arial"/>
          <w:noProof/>
        </w:rPr>
        <w:t>detailed</w:t>
      </w:r>
      <w:r w:rsidR="004D1E99" w:rsidRPr="007375D4">
        <w:rPr>
          <w:rFonts w:cs="Arial"/>
          <w:noProof/>
        </w:rPr>
        <w:t xml:space="preserve"> measures that would appear to target the problem drivers (including measures propos</w:t>
      </w:r>
      <w:r w:rsidR="007375D4">
        <w:rPr>
          <w:rFonts w:cs="Arial"/>
          <w:noProof/>
        </w:rPr>
        <w:t>ed by stakeholders) were discar</w:t>
      </w:r>
      <w:r w:rsidR="004D1E99" w:rsidRPr="007375D4">
        <w:rPr>
          <w:rFonts w:cs="Arial"/>
          <w:noProof/>
        </w:rPr>
        <w:t xml:space="preserve">ded at an early stage because they did not fulfil certain criteria that were applied to screen </w:t>
      </w:r>
      <w:r w:rsidR="003C7CDD">
        <w:rPr>
          <w:rFonts w:cs="Arial"/>
          <w:noProof/>
        </w:rPr>
        <w:t>the options (S</w:t>
      </w:r>
      <w:r w:rsidR="004D1E99" w:rsidRPr="007375D4">
        <w:rPr>
          <w:rFonts w:cs="Arial"/>
          <w:noProof/>
        </w:rPr>
        <w:t xml:space="preserve">ee </w:t>
      </w:r>
      <w:r w:rsidR="00A801E4" w:rsidRPr="007375D4">
        <w:rPr>
          <w:rFonts w:cs="Arial"/>
          <w:noProof/>
        </w:rPr>
        <w:t xml:space="preserve">discarded </w:t>
      </w:r>
      <w:r w:rsidR="004D1E99" w:rsidRPr="007375D4">
        <w:rPr>
          <w:rFonts w:cs="Arial"/>
          <w:noProof/>
        </w:rPr>
        <w:t xml:space="preserve">measures </w:t>
      </w:r>
      <w:r w:rsidR="007D4AEF" w:rsidRPr="007375D4">
        <w:rPr>
          <w:rFonts w:cs="Arial"/>
          <w:noProof/>
        </w:rPr>
        <w:t xml:space="preserve">and </w:t>
      </w:r>
      <w:r w:rsidR="00007848">
        <w:rPr>
          <w:rFonts w:cs="Arial"/>
          <w:noProof/>
        </w:rPr>
        <w:t xml:space="preserve">the </w:t>
      </w:r>
      <w:r w:rsidR="004D1E99" w:rsidRPr="007375D4">
        <w:rPr>
          <w:rFonts w:cs="Arial"/>
          <w:noProof/>
        </w:rPr>
        <w:t xml:space="preserve">reasoning </w:t>
      </w:r>
      <w:r w:rsidR="00007848">
        <w:rPr>
          <w:rFonts w:cs="Arial"/>
          <w:noProof/>
        </w:rPr>
        <w:t xml:space="preserve">behind eliminating them </w:t>
      </w:r>
      <w:r w:rsidR="009075F5" w:rsidRPr="007375D4">
        <w:rPr>
          <w:rFonts w:cs="Arial"/>
          <w:noProof/>
        </w:rPr>
        <w:t xml:space="preserve">in </w:t>
      </w:r>
      <w:r w:rsidR="007375D4">
        <w:rPr>
          <w:rFonts w:cs="Arial"/>
          <w:noProof/>
        </w:rPr>
        <w:t xml:space="preserve">Annex </w:t>
      </w:r>
      <w:r w:rsidR="00C66A21">
        <w:rPr>
          <w:rFonts w:cs="Arial"/>
          <w:noProof/>
        </w:rPr>
        <w:t>A6.6</w:t>
      </w:r>
      <w:r w:rsidR="003C7CDD">
        <w:rPr>
          <w:noProof/>
        </w:rPr>
        <w:t>)</w:t>
      </w:r>
      <w:r w:rsidR="00140E15">
        <w:rPr>
          <w:rFonts w:cs="Arial"/>
          <w:noProof/>
        </w:rPr>
        <w:t>.</w:t>
      </w:r>
    </w:p>
    <w:p w14:paraId="0CAFF304" w14:textId="4D20482D" w:rsidR="0023227F" w:rsidRDefault="00E04F0C" w:rsidP="00E04F0C">
      <w:pPr>
        <w:pStyle w:val="Heading1"/>
        <w:rPr>
          <w:noProof/>
        </w:rPr>
      </w:pPr>
      <w:bookmarkStart w:id="156" w:name="_Toc71559414"/>
      <w:bookmarkStart w:id="157" w:name="_Toc71707043"/>
      <w:bookmarkStart w:id="158" w:name="_Toc71708229"/>
      <w:bookmarkStart w:id="159" w:name="_Toc71710961"/>
      <w:bookmarkStart w:id="160" w:name="_Toc72399363"/>
      <w:bookmarkStart w:id="161" w:name="_Toc88571914"/>
      <w:bookmarkStart w:id="162" w:name="_Ref94172913"/>
      <w:bookmarkStart w:id="163" w:name="_Toc94629507"/>
      <w:bookmarkStart w:id="164" w:name="_Toc98857751"/>
      <w:r w:rsidRPr="00E04F0C">
        <w:t>6.</w:t>
      </w:r>
      <w:r w:rsidRPr="00E04F0C">
        <w:tab/>
      </w:r>
      <w:r w:rsidR="3982CBDC">
        <w:rPr>
          <w:noProof/>
        </w:rPr>
        <w:t>What are the impacts of the policy options?</w:t>
      </w:r>
      <w:bookmarkEnd w:id="156"/>
      <w:bookmarkEnd w:id="157"/>
      <w:bookmarkEnd w:id="158"/>
      <w:bookmarkEnd w:id="159"/>
      <w:bookmarkEnd w:id="160"/>
      <w:bookmarkEnd w:id="161"/>
      <w:bookmarkEnd w:id="162"/>
      <w:bookmarkEnd w:id="163"/>
      <w:bookmarkEnd w:id="164"/>
    </w:p>
    <w:p w14:paraId="3FA2EC2A" w14:textId="5E840034" w:rsidR="002F56F3" w:rsidRDefault="006F1B53" w:rsidP="00C21443">
      <w:pPr>
        <w:spacing w:after="120"/>
        <w:rPr>
          <w:noProof/>
        </w:rPr>
      </w:pPr>
      <w:r w:rsidRPr="006F1B53">
        <w:rPr>
          <w:noProof/>
        </w:rPr>
        <w:t xml:space="preserve">A detailed bottom-up stock model of the F-gas using sectors was constructed (AnaFgas model) in order to calculate </w:t>
      </w:r>
      <w:r w:rsidRPr="006F1B53">
        <w:rPr>
          <w:b/>
          <w:noProof/>
        </w:rPr>
        <w:t>demand and emission</w:t>
      </w:r>
      <w:r w:rsidRPr="006F1B53">
        <w:rPr>
          <w:b/>
          <w:noProof/>
          <w:vertAlign w:val="superscript"/>
        </w:rPr>
        <w:footnoteReference w:id="74"/>
      </w:r>
      <w:r w:rsidRPr="006F1B53">
        <w:rPr>
          <w:b/>
          <w:noProof/>
        </w:rPr>
        <w:t xml:space="preserve"> scenarios </w:t>
      </w:r>
      <w:r w:rsidRPr="006F1B53">
        <w:rPr>
          <w:noProof/>
        </w:rPr>
        <w:t>of F-gases</w:t>
      </w:r>
      <w:r w:rsidR="00C6054C">
        <w:rPr>
          <w:noProof/>
        </w:rPr>
        <w:t>,</w:t>
      </w:r>
      <w:r w:rsidRPr="006F1B53">
        <w:rPr>
          <w:noProof/>
        </w:rPr>
        <w:t xml:space="preserve"> for the baseline and the policy options</w:t>
      </w:r>
      <w:r w:rsidR="00C6054C">
        <w:rPr>
          <w:noProof/>
        </w:rPr>
        <w:t>,</w:t>
      </w:r>
      <w:r w:rsidRPr="006F1B53">
        <w:rPr>
          <w:noProof/>
        </w:rPr>
        <w:t xml:space="preserve"> as well as energy use of the relevant equipment, for the EU27+UK in the period of 2000 to 2050</w:t>
      </w:r>
      <w:r w:rsidRPr="006F1B53">
        <w:rPr>
          <w:noProof/>
          <w:vertAlign w:val="superscript"/>
        </w:rPr>
        <w:footnoteReference w:id="75"/>
      </w:r>
      <w:r w:rsidRPr="006F1B53">
        <w:rPr>
          <w:b/>
          <w:noProof/>
        </w:rPr>
        <w:t xml:space="preserve">. </w:t>
      </w:r>
      <w:r w:rsidRPr="006F1B53">
        <w:rPr>
          <w:noProof/>
        </w:rPr>
        <w:t>An attached cost module allows quantification of related costs to the operators of equipment relying on F-gases or their alternatives. In AnaFgas, all emission and demand estimates are derived from bottom-up approaches, i.e. by estimating demand and emissions per sector through the use of underlying drivers.</w:t>
      </w:r>
      <w:r w:rsidRPr="006F1B53">
        <w:rPr>
          <w:noProof/>
          <w:vertAlign w:val="superscript"/>
        </w:rPr>
        <w:footnoteReference w:id="76"/>
      </w:r>
      <w:r w:rsidRPr="006F1B53">
        <w:rPr>
          <w:noProof/>
        </w:rPr>
        <w:t xml:space="preserve"> </w:t>
      </w:r>
      <w:r w:rsidR="00C6054C">
        <w:rPr>
          <w:noProof/>
        </w:rPr>
        <w:t>Macro</w:t>
      </w:r>
      <w:r w:rsidR="002F56F3">
        <w:rPr>
          <w:noProof/>
        </w:rPr>
        <w:t>e</w:t>
      </w:r>
      <w:r w:rsidR="00C6054C">
        <w:rPr>
          <w:noProof/>
        </w:rPr>
        <w:t>conomic ef</w:t>
      </w:r>
      <w:r w:rsidR="009218BB">
        <w:rPr>
          <w:noProof/>
        </w:rPr>
        <w:t>fects were modelled using the JR</w:t>
      </w:r>
      <w:r w:rsidR="00C6054C">
        <w:rPr>
          <w:noProof/>
        </w:rPr>
        <w:t>C’s GEM-E3 model</w:t>
      </w:r>
      <w:r w:rsidR="00FC0D9E">
        <w:rPr>
          <w:noProof/>
        </w:rPr>
        <w:t>.</w:t>
      </w:r>
      <w:r w:rsidR="00C6054C">
        <w:rPr>
          <w:noProof/>
        </w:rPr>
        <w:t xml:space="preserve"> </w:t>
      </w:r>
      <w:r w:rsidR="00FC0D9E">
        <w:rPr>
          <w:noProof/>
        </w:rPr>
        <w:t xml:space="preserve"> </w:t>
      </w:r>
      <w:r w:rsidR="0010060A">
        <w:rPr>
          <w:noProof/>
        </w:rPr>
        <w:t xml:space="preserve">The models are described in detail, including the assumptions behind and any limitations, in the Annexes A4.2 and A4.3. </w:t>
      </w:r>
    </w:p>
    <w:p w14:paraId="3E478C03" w14:textId="3B2D1F8D" w:rsidR="006B3456" w:rsidRDefault="00E04F0C" w:rsidP="00E04F0C">
      <w:pPr>
        <w:pStyle w:val="Heading2"/>
        <w:rPr>
          <w:noProof/>
        </w:rPr>
      </w:pPr>
      <w:bookmarkStart w:id="165" w:name="_Toc94629508"/>
      <w:bookmarkStart w:id="166" w:name="_Toc98857752"/>
      <w:r w:rsidRPr="00E04F0C">
        <w:t>6.1.</w:t>
      </w:r>
      <w:r w:rsidRPr="00E04F0C">
        <w:tab/>
      </w:r>
      <w:r w:rsidR="006B3456">
        <w:rPr>
          <w:noProof/>
        </w:rPr>
        <w:t>Environmental impacts</w:t>
      </w:r>
      <w:bookmarkEnd w:id="165"/>
      <w:bookmarkEnd w:id="166"/>
    </w:p>
    <w:p w14:paraId="2F484A40" w14:textId="660078F4" w:rsidR="00E51CC7" w:rsidRPr="00E51CC7" w:rsidRDefault="00E04F0C" w:rsidP="00E04F0C">
      <w:pPr>
        <w:pStyle w:val="Heading3"/>
        <w:rPr>
          <w:noProof/>
        </w:rPr>
      </w:pPr>
      <w:bookmarkStart w:id="167" w:name="_Toc88571916"/>
      <w:bookmarkStart w:id="168" w:name="_Toc94629509"/>
      <w:bookmarkStart w:id="169" w:name="_Toc98857753"/>
      <w:r w:rsidRPr="00E04F0C">
        <w:t>6.1.1.</w:t>
      </w:r>
      <w:r w:rsidRPr="00E04F0C">
        <w:tab/>
      </w:r>
      <w:r w:rsidR="00572522">
        <w:rPr>
          <w:noProof/>
        </w:rPr>
        <w:t>E</w:t>
      </w:r>
      <w:r w:rsidR="3982CBDC">
        <w:rPr>
          <w:noProof/>
        </w:rPr>
        <w:t>mission savings</w:t>
      </w:r>
      <w:bookmarkEnd w:id="167"/>
      <w:r w:rsidR="00572522">
        <w:rPr>
          <w:noProof/>
        </w:rPr>
        <w:t xml:space="preserve"> from quota system and prohibitions</w:t>
      </w:r>
      <w:bookmarkEnd w:id="168"/>
      <w:bookmarkEnd w:id="169"/>
    </w:p>
    <w:p w14:paraId="13976F17" w14:textId="2B727D47" w:rsidR="00B24A0B" w:rsidRDefault="00B24A0B" w:rsidP="00D40FD0">
      <w:pPr>
        <w:pStyle w:val="Text2"/>
        <w:spacing w:after="120" w:line="276" w:lineRule="auto"/>
        <w:ind w:left="0"/>
        <w:rPr>
          <w:noProof/>
        </w:rPr>
      </w:pPr>
      <w:r>
        <w:rPr>
          <w:noProof/>
        </w:rPr>
        <w:t xml:space="preserve">The reduction </w:t>
      </w:r>
      <w:r w:rsidR="00E96C1D">
        <w:rPr>
          <w:noProof/>
        </w:rPr>
        <w:t xml:space="preserve">in </w:t>
      </w:r>
      <w:r>
        <w:rPr>
          <w:noProof/>
        </w:rPr>
        <w:t xml:space="preserve">future </w:t>
      </w:r>
      <w:r w:rsidR="00A126DD">
        <w:rPr>
          <w:noProof/>
        </w:rPr>
        <w:t>e</w:t>
      </w:r>
      <w:r>
        <w:rPr>
          <w:noProof/>
        </w:rPr>
        <w:t>missions</w:t>
      </w:r>
      <w:r w:rsidR="008405E7">
        <w:rPr>
          <w:noProof/>
        </w:rPr>
        <w:t xml:space="preserve"> </w:t>
      </w:r>
      <w:r>
        <w:rPr>
          <w:noProof/>
        </w:rPr>
        <w:t xml:space="preserve">is determined largely by the ambition level of the </w:t>
      </w:r>
      <w:r w:rsidR="00A126DD">
        <w:rPr>
          <w:noProof/>
        </w:rPr>
        <w:t>quota system and accompanying prohibitions</w:t>
      </w:r>
      <w:r>
        <w:rPr>
          <w:noProof/>
        </w:rPr>
        <w:t xml:space="preserve">. </w:t>
      </w:r>
      <w:r w:rsidRPr="00B2045B">
        <w:rPr>
          <w:noProof/>
        </w:rPr>
        <w:t xml:space="preserve">Option 1 </w:t>
      </w:r>
      <w:r w:rsidR="00E96C1D" w:rsidRPr="00B2045B">
        <w:rPr>
          <w:noProof/>
        </w:rPr>
        <w:t xml:space="preserve">will </w:t>
      </w:r>
      <w:r w:rsidRPr="00B2045B">
        <w:rPr>
          <w:noProof/>
        </w:rPr>
        <w:t xml:space="preserve">lead to </w:t>
      </w:r>
      <w:r w:rsidR="00A126DD">
        <w:rPr>
          <w:noProof/>
        </w:rPr>
        <w:t xml:space="preserve">higher </w:t>
      </w:r>
      <w:r w:rsidR="002817B7" w:rsidRPr="00B2045B">
        <w:rPr>
          <w:noProof/>
        </w:rPr>
        <w:t xml:space="preserve">emissions </w:t>
      </w:r>
      <w:r w:rsidRPr="00B2045B">
        <w:rPr>
          <w:noProof/>
        </w:rPr>
        <w:t>compared to the baseline</w:t>
      </w:r>
      <w:r w:rsidRPr="3982CBDC">
        <w:rPr>
          <w:b/>
          <w:bCs/>
          <w:noProof/>
        </w:rPr>
        <w:t xml:space="preserve"> </w:t>
      </w:r>
      <w:r w:rsidRPr="00A126DD">
        <w:rPr>
          <w:bCs/>
          <w:noProof/>
        </w:rPr>
        <w:t>scenario</w:t>
      </w:r>
      <w:r w:rsidRPr="00A126DD">
        <w:rPr>
          <w:noProof/>
        </w:rPr>
        <w:t xml:space="preserve"> </w:t>
      </w:r>
      <w:r w:rsidR="00A126DD">
        <w:rPr>
          <w:noProof/>
        </w:rPr>
        <w:t xml:space="preserve">until 2046, </w:t>
      </w:r>
      <w:r w:rsidR="00096367">
        <w:rPr>
          <w:noProof/>
        </w:rPr>
        <w:t>fall</w:t>
      </w:r>
      <w:r w:rsidR="00A126DD">
        <w:rPr>
          <w:noProof/>
        </w:rPr>
        <w:t>ing</w:t>
      </w:r>
      <w:r w:rsidR="00096367">
        <w:rPr>
          <w:noProof/>
        </w:rPr>
        <w:t xml:space="preserve"> slightly below thereafter </w:t>
      </w:r>
      <w:r w:rsidR="00096367" w:rsidRPr="3982CBDC">
        <w:rPr>
          <w:noProof/>
        </w:rPr>
        <w:t>(</w:t>
      </w:r>
      <w:r w:rsidR="00096367" w:rsidRPr="3982CBDC">
        <w:rPr>
          <w:noProof/>
        </w:rPr>
        <w:fldChar w:fldCharType="begin"/>
      </w:r>
      <w:r w:rsidR="00096367" w:rsidRPr="00A958EC">
        <w:rPr>
          <w:noProof/>
          <w:szCs w:val="24"/>
        </w:rPr>
        <w:instrText xml:space="preserve"> REF _Ref76648988 \h </w:instrText>
      </w:r>
      <w:r w:rsidR="008405E7" w:rsidRPr="00A958EC">
        <w:rPr>
          <w:noProof/>
          <w:szCs w:val="24"/>
        </w:rPr>
        <w:instrText xml:space="preserve"> \* MERGEFORMAT </w:instrText>
      </w:r>
      <w:r w:rsidR="00096367" w:rsidRPr="3982CBDC">
        <w:rPr>
          <w:noProof/>
        </w:rPr>
      </w:r>
      <w:r w:rsidR="00096367" w:rsidRPr="3982CBDC">
        <w:rPr>
          <w:noProof/>
          <w:szCs w:val="24"/>
        </w:rPr>
        <w:fldChar w:fldCharType="separate"/>
      </w:r>
      <w:r w:rsidR="00C66A21" w:rsidRPr="00C66A21">
        <w:rPr>
          <w:noProof/>
        </w:rPr>
        <w:t>Figure 3</w:t>
      </w:r>
      <w:r w:rsidR="00096367" w:rsidRPr="3982CBDC">
        <w:rPr>
          <w:noProof/>
        </w:rPr>
        <w:fldChar w:fldCharType="end"/>
      </w:r>
      <w:r w:rsidR="00096367" w:rsidRPr="3982CBDC">
        <w:rPr>
          <w:noProof/>
        </w:rPr>
        <w:t>)</w:t>
      </w:r>
      <w:r w:rsidR="009B1951">
        <w:rPr>
          <w:noProof/>
        </w:rPr>
        <w:t>.</w:t>
      </w:r>
      <w:r w:rsidR="00E96C1D">
        <w:rPr>
          <w:noProof/>
        </w:rPr>
        <w:t xml:space="preserve"> </w:t>
      </w:r>
      <w:r w:rsidR="003670B0">
        <w:rPr>
          <w:noProof/>
        </w:rPr>
        <w:t xml:space="preserve">The </w:t>
      </w:r>
      <w:r w:rsidR="003670B0" w:rsidRPr="006A4549">
        <w:rPr>
          <w:i/>
          <w:noProof/>
        </w:rPr>
        <w:t>t</w:t>
      </w:r>
      <w:r w:rsidR="005C2D79" w:rsidRPr="006A4549">
        <w:rPr>
          <w:i/>
          <w:noProof/>
        </w:rPr>
        <w:t>otal</w:t>
      </w:r>
      <w:r w:rsidR="005C2D79">
        <w:rPr>
          <w:noProof/>
        </w:rPr>
        <w:t xml:space="preserve"> </w:t>
      </w:r>
      <w:r w:rsidR="005C2D79" w:rsidRPr="3982CBDC">
        <w:rPr>
          <w:i/>
          <w:iCs/>
          <w:noProof/>
        </w:rPr>
        <w:t xml:space="preserve">cumulative </w:t>
      </w:r>
      <w:r w:rsidR="005C2D79" w:rsidRPr="0082064A">
        <w:rPr>
          <w:iCs/>
          <w:noProof/>
        </w:rPr>
        <w:t>emissions</w:t>
      </w:r>
      <w:r w:rsidR="005C2D79" w:rsidRPr="0082064A">
        <w:rPr>
          <w:noProof/>
        </w:rPr>
        <w:t xml:space="preserve"> </w:t>
      </w:r>
      <w:r w:rsidR="005C2D79">
        <w:rPr>
          <w:noProof/>
        </w:rPr>
        <w:t xml:space="preserve">of Option 1 </w:t>
      </w:r>
      <w:r w:rsidR="00DF0005">
        <w:rPr>
          <w:noProof/>
        </w:rPr>
        <w:t>from 202</w:t>
      </w:r>
      <w:r w:rsidR="00F21237">
        <w:rPr>
          <w:noProof/>
        </w:rPr>
        <w:t>4</w:t>
      </w:r>
      <w:r w:rsidR="00DF0005">
        <w:rPr>
          <w:noProof/>
        </w:rPr>
        <w:t xml:space="preserve"> to </w:t>
      </w:r>
      <w:r w:rsidR="009B1951">
        <w:rPr>
          <w:noProof/>
        </w:rPr>
        <w:t>2050</w:t>
      </w:r>
      <w:r w:rsidR="00B2045B">
        <w:rPr>
          <w:noProof/>
        </w:rPr>
        <w:t xml:space="preserve"> are</w:t>
      </w:r>
      <w:r w:rsidR="005C2D79">
        <w:rPr>
          <w:noProof/>
        </w:rPr>
        <w:t xml:space="preserve"> 1</w:t>
      </w:r>
      <w:r w:rsidR="006A4549">
        <w:rPr>
          <w:noProof/>
        </w:rPr>
        <w:t>,</w:t>
      </w:r>
      <w:r w:rsidR="00EC0FFB">
        <w:rPr>
          <w:noProof/>
        </w:rPr>
        <w:t>050</w:t>
      </w:r>
      <w:r w:rsidR="005C2D79">
        <w:rPr>
          <w:noProof/>
        </w:rPr>
        <w:t xml:space="preserve"> MtCO2e, which is </w:t>
      </w:r>
      <w:r w:rsidR="006A4549">
        <w:rPr>
          <w:noProof/>
        </w:rPr>
        <w:t>higher than</w:t>
      </w:r>
      <w:r w:rsidR="00D40FD0">
        <w:rPr>
          <w:noProof/>
        </w:rPr>
        <w:t xml:space="preserve"> the baseline emissions</w:t>
      </w:r>
      <w:r w:rsidR="005C2D79">
        <w:rPr>
          <w:noProof/>
        </w:rPr>
        <w:t xml:space="preserve"> of 1</w:t>
      </w:r>
      <w:r w:rsidR="006A4549">
        <w:rPr>
          <w:noProof/>
        </w:rPr>
        <w:t>,</w:t>
      </w:r>
      <w:r w:rsidR="005C2D79">
        <w:rPr>
          <w:noProof/>
        </w:rPr>
        <w:t>0</w:t>
      </w:r>
      <w:r w:rsidR="00EC0FFB">
        <w:rPr>
          <w:noProof/>
        </w:rPr>
        <w:t>16</w:t>
      </w:r>
      <w:r w:rsidR="005C2D79">
        <w:rPr>
          <w:noProof/>
        </w:rPr>
        <w:t xml:space="preserve"> MtCO2e.</w:t>
      </w:r>
      <w:r w:rsidR="00B2045B">
        <w:rPr>
          <w:noProof/>
        </w:rPr>
        <w:t xml:space="preserve"> </w:t>
      </w:r>
      <w:r w:rsidR="00B2045B" w:rsidRPr="3982CBDC">
        <w:rPr>
          <w:i/>
          <w:iCs/>
          <w:noProof/>
        </w:rPr>
        <w:t xml:space="preserve">Annual </w:t>
      </w:r>
      <w:r w:rsidR="00B2045B" w:rsidRPr="0082064A">
        <w:rPr>
          <w:iCs/>
          <w:noProof/>
        </w:rPr>
        <w:t>emissions</w:t>
      </w:r>
      <w:r w:rsidR="00B2045B" w:rsidRPr="0082064A">
        <w:rPr>
          <w:noProof/>
        </w:rPr>
        <w:t xml:space="preserve"> </w:t>
      </w:r>
      <w:r w:rsidR="00B2045B" w:rsidRPr="00D40FD0">
        <w:rPr>
          <w:noProof/>
        </w:rPr>
        <w:t xml:space="preserve">in 2050 are estimated to be </w:t>
      </w:r>
      <w:r w:rsidR="00D40FD0" w:rsidRPr="00D40FD0">
        <w:rPr>
          <w:noProof/>
        </w:rPr>
        <w:t>25 MtCO2</w:t>
      </w:r>
      <w:r w:rsidR="00FB3C22">
        <w:rPr>
          <w:noProof/>
        </w:rPr>
        <w:t xml:space="preserve"> for Option 1</w:t>
      </w:r>
      <w:r w:rsidR="00B2045B" w:rsidRPr="00D40FD0">
        <w:rPr>
          <w:noProof/>
        </w:rPr>
        <w:t>,</w:t>
      </w:r>
      <w:r w:rsidR="00D40FD0">
        <w:rPr>
          <w:noProof/>
        </w:rPr>
        <w:t xml:space="preserve"> </w:t>
      </w:r>
      <w:r w:rsidR="00B2045B" w:rsidRPr="00D40FD0">
        <w:rPr>
          <w:noProof/>
        </w:rPr>
        <w:t xml:space="preserve">which is </w:t>
      </w:r>
      <w:r w:rsidR="00D40FD0" w:rsidRPr="00D40FD0">
        <w:rPr>
          <w:noProof/>
        </w:rPr>
        <w:t xml:space="preserve">7% </w:t>
      </w:r>
      <w:r w:rsidR="00B2045B" w:rsidRPr="00D40FD0">
        <w:rPr>
          <w:noProof/>
        </w:rPr>
        <w:t>below the baseline.</w:t>
      </w:r>
      <w:r w:rsidR="000D2D55">
        <w:rPr>
          <w:noProof/>
        </w:rPr>
        <w:t xml:space="preserve"> The </w:t>
      </w:r>
      <w:r w:rsidR="00F337B3">
        <w:rPr>
          <w:noProof/>
        </w:rPr>
        <w:t xml:space="preserve">total </w:t>
      </w:r>
      <w:r w:rsidR="000D2D55">
        <w:rPr>
          <w:noProof/>
        </w:rPr>
        <w:t xml:space="preserve">higher </w:t>
      </w:r>
      <w:r w:rsidR="00F337B3">
        <w:rPr>
          <w:noProof/>
        </w:rPr>
        <w:t xml:space="preserve">cumulative </w:t>
      </w:r>
      <w:r w:rsidR="000D2D55">
        <w:rPr>
          <w:noProof/>
        </w:rPr>
        <w:t xml:space="preserve">emissions in Option 1 </w:t>
      </w:r>
      <w:r w:rsidR="00F337B3">
        <w:rPr>
          <w:noProof/>
        </w:rPr>
        <w:t>is somewhat counterintuitive. It is</w:t>
      </w:r>
      <w:r w:rsidR="00BE2449" w:rsidDel="00F337B3">
        <w:rPr>
          <w:noProof/>
        </w:rPr>
        <w:t xml:space="preserve"> </w:t>
      </w:r>
      <w:r w:rsidR="00BE2449">
        <w:rPr>
          <w:noProof/>
        </w:rPr>
        <w:t>related to</w:t>
      </w:r>
      <w:r w:rsidR="000D2D55">
        <w:rPr>
          <w:noProof/>
        </w:rPr>
        <w:t xml:space="preserve"> the fact that </w:t>
      </w:r>
      <w:r w:rsidR="00F337B3">
        <w:rPr>
          <w:noProof/>
        </w:rPr>
        <w:t xml:space="preserve">on the one hand </w:t>
      </w:r>
      <w:r w:rsidR="002F66D9">
        <w:rPr>
          <w:noProof/>
        </w:rPr>
        <w:t xml:space="preserve">it is not necessary to impose any additional limitations on the use of HFCs for the sectors already covered by the phase-down in the early years (the EU consumption </w:t>
      </w:r>
      <w:r w:rsidR="00910E17">
        <w:rPr>
          <w:noProof/>
        </w:rPr>
        <w:t>is currently</w:t>
      </w:r>
      <w:r w:rsidR="002F66D9">
        <w:rPr>
          <w:noProof/>
        </w:rPr>
        <w:t xml:space="preserve"> well below the Protocol limit) and </w:t>
      </w:r>
      <w:r w:rsidR="00F337B3">
        <w:rPr>
          <w:noProof/>
        </w:rPr>
        <w:t>on the other hand</w:t>
      </w:r>
      <w:r w:rsidR="00910E17">
        <w:rPr>
          <w:noProof/>
        </w:rPr>
        <w:t>,</w:t>
      </w:r>
      <w:r w:rsidR="00F337B3">
        <w:rPr>
          <w:noProof/>
        </w:rPr>
        <w:t xml:space="preserve"> </w:t>
      </w:r>
      <w:r w:rsidR="00A47F56">
        <w:rPr>
          <w:noProof/>
        </w:rPr>
        <w:t>the way</w:t>
      </w:r>
      <w:r w:rsidR="002F66D9">
        <w:rPr>
          <w:noProof/>
        </w:rPr>
        <w:t xml:space="preserve"> </w:t>
      </w:r>
      <w:r w:rsidR="000D2D55">
        <w:rPr>
          <w:noProof/>
        </w:rPr>
        <w:t xml:space="preserve">MDIs are </w:t>
      </w:r>
      <w:r w:rsidR="002F66D9">
        <w:rPr>
          <w:noProof/>
        </w:rPr>
        <w:t xml:space="preserve">being included under the </w:t>
      </w:r>
      <w:r w:rsidR="000D2D55">
        <w:rPr>
          <w:noProof/>
        </w:rPr>
        <w:t>quota system</w:t>
      </w:r>
      <w:r w:rsidR="00A47F56">
        <w:rPr>
          <w:noProof/>
        </w:rPr>
        <w:t xml:space="preserve">. In the </w:t>
      </w:r>
      <w:r w:rsidR="00A47F56" w:rsidRPr="00A47F56">
        <w:rPr>
          <w:i/>
          <w:noProof/>
        </w:rPr>
        <w:t>initial phase</w:t>
      </w:r>
      <w:r w:rsidR="00A47F56">
        <w:rPr>
          <w:noProof/>
        </w:rPr>
        <w:t xml:space="preserve"> 2024-2026</w:t>
      </w:r>
      <w:r w:rsidR="000D2D55">
        <w:rPr>
          <w:noProof/>
        </w:rPr>
        <w:t xml:space="preserve"> significantly more quota </w:t>
      </w:r>
      <w:r w:rsidR="00910E17">
        <w:rPr>
          <w:noProof/>
        </w:rPr>
        <w:t>is</w:t>
      </w:r>
      <w:r w:rsidR="002F66D9">
        <w:rPr>
          <w:noProof/>
        </w:rPr>
        <w:t xml:space="preserve"> allocated</w:t>
      </w:r>
      <w:r w:rsidR="000D2D55">
        <w:rPr>
          <w:noProof/>
        </w:rPr>
        <w:t xml:space="preserve"> to </w:t>
      </w:r>
      <w:r w:rsidR="002F66D9">
        <w:rPr>
          <w:noProof/>
        </w:rPr>
        <w:t xml:space="preserve">fully </w:t>
      </w:r>
      <w:r w:rsidR="000D2D55">
        <w:rPr>
          <w:noProof/>
        </w:rPr>
        <w:t>provide the MDIs with HFC</w:t>
      </w:r>
      <w:r w:rsidR="002F66D9">
        <w:rPr>
          <w:noProof/>
        </w:rPr>
        <w:t xml:space="preserve">s </w:t>
      </w:r>
      <w:r w:rsidR="00F337B3">
        <w:rPr>
          <w:noProof/>
        </w:rPr>
        <w:t>(i.e. starting the ‘phase-down’ with 100%)</w:t>
      </w:r>
      <w:r w:rsidR="000D2D55" w:rsidDel="002F66D9">
        <w:rPr>
          <w:noProof/>
        </w:rPr>
        <w:t xml:space="preserve"> </w:t>
      </w:r>
      <w:r w:rsidR="00F337B3">
        <w:rPr>
          <w:noProof/>
        </w:rPr>
        <w:t xml:space="preserve">to allow for </w:t>
      </w:r>
      <w:r w:rsidR="00BE2449">
        <w:rPr>
          <w:noProof/>
        </w:rPr>
        <w:t xml:space="preserve">a smooth </w:t>
      </w:r>
      <w:r w:rsidR="00F337B3">
        <w:rPr>
          <w:noProof/>
        </w:rPr>
        <w:t>transition of</w:t>
      </w:r>
      <w:r w:rsidR="00BE2449">
        <w:rPr>
          <w:noProof/>
        </w:rPr>
        <w:t xml:space="preserve"> this sector</w:t>
      </w:r>
      <w:r w:rsidR="000D2D55">
        <w:rPr>
          <w:noProof/>
        </w:rPr>
        <w:t xml:space="preserve">. </w:t>
      </w:r>
      <w:r w:rsidR="00910E17">
        <w:rPr>
          <w:noProof/>
        </w:rPr>
        <w:t>This careful approach is likely to give the sector more time initially than needed</w:t>
      </w:r>
      <w:r w:rsidR="00A47F56">
        <w:rPr>
          <w:noProof/>
        </w:rPr>
        <w:t xml:space="preserve"> in practice</w:t>
      </w:r>
      <w:r w:rsidR="00910E17">
        <w:rPr>
          <w:noProof/>
        </w:rPr>
        <w:t xml:space="preserve">, and assumed in the baseline, for starting the technological transition.  As a result, </w:t>
      </w:r>
      <w:r w:rsidR="006B42B3">
        <w:rPr>
          <w:noProof/>
        </w:rPr>
        <w:t>there would be more quota available for other sectors (e.g. refrigeration, AC)</w:t>
      </w:r>
      <w:r w:rsidR="00BE2449">
        <w:rPr>
          <w:noProof/>
        </w:rPr>
        <w:t xml:space="preserve">, </w:t>
      </w:r>
      <w:r w:rsidR="006B42B3">
        <w:rPr>
          <w:noProof/>
        </w:rPr>
        <w:t xml:space="preserve">thus slowing down the pace of replacement in these other sectors </w:t>
      </w:r>
      <w:r w:rsidR="00B60E69">
        <w:rPr>
          <w:noProof/>
        </w:rPr>
        <w:t xml:space="preserve">and </w:t>
      </w:r>
      <w:r w:rsidR="006B42B3">
        <w:rPr>
          <w:noProof/>
        </w:rPr>
        <w:t>leading to higher amounts of HFCs stored in equipment</w:t>
      </w:r>
      <w:r w:rsidR="00B60E69">
        <w:rPr>
          <w:noProof/>
        </w:rPr>
        <w:t>. This will</w:t>
      </w:r>
      <w:r w:rsidR="006B42B3">
        <w:rPr>
          <w:noProof/>
        </w:rPr>
        <w:t xml:space="preserve"> </w:t>
      </w:r>
      <w:r w:rsidR="00BE2449">
        <w:rPr>
          <w:noProof/>
        </w:rPr>
        <w:t xml:space="preserve">slightly </w:t>
      </w:r>
      <w:r w:rsidR="006B42B3">
        <w:rPr>
          <w:noProof/>
        </w:rPr>
        <w:t>increas</w:t>
      </w:r>
      <w:r w:rsidR="00B60E69">
        <w:rPr>
          <w:noProof/>
        </w:rPr>
        <w:t>e</w:t>
      </w:r>
      <w:r w:rsidR="006B42B3">
        <w:rPr>
          <w:noProof/>
        </w:rPr>
        <w:t xml:space="preserve"> the amount of emissions in the </w:t>
      </w:r>
      <w:r w:rsidR="00BE2449">
        <w:rPr>
          <w:noProof/>
        </w:rPr>
        <w:t xml:space="preserve">short to </w:t>
      </w:r>
      <w:r w:rsidR="006B42B3">
        <w:rPr>
          <w:noProof/>
        </w:rPr>
        <w:t>medium term</w:t>
      </w:r>
      <w:r w:rsidR="00B60E69">
        <w:rPr>
          <w:noProof/>
        </w:rPr>
        <w:t>. T</w:t>
      </w:r>
      <w:r w:rsidR="006B42B3">
        <w:rPr>
          <w:noProof/>
        </w:rPr>
        <w:t xml:space="preserve">he </w:t>
      </w:r>
      <w:r w:rsidR="00B60E69">
        <w:rPr>
          <w:noProof/>
        </w:rPr>
        <w:t>HFC</w:t>
      </w:r>
      <w:r w:rsidR="006B42B3">
        <w:rPr>
          <w:noProof/>
        </w:rPr>
        <w:t xml:space="preserve"> demand </w:t>
      </w:r>
      <w:r w:rsidR="00BE2449">
        <w:rPr>
          <w:noProof/>
        </w:rPr>
        <w:t>(i.e. “use”) in O</w:t>
      </w:r>
      <w:r w:rsidR="006B42B3">
        <w:rPr>
          <w:noProof/>
        </w:rPr>
        <w:t xml:space="preserve">ption 1 does fall under the baseline </w:t>
      </w:r>
      <w:r w:rsidR="00BE2449">
        <w:rPr>
          <w:noProof/>
        </w:rPr>
        <w:t>from 2037</w:t>
      </w:r>
      <w:r w:rsidR="006B42B3">
        <w:rPr>
          <w:noProof/>
        </w:rPr>
        <w:t xml:space="preserve"> onwards, but emissions only fall below the baseline from the year 2046.</w:t>
      </w:r>
      <w:r w:rsidR="000D2D55">
        <w:rPr>
          <w:noProof/>
        </w:rPr>
        <w:t xml:space="preserve">  </w:t>
      </w:r>
    </w:p>
    <w:p w14:paraId="12CE6058" w14:textId="2D1A1ACB" w:rsidR="00C27198" w:rsidRDefault="005E6333" w:rsidP="00ED6AA4">
      <w:pPr>
        <w:spacing w:after="120"/>
        <w:rPr>
          <w:noProof/>
        </w:rPr>
      </w:pPr>
      <w:r>
        <w:rPr>
          <w:noProof/>
        </w:rPr>
        <w:t>By contrast</w:t>
      </w:r>
      <w:r w:rsidR="00BE503B" w:rsidRPr="3982CBDC">
        <w:rPr>
          <w:b/>
          <w:bCs/>
          <w:noProof/>
        </w:rPr>
        <w:t>, both Option 2</w:t>
      </w:r>
      <w:r w:rsidR="00430E9E" w:rsidRPr="3982CBDC">
        <w:rPr>
          <w:b/>
          <w:bCs/>
          <w:noProof/>
        </w:rPr>
        <w:t xml:space="preserve"> and </w:t>
      </w:r>
      <w:r w:rsidR="00BE503B" w:rsidRPr="3982CBDC">
        <w:rPr>
          <w:b/>
          <w:bCs/>
          <w:noProof/>
        </w:rPr>
        <w:t>Option 3 will lead to significant</w:t>
      </w:r>
      <w:r w:rsidR="00430E9E" w:rsidRPr="3982CBDC">
        <w:rPr>
          <w:b/>
          <w:bCs/>
          <w:noProof/>
        </w:rPr>
        <w:t xml:space="preserve">ly lower </w:t>
      </w:r>
      <w:r w:rsidR="00BE503B" w:rsidRPr="3982CBDC">
        <w:rPr>
          <w:b/>
          <w:bCs/>
          <w:noProof/>
        </w:rPr>
        <w:t>emissions</w:t>
      </w:r>
      <w:r w:rsidR="00BE503B">
        <w:rPr>
          <w:noProof/>
        </w:rPr>
        <w:t xml:space="preserve"> compared to the baseline (and Option 1).</w:t>
      </w:r>
      <w:r w:rsidR="00364EFC">
        <w:rPr>
          <w:noProof/>
        </w:rPr>
        <w:t xml:space="preserve"> </w:t>
      </w:r>
      <w:r w:rsidR="003670B0">
        <w:rPr>
          <w:noProof/>
        </w:rPr>
        <w:t>E</w:t>
      </w:r>
      <w:r w:rsidR="00364EFC">
        <w:rPr>
          <w:noProof/>
        </w:rPr>
        <w:t xml:space="preserve">mission savings are achieved starting </w:t>
      </w:r>
      <w:r w:rsidR="006A4549">
        <w:rPr>
          <w:noProof/>
        </w:rPr>
        <w:t xml:space="preserve">already </w:t>
      </w:r>
      <w:r w:rsidR="00364EFC">
        <w:rPr>
          <w:noProof/>
        </w:rPr>
        <w:t xml:space="preserve">in 2025 </w:t>
      </w:r>
      <w:r w:rsidR="00D40FD0">
        <w:rPr>
          <w:noProof/>
        </w:rPr>
        <w:t>and continue until 205</w:t>
      </w:r>
      <w:r w:rsidR="009E1FE3">
        <w:rPr>
          <w:noProof/>
        </w:rPr>
        <w:t xml:space="preserve">0. </w:t>
      </w:r>
      <w:r w:rsidR="00BE503B" w:rsidRPr="3982CBDC">
        <w:rPr>
          <w:b/>
          <w:bCs/>
          <w:noProof/>
        </w:rPr>
        <w:t xml:space="preserve">The difference in savings between Option 2 and 3 </w:t>
      </w:r>
      <w:r w:rsidR="00430E9E" w:rsidRPr="3982CBDC">
        <w:rPr>
          <w:b/>
          <w:bCs/>
          <w:noProof/>
        </w:rPr>
        <w:t>is</w:t>
      </w:r>
      <w:r w:rsidR="00BE503B" w:rsidRPr="3982CBDC">
        <w:rPr>
          <w:b/>
          <w:bCs/>
          <w:noProof/>
        </w:rPr>
        <w:t xml:space="preserve"> </w:t>
      </w:r>
      <w:r w:rsidR="005C2D79" w:rsidRPr="3982CBDC">
        <w:rPr>
          <w:b/>
          <w:bCs/>
          <w:noProof/>
        </w:rPr>
        <w:t xml:space="preserve">relatively </w:t>
      </w:r>
      <w:r w:rsidR="00BE503B" w:rsidRPr="3982CBDC">
        <w:rPr>
          <w:b/>
          <w:bCs/>
          <w:noProof/>
        </w:rPr>
        <w:t>small</w:t>
      </w:r>
      <w:r w:rsidR="008405E7" w:rsidRPr="3982CBDC">
        <w:rPr>
          <w:b/>
          <w:bCs/>
          <w:noProof/>
        </w:rPr>
        <w:t xml:space="preserve"> </w:t>
      </w:r>
      <w:r w:rsidR="008405E7" w:rsidRPr="00A41B24">
        <w:rPr>
          <w:noProof/>
        </w:rPr>
        <w:t>and is mainly due to further abatement in</w:t>
      </w:r>
      <w:r w:rsidR="007D57FA">
        <w:rPr>
          <w:noProof/>
        </w:rPr>
        <w:t xml:space="preserve"> a few sub-sectors</w:t>
      </w:r>
      <w:r w:rsidR="00A41B24">
        <w:rPr>
          <w:noProof/>
        </w:rPr>
        <w:t xml:space="preserve"> (mobile AC in buses, metro and trains)</w:t>
      </w:r>
      <w:r w:rsidR="00430E9E" w:rsidRPr="3982CBDC">
        <w:rPr>
          <w:b/>
          <w:bCs/>
          <w:noProof/>
        </w:rPr>
        <w:t xml:space="preserve">. </w:t>
      </w:r>
      <w:r w:rsidR="00430E9E">
        <w:rPr>
          <w:noProof/>
        </w:rPr>
        <w:t>The total</w:t>
      </w:r>
      <w:r w:rsidR="006907B5">
        <w:rPr>
          <w:noProof/>
        </w:rPr>
        <w:t xml:space="preserve"> </w:t>
      </w:r>
      <w:r w:rsidR="006907B5" w:rsidRPr="3982CBDC">
        <w:rPr>
          <w:i/>
          <w:iCs/>
          <w:noProof/>
        </w:rPr>
        <w:t xml:space="preserve">cumulative </w:t>
      </w:r>
      <w:r w:rsidR="006907B5" w:rsidRPr="0082064A">
        <w:rPr>
          <w:iCs/>
          <w:noProof/>
        </w:rPr>
        <w:t>emissions</w:t>
      </w:r>
      <w:r w:rsidR="006907B5" w:rsidRPr="0082064A">
        <w:rPr>
          <w:noProof/>
        </w:rPr>
        <w:t xml:space="preserve"> </w:t>
      </w:r>
      <w:r w:rsidR="00DF0005">
        <w:rPr>
          <w:noProof/>
        </w:rPr>
        <w:t xml:space="preserve">until 2050 would be </w:t>
      </w:r>
      <w:r w:rsidR="00EC0FFB">
        <w:rPr>
          <w:noProof/>
        </w:rPr>
        <w:t xml:space="preserve">763 </w:t>
      </w:r>
      <w:r w:rsidR="00DF0005">
        <w:rPr>
          <w:noProof/>
        </w:rPr>
        <w:t xml:space="preserve">and </w:t>
      </w:r>
      <w:r w:rsidR="00EC0FFB">
        <w:rPr>
          <w:noProof/>
        </w:rPr>
        <w:t xml:space="preserve">736 </w:t>
      </w:r>
      <w:r w:rsidR="006907B5">
        <w:rPr>
          <w:noProof/>
        </w:rPr>
        <w:t>MtCO2</w:t>
      </w:r>
      <w:r w:rsidR="005C2D79">
        <w:rPr>
          <w:noProof/>
        </w:rPr>
        <w:t>e</w:t>
      </w:r>
      <w:r w:rsidR="00DF0005">
        <w:rPr>
          <w:noProof/>
        </w:rPr>
        <w:t xml:space="preserve"> under Option </w:t>
      </w:r>
      <w:r w:rsidR="00430E9E">
        <w:rPr>
          <w:noProof/>
        </w:rPr>
        <w:t xml:space="preserve">2 and </w:t>
      </w:r>
      <w:r w:rsidR="00DF0005">
        <w:rPr>
          <w:noProof/>
        </w:rPr>
        <w:t>3</w:t>
      </w:r>
      <w:r w:rsidR="00430E9E">
        <w:rPr>
          <w:noProof/>
        </w:rPr>
        <w:t>, respectively</w:t>
      </w:r>
      <w:r w:rsidR="006907B5">
        <w:rPr>
          <w:noProof/>
        </w:rPr>
        <w:t xml:space="preserve">. </w:t>
      </w:r>
      <w:r w:rsidR="00DF0005">
        <w:rPr>
          <w:noProof/>
        </w:rPr>
        <w:t xml:space="preserve">Compared to the baseline </w:t>
      </w:r>
      <w:r w:rsidR="00430E9E">
        <w:rPr>
          <w:noProof/>
        </w:rPr>
        <w:t>(</w:t>
      </w:r>
      <w:r w:rsidR="00DF0005">
        <w:rPr>
          <w:noProof/>
        </w:rPr>
        <w:t>and Option 1</w:t>
      </w:r>
      <w:r w:rsidR="00430E9E">
        <w:rPr>
          <w:noProof/>
        </w:rPr>
        <w:t>)</w:t>
      </w:r>
      <w:r w:rsidR="00A126DD">
        <w:rPr>
          <w:noProof/>
        </w:rPr>
        <w:t>,</w:t>
      </w:r>
      <w:r w:rsidR="00DF0005">
        <w:rPr>
          <w:noProof/>
        </w:rPr>
        <w:t xml:space="preserve"> this is </w:t>
      </w:r>
      <w:r w:rsidR="00DF0005" w:rsidRPr="3982CBDC">
        <w:rPr>
          <w:b/>
          <w:bCs/>
          <w:noProof/>
        </w:rPr>
        <w:t xml:space="preserve">a </w:t>
      </w:r>
      <w:r w:rsidR="00D40FD0" w:rsidRPr="3982CBDC">
        <w:rPr>
          <w:b/>
          <w:bCs/>
          <w:noProof/>
        </w:rPr>
        <w:t xml:space="preserve">further </w:t>
      </w:r>
      <w:r w:rsidR="00DF0005" w:rsidRPr="3982CBDC">
        <w:rPr>
          <w:b/>
          <w:bCs/>
          <w:noProof/>
        </w:rPr>
        <w:t xml:space="preserve">drop </w:t>
      </w:r>
      <w:r w:rsidR="00430E9E" w:rsidRPr="3982CBDC">
        <w:rPr>
          <w:b/>
          <w:bCs/>
          <w:noProof/>
        </w:rPr>
        <w:t xml:space="preserve">in cumulative emissions </w:t>
      </w:r>
      <w:r w:rsidR="00FB3C22">
        <w:rPr>
          <w:b/>
          <w:bCs/>
          <w:noProof/>
        </w:rPr>
        <w:t xml:space="preserve">of </w:t>
      </w:r>
      <w:r w:rsidR="00DF0005" w:rsidRPr="3982CBDC">
        <w:rPr>
          <w:b/>
          <w:bCs/>
          <w:noProof/>
        </w:rPr>
        <w:t>25%</w:t>
      </w:r>
      <w:r w:rsidR="00DF0005">
        <w:rPr>
          <w:noProof/>
        </w:rPr>
        <w:t xml:space="preserve"> </w:t>
      </w:r>
      <w:r w:rsidR="00FB3C22" w:rsidRPr="00FB3C22">
        <w:rPr>
          <w:b/>
          <w:noProof/>
        </w:rPr>
        <w:t>and 28%,</w:t>
      </w:r>
      <w:r w:rsidR="00FB3C22">
        <w:rPr>
          <w:noProof/>
        </w:rPr>
        <w:t xml:space="preserve"> respectively </w:t>
      </w:r>
      <w:r w:rsidR="00DF0005">
        <w:rPr>
          <w:noProof/>
        </w:rPr>
        <w:t>(</w:t>
      </w:r>
      <w:r w:rsidR="00EC0FFB">
        <w:rPr>
          <w:noProof/>
        </w:rPr>
        <w:t xml:space="preserve">253 </w:t>
      </w:r>
      <w:r w:rsidR="00430E9E">
        <w:rPr>
          <w:noProof/>
        </w:rPr>
        <w:t xml:space="preserve">MtCO2 less </w:t>
      </w:r>
      <w:r w:rsidR="00DF0005">
        <w:rPr>
          <w:noProof/>
        </w:rPr>
        <w:t xml:space="preserve">in Option 2 </w:t>
      </w:r>
      <w:r w:rsidR="00EC0FFB">
        <w:rPr>
          <w:noProof/>
        </w:rPr>
        <w:t xml:space="preserve">and 280 MtCO2 </w:t>
      </w:r>
      <w:r w:rsidR="00430E9E">
        <w:rPr>
          <w:noProof/>
        </w:rPr>
        <w:t xml:space="preserve">less </w:t>
      </w:r>
      <w:r w:rsidR="00DF0005">
        <w:rPr>
          <w:noProof/>
        </w:rPr>
        <w:t>in Option 3</w:t>
      </w:r>
      <w:r w:rsidR="00430E9E">
        <w:rPr>
          <w:noProof/>
        </w:rPr>
        <w:t>)</w:t>
      </w:r>
      <w:r w:rsidR="00EC0FFB">
        <w:rPr>
          <w:noProof/>
        </w:rPr>
        <w:t>.</w:t>
      </w:r>
      <w:r w:rsidR="00B2045B" w:rsidRPr="3982CBDC">
        <w:rPr>
          <w:i/>
          <w:iCs/>
          <w:noProof/>
        </w:rPr>
        <w:t xml:space="preserve"> Annual </w:t>
      </w:r>
      <w:r w:rsidR="00B2045B" w:rsidRPr="0082064A">
        <w:rPr>
          <w:iCs/>
          <w:noProof/>
        </w:rPr>
        <w:t>emissions</w:t>
      </w:r>
      <w:r w:rsidR="00B2045B" w:rsidRPr="0082064A">
        <w:rPr>
          <w:noProof/>
        </w:rPr>
        <w:t xml:space="preserve"> </w:t>
      </w:r>
      <w:r w:rsidR="00B2045B">
        <w:rPr>
          <w:noProof/>
        </w:rPr>
        <w:t>in 2050 are estimated to be 14 and 13 MtCO2e for Option 2 and 3, re</w:t>
      </w:r>
      <w:r w:rsidR="00D40FD0">
        <w:rPr>
          <w:noProof/>
        </w:rPr>
        <w:t>s</w:t>
      </w:r>
      <w:r w:rsidR="00B2045B">
        <w:rPr>
          <w:noProof/>
        </w:rPr>
        <w:t>pectively</w:t>
      </w:r>
      <w:r w:rsidR="00C27198">
        <w:rPr>
          <w:noProof/>
        </w:rPr>
        <w:t xml:space="preserve"> (see also </w:t>
      </w:r>
      <w:r w:rsidR="00C27198">
        <w:rPr>
          <w:rFonts w:eastAsia="Times New Roman" w:cs="Times New Roman"/>
          <w:noProof/>
        </w:rPr>
        <w:t xml:space="preserve">Annex </w:t>
      </w:r>
      <w:r w:rsidR="00C12FC9">
        <w:rPr>
          <w:rFonts w:eastAsia="Times New Roman" w:cs="Times New Roman"/>
          <w:noProof/>
        </w:rPr>
        <w:t xml:space="preserve">A11.1.2). </w:t>
      </w:r>
      <w:r w:rsidR="00B52095">
        <w:rPr>
          <w:rFonts w:eastAsia="Times New Roman" w:cs="Times New Roman"/>
          <w:noProof/>
        </w:rPr>
        <w:t>The remaining emissions for</w:t>
      </w:r>
      <w:r w:rsidR="00E20564">
        <w:rPr>
          <w:rFonts w:eastAsia="Times New Roman" w:cs="Times New Roman"/>
          <w:noProof/>
        </w:rPr>
        <w:t xml:space="preserve"> </w:t>
      </w:r>
      <w:r w:rsidR="00ED6AA4">
        <w:rPr>
          <w:rFonts w:eastAsia="Times New Roman" w:cs="Times New Roman"/>
          <w:noProof/>
        </w:rPr>
        <w:t xml:space="preserve">Option 1 </w:t>
      </w:r>
      <w:r w:rsidR="00B52095">
        <w:rPr>
          <w:rFonts w:eastAsia="Times New Roman" w:cs="Times New Roman"/>
          <w:noProof/>
        </w:rPr>
        <w:t xml:space="preserve">in 2050 are almost double that amount (see above). </w:t>
      </w:r>
    </w:p>
    <w:p w14:paraId="319D9DE7" w14:textId="61FB9478" w:rsidR="00C27198" w:rsidRDefault="00C27198" w:rsidP="006A4549">
      <w:pPr>
        <w:pStyle w:val="Text2"/>
        <w:spacing w:after="120" w:line="276" w:lineRule="auto"/>
        <w:ind w:left="0"/>
        <w:rPr>
          <w:noProof/>
        </w:rPr>
      </w:pPr>
      <w:r>
        <w:rPr>
          <w:noProof/>
        </w:rPr>
        <w:t xml:space="preserve">Option 2 and 3 are </w:t>
      </w:r>
      <w:r w:rsidRPr="589F7AD4">
        <w:rPr>
          <w:noProof/>
        </w:rPr>
        <w:t xml:space="preserve">considered to be </w:t>
      </w:r>
      <w:r w:rsidR="001B6936">
        <w:rPr>
          <w:noProof/>
        </w:rPr>
        <w:t>in line</w:t>
      </w:r>
      <w:r w:rsidR="001B6936" w:rsidRPr="589F7AD4">
        <w:rPr>
          <w:noProof/>
        </w:rPr>
        <w:t xml:space="preserve"> </w:t>
      </w:r>
      <w:r w:rsidRPr="589F7AD4">
        <w:rPr>
          <w:noProof/>
        </w:rPr>
        <w:t xml:space="preserve">with </w:t>
      </w:r>
      <w:r w:rsidR="001B6936">
        <w:rPr>
          <w:noProof/>
        </w:rPr>
        <w:t xml:space="preserve">the objective of </w:t>
      </w:r>
      <w:r>
        <w:rPr>
          <w:noProof/>
        </w:rPr>
        <w:t>reaching climate neutrality by 2050</w:t>
      </w:r>
      <w:r w:rsidR="00ED6AA4">
        <w:rPr>
          <w:noProof/>
        </w:rPr>
        <w:t xml:space="preserve">. </w:t>
      </w:r>
      <w:r>
        <w:rPr>
          <w:noProof/>
        </w:rPr>
        <w:t xml:space="preserve">They reduce the need for </w:t>
      </w:r>
      <w:r w:rsidRPr="0D7FF422">
        <w:rPr>
          <w:noProof/>
        </w:rPr>
        <w:t>carbon-removal policies</w:t>
      </w:r>
      <w:r>
        <w:rPr>
          <w:noProof/>
        </w:rPr>
        <w:t xml:space="preserve"> to compensate for emissions that cannot be avoided in 2050 to achieve net climate neutrality</w:t>
      </w:r>
      <w:r w:rsidRPr="0D7FF422">
        <w:rPr>
          <w:noProof/>
        </w:rPr>
        <w:t>.</w:t>
      </w:r>
      <w:r w:rsidRPr="1CE7CFA7">
        <w:rPr>
          <w:noProof/>
        </w:rPr>
        <w:t xml:space="preserve"> </w:t>
      </w:r>
      <w:r>
        <w:rPr>
          <w:noProof/>
        </w:rPr>
        <w:t>It is likely that even stricter F-gas policies can be introduced later (before 2050) at lower costs than today in light of new future technological developments</w:t>
      </w:r>
      <w:r w:rsidR="00AA244F">
        <w:rPr>
          <w:noProof/>
        </w:rPr>
        <w:t>.</w:t>
      </w:r>
      <w:r>
        <w:rPr>
          <w:rStyle w:val="FootnoteReference"/>
          <w:noProof/>
        </w:rPr>
        <w:footnoteReference w:id="77"/>
      </w:r>
    </w:p>
    <w:p w14:paraId="4C75E086" w14:textId="2A91A9A3" w:rsidR="006A4549" w:rsidRDefault="006A4549" w:rsidP="006A4549">
      <w:pPr>
        <w:pStyle w:val="Text2"/>
        <w:spacing w:after="120" w:line="276" w:lineRule="auto"/>
        <w:ind w:left="0"/>
        <w:rPr>
          <w:noProof/>
        </w:rPr>
      </w:pPr>
      <w:r>
        <w:rPr>
          <w:noProof/>
        </w:rPr>
        <w:t xml:space="preserve">At a sectoral level the differences in emissions relate largely to the stationary </w:t>
      </w:r>
      <w:r w:rsidR="00E9721E">
        <w:rPr>
          <w:noProof/>
        </w:rPr>
        <w:t>AC</w:t>
      </w:r>
      <w:r>
        <w:rPr>
          <w:noProof/>
        </w:rPr>
        <w:t xml:space="preserve"> sector and MDIs </w:t>
      </w:r>
      <w:r w:rsidRPr="00D84902">
        <w:rPr>
          <w:noProof/>
        </w:rPr>
        <w:t>(</w:t>
      </w:r>
      <w:r w:rsidRPr="00D84902">
        <w:rPr>
          <w:noProof/>
        </w:rPr>
        <w:fldChar w:fldCharType="begin"/>
      </w:r>
      <w:r w:rsidRPr="00D84902">
        <w:rPr>
          <w:noProof/>
        </w:rPr>
        <w:instrText xml:space="preserve"> REF _Ref85697857 \h  \* MERGEFORMAT </w:instrText>
      </w:r>
      <w:r w:rsidRPr="00D84902">
        <w:rPr>
          <w:noProof/>
        </w:rPr>
      </w:r>
      <w:r w:rsidRPr="00D84902">
        <w:rPr>
          <w:noProof/>
        </w:rPr>
        <w:fldChar w:fldCharType="separate"/>
      </w:r>
      <w:r w:rsidR="00C66A21" w:rsidRPr="00C66A21">
        <w:rPr>
          <w:rFonts w:eastAsia="Calibri"/>
          <w:noProof/>
        </w:rPr>
        <w:t>Table 3</w:t>
      </w:r>
      <w:r w:rsidRPr="00D84902">
        <w:rPr>
          <w:noProof/>
        </w:rPr>
        <w:fldChar w:fldCharType="end"/>
      </w:r>
      <w:r w:rsidRPr="00D84902">
        <w:rPr>
          <w:noProof/>
        </w:rPr>
        <w:t>).</w:t>
      </w:r>
      <w:r>
        <w:rPr>
          <w:noProof/>
        </w:rPr>
        <w:t xml:space="preserve"> There are significant differences in transition speed between Option 1 (and the baseline) on the one hand, and Option 2 and 3 on the other. Some further savings are also achieved in refrigeration and mobile air-conditioning</w:t>
      </w:r>
      <w:r>
        <w:rPr>
          <w:rStyle w:val="FootnoteReference"/>
          <w:noProof/>
        </w:rPr>
        <w:footnoteReference w:id="78"/>
      </w:r>
      <w:r>
        <w:rPr>
          <w:noProof/>
        </w:rPr>
        <w:t xml:space="preserve"> by the more ambitious options. Restrictions on switchgear introduced by Options 2 and 3 </w:t>
      </w:r>
      <w:r w:rsidR="003F31D3">
        <w:rPr>
          <w:noProof/>
        </w:rPr>
        <w:t>would lower</w:t>
      </w:r>
      <w:r>
        <w:rPr>
          <w:noProof/>
        </w:rPr>
        <w:t xml:space="preserve"> demand compared to Option 1 and the baseline, but emission reducti</w:t>
      </w:r>
      <w:r w:rsidR="003F31D3">
        <w:rPr>
          <w:noProof/>
        </w:rPr>
        <w:t>ons would happen</w:t>
      </w:r>
      <w:r>
        <w:rPr>
          <w:noProof/>
        </w:rPr>
        <w:t xml:space="preserve"> rather slowly due to the very long lifetimes of the equipment (50 years). For the remaining sectors</w:t>
      </w:r>
      <w:r>
        <w:rPr>
          <w:rStyle w:val="FootnoteReference"/>
          <w:noProof/>
        </w:rPr>
        <w:footnoteReference w:id="79"/>
      </w:r>
      <w:r>
        <w:rPr>
          <w:noProof/>
        </w:rPr>
        <w:t xml:space="preserve"> the differences between the options (and the baseline) are small. </w:t>
      </w:r>
    </w:p>
    <w:p w14:paraId="179E3C33" w14:textId="51BF0787" w:rsidR="00127A8B" w:rsidRDefault="005B5A7F" w:rsidP="007A1A81">
      <w:pPr>
        <w:pStyle w:val="Caption"/>
        <w:jc w:val="center"/>
        <w:rPr>
          <w:noProof/>
        </w:rPr>
      </w:pPr>
      <w:r>
        <w:rPr>
          <w:noProof/>
          <w:lang w:eastAsia="en-GB"/>
        </w:rPr>
        <w:drawing>
          <wp:inline distT="0" distB="0" distL="0" distR="0" wp14:anchorId="79F6A39E" wp14:editId="5094D254">
            <wp:extent cx="4720590" cy="3371850"/>
            <wp:effectExtent l="0" t="0" r="3810" b="0"/>
            <wp:docPr id="1463886401" name="picture" descr="C:\Users\kaschar\AppData\Local\Microsoft\Windows\INetCache\Content.Outlook\16CJ784J\All_Em_CO2_onlyFgases_EU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20590" cy="3371850"/>
                    </a:xfrm>
                    <a:prstGeom prst="rect">
                      <a:avLst/>
                    </a:prstGeom>
                  </pic:spPr>
                </pic:pic>
              </a:graphicData>
            </a:graphic>
          </wp:inline>
        </w:drawing>
      </w:r>
    </w:p>
    <w:p w14:paraId="65EFF24B" w14:textId="3E905ED2" w:rsidR="00FA5809" w:rsidRDefault="00FA5809" w:rsidP="3982CBDC">
      <w:pPr>
        <w:keepNext/>
        <w:spacing w:after="0"/>
        <w:rPr>
          <w:rFonts w:asciiTheme="minorHAnsi" w:hAnsiTheme="minorHAnsi"/>
          <w:noProof/>
          <w:color w:val="0070C0"/>
          <w:sz w:val="20"/>
          <w:szCs w:val="20"/>
        </w:rPr>
      </w:pPr>
      <w:bookmarkStart w:id="170" w:name="_Ref76648988"/>
      <w:r w:rsidRPr="3982CBDC">
        <w:rPr>
          <w:rFonts w:asciiTheme="minorHAnsi" w:hAnsiTheme="minorHAnsi"/>
          <w:b/>
          <w:bCs/>
          <w:noProof/>
          <w:color w:val="0070C0"/>
          <w:sz w:val="20"/>
          <w:szCs w:val="20"/>
        </w:rPr>
        <w:t xml:space="preserve">Figure </w:t>
      </w:r>
      <w:r w:rsidRPr="3982CBDC">
        <w:rPr>
          <w:noProof/>
        </w:rPr>
        <w:fldChar w:fldCharType="begin"/>
      </w:r>
      <w:r w:rsidRPr="00C87CD9">
        <w:rPr>
          <w:rFonts w:asciiTheme="minorHAnsi" w:hAnsiTheme="minorHAnsi" w:cstheme="minorHAnsi"/>
          <w:b/>
          <w:noProof/>
          <w:color w:val="0070C0"/>
          <w:sz w:val="20"/>
          <w:szCs w:val="20"/>
        </w:rPr>
        <w:instrText xml:space="preserve"> SEQ Figure \* ARABIC </w:instrText>
      </w:r>
      <w:r w:rsidRPr="3982CBDC">
        <w:rPr>
          <w:rFonts w:asciiTheme="minorHAnsi" w:hAnsiTheme="minorHAnsi" w:cstheme="minorHAnsi"/>
          <w:b/>
          <w:noProof/>
          <w:color w:val="0070C0"/>
          <w:sz w:val="20"/>
          <w:szCs w:val="20"/>
        </w:rPr>
        <w:fldChar w:fldCharType="separate"/>
      </w:r>
      <w:r w:rsidR="00C66A21">
        <w:rPr>
          <w:rFonts w:asciiTheme="minorHAnsi" w:hAnsiTheme="minorHAnsi" w:cstheme="minorHAnsi"/>
          <w:b/>
          <w:noProof/>
          <w:color w:val="0070C0"/>
          <w:sz w:val="20"/>
          <w:szCs w:val="20"/>
        </w:rPr>
        <w:t>3</w:t>
      </w:r>
      <w:r w:rsidRPr="3982CBDC">
        <w:rPr>
          <w:noProof/>
        </w:rPr>
        <w:fldChar w:fldCharType="end"/>
      </w:r>
      <w:bookmarkEnd w:id="170"/>
      <w:r w:rsidRPr="3982CBDC">
        <w:rPr>
          <w:rFonts w:asciiTheme="minorHAnsi" w:hAnsiTheme="minorHAnsi"/>
          <w:b/>
          <w:bCs/>
          <w:noProof/>
          <w:color w:val="0070C0"/>
          <w:sz w:val="20"/>
          <w:szCs w:val="20"/>
        </w:rPr>
        <w:t>:</w:t>
      </w:r>
      <w:r w:rsidRPr="3982CBDC">
        <w:rPr>
          <w:rFonts w:asciiTheme="minorHAnsi" w:hAnsiTheme="minorHAnsi"/>
          <w:noProof/>
          <w:color w:val="0070C0"/>
          <w:sz w:val="20"/>
          <w:szCs w:val="20"/>
        </w:rPr>
        <w:t xml:space="preserve"> Modelled emissions of F-gases for the different options in the EU27</w:t>
      </w:r>
      <w:r w:rsidR="003F70E0">
        <w:rPr>
          <w:rFonts w:asciiTheme="minorHAnsi" w:hAnsiTheme="minorHAnsi"/>
          <w:noProof/>
          <w:color w:val="0070C0"/>
          <w:sz w:val="20"/>
          <w:szCs w:val="20"/>
        </w:rPr>
        <w:t xml:space="preserve"> (based on reductions from the quota system and prohibitions only)</w:t>
      </w:r>
    </w:p>
    <w:p w14:paraId="353AE0C2" w14:textId="77777777" w:rsidR="0064669C" w:rsidRPr="007A1A81" w:rsidRDefault="0064669C" w:rsidP="3982CBDC">
      <w:pPr>
        <w:keepNext/>
        <w:spacing w:after="0"/>
        <w:rPr>
          <w:rFonts w:asciiTheme="minorHAnsi" w:hAnsiTheme="minorHAnsi"/>
          <w:noProof/>
          <w:color w:val="0070C0"/>
          <w:sz w:val="16"/>
          <w:szCs w:val="16"/>
        </w:rPr>
      </w:pPr>
    </w:p>
    <w:p w14:paraId="1EF27503" w14:textId="7FD7023F" w:rsidR="009E1FE3" w:rsidRPr="00E51CC7" w:rsidRDefault="00B547E1" w:rsidP="3982CBDC">
      <w:pPr>
        <w:pStyle w:val="Caption"/>
        <w:rPr>
          <w:rFonts w:asciiTheme="minorHAnsi" w:eastAsia="Calibri" w:hAnsiTheme="minorHAnsi" w:cstheme="minorBidi"/>
          <w:i/>
          <w:noProof/>
        </w:rPr>
      </w:pPr>
      <w:bookmarkStart w:id="171" w:name="_Ref85697857"/>
      <w:bookmarkStart w:id="172" w:name="_Toc77782521"/>
      <w:bookmarkStart w:id="173" w:name="_Ref85697852"/>
      <w:r w:rsidRPr="3982CBDC">
        <w:rPr>
          <w:rFonts w:asciiTheme="minorHAnsi" w:eastAsia="Calibri" w:hAnsiTheme="minorHAnsi" w:cstheme="minorBidi"/>
          <w:b/>
          <w:bCs/>
          <w:noProof/>
        </w:rPr>
        <w:t xml:space="preserve">Table </w:t>
      </w:r>
      <w:r w:rsidR="0088605C" w:rsidRPr="3982CBDC">
        <w:rPr>
          <w:noProof/>
        </w:rPr>
        <w:fldChar w:fldCharType="begin"/>
      </w:r>
      <w:r w:rsidR="0088605C" w:rsidRPr="00C87CD9">
        <w:rPr>
          <w:rFonts w:asciiTheme="minorHAnsi" w:eastAsia="Calibri" w:hAnsiTheme="minorHAnsi" w:cstheme="minorHAnsi"/>
          <w:b/>
          <w:noProof/>
          <w:szCs w:val="20"/>
        </w:rPr>
        <w:instrText xml:space="preserve"> SEQ Table \* ARABIC </w:instrText>
      </w:r>
      <w:r w:rsidR="0088605C" w:rsidRPr="3982CBDC">
        <w:rPr>
          <w:rFonts w:asciiTheme="minorHAnsi" w:eastAsia="Calibri" w:hAnsiTheme="minorHAnsi" w:cstheme="minorHAnsi"/>
          <w:b/>
          <w:noProof/>
          <w:szCs w:val="20"/>
        </w:rPr>
        <w:fldChar w:fldCharType="separate"/>
      </w:r>
      <w:r w:rsidR="00830261">
        <w:rPr>
          <w:rFonts w:asciiTheme="minorHAnsi" w:eastAsia="Calibri" w:hAnsiTheme="minorHAnsi" w:cstheme="minorHAnsi"/>
          <w:b/>
          <w:noProof/>
          <w:szCs w:val="20"/>
        </w:rPr>
        <w:t>3</w:t>
      </w:r>
      <w:r w:rsidR="0088605C" w:rsidRPr="3982CBDC">
        <w:rPr>
          <w:noProof/>
        </w:rPr>
        <w:fldChar w:fldCharType="end"/>
      </w:r>
      <w:bookmarkEnd w:id="171"/>
      <w:r w:rsidRPr="3982CBDC">
        <w:rPr>
          <w:rFonts w:asciiTheme="minorHAnsi" w:eastAsia="Calibri" w:hAnsiTheme="minorHAnsi" w:cstheme="minorBidi"/>
          <w:b/>
          <w:bCs/>
          <w:noProof/>
        </w:rPr>
        <w:t>:</w:t>
      </w:r>
      <w:r w:rsidRPr="3982CBDC">
        <w:rPr>
          <w:rFonts w:asciiTheme="minorHAnsi" w:eastAsia="Calibri" w:hAnsiTheme="minorHAnsi" w:cstheme="minorBidi"/>
          <w:noProof/>
        </w:rPr>
        <w:t xml:space="preserve"> Sum of modelled </w:t>
      </w:r>
      <w:r w:rsidR="003236D1" w:rsidRPr="3982CBDC">
        <w:rPr>
          <w:rFonts w:asciiTheme="minorHAnsi" w:eastAsia="Calibri" w:hAnsiTheme="minorHAnsi" w:cstheme="minorBidi"/>
          <w:noProof/>
        </w:rPr>
        <w:t>cumulative emissions</w:t>
      </w:r>
      <w:r w:rsidRPr="3982CBDC">
        <w:rPr>
          <w:rFonts w:asciiTheme="minorHAnsi" w:eastAsia="Calibri" w:hAnsiTheme="minorHAnsi" w:cstheme="minorBidi"/>
          <w:noProof/>
        </w:rPr>
        <w:t xml:space="preserve"> of F-gases in MtCO</w:t>
      </w:r>
      <w:r w:rsidRPr="3982CBDC">
        <w:rPr>
          <w:rFonts w:asciiTheme="minorHAnsi" w:eastAsia="Calibri" w:hAnsiTheme="minorHAnsi" w:cstheme="minorBidi"/>
          <w:noProof/>
          <w:vertAlign w:val="subscript"/>
        </w:rPr>
        <w:t>2</w:t>
      </w:r>
      <w:r w:rsidR="003236D1" w:rsidRPr="3982CBDC">
        <w:rPr>
          <w:rFonts w:asciiTheme="minorHAnsi" w:eastAsia="Calibri" w:hAnsiTheme="minorHAnsi" w:cstheme="minorBidi"/>
          <w:noProof/>
        </w:rPr>
        <w:t>e from 2024</w:t>
      </w:r>
      <w:r w:rsidR="000D2D55">
        <w:rPr>
          <w:rFonts w:asciiTheme="minorHAnsi" w:eastAsia="Calibri" w:hAnsiTheme="minorHAnsi" w:cstheme="minorBidi"/>
          <w:noProof/>
        </w:rPr>
        <w:t xml:space="preserve"> (i.e. estimated entry into force of new Regulation)</w:t>
      </w:r>
      <w:r w:rsidRPr="3982CBDC">
        <w:rPr>
          <w:rFonts w:asciiTheme="minorHAnsi" w:eastAsia="Calibri" w:hAnsiTheme="minorHAnsi" w:cstheme="minorBidi"/>
          <w:noProof/>
        </w:rPr>
        <w:t xml:space="preserve"> to </w:t>
      </w:r>
      <w:r w:rsidR="003236D1" w:rsidRPr="3982CBDC">
        <w:rPr>
          <w:rFonts w:asciiTheme="minorHAnsi" w:eastAsia="Calibri" w:hAnsiTheme="minorHAnsi" w:cstheme="minorBidi"/>
          <w:noProof/>
        </w:rPr>
        <w:t>2050 for the different options</w:t>
      </w:r>
      <w:r w:rsidRPr="3982CBDC">
        <w:rPr>
          <w:rFonts w:asciiTheme="minorHAnsi" w:eastAsia="Calibri" w:hAnsiTheme="minorHAnsi" w:cstheme="minorBidi"/>
          <w:noProof/>
        </w:rPr>
        <w:t xml:space="preserve"> </w:t>
      </w:r>
      <w:bookmarkEnd w:id="172"/>
      <w:r w:rsidR="003236D1" w:rsidRPr="3982CBDC">
        <w:rPr>
          <w:rFonts w:asciiTheme="minorHAnsi" w:eastAsia="Calibri" w:hAnsiTheme="minorHAnsi" w:cstheme="minorBidi"/>
          <w:noProof/>
        </w:rPr>
        <w:t>from important sectors in the EU-27</w:t>
      </w:r>
      <w:bookmarkEnd w:id="173"/>
      <w:r w:rsidR="003F70E0">
        <w:rPr>
          <w:rFonts w:asciiTheme="minorHAnsi" w:eastAsia="Calibri" w:hAnsiTheme="minorHAnsi" w:cstheme="minorBidi"/>
          <w:noProof/>
        </w:rPr>
        <w:t xml:space="preserve"> (based on quota system and prohibitions only)</w:t>
      </w:r>
    </w:p>
    <w:tbl>
      <w:tblPr>
        <w:tblStyle w:val="HTG3"/>
        <w:tblW w:w="0" w:type="auto"/>
        <w:jc w:val="center"/>
        <w:tblLayout w:type="fixed"/>
        <w:tblLook w:val="04A0" w:firstRow="1" w:lastRow="0" w:firstColumn="1" w:lastColumn="0" w:noHBand="0" w:noVBand="1"/>
      </w:tblPr>
      <w:tblGrid>
        <w:gridCol w:w="2969"/>
        <w:gridCol w:w="1039"/>
        <w:gridCol w:w="1028"/>
        <w:gridCol w:w="1028"/>
        <w:gridCol w:w="1083"/>
      </w:tblGrid>
      <w:tr w:rsidR="00E51CC7" w:rsidRPr="00733800" w14:paraId="0D7BFC3A" w14:textId="77777777" w:rsidTr="00492D4F">
        <w:trPr>
          <w:trHeight w:val="300"/>
          <w:jc w:val="center"/>
        </w:trPr>
        <w:tc>
          <w:tcPr>
            <w:tcW w:w="2969" w:type="dxa"/>
            <w:shd w:val="clear" w:color="auto" w:fill="D9D9D9" w:themeFill="background1" w:themeFillShade="D9"/>
            <w:noWrap/>
            <w:vAlign w:val="center"/>
            <w:hideMark/>
          </w:tcPr>
          <w:p w14:paraId="4A872F56" w14:textId="77777777" w:rsidR="00E51CC7" w:rsidRPr="00733800" w:rsidRDefault="3982CBDC" w:rsidP="3982CBDC">
            <w:pPr>
              <w:jc w:val="left"/>
              <w:rPr>
                <w:rFonts w:ascii="Arial" w:eastAsia="Calibri" w:hAnsi="Arial" w:cs="Arial"/>
                <w:b/>
                <w:bCs/>
                <w:noProof/>
                <w:sz w:val="20"/>
                <w:szCs w:val="20"/>
                <w:lang w:val="en-GB"/>
              </w:rPr>
            </w:pPr>
            <w:r w:rsidRPr="3982CBDC">
              <w:rPr>
                <w:rFonts w:ascii="Arial" w:eastAsia="Calibri" w:hAnsi="Arial" w:cs="Arial"/>
                <w:b/>
                <w:bCs/>
                <w:noProof/>
                <w:sz w:val="20"/>
                <w:szCs w:val="20"/>
              </w:rPr>
              <w:t>Sector</w:t>
            </w:r>
          </w:p>
        </w:tc>
        <w:tc>
          <w:tcPr>
            <w:tcW w:w="1039" w:type="dxa"/>
            <w:shd w:val="clear" w:color="auto" w:fill="D9D9D9" w:themeFill="background1" w:themeFillShade="D9"/>
            <w:noWrap/>
            <w:vAlign w:val="center"/>
            <w:hideMark/>
          </w:tcPr>
          <w:p w14:paraId="2A3A1130" w14:textId="4C5C6AD7" w:rsidR="00E51CC7" w:rsidRPr="00733800" w:rsidRDefault="3982CBDC" w:rsidP="3982CBDC">
            <w:pPr>
              <w:jc w:val="center"/>
              <w:rPr>
                <w:rFonts w:ascii="Arial" w:eastAsia="Calibri" w:hAnsi="Arial" w:cs="Arial"/>
                <w:b/>
                <w:bCs/>
                <w:noProof/>
                <w:sz w:val="20"/>
                <w:szCs w:val="20"/>
                <w:lang w:val="en-GB"/>
              </w:rPr>
            </w:pPr>
            <w:r w:rsidRPr="3982CBDC">
              <w:rPr>
                <w:rFonts w:ascii="Arial" w:eastAsia="Calibri" w:hAnsi="Arial" w:cs="Arial"/>
                <w:b/>
                <w:bCs/>
                <w:noProof/>
                <w:sz w:val="20"/>
                <w:szCs w:val="20"/>
              </w:rPr>
              <w:t>Baseline</w:t>
            </w:r>
          </w:p>
        </w:tc>
        <w:tc>
          <w:tcPr>
            <w:tcW w:w="1028" w:type="dxa"/>
            <w:shd w:val="clear" w:color="auto" w:fill="D9D9D9" w:themeFill="background1" w:themeFillShade="D9"/>
            <w:noWrap/>
            <w:vAlign w:val="center"/>
            <w:hideMark/>
          </w:tcPr>
          <w:p w14:paraId="10B229AB" w14:textId="77777777" w:rsidR="00E51CC7" w:rsidRPr="00733800" w:rsidRDefault="3982CBDC" w:rsidP="3982CBDC">
            <w:pPr>
              <w:jc w:val="center"/>
              <w:rPr>
                <w:rFonts w:ascii="Arial" w:eastAsia="Calibri" w:hAnsi="Arial" w:cs="Arial"/>
                <w:b/>
                <w:bCs/>
                <w:noProof/>
                <w:sz w:val="20"/>
                <w:szCs w:val="20"/>
                <w:lang w:val="en-GB"/>
              </w:rPr>
            </w:pPr>
            <w:r w:rsidRPr="3982CBDC">
              <w:rPr>
                <w:rFonts w:ascii="Arial" w:eastAsia="Calibri" w:hAnsi="Arial" w:cs="Arial"/>
                <w:b/>
                <w:bCs/>
                <w:noProof/>
                <w:sz w:val="20"/>
                <w:szCs w:val="20"/>
              </w:rPr>
              <w:t>Option 1</w:t>
            </w:r>
          </w:p>
        </w:tc>
        <w:tc>
          <w:tcPr>
            <w:tcW w:w="1028" w:type="dxa"/>
            <w:shd w:val="clear" w:color="auto" w:fill="D9D9D9" w:themeFill="background1" w:themeFillShade="D9"/>
            <w:noWrap/>
            <w:vAlign w:val="center"/>
            <w:hideMark/>
          </w:tcPr>
          <w:p w14:paraId="1DF546B0" w14:textId="77777777" w:rsidR="00E51CC7" w:rsidRPr="00733800" w:rsidRDefault="3982CBDC" w:rsidP="3982CBDC">
            <w:pPr>
              <w:jc w:val="center"/>
              <w:rPr>
                <w:rFonts w:ascii="Arial" w:eastAsia="Calibri" w:hAnsi="Arial" w:cs="Arial"/>
                <w:b/>
                <w:bCs/>
                <w:noProof/>
                <w:sz w:val="20"/>
                <w:szCs w:val="20"/>
                <w:lang w:val="en-GB"/>
              </w:rPr>
            </w:pPr>
            <w:r w:rsidRPr="3982CBDC">
              <w:rPr>
                <w:rFonts w:ascii="Arial" w:eastAsia="Calibri" w:hAnsi="Arial" w:cs="Arial"/>
                <w:b/>
                <w:bCs/>
                <w:noProof/>
                <w:sz w:val="20"/>
                <w:szCs w:val="20"/>
              </w:rPr>
              <w:t>Option 2</w:t>
            </w:r>
          </w:p>
        </w:tc>
        <w:tc>
          <w:tcPr>
            <w:tcW w:w="1083" w:type="dxa"/>
            <w:shd w:val="clear" w:color="auto" w:fill="D9D9D9" w:themeFill="background1" w:themeFillShade="D9"/>
            <w:noWrap/>
            <w:vAlign w:val="center"/>
            <w:hideMark/>
          </w:tcPr>
          <w:p w14:paraId="1903B573" w14:textId="77777777" w:rsidR="00E51CC7" w:rsidRPr="00733800" w:rsidRDefault="3982CBDC" w:rsidP="3982CBDC">
            <w:pPr>
              <w:jc w:val="center"/>
              <w:rPr>
                <w:rFonts w:ascii="Arial" w:eastAsia="Calibri" w:hAnsi="Arial" w:cs="Arial"/>
                <w:b/>
                <w:bCs/>
                <w:noProof/>
                <w:sz w:val="20"/>
                <w:szCs w:val="20"/>
                <w:lang w:val="en-GB"/>
              </w:rPr>
            </w:pPr>
            <w:r w:rsidRPr="3982CBDC">
              <w:rPr>
                <w:rFonts w:ascii="Arial" w:eastAsia="Calibri" w:hAnsi="Arial" w:cs="Arial"/>
                <w:b/>
                <w:bCs/>
                <w:noProof/>
                <w:sz w:val="20"/>
                <w:szCs w:val="20"/>
              </w:rPr>
              <w:t>Options3</w:t>
            </w:r>
          </w:p>
        </w:tc>
      </w:tr>
      <w:tr w:rsidR="00E51CC7" w:rsidRPr="00733800" w14:paraId="0A9EB710" w14:textId="77777777" w:rsidTr="00492D4F">
        <w:trPr>
          <w:trHeight w:val="300"/>
          <w:jc w:val="center"/>
        </w:trPr>
        <w:tc>
          <w:tcPr>
            <w:tcW w:w="2969" w:type="dxa"/>
            <w:noWrap/>
            <w:vAlign w:val="center"/>
            <w:hideMark/>
          </w:tcPr>
          <w:p w14:paraId="6888067F" w14:textId="77777777" w:rsidR="00E51CC7" w:rsidRPr="00733800" w:rsidRDefault="3982CBDC" w:rsidP="3982CBDC">
            <w:pPr>
              <w:jc w:val="left"/>
              <w:rPr>
                <w:rFonts w:ascii="Arial" w:eastAsia="Calibri" w:hAnsi="Arial" w:cs="Arial"/>
                <w:noProof/>
                <w:sz w:val="20"/>
                <w:szCs w:val="20"/>
                <w:lang w:val="en-GB"/>
              </w:rPr>
            </w:pPr>
            <w:r w:rsidRPr="3982CBDC">
              <w:rPr>
                <w:rFonts w:ascii="Arial" w:eastAsia="Calibri" w:hAnsi="Arial" w:cs="Arial"/>
                <w:noProof/>
                <w:sz w:val="20"/>
                <w:szCs w:val="20"/>
              </w:rPr>
              <w:t>Refrigeration</w:t>
            </w:r>
          </w:p>
        </w:tc>
        <w:tc>
          <w:tcPr>
            <w:tcW w:w="1039" w:type="dxa"/>
            <w:noWrap/>
            <w:vAlign w:val="center"/>
            <w:hideMark/>
          </w:tcPr>
          <w:p w14:paraId="3032F8C3" w14:textId="77777777" w:rsidR="00E51CC7" w:rsidRPr="00733800" w:rsidRDefault="3982CBDC" w:rsidP="3982CBDC">
            <w:pPr>
              <w:jc w:val="center"/>
              <w:rPr>
                <w:rFonts w:ascii="Arial" w:eastAsia="Calibri" w:hAnsi="Arial" w:cs="Arial"/>
                <w:noProof/>
                <w:sz w:val="20"/>
                <w:szCs w:val="20"/>
                <w:lang w:val="en-GB"/>
              </w:rPr>
            </w:pPr>
            <w:r w:rsidRPr="3982CBDC">
              <w:rPr>
                <w:rFonts w:ascii="Arial" w:eastAsia="Calibri" w:hAnsi="Arial" w:cs="Arial"/>
                <w:noProof/>
                <w:color w:val="000000" w:themeColor="text1"/>
                <w:sz w:val="20"/>
                <w:szCs w:val="20"/>
              </w:rPr>
              <w:t>128</w:t>
            </w:r>
          </w:p>
        </w:tc>
        <w:tc>
          <w:tcPr>
            <w:tcW w:w="1028" w:type="dxa"/>
            <w:noWrap/>
            <w:vAlign w:val="center"/>
            <w:hideMark/>
          </w:tcPr>
          <w:p w14:paraId="2E7E19BF" w14:textId="77777777" w:rsidR="00E51CC7" w:rsidRPr="00733800" w:rsidRDefault="3982CBDC" w:rsidP="3982CBDC">
            <w:pPr>
              <w:jc w:val="center"/>
              <w:rPr>
                <w:rFonts w:ascii="Arial" w:eastAsia="Calibri" w:hAnsi="Arial" w:cs="Arial"/>
                <w:noProof/>
                <w:sz w:val="20"/>
                <w:szCs w:val="20"/>
                <w:lang w:val="en-GB"/>
              </w:rPr>
            </w:pPr>
            <w:r w:rsidRPr="3982CBDC">
              <w:rPr>
                <w:rFonts w:ascii="Arial" w:eastAsia="Calibri" w:hAnsi="Arial" w:cs="Arial"/>
                <w:noProof/>
                <w:color w:val="000000" w:themeColor="text1"/>
                <w:sz w:val="20"/>
                <w:szCs w:val="20"/>
              </w:rPr>
              <w:t>134</w:t>
            </w:r>
          </w:p>
        </w:tc>
        <w:tc>
          <w:tcPr>
            <w:tcW w:w="1028" w:type="dxa"/>
            <w:noWrap/>
            <w:vAlign w:val="center"/>
            <w:hideMark/>
          </w:tcPr>
          <w:p w14:paraId="36AE841C" w14:textId="77777777" w:rsidR="00E51CC7" w:rsidRPr="00733800" w:rsidRDefault="3982CBDC" w:rsidP="3982CBDC">
            <w:pPr>
              <w:jc w:val="center"/>
              <w:rPr>
                <w:rFonts w:ascii="Arial" w:eastAsia="Calibri" w:hAnsi="Arial" w:cs="Arial"/>
                <w:noProof/>
                <w:sz w:val="20"/>
                <w:szCs w:val="20"/>
                <w:lang w:val="en-GB"/>
              </w:rPr>
            </w:pPr>
            <w:r w:rsidRPr="3982CBDC">
              <w:rPr>
                <w:rFonts w:ascii="Arial" w:eastAsia="Calibri" w:hAnsi="Arial" w:cs="Arial"/>
                <w:noProof/>
                <w:color w:val="000000" w:themeColor="text1"/>
                <w:sz w:val="20"/>
                <w:szCs w:val="20"/>
              </w:rPr>
              <w:t>112</w:t>
            </w:r>
          </w:p>
        </w:tc>
        <w:tc>
          <w:tcPr>
            <w:tcW w:w="1083" w:type="dxa"/>
            <w:noWrap/>
            <w:vAlign w:val="center"/>
            <w:hideMark/>
          </w:tcPr>
          <w:p w14:paraId="3C07332D" w14:textId="77777777" w:rsidR="00E51CC7" w:rsidRPr="00733800" w:rsidRDefault="3982CBDC" w:rsidP="3982CBDC">
            <w:pPr>
              <w:jc w:val="center"/>
              <w:rPr>
                <w:rFonts w:ascii="Arial" w:eastAsia="Calibri" w:hAnsi="Arial" w:cs="Arial"/>
                <w:noProof/>
                <w:sz w:val="20"/>
                <w:szCs w:val="20"/>
                <w:lang w:val="en-GB"/>
              </w:rPr>
            </w:pPr>
            <w:r w:rsidRPr="3982CBDC">
              <w:rPr>
                <w:rFonts w:ascii="Arial" w:eastAsia="Calibri" w:hAnsi="Arial" w:cs="Arial"/>
                <w:noProof/>
                <w:color w:val="000000" w:themeColor="text1"/>
                <w:sz w:val="20"/>
                <w:szCs w:val="20"/>
              </w:rPr>
              <w:t>107</w:t>
            </w:r>
          </w:p>
        </w:tc>
      </w:tr>
      <w:tr w:rsidR="00E51CC7" w:rsidRPr="00733800" w14:paraId="0FCE10A3" w14:textId="77777777" w:rsidTr="00492D4F">
        <w:trPr>
          <w:trHeight w:val="300"/>
          <w:jc w:val="center"/>
        </w:trPr>
        <w:tc>
          <w:tcPr>
            <w:tcW w:w="2969" w:type="dxa"/>
            <w:noWrap/>
            <w:vAlign w:val="center"/>
            <w:hideMark/>
          </w:tcPr>
          <w:p w14:paraId="05E18D8C" w14:textId="77777777" w:rsidR="00E51CC7" w:rsidRPr="00733800" w:rsidRDefault="3982CBDC" w:rsidP="3982CBDC">
            <w:pPr>
              <w:jc w:val="left"/>
              <w:rPr>
                <w:rFonts w:ascii="Arial" w:eastAsia="Calibri" w:hAnsi="Arial" w:cs="Arial"/>
                <w:noProof/>
                <w:sz w:val="20"/>
                <w:szCs w:val="20"/>
                <w:lang w:val="en-GB"/>
              </w:rPr>
            </w:pPr>
            <w:r w:rsidRPr="3982CBDC">
              <w:rPr>
                <w:rFonts w:ascii="Arial" w:eastAsia="Calibri" w:hAnsi="Arial" w:cs="Arial"/>
                <w:noProof/>
                <w:sz w:val="20"/>
                <w:szCs w:val="20"/>
              </w:rPr>
              <w:t>Stationary AC</w:t>
            </w:r>
          </w:p>
        </w:tc>
        <w:tc>
          <w:tcPr>
            <w:tcW w:w="1039" w:type="dxa"/>
            <w:noWrap/>
            <w:vAlign w:val="center"/>
            <w:hideMark/>
          </w:tcPr>
          <w:p w14:paraId="4EE162D1" w14:textId="77777777" w:rsidR="00E51CC7" w:rsidRPr="00733800" w:rsidRDefault="3982CBDC" w:rsidP="3982CBDC">
            <w:pPr>
              <w:jc w:val="center"/>
              <w:rPr>
                <w:rFonts w:ascii="Arial" w:eastAsia="Calibri" w:hAnsi="Arial" w:cs="Arial"/>
                <w:noProof/>
                <w:sz w:val="20"/>
                <w:szCs w:val="20"/>
                <w:lang w:val="en-GB"/>
              </w:rPr>
            </w:pPr>
            <w:r w:rsidRPr="3982CBDC">
              <w:rPr>
                <w:rFonts w:ascii="Arial" w:eastAsia="Calibri" w:hAnsi="Arial" w:cs="Arial"/>
                <w:noProof/>
                <w:color w:val="000000" w:themeColor="text1"/>
                <w:sz w:val="20"/>
                <w:szCs w:val="20"/>
              </w:rPr>
              <w:t>284</w:t>
            </w:r>
          </w:p>
        </w:tc>
        <w:tc>
          <w:tcPr>
            <w:tcW w:w="1028" w:type="dxa"/>
            <w:noWrap/>
            <w:vAlign w:val="center"/>
            <w:hideMark/>
          </w:tcPr>
          <w:p w14:paraId="3798BECC" w14:textId="77777777" w:rsidR="00E51CC7" w:rsidRPr="00733800" w:rsidRDefault="3982CBDC" w:rsidP="3982CBDC">
            <w:pPr>
              <w:jc w:val="center"/>
              <w:rPr>
                <w:rFonts w:ascii="Arial" w:eastAsia="Calibri" w:hAnsi="Arial" w:cs="Arial"/>
                <w:noProof/>
                <w:sz w:val="20"/>
                <w:szCs w:val="20"/>
                <w:lang w:val="en-GB"/>
              </w:rPr>
            </w:pPr>
            <w:r w:rsidRPr="3982CBDC">
              <w:rPr>
                <w:rFonts w:ascii="Arial" w:eastAsia="Calibri" w:hAnsi="Arial" w:cs="Arial"/>
                <w:noProof/>
                <w:color w:val="000000" w:themeColor="text1"/>
                <w:sz w:val="20"/>
                <w:szCs w:val="20"/>
              </w:rPr>
              <w:t>311</w:t>
            </w:r>
          </w:p>
        </w:tc>
        <w:tc>
          <w:tcPr>
            <w:tcW w:w="1028" w:type="dxa"/>
            <w:noWrap/>
            <w:vAlign w:val="center"/>
            <w:hideMark/>
          </w:tcPr>
          <w:p w14:paraId="79DC6DE6" w14:textId="77777777" w:rsidR="00E51CC7" w:rsidRPr="00733800" w:rsidRDefault="3982CBDC" w:rsidP="3982CBDC">
            <w:pPr>
              <w:jc w:val="center"/>
              <w:rPr>
                <w:rFonts w:ascii="Arial" w:eastAsia="Calibri" w:hAnsi="Arial" w:cs="Arial"/>
                <w:noProof/>
                <w:sz w:val="20"/>
                <w:szCs w:val="20"/>
                <w:lang w:val="en-GB"/>
              </w:rPr>
            </w:pPr>
            <w:r w:rsidRPr="3982CBDC">
              <w:rPr>
                <w:rFonts w:ascii="Arial" w:eastAsia="Calibri" w:hAnsi="Arial" w:cs="Arial"/>
                <w:noProof/>
                <w:color w:val="000000" w:themeColor="text1"/>
                <w:sz w:val="20"/>
                <w:szCs w:val="20"/>
              </w:rPr>
              <w:t>169</w:t>
            </w:r>
          </w:p>
        </w:tc>
        <w:tc>
          <w:tcPr>
            <w:tcW w:w="1083" w:type="dxa"/>
            <w:noWrap/>
            <w:vAlign w:val="center"/>
            <w:hideMark/>
          </w:tcPr>
          <w:p w14:paraId="447D1592" w14:textId="77777777" w:rsidR="00E51CC7" w:rsidRPr="00733800" w:rsidRDefault="3982CBDC" w:rsidP="3982CBDC">
            <w:pPr>
              <w:jc w:val="center"/>
              <w:rPr>
                <w:rFonts w:ascii="Arial" w:eastAsia="Calibri" w:hAnsi="Arial" w:cs="Arial"/>
                <w:noProof/>
                <w:sz w:val="20"/>
                <w:szCs w:val="20"/>
                <w:lang w:val="en-GB"/>
              </w:rPr>
            </w:pPr>
            <w:r w:rsidRPr="3982CBDC">
              <w:rPr>
                <w:rFonts w:ascii="Arial" w:eastAsia="Calibri" w:hAnsi="Arial" w:cs="Arial"/>
                <w:noProof/>
                <w:color w:val="000000" w:themeColor="text1"/>
                <w:sz w:val="20"/>
                <w:szCs w:val="20"/>
              </w:rPr>
              <w:t>169</w:t>
            </w:r>
          </w:p>
        </w:tc>
      </w:tr>
      <w:tr w:rsidR="00E51CC7" w:rsidRPr="00733800" w14:paraId="5256ECFE" w14:textId="77777777" w:rsidTr="00492D4F">
        <w:trPr>
          <w:trHeight w:val="300"/>
          <w:jc w:val="center"/>
        </w:trPr>
        <w:tc>
          <w:tcPr>
            <w:tcW w:w="2969" w:type="dxa"/>
            <w:noWrap/>
            <w:vAlign w:val="center"/>
            <w:hideMark/>
          </w:tcPr>
          <w:p w14:paraId="6F610990" w14:textId="77777777" w:rsidR="00E51CC7" w:rsidRPr="00733800" w:rsidRDefault="3982CBDC" w:rsidP="3982CBDC">
            <w:pPr>
              <w:jc w:val="left"/>
              <w:rPr>
                <w:rFonts w:ascii="Arial" w:eastAsia="Calibri" w:hAnsi="Arial" w:cs="Arial"/>
                <w:noProof/>
                <w:sz w:val="20"/>
                <w:szCs w:val="20"/>
                <w:lang w:val="en-GB"/>
              </w:rPr>
            </w:pPr>
            <w:r w:rsidRPr="3982CBDC">
              <w:rPr>
                <w:rFonts w:ascii="Arial" w:eastAsia="Calibri" w:hAnsi="Arial" w:cs="Arial"/>
                <w:noProof/>
                <w:sz w:val="20"/>
                <w:szCs w:val="20"/>
              </w:rPr>
              <w:t>Mobile AC</w:t>
            </w:r>
          </w:p>
        </w:tc>
        <w:tc>
          <w:tcPr>
            <w:tcW w:w="1039" w:type="dxa"/>
            <w:noWrap/>
            <w:vAlign w:val="center"/>
            <w:hideMark/>
          </w:tcPr>
          <w:p w14:paraId="670488B2" w14:textId="77777777" w:rsidR="00E51CC7" w:rsidRPr="00733800" w:rsidRDefault="3982CBDC" w:rsidP="3982CBDC">
            <w:pPr>
              <w:jc w:val="center"/>
              <w:rPr>
                <w:rFonts w:ascii="Arial" w:eastAsia="Calibri" w:hAnsi="Arial" w:cs="Arial"/>
                <w:noProof/>
                <w:color w:val="000000" w:themeColor="text1"/>
                <w:sz w:val="20"/>
                <w:szCs w:val="20"/>
                <w:lang w:val="en-GB"/>
              </w:rPr>
            </w:pPr>
            <w:r w:rsidRPr="3982CBDC">
              <w:rPr>
                <w:rFonts w:ascii="Arial" w:eastAsia="Calibri" w:hAnsi="Arial" w:cs="Arial"/>
                <w:noProof/>
                <w:color w:val="000000" w:themeColor="text1"/>
                <w:sz w:val="20"/>
                <w:szCs w:val="20"/>
              </w:rPr>
              <w:t>187</w:t>
            </w:r>
          </w:p>
        </w:tc>
        <w:tc>
          <w:tcPr>
            <w:tcW w:w="1028" w:type="dxa"/>
            <w:noWrap/>
            <w:vAlign w:val="center"/>
            <w:hideMark/>
          </w:tcPr>
          <w:p w14:paraId="33FCFA31" w14:textId="77777777" w:rsidR="00E51CC7" w:rsidRPr="00733800" w:rsidRDefault="3982CBDC" w:rsidP="3982CBDC">
            <w:pPr>
              <w:jc w:val="center"/>
              <w:rPr>
                <w:rFonts w:ascii="Arial" w:eastAsia="Calibri" w:hAnsi="Arial" w:cs="Arial"/>
                <w:noProof/>
                <w:color w:val="000000" w:themeColor="text1"/>
                <w:sz w:val="20"/>
                <w:szCs w:val="20"/>
                <w:lang w:val="en-GB"/>
              </w:rPr>
            </w:pPr>
            <w:r w:rsidRPr="3982CBDC">
              <w:rPr>
                <w:rFonts w:ascii="Arial" w:eastAsia="Calibri" w:hAnsi="Arial" w:cs="Arial"/>
                <w:noProof/>
                <w:color w:val="000000" w:themeColor="text1"/>
                <w:sz w:val="20"/>
                <w:szCs w:val="20"/>
              </w:rPr>
              <w:t>187</w:t>
            </w:r>
          </w:p>
        </w:tc>
        <w:tc>
          <w:tcPr>
            <w:tcW w:w="1028" w:type="dxa"/>
            <w:noWrap/>
            <w:vAlign w:val="center"/>
            <w:hideMark/>
          </w:tcPr>
          <w:p w14:paraId="0B17085D" w14:textId="77777777" w:rsidR="00E51CC7" w:rsidRPr="00733800" w:rsidRDefault="3982CBDC" w:rsidP="3982CBDC">
            <w:pPr>
              <w:jc w:val="center"/>
              <w:rPr>
                <w:rFonts w:ascii="Arial" w:eastAsia="Calibri" w:hAnsi="Arial" w:cs="Arial"/>
                <w:noProof/>
                <w:color w:val="000000" w:themeColor="text1"/>
                <w:sz w:val="20"/>
                <w:szCs w:val="20"/>
                <w:lang w:val="en-GB"/>
              </w:rPr>
            </w:pPr>
            <w:r w:rsidRPr="3982CBDC">
              <w:rPr>
                <w:rFonts w:ascii="Arial" w:eastAsia="Calibri" w:hAnsi="Arial" w:cs="Arial"/>
                <w:noProof/>
                <w:color w:val="000000" w:themeColor="text1"/>
                <w:sz w:val="20"/>
                <w:szCs w:val="20"/>
              </w:rPr>
              <w:t>150</w:t>
            </w:r>
          </w:p>
        </w:tc>
        <w:tc>
          <w:tcPr>
            <w:tcW w:w="1083" w:type="dxa"/>
            <w:noWrap/>
            <w:vAlign w:val="center"/>
            <w:hideMark/>
          </w:tcPr>
          <w:p w14:paraId="17468BC1" w14:textId="77777777" w:rsidR="00E51CC7" w:rsidRPr="00733800" w:rsidRDefault="3982CBDC" w:rsidP="3982CBDC">
            <w:pPr>
              <w:jc w:val="center"/>
              <w:rPr>
                <w:rFonts w:ascii="Arial" w:eastAsia="Calibri" w:hAnsi="Arial" w:cs="Arial"/>
                <w:noProof/>
                <w:sz w:val="20"/>
                <w:szCs w:val="20"/>
                <w:lang w:val="en-GB"/>
              </w:rPr>
            </w:pPr>
            <w:r w:rsidRPr="3982CBDC">
              <w:rPr>
                <w:rFonts w:ascii="Arial" w:eastAsia="Calibri" w:hAnsi="Arial" w:cs="Arial"/>
                <w:noProof/>
                <w:color w:val="000000" w:themeColor="text1"/>
                <w:sz w:val="20"/>
                <w:szCs w:val="20"/>
              </w:rPr>
              <w:t>127</w:t>
            </w:r>
          </w:p>
        </w:tc>
      </w:tr>
      <w:tr w:rsidR="00E51CC7" w:rsidRPr="00733800" w14:paraId="52CD1EF8" w14:textId="77777777" w:rsidTr="00492D4F">
        <w:trPr>
          <w:trHeight w:val="300"/>
          <w:jc w:val="center"/>
        </w:trPr>
        <w:tc>
          <w:tcPr>
            <w:tcW w:w="2969" w:type="dxa"/>
            <w:noWrap/>
            <w:vAlign w:val="center"/>
            <w:hideMark/>
          </w:tcPr>
          <w:p w14:paraId="6BCEA403" w14:textId="77777777" w:rsidR="00E51CC7" w:rsidRPr="00733800" w:rsidRDefault="3982CBDC" w:rsidP="3982CBDC">
            <w:pPr>
              <w:jc w:val="left"/>
              <w:rPr>
                <w:rFonts w:ascii="Arial" w:eastAsia="Calibri" w:hAnsi="Arial" w:cs="Arial"/>
                <w:noProof/>
                <w:sz w:val="20"/>
                <w:szCs w:val="20"/>
                <w:lang w:val="en-GB"/>
              </w:rPr>
            </w:pPr>
            <w:r w:rsidRPr="3982CBDC">
              <w:rPr>
                <w:rFonts w:ascii="Arial" w:eastAsia="Calibri" w:hAnsi="Arial" w:cs="Arial"/>
                <w:noProof/>
                <w:sz w:val="20"/>
                <w:szCs w:val="20"/>
              </w:rPr>
              <w:t>Switchgear</w:t>
            </w:r>
          </w:p>
        </w:tc>
        <w:tc>
          <w:tcPr>
            <w:tcW w:w="1039" w:type="dxa"/>
            <w:noWrap/>
            <w:vAlign w:val="center"/>
            <w:hideMark/>
          </w:tcPr>
          <w:p w14:paraId="7CA7CDDA" w14:textId="77777777" w:rsidR="00E51CC7" w:rsidRPr="00733800" w:rsidRDefault="3982CBDC" w:rsidP="3982CBDC">
            <w:pPr>
              <w:jc w:val="center"/>
              <w:rPr>
                <w:rFonts w:ascii="Arial" w:eastAsia="Calibri" w:hAnsi="Arial" w:cs="Arial"/>
                <w:noProof/>
                <w:color w:val="000000" w:themeColor="text1"/>
                <w:sz w:val="20"/>
                <w:szCs w:val="20"/>
                <w:lang w:val="en-GB"/>
              </w:rPr>
            </w:pPr>
            <w:r w:rsidRPr="3982CBDC">
              <w:rPr>
                <w:rFonts w:ascii="Arial" w:eastAsia="Calibri" w:hAnsi="Arial" w:cs="Arial"/>
                <w:noProof/>
                <w:color w:val="000000" w:themeColor="text1"/>
                <w:sz w:val="20"/>
                <w:szCs w:val="20"/>
              </w:rPr>
              <w:t>78</w:t>
            </w:r>
          </w:p>
        </w:tc>
        <w:tc>
          <w:tcPr>
            <w:tcW w:w="1028" w:type="dxa"/>
            <w:noWrap/>
            <w:vAlign w:val="center"/>
            <w:hideMark/>
          </w:tcPr>
          <w:p w14:paraId="4C911C4E" w14:textId="77777777" w:rsidR="00E51CC7" w:rsidRPr="00733800" w:rsidRDefault="3982CBDC" w:rsidP="3982CBDC">
            <w:pPr>
              <w:jc w:val="center"/>
              <w:rPr>
                <w:rFonts w:ascii="Arial" w:eastAsia="Calibri" w:hAnsi="Arial" w:cs="Arial"/>
                <w:noProof/>
                <w:color w:val="000000" w:themeColor="text1"/>
                <w:sz w:val="20"/>
                <w:szCs w:val="20"/>
                <w:lang w:val="en-GB"/>
              </w:rPr>
            </w:pPr>
            <w:r w:rsidRPr="3982CBDC">
              <w:rPr>
                <w:rFonts w:ascii="Arial" w:eastAsia="Calibri" w:hAnsi="Arial" w:cs="Arial"/>
                <w:noProof/>
                <w:color w:val="000000" w:themeColor="text1"/>
                <w:sz w:val="20"/>
                <w:szCs w:val="20"/>
              </w:rPr>
              <w:t>78</w:t>
            </w:r>
          </w:p>
        </w:tc>
        <w:tc>
          <w:tcPr>
            <w:tcW w:w="1028" w:type="dxa"/>
            <w:noWrap/>
            <w:vAlign w:val="center"/>
            <w:hideMark/>
          </w:tcPr>
          <w:p w14:paraId="75F7BCC4" w14:textId="77777777" w:rsidR="00E51CC7" w:rsidRPr="00733800" w:rsidRDefault="3982CBDC" w:rsidP="3982CBDC">
            <w:pPr>
              <w:jc w:val="center"/>
              <w:rPr>
                <w:rFonts w:ascii="Arial" w:eastAsia="Calibri" w:hAnsi="Arial" w:cs="Arial"/>
                <w:noProof/>
                <w:color w:val="000000" w:themeColor="text1"/>
                <w:sz w:val="20"/>
                <w:szCs w:val="20"/>
                <w:lang w:val="en-GB"/>
              </w:rPr>
            </w:pPr>
            <w:r w:rsidRPr="3982CBDC">
              <w:rPr>
                <w:rFonts w:ascii="Arial" w:eastAsia="Calibri" w:hAnsi="Arial" w:cs="Arial"/>
                <w:noProof/>
                <w:color w:val="000000" w:themeColor="text1"/>
                <w:sz w:val="20"/>
                <w:szCs w:val="20"/>
              </w:rPr>
              <w:t>71</w:t>
            </w:r>
          </w:p>
        </w:tc>
        <w:tc>
          <w:tcPr>
            <w:tcW w:w="1083" w:type="dxa"/>
            <w:noWrap/>
            <w:vAlign w:val="center"/>
            <w:hideMark/>
          </w:tcPr>
          <w:p w14:paraId="0B9935BD" w14:textId="77777777" w:rsidR="00E51CC7" w:rsidRPr="00733800" w:rsidRDefault="3982CBDC" w:rsidP="3982CBDC">
            <w:pPr>
              <w:jc w:val="center"/>
              <w:rPr>
                <w:rFonts w:ascii="Arial" w:eastAsia="Calibri" w:hAnsi="Arial" w:cs="Arial"/>
                <w:noProof/>
                <w:sz w:val="20"/>
                <w:szCs w:val="20"/>
                <w:lang w:val="en-GB"/>
              </w:rPr>
            </w:pPr>
            <w:r w:rsidRPr="3982CBDC">
              <w:rPr>
                <w:rFonts w:ascii="Arial" w:eastAsia="Calibri" w:hAnsi="Arial" w:cs="Arial"/>
                <w:noProof/>
                <w:color w:val="000000" w:themeColor="text1"/>
                <w:sz w:val="20"/>
                <w:szCs w:val="20"/>
              </w:rPr>
              <w:t>71</w:t>
            </w:r>
          </w:p>
        </w:tc>
      </w:tr>
      <w:tr w:rsidR="00E51CC7" w:rsidRPr="00733800" w14:paraId="7D81AF1B" w14:textId="77777777" w:rsidTr="00492D4F">
        <w:trPr>
          <w:trHeight w:val="300"/>
          <w:jc w:val="center"/>
        </w:trPr>
        <w:tc>
          <w:tcPr>
            <w:tcW w:w="2969" w:type="dxa"/>
            <w:noWrap/>
            <w:vAlign w:val="center"/>
            <w:hideMark/>
          </w:tcPr>
          <w:p w14:paraId="2229F925" w14:textId="77777777" w:rsidR="00E51CC7" w:rsidRPr="00733800" w:rsidRDefault="3982CBDC" w:rsidP="3982CBDC">
            <w:pPr>
              <w:jc w:val="left"/>
              <w:rPr>
                <w:rFonts w:ascii="Arial" w:eastAsia="Calibri" w:hAnsi="Arial" w:cs="Arial"/>
                <w:noProof/>
                <w:sz w:val="20"/>
                <w:szCs w:val="20"/>
                <w:lang w:val="en-GB"/>
              </w:rPr>
            </w:pPr>
            <w:r w:rsidRPr="3982CBDC">
              <w:rPr>
                <w:rFonts w:ascii="Arial" w:eastAsia="Calibri" w:hAnsi="Arial" w:cs="Arial"/>
                <w:noProof/>
                <w:sz w:val="20"/>
                <w:szCs w:val="20"/>
              </w:rPr>
              <w:t>MDIs</w:t>
            </w:r>
          </w:p>
        </w:tc>
        <w:tc>
          <w:tcPr>
            <w:tcW w:w="1039" w:type="dxa"/>
            <w:noWrap/>
            <w:vAlign w:val="center"/>
            <w:hideMark/>
          </w:tcPr>
          <w:p w14:paraId="4099A455" w14:textId="77777777" w:rsidR="00E51CC7" w:rsidRPr="00733800" w:rsidRDefault="3982CBDC" w:rsidP="3982CBDC">
            <w:pPr>
              <w:jc w:val="center"/>
              <w:rPr>
                <w:rFonts w:ascii="Arial" w:eastAsia="Calibri" w:hAnsi="Arial" w:cs="Arial"/>
                <w:noProof/>
                <w:color w:val="000000" w:themeColor="text1"/>
                <w:sz w:val="20"/>
                <w:szCs w:val="20"/>
                <w:lang w:val="en-GB"/>
              </w:rPr>
            </w:pPr>
            <w:r w:rsidRPr="3982CBDC">
              <w:rPr>
                <w:rFonts w:ascii="Arial" w:eastAsia="Calibri" w:hAnsi="Arial" w:cs="Arial"/>
                <w:noProof/>
                <w:color w:val="000000" w:themeColor="text1"/>
                <w:sz w:val="20"/>
                <w:szCs w:val="20"/>
              </w:rPr>
              <w:t>138</w:t>
            </w:r>
          </w:p>
        </w:tc>
        <w:tc>
          <w:tcPr>
            <w:tcW w:w="1028" w:type="dxa"/>
            <w:noWrap/>
            <w:vAlign w:val="center"/>
            <w:hideMark/>
          </w:tcPr>
          <w:p w14:paraId="61421E6E" w14:textId="77777777" w:rsidR="00E51CC7" w:rsidRPr="00733800" w:rsidRDefault="3982CBDC" w:rsidP="3982CBDC">
            <w:pPr>
              <w:jc w:val="center"/>
              <w:rPr>
                <w:rFonts w:ascii="Arial" w:eastAsia="Calibri" w:hAnsi="Arial" w:cs="Arial"/>
                <w:noProof/>
                <w:color w:val="000000" w:themeColor="text1"/>
                <w:sz w:val="20"/>
                <w:szCs w:val="20"/>
                <w:lang w:val="en-GB"/>
              </w:rPr>
            </w:pPr>
            <w:r w:rsidRPr="3982CBDC">
              <w:rPr>
                <w:rFonts w:ascii="Arial" w:eastAsia="Calibri" w:hAnsi="Arial" w:cs="Arial"/>
                <w:noProof/>
                <w:color w:val="000000" w:themeColor="text1"/>
                <w:sz w:val="20"/>
                <w:szCs w:val="20"/>
              </w:rPr>
              <w:t>138</w:t>
            </w:r>
          </w:p>
        </w:tc>
        <w:tc>
          <w:tcPr>
            <w:tcW w:w="1028" w:type="dxa"/>
            <w:noWrap/>
            <w:vAlign w:val="center"/>
            <w:hideMark/>
          </w:tcPr>
          <w:p w14:paraId="40963BBA" w14:textId="77777777" w:rsidR="00E51CC7" w:rsidRPr="00733800" w:rsidRDefault="3982CBDC" w:rsidP="3982CBDC">
            <w:pPr>
              <w:jc w:val="center"/>
              <w:rPr>
                <w:rFonts w:ascii="Arial" w:eastAsia="Calibri" w:hAnsi="Arial" w:cs="Arial"/>
                <w:noProof/>
                <w:color w:val="000000" w:themeColor="text1"/>
                <w:sz w:val="20"/>
                <w:szCs w:val="20"/>
                <w:lang w:val="en-GB"/>
              </w:rPr>
            </w:pPr>
            <w:r w:rsidRPr="3982CBDC">
              <w:rPr>
                <w:rFonts w:ascii="Arial" w:eastAsia="Calibri" w:hAnsi="Arial" w:cs="Arial"/>
                <w:noProof/>
                <w:color w:val="000000" w:themeColor="text1"/>
                <w:sz w:val="20"/>
                <w:szCs w:val="20"/>
              </w:rPr>
              <w:t>66</w:t>
            </w:r>
          </w:p>
        </w:tc>
        <w:tc>
          <w:tcPr>
            <w:tcW w:w="1083" w:type="dxa"/>
            <w:noWrap/>
            <w:vAlign w:val="center"/>
            <w:hideMark/>
          </w:tcPr>
          <w:p w14:paraId="269C6FF1" w14:textId="77777777" w:rsidR="00E51CC7" w:rsidRPr="00733800" w:rsidRDefault="3982CBDC" w:rsidP="3982CBDC">
            <w:pPr>
              <w:jc w:val="center"/>
              <w:rPr>
                <w:rFonts w:ascii="Arial" w:eastAsia="Calibri" w:hAnsi="Arial" w:cs="Arial"/>
                <w:noProof/>
                <w:sz w:val="20"/>
                <w:szCs w:val="20"/>
                <w:lang w:val="en-GB"/>
              </w:rPr>
            </w:pPr>
            <w:r w:rsidRPr="3982CBDC">
              <w:rPr>
                <w:rFonts w:ascii="Arial" w:eastAsia="Calibri" w:hAnsi="Arial" w:cs="Arial"/>
                <w:noProof/>
                <w:color w:val="000000" w:themeColor="text1"/>
                <w:sz w:val="20"/>
                <w:szCs w:val="20"/>
              </w:rPr>
              <w:t>66</w:t>
            </w:r>
          </w:p>
        </w:tc>
      </w:tr>
      <w:tr w:rsidR="00E51CC7" w:rsidRPr="00733800" w14:paraId="1BB9135A" w14:textId="77777777" w:rsidTr="00492D4F">
        <w:trPr>
          <w:trHeight w:val="300"/>
          <w:jc w:val="center"/>
        </w:trPr>
        <w:tc>
          <w:tcPr>
            <w:tcW w:w="2969" w:type="dxa"/>
            <w:noWrap/>
            <w:vAlign w:val="center"/>
            <w:hideMark/>
          </w:tcPr>
          <w:p w14:paraId="7327AB4C" w14:textId="77777777" w:rsidR="00E51CC7" w:rsidRPr="00733800" w:rsidRDefault="3982CBDC" w:rsidP="3982CBDC">
            <w:pPr>
              <w:jc w:val="left"/>
              <w:rPr>
                <w:rFonts w:ascii="Arial" w:eastAsia="Calibri" w:hAnsi="Arial" w:cs="Arial"/>
                <w:noProof/>
                <w:sz w:val="20"/>
                <w:szCs w:val="20"/>
                <w:lang w:val="en-GB"/>
              </w:rPr>
            </w:pPr>
            <w:r w:rsidRPr="3982CBDC">
              <w:rPr>
                <w:rFonts w:ascii="Arial" w:eastAsia="Calibri" w:hAnsi="Arial" w:cs="Arial"/>
                <w:noProof/>
                <w:sz w:val="20"/>
                <w:szCs w:val="20"/>
              </w:rPr>
              <w:t>Other</w:t>
            </w:r>
          </w:p>
        </w:tc>
        <w:tc>
          <w:tcPr>
            <w:tcW w:w="1039" w:type="dxa"/>
            <w:noWrap/>
            <w:vAlign w:val="center"/>
            <w:hideMark/>
          </w:tcPr>
          <w:p w14:paraId="57B1533E" w14:textId="77777777" w:rsidR="00E51CC7" w:rsidRPr="00733800" w:rsidRDefault="3982CBDC" w:rsidP="3982CBDC">
            <w:pPr>
              <w:jc w:val="center"/>
              <w:rPr>
                <w:rFonts w:ascii="Arial" w:eastAsia="Calibri" w:hAnsi="Arial" w:cs="Arial"/>
                <w:noProof/>
                <w:color w:val="000000" w:themeColor="text1"/>
                <w:sz w:val="20"/>
                <w:szCs w:val="20"/>
                <w:lang w:val="en-GB"/>
              </w:rPr>
            </w:pPr>
            <w:r w:rsidRPr="3982CBDC">
              <w:rPr>
                <w:rFonts w:ascii="Arial" w:eastAsia="Calibri" w:hAnsi="Arial" w:cs="Arial"/>
                <w:noProof/>
                <w:color w:val="000000" w:themeColor="text1"/>
                <w:sz w:val="20"/>
                <w:szCs w:val="20"/>
              </w:rPr>
              <w:t>200</w:t>
            </w:r>
          </w:p>
        </w:tc>
        <w:tc>
          <w:tcPr>
            <w:tcW w:w="1028" w:type="dxa"/>
            <w:noWrap/>
            <w:vAlign w:val="center"/>
            <w:hideMark/>
          </w:tcPr>
          <w:p w14:paraId="48D359AC" w14:textId="77777777" w:rsidR="00E51CC7" w:rsidRPr="00733800" w:rsidRDefault="3982CBDC" w:rsidP="3982CBDC">
            <w:pPr>
              <w:jc w:val="center"/>
              <w:rPr>
                <w:rFonts w:ascii="Arial" w:eastAsia="Calibri" w:hAnsi="Arial" w:cs="Arial"/>
                <w:noProof/>
                <w:color w:val="000000" w:themeColor="text1"/>
                <w:sz w:val="20"/>
                <w:szCs w:val="20"/>
                <w:lang w:val="en-GB"/>
              </w:rPr>
            </w:pPr>
            <w:r w:rsidRPr="3982CBDC">
              <w:rPr>
                <w:rFonts w:ascii="Arial" w:eastAsia="Calibri" w:hAnsi="Arial" w:cs="Arial"/>
                <w:noProof/>
                <w:color w:val="000000" w:themeColor="text1"/>
                <w:sz w:val="20"/>
                <w:szCs w:val="20"/>
              </w:rPr>
              <w:t>200</w:t>
            </w:r>
          </w:p>
        </w:tc>
        <w:tc>
          <w:tcPr>
            <w:tcW w:w="1028" w:type="dxa"/>
            <w:noWrap/>
            <w:vAlign w:val="center"/>
            <w:hideMark/>
          </w:tcPr>
          <w:p w14:paraId="6F2407C1" w14:textId="77777777" w:rsidR="00E51CC7" w:rsidRPr="00733800" w:rsidRDefault="3982CBDC" w:rsidP="3982CBDC">
            <w:pPr>
              <w:jc w:val="center"/>
              <w:rPr>
                <w:rFonts w:ascii="Arial" w:eastAsia="Calibri" w:hAnsi="Arial" w:cs="Arial"/>
                <w:noProof/>
                <w:color w:val="000000" w:themeColor="text1"/>
                <w:sz w:val="20"/>
                <w:szCs w:val="20"/>
                <w:lang w:val="en-GB"/>
              </w:rPr>
            </w:pPr>
            <w:r w:rsidRPr="3982CBDC">
              <w:rPr>
                <w:rFonts w:ascii="Arial" w:eastAsia="Calibri" w:hAnsi="Arial" w:cs="Arial"/>
                <w:noProof/>
                <w:color w:val="000000" w:themeColor="text1"/>
                <w:sz w:val="20"/>
                <w:szCs w:val="20"/>
              </w:rPr>
              <w:t>196</w:t>
            </w:r>
          </w:p>
        </w:tc>
        <w:tc>
          <w:tcPr>
            <w:tcW w:w="1083" w:type="dxa"/>
            <w:noWrap/>
            <w:vAlign w:val="center"/>
            <w:hideMark/>
          </w:tcPr>
          <w:p w14:paraId="44C53325" w14:textId="77777777" w:rsidR="00E51CC7" w:rsidRPr="00733800" w:rsidRDefault="3982CBDC" w:rsidP="3982CBDC">
            <w:pPr>
              <w:jc w:val="center"/>
              <w:rPr>
                <w:rFonts w:ascii="Arial" w:eastAsia="Calibri" w:hAnsi="Arial" w:cs="Arial"/>
                <w:noProof/>
                <w:sz w:val="20"/>
                <w:szCs w:val="20"/>
                <w:lang w:val="en-GB"/>
              </w:rPr>
            </w:pPr>
            <w:r w:rsidRPr="3982CBDC">
              <w:rPr>
                <w:rFonts w:ascii="Arial" w:eastAsia="Calibri" w:hAnsi="Arial" w:cs="Arial"/>
                <w:noProof/>
                <w:color w:val="000000" w:themeColor="text1"/>
                <w:sz w:val="20"/>
                <w:szCs w:val="20"/>
              </w:rPr>
              <w:t>196</w:t>
            </w:r>
          </w:p>
        </w:tc>
      </w:tr>
      <w:tr w:rsidR="00E51CC7" w:rsidRPr="00733800" w14:paraId="732FDEBA" w14:textId="77777777" w:rsidTr="00492D4F">
        <w:trPr>
          <w:trHeight w:val="300"/>
          <w:jc w:val="center"/>
        </w:trPr>
        <w:tc>
          <w:tcPr>
            <w:tcW w:w="2969" w:type="dxa"/>
            <w:shd w:val="clear" w:color="auto" w:fill="EAF1DD" w:themeFill="accent3" w:themeFillTint="33"/>
            <w:noWrap/>
            <w:vAlign w:val="center"/>
          </w:tcPr>
          <w:p w14:paraId="2628154D" w14:textId="30B1F9C9" w:rsidR="00E51CC7" w:rsidRPr="00733800" w:rsidRDefault="3982CBDC" w:rsidP="00045FC8">
            <w:pPr>
              <w:jc w:val="left"/>
              <w:rPr>
                <w:rFonts w:ascii="Arial" w:eastAsia="Calibri" w:hAnsi="Arial" w:cs="Calibri"/>
                <w:b/>
                <w:bCs/>
                <w:noProof/>
                <w:color w:val="000000" w:themeColor="text1"/>
                <w:sz w:val="20"/>
                <w:szCs w:val="20"/>
                <w:lang w:val="en-GB"/>
              </w:rPr>
            </w:pPr>
            <w:r w:rsidRPr="3982CBDC">
              <w:rPr>
                <w:rFonts w:ascii="Arial" w:eastAsia="Calibri" w:hAnsi="Arial" w:cs="Calibri"/>
                <w:b/>
                <w:bCs/>
                <w:noProof/>
                <w:color w:val="000000" w:themeColor="text1"/>
                <w:sz w:val="20"/>
                <w:szCs w:val="20"/>
              </w:rPr>
              <w:t>Total</w:t>
            </w:r>
            <w:r w:rsidR="00045FC8">
              <w:rPr>
                <w:rFonts w:ascii="Arial" w:eastAsia="Calibri" w:hAnsi="Arial" w:cs="Calibri"/>
                <w:b/>
                <w:bCs/>
                <w:noProof/>
                <w:color w:val="000000" w:themeColor="text1"/>
                <w:sz w:val="20"/>
                <w:szCs w:val="20"/>
              </w:rPr>
              <w:t xml:space="preserve"> emissions until 2050</w:t>
            </w:r>
          </w:p>
        </w:tc>
        <w:tc>
          <w:tcPr>
            <w:tcW w:w="1039" w:type="dxa"/>
            <w:shd w:val="clear" w:color="auto" w:fill="EAF1DD" w:themeFill="accent3" w:themeFillTint="33"/>
            <w:noWrap/>
            <w:vAlign w:val="center"/>
          </w:tcPr>
          <w:p w14:paraId="455DE327" w14:textId="77777777" w:rsidR="00E51CC7" w:rsidRPr="00733800" w:rsidRDefault="3982CBDC" w:rsidP="3982CBDC">
            <w:pPr>
              <w:jc w:val="center"/>
              <w:rPr>
                <w:rFonts w:ascii="Arial" w:eastAsia="Calibri" w:hAnsi="Arial" w:cs="Calibri"/>
                <w:b/>
                <w:bCs/>
                <w:noProof/>
                <w:color w:val="000000" w:themeColor="text1"/>
                <w:sz w:val="20"/>
                <w:szCs w:val="20"/>
                <w:lang w:val="en-GB"/>
              </w:rPr>
            </w:pPr>
            <w:r w:rsidRPr="3982CBDC">
              <w:rPr>
                <w:rFonts w:ascii="Arial" w:eastAsia="Calibri" w:hAnsi="Arial" w:cs="Calibri"/>
                <w:b/>
                <w:bCs/>
                <w:noProof/>
                <w:color w:val="000000" w:themeColor="text1"/>
                <w:sz w:val="20"/>
                <w:szCs w:val="20"/>
              </w:rPr>
              <w:t xml:space="preserve">1 </w:t>
            </w:r>
            <w:r w:rsidRPr="3982CBDC">
              <w:rPr>
                <w:rFonts w:ascii="Arial" w:eastAsia="Calibri" w:hAnsi="Arial" w:cs="Arial"/>
                <w:b/>
                <w:bCs/>
                <w:noProof/>
                <w:color w:val="000000" w:themeColor="text1"/>
                <w:sz w:val="20"/>
                <w:szCs w:val="20"/>
              </w:rPr>
              <w:t>016</w:t>
            </w:r>
          </w:p>
        </w:tc>
        <w:tc>
          <w:tcPr>
            <w:tcW w:w="1028" w:type="dxa"/>
            <w:shd w:val="clear" w:color="auto" w:fill="EAF1DD" w:themeFill="accent3" w:themeFillTint="33"/>
            <w:noWrap/>
            <w:vAlign w:val="center"/>
          </w:tcPr>
          <w:p w14:paraId="3DE03A64" w14:textId="77777777" w:rsidR="00E51CC7" w:rsidRPr="00733800" w:rsidRDefault="3982CBDC" w:rsidP="3982CBDC">
            <w:pPr>
              <w:jc w:val="center"/>
              <w:rPr>
                <w:rFonts w:ascii="Arial" w:eastAsia="Calibri" w:hAnsi="Arial" w:cs="Calibri"/>
                <w:b/>
                <w:bCs/>
                <w:noProof/>
                <w:color w:val="000000" w:themeColor="text1"/>
                <w:sz w:val="20"/>
                <w:szCs w:val="20"/>
                <w:lang w:val="en-GB"/>
              </w:rPr>
            </w:pPr>
            <w:r w:rsidRPr="3982CBDC">
              <w:rPr>
                <w:rFonts w:ascii="Arial" w:eastAsia="Calibri" w:hAnsi="Arial" w:cs="Calibri"/>
                <w:b/>
                <w:bCs/>
                <w:noProof/>
                <w:color w:val="000000" w:themeColor="text1"/>
                <w:sz w:val="20"/>
                <w:szCs w:val="20"/>
              </w:rPr>
              <w:t xml:space="preserve">1 </w:t>
            </w:r>
            <w:r w:rsidRPr="3982CBDC">
              <w:rPr>
                <w:rFonts w:ascii="Arial" w:eastAsia="Calibri" w:hAnsi="Arial" w:cs="Arial"/>
                <w:b/>
                <w:bCs/>
                <w:noProof/>
                <w:color w:val="000000" w:themeColor="text1"/>
                <w:sz w:val="20"/>
                <w:szCs w:val="20"/>
              </w:rPr>
              <w:t>050</w:t>
            </w:r>
          </w:p>
        </w:tc>
        <w:tc>
          <w:tcPr>
            <w:tcW w:w="1028" w:type="dxa"/>
            <w:shd w:val="clear" w:color="auto" w:fill="EAF1DD" w:themeFill="accent3" w:themeFillTint="33"/>
            <w:noWrap/>
            <w:vAlign w:val="center"/>
          </w:tcPr>
          <w:p w14:paraId="5E2CE565" w14:textId="77777777" w:rsidR="00E51CC7" w:rsidRPr="00733800" w:rsidRDefault="3982CBDC" w:rsidP="3982CBDC">
            <w:pPr>
              <w:jc w:val="center"/>
              <w:rPr>
                <w:rFonts w:ascii="Arial" w:eastAsia="Calibri" w:hAnsi="Arial" w:cs="Calibri"/>
                <w:b/>
                <w:bCs/>
                <w:noProof/>
                <w:color w:val="000000" w:themeColor="text1"/>
                <w:sz w:val="20"/>
                <w:szCs w:val="20"/>
                <w:lang w:val="en-GB"/>
              </w:rPr>
            </w:pPr>
            <w:r w:rsidRPr="3982CBDC">
              <w:rPr>
                <w:rFonts w:ascii="Arial" w:eastAsia="Calibri" w:hAnsi="Arial" w:cs="Arial"/>
                <w:b/>
                <w:bCs/>
                <w:noProof/>
                <w:color w:val="000000" w:themeColor="text1"/>
                <w:sz w:val="20"/>
                <w:szCs w:val="20"/>
              </w:rPr>
              <w:t>763</w:t>
            </w:r>
          </w:p>
        </w:tc>
        <w:tc>
          <w:tcPr>
            <w:tcW w:w="1083" w:type="dxa"/>
            <w:shd w:val="clear" w:color="auto" w:fill="EAF1DD" w:themeFill="accent3" w:themeFillTint="33"/>
            <w:noWrap/>
            <w:vAlign w:val="center"/>
          </w:tcPr>
          <w:p w14:paraId="0D6647AF" w14:textId="77777777" w:rsidR="00E51CC7" w:rsidRPr="00733800" w:rsidRDefault="3982CBDC" w:rsidP="3982CBDC">
            <w:pPr>
              <w:jc w:val="center"/>
              <w:rPr>
                <w:rFonts w:ascii="Arial" w:eastAsia="Calibri" w:hAnsi="Arial" w:cs="Calibri"/>
                <w:b/>
                <w:bCs/>
                <w:noProof/>
                <w:color w:val="000000" w:themeColor="text1"/>
                <w:sz w:val="20"/>
                <w:szCs w:val="20"/>
                <w:lang w:val="en-GB"/>
              </w:rPr>
            </w:pPr>
            <w:r w:rsidRPr="3982CBDC">
              <w:rPr>
                <w:rFonts w:ascii="Arial" w:eastAsia="Calibri" w:hAnsi="Arial" w:cs="Arial"/>
                <w:b/>
                <w:bCs/>
                <w:noProof/>
                <w:color w:val="000000" w:themeColor="text1"/>
                <w:sz w:val="20"/>
                <w:szCs w:val="20"/>
              </w:rPr>
              <w:t>736</w:t>
            </w:r>
          </w:p>
        </w:tc>
      </w:tr>
    </w:tbl>
    <w:p w14:paraId="2FD9B0FB" w14:textId="55BEF6DE" w:rsidR="009122DE" w:rsidRPr="0064669C" w:rsidRDefault="0064669C" w:rsidP="009122DE">
      <w:pPr>
        <w:keepNext/>
        <w:spacing w:after="120"/>
        <w:rPr>
          <w:rFonts w:asciiTheme="minorHAnsi" w:hAnsiTheme="minorHAnsi"/>
          <w:i/>
          <w:noProof/>
          <w:sz w:val="20"/>
        </w:rPr>
      </w:pPr>
      <w:bookmarkStart w:id="174" w:name="_Toc88571917"/>
      <w:r>
        <w:rPr>
          <w:noProof/>
        </w:rPr>
        <w:t xml:space="preserve">    </w:t>
      </w:r>
      <w:r w:rsidRPr="0085241A">
        <w:rPr>
          <w:rFonts w:asciiTheme="minorHAnsi" w:hAnsiTheme="minorHAnsi"/>
          <w:b/>
          <w:i/>
          <w:noProof/>
          <w:sz w:val="20"/>
        </w:rPr>
        <w:t>Source:</w:t>
      </w:r>
      <w:r w:rsidRPr="00F854AA">
        <w:rPr>
          <w:rFonts w:asciiTheme="minorHAnsi" w:hAnsiTheme="minorHAnsi"/>
          <w:i/>
          <w:noProof/>
          <w:sz w:val="20"/>
          <w:lang w:val="en-IE"/>
        </w:rPr>
        <w:t xml:space="preserve"> AnaFgas</w:t>
      </w:r>
      <w:r w:rsidRPr="0085241A">
        <w:rPr>
          <w:rFonts w:asciiTheme="minorHAnsi" w:hAnsiTheme="minorHAnsi"/>
          <w:i/>
          <w:noProof/>
          <w:sz w:val="20"/>
        </w:rPr>
        <w:t xml:space="preserve"> modelling</w:t>
      </w:r>
    </w:p>
    <w:p w14:paraId="5C8E4679" w14:textId="0F6D0FB6" w:rsidR="00000048" w:rsidRDefault="00E04F0C" w:rsidP="00E04F0C">
      <w:pPr>
        <w:pStyle w:val="Heading3"/>
        <w:rPr>
          <w:noProof/>
        </w:rPr>
      </w:pPr>
      <w:bookmarkStart w:id="175" w:name="_Toc94629510"/>
      <w:bookmarkStart w:id="176" w:name="_Toc98857754"/>
      <w:r w:rsidRPr="00E04F0C">
        <w:t>6.1.2.</w:t>
      </w:r>
      <w:r w:rsidRPr="00E04F0C">
        <w:tab/>
      </w:r>
      <w:r w:rsidR="3982CBDC">
        <w:rPr>
          <w:noProof/>
        </w:rPr>
        <w:t>Other emission savings</w:t>
      </w:r>
      <w:bookmarkEnd w:id="174"/>
      <w:bookmarkEnd w:id="175"/>
      <w:bookmarkEnd w:id="176"/>
      <w:r w:rsidR="3982CBDC">
        <w:rPr>
          <w:noProof/>
        </w:rPr>
        <w:t xml:space="preserve"> </w:t>
      </w:r>
    </w:p>
    <w:p w14:paraId="2BE35874" w14:textId="6396133E" w:rsidR="00C014AA" w:rsidRDefault="00E04F0C" w:rsidP="00E04F0C">
      <w:pPr>
        <w:pStyle w:val="Heading4"/>
        <w:rPr>
          <w:noProof/>
        </w:rPr>
      </w:pPr>
      <w:r w:rsidRPr="00E04F0C">
        <w:t>6.1.2.1.</w:t>
      </w:r>
      <w:r w:rsidRPr="00E04F0C">
        <w:tab/>
      </w:r>
      <w:r w:rsidR="00C014AA">
        <w:rPr>
          <w:noProof/>
        </w:rPr>
        <w:t>Emission savings from enlarged obligations to prevent emissions</w:t>
      </w:r>
    </w:p>
    <w:p w14:paraId="4BC533FB" w14:textId="7AEC459C" w:rsidR="00C014AA" w:rsidRPr="00EF5571" w:rsidRDefault="00B60E69" w:rsidP="00C014AA">
      <w:pPr>
        <w:spacing w:after="120"/>
        <w:rPr>
          <w:noProof/>
        </w:rPr>
      </w:pPr>
      <w:r>
        <w:rPr>
          <w:noProof/>
        </w:rPr>
        <w:t xml:space="preserve">In addition to the </w:t>
      </w:r>
      <w:r w:rsidR="00C014AA">
        <w:rPr>
          <w:noProof/>
        </w:rPr>
        <w:t xml:space="preserve">savings </w:t>
      </w:r>
      <w:r>
        <w:rPr>
          <w:noProof/>
        </w:rPr>
        <w:t>above,</w:t>
      </w:r>
      <w:r w:rsidR="00C014AA">
        <w:rPr>
          <w:noProof/>
        </w:rPr>
        <w:t xml:space="preserve"> Options 2 and 3 </w:t>
      </w:r>
      <w:r>
        <w:rPr>
          <w:noProof/>
        </w:rPr>
        <w:t xml:space="preserve">can further reduce emissions </w:t>
      </w:r>
      <w:r w:rsidR="00C014AA">
        <w:rPr>
          <w:noProof/>
        </w:rPr>
        <w:t xml:space="preserve">by requiring emission prevention </w:t>
      </w:r>
      <w:r>
        <w:rPr>
          <w:noProof/>
        </w:rPr>
        <w:t>measures for</w:t>
      </w:r>
      <w:r w:rsidR="00C014AA">
        <w:rPr>
          <w:noProof/>
        </w:rPr>
        <w:t xml:space="preserve"> some Annex II </w:t>
      </w:r>
      <w:r w:rsidR="00C87267">
        <w:rPr>
          <w:noProof/>
        </w:rPr>
        <w:t>and new substances</w:t>
      </w:r>
      <w:r w:rsidR="00C014AA">
        <w:rPr>
          <w:noProof/>
        </w:rPr>
        <w:t>, notably SO</w:t>
      </w:r>
      <w:r w:rsidR="00C014AA" w:rsidRPr="00C3743A">
        <w:rPr>
          <w:noProof/>
          <w:vertAlign w:val="subscript"/>
        </w:rPr>
        <w:t>2</w:t>
      </w:r>
      <w:r w:rsidR="00C014AA">
        <w:rPr>
          <w:noProof/>
        </w:rPr>
        <w:t>F</w:t>
      </w:r>
      <w:r w:rsidR="00C014AA" w:rsidRPr="00C3743A">
        <w:rPr>
          <w:noProof/>
          <w:vertAlign w:val="subscript"/>
        </w:rPr>
        <w:t>2</w:t>
      </w:r>
      <w:r w:rsidR="00C014AA">
        <w:rPr>
          <w:noProof/>
        </w:rPr>
        <w:t xml:space="preserve"> as well as some inhalation anaesthetics.</w:t>
      </w:r>
      <w:r w:rsidR="00C014AA">
        <w:rPr>
          <w:rStyle w:val="FootnoteReference"/>
          <w:noProof/>
        </w:rPr>
        <w:footnoteReference w:id="80"/>
      </w:r>
      <w:r w:rsidR="00C014AA">
        <w:rPr>
          <w:noProof/>
        </w:rPr>
        <w:t xml:space="preserve"> </w:t>
      </w:r>
      <w:r w:rsidR="00C014AA" w:rsidRPr="3982CBDC">
        <w:rPr>
          <w:i/>
          <w:iCs/>
          <w:noProof/>
        </w:rPr>
        <w:t xml:space="preserve">Yearly </w:t>
      </w:r>
      <w:r w:rsidR="00C014AA">
        <w:rPr>
          <w:noProof/>
        </w:rPr>
        <w:t xml:space="preserve">emission savings </w:t>
      </w:r>
      <w:r w:rsidR="00C87267">
        <w:rPr>
          <w:noProof/>
        </w:rPr>
        <w:t xml:space="preserve">from 2024 </w:t>
      </w:r>
      <w:r w:rsidR="00C014AA">
        <w:rPr>
          <w:noProof/>
        </w:rPr>
        <w:t>could be at least 1 MtCO2e each for both SO</w:t>
      </w:r>
      <w:r w:rsidR="00C014AA" w:rsidRPr="003A2DDF">
        <w:rPr>
          <w:noProof/>
          <w:vertAlign w:val="subscript"/>
        </w:rPr>
        <w:t>2</w:t>
      </w:r>
      <w:r w:rsidR="00C014AA">
        <w:rPr>
          <w:noProof/>
        </w:rPr>
        <w:t>F</w:t>
      </w:r>
      <w:r w:rsidR="00C014AA" w:rsidRPr="003A2DDF">
        <w:rPr>
          <w:noProof/>
          <w:vertAlign w:val="subscript"/>
        </w:rPr>
        <w:t>2</w:t>
      </w:r>
      <w:r w:rsidR="00C014AA">
        <w:rPr>
          <w:rStyle w:val="FootnoteReference"/>
          <w:noProof/>
        </w:rPr>
        <w:footnoteReference w:id="81"/>
      </w:r>
      <w:r w:rsidR="00C014AA">
        <w:rPr>
          <w:noProof/>
        </w:rPr>
        <w:t xml:space="preserve"> and the anaesthetics</w:t>
      </w:r>
      <w:r w:rsidR="00C014AA">
        <w:rPr>
          <w:rStyle w:val="FootnoteReference"/>
          <w:noProof/>
        </w:rPr>
        <w:footnoteReference w:id="82"/>
      </w:r>
      <w:r w:rsidR="00C014AA">
        <w:rPr>
          <w:noProof/>
        </w:rPr>
        <w:t>.</w:t>
      </w:r>
      <w:r w:rsidR="00C014AA" w:rsidRPr="003A2DDF">
        <w:rPr>
          <w:noProof/>
          <w:vertAlign w:val="subscript"/>
        </w:rPr>
        <w:t xml:space="preserve"> </w:t>
      </w:r>
      <w:r w:rsidR="00C014AA">
        <w:rPr>
          <w:noProof/>
        </w:rPr>
        <w:t>For NF</w:t>
      </w:r>
      <w:r w:rsidR="00C014AA" w:rsidRPr="005619D9">
        <w:rPr>
          <w:noProof/>
          <w:vertAlign w:val="subscript"/>
        </w:rPr>
        <w:t>3</w:t>
      </w:r>
      <w:r w:rsidR="00C014AA">
        <w:rPr>
          <w:noProof/>
        </w:rPr>
        <w:t xml:space="preserve"> the savings potential is lower.</w:t>
      </w:r>
      <w:r w:rsidR="00C014AA">
        <w:rPr>
          <w:rStyle w:val="FootnoteReference"/>
          <w:noProof/>
        </w:rPr>
        <w:footnoteReference w:id="83"/>
      </w:r>
      <w:r w:rsidR="00C014AA">
        <w:rPr>
          <w:noProof/>
        </w:rPr>
        <w:t xml:space="preserve"> Climate relevant emission savings from H(C)FOs are small and prevention is targeting the avoidance of possible persistent breakdown products (see</w:t>
      </w:r>
      <w:r w:rsidR="00481362">
        <w:rPr>
          <w:noProof/>
        </w:rPr>
        <w:t xml:space="preserve"> 6.1.4</w:t>
      </w:r>
      <w:r w:rsidR="00C014AA">
        <w:rPr>
          <w:noProof/>
        </w:rPr>
        <w:t xml:space="preserve">). </w:t>
      </w:r>
      <w:r>
        <w:rPr>
          <w:noProof/>
        </w:rPr>
        <w:t xml:space="preserve">Thus </w:t>
      </w:r>
      <w:r w:rsidRPr="00B60E69">
        <w:rPr>
          <w:b/>
          <w:noProof/>
        </w:rPr>
        <w:t>Option 2 and 3</w:t>
      </w:r>
      <w:r>
        <w:rPr>
          <w:noProof/>
        </w:rPr>
        <w:t xml:space="preserve"> </w:t>
      </w:r>
      <w:r w:rsidR="00702073" w:rsidRPr="00B60E69">
        <w:rPr>
          <w:b/>
          <w:noProof/>
        </w:rPr>
        <w:t xml:space="preserve">could </w:t>
      </w:r>
      <w:r>
        <w:rPr>
          <w:b/>
          <w:noProof/>
        </w:rPr>
        <w:t xml:space="preserve">add </w:t>
      </w:r>
      <w:r w:rsidR="00702073" w:rsidRPr="00B60E69">
        <w:rPr>
          <w:b/>
          <w:noProof/>
        </w:rPr>
        <w:t>ca. 54 MtCO2e by 2050</w:t>
      </w:r>
      <w:r w:rsidR="000D2D55" w:rsidRPr="00B60E69">
        <w:rPr>
          <w:b/>
          <w:noProof/>
        </w:rPr>
        <w:t xml:space="preserve"> cumulatively</w:t>
      </w:r>
      <w:r>
        <w:rPr>
          <w:b/>
          <w:noProof/>
        </w:rPr>
        <w:t xml:space="preserve"> to emissions saved by the phase-down and prohibitions.</w:t>
      </w:r>
      <w:r>
        <w:rPr>
          <w:noProof/>
        </w:rPr>
        <w:t xml:space="preserve"> </w:t>
      </w:r>
    </w:p>
    <w:p w14:paraId="523C8BF4" w14:textId="2AC50679" w:rsidR="005B7A7C" w:rsidRPr="005B7A7C" w:rsidRDefault="00E04F0C" w:rsidP="00E04F0C">
      <w:pPr>
        <w:pStyle w:val="Heading4"/>
        <w:rPr>
          <w:noProof/>
        </w:rPr>
      </w:pPr>
      <w:bookmarkStart w:id="177" w:name="_Ref94016658"/>
      <w:r w:rsidRPr="00E04F0C">
        <w:t>6.1.2.2.</w:t>
      </w:r>
      <w:r w:rsidRPr="00E04F0C">
        <w:tab/>
      </w:r>
      <w:r w:rsidR="3982CBDC">
        <w:rPr>
          <w:noProof/>
        </w:rPr>
        <w:t>Emission savings from the recovery of insulation foams</w:t>
      </w:r>
      <w:bookmarkEnd w:id="177"/>
    </w:p>
    <w:p w14:paraId="0330C392" w14:textId="495DC40A" w:rsidR="0092388E" w:rsidRPr="00C87CD9" w:rsidRDefault="3982CBDC" w:rsidP="00C87CD9">
      <w:pPr>
        <w:spacing w:after="120"/>
        <w:rPr>
          <w:noProof/>
        </w:rPr>
      </w:pPr>
      <w:r>
        <w:rPr>
          <w:noProof/>
        </w:rPr>
        <w:t>Recovery of HFC insulation</w:t>
      </w:r>
      <w:r w:rsidR="00902823">
        <w:rPr>
          <w:noProof/>
        </w:rPr>
        <w:t xml:space="preserve"> foams, when buildings are being renovated or demolished, can also result in </w:t>
      </w:r>
      <w:r>
        <w:rPr>
          <w:noProof/>
        </w:rPr>
        <w:t>emission savings</w:t>
      </w:r>
      <w:r w:rsidR="00902823">
        <w:rPr>
          <w:noProof/>
        </w:rPr>
        <w:t xml:space="preserve">. </w:t>
      </w:r>
      <w:r w:rsidR="00770B90">
        <w:rPr>
          <w:noProof/>
        </w:rPr>
        <w:t>About 1.9 M</w:t>
      </w:r>
      <w:r w:rsidR="000408C1">
        <w:rPr>
          <w:noProof/>
        </w:rPr>
        <w:t>tCO2e could be emitted as a result of in</w:t>
      </w:r>
      <w:r w:rsidR="00770B90">
        <w:rPr>
          <w:noProof/>
        </w:rPr>
        <w:t>appropriate end-of-life treatment unt</w:t>
      </w:r>
      <w:r w:rsidR="00C87267">
        <w:rPr>
          <w:noProof/>
        </w:rPr>
        <w:t>il 2050 (all in the period 2045-2050</w:t>
      </w:r>
      <w:r w:rsidR="00770B90">
        <w:rPr>
          <w:noProof/>
        </w:rPr>
        <w:t xml:space="preserve">), but in the time thereafter end-of-life emissions will rise further and persist for a long time in the baseline due to remaining foams in buildings </w:t>
      </w:r>
      <w:r w:rsidR="00025717">
        <w:rPr>
          <w:noProof/>
        </w:rPr>
        <w:t xml:space="preserve">of </w:t>
      </w:r>
      <w:r w:rsidR="00770B90">
        <w:rPr>
          <w:noProof/>
        </w:rPr>
        <w:t>ca</w:t>
      </w:r>
      <w:r w:rsidR="00025717">
        <w:rPr>
          <w:noProof/>
        </w:rPr>
        <w:t>.</w:t>
      </w:r>
      <w:r w:rsidR="00770B90">
        <w:rPr>
          <w:noProof/>
        </w:rPr>
        <w:t xml:space="preserve"> 45 MtCO2e of HFCs in 2050.</w:t>
      </w:r>
      <w:r w:rsidR="00770B90">
        <w:rPr>
          <w:rStyle w:val="FootnoteReference"/>
          <w:noProof/>
        </w:rPr>
        <w:footnoteReference w:id="84"/>
      </w:r>
      <w:r w:rsidR="00770B90" w:rsidRPr="00902823">
        <w:rPr>
          <w:noProof/>
        </w:rPr>
        <w:t xml:space="preserve"> </w:t>
      </w:r>
      <w:r w:rsidR="00C87267">
        <w:rPr>
          <w:noProof/>
        </w:rPr>
        <w:t>Option 1 would recover up to</w:t>
      </w:r>
      <w:r w:rsidR="00A50EE3">
        <w:rPr>
          <w:noProof/>
        </w:rPr>
        <w:t xml:space="preserve"> </w:t>
      </w:r>
      <w:r w:rsidR="00C87267">
        <w:rPr>
          <w:noProof/>
        </w:rPr>
        <w:t>20</w:t>
      </w:r>
      <w:r w:rsidR="00770B90" w:rsidRPr="00C87267">
        <w:rPr>
          <w:noProof/>
        </w:rPr>
        <w:t>%</w:t>
      </w:r>
      <w:r w:rsidR="00770B90">
        <w:rPr>
          <w:noProof/>
        </w:rPr>
        <w:t xml:space="preserve"> of these emission</w:t>
      </w:r>
      <w:r w:rsidR="00A50EE3">
        <w:rPr>
          <w:noProof/>
        </w:rPr>
        <w:t xml:space="preserve">, while </w:t>
      </w:r>
      <w:r w:rsidR="00C87267">
        <w:rPr>
          <w:noProof/>
        </w:rPr>
        <w:t>O</w:t>
      </w:r>
      <w:r w:rsidR="00A937F0">
        <w:rPr>
          <w:noProof/>
        </w:rPr>
        <w:t>ptions 2 and 3 could recover at least 35</w:t>
      </w:r>
      <w:r w:rsidR="00C87267">
        <w:rPr>
          <w:noProof/>
        </w:rPr>
        <w:t>%</w:t>
      </w:r>
      <w:r w:rsidR="00A50EE3">
        <w:rPr>
          <w:noProof/>
        </w:rPr>
        <w:t xml:space="preserve"> of these emissions</w:t>
      </w:r>
      <w:r w:rsidR="00A937F0">
        <w:rPr>
          <w:rStyle w:val="FootnoteReference"/>
          <w:noProof/>
        </w:rPr>
        <w:footnoteReference w:id="85"/>
      </w:r>
      <w:r w:rsidR="00770B90">
        <w:rPr>
          <w:noProof/>
        </w:rPr>
        <w:t xml:space="preserve"> </w:t>
      </w:r>
      <w:r w:rsidR="00025717">
        <w:rPr>
          <w:noProof/>
        </w:rPr>
        <w:t xml:space="preserve">(see Annex </w:t>
      </w:r>
      <w:r w:rsidR="00C66A21">
        <w:rPr>
          <w:noProof/>
        </w:rPr>
        <w:t>A15</w:t>
      </w:r>
      <w:r w:rsidR="00025717">
        <w:rPr>
          <w:noProof/>
        </w:rPr>
        <w:t>)</w:t>
      </w:r>
      <w:r w:rsidR="00A50EE3">
        <w:rPr>
          <w:noProof/>
        </w:rPr>
        <w:t xml:space="preserve">. </w:t>
      </w:r>
      <w:r w:rsidR="00902823">
        <w:rPr>
          <w:noProof/>
        </w:rPr>
        <w:t xml:space="preserve">There are </w:t>
      </w:r>
      <w:r w:rsidR="00770B90">
        <w:rPr>
          <w:noProof/>
        </w:rPr>
        <w:t xml:space="preserve">strong </w:t>
      </w:r>
      <w:r w:rsidR="00902823">
        <w:rPr>
          <w:noProof/>
        </w:rPr>
        <w:t>sy</w:t>
      </w:r>
      <w:r>
        <w:rPr>
          <w:noProof/>
        </w:rPr>
        <w:t xml:space="preserve">nergies with the </w:t>
      </w:r>
      <w:r w:rsidR="00770B90">
        <w:rPr>
          <w:noProof/>
        </w:rPr>
        <w:t xml:space="preserve">envisaged </w:t>
      </w:r>
      <w:r>
        <w:rPr>
          <w:noProof/>
        </w:rPr>
        <w:t>recovery of foams containing ozone-depleting substances</w:t>
      </w:r>
      <w:r w:rsidR="00770B90">
        <w:rPr>
          <w:noProof/>
        </w:rPr>
        <w:t xml:space="preserve"> (where there is </w:t>
      </w:r>
      <w:r w:rsidR="00C87267">
        <w:rPr>
          <w:noProof/>
        </w:rPr>
        <w:t xml:space="preserve">a </w:t>
      </w:r>
      <w:r w:rsidR="00770B90">
        <w:rPr>
          <w:noProof/>
        </w:rPr>
        <w:t>much higher potential to avoid emissions),</w:t>
      </w:r>
      <w:r>
        <w:rPr>
          <w:noProof/>
        </w:rPr>
        <w:t xml:space="preserve"> as </w:t>
      </w:r>
      <w:r w:rsidR="00770B90">
        <w:rPr>
          <w:noProof/>
        </w:rPr>
        <w:t xml:space="preserve">the </w:t>
      </w:r>
      <w:r>
        <w:rPr>
          <w:noProof/>
        </w:rPr>
        <w:t xml:space="preserve">collection and treatment </w:t>
      </w:r>
      <w:r w:rsidR="00770B90">
        <w:rPr>
          <w:noProof/>
        </w:rPr>
        <w:t xml:space="preserve">process </w:t>
      </w:r>
      <w:r>
        <w:rPr>
          <w:noProof/>
        </w:rPr>
        <w:t>would be the same.</w:t>
      </w:r>
    </w:p>
    <w:p w14:paraId="00CB794E" w14:textId="6AB7DDCE" w:rsidR="002C11A2" w:rsidRDefault="00E04F0C" w:rsidP="00E04F0C">
      <w:pPr>
        <w:pStyle w:val="Heading3"/>
        <w:rPr>
          <w:noProof/>
        </w:rPr>
      </w:pPr>
      <w:bookmarkStart w:id="178" w:name="_Toc88571918"/>
      <w:bookmarkStart w:id="179" w:name="_Toc94629511"/>
      <w:bookmarkStart w:id="180" w:name="_Toc98857755"/>
      <w:r w:rsidRPr="00E04F0C">
        <w:t>6.1.3.</w:t>
      </w:r>
      <w:r w:rsidRPr="00E04F0C">
        <w:tab/>
      </w:r>
      <w:r w:rsidR="3982CBDC">
        <w:rPr>
          <w:noProof/>
        </w:rPr>
        <w:t>Energy use</w:t>
      </w:r>
      <w:bookmarkEnd w:id="178"/>
      <w:bookmarkEnd w:id="179"/>
      <w:bookmarkEnd w:id="180"/>
    </w:p>
    <w:p w14:paraId="55E55467" w14:textId="1F379FA4" w:rsidR="00CB02DC" w:rsidRDefault="003236D1" w:rsidP="00CB02DC">
      <w:pPr>
        <w:spacing w:after="120"/>
        <w:rPr>
          <w:rFonts w:eastAsia="Calibri" w:cs="Times New Roman"/>
          <w:noProof/>
        </w:rPr>
      </w:pPr>
      <w:r w:rsidRPr="3982CBDC">
        <w:rPr>
          <w:b/>
          <w:bCs/>
          <w:noProof/>
        </w:rPr>
        <w:t xml:space="preserve">The technological conversion to more climate-relevant alternatives results in </w:t>
      </w:r>
      <w:r w:rsidR="00A50EE3">
        <w:rPr>
          <w:b/>
          <w:bCs/>
          <w:noProof/>
        </w:rPr>
        <w:t xml:space="preserve">some </w:t>
      </w:r>
      <w:r w:rsidRPr="3982CBDC">
        <w:rPr>
          <w:b/>
          <w:bCs/>
          <w:noProof/>
        </w:rPr>
        <w:t>energy savings in the refrigeration and AC sector.</w:t>
      </w:r>
      <w:r>
        <w:rPr>
          <w:noProof/>
        </w:rPr>
        <w:t xml:space="preserve"> </w:t>
      </w:r>
      <w:r w:rsidR="00B268E9" w:rsidRPr="00C269FF">
        <w:rPr>
          <w:noProof/>
        </w:rPr>
        <w:t xml:space="preserve">For </w:t>
      </w:r>
      <w:r>
        <w:rPr>
          <w:noProof/>
        </w:rPr>
        <w:t xml:space="preserve">Options 2 and 3, </w:t>
      </w:r>
      <w:r w:rsidR="00B268E9" w:rsidRPr="00C269FF">
        <w:rPr>
          <w:noProof/>
        </w:rPr>
        <w:t xml:space="preserve">average energy savings </w:t>
      </w:r>
      <w:r w:rsidR="00630014">
        <w:rPr>
          <w:noProof/>
        </w:rPr>
        <w:t xml:space="preserve">are </w:t>
      </w:r>
      <w:r w:rsidR="00D70AEF">
        <w:rPr>
          <w:noProof/>
        </w:rPr>
        <w:t>approximately 2</w:t>
      </w:r>
      <w:r w:rsidR="00D70AEF">
        <w:rPr>
          <w:noProof/>
        </w:rPr>
        <w:noBreakHyphen/>
        <w:t>3 GWh per year</w:t>
      </w:r>
      <w:r w:rsidR="00B268E9" w:rsidRPr="00C269FF">
        <w:rPr>
          <w:noProof/>
        </w:rPr>
        <w:t xml:space="preserve"> for the 2024-2036</w:t>
      </w:r>
      <w:r>
        <w:rPr>
          <w:noProof/>
        </w:rPr>
        <w:t xml:space="preserve"> (i.</w:t>
      </w:r>
      <w:r w:rsidR="00B268E9">
        <w:rPr>
          <w:noProof/>
        </w:rPr>
        <w:t>e. 2030)</w:t>
      </w:r>
      <w:r w:rsidR="00B268E9" w:rsidRPr="00C269FF">
        <w:rPr>
          <w:noProof/>
        </w:rPr>
        <w:t xml:space="preserve"> period</w:t>
      </w:r>
      <w:r>
        <w:rPr>
          <w:noProof/>
        </w:rPr>
        <w:t xml:space="preserve"> (</w:t>
      </w:r>
      <w:r w:rsidR="005E2577">
        <w:rPr>
          <w:noProof/>
        </w:rPr>
        <w:t xml:space="preserve">Annex </w:t>
      </w:r>
      <w:r w:rsidR="00C66A21">
        <w:rPr>
          <w:noProof/>
        </w:rPr>
        <w:t>A12.6</w:t>
      </w:r>
      <w:r>
        <w:rPr>
          <w:noProof/>
        </w:rPr>
        <w:t>)</w:t>
      </w:r>
      <w:r w:rsidR="00B268E9" w:rsidRPr="00C269FF">
        <w:rPr>
          <w:noProof/>
        </w:rPr>
        <w:t>, due to the deployment of slightly more energy-efficient low-GWP technolo</w:t>
      </w:r>
      <w:r>
        <w:rPr>
          <w:noProof/>
        </w:rPr>
        <w:t>gies</w:t>
      </w:r>
      <w:r w:rsidR="004260BF">
        <w:rPr>
          <w:noProof/>
        </w:rPr>
        <w:t xml:space="preserve"> </w:t>
      </w:r>
      <w:r w:rsidR="00630014">
        <w:rPr>
          <w:noProof/>
        </w:rPr>
        <w:t xml:space="preserve">(alternative solutions are not accepted if they </w:t>
      </w:r>
      <w:r w:rsidR="004260BF">
        <w:rPr>
          <w:noProof/>
        </w:rPr>
        <w:t>result in lower energy efficiency</w:t>
      </w:r>
      <w:r w:rsidR="00630014">
        <w:rPr>
          <w:noProof/>
        </w:rPr>
        <w:t>)</w:t>
      </w:r>
      <w:r>
        <w:rPr>
          <w:noProof/>
        </w:rPr>
        <w:t xml:space="preserve">. </w:t>
      </w:r>
      <w:r w:rsidR="005E2577">
        <w:rPr>
          <w:noProof/>
        </w:rPr>
        <w:t>F</w:t>
      </w:r>
      <w:r>
        <w:rPr>
          <w:noProof/>
        </w:rPr>
        <w:t>or Option 1</w:t>
      </w:r>
      <w:r w:rsidR="00630014">
        <w:rPr>
          <w:noProof/>
        </w:rPr>
        <w:t xml:space="preserve"> </w:t>
      </w:r>
      <w:r w:rsidR="00B268E9" w:rsidRPr="00C269FF">
        <w:rPr>
          <w:noProof/>
        </w:rPr>
        <w:t xml:space="preserve">average 2024-2036 final energy use is about </w:t>
      </w:r>
      <w:r>
        <w:rPr>
          <w:noProof/>
        </w:rPr>
        <w:t xml:space="preserve">1 </w:t>
      </w:r>
      <w:r w:rsidR="00D70AEF">
        <w:rPr>
          <w:noProof/>
        </w:rPr>
        <w:t>GWh per year</w:t>
      </w:r>
      <w:r w:rsidR="00B268E9" w:rsidRPr="00C269FF">
        <w:rPr>
          <w:noProof/>
        </w:rPr>
        <w:t xml:space="preserve"> higher than the baseline</w:t>
      </w:r>
      <w:r>
        <w:rPr>
          <w:noProof/>
        </w:rPr>
        <w:t>.</w:t>
      </w:r>
      <w:r w:rsidR="001A33A5">
        <w:rPr>
          <w:noProof/>
        </w:rPr>
        <w:t xml:space="preserve"> In the 2050 </w:t>
      </w:r>
      <w:r w:rsidR="00B268E9" w:rsidRPr="00C269FF">
        <w:rPr>
          <w:noProof/>
        </w:rPr>
        <w:t xml:space="preserve">time horizon, </w:t>
      </w:r>
      <w:r w:rsidR="001A33A5">
        <w:rPr>
          <w:noProof/>
        </w:rPr>
        <w:t>all</w:t>
      </w:r>
      <w:r w:rsidR="00B268E9" w:rsidRPr="00C269FF">
        <w:rPr>
          <w:noProof/>
        </w:rPr>
        <w:t xml:space="preserve"> three policy scenarios result in </w:t>
      </w:r>
      <w:r w:rsidR="00630014">
        <w:rPr>
          <w:noProof/>
        </w:rPr>
        <w:t xml:space="preserve">energy savings, ranging from </w:t>
      </w:r>
      <w:r w:rsidR="00D70AEF">
        <w:rPr>
          <w:noProof/>
        </w:rPr>
        <w:t>2 GWh per year</w:t>
      </w:r>
      <w:r w:rsidR="00B268E9" w:rsidRPr="00C269FF">
        <w:rPr>
          <w:noProof/>
        </w:rPr>
        <w:t xml:space="preserve"> (</w:t>
      </w:r>
      <w:r>
        <w:rPr>
          <w:noProof/>
        </w:rPr>
        <w:t>Option 1</w:t>
      </w:r>
      <w:r w:rsidR="00D70AEF">
        <w:rPr>
          <w:noProof/>
        </w:rPr>
        <w:t xml:space="preserve">) to </w:t>
      </w:r>
      <w:r w:rsidR="008705CE">
        <w:rPr>
          <w:noProof/>
        </w:rPr>
        <w:t>8-9</w:t>
      </w:r>
      <w:r w:rsidR="00D70AEF">
        <w:rPr>
          <w:noProof/>
        </w:rPr>
        <w:t xml:space="preserve"> GWh per year</w:t>
      </w:r>
      <w:r w:rsidR="00B268E9" w:rsidRPr="00C269FF">
        <w:rPr>
          <w:noProof/>
        </w:rPr>
        <w:t xml:space="preserve"> (</w:t>
      </w:r>
      <w:r>
        <w:rPr>
          <w:noProof/>
        </w:rPr>
        <w:t>Option 2</w:t>
      </w:r>
      <w:r w:rsidR="008705CE">
        <w:rPr>
          <w:noProof/>
        </w:rPr>
        <w:t xml:space="preserve"> and 3)</w:t>
      </w:r>
      <w:r w:rsidR="00B268E9" w:rsidRPr="00C269FF">
        <w:rPr>
          <w:noProof/>
        </w:rPr>
        <w:t>.</w:t>
      </w:r>
      <w:r w:rsidR="001A33A5">
        <w:rPr>
          <w:noProof/>
        </w:rPr>
        <w:t xml:space="preserve"> T</w:t>
      </w:r>
      <w:r>
        <w:rPr>
          <w:noProof/>
        </w:rPr>
        <w:t xml:space="preserve">hese savings are </w:t>
      </w:r>
      <w:r w:rsidR="001A33A5">
        <w:rPr>
          <w:noProof/>
        </w:rPr>
        <w:t xml:space="preserve">however </w:t>
      </w:r>
      <w:r>
        <w:rPr>
          <w:noProof/>
        </w:rPr>
        <w:t xml:space="preserve">relatively </w:t>
      </w:r>
      <w:r w:rsidRPr="003236D1">
        <w:rPr>
          <w:noProof/>
        </w:rPr>
        <w:t>small</w:t>
      </w:r>
      <w:r w:rsidR="0079669E">
        <w:rPr>
          <w:noProof/>
        </w:rPr>
        <w:t xml:space="preserve"> (about </w:t>
      </w:r>
      <w:r w:rsidR="00B268E9" w:rsidRPr="003236D1">
        <w:rPr>
          <w:noProof/>
        </w:rPr>
        <w:t>0.1 % - 0.3 % of baseline energy use in the</w:t>
      </w:r>
      <w:r w:rsidR="001A33A5">
        <w:rPr>
          <w:noProof/>
        </w:rPr>
        <w:t xml:space="preserve"> RAC</w:t>
      </w:r>
      <w:r w:rsidR="001A5734">
        <w:rPr>
          <w:noProof/>
        </w:rPr>
        <w:t xml:space="preserve"> (i.e. refrigeration, air conditioning including </w:t>
      </w:r>
      <w:r w:rsidR="00761D8A">
        <w:rPr>
          <w:noProof/>
        </w:rPr>
        <w:t>heat pumps</w:t>
      </w:r>
      <w:r w:rsidR="001A5734">
        <w:rPr>
          <w:noProof/>
        </w:rPr>
        <w:t>)</w:t>
      </w:r>
      <w:r w:rsidR="001A33A5">
        <w:rPr>
          <w:noProof/>
        </w:rPr>
        <w:t xml:space="preserve"> sectors in the 2024–2036 </w:t>
      </w:r>
      <w:r w:rsidR="00B268E9" w:rsidRPr="003236D1">
        <w:rPr>
          <w:noProof/>
        </w:rPr>
        <w:t>time horizon, or 0.1 % </w:t>
      </w:r>
      <w:r w:rsidR="00A937F0">
        <w:rPr>
          <w:noProof/>
        </w:rPr>
        <w:t>– 0.5% in the 2050-time horizon</w:t>
      </w:r>
      <w:r w:rsidRPr="003236D1">
        <w:rPr>
          <w:noProof/>
        </w:rPr>
        <w:t>.</w:t>
      </w:r>
      <w:r w:rsidR="005E2577" w:rsidRPr="005E2577">
        <w:rPr>
          <w:rFonts w:eastAsia="Calibri" w:cs="Times New Roman"/>
          <w:noProof/>
        </w:rPr>
        <w:t xml:space="preserve"> </w:t>
      </w:r>
      <w:bookmarkStart w:id="181" w:name="_Toc77782615"/>
      <w:bookmarkStart w:id="182" w:name="_Ref85701944"/>
      <w:bookmarkStart w:id="183" w:name="_Toc88571919"/>
      <w:bookmarkEnd w:id="181"/>
      <w:r w:rsidR="006D6953">
        <w:rPr>
          <w:rFonts w:eastAsia="Calibri" w:cs="Times New Roman"/>
          <w:noProof/>
        </w:rPr>
        <w:t>The energy savings result from the early replacement of older equipment with new alternative equipment that is more energy efficient. The savings are therefore higher for the more ambitious options.</w:t>
      </w:r>
    </w:p>
    <w:p w14:paraId="39700043" w14:textId="6F31F604" w:rsidR="00CB02DC" w:rsidRDefault="00E04F0C" w:rsidP="00E04F0C">
      <w:pPr>
        <w:pStyle w:val="Heading3"/>
        <w:rPr>
          <w:noProof/>
        </w:rPr>
      </w:pPr>
      <w:bookmarkStart w:id="184" w:name="_Ref93413149"/>
      <w:bookmarkStart w:id="185" w:name="_Ref93413161"/>
      <w:bookmarkStart w:id="186" w:name="_Ref93916729"/>
      <w:bookmarkStart w:id="187" w:name="_Ref93995221"/>
      <w:bookmarkStart w:id="188" w:name="_Toc94629512"/>
      <w:bookmarkStart w:id="189" w:name="_Toc98857756"/>
      <w:r w:rsidRPr="00E04F0C">
        <w:t>6.1.4.</w:t>
      </w:r>
      <w:r w:rsidRPr="00E04F0C">
        <w:tab/>
      </w:r>
      <w:r w:rsidR="00CB02DC">
        <w:rPr>
          <w:noProof/>
        </w:rPr>
        <w:t>Other environmental effects</w:t>
      </w:r>
      <w:bookmarkEnd w:id="184"/>
      <w:bookmarkEnd w:id="185"/>
      <w:bookmarkEnd w:id="186"/>
      <w:bookmarkEnd w:id="187"/>
      <w:bookmarkEnd w:id="188"/>
      <w:bookmarkEnd w:id="189"/>
    </w:p>
    <w:bookmarkEnd w:id="182"/>
    <w:bookmarkEnd w:id="183"/>
    <w:p w14:paraId="1E60A2A3" w14:textId="69AEB188" w:rsidR="00DF202E" w:rsidRPr="00322072" w:rsidRDefault="00630D77" w:rsidP="002E7EBF">
      <w:pPr>
        <w:spacing w:after="120"/>
        <w:rPr>
          <w:i/>
          <w:iCs/>
          <w:noProof/>
          <w:u w:val="single"/>
        </w:rPr>
      </w:pPr>
      <w:r w:rsidRPr="00322072">
        <w:rPr>
          <w:i/>
          <w:iCs/>
          <w:noProof/>
          <w:u w:val="single"/>
        </w:rPr>
        <w:t>Impact on H(C)FO emissions</w:t>
      </w:r>
    </w:p>
    <w:p w14:paraId="1D91D3E6" w14:textId="38AD7928" w:rsidR="00DE1155" w:rsidRDefault="008D2F72" w:rsidP="00AF678B">
      <w:pPr>
        <w:spacing w:after="120"/>
        <w:rPr>
          <w:noProof/>
        </w:rPr>
      </w:pPr>
      <w:r>
        <w:rPr>
          <w:noProof/>
        </w:rPr>
        <w:t>The reduced use of highly warming HFCs is resulting in an increase</w:t>
      </w:r>
      <w:r w:rsidR="00B8546C">
        <w:rPr>
          <w:noProof/>
        </w:rPr>
        <w:t>d</w:t>
      </w:r>
      <w:r>
        <w:rPr>
          <w:noProof/>
        </w:rPr>
        <w:t xml:space="preserve"> use </w:t>
      </w:r>
      <w:r w:rsidR="00B8546C">
        <w:rPr>
          <w:noProof/>
        </w:rPr>
        <w:t xml:space="preserve">and emissions </w:t>
      </w:r>
      <w:r>
        <w:rPr>
          <w:noProof/>
        </w:rPr>
        <w:t>of the climate-friendly H(C)FOs; e.g. HFO</w:t>
      </w:r>
      <w:r w:rsidRPr="00DE1155">
        <w:rPr>
          <w:noProof/>
        </w:rPr>
        <w:t>-1234yf</w:t>
      </w:r>
      <w:r w:rsidR="00CB02DC">
        <w:rPr>
          <w:noProof/>
        </w:rPr>
        <w:t xml:space="preserve"> being the most frequently used</w:t>
      </w:r>
      <w:r w:rsidR="00B8546C">
        <w:rPr>
          <w:noProof/>
        </w:rPr>
        <w:t xml:space="preserve">. HFO-1234yf emissions </w:t>
      </w:r>
      <w:r w:rsidR="00A937F0">
        <w:rPr>
          <w:noProof/>
        </w:rPr>
        <w:t xml:space="preserve">today </w:t>
      </w:r>
      <w:r w:rsidR="00B8546C">
        <w:rPr>
          <w:noProof/>
        </w:rPr>
        <w:t xml:space="preserve">come mainly from </w:t>
      </w:r>
      <w:r w:rsidR="005C3FF3">
        <w:rPr>
          <w:noProof/>
        </w:rPr>
        <w:t xml:space="preserve">ACs in </w:t>
      </w:r>
      <w:r w:rsidR="00B8546C">
        <w:rPr>
          <w:noProof/>
        </w:rPr>
        <w:t>passenger cars</w:t>
      </w:r>
      <w:r w:rsidR="001B1396">
        <w:rPr>
          <w:noProof/>
        </w:rPr>
        <w:t xml:space="preserve"> and </w:t>
      </w:r>
      <w:r w:rsidR="00B8546C">
        <w:rPr>
          <w:noProof/>
        </w:rPr>
        <w:t xml:space="preserve">are </w:t>
      </w:r>
      <w:r>
        <w:rPr>
          <w:noProof/>
        </w:rPr>
        <w:t xml:space="preserve">expected to triple between 2020 and 2029 for all policy options </w:t>
      </w:r>
      <w:r w:rsidR="001B1396">
        <w:rPr>
          <w:noProof/>
        </w:rPr>
        <w:t xml:space="preserve">and </w:t>
      </w:r>
      <w:r>
        <w:rPr>
          <w:noProof/>
        </w:rPr>
        <w:t xml:space="preserve">the baseline </w:t>
      </w:r>
      <w:r w:rsidR="001B1396">
        <w:rPr>
          <w:noProof/>
        </w:rPr>
        <w:t>(</w:t>
      </w:r>
      <w:r w:rsidR="00A937F0">
        <w:rPr>
          <w:noProof/>
        </w:rPr>
        <w:t xml:space="preserve">mostly due </w:t>
      </w:r>
      <w:r w:rsidR="00B8546C">
        <w:rPr>
          <w:noProof/>
        </w:rPr>
        <w:t>to the MAC Directive</w:t>
      </w:r>
      <w:r w:rsidR="001B1396">
        <w:rPr>
          <w:noProof/>
        </w:rPr>
        <w:t>)</w:t>
      </w:r>
      <w:r w:rsidR="00867FC1">
        <w:rPr>
          <w:noProof/>
        </w:rPr>
        <w:t>.</w:t>
      </w:r>
      <w:r>
        <w:rPr>
          <w:noProof/>
        </w:rPr>
        <w:t xml:space="preserve"> After 2029, </w:t>
      </w:r>
      <w:r w:rsidR="00C9281E">
        <w:rPr>
          <w:noProof/>
        </w:rPr>
        <w:t xml:space="preserve">emissions </w:t>
      </w:r>
      <w:r>
        <w:rPr>
          <w:noProof/>
        </w:rPr>
        <w:t>will</w:t>
      </w:r>
      <w:r w:rsidR="00B8546C">
        <w:rPr>
          <w:noProof/>
        </w:rPr>
        <w:t xml:space="preserve"> only be </w:t>
      </w:r>
      <w:r>
        <w:rPr>
          <w:noProof/>
        </w:rPr>
        <w:t>increasing</w:t>
      </w:r>
      <w:r w:rsidRPr="00DE1155">
        <w:rPr>
          <w:noProof/>
        </w:rPr>
        <w:t xml:space="preserve"> </w:t>
      </w:r>
      <w:r>
        <w:rPr>
          <w:noProof/>
        </w:rPr>
        <w:t>slightly</w:t>
      </w:r>
      <w:r w:rsidR="001B1396">
        <w:rPr>
          <w:noProof/>
        </w:rPr>
        <w:t xml:space="preserve"> under the b</w:t>
      </w:r>
      <w:r w:rsidR="001B1396" w:rsidRPr="00DE1155">
        <w:rPr>
          <w:noProof/>
        </w:rPr>
        <w:t>aseline</w:t>
      </w:r>
      <w:r w:rsidR="001B1396">
        <w:rPr>
          <w:noProof/>
        </w:rPr>
        <w:t xml:space="preserve"> and Option 1</w:t>
      </w:r>
      <w:r w:rsidR="00A937F0">
        <w:rPr>
          <w:rStyle w:val="FootnoteReference"/>
          <w:noProof/>
        </w:rPr>
        <w:footnoteReference w:id="86"/>
      </w:r>
      <w:r w:rsidR="00C9281E">
        <w:rPr>
          <w:noProof/>
        </w:rPr>
        <w:t>,</w:t>
      </w:r>
      <w:r>
        <w:rPr>
          <w:noProof/>
        </w:rPr>
        <w:t xml:space="preserve"> </w:t>
      </w:r>
      <w:r w:rsidR="00B8546C">
        <w:rPr>
          <w:noProof/>
        </w:rPr>
        <w:t xml:space="preserve">whereas </w:t>
      </w:r>
      <w:r w:rsidR="00C9281E">
        <w:rPr>
          <w:noProof/>
        </w:rPr>
        <w:t xml:space="preserve">emissions under </w:t>
      </w:r>
      <w:r>
        <w:rPr>
          <w:noProof/>
        </w:rPr>
        <w:t>Option 2 and 3</w:t>
      </w:r>
      <w:r w:rsidR="00B8546C">
        <w:rPr>
          <w:noProof/>
        </w:rPr>
        <w:t xml:space="preserve"> </w:t>
      </w:r>
      <w:r w:rsidR="00C9281E">
        <w:rPr>
          <w:noProof/>
        </w:rPr>
        <w:t xml:space="preserve">will </w:t>
      </w:r>
      <w:r w:rsidR="00867FC1">
        <w:rPr>
          <w:noProof/>
        </w:rPr>
        <w:t xml:space="preserve">rise more strongly and be </w:t>
      </w:r>
      <w:r w:rsidR="001B1396">
        <w:rPr>
          <w:noProof/>
        </w:rPr>
        <w:t>16</w:t>
      </w:r>
      <w:r w:rsidR="006C7DE8">
        <w:rPr>
          <w:noProof/>
        </w:rPr>
        <w:t xml:space="preserve">% higher </w:t>
      </w:r>
      <w:r w:rsidR="00867FC1">
        <w:rPr>
          <w:noProof/>
        </w:rPr>
        <w:t xml:space="preserve">than the baseline </w:t>
      </w:r>
      <w:r w:rsidR="001B1396">
        <w:rPr>
          <w:noProof/>
        </w:rPr>
        <w:t>by 2050</w:t>
      </w:r>
      <w:r w:rsidR="002B0CDC">
        <w:rPr>
          <w:noProof/>
        </w:rPr>
        <w:t xml:space="preserve"> (see graph in Annex </w:t>
      </w:r>
      <w:r w:rsidR="00C66A21">
        <w:rPr>
          <w:noProof/>
        </w:rPr>
        <w:t>A11.2</w:t>
      </w:r>
      <w:r w:rsidR="002B0CDC">
        <w:rPr>
          <w:noProof/>
        </w:rPr>
        <w:t>)</w:t>
      </w:r>
      <w:r w:rsidR="00867FC1">
        <w:rPr>
          <w:noProof/>
        </w:rPr>
        <w:t>.</w:t>
      </w:r>
      <w:r w:rsidR="00B8546C">
        <w:rPr>
          <w:noProof/>
        </w:rPr>
        <w:t xml:space="preserve"> </w:t>
      </w:r>
      <w:r w:rsidR="002235BF">
        <w:rPr>
          <w:noProof/>
        </w:rPr>
        <w:t xml:space="preserve">While they contribute very little to climate change, </w:t>
      </w:r>
      <w:r w:rsidR="009E109D">
        <w:rPr>
          <w:noProof/>
        </w:rPr>
        <w:t>H</w:t>
      </w:r>
      <w:r w:rsidR="001A33A5">
        <w:rPr>
          <w:noProof/>
        </w:rPr>
        <w:t>(C)</w:t>
      </w:r>
      <w:r w:rsidR="009E109D">
        <w:rPr>
          <w:noProof/>
        </w:rPr>
        <w:t xml:space="preserve">FOs </w:t>
      </w:r>
      <w:r w:rsidR="006C7DE8">
        <w:rPr>
          <w:noProof/>
        </w:rPr>
        <w:t>emissions</w:t>
      </w:r>
      <w:r w:rsidR="009E109D">
        <w:rPr>
          <w:noProof/>
        </w:rPr>
        <w:t xml:space="preserve"> </w:t>
      </w:r>
      <w:r w:rsidR="002235BF">
        <w:rPr>
          <w:noProof/>
        </w:rPr>
        <w:t>may lead</w:t>
      </w:r>
      <w:r w:rsidR="00DE1155" w:rsidRPr="00DE1155">
        <w:rPr>
          <w:noProof/>
        </w:rPr>
        <w:t xml:space="preserve"> to the formation of trifluoroacetate (TFA) in the atmosphere</w:t>
      </w:r>
      <w:r w:rsidR="00DE1155" w:rsidRPr="00DE1155">
        <w:rPr>
          <w:noProof/>
          <w:vertAlign w:val="superscript"/>
        </w:rPr>
        <w:footnoteReference w:id="87"/>
      </w:r>
      <w:r w:rsidR="00DE1155" w:rsidRPr="00DE1155">
        <w:rPr>
          <w:noProof/>
        </w:rPr>
        <w:t>. TFA is considered as being highly persistent and highly mobile</w:t>
      </w:r>
      <w:r>
        <w:rPr>
          <w:noProof/>
        </w:rPr>
        <w:t xml:space="preserve"> </w:t>
      </w:r>
      <w:r w:rsidR="006C7DE8">
        <w:rPr>
          <w:noProof/>
        </w:rPr>
        <w:t xml:space="preserve">in the environment </w:t>
      </w:r>
      <w:r>
        <w:rPr>
          <w:noProof/>
        </w:rPr>
        <w:t>and</w:t>
      </w:r>
      <w:r w:rsidR="00DE1155" w:rsidRPr="00DE1155">
        <w:rPr>
          <w:noProof/>
        </w:rPr>
        <w:t xml:space="preserve"> appears to accumulate in surface waters (and groundwater).</w:t>
      </w:r>
      <w:r w:rsidR="00DE1155">
        <w:rPr>
          <w:noProof/>
        </w:rPr>
        <w:t xml:space="preserve"> </w:t>
      </w:r>
      <w:r w:rsidR="00867FC1">
        <w:rPr>
          <w:noProof/>
        </w:rPr>
        <w:t>I</w:t>
      </w:r>
      <w:r w:rsidR="00C97FE1">
        <w:rPr>
          <w:noProof/>
        </w:rPr>
        <w:t>t is still a matter of on-going research</w:t>
      </w:r>
      <w:r w:rsidR="00CD71AA">
        <w:rPr>
          <w:noProof/>
        </w:rPr>
        <w:t xml:space="preserve"> </w:t>
      </w:r>
      <w:r w:rsidR="00C97FE1">
        <w:rPr>
          <w:noProof/>
        </w:rPr>
        <w:t xml:space="preserve">to </w:t>
      </w:r>
      <w:r w:rsidR="00CD71AA">
        <w:rPr>
          <w:noProof/>
        </w:rPr>
        <w:t xml:space="preserve">what extent </w:t>
      </w:r>
      <w:r w:rsidR="005C3FF3">
        <w:rPr>
          <w:noProof/>
        </w:rPr>
        <w:t>higher</w:t>
      </w:r>
      <w:r w:rsidR="00CD71AA">
        <w:rPr>
          <w:noProof/>
        </w:rPr>
        <w:t xml:space="preserve"> level</w:t>
      </w:r>
      <w:r w:rsidR="00C97FE1">
        <w:rPr>
          <w:noProof/>
        </w:rPr>
        <w:t>s</w:t>
      </w:r>
      <w:r w:rsidR="00CD71AA">
        <w:rPr>
          <w:noProof/>
        </w:rPr>
        <w:t xml:space="preserve"> of TFA</w:t>
      </w:r>
      <w:r w:rsidR="00BC750A">
        <w:rPr>
          <w:noProof/>
        </w:rPr>
        <w:t xml:space="preserve"> </w:t>
      </w:r>
      <w:r w:rsidR="00C97FE1">
        <w:rPr>
          <w:noProof/>
        </w:rPr>
        <w:t xml:space="preserve">in the environment </w:t>
      </w:r>
      <w:r w:rsidR="005C3FF3">
        <w:rPr>
          <w:noProof/>
        </w:rPr>
        <w:t xml:space="preserve">would result in dangerous </w:t>
      </w:r>
      <w:r w:rsidR="00C97FE1">
        <w:rPr>
          <w:noProof/>
        </w:rPr>
        <w:t>ecotoxicological con</w:t>
      </w:r>
      <w:r w:rsidR="005C3FF3">
        <w:rPr>
          <w:noProof/>
        </w:rPr>
        <w:t>sequences</w:t>
      </w:r>
      <w:r w:rsidR="005C3FF3" w:rsidRPr="005C3FF3">
        <w:rPr>
          <w:noProof/>
        </w:rPr>
        <w:t xml:space="preserve"> </w:t>
      </w:r>
      <w:r w:rsidR="005C3FF3">
        <w:rPr>
          <w:noProof/>
        </w:rPr>
        <w:t>in the future</w:t>
      </w:r>
      <w:r w:rsidR="002235BF">
        <w:rPr>
          <w:noProof/>
        </w:rPr>
        <w:t>.</w:t>
      </w:r>
      <w:r w:rsidR="00D91F30">
        <w:rPr>
          <w:rStyle w:val="FootnoteReference"/>
          <w:noProof/>
        </w:rPr>
        <w:footnoteReference w:id="88"/>
      </w:r>
      <w:r w:rsidR="001B1396">
        <w:rPr>
          <w:noProof/>
        </w:rPr>
        <w:t xml:space="preserve"> Furthermore, a recent publication has linked some H(C)FOs to the formation of HFC-23, which has a very high GWP.</w:t>
      </w:r>
    </w:p>
    <w:p w14:paraId="42EB08F9" w14:textId="69FBCF5C" w:rsidR="00665AC8" w:rsidRPr="00511E39" w:rsidRDefault="00665AC8" w:rsidP="00665AC8">
      <w:pPr>
        <w:spacing w:after="120"/>
        <w:rPr>
          <w:i/>
          <w:iCs/>
          <w:noProof/>
          <w:u w:val="single"/>
        </w:rPr>
      </w:pPr>
      <w:r w:rsidRPr="00511E39">
        <w:rPr>
          <w:i/>
          <w:iCs/>
          <w:noProof/>
          <w:u w:val="single"/>
        </w:rPr>
        <w:t xml:space="preserve">Impact </w:t>
      </w:r>
      <w:r w:rsidR="002E7EBF">
        <w:rPr>
          <w:i/>
          <w:iCs/>
          <w:noProof/>
          <w:u w:val="single"/>
        </w:rPr>
        <w:t xml:space="preserve">of </w:t>
      </w:r>
      <w:r>
        <w:rPr>
          <w:i/>
          <w:iCs/>
          <w:noProof/>
          <w:u w:val="single"/>
        </w:rPr>
        <w:t xml:space="preserve">faster role out </w:t>
      </w:r>
      <w:r w:rsidR="002E7EBF">
        <w:rPr>
          <w:i/>
          <w:iCs/>
          <w:noProof/>
          <w:u w:val="single"/>
        </w:rPr>
        <w:t xml:space="preserve">of </w:t>
      </w:r>
      <w:r>
        <w:rPr>
          <w:i/>
          <w:iCs/>
          <w:noProof/>
          <w:u w:val="single"/>
        </w:rPr>
        <w:t xml:space="preserve">heat pumps </w:t>
      </w:r>
      <w:r w:rsidR="00E130ED">
        <w:rPr>
          <w:i/>
          <w:iCs/>
          <w:noProof/>
          <w:u w:val="single"/>
        </w:rPr>
        <w:t xml:space="preserve">as </w:t>
      </w:r>
      <w:r w:rsidR="002E7EBF">
        <w:rPr>
          <w:i/>
          <w:iCs/>
          <w:noProof/>
          <w:u w:val="single"/>
        </w:rPr>
        <w:t>envisaged by</w:t>
      </w:r>
      <w:r w:rsidR="008B707B">
        <w:rPr>
          <w:i/>
          <w:iCs/>
          <w:noProof/>
          <w:u w:val="single"/>
        </w:rPr>
        <w:t xml:space="preserve"> </w:t>
      </w:r>
      <w:r w:rsidR="00E130ED">
        <w:rPr>
          <w:i/>
          <w:iCs/>
          <w:noProof/>
          <w:u w:val="single"/>
        </w:rPr>
        <w:t>REPowerEU</w:t>
      </w:r>
    </w:p>
    <w:p w14:paraId="324C2E81" w14:textId="0188AF9C" w:rsidR="00104B6D" w:rsidRDefault="008B707B" w:rsidP="008B707B">
      <w:pPr>
        <w:spacing w:after="120"/>
        <w:rPr>
          <w:noProof/>
        </w:rPr>
      </w:pPr>
      <w:r w:rsidRPr="00F86647">
        <w:rPr>
          <w:noProof/>
        </w:rPr>
        <w:t>To reach the 2030 climate target and climate neutrality by 2050, the Commission has proposed to increase the share for renewable energy in the energy mix by 2030 to 40%. To reach that share, a high growth rate for heat pumps is assumed</w:t>
      </w:r>
      <w:r w:rsidR="00104B6D" w:rsidRPr="00F86647">
        <w:rPr>
          <w:noProof/>
        </w:rPr>
        <w:t xml:space="preserve"> leading up to the installation of notably around 30 million hydronic heat pumps by 2030.</w:t>
      </w:r>
      <w:r w:rsidR="00104B6D">
        <w:rPr>
          <w:noProof/>
        </w:rPr>
        <w:t xml:space="preserve"> </w:t>
      </w:r>
      <w:r w:rsidR="00FD0259">
        <w:rPr>
          <w:noProof/>
        </w:rPr>
        <w:t xml:space="preserve">In response to the natural gas crisis due to </w:t>
      </w:r>
      <w:r w:rsidR="002F7E23">
        <w:rPr>
          <w:noProof/>
        </w:rPr>
        <w:t>recent geopolitical events</w:t>
      </w:r>
      <w:r w:rsidR="00FD0259">
        <w:rPr>
          <w:noProof/>
        </w:rPr>
        <w:t>, the Commission has proposed to advance this roll</w:t>
      </w:r>
      <w:r w:rsidR="002F7E23">
        <w:rPr>
          <w:noProof/>
        </w:rPr>
        <w:t>-</w:t>
      </w:r>
      <w:r w:rsidR="00FD0259">
        <w:rPr>
          <w:noProof/>
        </w:rPr>
        <w:t>out and achieve a doubling of deployment rates and ins</w:t>
      </w:r>
      <w:r w:rsidR="009F68CF">
        <w:rPr>
          <w:noProof/>
        </w:rPr>
        <w:t>tal</w:t>
      </w:r>
      <w:r w:rsidR="00F86647">
        <w:rPr>
          <w:noProof/>
        </w:rPr>
        <w:t>l</w:t>
      </w:r>
      <w:r w:rsidR="009F68CF">
        <w:rPr>
          <w:noProof/>
        </w:rPr>
        <w:t xml:space="preserve"> 10 million of such heat pumps in the next 5 years.</w:t>
      </w:r>
    </w:p>
    <w:p w14:paraId="30A3ACC9" w14:textId="436D09EE" w:rsidR="00F10ADB" w:rsidRPr="004B7BEB" w:rsidRDefault="008B707B" w:rsidP="004C7DF0">
      <w:pPr>
        <w:spacing w:after="120"/>
        <w:rPr>
          <w:noProof/>
        </w:rPr>
      </w:pPr>
      <w:r w:rsidRPr="003A3794">
        <w:rPr>
          <w:noProof/>
        </w:rPr>
        <w:t>While it is necessary to reduce both emissions from energy use and from F-gases, it is crucial that the quota system include</w:t>
      </w:r>
      <w:r w:rsidR="002E7EBF">
        <w:rPr>
          <w:noProof/>
        </w:rPr>
        <w:t>s</w:t>
      </w:r>
      <w:r w:rsidRPr="003A3794">
        <w:rPr>
          <w:noProof/>
        </w:rPr>
        <w:t xml:space="preserve"> sufficient quantities of HFCs for those new and existing heat pumps that still need HFCs.</w:t>
      </w:r>
      <w:r w:rsidRPr="002E7EBF">
        <w:rPr>
          <w:noProof/>
          <w:vertAlign w:val="superscript"/>
        </w:rPr>
        <w:footnoteReference w:id="89"/>
      </w:r>
      <w:r w:rsidRPr="003A3794">
        <w:rPr>
          <w:noProof/>
        </w:rPr>
        <w:t xml:space="preserve"> Based on AnaFgas modelling, </w:t>
      </w:r>
      <w:r w:rsidR="0090245A">
        <w:rPr>
          <w:noProof/>
        </w:rPr>
        <w:t>and under the policy option</w:t>
      </w:r>
      <w:r w:rsidR="003C3583">
        <w:rPr>
          <w:noProof/>
        </w:rPr>
        <w:t xml:space="preserve"> 2</w:t>
      </w:r>
      <w:r w:rsidR="0090245A">
        <w:rPr>
          <w:noProof/>
        </w:rPr>
        <w:t xml:space="preserve">, </w:t>
      </w:r>
      <w:r w:rsidRPr="003A3794">
        <w:rPr>
          <w:noProof/>
        </w:rPr>
        <w:t xml:space="preserve">the total required HFC demand for heat pumps (including air-to-air splits and VRF systems) for new systems as well as for servicing the existing systems will decrease very rapidly over the years in CO2e. By 2030 its demand will only be about 25% of that in 2020. </w:t>
      </w:r>
      <w:r w:rsidR="00A32A15">
        <w:rPr>
          <w:noProof/>
        </w:rPr>
        <w:t>E</w:t>
      </w:r>
      <w:r w:rsidRPr="003A3794">
        <w:rPr>
          <w:noProof/>
        </w:rPr>
        <w:t>ven if growth rates should</w:t>
      </w:r>
      <w:r>
        <w:rPr>
          <w:noProof/>
          <w:szCs w:val="24"/>
          <w:lang w:val="en-US"/>
        </w:rPr>
        <w:t xml:space="preserve"> turn out to be higher than those assumed in the AnaFgas model, it would not dramatically alter the total required HFC demand. </w:t>
      </w:r>
      <w:r w:rsidR="004C7DF0">
        <w:rPr>
          <w:noProof/>
          <w:szCs w:val="24"/>
          <w:lang w:val="en-US"/>
        </w:rPr>
        <w:t>In the assessed option</w:t>
      </w:r>
      <w:r w:rsidR="00F10ADB">
        <w:rPr>
          <w:noProof/>
          <w:szCs w:val="24"/>
          <w:lang w:val="en-US"/>
        </w:rPr>
        <w:t xml:space="preserve"> 2</w:t>
      </w:r>
      <w:r w:rsidR="004C7DF0">
        <w:rPr>
          <w:noProof/>
          <w:szCs w:val="24"/>
          <w:lang w:val="en-US"/>
        </w:rPr>
        <w:t xml:space="preserve">, with a prohibition for </w:t>
      </w:r>
      <w:r w:rsidR="004C7DF0" w:rsidRPr="004C7DF0">
        <w:rPr>
          <w:noProof/>
          <w:szCs w:val="24"/>
          <w:lang w:val="en-US"/>
        </w:rPr>
        <w:t xml:space="preserve">stationary </w:t>
      </w:r>
      <w:r w:rsidR="004C7DF0">
        <w:rPr>
          <w:noProof/>
          <w:szCs w:val="24"/>
          <w:lang w:val="en-US"/>
        </w:rPr>
        <w:t xml:space="preserve">heat pump with a </w:t>
      </w:r>
      <w:r w:rsidR="004C7DF0" w:rsidRPr="004C7DF0">
        <w:rPr>
          <w:noProof/>
          <w:szCs w:val="24"/>
          <w:lang w:val="en-US"/>
        </w:rPr>
        <w:t>rated capacity of up to 12 kW with F-gases with a GWP of 150 or more except if required to comply with safety rules</w:t>
      </w:r>
      <w:r w:rsidR="004C7DF0">
        <w:rPr>
          <w:noProof/>
          <w:szCs w:val="24"/>
          <w:lang w:val="en-US"/>
        </w:rPr>
        <w:t xml:space="preserve">, </w:t>
      </w:r>
      <w:r>
        <w:rPr>
          <w:noProof/>
          <w:szCs w:val="24"/>
          <w:lang w:val="en-US"/>
        </w:rPr>
        <w:t>m</w:t>
      </w:r>
      <w:r w:rsidRPr="006A4BD2">
        <w:rPr>
          <w:rFonts w:cs="Times New Roman"/>
          <w:noProof/>
          <w:szCs w:val="24"/>
          <w:lang w:val="en-US"/>
        </w:rPr>
        <w:t xml:space="preserve">ost </w:t>
      </w:r>
      <w:r w:rsidRPr="00E740F0">
        <w:rPr>
          <w:rFonts w:cs="Times New Roman"/>
          <w:bCs/>
          <w:noProof/>
          <w:szCs w:val="24"/>
          <w:lang w:val="en-US"/>
        </w:rPr>
        <w:t>new</w:t>
      </w:r>
      <w:r w:rsidRPr="00E740F0">
        <w:rPr>
          <w:rFonts w:cs="Times New Roman"/>
          <w:noProof/>
          <w:szCs w:val="24"/>
          <w:lang w:val="en-US"/>
        </w:rPr>
        <w:t xml:space="preserve"> </w:t>
      </w:r>
      <w:r>
        <w:rPr>
          <w:rFonts w:cs="Times New Roman"/>
          <w:noProof/>
          <w:szCs w:val="24"/>
          <w:lang w:val="en-US"/>
        </w:rPr>
        <w:t xml:space="preserve">heat pumps are </w:t>
      </w:r>
      <w:r w:rsidR="00F10ADB">
        <w:rPr>
          <w:rFonts w:cs="Times New Roman"/>
          <w:noProof/>
          <w:szCs w:val="24"/>
          <w:lang w:val="en-US"/>
        </w:rPr>
        <w:t xml:space="preserve">within this category and thus </w:t>
      </w:r>
      <w:r w:rsidRPr="006A4BD2">
        <w:rPr>
          <w:rFonts w:cs="Times New Roman"/>
          <w:noProof/>
          <w:szCs w:val="24"/>
          <w:lang w:val="en-US"/>
        </w:rPr>
        <w:t>do not need HFCs after 2025</w:t>
      </w:r>
      <w:r>
        <w:rPr>
          <w:noProof/>
          <w:szCs w:val="24"/>
          <w:lang w:val="en-US"/>
        </w:rPr>
        <w:t xml:space="preserve">. </w:t>
      </w:r>
    </w:p>
    <w:p w14:paraId="6D048326" w14:textId="7E3F4A29" w:rsidR="00143178" w:rsidRDefault="00143178" w:rsidP="004C7DF0">
      <w:pPr>
        <w:spacing w:after="120"/>
        <w:rPr>
          <w:noProof/>
          <w:szCs w:val="24"/>
          <w:lang w:val="en-US"/>
        </w:rPr>
      </w:pPr>
      <w:r>
        <w:rPr>
          <w:noProof/>
          <w:szCs w:val="24"/>
          <w:lang w:val="en-US"/>
        </w:rPr>
        <w:t>Even if the ban on some installation</w:t>
      </w:r>
      <w:r w:rsidR="000D0516">
        <w:rPr>
          <w:noProof/>
          <w:szCs w:val="24"/>
          <w:lang w:val="en-US"/>
        </w:rPr>
        <w:t>s</w:t>
      </w:r>
      <w:r>
        <w:rPr>
          <w:noProof/>
          <w:szCs w:val="24"/>
          <w:lang w:val="en-US"/>
        </w:rPr>
        <w:t xml:space="preserve"> would be implemented at a later moment, for instance </w:t>
      </w:r>
      <w:r w:rsidR="00E75325">
        <w:rPr>
          <w:noProof/>
          <w:szCs w:val="24"/>
          <w:lang w:val="en-US"/>
        </w:rPr>
        <w:t xml:space="preserve">from </w:t>
      </w:r>
      <w:r>
        <w:rPr>
          <w:noProof/>
          <w:szCs w:val="24"/>
          <w:lang w:val="en-US"/>
        </w:rPr>
        <w:t>2027</w:t>
      </w:r>
      <w:r w:rsidR="00E75325">
        <w:rPr>
          <w:noProof/>
          <w:szCs w:val="24"/>
          <w:lang w:val="en-US"/>
        </w:rPr>
        <w:t xml:space="preserve"> onwards </w:t>
      </w:r>
      <w:r>
        <w:rPr>
          <w:noProof/>
          <w:szCs w:val="24"/>
          <w:lang w:val="en-US"/>
        </w:rPr>
        <w:t xml:space="preserve">to allow the market to accommodate the </w:t>
      </w:r>
      <w:r w:rsidR="00610ECE">
        <w:rPr>
          <w:noProof/>
          <w:szCs w:val="24"/>
          <w:lang w:val="en-US"/>
        </w:rPr>
        <w:t xml:space="preserve">ramp up of initial production to accommodate </w:t>
      </w:r>
      <w:r>
        <w:rPr>
          <w:noProof/>
          <w:szCs w:val="24"/>
          <w:lang w:val="en-US"/>
        </w:rPr>
        <w:t xml:space="preserve">significant </w:t>
      </w:r>
      <w:r w:rsidR="00610ECE">
        <w:rPr>
          <w:noProof/>
          <w:szCs w:val="24"/>
          <w:lang w:val="en-US"/>
        </w:rPr>
        <w:t>short</w:t>
      </w:r>
      <w:r w:rsidR="00BE5E8A">
        <w:rPr>
          <w:noProof/>
          <w:szCs w:val="24"/>
          <w:lang w:val="en-US"/>
        </w:rPr>
        <w:t>-</w:t>
      </w:r>
      <w:r w:rsidR="00610ECE">
        <w:rPr>
          <w:noProof/>
          <w:szCs w:val="24"/>
          <w:lang w:val="en-US"/>
        </w:rPr>
        <w:t xml:space="preserve">term </w:t>
      </w:r>
      <w:r>
        <w:rPr>
          <w:noProof/>
          <w:szCs w:val="24"/>
          <w:lang w:val="en-US"/>
        </w:rPr>
        <w:t xml:space="preserve">growth </w:t>
      </w:r>
      <w:r w:rsidR="00E75325">
        <w:rPr>
          <w:noProof/>
          <w:szCs w:val="24"/>
          <w:lang w:val="en-US"/>
        </w:rPr>
        <w:t>in heat pumps in the 5 year period 2022-2026, impacts on required qu</w:t>
      </w:r>
      <w:r w:rsidR="00023E57">
        <w:rPr>
          <w:noProof/>
          <w:szCs w:val="24"/>
          <w:lang w:val="en-US"/>
        </w:rPr>
        <w:t>ota for this additional deployment is very limited</w:t>
      </w:r>
      <w:r w:rsidR="00D7704F">
        <w:rPr>
          <w:noProof/>
          <w:szCs w:val="24"/>
          <w:lang w:val="en-US"/>
        </w:rPr>
        <w:t xml:space="preserve">. An </w:t>
      </w:r>
      <w:r w:rsidR="00610ECE">
        <w:rPr>
          <w:noProof/>
          <w:szCs w:val="24"/>
          <w:lang w:val="en-US"/>
        </w:rPr>
        <w:t>estimate</w:t>
      </w:r>
      <w:r w:rsidR="00D03663">
        <w:rPr>
          <w:noProof/>
          <w:szCs w:val="24"/>
          <w:lang w:val="en-US"/>
        </w:rPr>
        <w:t xml:space="preserve"> </w:t>
      </w:r>
      <w:r w:rsidR="00721E7C">
        <w:rPr>
          <w:noProof/>
          <w:szCs w:val="24"/>
          <w:lang w:val="en-US"/>
        </w:rPr>
        <w:t xml:space="preserve">was made what the impact would be </w:t>
      </w:r>
      <w:r w:rsidR="00BE5E8A">
        <w:rPr>
          <w:noProof/>
          <w:szCs w:val="24"/>
          <w:lang w:val="en-US"/>
        </w:rPr>
        <w:t xml:space="preserve">on demand for F-gases </w:t>
      </w:r>
      <w:r w:rsidR="00721E7C">
        <w:rPr>
          <w:noProof/>
          <w:szCs w:val="24"/>
          <w:lang w:val="en-US"/>
        </w:rPr>
        <w:t xml:space="preserve">of </w:t>
      </w:r>
      <w:r w:rsidR="00BE5E8A">
        <w:rPr>
          <w:noProof/>
          <w:szCs w:val="24"/>
          <w:lang w:val="en-US"/>
        </w:rPr>
        <w:t xml:space="preserve">meeting </w:t>
      </w:r>
      <w:r w:rsidR="00721E7C">
        <w:rPr>
          <w:noProof/>
          <w:szCs w:val="24"/>
          <w:lang w:val="en-US"/>
        </w:rPr>
        <w:t>the increased heat pump</w:t>
      </w:r>
      <w:r w:rsidR="00BE5E8A">
        <w:rPr>
          <w:noProof/>
          <w:szCs w:val="24"/>
          <w:lang w:val="en-US"/>
        </w:rPr>
        <w:t xml:space="preserve"> ambition as </w:t>
      </w:r>
      <w:r w:rsidR="00721E7C">
        <w:rPr>
          <w:noProof/>
          <w:szCs w:val="24"/>
          <w:lang w:val="en-US"/>
        </w:rPr>
        <w:t>expressed in RE</w:t>
      </w:r>
      <w:r w:rsidR="006928C0">
        <w:rPr>
          <w:noProof/>
          <w:szCs w:val="24"/>
          <w:lang w:val="en-US"/>
        </w:rPr>
        <w:t>PowerEU, assum</w:t>
      </w:r>
      <w:r w:rsidR="00BE5E8A">
        <w:rPr>
          <w:noProof/>
          <w:szCs w:val="24"/>
          <w:lang w:val="en-US"/>
        </w:rPr>
        <w:t>ing</w:t>
      </w:r>
      <w:r w:rsidR="006928C0">
        <w:rPr>
          <w:noProof/>
          <w:szCs w:val="24"/>
          <w:lang w:val="en-US"/>
        </w:rPr>
        <w:t xml:space="preserve"> that the </w:t>
      </w:r>
      <w:r w:rsidR="00D03663">
        <w:rPr>
          <w:noProof/>
          <w:szCs w:val="24"/>
          <w:lang w:val="en-US"/>
        </w:rPr>
        <w:t xml:space="preserve">prohibition for </w:t>
      </w:r>
      <w:r w:rsidR="00D03663" w:rsidRPr="004C7DF0">
        <w:rPr>
          <w:noProof/>
          <w:szCs w:val="24"/>
          <w:lang w:val="en-US"/>
        </w:rPr>
        <w:t xml:space="preserve">stationary </w:t>
      </w:r>
      <w:r w:rsidR="00D03663">
        <w:rPr>
          <w:noProof/>
          <w:szCs w:val="24"/>
          <w:lang w:val="en-US"/>
        </w:rPr>
        <w:t xml:space="preserve">heat pump with a </w:t>
      </w:r>
      <w:r w:rsidR="00D03663" w:rsidRPr="004C7DF0">
        <w:rPr>
          <w:noProof/>
          <w:szCs w:val="24"/>
          <w:lang w:val="en-US"/>
        </w:rPr>
        <w:t xml:space="preserve">rated capacity of up to 12 kW with F-gases with a GWP of 150 or more </w:t>
      </w:r>
      <w:r w:rsidR="006928C0">
        <w:rPr>
          <w:noProof/>
          <w:szCs w:val="24"/>
          <w:lang w:val="en-US"/>
        </w:rPr>
        <w:t>would only start in 2027</w:t>
      </w:r>
      <w:r w:rsidR="00BE5E8A">
        <w:rPr>
          <w:noProof/>
          <w:szCs w:val="24"/>
          <w:lang w:val="en-US"/>
        </w:rPr>
        <w:t>. It was</w:t>
      </w:r>
      <w:r w:rsidR="006928C0">
        <w:rPr>
          <w:noProof/>
          <w:szCs w:val="24"/>
          <w:lang w:val="en-US"/>
        </w:rPr>
        <w:t xml:space="preserve"> estimate</w:t>
      </w:r>
      <w:r w:rsidR="00BE5E8A">
        <w:rPr>
          <w:noProof/>
          <w:szCs w:val="24"/>
          <w:lang w:val="en-US"/>
        </w:rPr>
        <w:t>d that</w:t>
      </w:r>
      <w:r w:rsidR="002D4954">
        <w:rPr>
          <w:noProof/>
          <w:szCs w:val="24"/>
          <w:lang w:val="en-US"/>
        </w:rPr>
        <w:t xml:space="preserve"> the additional growth needed</w:t>
      </w:r>
      <w:r w:rsidR="00BE5E8A">
        <w:rPr>
          <w:noProof/>
          <w:szCs w:val="24"/>
          <w:lang w:val="en-US"/>
        </w:rPr>
        <w:t xml:space="preserve"> would </w:t>
      </w:r>
      <w:r w:rsidR="006928C0">
        <w:rPr>
          <w:noProof/>
          <w:szCs w:val="24"/>
          <w:lang w:val="en-US"/>
        </w:rPr>
        <w:t>increase</w:t>
      </w:r>
      <w:r w:rsidR="00BE5E8A">
        <w:rPr>
          <w:noProof/>
          <w:szCs w:val="24"/>
          <w:lang w:val="en-US"/>
        </w:rPr>
        <w:t xml:space="preserve"> the </w:t>
      </w:r>
      <w:r w:rsidR="009B3931">
        <w:rPr>
          <w:noProof/>
          <w:szCs w:val="24"/>
          <w:lang w:val="en-US"/>
        </w:rPr>
        <w:t xml:space="preserve">annual </w:t>
      </w:r>
      <w:r w:rsidR="00BE5E8A">
        <w:rPr>
          <w:noProof/>
          <w:szCs w:val="24"/>
          <w:lang w:val="en-US"/>
        </w:rPr>
        <w:t xml:space="preserve">demand for F-gases by </w:t>
      </w:r>
      <w:r w:rsidR="009B3931">
        <w:rPr>
          <w:noProof/>
          <w:szCs w:val="24"/>
          <w:lang w:val="en-US"/>
        </w:rPr>
        <w:t xml:space="preserve">around </w:t>
      </w:r>
      <w:r w:rsidR="002D4954">
        <w:rPr>
          <w:noProof/>
          <w:szCs w:val="24"/>
          <w:lang w:val="en-US"/>
        </w:rPr>
        <w:t xml:space="preserve">3.1, </w:t>
      </w:r>
      <w:r w:rsidR="00A85090">
        <w:rPr>
          <w:noProof/>
          <w:szCs w:val="24"/>
          <w:lang w:val="en-US"/>
        </w:rPr>
        <w:t>2</w:t>
      </w:r>
      <w:r w:rsidR="00A319B3">
        <w:rPr>
          <w:noProof/>
          <w:szCs w:val="24"/>
          <w:lang w:val="en-US"/>
        </w:rPr>
        <w:t>.</w:t>
      </w:r>
      <w:r w:rsidR="002D4954">
        <w:rPr>
          <w:noProof/>
          <w:szCs w:val="24"/>
          <w:lang w:val="en-US"/>
        </w:rPr>
        <w:t>7 and 1.4 million tCO2e</w:t>
      </w:r>
      <w:r w:rsidR="009B3931">
        <w:rPr>
          <w:noProof/>
          <w:szCs w:val="24"/>
          <w:vertAlign w:val="subscript"/>
          <w:lang w:val="en-US"/>
        </w:rPr>
        <w:t xml:space="preserve"> </w:t>
      </w:r>
      <w:r w:rsidR="009B3931">
        <w:rPr>
          <w:noProof/>
          <w:szCs w:val="24"/>
          <w:lang w:val="en-US"/>
        </w:rPr>
        <w:t>in the years 2024-2026</w:t>
      </w:r>
      <w:r w:rsidR="009B3931">
        <w:rPr>
          <w:rStyle w:val="FootnoteReference"/>
          <w:noProof/>
          <w:szCs w:val="24"/>
          <w:lang w:val="en-US"/>
        </w:rPr>
        <w:footnoteReference w:id="90"/>
      </w:r>
      <w:r w:rsidR="009B3931">
        <w:rPr>
          <w:noProof/>
          <w:szCs w:val="24"/>
          <w:lang w:val="en-US"/>
        </w:rPr>
        <w:t>.</w:t>
      </w:r>
      <w:r w:rsidR="001C0CA4">
        <w:rPr>
          <w:noProof/>
          <w:szCs w:val="24"/>
          <w:lang w:val="en-US"/>
        </w:rPr>
        <w:t xml:space="preserve"> </w:t>
      </w:r>
      <w:r w:rsidR="00F25E37">
        <w:rPr>
          <w:noProof/>
          <w:szCs w:val="24"/>
          <w:lang w:val="en-US"/>
        </w:rPr>
        <w:t xml:space="preserve">This is small compared to the 41.7 million tCO2e available as quota under option 2, also considering that the MDI sectors is allocated a 100% of quota in these years even though alternatives to replace HFCs are available and quantities of quota </w:t>
      </w:r>
      <w:r w:rsidR="00F854AA">
        <w:rPr>
          <w:noProof/>
          <w:szCs w:val="24"/>
          <w:lang w:val="en-US"/>
        </w:rPr>
        <w:t>authorizations</w:t>
      </w:r>
      <w:r w:rsidR="00F25E37">
        <w:rPr>
          <w:noProof/>
          <w:szCs w:val="24"/>
          <w:lang w:val="en-US"/>
        </w:rPr>
        <w:t xml:space="preserve"> covering several years of HFC equipment imports</w:t>
      </w:r>
      <w:r w:rsidR="00F25E37">
        <w:rPr>
          <w:rStyle w:val="FootnoteReference"/>
          <w:noProof/>
          <w:szCs w:val="24"/>
          <w:lang w:val="en-US"/>
        </w:rPr>
        <w:footnoteReference w:id="91"/>
      </w:r>
      <w:r w:rsidR="00F25E37">
        <w:rPr>
          <w:noProof/>
          <w:szCs w:val="24"/>
          <w:lang w:val="en-US"/>
        </w:rPr>
        <w:t xml:space="preserve"> are currently banked by equipment importers (i.e. they will not require additional quota in the next years).</w:t>
      </w:r>
    </w:p>
    <w:p w14:paraId="6B696DD2" w14:textId="08F4E8C0" w:rsidR="000B4E63" w:rsidRDefault="00436CDE" w:rsidP="004C7DF0">
      <w:pPr>
        <w:spacing w:after="120"/>
        <w:rPr>
          <w:rFonts w:cs="Times New Roman"/>
          <w:noProof/>
          <w:szCs w:val="24"/>
          <w:lang w:val="en-US"/>
        </w:rPr>
      </w:pPr>
      <w:r>
        <w:rPr>
          <w:noProof/>
          <w:szCs w:val="24"/>
          <w:lang w:val="en-US"/>
        </w:rPr>
        <w:t>T</w:t>
      </w:r>
      <w:r w:rsidR="008B707B">
        <w:rPr>
          <w:noProof/>
          <w:szCs w:val="24"/>
          <w:lang w:val="en-US"/>
        </w:rPr>
        <w:t xml:space="preserve">he heat pump categories that still need some HFCs in new equipment in 2030 (i.e. medium-sized heat pumps and VRF systems) </w:t>
      </w:r>
      <w:r w:rsidR="008B707B" w:rsidRPr="006A4BD2">
        <w:rPr>
          <w:rFonts w:cs="Times New Roman"/>
          <w:noProof/>
          <w:szCs w:val="24"/>
          <w:lang w:val="en-US"/>
        </w:rPr>
        <w:t xml:space="preserve">can </w:t>
      </w:r>
      <w:r w:rsidR="008B707B">
        <w:rPr>
          <w:noProof/>
          <w:szCs w:val="24"/>
          <w:lang w:val="en-US"/>
        </w:rPr>
        <w:t xml:space="preserve">also </w:t>
      </w:r>
      <w:r w:rsidR="008B707B">
        <w:rPr>
          <w:rFonts w:cs="Times New Roman"/>
          <w:noProof/>
          <w:szCs w:val="24"/>
          <w:lang w:val="en-US"/>
        </w:rPr>
        <w:t>significantly</w:t>
      </w:r>
      <w:r w:rsidR="008B707B" w:rsidRPr="006A4BD2">
        <w:rPr>
          <w:rFonts w:cs="Times New Roman"/>
          <w:noProof/>
          <w:szCs w:val="24"/>
          <w:lang w:val="en-US"/>
        </w:rPr>
        <w:t xml:space="preserve"> reduce the GWP of the refrigerant used</w:t>
      </w:r>
      <w:r w:rsidR="008B707B">
        <w:rPr>
          <w:rStyle w:val="FootnoteReference"/>
          <w:noProof/>
          <w:szCs w:val="24"/>
          <w:lang w:val="en-US"/>
        </w:rPr>
        <w:footnoteReference w:id="92"/>
      </w:r>
      <w:r w:rsidR="008B707B">
        <w:rPr>
          <w:noProof/>
          <w:szCs w:val="24"/>
          <w:lang w:val="en-US"/>
        </w:rPr>
        <w:t xml:space="preserve">, which implies that their need expressed in CO2e </w:t>
      </w:r>
      <w:r w:rsidR="00C535C8">
        <w:rPr>
          <w:noProof/>
          <w:szCs w:val="24"/>
          <w:lang w:val="en-US"/>
        </w:rPr>
        <w:t xml:space="preserve">will </w:t>
      </w:r>
      <w:r w:rsidR="008B707B">
        <w:rPr>
          <w:noProof/>
          <w:szCs w:val="24"/>
          <w:lang w:val="en-US"/>
        </w:rPr>
        <w:t xml:space="preserve">decline </w:t>
      </w:r>
      <w:r w:rsidR="00C535C8">
        <w:rPr>
          <w:noProof/>
          <w:szCs w:val="24"/>
          <w:lang w:val="en-US"/>
        </w:rPr>
        <w:t xml:space="preserve">very </w:t>
      </w:r>
      <w:r w:rsidR="008B707B">
        <w:rPr>
          <w:noProof/>
          <w:szCs w:val="24"/>
          <w:lang w:val="en-US"/>
        </w:rPr>
        <w:t>rapidly</w:t>
      </w:r>
      <w:r w:rsidR="008B707B" w:rsidRPr="006A4BD2">
        <w:rPr>
          <w:rFonts w:cs="Times New Roman"/>
          <w:noProof/>
          <w:szCs w:val="24"/>
          <w:lang w:val="en-US"/>
        </w:rPr>
        <w:t>.</w:t>
      </w:r>
      <w:r w:rsidR="008B707B">
        <w:rPr>
          <w:rStyle w:val="FootnoteReference"/>
          <w:noProof/>
          <w:szCs w:val="24"/>
          <w:lang w:val="en-US"/>
        </w:rPr>
        <w:footnoteReference w:id="93"/>
      </w:r>
      <w:r w:rsidR="008B707B">
        <w:rPr>
          <w:rFonts w:cs="Times New Roman"/>
          <w:noProof/>
          <w:szCs w:val="24"/>
          <w:lang w:val="en-US"/>
        </w:rPr>
        <w:t xml:space="preserve"> </w:t>
      </w:r>
    </w:p>
    <w:p w14:paraId="30445019" w14:textId="30EDC7F2" w:rsidR="000B4E63" w:rsidRDefault="00436CDE" w:rsidP="004C7DF0">
      <w:pPr>
        <w:spacing w:after="120"/>
        <w:rPr>
          <w:noProof/>
          <w:szCs w:val="24"/>
          <w:lang w:val="en-US"/>
        </w:rPr>
      </w:pPr>
      <w:r>
        <w:rPr>
          <w:noProof/>
          <w:szCs w:val="24"/>
          <w:lang w:val="en-US"/>
        </w:rPr>
        <w:t>T</w:t>
      </w:r>
      <w:r w:rsidR="008B707B">
        <w:rPr>
          <w:noProof/>
          <w:szCs w:val="24"/>
          <w:lang w:val="en-US"/>
        </w:rPr>
        <w:t>he total demand for heat pumps is</w:t>
      </w:r>
      <w:r w:rsidR="008B707B" w:rsidRPr="006A4BD2">
        <w:rPr>
          <w:rFonts w:cs="Times New Roman"/>
          <w:noProof/>
          <w:szCs w:val="24"/>
          <w:lang w:val="en-US"/>
        </w:rPr>
        <w:t xml:space="preserve"> </w:t>
      </w:r>
      <w:r w:rsidR="008B707B">
        <w:rPr>
          <w:noProof/>
          <w:szCs w:val="24"/>
          <w:lang w:val="en-US"/>
        </w:rPr>
        <w:t xml:space="preserve">small relative to the total HFCs needed for all HFC-using sectors </w:t>
      </w:r>
      <w:r w:rsidR="008B707B">
        <w:rPr>
          <w:rFonts w:cs="Times New Roman"/>
          <w:noProof/>
          <w:szCs w:val="24"/>
          <w:lang w:val="en-US"/>
        </w:rPr>
        <w:t>(</w:t>
      </w:r>
      <w:r w:rsidR="008B707B" w:rsidRPr="006A4BD2">
        <w:rPr>
          <w:rFonts w:cs="Times New Roman"/>
          <w:noProof/>
          <w:szCs w:val="24"/>
          <w:lang w:val="en-US"/>
        </w:rPr>
        <w:t xml:space="preserve">12% in 2030 and 5% </w:t>
      </w:r>
      <w:r w:rsidR="008B707B">
        <w:rPr>
          <w:rFonts w:cs="Times New Roman"/>
          <w:noProof/>
          <w:szCs w:val="24"/>
          <w:lang w:val="en-US"/>
        </w:rPr>
        <w:t xml:space="preserve">in </w:t>
      </w:r>
      <w:r w:rsidR="008B707B" w:rsidRPr="006A4BD2">
        <w:rPr>
          <w:rFonts w:cs="Times New Roman"/>
          <w:noProof/>
          <w:szCs w:val="24"/>
          <w:lang w:val="en-US"/>
        </w:rPr>
        <w:t>2040</w:t>
      </w:r>
      <w:r w:rsidR="008B707B">
        <w:rPr>
          <w:rFonts w:cs="Times New Roman"/>
          <w:noProof/>
          <w:szCs w:val="24"/>
          <w:lang w:val="en-US"/>
        </w:rPr>
        <w:t>)</w:t>
      </w:r>
      <w:r w:rsidR="008B707B" w:rsidRPr="006A4BD2">
        <w:rPr>
          <w:rFonts w:cs="Times New Roman"/>
          <w:noProof/>
          <w:szCs w:val="24"/>
          <w:lang w:val="en-US"/>
        </w:rPr>
        <w:t xml:space="preserve">. </w:t>
      </w:r>
      <w:r w:rsidR="008B707B">
        <w:rPr>
          <w:noProof/>
          <w:szCs w:val="24"/>
          <w:lang w:val="en-US"/>
        </w:rPr>
        <w:t xml:space="preserve">Since the quota system is designed to cover the required amount for all HFC-using sectors (no earmarking), there is considerable built-in flexibility for higher consumption than expected in some sectors, as it may be counterbalanced by lower than expected consumption in other sectors. If the uptake of alternatives is too slow, this would result in higher HFC prices until the market reacts, but would in principle not result in gas unavailability. </w:t>
      </w:r>
    </w:p>
    <w:p w14:paraId="52490AB9" w14:textId="41E68FE6" w:rsidR="00436CDE" w:rsidRDefault="00436CDE" w:rsidP="004C7DF0">
      <w:pPr>
        <w:spacing w:after="120"/>
        <w:rPr>
          <w:rFonts w:cs="Times New Roman"/>
          <w:noProof/>
          <w:szCs w:val="24"/>
          <w:lang w:val="en-US"/>
        </w:rPr>
      </w:pPr>
      <w:r>
        <w:rPr>
          <w:rFonts w:cs="Times New Roman"/>
          <w:noProof/>
          <w:szCs w:val="24"/>
          <w:lang w:val="en-US"/>
        </w:rPr>
        <w:t>It should be noted that i</w:t>
      </w:r>
      <w:r w:rsidR="008B707B" w:rsidRPr="006A4BD2">
        <w:rPr>
          <w:rFonts w:cs="Times New Roman"/>
          <w:noProof/>
          <w:szCs w:val="24"/>
          <w:lang w:val="en-US"/>
        </w:rPr>
        <w:t>f the situation should occur that a market disruption is threatening</w:t>
      </w:r>
      <w:r w:rsidR="008B707B">
        <w:rPr>
          <w:noProof/>
          <w:szCs w:val="24"/>
          <w:lang w:val="en-US"/>
        </w:rPr>
        <w:t xml:space="preserve"> (which has not been the case in the first six years of the phase-down)</w:t>
      </w:r>
      <w:r w:rsidR="008B707B" w:rsidRPr="006A4BD2">
        <w:rPr>
          <w:rFonts w:cs="Times New Roman"/>
          <w:noProof/>
          <w:szCs w:val="24"/>
          <w:lang w:val="en-US"/>
        </w:rPr>
        <w:t>, all options include the possibility for the Commission to adjust the quota level.</w:t>
      </w:r>
      <w:r w:rsidR="008B707B">
        <w:rPr>
          <w:rFonts w:cs="Times New Roman"/>
          <w:noProof/>
          <w:szCs w:val="24"/>
          <w:lang w:val="en-US"/>
        </w:rPr>
        <w:t xml:space="preserve"> </w:t>
      </w:r>
    </w:p>
    <w:p w14:paraId="452B3987" w14:textId="46B1D12D" w:rsidR="002B6BC2" w:rsidRPr="002B6BC2" w:rsidRDefault="002B6BC2" w:rsidP="004C7DF0">
      <w:pPr>
        <w:spacing w:after="120"/>
        <w:rPr>
          <w:rFonts w:cs="Times New Roman"/>
          <w:b/>
          <w:bCs/>
          <w:noProof/>
          <w:szCs w:val="24"/>
          <w:lang w:val="en-US"/>
        </w:rPr>
      </w:pPr>
      <w:r w:rsidRPr="002B6BC2">
        <w:rPr>
          <w:rFonts w:cs="Times New Roman"/>
          <w:b/>
          <w:bCs/>
          <w:noProof/>
          <w:szCs w:val="24"/>
          <w:lang w:val="en-US"/>
        </w:rPr>
        <w:t xml:space="preserve">Thus, the phase-down appears coherent with the targets for renewable energy, even if the significantly higher heat pump growth needed in the light of the current natural gas energy crisis and a resulting slightly slower conversion of small heat pumps to climate-friendly alternatives is taken into account. </w:t>
      </w:r>
    </w:p>
    <w:p w14:paraId="7DCC2932" w14:textId="549B91B7" w:rsidR="00602431" w:rsidRDefault="00E04F0C" w:rsidP="00E04F0C">
      <w:pPr>
        <w:pStyle w:val="Heading2"/>
        <w:rPr>
          <w:noProof/>
        </w:rPr>
      </w:pPr>
      <w:bookmarkStart w:id="190" w:name="_Toc71559416"/>
      <w:bookmarkStart w:id="191" w:name="_Toc71707045"/>
      <w:bookmarkStart w:id="192" w:name="_Toc71708231"/>
      <w:bookmarkStart w:id="193" w:name="_Toc71710963"/>
      <w:bookmarkStart w:id="194" w:name="_Toc72399365"/>
      <w:bookmarkStart w:id="195" w:name="_Toc88571920"/>
      <w:bookmarkStart w:id="196" w:name="_Toc94629513"/>
      <w:bookmarkStart w:id="197" w:name="_Toc98857757"/>
      <w:bookmarkStart w:id="198" w:name="_Toc71559417"/>
      <w:bookmarkStart w:id="199" w:name="_Toc71707046"/>
      <w:bookmarkStart w:id="200" w:name="_Toc71708232"/>
      <w:bookmarkStart w:id="201" w:name="_Toc71710964"/>
      <w:bookmarkStart w:id="202" w:name="_Toc72399366"/>
      <w:bookmarkEnd w:id="190"/>
      <w:bookmarkEnd w:id="191"/>
      <w:bookmarkEnd w:id="192"/>
      <w:bookmarkEnd w:id="193"/>
      <w:bookmarkEnd w:id="194"/>
      <w:r w:rsidRPr="00E04F0C">
        <w:t>6.2.</w:t>
      </w:r>
      <w:r w:rsidRPr="00E04F0C">
        <w:tab/>
      </w:r>
      <w:r w:rsidR="3982CBDC">
        <w:rPr>
          <w:noProof/>
        </w:rPr>
        <w:t>Cost to business</w:t>
      </w:r>
      <w:bookmarkEnd w:id="195"/>
      <w:bookmarkEnd w:id="196"/>
      <w:bookmarkEnd w:id="197"/>
    </w:p>
    <w:p w14:paraId="1C5552CF" w14:textId="70F3D0BB" w:rsidR="00783977" w:rsidRPr="001D78FC" w:rsidRDefault="00E04F0C" w:rsidP="00E04F0C">
      <w:pPr>
        <w:pStyle w:val="Heading3"/>
        <w:rPr>
          <w:rFonts w:eastAsia="MS Gothic"/>
          <w:noProof/>
        </w:rPr>
      </w:pPr>
      <w:bookmarkStart w:id="203" w:name="_Toc79653487"/>
      <w:bookmarkStart w:id="204" w:name="_Ref77261153"/>
      <w:bookmarkStart w:id="205" w:name="_Ref77256314"/>
      <w:bookmarkStart w:id="206" w:name="_Ref77247452"/>
      <w:bookmarkStart w:id="207" w:name="_Toc88571921"/>
      <w:bookmarkStart w:id="208" w:name="_Ref94187477"/>
      <w:bookmarkStart w:id="209" w:name="_Toc94629514"/>
      <w:bookmarkStart w:id="210" w:name="_Toc98857758"/>
      <w:r w:rsidRPr="00E04F0C">
        <w:rPr>
          <w:rFonts w:eastAsia="MS Gothic"/>
        </w:rPr>
        <w:t>6.2.1.</w:t>
      </w:r>
      <w:r w:rsidRPr="00E04F0C">
        <w:rPr>
          <w:rFonts w:eastAsia="MS Gothic"/>
        </w:rPr>
        <w:tab/>
      </w:r>
      <w:r w:rsidR="3982CBDC" w:rsidRPr="3982CBDC">
        <w:rPr>
          <w:rFonts w:eastAsia="MS Gothic"/>
          <w:noProof/>
        </w:rPr>
        <w:t>Technological costs and HFC costs for F-gas using industries / equipment operators</w:t>
      </w:r>
      <w:bookmarkEnd w:id="203"/>
      <w:bookmarkEnd w:id="204"/>
      <w:bookmarkEnd w:id="205"/>
      <w:bookmarkEnd w:id="206"/>
      <w:bookmarkEnd w:id="207"/>
      <w:bookmarkEnd w:id="208"/>
      <w:bookmarkEnd w:id="209"/>
      <w:bookmarkEnd w:id="210"/>
    </w:p>
    <w:p w14:paraId="659A4D95" w14:textId="5BE150DF" w:rsidR="00BC750A" w:rsidRPr="009E15B9" w:rsidRDefault="3982CBDC" w:rsidP="3982CBDC">
      <w:pPr>
        <w:spacing w:after="120"/>
        <w:rPr>
          <w:rFonts w:eastAsia="Calibri" w:cs="Times New Roman"/>
          <w:noProof/>
          <w:highlight w:val="yellow"/>
        </w:rPr>
      </w:pPr>
      <w:r w:rsidRPr="3982CBDC">
        <w:rPr>
          <w:rFonts w:eastAsia="Calibri" w:cs="Times New Roman"/>
          <w:noProof/>
        </w:rPr>
        <w:t xml:space="preserve">Business may be faced with changes in costs relating to: </w:t>
      </w:r>
    </w:p>
    <w:p w14:paraId="6B9F3367" w14:textId="1C7A4F89" w:rsidR="00BC750A" w:rsidRPr="009E15B9" w:rsidRDefault="3982CBDC" w:rsidP="00AD5F1B">
      <w:pPr>
        <w:pStyle w:val="ListParagraph"/>
        <w:numPr>
          <w:ilvl w:val="0"/>
          <w:numId w:val="60"/>
        </w:numPr>
        <w:spacing w:after="0"/>
        <w:ind w:left="714" w:hanging="357"/>
        <w:contextualSpacing w:val="0"/>
        <w:rPr>
          <w:rFonts w:eastAsia="MS Gothic"/>
          <w:noProof/>
        </w:rPr>
      </w:pPr>
      <w:r w:rsidRPr="3982CBDC">
        <w:rPr>
          <w:rFonts w:eastAsia="Calibri" w:cs="Times New Roman"/>
          <w:noProof/>
        </w:rPr>
        <w:t xml:space="preserve">Technological adjustments resulting in changes in investment costs and operating expenditures </w:t>
      </w:r>
      <w:r w:rsidR="007B6070">
        <w:rPr>
          <w:rFonts w:eastAsia="Calibri" w:cs="Times New Roman"/>
          <w:noProof/>
        </w:rPr>
        <w:t xml:space="preserve">(e.g. energy use, maintenance costs) </w:t>
      </w:r>
      <w:r w:rsidRPr="3982CBDC">
        <w:rPr>
          <w:rFonts w:eastAsia="Calibri" w:cs="Times New Roman"/>
          <w:noProof/>
        </w:rPr>
        <w:t xml:space="preserve">for users of mainly new equipment that are shifting to (more) climate-friendly alternatives. </w:t>
      </w:r>
    </w:p>
    <w:p w14:paraId="5583F44C" w14:textId="14F80A5A" w:rsidR="00783977" w:rsidRDefault="3982CBDC" w:rsidP="00AD5F1B">
      <w:pPr>
        <w:pStyle w:val="ListParagraph"/>
        <w:numPr>
          <w:ilvl w:val="0"/>
          <w:numId w:val="60"/>
        </w:numPr>
        <w:spacing w:after="120"/>
        <w:ind w:left="714" w:hanging="357"/>
        <w:contextualSpacing w:val="0"/>
        <w:rPr>
          <w:rFonts w:eastAsia="MS Gothic"/>
          <w:noProof/>
        </w:rPr>
      </w:pPr>
      <w:r w:rsidRPr="3982CBDC">
        <w:rPr>
          <w:rFonts w:eastAsia="Calibri" w:cs="Times New Roman"/>
          <w:noProof/>
        </w:rPr>
        <w:t>Higher HFC prices (“HFC price premium”) resulting in higher HFC equipment prices and maintenance costs for users that continue to rely on equipment</w:t>
      </w:r>
      <w:r w:rsidR="009E511F">
        <w:rPr>
          <w:rFonts w:eastAsia="Calibri" w:cs="Times New Roman"/>
          <w:noProof/>
        </w:rPr>
        <w:t xml:space="preserve"> </w:t>
      </w:r>
      <w:r w:rsidR="007E2804">
        <w:rPr>
          <w:rFonts w:eastAsia="Calibri" w:cs="Times New Roman"/>
          <w:noProof/>
        </w:rPr>
        <w:t xml:space="preserve">using </w:t>
      </w:r>
      <w:r w:rsidR="009E511F">
        <w:rPr>
          <w:rFonts w:eastAsia="Calibri" w:cs="Times New Roman"/>
          <w:noProof/>
        </w:rPr>
        <w:t>HFC</w:t>
      </w:r>
      <w:r w:rsidR="007E2804">
        <w:rPr>
          <w:rFonts w:eastAsia="Calibri" w:cs="Times New Roman"/>
          <w:noProof/>
        </w:rPr>
        <w:t>s</w:t>
      </w:r>
      <w:r w:rsidRPr="3982CBDC">
        <w:rPr>
          <w:rFonts w:eastAsia="Calibri" w:cs="Times New Roman"/>
          <w:noProof/>
        </w:rPr>
        <w:t xml:space="preserve">. </w:t>
      </w:r>
    </w:p>
    <w:p w14:paraId="289EC01B" w14:textId="29B81B4E" w:rsidR="00BC750A" w:rsidRDefault="3982CBDC" w:rsidP="00DE2A57">
      <w:pPr>
        <w:spacing w:after="120"/>
        <w:rPr>
          <w:rFonts w:eastAsia="Calibri" w:cs="Times New Roman"/>
          <w:noProof/>
        </w:rPr>
      </w:pPr>
      <w:r w:rsidRPr="3982CBDC">
        <w:rPr>
          <w:rFonts w:eastAsia="Calibri" w:cs="Times New Roman"/>
          <w:noProof/>
        </w:rPr>
        <w:t>Based on the experience of the last six years, both ty</w:t>
      </w:r>
      <w:r w:rsidR="000408C1">
        <w:rPr>
          <w:rFonts w:eastAsia="Calibri" w:cs="Times New Roman"/>
          <w:noProof/>
        </w:rPr>
        <w:t>pes of costs are fully passed through</w:t>
      </w:r>
      <w:r w:rsidRPr="3982CBDC">
        <w:rPr>
          <w:rFonts w:eastAsia="Calibri" w:cs="Times New Roman"/>
          <w:noProof/>
        </w:rPr>
        <w:t xml:space="preserve"> to the en</w:t>
      </w:r>
      <w:r w:rsidR="00B93746">
        <w:rPr>
          <w:rFonts w:eastAsia="Calibri" w:cs="Times New Roman"/>
          <w:noProof/>
        </w:rPr>
        <w:t>d</w:t>
      </w:r>
      <w:r w:rsidR="000408C1">
        <w:rPr>
          <w:rFonts w:eastAsia="Calibri" w:cs="Times New Roman"/>
          <w:noProof/>
        </w:rPr>
        <w:t xml:space="preserve"> </w:t>
      </w:r>
      <w:r w:rsidRPr="3982CBDC">
        <w:rPr>
          <w:rFonts w:eastAsia="Calibri" w:cs="Times New Roman"/>
          <w:noProof/>
        </w:rPr>
        <w:t>user of the equipment. However</w:t>
      </w:r>
      <w:r w:rsidR="00B93746">
        <w:rPr>
          <w:rFonts w:eastAsia="Calibri" w:cs="Times New Roman"/>
          <w:noProof/>
        </w:rPr>
        <w:t>,</w:t>
      </w:r>
      <w:r w:rsidRPr="3982CBDC">
        <w:rPr>
          <w:rFonts w:eastAsia="Calibri" w:cs="Times New Roman"/>
          <w:noProof/>
        </w:rPr>
        <w:t xml:space="preserve"> it should be noted that the user costs resulting from the HFC price premium will benefit the sellers of HFCs</w:t>
      </w:r>
      <w:r w:rsidR="00C73915">
        <w:rPr>
          <w:rFonts w:eastAsia="Calibri" w:cs="Times New Roman"/>
          <w:noProof/>
        </w:rPr>
        <w:t>, who receive the quota free of charge mainly based on historic grandfathering</w:t>
      </w:r>
      <w:r w:rsidRPr="3982CBDC">
        <w:rPr>
          <w:rFonts w:eastAsia="Calibri" w:cs="Times New Roman"/>
          <w:noProof/>
        </w:rPr>
        <w:t xml:space="preserve">. Thus the net effect </w:t>
      </w:r>
      <w:r w:rsidR="00B93746">
        <w:rPr>
          <w:rFonts w:eastAsia="Calibri" w:cs="Times New Roman"/>
          <w:noProof/>
        </w:rPr>
        <w:t xml:space="preserve">of higher gas prices </w:t>
      </w:r>
      <w:r w:rsidRPr="3982CBDC">
        <w:rPr>
          <w:rFonts w:eastAsia="Calibri" w:cs="Times New Roman"/>
          <w:noProof/>
        </w:rPr>
        <w:t>on the economy is neutral (distributional effect)</w:t>
      </w:r>
      <w:r w:rsidR="00C73915">
        <w:rPr>
          <w:rFonts w:eastAsia="Calibri" w:cs="Times New Roman"/>
          <w:noProof/>
        </w:rPr>
        <w:t xml:space="preserve">. </w:t>
      </w:r>
      <w:r w:rsidR="00C837AD">
        <w:rPr>
          <w:rFonts w:eastAsia="Calibri" w:cs="Times New Roman"/>
          <w:noProof/>
        </w:rPr>
        <w:t xml:space="preserve">If </w:t>
      </w:r>
      <w:r w:rsidRPr="3982CBDC">
        <w:rPr>
          <w:rFonts w:eastAsia="Calibri" w:cs="Times New Roman"/>
          <w:noProof/>
        </w:rPr>
        <w:t>a quota allocation price is introduced (Option 2 and 3)</w:t>
      </w:r>
      <w:r w:rsidR="00C837AD">
        <w:rPr>
          <w:rFonts w:eastAsia="Calibri" w:cs="Times New Roman"/>
          <w:noProof/>
        </w:rPr>
        <w:t xml:space="preserve">, the effect would similarly be neutral overall, but </w:t>
      </w:r>
      <w:r w:rsidR="00C73915">
        <w:rPr>
          <w:rFonts w:eastAsia="Calibri" w:cs="Times New Roman"/>
          <w:noProof/>
        </w:rPr>
        <w:t xml:space="preserve">some of </w:t>
      </w:r>
      <w:r w:rsidR="00C837AD">
        <w:rPr>
          <w:rFonts w:eastAsia="Calibri" w:cs="Times New Roman"/>
          <w:noProof/>
        </w:rPr>
        <w:t>the net costs would</w:t>
      </w:r>
      <w:r w:rsidRPr="3982CBDC">
        <w:rPr>
          <w:rFonts w:eastAsia="Calibri" w:cs="Times New Roman"/>
          <w:noProof/>
        </w:rPr>
        <w:t xml:space="preserve"> result in revenue </w:t>
      </w:r>
      <w:r w:rsidR="00C73915">
        <w:rPr>
          <w:rFonts w:eastAsia="Calibri" w:cs="Times New Roman"/>
          <w:noProof/>
        </w:rPr>
        <w:t xml:space="preserve">for the authorities </w:t>
      </w:r>
      <w:r w:rsidRPr="3982CBDC">
        <w:rPr>
          <w:rFonts w:eastAsia="Calibri" w:cs="Times New Roman"/>
          <w:noProof/>
        </w:rPr>
        <w:t>from the quota allocation price</w:t>
      </w:r>
      <w:r w:rsidR="00C837AD">
        <w:rPr>
          <w:rFonts w:eastAsia="Calibri" w:cs="Times New Roman"/>
          <w:noProof/>
        </w:rPr>
        <w:t xml:space="preserve">. </w:t>
      </w:r>
    </w:p>
    <w:p w14:paraId="16FC403A" w14:textId="2A26D875" w:rsidR="00553C10" w:rsidRPr="009E15B9" w:rsidRDefault="009879C8" w:rsidP="00DE2A57">
      <w:pPr>
        <w:spacing w:after="120"/>
        <w:rPr>
          <w:rFonts w:eastAsia="Calibri" w:cs="Times New Roman"/>
          <w:noProof/>
        </w:rPr>
      </w:pPr>
      <w:r>
        <w:rPr>
          <w:rFonts w:eastAsia="Calibri" w:cs="Times New Roman"/>
          <w:noProof/>
        </w:rPr>
        <w:t>To correctly describe the different costs for different stakeholders, we discuss in the following the (i) technological adjustment costs for users of new alternative equipment, (ii) related emission reduction costs, (iii) HFC price premiums paid by users relying on HFCs, (iv) total adjustment costs for all equipment users, and (v) distributional effects of higher price</w:t>
      </w:r>
      <w:r w:rsidR="00664206">
        <w:rPr>
          <w:rFonts w:eastAsia="Calibri" w:cs="Times New Roman"/>
          <w:noProof/>
        </w:rPr>
        <w:t xml:space="preserve"> premium</w:t>
      </w:r>
      <w:r>
        <w:rPr>
          <w:rFonts w:eastAsia="Calibri" w:cs="Times New Roman"/>
          <w:noProof/>
        </w:rPr>
        <w:t xml:space="preserve">s and the impact of an allocation price. </w:t>
      </w:r>
    </w:p>
    <w:p w14:paraId="6D3C8E6B" w14:textId="4851AD45" w:rsidR="00844AB4" w:rsidRPr="009E15B9" w:rsidRDefault="00E04F0C" w:rsidP="00E04F0C">
      <w:pPr>
        <w:pStyle w:val="Heading4"/>
        <w:rPr>
          <w:rFonts w:eastAsia="MS Gothic"/>
          <w:noProof/>
        </w:rPr>
      </w:pPr>
      <w:bookmarkStart w:id="211" w:name="_Ref94605000"/>
      <w:r w:rsidRPr="00E04F0C">
        <w:rPr>
          <w:rFonts w:eastAsia="MS Gothic"/>
        </w:rPr>
        <w:t>6.2.1.1.</w:t>
      </w:r>
      <w:r w:rsidRPr="00E04F0C">
        <w:rPr>
          <w:rFonts w:eastAsia="MS Gothic"/>
        </w:rPr>
        <w:tab/>
      </w:r>
      <w:r w:rsidR="3982CBDC" w:rsidRPr="3982CBDC">
        <w:rPr>
          <w:rFonts w:eastAsia="MS Gothic"/>
          <w:noProof/>
        </w:rPr>
        <w:t>Technological adjustment costs for users that shift to climate-friendly solutions</w:t>
      </w:r>
      <w:bookmarkStart w:id="212" w:name="_Ref85720693"/>
      <w:bookmarkEnd w:id="211"/>
      <w:bookmarkEnd w:id="212"/>
    </w:p>
    <w:p w14:paraId="2C53F01B" w14:textId="2D4E1475" w:rsidR="009A1A1B" w:rsidRDefault="00DB0692" w:rsidP="3982CBDC">
      <w:pPr>
        <w:spacing w:after="120"/>
        <w:rPr>
          <w:rFonts w:eastAsia="Calibri" w:cs="Times New Roman"/>
          <w:noProof/>
        </w:rPr>
      </w:pPr>
      <w:r>
        <w:rPr>
          <w:rFonts w:eastAsia="Calibri" w:cs="Times New Roman"/>
          <w:noProof/>
        </w:rPr>
        <w:t xml:space="preserve">Average annual costs that arise from changing to climate-friendly equipment, either new investment into alternative equipment or operating alternative equipment, </w:t>
      </w:r>
      <w:r>
        <w:rPr>
          <w:rFonts w:eastAsia="Calibri" w:cs="Times New Roman"/>
          <w:b/>
          <w:bCs/>
          <w:noProof/>
        </w:rPr>
        <w:t>e.g.</w:t>
      </w:r>
      <w:r w:rsidRPr="3982CBDC">
        <w:rPr>
          <w:rFonts w:eastAsia="Calibri" w:cs="Times New Roman"/>
          <w:b/>
          <w:bCs/>
          <w:noProof/>
        </w:rPr>
        <w:t xml:space="preserve"> </w:t>
      </w:r>
      <w:r>
        <w:rPr>
          <w:rFonts w:eastAsia="Calibri" w:cs="Times New Roman"/>
          <w:b/>
          <w:bCs/>
          <w:noProof/>
        </w:rPr>
        <w:t xml:space="preserve">the </w:t>
      </w:r>
      <w:r w:rsidRPr="3982CBDC">
        <w:rPr>
          <w:rFonts w:eastAsia="Calibri" w:cs="Times New Roman"/>
          <w:b/>
          <w:bCs/>
          <w:noProof/>
        </w:rPr>
        <w:t>technological adjustment costs</w:t>
      </w:r>
      <w:r>
        <w:rPr>
          <w:rFonts w:eastAsia="Calibri" w:cs="Times New Roman"/>
          <w:b/>
          <w:bCs/>
          <w:noProof/>
        </w:rPr>
        <w:t>,</w:t>
      </w:r>
      <w:r w:rsidRPr="3982CBDC">
        <w:rPr>
          <w:rFonts w:eastAsia="Calibri" w:cs="Times New Roman"/>
          <w:b/>
          <w:bCs/>
          <w:noProof/>
        </w:rPr>
        <w:t xml:space="preserve"> will va</w:t>
      </w:r>
      <w:r>
        <w:rPr>
          <w:rFonts w:eastAsia="Calibri" w:cs="Times New Roman"/>
          <w:b/>
          <w:bCs/>
          <w:noProof/>
        </w:rPr>
        <w:t>ry between 2, 12 and 116 Mio €/year</w:t>
      </w:r>
      <w:r w:rsidRPr="00DB0692">
        <w:rPr>
          <w:rFonts w:eastAsia="Calibri" w:cs="Times New Roman"/>
          <w:b/>
          <w:bCs/>
          <w:noProof/>
        </w:rPr>
        <w:t xml:space="preserve"> </w:t>
      </w:r>
      <w:r w:rsidRPr="3982CBDC">
        <w:rPr>
          <w:rFonts w:eastAsia="Calibri" w:cs="Times New Roman"/>
          <w:b/>
          <w:bCs/>
          <w:noProof/>
        </w:rPr>
        <w:t>for Option</w:t>
      </w:r>
      <w:r>
        <w:rPr>
          <w:rFonts w:eastAsia="Calibri" w:cs="Times New Roman"/>
          <w:b/>
          <w:bCs/>
          <w:noProof/>
        </w:rPr>
        <w:t>s</w:t>
      </w:r>
      <w:r w:rsidRPr="3982CBDC">
        <w:rPr>
          <w:rFonts w:eastAsia="Calibri" w:cs="Times New Roman"/>
          <w:b/>
          <w:bCs/>
          <w:noProof/>
        </w:rPr>
        <w:t xml:space="preserve"> 1, 2 and 3</w:t>
      </w:r>
      <w:r w:rsidRPr="00DB0692">
        <w:rPr>
          <w:rFonts w:eastAsia="Calibri" w:cs="Times New Roman"/>
          <w:bCs/>
          <w:noProof/>
        </w:rPr>
        <w:t>, respectively, for all sectors combined</w:t>
      </w:r>
      <w:r w:rsidRPr="00DB0692">
        <w:rPr>
          <w:rFonts w:eastAsia="Calibri" w:cs="Times New Roman"/>
          <w:noProof/>
        </w:rPr>
        <w:t xml:space="preserve"> </w:t>
      </w:r>
      <w:r w:rsidRPr="00DB0692">
        <w:rPr>
          <w:rFonts w:eastAsia="Calibri" w:cs="Times New Roman"/>
          <w:bCs/>
          <w:noProof/>
        </w:rPr>
        <w:t>in</w:t>
      </w:r>
      <w:r w:rsidR="006B5327" w:rsidRPr="00DB0692">
        <w:rPr>
          <w:rFonts w:eastAsia="Calibri" w:cs="Times New Roman"/>
          <w:noProof/>
        </w:rPr>
        <w:t xml:space="preserve"> the </w:t>
      </w:r>
      <w:r w:rsidR="00AF270C" w:rsidRPr="00DB0692">
        <w:rPr>
          <w:rFonts w:eastAsia="Calibri" w:cs="Times New Roman"/>
          <w:bCs/>
          <w:noProof/>
        </w:rPr>
        <w:t>time horizon 2030</w:t>
      </w:r>
      <w:r w:rsidR="00AF270C" w:rsidRPr="3982CBDC">
        <w:rPr>
          <w:rFonts w:eastAsia="Calibri" w:cs="Times New Roman"/>
          <w:noProof/>
        </w:rPr>
        <w:t xml:space="preserve"> (i.e. </w:t>
      </w:r>
      <w:r w:rsidR="00E82C88" w:rsidRPr="3982CBDC">
        <w:rPr>
          <w:rFonts w:eastAsia="Calibri" w:cs="Times New Roman"/>
          <w:noProof/>
        </w:rPr>
        <w:t xml:space="preserve">the </w:t>
      </w:r>
      <w:r w:rsidR="00AF270C" w:rsidRPr="3982CBDC">
        <w:rPr>
          <w:rFonts w:eastAsia="Calibri" w:cs="Times New Roman"/>
          <w:noProof/>
        </w:rPr>
        <w:t>2024-2036 interval</w:t>
      </w:r>
      <w:r w:rsidR="00E82C88" w:rsidRPr="3982CBDC">
        <w:rPr>
          <w:rStyle w:val="FootnoteReference"/>
          <w:rFonts w:eastAsia="Calibri" w:cs="Times New Roman"/>
          <w:noProof/>
        </w:rPr>
        <w:footnoteReference w:id="94"/>
      </w:r>
      <w:r w:rsidR="00AF270C" w:rsidRPr="3982CBDC">
        <w:rPr>
          <w:rFonts w:eastAsia="Calibri" w:cs="Times New Roman"/>
          <w:noProof/>
        </w:rPr>
        <w:t>)</w:t>
      </w:r>
      <w:r>
        <w:rPr>
          <w:rFonts w:eastAsia="Calibri" w:cs="Times New Roman"/>
          <w:noProof/>
        </w:rPr>
        <w:t>.</w:t>
      </w:r>
      <w:r w:rsidR="006B5327" w:rsidRPr="3982CBDC">
        <w:rPr>
          <w:rFonts w:eastAsia="Calibri" w:cs="Times New Roman"/>
          <w:noProof/>
        </w:rPr>
        <w:t xml:space="preserve"> </w:t>
      </w:r>
      <w:r w:rsidR="00E07E30" w:rsidRPr="3982CBDC">
        <w:rPr>
          <w:rFonts w:eastAsia="Calibri" w:cs="Times New Roman"/>
          <w:noProof/>
        </w:rPr>
        <w:t>At sector level</w:t>
      </w:r>
      <w:r w:rsidR="00B93746">
        <w:rPr>
          <w:rFonts w:eastAsia="Calibri" w:cs="Times New Roman"/>
          <w:noProof/>
        </w:rPr>
        <w:t xml:space="preserve"> there are large</w:t>
      </w:r>
      <w:r w:rsidR="00657197" w:rsidRPr="3982CBDC">
        <w:rPr>
          <w:rFonts w:eastAsia="Calibri" w:cs="Times New Roman"/>
          <w:noProof/>
        </w:rPr>
        <w:t xml:space="preserve"> </w:t>
      </w:r>
      <w:r w:rsidR="001478E4" w:rsidRPr="3982CBDC">
        <w:rPr>
          <w:rFonts w:eastAsia="Calibri" w:cs="Times New Roman"/>
          <w:noProof/>
        </w:rPr>
        <w:t>differences</w:t>
      </w:r>
      <w:r w:rsidR="009E15B9" w:rsidRPr="3982CBDC">
        <w:rPr>
          <w:rFonts w:eastAsia="Calibri" w:cs="Times New Roman"/>
          <w:noProof/>
        </w:rPr>
        <w:t xml:space="preserve"> (</w:t>
      </w:r>
      <w:r w:rsidR="009E15B9" w:rsidRPr="0018090C">
        <w:rPr>
          <w:rFonts w:cs="Times New Roman"/>
          <w:noProof/>
        </w:rPr>
        <w:fldChar w:fldCharType="begin"/>
      </w:r>
      <w:r w:rsidR="009E15B9" w:rsidRPr="0018090C">
        <w:rPr>
          <w:rFonts w:eastAsia="Calibri" w:cs="Times New Roman"/>
          <w:noProof/>
          <w:szCs w:val="24"/>
        </w:rPr>
        <w:instrText xml:space="preserve"> REF _Ref85706590 \h </w:instrText>
      </w:r>
      <w:r w:rsidR="0018090C" w:rsidRPr="0018090C">
        <w:rPr>
          <w:rFonts w:cs="Times New Roman"/>
          <w:noProof/>
        </w:rPr>
        <w:instrText xml:space="preserve"> \* MERGEFORMAT </w:instrText>
      </w:r>
      <w:r w:rsidR="009E15B9" w:rsidRPr="0018090C">
        <w:rPr>
          <w:rFonts w:cs="Times New Roman"/>
          <w:noProof/>
        </w:rPr>
      </w:r>
      <w:r w:rsidR="009E15B9" w:rsidRPr="0018090C">
        <w:rPr>
          <w:rFonts w:eastAsia="Calibri" w:cs="Times New Roman"/>
          <w:noProof/>
          <w:szCs w:val="24"/>
        </w:rPr>
        <w:fldChar w:fldCharType="separate"/>
      </w:r>
      <w:r w:rsidR="00C66A21" w:rsidRPr="00C66A21">
        <w:rPr>
          <w:rFonts w:cs="Times New Roman"/>
          <w:noProof/>
        </w:rPr>
        <w:t>Table 4</w:t>
      </w:r>
      <w:r w:rsidR="009E15B9" w:rsidRPr="0018090C">
        <w:rPr>
          <w:rFonts w:cs="Times New Roman"/>
          <w:noProof/>
        </w:rPr>
        <w:fldChar w:fldCharType="end"/>
      </w:r>
      <w:r w:rsidR="009E15B9" w:rsidRPr="3982CBDC">
        <w:rPr>
          <w:rFonts w:eastAsia="Calibri" w:cs="Times New Roman"/>
          <w:noProof/>
        </w:rPr>
        <w:t>)</w:t>
      </w:r>
      <w:r w:rsidR="001478E4" w:rsidRPr="3982CBDC">
        <w:rPr>
          <w:rFonts w:eastAsia="Calibri" w:cs="Times New Roman"/>
          <w:noProof/>
        </w:rPr>
        <w:t>. The</w:t>
      </w:r>
      <w:r w:rsidR="00AF270C" w:rsidRPr="3982CBDC">
        <w:rPr>
          <w:rFonts w:eastAsia="Calibri" w:cs="Times New Roman"/>
          <w:noProof/>
        </w:rPr>
        <w:t xml:space="preserve"> </w:t>
      </w:r>
      <w:r w:rsidR="00B34B5B" w:rsidRPr="3982CBDC">
        <w:rPr>
          <w:rFonts w:eastAsia="Calibri" w:cs="Times New Roman"/>
          <w:noProof/>
        </w:rPr>
        <w:t xml:space="preserve">targeted </w:t>
      </w:r>
      <w:r w:rsidR="00AF270C" w:rsidRPr="3982CBDC">
        <w:rPr>
          <w:rFonts w:eastAsia="Calibri" w:cs="Times New Roman"/>
          <w:noProof/>
        </w:rPr>
        <w:t xml:space="preserve">refrigeration and air conditioning </w:t>
      </w:r>
      <w:r w:rsidR="00E9721E">
        <w:rPr>
          <w:rFonts w:eastAsia="Calibri" w:cs="Times New Roman"/>
          <w:noProof/>
        </w:rPr>
        <w:t xml:space="preserve">(RAC) </w:t>
      </w:r>
      <w:r w:rsidR="00B224E0" w:rsidRPr="3982CBDC">
        <w:rPr>
          <w:rFonts w:eastAsia="Calibri" w:cs="Times New Roman"/>
          <w:noProof/>
        </w:rPr>
        <w:t xml:space="preserve">users </w:t>
      </w:r>
      <w:r w:rsidR="002A5071" w:rsidRPr="3982CBDC">
        <w:rPr>
          <w:rFonts w:eastAsia="Calibri" w:cs="Times New Roman"/>
          <w:noProof/>
        </w:rPr>
        <w:t xml:space="preserve">will </w:t>
      </w:r>
      <w:r w:rsidR="00657197" w:rsidRPr="3982CBDC">
        <w:rPr>
          <w:rFonts w:eastAsia="Calibri" w:cs="Times New Roman"/>
          <w:noProof/>
        </w:rPr>
        <w:t xml:space="preserve">in fact </w:t>
      </w:r>
      <w:r w:rsidR="002A5071" w:rsidRPr="3982CBDC">
        <w:rPr>
          <w:rFonts w:eastAsia="Calibri" w:cs="Times New Roman"/>
          <w:noProof/>
        </w:rPr>
        <w:t xml:space="preserve">see benefits </w:t>
      </w:r>
      <w:r w:rsidR="009A1A1B" w:rsidRPr="3982CBDC">
        <w:rPr>
          <w:rFonts w:eastAsia="Calibri" w:cs="Times New Roman"/>
          <w:noProof/>
        </w:rPr>
        <w:t>becau</w:t>
      </w:r>
      <w:r w:rsidR="00B224E0" w:rsidRPr="3982CBDC">
        <w:rPr>
          <w:rFonts w:eastAsia="Calibri" w:cs="Times New Roman"/>
          <w:noProof/>
        </w:rPr>
        <w:t xml:space="preserve">se </w:t>
      </w:r>
      <w:r w:rsidR="003957D6" w:rsidRPr="3982CBDC">
        <w:rPr>
          <w:rFonts w:eastAsia="Calibri" w:cs="Times New Roman"/>
          <w:noProof/>
        </w:rPr>
        <w:t xml:space="preserve">higher </w:t>
      </w:r>
      <w:r w:rsidR="006B5327" w:rsidRPr="3982CBDC">
        <w:rPr>
          <w:rFonts w:eastAsia="Calibri" w:cs="Times New Roman"/>
          <w:noProof/>
        </w:rPr>
        <w:t>investment</w:t>
      </w:r>
      <w:r w:rsidR="00B224E0" w:rsidRPr="3982CBDC">
        <w:rPr>
          <w:rFonts w:eastAsia="Calibri" w:cs="Times New Roman"/>
          <w:noProof/>
        </w:rPr>
        <w:t xml:space="preserve"> costs are in general </w:t>
      </w:r>
      <w:r w:rsidR="009E15B9" w:rsidRPr="3982CBDC">
        <w:rPr>
          <w:rFonts w:eastAsia="Calibri" w:cs="Times New Roman"/>
          <w:noProof/>
        </w:rPr>
        <w:t>counter</w:t>
      </w:r>
      <w:r w:rsidR="006B5327" w:rsidRPr="3982CBDC">
        <w:rPr>
          <w:rFonts w:eastAsia="Calibri" w:cs="Times New Roman"/>
          <w:noProof/>
        </w:rPr>
        <w:t xml:space="preserve">balanced by </w:t>
      </w:r>
      <w:r w:rsidR="003957D6" w:rsidRPr="3982CBDC">
        <w:rPr>
          <w:rFonts w:eastAsia="Calibri" w:cs="Times New Roman"/>
          <w:noProof/>
        </w:rPr>
        <w:t xml:space="preserve">lower </w:t>
      </w:r>
      <w:r w:rsidR="006B5327" w:rsidRPr="3982CBDC">
        <w:rPr>
          <w:rFonts w:eastAsia="Calibri" w:cs="Times New Roman"/>
          <w:noProof/>
        </w:rPr>
        <w:t>operating cost</w:t>
      </w:r>
      <w:r w:rsidR="002A5071" w:rsidRPr="3982CBDC">
        <w:rPr>
          <w:rFonts w:eastAsia="Calibri" w:cs="Times New Roman"/>
          <w:noProof/>
        </w:rPr>
        <w:t xml:space="preserve"> (e.g. better energy efficiency)</w:t>
      </w:r>
      <w:r w:rsidR="006B5327" w:rsidRPr="3982CBDC">
        <w:rPr>
          <w:rFonts w:eastAsia="Calibri" w:cs="Times New Roman"/>
          <w:noProof/>
        </w:rPr>
        <w:t>. The</w:t>
      </w:r>
      <w:r w:rsidR="00657197" w:rsidRPr="3982CBDC">
        <w:rPr>
          <w:rFonts w:eastAsia="Calibri" w:cs="Times New Roman"/>
          <w:noProof/>
        </w:rPr>
        <w:t>se</w:t>
      </w:r>
      <w:r w:rsidR="006B5327" w:rsidRPr="3982CBDC">
        <w:rPr>
          <w:rFonts w:eastAsia="Calibri" w:cs="Times New Roman"/>
          <w:noProof/>
        </w:rPr>
        <w:t xml:space="preserve"> savings are highe</w:t>
      </w:r>
      <w:r w:rsidR="003957D6" w:rsidRPr="3982CBDC">
        <w:rPr>
          <w:rFonts w:eastAsia="Calibri" w:cs="Times New Roman"/>
          <w:noProof/>
        </w:rPr>
        <w:t xml:space="preserve">st </w:t>
      </w:r>
      <w:r w:rsidR="00E07E30" w:rsidRPr="3982CBDC">
        <w:rPr>
          <w:rFonts w:eastAsia="Calibri" w:cs="Times New Roman"/>
          <w:noProof/>
        </w:rPr>
        <w:t xml:space="preserve">under </w:t>
      </w:r>
      <w:r w:rsidR="00AF270C" w:rsidRPr="3982CBDC">
        <w:rPr>
          <w:rFonts w:eastAsia="Calibri" w:cs="Times New Roman"/>
          <w:noProof/>
        </w:rPr>
        <w:t xml:space="preserve">Options 2 and 3 where </w:t>
      </w:r>
      <w:r w:rsidR="002A5071" w:rsidRPr="3982CBDC">
        <w:rPr>
          <w:rFonts w:eastAsia="Calibri" w:cs="Times New Roman"/>
          <w:noProof/>
        </w:rPr>
        <w:t xml:space="preserve">beneficial </w:t>
      </w:r>
      <w:r w:rsidR="00AF270C" w:rsidRPr="3982CBDC">
        <w:rPr>
          <w:rFonts w:eastAsia="Calibri" w:cs="Times New Roman"/>
          <w:noProof/>
        </w:rPr>
        <w:t xml:space="preserve">alternatives are introduced more </w:t>
      </w:r>
      <w:r w:rsidR="006B5327" w:rsidRPr="3982CBDC">
        <w:rPr>
          <w:rFonts w:eastAsia="Calibri" w:cs="Times New Roman"/>
          <w:noProof/>
        </w:rPr>
        <w:t>quickly</w:t>
      </w:r>
      <w:r w:rsidR="00421AE6" w:rsidRPr="3982CBDC">
        <w:rPr>
          <w:rFonts w:eastAsia="Calibri" w:cs="Times New Roman"/>
          <w:noProof/>
        </w:rPr>
        <w:t xml:space="preserve">. </w:t>
      </w:r>
      <w:r w:rsidR="00E07E30" w:rsidRPr="3982CBDC">
        <w:rPr>
          <w:rFonts w:eastAsia="Calibri" w:cs="Times New Roman"/>
          <w:noProof/>
        </w:rPr>
        <w:t xml:space="preserve">On the other </w:t>
      </w:r>
      <w:r w:rsidR="002A5071" w:rsidRPr="3982CBDC">
        <w:rPr>
          <w:rFonts w:eastAsia="Calibri" w:cs="Times New Roman"/>
          <w:noProof/>
        </w:rPr>
        <w:t>hand</w:t>
      </w:r>
      <w:r w:rsidR="00B93746">
        <w:rPr>
          <w:rFonts w:eastAsia="Calibri" w:cs="Times New Roman"/>
          <w:noProof/>
        </w:rPr>
        <w:t>,</w:t>
      </w:r>
      <w:r w:rsidR="00E07E30" w:rsidRPr="3982CBDC">
        <w:rPr>
          <w:rFonts w:eastAsia="Calibri" w:cs="Times New Roman"/>
          <w:noProof/>
        </w:rPr>
        <w:t xml:space="preserve"> </w:t>
      </w:r>
      <w:r w:rsidR="00657197" w:rsidRPr="3982CBDC">
        <w:rPr>
          <w:rFonts w:eastAsia="Calibri" w:cs="Times New Roman"/>
          <w:noProof/>
        </w:rPr>
        <w:t xml:space="preserve">users of </w:t>
      </w:r>
      <w:r w:rsidR="001478E4" w:rsidRPr="3982CBDC">
        <w:rPr>
          <w:rFonts w:eastAsia="Calibri" w:cs="Times New Roman"/>
          <w:noProof/>
        </w:rPr>
        <w:t xml:space="preserve">new </w:t>
      </w:r>
      <w:r w:rsidR="00AF270C" w:rsidRPr="3982CBDC">
        <w:rPr>
          <w:rFonts w:eastAsia="Calibri" w:cs="Times New Roman"/>
          <w:noProof/>
        </w:rPr>
        <w:t>mobile AC</w:t>
      </w:r>
      <w:r w:rsidR="001478E4" w:rsidRPr="3982CBDC">
        <w:rPr>
          <w:rFonts w:eastAsia="Calibri" w:cs="Times New Roman"/>
          <w:noProof/>
        </w:rPr>
        <w:t xml:space="preserve"> (excluding passenger cars</w:t>
      </w:r>
      <w:r w:rsidR="001478E4" w:rsidRPr="3982CBDC">
        <w:rPr>
          <w:rStyle w:val="FootnoteReference"/>
          <w:rFonts w:eastAsia="Calibri" w:cs="Times New Roman"/>
          <w:noProof/>
        </w:rPr>
        <w:footnoteReference w:id="95"/>
      </w:r>
      <w:r w:rsidR="001478E4" w:rsidRPr="3982CBDC">
        <w:rPr>
          <w:rFonts w:eastAsia="Calibri" w:cs="Times New Roman"/>
          <w:noProof/>
        </w:rPr>
        <w:t>)</w:t>
      </w:r>
      <w:r w:rsidR="00AF270C" w:rsidRPr="3982CBDC">
        <w:rPr>
          <w:rFonts w:eastAsia="Calibri" w:cs="Times New Roman"/>
          <w:noProof/>
        </w:rPr>
        <w:t xml:space="preserve"> and </w:t>
      </w:r>
      <w:r w:rsidR="001478E4" w:rsidRPr="3982CBDC">
        <w:rPr>
          <w:rFonts w:eastAsia="Calibri" w:cs="Times New Roman"/>
          <w:noProof/>
        </w:rPr>
        <w:t xml:space="preserve">new </w:t>
      </w:r>
      <w:r w:rsidR="003957D6" w:rsidRPr="3982CBDC">
        <w:rPr>
          <w:rFonts w:eastAsia="Calibri" w:cs="Times New Roman"/>
          <w:noProof/>
        </w:rPr>
        <w:t>switchgear</w:t>
      </w:r>
      <w:r w:rsidR="00E96574">
        <w:rPr>
          <w:rFonts w:eastAsia="Calibri" w:cs="Times New Roman"/>
          <w:noProof/>
        </w:rPr>
        <w:t xml:space="preserve"> without</w:t>
      </w:r>
      <w:r w:rsidR="003957D6" w:rsidRPr="3982CBDC">
        <w:rPr>
          <w:rFonts w:eastAsia="Calibri" w:cs="Times New Roman"/>
          <w:noProof/>
        </w:rPr>
        <w:t xml:space="preserve"> </w:t>
      </w:r>
      <w:r w:rsidR="00AF270C" w:rsidRPr="3982CBDC">
        <w:rPr>
          <w:rFonts w:eastAsia="Calibri" w:cs="Times New Roman"/>
          <w:noProof/>
        </w:rPr>
        <w:t>SF</w:t>
      </w:r>
      <w:r w:rsidR="00AF270C" w:rsidRPr="3982CBDC">
        <w:rPr>
          <w:rFonts w:eastAsia="Calibri" w:cs="Times New Roman"/>
          <w:noProof/>
          <w:vertAlign w:val="subscript"/>
        </w:rPr>
        <w:t>6</w:t>
      </w:r>
      <w:r w:rsidR="00E82C88" w:rsidRPr="3982CBDC">
        <w:rPr>
          <w:rStyle w:val="FootnoteReference"/>
          <w:rFonts w:eastAsia="Calibri" w:cs="Times New Roman"/>
          <w:noProof/>
        </w:rPr>
        <w:footnoteReference w:id="96"/>
      </w:r>
      <w:r w:rsidR="00AF270C" w:rsidRPr="3982CBDC">
        <w:rPr>
          <w:rFonts w:eastAsia="Calibri" w:cs="Times New Roman"/>
          <w:noProof/>
        </w:rPr>
        <w:t xml:space="preserve"> </w:t>
      </w:r>
      <w:r w:rsidR="00657197" w:rsidRPr="3982CBDC">
        <w:rPr>
          <w:rFonts w:eastAsia="Calibri" w:cs="Times New Roman"/>
          <w:noProof/>
        </w:rPr>
        <w:t>will have higher costs c</w:t>
      </w:r>
      <w:r w:rsidR="003524CB" w:rsidRPr="3982CBDC">
        <w:rPr>
          <w:rFonts w:eastAsia="Calibri" w:cs="Times New Roman"/>
          <w:noProof/>
        </w:rPr>
        <w:t xml:space="preserve">ompared to </w:t>
      </w:r>
      <w:r w:rsidR="00B93746">
        <w:rPr>
          <w:rFonts w:eastAsia="Calibri" w:cs="Times New Roman"/>
          <w:noProof/>
        </w:rPr>
        <w:t xml:space="preserve">the </w:t>
      </w:r>
      <w:r w:rsidR="003524CB" w:rsidRPr="3982CBDC">
        <w:rPr>
          <w:rFonts w:eastAsia="Calibri" w:cs="Times New Roman"/>
          <w:noProof/>
        </w:rPr>
        <w:t>baseline</w:t>
      </w:r>
      <w:r w:rsidR="00657197" w:rsidRPr="3982CBDC">
        <w:rPr>
          <w:rFonts w:eastAsia="Calibri" w:cs="Times New Roman"/>
          <w:noProof/>
        </w:rPr>
        <w:t>.</w:t>
      </w:r>
      <w:r w:rsidR="003524CB" w:rsidRPr="3982CBDC">
        <w:rPr>
          <w:rFonts w:eastAsia="Calibri" w:cs="Times New Roman"/>
          <w:noProof/>
        </w:rPr>
        <w:t xml:space="preserve"> </w:t>
      </w:r>
      <w:r w:rsidR="00657197" w:rsidRPr="3982CBDC">
        <w:rPr>
          <w:rFonts w:eastAsia="Calibri" w:cs="Times New Roman"/>
          <w:noProof/>
        </w:rPr>
        <w:t>A</w:t>
      </w:r>
      <w:r w:rsidR="00421AE6" w:rsidRPr="3982CBDC">
        <w:rPr>
          <w:rFonts w:eastAsia="Calibri" w:cs="Times New Roman"/>
          <w:noProof/>
        </w:rPr>
        <w:t>dditional cost</w:t>
      </w:r>
      <w:r w:rsidR="00B0526B" w:rsidRPr="3982CBDC">
        <w:rPr>
          <w:rFonts w:eastAsia="Calibri" w:cs="Times New Roman"/>
          <w:noProof/>
        </w:rPr>
        <w:t>s</w:t>
      </w:r>
      <w:r w:rsidR="00657197" w:rsidRPr="3982CBDC">
        <w:rPr>
          <w:rFonts w:eastAsia="Calibri" w:cs="Times New Roman"/>
          <w:noProof/>
        </w:rPr>
        <w:t xml:space="preserve"> for these sectors </w:t>
      </w:r>
      <w:r w:rsidR="00421AE6" w:rsidRPr="3982CBDC">
        <w:rPr>
          <w:rFonts w:eastAsia="Calibri" w:cs="Times New Roman"/>
          <w:noProof/>
        </w:rPr>
        <w:t xml:space="preserve">are estimated </w:t>
      </w:r>
      <w:r w:rsidR="003524CB" w:rsidRPr="3982CBDC">
        <w:rPr>
          <w:rFonts w:eastAsia="Calibri" w:cs="Times New Roman"/>
          <w:noProof/>
        </w:rPr>
        <w:t xml:space="preserve">to be </w:t>
      </w:r>
      <w:r w:rsidR="00421AE6" w:rsidRPr="3982CBDC">
        <w:rPr>
          <w:rFonts w:eastAsia="Calibri" w:cs="Times New Roman"/>
          <w:noProof/>
        </w:rPr>
        <w:t>3.6 %</w:t>
      </w:r>
      <w:r w:rsidR="003524CB" w:rsidRPr="3982CBDC">
        <w:rPr>
          <w:rFonts w:eastAsia="Calibri" w:cs="Times New Roman"/>
          <w:noProof/>
        </w:rPr>
        <w:t xml:space="preserve"> for switchgear/SF</w:t>
      </w:r>
      <w:r w:rsidR="003524CB" w:rsidRPr="3982CBDC">
        <w:rPr>
          <w:rFonts w:eastAsia="Calibri" w:cs="Times New Roman"/>
          <w:noProof/>
          <w:vertAlign w:val="subscript"/>
        </w:rPr>
        <w:t>6</w:t>
      </w:r>
      <w:r w:rsidR="003524CB" w:rsidRPr="3982CBDC">
        <w:rPr>
          <w:rFonts w:eastAsia="Calibri" w:cs="Times New Roman"/>
          <w:noProof/>
        </w:rPr>
        <w:t xml:space="preserve"> </w:t>
      </w:r>
      <w:r w:rsidR="00B224E0" w:rsidRPr="3982CBDC">
        <w:rPr>
          <w:rFonts w:eastAsia="Calibri" w:cs="Times New Roman"/>
          <w:noProof/>
        </w:rPr>
        <w:t>under both Option 2 and 3</w:t>
      </w:r>
      <w:r w:rsidR="00E96574">
        <w:rPr>
          <w:rFonts w:eastAsia="Calibri" w:cs="Times New Roman"/>
          <w:noProof/>
        </w:rPr>
        <w:t>,</w:t>
      </w:r>
      <w:r w:rsidR="003524CB" w:rsidRPr="3982CBDC">
        <w:rPr>
          <w:rFonts w:eastAsia="Calibri" w:cs="Times New Roman"/>
          <w:noProof/>
        </w:rPr>
        <w:t xml:space="preserve"> and </w:t>
      </w:r>
      <w:r w:rsidR="00E96574">
        <w:rPr>
          <w:rFonts w:eastAsia="Calibri" w:cs="Times New Roman"/>
          <w:noProof/>
        </w:rPr>
        <w:t>0.4</w:t>
      </w:r>
      <w:r w:rsidR="00421AE6" w:rsidRPr="3982CBDC">
        <w:rPr>
          <w:rFonts w:eastAsia="Calibri" w:cs="Times New Roman"/>
          <w:noProof/>
        </w:rPr>
        <w:t xml:space="preserve">% </w:t>
      </w:r>
      <w:r w:rsidR="00E96574">
        <w:rPr>
          <w:rFonts w:eastAsia="Calibri" w:cs="Times New Roman"/>
          <w:noProof/>
        </w:rPr>
        <w:t>(</w:t>
      </w:r>
      <w:r w:rsidR="00B0526B" w:rsidRPr="3982CBDC">
        <w:rPr>
          <w:rFonts w:eastAsia="Calibri" w:cs="Times New Roman"/>
          <w:noProof/>
        </w:rPr>
        <w:t>Option 2</w:t>
      </w:r>
      <w:r w:rsidR="00E96574">
        <w:rPr>
          <w:rFonts w:eastAsia="Calibri" w:cs="Times New Roman"/>
          <w:noProof/>
        </w:rPr>
        <w:t>)</w:t>
      </w:r>
      <w:r w:rsidR="00B0526B" w:rsidRPr="3982CBDC">
        <w:rPr>
          <w:rFonts w:eastAsia="Calibri" w:cs="Times New Roman"/>
          <w:noProof/>
        </w:rPr>
        <w:t xml:space="preserve"> </w:t>
      </w:r>
      <w:r w:rsidR="00421AE6" w:rsidRPr="3982CBDC">
        <w:rPr>
          <w:rFonts w:eastAsia="Calibri" w:cs="Times New Roman"/>
          <w:noProof/>
        </w:rPr>
        <w:t>and 1</w:t>
      </w:r>
      <w:r w:rsidR="00E96574">
        <w:rPr>
          <w:rFonts w:eastAsia="Calibri" w:cs="Times New Roman"/>
          <w:noProof/>
        </w:rPr>
        <w:t>.0</w:t>
      </w:r>
      <w:r w:rsidR="00421AE6" w:rsidRPr="3982CBDC">
        <w:rPr>
          <w:rFonts w:eastAsia="Calibri" w:cs="Times New Roman"/>
          <w:noProof/>
        </w:rPr>
        <w:t xml:space="preserve">% </w:t>
      </w:r>
      <w:r w:rsidR="00E96574">
        <w:rPr>
          <w:rFonts w:eastAsia="Calibri" w:cs="Times New Roman"/>
          <w:noProof/>
        </w:rPr>
        <w:t>(</w:t>
      </w:r>
      <w:r w:rsidR="003524CB" w:rsidRPr="3982CBDC">
        <w:rPr>
          <w:rFonts w:eastAsia="Calibri" w:cs="Times New Roman"/>
          <w:noProof/>
        </w:rPr>
        <w:t>Option 3</w:t>
      </w:r>
      <w:r w:rsidR="00E96574">
        <w:rPr>
          <w:rFonts w:eastAsia="Calibri" w:cs="Times New Roman"/>
          <w:noProof/>
        </w:rPr>
        <w:t>)</w:t>
      </w:r>
      <w:r w:rsidR="009E15B9" w:rsidRPr="3982CBDC">
        <w:rPr>
          <w:rFonts w:eastAsia="Calibri" w:cs="Times New Roman"/>
          <w:noProof/>
        </w:rPr>
        <w:t xml:space="preserve"> for mobile AC</w:t>
      </w:r>
      <w:r w:rsidR="00E96574">
        <w:rPr>
          <w:rFonts w:eastAsia="Calibri" w:cs="Times New Roman"/>
          <w:noProof/>
        </w:rPr>
        <w:t xml:space="preserve"> of the baseline costs</w:t>
      </w:r>
      <w:r w:rsidR="00657197" w:rsidRPr="3982CBDC">
        <w:rPr>
          <w:rFonts w:eastAsia="Calibri" w:cs="Times New Roman"/>
          <w:noProof/>
        </w:rPr>
        <w:t>.</w:t>
      </w:r>
    </w:p>
    <w:p w14:paraId="2B2F08FD" w14:textId="17475EC8" w:rsidR="00783977" w:rsidRDefault="009A1A1B" w:rsidP="00E96574">
      <w:pPr>
        <w:spacing w:after="120"/>
        <w:rPr>
          <w:rFonts w:eastAsia="Calibri" w:cs="Times New Roman"/>
          <w:noProof/>
        </w:rPr>
      </w:pPr>
      <w:r w:rsidRPr="3982CBDC">
        <w:rPr>
          <w:rFonts w:eastAsia="Calibri" w:cs="Times New Roman"/>
          <w:b/>
          <w:bCs/>
          <w:noProof/>
        </w:rPr>
        <w:t>In the long run</w:t>
      </w:r>
      <w:r w:rsidR="00B0526B" w:rsidRPr="3982CBDC">
        <w:rPr>
          <w:rFonts w:eastAsia="Calibri" w:cs="Times New Roman"/>
          <w:b/>
          <w:bCs/>
          <w:noProof/>
        </w:rPr>
        <w:t xml:space="preserve"> </w:t>
      </w:r>
      <w:r w:rsidR="00657197" w:rsidRPr="3982CBDC">
        <w:rPr>
          <w:rFonts w:eastAsia="Calibri" w:cs="Times New Roman"/>
          <w:b/>
          <w:bCs/>
          <w:noProof/>
        </w:rPr>
        <w:t xml:space="preserve">(2050) </w:t>
      </w:r>
      <w:r w:rsidRPr="3982CBDC">
        <w:rPr>
          <w:rFonts w:eastAsia="Calibri" w:cs="Times New Roman"/>
          <w:b/>
          <w:bCs/>
          <w:noProof/>
        </w:rPr>
        <w:t xml:space="preserve">equipment users will </w:t>
      </w:r>
      <w:r w:rsidR="00B224E0" w:rsidRPr="3982CBDC">
        <w:rPr>
          <w:rFonts w:eastAsia="Calibri" w:cs="Times New Roman"/>
          <w:b/>
          <w:bCs/>
          <w:noProof/>
        </w:rPr>
        <w:t xml:space="preserve">overall </w:t>
      </w:r>
      <w:r w:rsidRPr="3982CBDC">
        <w:rPr>
          <w:rFonts w:eastAsia="Calibri" w:cs="Times New Roman"/>
          <w:b/>
          <w:bCs/>
          <w:noProof/>
        </w:rPr>
        <w:t xml:space="preserve">save costs </w:t>
      </w:r>
      <w:r w:rsidR="009E15B9" w:rsidRPr="3982CBDC">
        <w:rPr>
          <w:rFonts w:eastAsia="Calibri" w:cs="Times New Roman"/>
          <w:b/>
          <w:bCs/>
          <w:noProof/>
        </w:rPr>
        <w:t>compared to the baseline</w:t>
      </w:r>
      <w:r w:rsidRPr="3982CBDC">
        <w:rPr>
          <w:rFonts w:eastAsia="Calibri" w:cs="Times New Roman"/>
          <w:b/>
          <w:bCs/>
          <w:noProof/>
        </w:rPr>
        <w:t>, in par</w:t>
      </w:r>
      <w:r w:rsidR="00B0526B" w:rsidRPr="3982CBDC">
        <w:rPr>
          <w:rFonts w:eastAsia="Calibri" w:cs="Times New Roman"/>
          <w:b/>
          <w:bCs/>
          <w:noProof/>
        </w:rPr>
        <w:t>ticular for the more ambitious O</w:t>
      </w:r>
      <w:r w:rsidRPr="3982CBDC">
        <w:rPr>
          <w:rFonts w:eastAsia="Calibri" w:cs="Times New Roman"/>
          <w:b/>
          <w:bCs/>
          <w:noProof/>
        </w:rPr>
        <w:t>ptions 2 and 3.</w:t>
      </w:r>
      <w:r w:rsidRPr="3982CBDC">
        <w:rPr>
          <w:rFonts w:eastAsia="Calibri" w:cs="Times New Roman"/>
          <w:noProof/>
        </w:rPr>
        <w:t xml:space="preserve"> </w:t>
      </w:r>
      <w:r w:rsidR="00E82C88" w:rsidRPr="3982CBDC">
        <w:rPr>
          <w:rFonts w:eastAsia="Calibri" w:cs="Times New Roman"/>
          <w:noProof/>
        </w:rPr>
        <w:t>Option 2 and Option 3 differ</w:t>
      </w:r>
      <w:r w:rsidR="00421AE6" w:rsidRPr="3982CBDC">
        <w:rPr>
          <w:rFonts w:eastAsia="Calibri" w:cs="Times New Roman"/>
          <w:noProof/>
        </w:rPr>
        <w:t xml:space="preserve"> only </w:t>
      </w:r>
      <w:r w:rsidR="00E82C88" w:rsidRPr="3982CBDC">
        <w:rPr>
          <w:rFonts w:eastAsia="Calibri" w:cs="Times New Roman"/>
          <w:noProof/>
        </w:rPr>
        <w:t>slightly</w:t>
      </w:r>
      <w:r w:rsidR="00DB0692">
        <w:rPr>
          <w:rFonts w:eastAsia="Calibri" w:cs="Times New Roman"/>
          <w:noProof/>
        </w:rPr>
        <w:t>. In</w:t>
      </w:r>
      <w:r w:rsidR="009E511F">
        <w:rPr>
          <w:rFonts w:eastAsia="Calibri" w:cs="Times New Roman"/>
          <w:noProof/>
        </w:rPr>
        <w:t xml:space="preserve"> 2050</w:t>
      </w:r>
      <w:r w:rsidR="00DB0692">
        <w:rPr>
          <w:rFonts w:eastAsia="Calibri" w:cs="Times New Roman"/>
          <w:noProof/>
        </w:rPr>
        <w:t>, these options have</w:t>
      </w:r>
      <w:r w:rsidR="009E511F">
        <w:rPr>
          <w:rFonts w:eastAsia="Calibri" w:cs="Times New Roman"/>
          <w:noProof/>
        </w:rPr>
        <w:t xml:space="preserve"> savings of just over </w:t>
      </w:r>
      <w:r w:rsidR="00E82C88" w:rsidRPr="3982CBDC">
        <w:rPr>
          <w:rFonts w:eastAsia="Calibri" w:cs="Times New Roman"/>
          <w:noProof/>
        </w:rPr>
        <w:t>1 billion €</w:t>
      </w:r>
      <w:r w:rsidR="00B27E74">
        <w:rPr>
          <w:rFonts w:eastAsia="Calibri" w:cs="Times New Roman"/>
          <w:noProof/>
        </w:rPr>
        <w:t>/year</w:t>
      </w:r>
      <w:r w:rsidR="00421AE6" w:rsidRPr="3982CBDC">
        <w:rPr>
          <w:rFonts w:eastAsia="Calibri" w:cs="Times New Roman"/>
          <w:noProof/>
        </w:rPr>
        <w:t xml:space="preserve">, which </w:t>
      </w:r>
      <w:r w:rsidR="00E82C88" w:rsidRPr="3982CBDC">
        <w:rPr>
          <w:rFonts w:eastAsia="Calibri" w:cs="Times New Roman"/>
          <w:noProof/>
        </w:rPr>
        <w:t xml:space="preserve">is </w:t>
      </w:r>
      <w:r w:rsidR="00421AE6" w:rsidRPr="3982CBDC">
        <w:rPr>
          <w:rFonts w:eastAsia="Calibri" w:cs="Times New Roman"/>
          <w:noProof/>
        </w:rPr>
        <w:t xml:space="preserve">more than twice </w:t>
      </w:r>
      <w:r w:rsidR="00B224E0" w:rsidRPr="3982CBDC">
        <w:rPr>
          <w:rFonts w:eastAsia="Calibri" w:cs="Times New Roman"/>
          <w:noProof/>
        </w:rPr>
        <w:t xml:space="preserve">the amount resulting from </w:t>
      </w:r>
      <w:r w:rsidR="00421AE6" w:rsidRPr="3982CBDC">
        <w:rPr>
          <w:rFonts w:eastAsia="Calibri" w:cs="Times New Roman"/>
          <w:noProof/>
        </w:rPr>
        <w:t>Option 1.</w:t>
      </w:r>
      <w:r w:rsidR="00E82C88" w:rsidRPr="3982CBDC">
        <w:rPr>
          <w:rFonts w:eastAsia="Calibri" w:cs="Times New Roman"/>
          <w:noProof/>
        </w:rPr>
        <w:t xml:space="preserve"> </w:t>
      </w:r>
      <w:r w:rsidR="0076111F" w:rsidRPr="3982CBDC">
        <w:rPr>
          <w:rFonts w:eastAsia="Calibri" w:cs="Times New Roman"/>
          <w:noProof/>
        </w:rPr>
        <w:t>The largest savings are achieve</w:t>
      </w:r>
      <w:r w:rsidR="00A41B24">
        <w:rPr>
          <w:rFonts w:eastAsia="Calibri" w:cs="Times New Roman"/>
          <w:noProof/>
        </w:rPr>
        <w:t>d</w:t>
      </w:r>
      <w:r w:rsidR="0076111F" w:rsidRPr="3982CBDC">
        <w:rPr>
          <w:rFonts w:eastAsia="Calibri" w:cs="Times New Roman"/>
          <w:noProof/>
        </w:rPr>
        <w:t xml:space="preserve"> in AC applications including heat</w:t>
      </w:r>
      <w:r w:rsidR="00563D42">
        <w:rPr>
          <w:rFonts w:eastAsia="Calibri" w:cs="Times New Roman"/>
          <w:noProof/>
        </w:rPr>
        <w:t xml:space="preserve"> </w:t>
      </w:r>
      <w:r w:rsidR="0076111F" w:rsidRPr="3982CBDC">
        <w:rPr>
          <w:rFonts w:eastAsia="Calibri" w:cs="Times New Roman"/>
          <w:noProof/>
        </w:rPr>
        <w:t>pumps as well as commercial refrigeration.</w:t>
      </w:r>
      <w:r w:rsidR="00161972">
        <w:rPr>
          <w:rFonts w:eastAsia="Calibri" w:cs="Times New Roman"/>
          <w:noProof/>
        </w:rPr>
        <w:t xml:space="preserve"> The savings achieved result from replacement of older equipment with new alternative equipment</w:t>
      </w:r>
      <w:r w:rsidR="00DB0692">
        <w:rPr>
          <w:rFonts w:eastAsia="Calibri" w:cs="Times New Roman"/>
          <w:noProof/>
        </w:rPr>
        <w:t xml:space="preserve"> (lower maintenance costs)</w:t>
      </w:r>
      <w:r w:rsidR="00161972">
        <w:rPr>
          <w:rFonts w:eastAsia="Calibri" w:cs="Times New Roman"/>
          <w:noProof/>
        </w:rPr>
        <w:t xml:space="preserve"> and are therefore mostly related to the </w:t>
      </w:r>
      <w:r w:rsidR="009E77B5">
        <w:rPr>
          <w:rFonts w:eastAsia="Calibri" w:cs="Times New Roman"/>
          <w:noProof/>
        </w:rPr>
        <w:t xml:space="preserve">effects of the </w:t>
      </w:r>
      <w:r w:rsidR="00161972">
        <w:rPr>
          <w:rFonts w:eastAsia="Calibri" w:cs="Times New Roman"/>
          <w:noProof/>
        </w:rPr>
        <w:t>quota system and the accompanying prohibitions.</w:t>
      </w:r>
      <w:r w:rsidR="0076111F" w:rsidRPr="3982CBDC">
        <w:rPr>
          <w:rFonts w:eastAsia="Calibri" w:cs="Times New Roman"/>
          <w:noProof/>
        </w:rPr>
        <w:t xml:space="preserve"> </w:t>
      </w:r>
      <w:r w:rsidR="00E96574">
        <w:rPr>
          <w:rFonts w:eastAsia="Calibri" w:cs="Times New Roman"/>
          <w:noProof/>
        </w:rPr>
        <w:t>Data at</w:t>
      </w:r>
      <w:r w:rsidR="00783977" w:rsidRPr="3982CBDC">
        <w:rPr>
          <w:rFonts w:eastAsia="Calibri" w:cs="Times New Roman"/>
          <w:noProof/>
        </w:rPr>
        <w:t xml:space="preserve"> sub-sector level </w:t>
      </w:r>
      <w:r w:rsidR="00B936CC">
        <w:rPr>
          <w:rFonts w:eastAsia="Calibri" w:cs="Times New Roman"/>
          <w:noProof/>
        </w:rPr>
        <w:t xml:space="preserve">is given in </w:t>
      </w:r>
      <w:r w:rsidR="0013695D" w:rsidRPr="3982CBDC">
        <w:rPr>
          <w:rFonts w:eastAsia="Calibri" w:cs="Times New Roman"/>
          <w:noProof/>
        </w:rPr>
        <w:t>Annex</w:t>
      </w:r>
      <w:r w:rsidR="00E96574">
        <w:rPr>
          <w:noProof/>
        </w:rPr>
        <w:t xml:space="preserve"> </w:t>
      </w:r>
      <w:r w:rsidR="00C66A21">
        <w:rPr>
          <w:noProof/>
        </w:rPr>
        <w:t>A12.3</w:t>
      </w:r>
      <w:r w:rsidR="00C7052A" w:rsidRPr="3982CBDC">
        <w:rPr>
          <w:rFonts w:eastAsia="Calibri" w:cs="Times New Roman"/>
          <w:noProof/>
        </w:rPr>
        <w:t>.</w:t>
      </w:r>
      <w:r w:rsidR="00161972">
        <w:rPr>
          <w:rFonts w:eastAsia="Calibri" w:cs="Times New Roman"/>
          <w:noProof/>
        </w:rPr>
        <w:t xml:space="preserve"> </w:t>
      </w:r>
    </w:p>
    <w:p w14:paraId="467888D5" w14:textId="689C8C27" w:rsidR="003D2A14" w:rsidRPr="00B93746" w:rsidRDefault="00C7052A" w:rsidP="3982CBDC">
      <w:pPr>
        <w:pStyle w:val="Caption"/>
        <w:rPr>
          <w:rFonts w:asciiTheme="minorHAnsi" w:eastAsia="Calibri" w:hAnsiTheme="minorHAnsi" w:cstheme="minorHAnsi"/>
          <w:noProof/>
        </w:rPr>
      </w:pPr>
      <w:bookmarkStart w:id="213" w:name="_Ref85706590"/>
      <w:r w:rsidRPr="00B93746">
        <w:rPr>
          <w:rFonts w:asciiTheme="minorHAnsi" w:hAnsiTheme="minorHAnsi" w:cstheme="minorHAnsi"/>
          <w:b/>
          <w:noProof/>
        </w:rPr>
        <w:t xml:space="preserve">Table </w:t>
      </w:r>
      <w:r w:rsidR="00EB62B1" w:rsidRPr="00B93746">
        <w:rPr>
          <w:rFonts w:asciiTheme="minorHAnsi" w:hAnsiTheme="minorHAnsi" w:cstheme="minorHAnsi"/>
          <w:b/>
          <w:noProof/>
        </w:rPr>
        <w:fldChar w:fldCharType="begin"/>
      </w:r>
      <w:r w:rsidR="00EB62B1" w:rsidRPr="00B93746">
        <w:rPr>
          <w:rFonts w:asciiTheme="minorHAnsi" w:hAnsiTheme="minorHAnsi" w:cstheme="minorHAnsi"/>
          <w:b/>
          <w:noProof/>
        </w:rPr>
        <w:instrText xml:space="preserve"> SEQ Table \* ARABIC </w:instrText>
      </w:r>
      <w:r w:rsidR="00EB62B1" w:rsidRPr="00B93746">
        <w:rPr>
          <w:rFonts w:asciiTheme="minorHAnsi" w:hAnsiTheme="minorHAnsi" w:cstheme="minorHAnsi"/>
          <w:b/>
          <w:noProof/>
        </w:rPr>
        <w:fldChar w:fldCharType="separate"/>
      </w:r>
      <w:r w:rsidR="00830261">
        <w:rPr>
          <w:rFonts w:asciiTheme="minorHAnsi" w:hAnsiTheme="minorHAnsi" w:cstheme="minorHAnsi"/>
          <w:b/>
          <w:noProof/>
        </w:rPr>
        <w:t>4</w:t>
      </w:r>
      <w:r w:rsidR="00EB62B1" w:rsidRPr="00B93746">
        <w:rPr>
          <w:rFonts w:asciiTheme="minorHAnsi" w:hAnsiTheme="minorHAnsi" w:cstheme="minorHAnsi"/>
          <w:b/>
          <w:noProof/>
        </w:rPr>
        <w:fldChar w:fldCharType="end"/>
      </w:r>
      <w:bookmarkEnd w:id="213"/>
      <w:r w:rsidRPr="00B93746">
        <w:rPr>
          <w:rFonts w:asciiTheme="minorHAnsi" w:hAnsiTheme="minorHAnsi" w:cstheme="minorHAnsi"/>
          <w:b/>
          <w:noProof/>
        </w:rPr>
        <w:t>.</w:t>
      </w:r>
      <w:r w:rsidRPr="00B93746">
        <w:rPr>
          <w:rFonts w:asciiTheme="minorHAnsi" w:hAnsiTheme="minorHAnsi" w:cstheme="minorHAnsi"/>
          <w:noProof/>
        </w:rPr>
        <w:t xml:space="preserve"> </w:t>
      </w:r>
      <w:r w:rsidR="00785494" w:rsidRPr="00B93746">
        <w:rPr>
          <w:rFonts w:asciiTheme="minorHAnsi" w:hAnsiTheme="minorHAnsi" w:cstheme="minorHAnsi"/>
          <w:noProof/>
        </w:rPr>
        <w:t>A</w:t>
      </w:r>
      <w:r w:rsidR="009E77B5">
        <w:rPr>
          <w:rFonts w:asciiTheme="minorHAnsi" w:hAnsiTheme="minorHAnsi" w:cstheme="minorHAnsi"/>
          <w:noProof/>
        </w:rPr>
        <w:t>nnual adjustment</w:t>
      </w:r>
      <w:r w:rsidR="009A63C9" w:rsidRPr="00B93746">
        <w:rPr>
          <w:rFonts w:asciiTheme="minorHAnsi" w:hAnsiTheme="minorHAnsi" w:cstheme="minorHAnsi"/>
          <w:noProof/>
        </w:rPr>
        <w:t xml:space="preserve"> </w:t>
      </w:r>
      <w:r w:rsidR="00785494" w:rsidRPr="00B93746">
        <w:rPr>
          <w:rFonts w:asciiTheme="minorHAnsi" w:eastAsia="Calibri" w:hAnsiTheme="minorHAnsi" w:cstheme="minorHAnsi"/>
          <w:noProof/>
        </w:rPr>
        <w:t>c</w:t>
      </w:r>
      <w:r w:rsidR="009E77B5">
        <w:rPr>
          <w:rFonts w:asciiTheme="minorHAnsi" w:eastAsia="Calibri" w:hAnsiTheme="minorHAnsi" w:cstheme="minorHAnsi"/>
          <w:noProof/>
        </w:rPr>
        <w:t>osts due to</w:t>
      </w:r>
      <w:r w:rsidR="003D2A14" w:rsidRPr="00B93746">
        <w:rPr>
          <w:rFonts w:asciiTheme="minorHAnsi" w:eastAsia="Calibri" w:hAnsiTheme="minorHAnsi" w:cstheme="minorHAnsi"/>
          <w:noProof/>
        </w:rPr>
        <w:t xml:space="preserve"> technological change for the three policy options </w:t>
      </w:r>
      <w:r w:rsidR="002516AC">
        <w:rPr>
          <w:rFonts w:asciiTheme="minorHAnsi" w:eastAsia="Calibri" w:hAnsiTheme="minorHAnsi" w:cstheme="minorHAnsi"/>
          <w:noProof/>
        </w:rPr>
        <w:t>vs.</w:t>
      </w:r>
      <w:r w:rsidR="00785494" w:rsidRPr="00B93746">
        <w:rPr>
          <w:rFonts w:asciiTheme="minorHAnsi" w:eastAsia="Calibri" w:hAnsiTheme="minorHAnsi" w:cstheme="minorHAnsi"/>
          <w:noProof/>
        </w:rPr>
        <w:t xml:space="preserve"> baseline </w:t>
      </w:r>
      <w:r w:rsidR="009A63C9" w:rsidRPr="00B93746">
        <w:rPr>
          <w:rFonts w:asciiTheme="minorHAnsi" w:eastAsia="Calibri" w:hAnsiTheme="minorHAnsi" w:cstheme="minorHAnsi"/>
          <w:noProof/>
        </w:rPr>
        <w:t>between 2024-2036</w:t>
      </w:r>
      <w:r w:rsidR="005A777B">
        <w:rPr>
          <w:rFonts w:asciiTheme="minorHAnsi" w:eastAsia="Calibri" w:hAnsiTheme="minorHAnsi" w:cstheme="minorHAnsi"/>
          <w:noProof/>
        </w:rPr>
        <w:t>,</w:t>
      </w:r>
      <w:r w:rsidR="009A63C9" w:rsidRPr="00B93746">
        <w:rPr>
          <w:rFonts w:asciiTheme="minorHAnsi" w:eastAsia="Calibri" w:hAnsiTheme="minorHAnsi" w:cstheme="minorHAnsi"/>
          <w:noProof/>
        </w:rPr>
        <w:t xml:space="preserve"> and in 2050 </w:t>
      </w:r>
      <w:r w:rsidR="00B93746" w:rsidRPr="00B93746">
        <w:rPr>
          <w:rFonts w:asciiTheme="minorHAnsi" w:eastAsia="Calibri" w:hAnsiTheme="minorHAnsi" w:cstheme="minorHAnsi"/>
          <w:noProof/>
        </w:rPr>
        <w:t>[Mio €/year</w:t>
      </w:r>
      <w:r w:rsidR="003D2A14" w:rsidRPr="00B93746">
        <w:rPr>
          <w:rFonts w:asciiTheme="minorHAnsi" w:eastAsia="Calibri" w:hAnsiTheme="minorHAnsi" w:cstheme="minorHAnsi"/>
          <w:noProof/>
        </w:rPr>
        <w:t>]</w:t>
      </w:r>
    </w:p>
    <w:tbl>
      <w:tblPr>
        <w:tblW w:w="4987" w:type="pct"/>
        <w:tblLayout w:type="fixed"/>
        <w:tblCellMar>
          <w:left w:w="70" w:type="dxa"/>
          <w:right w:w="70" w:type="dxa"/>
        </w:tblCellMar>
        <w:tblLook w:val="04A0" w:firstRow="1" w:lastRow="0" w:firstColumn="1" w:lastColumn="0" w:noHBand="0" w:noVBand="1"/>
      </w:tblPr>
      <w:tblGrid>
        <w:gridCol w:w="1487"/>
        <w:gridCol w:w="1699"/>
        <w:gridCol w:w="1984"/>
        <w:gridCol w:w="1986"/>
        <w:gridCol w:w="1986"/>
      </w:tblGrid>
      <w:tr w:rsidR="003D2A14" w:rsidRPr="007357D7" w14:paraId="567065C6" w14:textId="77777777" w:rsidTr="00D83703">
        <w:trPr>
          <w:trHeight w:val="1003"/>
        </w:trPr>
        <w:tc>
          <w:tcPr>
            <w:tcW w:w="814" w:type="pct"/>
            <w:tcBorders>
              <w:top w:val="single" w:sz="8" w:space="0" w:color="auto"/>
              <w:left w:val="single" w:sz="8" w:space="0" w:color="auto"/>
              <w:bottom w:val="single" w:sz="4" w:space="0" w:color="auto"/>
              <w:right w:val="single" w:sz="4" w:space="0" w:color="auto"/>
            </w:tcBorders>
            <w:shd w:val="clear" w:color="auto" w:fill="BFBFBF" w:themeFill="background1" w:themeFillShade="BF"/>
            <w:vAlign w:val="center"/>
            <w:hideMark/>
          </w:tcPr>
          <w:p w14:paraId="192632B1" w14:textId="77777777" w:rsidR="003D2A14" w:rsidRPr="007357D7" w:rsidRDefault="3982CBDC" w:rsidP="3982CBDC">
            <w:pPr>
              <w:spacing w:after="0" w:line="240" w:lineRule="auto"/>
              <w:jc w:val="center"/>
              <w:rPr>
                <w:rFonts w:ascii="Arial" w:eastAsia="Times New Roman" w:hAnsi="Arial" w:cs="Arial"/>
                <w:b/>
                <w:bCs/>
                <w:noProof/>
                <w:sz w:val="16"/>
                <w:szCs w:val="16"/>
                <w:lang w:eastAsia="de-DE"/>
              </w:rPr>
            </w:pPr>
            <w:r w:rsidRPr="3982CBDC">
              <w:rPr>
                <w:rFonts w:ascii="Arial" w:eastAsia="Times New Roman" w:hAnsi="Arial" w:cs="Arial"/>
                <w:b/>
                <w:bCs/>
                <w:noProof/>
                <w:sz w:val="16"/>
                <w:szCs w:val="16"/>
                <w:lang w:eastAsia="de-DE"/>
              </w:rPr>
              <w:t>Sector</w:t>
            </w:r>
          </w:p>
        </w:tc>
        <w:tc>
          <w:tcPr>
            <w:tcW w:w="929" w:type="pct"/>
            <w:tcBorders>
              <w:top w:val="single" w:sz="8" w:space="0" w:color="auto"/>
              <w:left w:val="single" w:sz="4" w:space="0" w:color="auto"/>
              <w:bottom w:val="single" w:sz="4" w:space="0" w:color="auto"/>
              <w:right w:val="single" w:sz="8" w:space="0" w:color="auto"/>
            </w:tcBorders>
            <w:shd w:val="clear" w:color="auto" w:fill="BFBFBF" w:themeFill="background1" w:themeFillShade="BF"/>
            <w:vAlign w:val="center"/>
            <w:hideMark/>
          </w:tcPr>
          <w:p w14:paraId="69736593" w14:textId="77777777" w:rsidR="003D2A14" w:rsidRPr="007357D7" w:rsidRDefault="3982CBDC" w:rsidP="3982CBDC">
            <w:pPr>
              <w:spacing w:after="0" w:line="240" w:lineRule="auto"/>
              <w:jc w:val="center"/>
              <w:rPr>
                <w:rFonts w:ascii="Arial" w:eastAsia="Times New Roman" w:hAnsi="Arial" w:cs="Arial"/>
                <w:b/>
                <w:bCs/>
                <w:noProof/>
                <w:sz w:val="16"/>
                <w:szCs w:val="16"/>
                <w:lang w:eastAsia="de-DE"/>
              </w:rPr>
            </w:pPr>
            <w:r w:rsidRPr="3982CBDC">
              <w:rPr>
                <w:rFonts w:ascii="Arial" w:eastAsia="Times New Roman" w:hAnsi="Arial" w:cs="Arial"/>
                <w:b/>
                <w:bCs/>
                <w:noProof/>
                <w:sz w:val="16"/>
                <w:szCs w:val="16"/>
                <w:lang w:eastAsia="de-DE"/>
              </w:rPr>
              <w:t>time horizon</w:t>
            </w:r>
          </w:p>
        </w:tc>
        <w:tc>
          <w:tcPr>
            <w:tcW w:w="1085" w:type="pct"/>
            <w:tcBorders>
              <w:top w:val="single" w:sz="8" w:space="0" w:color="auto"/>
              <w:left w:val="nil"/>
              <w:right w:val="single" w:sz="8" w:space="0" w:color="000000" w:themeColor="text1"/>
            </w:tcBorders>
            <w:shd w:val="clear" w:color="auto" w:fill="BFBFBF" w:themeFill="background1" w:themeFillShade="BF"/>
            <w:vAlign w:val="center"/>
            <w:hideMark/>
          </w:tcPr>
          <w:p w14:paraId="0B0C97DD" w14:textId="77777777" w:rsidR="003D2A14" w:rsidRDefault="3982CBDC" w:rsidP="3982CBDC">
            <w:pPr>
              <w:spacing w:after="0" w:line="240" w:lineRule="auto"/>
              <w:jc w:val="center"/>
              <w:rPr>
                <w:rFonts w:ascii="Arial" w:eastAsia="Times New Roman" w:hAnsi="Arial" w:cs="Arial"/>
                <w:b/>
                <w:bCs/>
                <w:noProof/>
                <w:sz w:val="16"/>
                <w:szCs w:val="16"/>
                <w:lang w:eastAsia="de-DE"/>
              </w:rPr>
            </w:pPr>
            <w:r w:rsidRPr="3982CBDC">
              <w:rPr>
                <w:rFonts w:ascii="Arial" w:eastAsia="Times New Roman" w:hAnsi="Arial" w:cs="Arial"/>
                <w:b/>
                <w:bCs/>
                <w:noProof/>
                <w:sz w:val="16"/>
                <w:szCs w:val="16"/>
                <w:lang w:eastAsia="de-DE"/>
              </w:rPr>
              <w:t>Option 1</w:t>
            </w:r>
          </w:p>
          <w:p w14:paraId="7D2ABC7E" w14:textId="77777777" w:rsidR="003D2A14" w:rsidRPr="007357D7" w:rsidRDefault="003D2A14" w:rsidP="003D2A14">
            <w:pPr>
              <w:spacing w:after="0" w:line="240" w:lineRule="auto"/>
              <w:rPr>
                <w:rFonts w:ascii="Arial" w:eastAsia="Times New Roman" w:hAnsi="Arial" w:cs="Arial"/>
                <w:b/>
                <w:bCs/>
                <w:noProof/>
                <w:sz w:val="16"/>
                <w:szCs w:val="16"/>
                <w:lang w:eastAsia="de-DE"/>
              </w:rPr>
            </w:pPr>
          </w:p>
        </w:tc>
        <w:tc>
          <w:tcPr>
            <w:tcW w:w="1086" w:type="pct"/>
            <w:tcBorders>
              <w:top w:val="single" w:sz="8" w:space="0" w:color="auto"/>
              <w:left w:val="nil"/>
              <w:right w:val="single" w:sz="8" w:space="0" w:color="000000" w:themeColor="text1"/>
            </w:tcBorders>
            <w:shd w:val="clear" w:color="auto" w:fill="BFBFBF" w:themeFill="background1" w:themeFillShade="BF"/>
            <w:vAlign w:val="center"/>
            <w:hideMark/>
          </w:tcPr>
          <w:p w14:paraId="6B8E2B5A" w14:textId="77777777" w:rsidR="003D2A14" w:rsidRPr="007357D7" w:rsidRDefault="3982CBDC" w:rsidP="3982CBDC">
            <w:pPr>
              <w:spacing w:after="0" w:line="240" w:lineRule="auto"/>
              <w:jc w:val="center"/>
              <w:rPr>
                <w:rFonts w:ascii="Arial" w:eastAsia="Times New Roman" w:hAnsi="Arial" w:cs="Arial"/>
                <w:b/>
                <w:bCs/>
                <w:noProof/>
                <w:sz w:val="16"/>
                <w:szCs w:val="16"/>
                <w:lang w:eastAsia="de-DE"/>
              </w:rPr>
            </w:pPr>
            <w:r w:rsidRPr="3982CBDC">
              <w:rPr>
                <w:rFonts w:ascii="Arial" w:eastAsia="Times New Roman" w:hAnsi="Arial" w:cs="Arial"/>
                <w:b/>
                <w:bCs/>
                <w:noProof/>
                <w:sz w:val="16"/>
                <w:szCs w:val="16"/>
                <w:lang w:eastAsia="de-DE"/>
              </w:rPr>
              <w:t>Option 2</w:t>
            </w:r>
          </w:p>
          <w:p w14:paraId="48220605" w14:textId="77777777" w:rsidR="003D2A14" w:rsidRPr="003D2A14" w:rsidRDefault="003D2A14" w:rsidP="003D2A14">
            <w:pPr>
              <w:spacing w:after="0" w:line="240" w:lineRule="auto"/>
              <w:jc w:val="center"/>
              <w:rPr>
                <w:rFonts w:ascii="Arial" w:eastAsia="Times New Roman" w:hAnsi="Arial" w:cs="Arial"/>
                <w:b/>
                <w:bCs/>
                <w:noProof/>
                <w:sz w:val="16"/>
                <w:szCs w:val="16"/>
                <w:u w:val="single"/>
                <w:lang w:eastAsia="de-DE"/>
              </w:rPr>
            </w:pPr>
          </w:p>
        </w:tc>
        <w:tc>
          <w:tcPr>
            <w:tcW w:w="1086" w:type="pct"/>
            <w:tcBorders>
              <w:top w:val="single" w:sz="8" w:space="0" w:color="auto"/>
              <w:left w:val="nil"/>
              <w:right w:val="single" w:sz="8" w:space="0" w:color="000000" w:themeColor="text1"/>
            </w:tcBorders>
            <w:shd w:val="clear" w:color="auto" w:fill="BFBFBF" w:themeFill="background1" w:themeFillShade="BF"/>
            <w:vAlign w:val="center"/>
            <w:hideMark/>
          </w:tcPr>
          <w:p w14:paraId="5C4DBE10" w14:textId="77777777" w:rsidR="003D2A14" w:rsidRPr="007357D7" w:rsidRDefault="3982CBDC" w:rsidP="3982CBDC">
            <w:pPr>
              <w:spacing w:after="0" w:line="240" w:lineRule="auto"/>
              <w:jc w:val="center"/>
              <w:rPr>
                <w:rFonts w:ascii="Arial" w:eastAsia="Times New Roman" w:hAnsi="Arial" w:cs="Arial"/>
                <w:b/>
                <w:bCs/>
                <w:noProof/>
                <w:sz w:val="16"/>
                <w:szCs w:val="16"/>
                <w:lang w:eastAsia="de-DE"/>
              </w:rPr>
            </w:pPr>
            <w:r w:rsidRPr="3982CBDC">
              <w:rPr>
                <w:rFonts w:ascii="Arial" w:eastAsia="Times New Roman" w:hAnsi="Arial" w:cs="Arial"/>
                <w:b/>
                <w:bCs/>
                <w:noProof/>
                <w:sz w:val="16"/>
                <w:szCs w:val="16"/>
                <w:lang w:eastAsia="de-DE"/>
              </w:rPr>
              <w:t>Option 3</w:t>
            </w:r>
          </w:p>
          <w:p w14:paraId="2D815A42" w14:textId="77777777" w:rsidR="003D2A14" w:rsidRPr="007357D7" w:rsidRDefault="003D2A14" w:rsidP="003D2A14">
            <w:pPr>
              <w:spacing w:after="0" w:line="240" w:lineRule="auto"/>
              <w:rPr>
                <w:rFonts w:ascii="Arial" w:eastAsia="Times New Roman" w:hAnsi="Arial" w:cs="Arial"/>
                <w:b/>
                <w:bCs/>
                <w:noProof/>
                <w:sz w:val="16"/>
                <w:szCs w:val="16"/>
                <w:lang w:eastAsia="de-DE"/>
              </w:rPr>
            </w:pPr>
          </w:p>
        </w:tc>
      </w:tr>
      <w:tr w:rsidR="003D2A14" w:rsidRPr="007357D7" w14:paraId="0AED02E5" w14:textId="77777777" w:rsidTr="00D83703">
        <w:trPr>
          <w:trHeight w:val="290"/>
        </w:trPr>
        <w:tc>
          <w:tcPr>
            <w:tcW w:w="814" w:type="pct"/>
            <w:tcBorders>
              <w:top w:val="nil"/>
              <w:left w:val="single" w:sz="8" w:space="0" w:color="auto"/>
              <w:bottom w:val="single" w:sz="4" w:space="0" w:color="auto"/>
              <w:right w:val="single" w:sz="4" w:space="0" w:color="auto"/>
            </w:tcBorders>
            <w:shd w:val="clear" w:color="auto" w:fill="auto"/>
            <w:noWrap/>
            <w:vAlign w:val="center"/>
          </w:tcPr>
          <w:p w14:paraId="30FD47EE" w14:textId="77777777" w:rsidR="003D2A14" w:rsidRPr="003D2A14" w:rsidRDefault="3982CBDC" w:rsidP="3982CBDC">
            <w:pPr>
              <w:spacing w:after="0" w:line="240" w:lineRule="auto"/>
              <w:jc w:val="left"/>
              <w:rPr>
                <w:rFonts w:ascii="Arial" w:eastAsia="Times New Roman" w:hAnsi="Arial" w:cs="Arial"/>
                <w:b/>
                <w:bCs/>
                <w:noProof/>
                <w:color w:val="000000" w:themeColor="text1"/>
                <w:sz w:val="16"/>
                <w:szCs w:val="16"/>
                <w:lang w:eastAsia="de-DE"/>
              </w:rPr>
            </w:pPr>
            <w:r w:rsidRPr="3982CBDC">
              <w:rPr>
                <w:rFonts w:ascii="Arial" w:hAnsi="Arial" w:cs="Arial"/>
                <w:noProof/>
                <w:sz w:val="16"/>
                <w:szCs w:val="16"/>
              </w:rPr>
              <w:t>Refrigeration</w:t>
            </w:r>
          </w:p>
        </w:tc>
        <w:tc>
          <w:tcPr>
            <w:tcW w:w="929" w:type="pct"/>
            <w:tcBorders>
              <w:top w:val="nil"/>
              <w:left w:val="nil"/>
              <w:bottom w:val="single" w:sz="4" w:space="0" w:color="auto"/>
              <w:right w:val="single" w:sz="8" w:space="0" w:color="auto"/>
            </w:tcBorders>
            <w:shd w:val="clear" w:color="auto" w:fill="auto"/>
            <w:noWrap/>
            <w:vAlign w:val="center"/>
          </w:tcPr>
          <w:p w14:paraId="7FBD379E" w14:textId="77777777" w:rsidR="003D2A14" w:rsidRPr="003D2A14" w:rsidRDefault="3982CBDC" w:rsidP="3982CBDC">
            <w:pPr>
              <w:spacing w:after="0" w:line="240" w:lineRule="auto"/>
              <w:jc w:val="center"/>
              <w:rPr>
                <w:rFonts w:ascii="Arial" w:eastAsia="Times New Roman" w:hAnsi="Arial" w:cs="Arial"/>
                <w:b/>
                <w:bCs/>
                <w:noProof/>
                <w:color w:val="000000" w:themeColor="text1"/>
                <w:sz w:val="16"/>
                <w:szCs w:val="16"/>
                <w:lang w:eastAsia="de-DE"/>
              </w:rPr>
            </w:pPr>
            <w:r w:rsidRPr="3982CBDC">
              <w:rPr>
                <w:rFonts w:ascii="Arial" w:hAnsi="Arial" w:cs="Arial"/>
                <w:noProof/>
                <w:sz w:val="16"/>
                <w:szCs w:val="16"/>
              </w:rPr>
              <w:t>2024- 2036 average</w:t>
            </w:r>
          </w:p>
        </w:tc>
        <w:tc>
          <w:tcPr>
            <w:tcW w:w="1085" w:type="pct"/>
            <w:tcBorders>
              <w:top w:val="nil"/>
              <w:left w:val="nil"/>
              <w:bottom w:val="single" w:sz="4" w:space="0" w:color="auto"/>
              <w:right w:val="single" w:sz="8" w:space="0" w:color="auto"/>
            </w:tcBorders>
            <w:shd w:val="clear" w:color="auto" w:fill="auto"/>
            <w:noWrap/>
            <w:vAlign w:val="center"/>
          </w:tcPr>
          <w:p w14:paraId="190BB784" w14:textId="77777777" w:rsidR="003D2A14" w:rsidRPr="003D2A14" w:rsidRDefault="3982CBDC" w:rsidP="3982CBDC">
            <w:pPr>
              <w:spacing w:after="0" w:line="240" w:lineRule="auto"/>
              <w:jc w:val="right"/>
              <w:rPr>
                <w:rFonts w:ascii="Arial" w:eastAsia="Calibri" w:hAnsi="Arial" w:cs="Arial"/>
                <w:b/>
                <w:bCs/>
                <w:noProof/>
                <w:sz w:val="16"/>
                <w:szCs w:val="16"/>
              </w:rPr>
            </w:pPr>
            <w:r w:rsidRPr="3982CBDC">
              <w:rPr>
                <w:rFonts w:ascii="Arial" w:hAnsi="Arial" w:cs="Arial"/>
                <w:noProof/>
                <w:sz w:val="16"/>
                <w:szCs w:val="16"/>
              </w:rPr>
              <w:t>-24.2</w:t>
            </w:r>
          </w:p>
        </w:tc>
        <w:tc>
          <w:tcPr>
            <w:tcW w:w="1086" w:type="pct"/>
            <w:tcBorders>
              <w:top w:val="nil"/>
              <w:left w:val="nil"/>
              <w:bottom w:val="single" w:sz="4" w:space="0" w:color="auto"/>
              <w:right w:val="single" w:sz="8" w:space="0" w:color="auto"/>
            </w:tcBorders>
            <w:shd w:val="clear" w:color="auto" w:fill="auto"/>
            <w:noWrap/>
            <w:vAlign w:val="center"/>
          </w:tcPr>
          <w:p w14:paraId="718BF407" w14:textId="77777777" w:rsidR="003D2A14" w:rsidRPr="003D2A14" w:rsidRDefault="3982CBDC" w:rsidP="3982CBDC">
            <w:pPr>
              <w:spacing w:after="0" w:line="240" w:lineRule="auto"/>
              <w:jc w:val="right"/>
              <w:rPr>
                <w:rFonts w:ascii="Arial" w:eastAsia="Calibri" w:hAnsi="Arial" w:cs="Arial"/>
                <w:b/>
                <w:bCs/>
                <w:noProof/>
                <w:sz w:val="16"/>
                <w:szCs w:val="16"/>
              </w:rPr>
            </w:pPr>
            <w:r w:rsidRPr="3982CBDC">
              <w:rPr>
                <w:rFonts w:ascii="Arial" w:hAnsi="Arial" w:cs="Arial"/>
                <w:noProof/>
                <w:sz w:val="16"/>
                <w:szCs w:val="16"/>
              </w:rPr>
              <w:t>-67.5</w:t>
            </w:r>
          </w:p>
        </w:tc>
        <w:tc>
          <w:tcPr>
            <w:tcW w:w="1086" w:type="pct"/>
            <w:tcBorders>
              <w:top w:val="nil"/>
              <w:left w:val="nil"/>
              <w:bottom w:val="single" w:sz="4" w:space="0" w:color="auto"/>
              <w:right w:val="single" w:sz="8" w:space="0" w:color="auto"/>
            </w:tcBorders>
            <w:shd w:val="clear" w:color="auto" w:fill="auto"/>
            <w:noWrap/>
            <w:vAlign w:val="center"/>
          </w:tcPr>
          <w:p w14:paraId="211DAFC6" w14:textId="77777777" w:rsidR="003D2A14" w:rsidRPr="003D2A14" w:rsidRDefault="3982CBDC" w:rsidP="3982CBDC">
            <w:pPr>
              <w:spacing w:after="0" w:line="240" w:lineRule="auto"/>
              <w:jc w:val="right"/>
              <w:rPr>
                <w:rFonts w:ascii="Arial" w:eastAsia="Calibri" w:hAnsi="Arial" w:cs="Arial"/>
                <w:b/>
                <w:bCs/>
                <w:noProof/>
                <w:sz w:val="16"/>
                <w:szCs w:val="16"/>
              </w:rPr>
            </w:pPr>
            <w:r w:rsidRPr="3982CBDC">
              <w:rPr>
                <w:rFonts w:ascii="Arial" w:hAnsi="Arial" w:cs="Arial"/>
                <w:noProof/>
                <w:sz w:val="16"/>
                <w:szCs w:val="16"/>
              </w:rPr>
              <w:t>-124.8</w:t>
            </w:r>
          </w:p>
        </w:tc>
      </w:tr>
      <w:tr w:rsidR="003D2A14" w:rsidRPr="007357D7" w14:paraId="5981927E" w14:textId="77777777" w:rsidTr="00D83703">
        <w:trPr>
          <w:trHeight w:val="290"/>
        </w:trPr>
        <w:tc>
          <w:tcPr>
            <w:tcW w:w="814" w:type="pct"/>
            <w:tcBorders>
              <w:top w:val="nil"/>
              <w:left w:val="single" w:sz="8" w:space="0" w:color="auto"/>
              <w:bottom w:val="single" w:sz="4" w:space="0" w:color="auto"/>
              <w:right w:val="single" w:sz="4" w:space="0" w:color="auto"/>
            </w:tcBorders>
            <w:shd w:val="clear" w:color="auto" w:fill="auto"/>
            <w:noWrap/>
            <w:vAlign w:val="center"/>
          </w:tcPr>
          <w:p w14:paraId="4194B500" w14:textId="77777777" w:rsidR="003D2A14" w:rsidRPr="003D2A14" w:rsidRDefault="3982CBDC" w:rsidP="3982CBDC">
            <w:pPr>
              <w:spacing w:after="0" w:line="240" w:lineRule="auto"/>
              <w:jc w:val="left"/>
              <w:rPr>
                <w:rFonts w:ascii="Arial" w:eastAsia="Times New Roman" w:hAnsi="Arial" w:cs="Arial"/>
                <w:b/>
                <w:bCs/>
                <w:noProof/>
                <w:color w:val="000000" w:themeColor="text1"/>
                <w:sz w:val="16"/>
                <w:szCs w:val="16"/>
                <w:lang w:eastAsia="de-DE"/>
              </w:rPr>
            </w:pPr>
            <w:r w:rsidRPr="3982CBDC">
              <w:rPr>
                <w:rFonts w:ascii="Arial" w:hAnsi="Arial" w:cs="Arial"/>
                <w:noProof/>
                <w:sz w:val="16"/>
                <w:szCs w:val="16"/>
              </w:rPr>
              <w:t>Stationary AC</w:t>
            </w:r>
          </w:p>
        </w:tc>
        <w:tc>
          <w:tcPr>
            <w:tcW w:w="929" w:type="pct"/>
            <w:tcBorders>
              <w:top w:val="nil"/>
              <w:left w:val="nil"/>
              <w:bottom w:val="single" w:sz="4" w:space="0" w:color="auto"/>
              <w:right w:val="single" w:sz="8" w:space="0" w:color="auto"/>
            </w:tcBorders>
            <w:shd w:val="clear" w:color="auto" w:fill="auto"/>
            <w:noWrap/>
            <w:vAlign w:val="center"/>
          </w:tcPr>
          <w:p w14:paraId="00F0A87B" w14:textId="77777777" w:rsidR="003D2A14" w:rsidRPr="003D2A14" w:rsidRDefault="3982CBDC" w:rsidP="3982CBDC">
            <w:pPr>
              <w:spacing w:after="0" w:line="240" w:lineRule="auto"/>
              <w:jc w:val="center"/>
              <w:rPr>
                <w:rFonts w:ascii="Arial" w:eastAsia="Times New Roman" w:hAnsi="Arial" w:cs="Arial"/>
                <w:b/>
                <w:bCs/>
                <w:noProof/>
                <w:color w:val="000000" w:themeColor="text1"/>
                <w:sz w:val="16"/>
                <w:szCs w:val="16"/>
                <w:lang w:eastAsia="de-DE"/>
              </w:rPr>
            </w:pPr>
            <w:r w:rsidRPr="3982CBDC">
              <w:rPr>
                <w:rFonts w:ascii="Arial" w:hAnsi="Arial" w:cs="Arial"/>
                <w:noProof/>
                <w:sz w:val="16"/>
                <w:szCs w:val="16"/>
              </w:rPr>
              <w:t>2024- 2036 average</w:t>
            </w:r>
          </w:p>
        </w:tc>
        <w:tc>
          <w:tcPr>
            <w:tcW w:w="1085" w:type="pct"/>
            <w:tcBorders>
              <w:top w:val="nil"/>
              <w:left w:val="nil"/>
              <w:bottom w:val="single" w:sz="4" w:space="0" w:color="auto"/>
              <w:right w:val="single" w:sz="8" w:space="0" w:color="auto"/>
            </w:tcBorders>
            <w:shd w:val="clear" w:color="auto" w:fill="auto"/>
            <w:noWrap/>
            <w:vAlign w:val="center"/>
          </w:tcPr>
          <w:p w14:paraId="2B7C243E" w14:textId="77777777" w:rsidR="003D2A14" w:rsidRPr="003D2A14" w:rsidRDefault="3982CBDC" w:rsidP="3982CBDC">
            <w:pPr>
              <w:spacing w:after="0" w:line="240" w:lineRule="auto"/>
              <w:jc w:val="right"/>
              <w:rPr>
                <w:rFonts w:ascii="Arial" w:eastAsia="Calibri" w:hAnsi="Arial" w:cs="Arial"/>
                <w:b/>
                <w:bCs/>
                <w:noProof/>
                <w:sz w:val="16"/>
                <w:szCs w:val="16"/>
              </w:rPr>
            </w:pPr>
            <w:r w:rsidRPr="3982CBDC">
              <w:rPr>
                <w:rFonts w:ascii="Arial" w:hAnsi="Arial" w:cs="Arial"/>
                <w:noProof/>
                <w:sz w:val="16"/>
                <w:szCs w:val="16"/>
              </w:rPr>
              <w:t>26.1</w:t>
            </w:r>
          </w:p>
        </w:tc>
        <w:tc>
          <w:tcPr>
            <w:tcW w:w="1086" w:type="pct"/>
            <w:tcBorders>
              <w:top w:val="nil"/>
              <w:left w:val="nil"/>
              <w:bottom w:val="single" w:sz="4" w:space="0" w:color="auto"/>
              <w:right w:val="single" w:sz="8" w:space="0" w:color="auto"/>
            </w:tcBorders>
            <w:shd w:val="clear" w:color="auto" w:fill="auto"/>
            <w:noWrap/>
            <w:vAlign w:val="center"/>
          </w:tcPr>
          <w:p w14:paraId="548722C9" w14:textId="77777777" w:rsidR="003D2A14" w:rsidRPr="003D2A14" w:rsidRDefault="3982CBDC" w:rsidP="3982CBDC">
            <w:pPr>
              <w:spacing w:after="0" w:line="240" w:lineRule="auto"/>
              <w:jc w:val="right"/>
              <w:rPr>
                <w:rFonts w:ascii="Arial" w:eastAsia="Calibri" w:hAnsi="Arial" w:cs="Arial"/>
                <w:b/>
                <w:bCs/>
                <w:noProof/>
                <w:sz w:val="16"/>
                <w:szCs w:val="16"/>
              </w:rPr>
            </w:pPr>
            <w:r w:rsidRPr="3982CBDC">
              <w:rPr>
                <w:rFonts w:ascii="Arial" w:hAnsi="Arial" w:cs="Arial"/>
                <w:noProof/>
                <w:sz w:val="16"/>
                <w:szCs w:val="16"/>
              </w:rPr>
              <w:t>-82.6</w:t>
            </w:r>
          </w:p>
        </w:tc>
        <w:tc>
          <w:tcPr>
            <w:tcW w:w="1086" w:type="pct"/>
            <w:tcBorders>
              <w:top w:val="nil"/>
              <w:left w:val="nil"/>
              <w:bottom w:val="single" w:sz="4" w:space="0" w:color="auto"/>
              <w:right w:val="single" w:sz="8" w:space="0" w:color="auto"/>
            </w:tcBorders>
            <w:shd w:val="clear" w:color="auto" w:fill="auto"/>
            <w:noWrap/>
            <w:vAlign w:val="center"/>
          </w:tcPr>
          <w:p w14:paraId="5F4E4A34" w14:textId="77777777" w:rsidR="003D2A14" w:rsidRPr="003D2A14" w:rsidRDefault="3982CBDC" w:rsidP="3982CBDC">
            <w:pPr>
              <w:spacing w:after="0" w:line="240" w:lineRule="auto"/>
              <w:jc w:val="right"/>
              <w:rPr>
                <w:rFonts w:ascii="Arial" w:eastAsia="Calibri" w:hAnsi="Arial" w:cs="Arial"/>
                <w:b/>
                <w:bCs/>
                <w:noProof/>
                <w:sz w:val="16"/>
                <w:szCs w:val="16"/>
              </w:rPr>
            </w:pPr>
            <w:r w:rsidRPr="3982CBDC">
              <w:rPr>
                <w:rFonts w:ascii="Arial" w:hAnsi="Arial" w:cs="Arial"/>
                <w:noProof/>
                <w:sz w:val="16"/>
                <w:szCs w:val="16"/>
              </w:rPr>
              <w:t>-82.6</w:t>
            </w:r>
          </w:p>
        </w:tc>
      </w:tr>
      <w:tr w:rsidR="003D2A14" w:rsidRPr="007357D7" w14:paraId="25D1F8C2" w14:textId="77777777" w:rsidTr="00D83703">
        <w:trPr>
          <w:trHeight w:val="290"/>
        </w:trPr>
        <w:tc>
          <w:tcPr>
            <w:tcW w:w="814" w:type="pct"/>
            <w:tcBorders>
              <w:top w:val="nil"/>
              <w:left w:val="single" w:sz="8" w:space="0" w:color="auto"/>
              <w:bottom w:val="single" w:sz="4" w:space="0" w:color="auto"/>
              <w:right w:val="single" w:sz="4" w:space="0" w:color="auto"/>
            </w:tcBorders>
            <w:shd w:val="clear" w:color="auto" w:fill="auto"/>
            <w:noWrap/>
            <w:vAlign w:val="center"/>
          </w:tcPr>
          <w:p w14:paraId="5ADDD14D" w14:textId="77777777" w:rsidR="003D2A14" w:rsidRPr="003D2A14" w:rsidRDefault="3982CBDC" w:rsidP="3982CBDC">
            <w:pPr>
              <w:spacing w:after="0" w:line="240" w:lineRule="auto"/>
              <w:jc w:val="left"/>
              <w:rPr>
                <w:rFonts w:ascii="Arial" w:eastAsia="Times New Roman" w:hAnsi="Arial" w:cs="Arial"/>
                <w:b/>
                <w:bCs/>
                <w:noProof/>
                <w:color w:val="000000" w:themeColor="text1"/>
                <w:sz w:val="16"/>
                <w:szCs w:val="16"/>
                <w:lang w:eastAsia="de-DE"/>
              </w:rPr>
            </w:pPr>
            <w:r w:rsidRPr="3982CBDC">
              <w:rPr>
                <w:rFonts w:ascii="Arial" w:hAnsi="Arial" w:cs="Arial"/>
                <w:noProof/>
                <w:sz w:val="16"/>
                <w:szCs w:val="16"/>
              </w:rPr>
              <w:t>Mobile AC</w:t>
            </w:r>
          </w:p>
        </w:tc>
        <w:tc>
          <w:tcPr>
            <w:tcW w:w="929" w:type="pct"/>
            <w:tcBorders>
              <w:top w:val="nil"/>
              <w:left w:val="nil"/>
              <w:bottom w:val="single" w:sz="4" w:space="0" w:color="auto"/>
              <w:right w:val="single" w:sz="8" w:space="0" w:color="auto"/>
            </w:tcBorders>
            <w:shd w:val="clear" w:color="auto" w:fill="auto"/>
            <w:noWrap/>
            <w:vAlign w:val="center"/>
          </w:tcPr>
          <w:p w14:paraId="0AB35589" w14:textId="77777777" w:rsidR="003D2A14" w:rsidRPr="003D2A14" w:rsidRDefault="3982CBDC" w:rsidP="3982CBDC">
            <w:pPr>
              <w:spacing w:after="0" w:line="240" w:lineRule="auto"/>
              <w:jc w:val="center"/>
              <w:rPr>
                <w:rFonts w:ascii="Arial" w:eastAsia="Times New Roman" w:hAnsi="Arial" w:cs="Arial"/>
                <w:b/>
                <w:bCs/>
                <w:noProof/>
                <w:color w:val="000000" w:themeColor="text1"/>
                <w:sz w:val="16"/>
                <w:szCs w:val="16"/>
                <w:lang w:eastAsia="de-DE"/>
              </w:rPr>
            </w:pPr>
            <w:r w:rsidRPr="3982CBDC">
              <w:rPr>
                <w:rFonts w:ascii="Arial" w:hAnsi="Arial" w:cs="Arial"/>
                <w:noProof/>
                <w:sz w:val="16"/>
                <w:szCs w:val="16"/>
              </w:rPr>
              <w:t>2024- 2036 average</w:t>
            </w:r>
          </w:p>
        </w:tc>
        <w:tc>
          <w:tcPr>
            <w:tcW w:w="1085" w:type="pct"/>
            <w:tcBorders>
              <w:top w:val="nil"/>
              <w:left w:val="nil"/>
              <w:bottom w:val="single" w:sz="4" w:space="0" w:color="auto"/>
              <w:right w:val="single" w:sz="8" w:space="0" w:color="auto"/>
            </w:tcBorders>
            <w:shd w:val="clear" w:color="auto" w:fill="auto"/>
            <w:noWrap/>
            <w:vAlign w:val="center"/>
          </w:tcPr>
          <w:p w14:paraId="1CE52517" w14:textId="77777777" w:rsidR="003D2A14" w:rsidRPr="003D2A14" w:rsidRDefault="3982CBDC" w:rsidP="3982CBDC">
            <w:pPr>
              <w:spacing w:after="0" w:line="240" w:lineRule="auto"/>
              <w:jc w:val="right"/>
              <w:rPr>
                <w:rFonts w:ascii="Arial" w:eastAsia="Calibri" w:hAnsi="Arial" w:cs="Arial"/>
                <w:b/>
                <w:bCs/>
                <w:noProof/>
                <w:sz w:val="16"/>
                <w:szCs w:val="16"/>
              </w:rPr>
            </w:pPr>
            <w:r w:rsidRPr="3982CBDC">
              <w:rPr>
                <w:rFonts w:ascii="Arial" w:hAnsi="Arial" w:cs="Arial"/>
                <w:noProof/>
                <w:sz w:val="16"/>
                <w:szCs w:val="16"/>
              </w:rPr>
              <w:t>0.0</w:t>
            </w:r>
          </w:p>
        </w:tc>
        <w:tc>
          <w:tcPr>
            <w:tcW w:w="1086" w:type="pct"/>
            <w:tcBorders>
              <w:top w:val="nil"/>
              <w:left w:val="nil"/>
              <w:bottom w:val="single" w:sz="4" w:space="0" w:color="auto"/>
              <w:right w:val="single" w:sz="8" w:space="0" w:color="auto"/>
            </w:tcBorders>
            <w:shd w:val="clear" w:color="auto" w:fill="auto"/>
            <w:noWrap/>
            <w:vAlign w:val="center"/>
          </w:tcPr>
          <w:p w14:paraId="1DCC9F4D" w14:textId="2BF92B92" w:rsidR="003D2A14" w:rsidRPr="003D2A14" w:rsidRDefault="00E96574" w:rsidP="3982CBDC">
            <w:pPr>
              <w:spacing w:after="0" w:line="240" w:lineRule="auto"/>
              <w:jc w:val="right"/>
              <w:rPr>
                <w:rFonts w:ascii="Arial" w:eastAsia="Calibri" w:hAnsi="Arial" w:cs="Arial"/>
                <w:b/>
                <w:bCs/>
                <w:noProof/>
                <w:sz w:val="16"/>
                <w:szCs w:val="16"/>
              </w:rPr>
            </w:pPr>
            <w:r>
              <w:rPr>
                <w:rFonts w:ascii="Arial" w:hAnsi="Arial" w:cs="Arial"/>
                <w:noProof/>
                <w:sz w:val="16"/>
                <w:szCs w:val="16"/>
              </w:rPr>
              <w:t>109.1</w:t>
            </w:r>
          </w:p>
        </w:tc>
        <w:tc>
          <w:tcPr>
            <w:tcW w:w="1086" w:type="pct"/>
            <w:tcBorders>
              <w:top w:val="nil"/>
              <w:left w:val="nil"/>
              <w:bottom w:val="single" w:sz="4" w:space="0" w:color="auto"/>
              <w:right w:val="single" w:sz="8" w:space="0" w:color="auto"/>
            </w:tcBorders>
            <w:shd w:val="clear" w:color="auto" w:fill="auto"/>
            <w:noWrap/>
            <w:vAlign w:val="center"/>
          </w:tcPr>
          <w:p w14:paraId="4E080C70" w14:textId="77777777" w:rsidR="003D2A14" w:rsidRPr="003D2A14" w:rsidRDefault="3982CBDC" w:rsidP="3982CBDC">
            <w:pPr>
              <w:spacing w:after="0" w:line="240" w:lineRule="auto"/>
              <w:jc w:val="right"/>
              <w:rPr>
                <w:rFonts w:ascii="Arial" w:eastAsia="Calibri" w:hAnsi="Arial" w:cs="Arial"/>
                <w:b/>
                <w:bCs/>
                <w:noProof/>
                <w:sz w:val="16"/>
                <w:szCs w:val="16"/>
              </w:rPr>
            </w:pPr>
            <w:r w:rsidRPr="3982CBDC">
              <w:rPr>
                <w:rFonts w:ascii="Arial" w:hAnsi="Arial" w:cs="Arial"/>
                <w:noProof/>
                <w:sz w:val="16"/>
                <w:szCs w:val="16"/>
              </w:rPr>
              <w:t>270.6</w:t>
            </w:r>
          </w:p>
        </w:tc>
      </w:tr>
      <w:tr w:rsidR="003D2A14" w:rsidRPr="007357D7" w14:paraId="0578C3F9" w14:textId="77777777" w:rsidTr="00D83703">
        <w:trPr>
          <w:trHeight w:val="290"/>
        </w:trPr>
        <w:tc>
          <w:tcPr>
            <w:tcW w:w="814" w:type="pct"/>
            <w:tcBorders>
              <w:top w:val="nil"/>
              <w:left w:val="single" w:sz="8" w:space="0" w:color="auto"/>
              <w:bottom w:val="single" w:sz="4" w:space="0" w:color="auto"/>
              <w:right w:val="single" w:sz="4" w:space="0" w:color="auto"/>
            </w:tcBorders>
            <w:shd w:val="clear" w:color="auto" w:fill="auto"/>
            <w:noWrap/>
            <w:vAlign w:val="center"/>
          </w:tcPr>
          <w:p w14:paraId="0340FCAD" w14:textId="77777777" w:rsidR="003D2A14" w:rsidRPr="003D2A14" w:rsidRDefault="3982CBDC" w:rsidP="3982CBDC">
            <w:pPr>
              <w:spacing w:after="0" w:line="240" w:lineRule="auto"/>
              <w:jc w:val="left"/>
              <w:rPr>
                <w:rFonts w:ascii="Arial" w:eastAsia="Times New Roman" w:hAnsi="Arial" w:cs="Arial"/>
                <w:b/>
                <w:bCs/>
                <w:noProof/>
                <w:color w:val="000000" w:themeColor="text1"/>
                <w:sz w:val="16"/>
                <w:szCs w:val="16"/>
                <w:lang w:eastAsia="de-DE"/>
              </w:rPr>
            </w:pPr>
            <w:r w:rsidRPr="3982CBDC">
              <w:rPr>
                <w:rFonts w:ascii="Arial" w:hAnsi="Arial" w:cs="Arial"/>
                <w:noProof/>
                <w:sz w:val="16"/>
                <w:szCs w:val="16"/>
              </w:rPr>
              <w:t>Propellants, solvents &amp; fire protection</w:t>
            </w:r>
          </w:p>
        </w:tc>
        <w:tc>
          <w:tcPr>
            <w:tcW w:w="929" w:type="pct"/>
            <w:tcBorders>
              <w:top w:val="nil"/>
              <w:left w:val="nil"/>
              <w:bottom w:val="single" w:sz="4" w:space="0" w:color="auto"/>
              <w:right w:val="single" w:sz="8" w:space="0" w:color="auto"/>
            </w:tcBorders>
            <w:shd w:val="clear" w:color="auto" w:fill="auto"/>
            <w:noWrap/>
            <w:vAlign w:val="center"/>
          </w:tcPr>
          <w:p w14:paraId="6F2A3649" w14:textId="77777777" w:rsidR="003D2A14" w:rsidRPr="003D2A14" w:rsidRDefault="3982CBDC" w:rsidP="3982CBDC">
            <w:pPr>
              <w:spacing w:after="0" w:line="240" w:lineRule="auto"/>
              <w:jc w:val="center"/>
              <w:rPr>
                <w:rFonts w:ascii="Arial" w:eastAsia="Times New Roman" w:hAnsi="Arial" w:cs="Arial"/>
                <w:b/>
                <w:bCs/>
                <w:noProof/>
                <w:color w:val="000000" w:themeColor="text1"/>
                <w:sz w:val="16"/>
                <w:szCs w:val="16"/>
                <w:lang w:eastAsia="de-DE"/>
              </w:rPr>
            </w:pPr>
            <w:r w:rsidRPr="3982CBDC">
              <w:rPr>
                <w:rFonts w:ascii="Arial" w:hAnsi="Arial" w:cs="Arial"/>
                <w:noProof/>
                <w:sz w:val="16"/>
                <w:szCs w:val="16"/>
              </w:rPr>
              <w:t>2024- 2036 average</w:t>
            </w:r>
          </w:p>
        </w:tc>
        <w:tc>
          <w:tcPr>
            <w:tcW w:w="1085" w:type="pct"/>
            <w:tcBorders>
              <w:top w:val="nil"/>
              <w:left w:val="nil"/>
              <w:bottom w:val="single" w:sz="4" w:space="0" w:color="auto"/>
              <w:right w:val="single" w:sz="8" w:space="0" w:color="auto"/>
            </w:tcBorders>
            <w:shd w:val="clear" w:color="auto" w:fill="auto"/>
            <w:noWrap/>
            <w:vAlign w:val="center"/>
          </w:tcPr>
          <w:p w14:paraId="41718CA0" w14:textId="77777777" w:rsidR="003D2A14" w:rsidRPr="003D2A14" w:rsidRDefault="3982CBDC" w:rsidP="3982CBDC">
            <w:pPr>
              <w:spacing w:after="0" w:line="240" w:lineRule="auto"/>
              <w:jc w:val="right"/>
              <w:rPr>
                <w:rFonts w:ascii="Arial" w:eastAsia="Calibri" w:hAnsi="Arial" w:cs="Arial"/>
                <w:b/>
                <w:bCs/>
                <w:noProof/>
                <w:sz w:val="16"/>
                <w:szCs w:val="16"/>
              </w:rPr>
            </w:pPr>
            <w:r w:rsidRPr="3982CBDC">
              <w:rPr>
                <w:rFonts w:ascii="Arial" w:hAnsi="Arial" w:cs="Arial"/>
                <w:noProof/>
                <w:sz w:val="16"/>
                <w:szCs w:val="16"/>
              </w:rPr>
              <w:t>0.0</w:t>
            </w:r>
          </w:p>
        </w:tc>
        <w:tc>
          <w:tcPr>
            <w:tcW w:w="1086" w:type="pct"/>
            <w:tcBorders>
              <w:top w:val="nil"/>
              <w:left w:val="nil"/>
              <w:bottom w:val="single" w:sz="4" w:space="0" w:color="auto"/>
              <w:right w:val="single" w:sz="8" w:space="0" w:color="auto"/>
            </w:tcBorders>
            <w:shd w:val="clear" w:color="auto" w:fill="auto"/>
            <w:noWrap/>
            <w:vAlign w:val="center"/>
          </w:tcPr>
          <w:p w14:paraId="3C2CBB81" w14:textId="77777777" w:rsidR="003D2A14" w:rsidRPr="003D2A14" w:rsidRDefault="3982CBDC" w:rsidP="3982CBDC">
            <w:pPr>
              <w:spacing w:after="0" w:line="240" w:lineRule="auto"/>
              <w:jc w:val="right"/>
              <w:rPr>
                <w:rFonts w:ascii="Arial" w:eastAsia="Calibri" w:hAnsi="Arial" w:cs="Arial"/>
                <w:b/>
                <w:bCs/>
                <w:noProof/>
                <w:sz w:val="16"/>
                <w:szCs w:val="16"/>
              </w:rPr>
            </w:pPr>
            <w:r w:rsidRPr="3982CBDC">
              <w:rPr>
                <w:rFonts w:ascii="Arial" w:hAnsi="Arial" w:cs="Arial"/>
                <w:noProof/>
                <w:sz w:val="16"/>
                <w:szCs w:val="16"/>
              </w:rPr>
              <w:t>3.1</w:t>
            </w:r>
          </w:p>
        </w:tc>
        <w:tc>
          <w:tcPr>
            <w:tcW w:w="1086" w:type="pct"/>
            <w:tcBorders>
              <w:top w:val="nil"/>
              <w:left w:val="nil"/>
              <w:bottom w:val="single" w:sz="4" w:space="0" w:color="auto"/>
              <w:right w:val="single" w:sz="8" w:space="0" w:color="auto"/>
            </w:tcBorders>
            <w:shd w:val="clear" w:color="auto" w:fill="auto"/>
            <w:noWrap/>
            <w:vAlign w:val="center"/>
          </w:tcPr>
          <w:p w14:paraId="1B22147D" w14:textId="77777777" w:rsidR="003D2A14" w:rsidRPr="003D2A14" w:rsidRDefault="3982CBDC" w:rsidP="3982CBDC">
            <w:pPr>
              <w:spacing w:after="0" w:line="240" w:lineRule="auto"/>
              <w:jc w:val="right"/>
              <w:rPr>
                <w:rFonts w:ascii="Arial" w:eastAsia="Calibri" w:hAnsi="Arial" w:cs="Arial"/>
                <w:b/>
                <w:bCs/>
                <w:noProof/>
                <w:sz w:val="16"/>
                <w:szCs w:val="16"/>
              </w:rPr>
            </w:pPr>
            <w:r w:rsidRPr="3982CBDC">
              <w:rPr>
                <w:rFonts w:ascii="Arial" w:hAnsi="Arial" w:cs="Arial"/>
                <w:noProof/>
                <w:sz w:val="16"/>
                <w:szCs w:val="16"/>
              </w:rPr>
              <w:t>3.1</w:t>
            </w:r>
          </w:p>
        </w:tc>
      </w:tr>
      <w:tr w:rsidR="003D2A14" w:rsidRPr="007357D7" w14:paraId="385F13A1" w14:textId="77777777" w:rsidTr="00D83703">
        <w:trPr>
          <w:trHeight w:val="290"/>
        </w:trPr>
        <w:tc>
          <w:tcPr>
            <w:tcW w:w="814" w:type="pct"/>
            <w:tcBorders>
              <w:top w:val="nil"/>
              <w:left w:val="single" w:sz="8" w:space="0" w:color="auto"/>
              <w:bottom w:val="single" w:sz="4" w:space="0" w:color="auto"/>
              <w:right w:val="single" w:sz="4" w:space="0" w:color="auto"/>
            </w:tcBorders>
            <w:shd w:val="clear" w:color="auto" w:fill="auto"/>
            <w:noWrap/>
            <w:vAlign w:val="center"/>
          </w:tcPr>
          <w:p w14:paraId="0502E2A8" w14:textId="77777777" w:rsidR="003D2A14" w:rsidRPr="003D2A14" w:rsidRDefault="3982CBDC" w:rsidP="3982CBDC">
            <w:pPr>
              <w:spacing w:after="0" w:line="240" w:lineRule="auto"/>
              <w:jc w:val="left"/>
              <w:rPr>
                <w:rFonts w:ascii="Arial" w:eastAsia="Times New Roman" w:hAnsi="Arial" w:cs="Arial"/>
                <w:b/>
                <w:bCs/>
                <w:noProof/>
                <w:color w:val="000000" w:themeColor="text1"/>
                <w:sz w:val="16"/>
                <w:szCs w:val="16"/>
                <w:lang w:eastAsia="de-DE"/>
              </w:rPr>
            </w:pPr>
            <w:r w:rsidRPr="3982CBDC">
              <w:rPr>
                <w:rFonts w:ascii="Arial" w:hAnsi="Arial" w:cs="Arial"/>
                <w:noProof/>
                <w:sz w:val="16"/>
                <w:szCs w:val="16"/>
              </w:rPr>
              <w:t>Foam</w:t>
            </w:r>
          </w:p>
        </w:tc>
        <w:tc>
          <w:tcPr>
            <w:tcW w:w="929" w:type="pct"/>
            <w:tcBorders>
              <w:top w:val="nil"/>
              <w:left w:val="nil"/>
              <w:bottom w:val="single" w:sz="4" w:space="0" w:color="auto"/>
              <w:right w:val="single" w:sz="8" w:space="0" w:color="auto"/>
            </w:tcBorders>
            <w:shd w:val="clear" w:color="auto" w:fill="auto"/>
            <w:noWrap/>
            <w:vAlign w:val="center"/>
          </w:tcPr>
          <w:p w14:paraId="5ABDE72D" w14:textId="77777777" w:rsidR="003D2A14" w:rsidRPr="003D2A14" w:rsidRDefault="3982CBDC" w:rsidP="3982CBDC">
            <w:pPr>
              <w:spacing w:after="0" w:line="240" w:lineRule="auto"/>
              <w:jc w:val="center"/>
              <w:rPr>
                <w:rFonts w:ascii="Arial" w:eastAsia="Times New Roman" w:hAnsi="Arial" w:cs="Arial"/>
                <w:b/>
                <w:bCs/>
                <w:noProof/>
                <w:color w:val="000000" w:themeColor="text1"/>
                <w:sz w:val="16"/>
                <w:szCs w:val="16"/>
                <w:lang w:eastAsia="de-DE"/>
              </w:rPr>
            </w:pPr>
            <w:r w:rsidRPr="3982CBDC">
              <w:rPr>
                <w:rFonts w:ascii="Arial" w:hAnsi="Arial" w:cs="Arial"/>
                <w:noProof/>
                <w:sz w:val="16"/>
                <w:szCs w:val="16"/>
              </w:rPr>
              <w:t>2024- 2036 average</w:t>
            </w:r>
          </w:p>
        </w:tc>
        <w:tc>
          <w:tcPr>
            <w:tcW w:w="1085" w:type="pct"/>
            <w:tcBorders>
              <w:top w:val="nil"/>
              <w:left w:val="nil"/>
              <w:bottom w:val="single" w:sz="4" w:space="0" w:color="auto"/>
              <w:right w:val="single" w:sz="8" w:space="0" w:color="auto"/>
            </w:tcBorders>
            <w:shd w:val="clear" w:color="auto" w:fill="auto"/>
            <w:noWrap/>
            <w:vAlign w:val="center"/>
          </w:tcPr>
          <w:p w14:paraId="425A8044" w14:textId="77777777" w:rsidR="003D2A14" w:rsidRPr="003D2A14" w:rsidRDefault="3982CBDC" w:rsidP="3982CBDC">
            <w:pPr>
              <w:spacing w:after="0" w:line="240" w:lineRule="auto"/>
              <w:jc w:val="right"/>
              <w:rPr>
                <w:rFonts w:ascii="Arial" w:eastAsia="Calibri" w:hAnsi="Arial" w:cs="Arial"/>
                <w:b/>
                <w:bCs/>
                <w:noProof/>
                <w:sz w:val="16"/>
                <w:szCs w:val="16"/>
              </w:rPr>
            </w:pPr>
            <w:r w:rsidRPr="3982CBDC">
              <w:rPr>
                <w:rFonts w:ascii="Arial" w:hAnsi="Arial" w:cs="Arial"/>
                <w:noProof/>
                <w:sz w:val="16"/>
                <w:szCs w:val="16"/>
              </w:rPr>
              <w:t>0.0</w:t>
            </w:r>
          </w:p>
        </w:tc>
        <w:tc>
          <w:tcPr>
            <w:tcW w:w="1086" w:type="pct"/>
            <w:tcBorders>
              <w:top w:val="nil"/>
              <w:left w:val="nil"/>
              <w:bottom w:val="single" w:sz="4" w:space="0" w:color="auto"/>
              <w:right w:val="single" w:sz="8" w:space="0" w:color="auto"/>
            </w:tcBorders>
            <w:shd w:val="clear" w:color="auto" w:fill="auto"/>
            <w:noWrap/>
            <w:vAlign w:val="center"/>
          </w:tcPr>
          <w:p w14:paraId="24F77F28" w14:textId="77777777" w:rsidR="003D2A14" w:rsidRPr="003D2A14" w:rsidRDefault="3982CBDC" w:rsidP="3982CBDC">
            <w:pPr>
              <w:spacing w:after="0" w:line="240" w:lineRule="auto"/>
              <w:jc w:val="right"/>
              <w:rPr>
                <w:rFonts w:ascii="Arial" w:eastAsia="Calibri" w:hAnsi="Arial" w:cs="Arial"/>
                <w:b/>
                <w:bCs/>
                <w:noProof/>
                <w:sz w:val="16"/>
                <w:szCs w:val="16"/>
              </w:rPr>
            </w:pPr>
            <w:r w:rsidRPr="3982CBDC">
              <w:rPr>
                <w:rFonts w:ascii="Arial" w:hAnsi="Arial" w:cs="Arial"/>
                <w:noProof/>
                <w:sz w:val="16"/>
                <w:szCs w:val="16"/>
              </w:rPr>
              <w:t>0.0</w:t>
            </w:r>
          </w:p>
        </w:tc>
        <w:tc>
          <w:tcPr>
            <w:tcW w:w="1086" w:type="pct"/>
            <w:tcBorders>
              <w:top w:val="nil"/>
              <w:left w:val="nil"/>
              <w:bottom w:val="single" w:sz="4" w:space="0" w:color="auto"/>
              <w:right w:val="single" w:sz="8" w:space="0" w:color="auto"/>
            </w:tcBorders>
            <w:shd w:val="clear" w:color="auto" w:fill="auto"/>
            <w:noWrap/>
            <w:vAlign w:val="center"/>
          </w:tcPr>
          <w:p w14:paraId="45D5DBD3" w14:textId="77777777" w:rsidR="003D2A14" w:rsidRPr="003D2A14" w:rsidRDefault="3982CBDC" w:rsidP="3982CBDC">
            <w:pPr>
              <w:spacing w:after="0" w:line="240" w:lineRule="auto"/>
              <w:jc w:val="right"/>
              <w:rPr>
                <w:rFonts w:ascii="Arial" w:eastAsia="Calibri" w:hAnsi="Arial" w:cs="Arial"/>
                <w:b/>
                <w:bCs/>
                <w:noProof/>
                <w:sz w:val="16"/>
                <w:szCs w:val="16"/>
              </w:rPr>
            </w:pPr>
            <w:r w:rsidRPr="3982CBDC">
              <w:rPr>
                <w:rFonts w:ascii="Arial" w:hAnsi="Arial" w:cs="Arial"/>
                <w:noProof/>
                <w:sz w:val="16"/>
                <w:szCs w:val="16"/>
              </w:rPr>
              <w:t>0.0</w:t>
            </w:r>
          </w:p>
        </w:tc>
      </w:tr>
      <w:tr w:rsidR="003D2A14" w:rsidRPr="007357D7" w14:paraId="12C8BC93" w14:textId="77777777" w:rsidTr="00D83703">
        <w:trPr>
          <w:trHeight w:val="290"/>
        </w:trPr>
        <w:tc>
          <w:tcPr>
            <w:tcW w:w="814" w:type="pct"/>
            <w:tcBorders>
              <w:top w:val="nil"/>
              <w:left w:val="single" w:sz="8" w:space="0" w:color="auto"/>
              <w:bottom w:val="single" w:sz="4" w:space="0" w:color="auto"/>
              <w:right w:val="single" w:sz="4" w:space="0" w:color="auto"/>
            </w:tcBorders>
            <w:shd w:val="clear" w:color="auto" w:fill="auto"/>
            <w:noWrap/>
            <w:vAlign w:val="center"/>
          </w:tcPr>
          <w:p w14:paraId="3280E97F" w14:textId="77777777" w:rsidR="003D2A14" w:rsidRPr="003D2A14" w:rsidRDefault="3982CBDC" w:rsidP="3982CBDC">
            <w:pPr>
              <w:spacing w:after="0" w:line="240" w:lineRule="auto"/>
              <w:jc w:val="left"/>
              <w:rPr>
                <w:rFonts w:ascii="Arial" w:eastAsia="Times New Roman" w:hAnsi="Arial" w:cs="Arial"/>
                <w:b/>
                <w:bCs/>
                <w:noProof/>
                <w:color w:val="000000" w:themeColor="text1"/>
                <w:sz w:val="16"/>
                <w:szCs w:val="16"/>
                <w:lang w:eastAsia="de-DE"/>
              </w:rPr>
            </w:pPr>
            <w:r w:rsidRPr="3982CBDC">
              <w:rPr>
                <w:rFonts w:ascii="Arial" w:hAnsi="Arial" w:cs="Arial"/>
                <w:noProof/>
                <w:sz w:val="16"/>
                <w:szCs w:val="16"/>
              </w:rPr>
              <w:t>Other HFCs</w:t>
            </w:r>
          </w:p>
        </w:tc>
        <w:tc>
          <w:tcPr>
            <w:tcW w:w="929" w:type="pct"/>
            <w:tcBorders>
              <w:top w:val="nil"/>
              <w:left w:val="nil"/>
              <w:bottom w:val="single" w:sz="4" w:space="0" w:color="auto"/>
              <w:right w:val="single" w:sz="8" w:space="0" w:color="auto"/>
            </w:tcBorders>
            <w:shd w:val="clear" w:color="auto" w:fill="auto"/>
            <w:noWrap/>
            <w:vAlign w:val="center"/>
          </w:tcPr>
          <w:p w14:paraId="168A7718" w14:textId="77777777" w:rsidR="003D2A14" w:rsidRPr="003D2A14" w:rsidRDefault="3982CBDC" w:rsidP="3982CBDC">
            <w:pPr>
              <w:spacing w:after="0" w:line="240" w:lineRule="auto"/>
              <w:jc w:val="center"/>
              <w:rPr>
                <w:rFonts w:ascii="Arial" w:eastAsia="Times New Roman" w:hAnsi="Arial" w:cs="Arial"/>
                <w:b/>
                <w:bCs/>
                <w:noProof/>
                <w:color w:val="000000" w:themeColor="text1"/>
                <w:sz w:val="16"/>
                <w:szCs w:val="16"/>
                <w:lang w:eastAsia="de-DE"/>
              </w:rPr>
            </w:pPr>
            <w:r w:rsidRPr="3982CBDC">
              <w:rPr>
                <w:rFonts w:ascii="Arial" w:hAnsi="Arial" w:cs="Arial"/>
                <w:noProof/>
                <w:sz w:val="16"/>
                <w:szCs w:val="16"/>
              </w:rPr>
              <w:t>2024- 2036 average</w:t>
            </w:r>
          </w:p>
        </w:tc>
        <w:tc>
          <w:tcPr>
            <w:tcW w:w="1085" w:type="pct"/>
            <w:tcBorders>
              <w:top w:val="nil"/>
              <w:left w:val="nil"/>
              <w:bottom w:val="single" w:sz="4" w:space="0" w:color="auto"/>
              <w:right w:val="single" w:sz="8" w:space="0" w:color="auto"/>
            </w:tcBorders>
            <w:shd w:val="clear" w:color="auto" w:fill="auto"/>
            <w:noWrap/>
            <w:vAlign w:val="center"/>
          </w:tcPr>
          <w:p w14:paraId="590791E8" w14:textId="77777777" w:rsidR="003D2A14" w:rsidRPr="003D2A14" w:rsidRDefault="3982CBDC" w:rsidP="3982CBDC">
            <w:pPr>
              <w:spacing w:after="0" w:line="240" w:lineRule="auto"/>
              <w:jc w:val="right"/>
              <w:rPr>
                <w:rFonts w:ascii="Arial" w:eastAsia="Calibri" w:hAnsi="Arial" w:cs="Arial"/>
                <w:b/>
                <w:bCs/>
                <w:noProof/>
                <w:sz w:val="16"/>
                <w:szCs w:val="16"/>
              </w:rPr>
            </w:pPr>
            <w:r w:rsidRPr="3982CBDC">
              <w:rPr>
                <w:rFonts w:ascii="Arial" w:hAnsi="Arial" w:cs="Arial"/>
                <w:noProof/>
                <w:sz w:val="16"/>
                <w:szCs w:val="16"/>
              </w:rPr>
              <w:t>0.0</w:t>
            </w:r>
          </w:p>
        </w:tc>
        <w:tc>
          <w:tcPr>
            <w:tcW w:w="1086" w:type="pct"/>
            <w:tcBorders>
              <w:top w:val="nil"/>
              <w:left w:val="nil"/>
              <w:bottom w:val="single" w:sz="4" w:space="0" w:color="auto"/>
              <w:right w:val="single" w:sz="8" w:space="0" w:color="auto"/>
            </w:tcBorders>
            <w:shd w:val="clear" w:color="auto" w:fill="auto"/>
            <w:noWrap/>
            <w:vAlign w:val="center"/>
          </w:tcPr>
          <w:p w14:paraId="12756858" w14:textId="77777777" w:rsidR="003D2A14" w:rsidRPr="003D2A14" w:rsidRDefault="3982CBDC" w:rsidP="3982CBDC">
            <w:pPr>
              <w:spacing w:after="0" w:line="240" w:lineRule="auto"/>
              <w:jc w:val="right"/>
              <w:rPr>
                <w:rFonts w:ascii="Arial" w:eastAsia="Calibri" w:hAnsi="Arial" w:cs="Arial"/>
                <w:b/>
                <w:bCs/>
                <w:noProof/>
                <w:sz w:val="16"/>
                <w:szCs w:val="16"/>
              </w:rPr>
            </w:pPr>
            <w:r w:rsidRPr="3982CBDC">
              <w:rPr>
                <w:rFonts w:ascii="Arial" w:hAnsi="Arial" w:cs="Arial"/>
                <w:noProof/>
                <w:sz w:val="16"/>
                <w:szCs w:val="16"/>
              </w:rPr>
              <w:t>0.0</w:t>
            </w:r>
          </w:p>
        </w:tc>
        <w:tc>
          <w:tcPr>
            <w:tcW w:w="1086" w:type="pct"/>
            <w:tcBorders>
              <w:top w:val="nil"/>
              <w:left w:val="nil"/>
              <w:bottom w:val="single" w:sz="4" w:space="0" w:color="auto"/>
              <w:right w:val="single" w:sz="8" w:space="0" w:color="auto"/>
            </w:tcBorders>
            <w:shd w:val="clear" w:color="auto" w:fill="auto"/>
            <w:noWrap/>
            <w:vAlign w:val="center"/>
          </w:tcPr>
          <w:p w14:paraId="3D30C37F" w14:textId="77777777" w:rsidR="003D2A14" w:rsidRPr="003D2A14" w:rsidRDefault="3982CBDC" w:rsidP="3982CBDC">
            <w:pPr>
              <w:spacing w:after="0" w:line="240" w:lineRule="auto"/>
              <w:jc w:val="right"/>
              <w:rPr>
                <w:rFonts w:ascii="Arial" w:eastAsia="Calibri" w:hAnsi="Arial" w:cs="Arial"/>
                <w:b/>
                <w:bCs/>
                <w:noProof/>
                <w:sz w:val="16"/>
                <w:szCs w:val="16"/>
              </w:rPr>
            </w:pPr>
            <w:r w:rsidRPr="3982CBDC">
              <w:rPr>
                <w:rFonts w:ascii="Arial" w:hAnsi="Arial" w:cs="Arial"/>
                <w:noProof/>
                <w:sz w:val="16"/>
                <w:szCs w:val="16"/>
              </w:rPr>
              <w:t>0.0</w:t>
            </w:r>
          </w:p>
        </w:tc>
      </w:tr>
      <w:tr w:rsidR="003D2A14" w:rsidRPr="007357D7" w14:paraId="7D7E4013" w14:textId="77777777" w:rsidTr="00D83703">
        <w:trPr>
          <w:trHeight w:val="290"/>
        </w:trPr>
        <w:tc>
          <w:tcPr>
            <w:tcW w:w="814" w:type="pct"/>
            <w:tcBorders>
              <w:top w:val="nil"/>
              <w:left w:val="single" w:sz="8" w:space="0" w:color="auto"/>
              <w:bottom w:val="single" w:sz="12" w:space="0" w:color="auto"/>
              <w:right w:val="single" w:sz="4" w:space="0" w:color="auto"/>
            </w:tcBorders>
            <w:shd w:val="clear" w:color="auto" w:fill="auto"/>
            <w:noWrap/>
            <w:vAlign w:val="center"/>
          </w:tcPr>
          <w:p w14:paraId="39F71A49" w14:textId="6DFC7A4D" w:rsidR="003D2A14" w:rsidRPr="003D2A14" w:rsidRDefault="3982CBDC" w:rsidP="3982CBDC">
            <w:pPr>
              <w:spacing w:after="0" w:line="240" w:lineRule="auto"/>
              <w:jc w:val="left"/>
              <w:rPr>
                <w:rFonts w:ascii="Arial" w:eastAsia="Times New Roman" w:hAnsi="Arial" w:cs="Arial"/>
                <w:b/>
                <w:bCs/>
                <w:noProof/>
                <w:color w:val="000000" w:themeColor="text1"/>
                <w:sz w:val="16"/>
                <w:szCs w:val="16"/>
                <w:lang w:eastAsia="de-DE"/>
              </w:rPr>
            </w:pPr>
            <w:r w:rsidRPr="3982CBDC">
              <w:rPr>
                <w:rFonts w:ascii="Arial" w:hAnsi="Arial" w:cs="Arial"/>
                <w:noProof/>
                <w:sz w:val="16"/>
                <w:szCs w:val="16"/>
              </w:rPr>
              <w:t>Switchgear (SF</w:t>
            </w:r>
            <w:r w:rsidRPr="00492D4F">
              <w:rPr>
                <w:rFonts w:ascii="Arial" w:hAnsi="Arial" w:cs="Arial"/>
                <w:noProof/>
                <w:sz w:val="16"/>
                <w:szCs w:val="16"/>
                <w:vertAlign w:val="subscript"/>
              </w:rPr>
              <w:t>6</w:t>
            </w:r>
            <w:r w:rsidRPr="3982CBDC">
              <w:rPr>
                <w:rFonts w:ascii="Arial" w:hAnsi="Arial" w:cs="Arial"/>
                <w:noProof/>
                <w:sz w:val="16"/>
                <w:szCs w:val="16"/>
              </w:rPr>
              <w:t xml:space="preserve">) </w:t>
            </w:r>
          </w:p>
        </w:tc>
        <w:tc>
          <w:tcPr>
            <w:tcW w:w="929" w:type="pct"/>
            <w:tcBorders>
              <w:top w:val="nil"/>
              <w:left w:val="nil"/>
              <w:bottom w:val="single" w:sz="12" w:space="0" w:color="auto"/>
              <w:right w:val="single" w:sz="8" w:space="0" w:color="auto"/>
            </w:tcBorders>
            <w:shd w:val="clear" w:color="auto" w:fill="auto"/>
            <w:noWrap/>
            <w:vAlign w:val="center"/>
          </w:tcPr>
          <w:p w14:paraId="57B835EA" w14:textId="77777777" w:rsidR="003D2A14" w:rsidRPr="003D2A14" w:rsidRDefault="3982CBDC" w:rsidP="3982CBDC">
            <w:pPr>
              <w:spacing w:after="0" w:line="240" w:lineRule="auto"/>
              <w:jc w:val="center"/>
              <w:rPr>
                <w:rFonts w:ascii="Arial" w:eastAsia="Times New Roman" w:hAnsi="Arial" w:cs="Arial"/>
                <w:b/>
                <w:bCs/>
                <w:noProof/>
                <w:color w:val="000000" w:themeColor="text1"/>
                <w:sz w:val="16"/>
                <w:szCs w:val="16"/>
                <w:lang w:eastAsia="de-DE"/>
              </w:rPr>
            </w:pPr>
            <w:r w:rsidRPr="3982CBDC">
              <w:rPr>
                <w:rFonts w:ascii="Arial" w:hAnsi="Arial" w:cs="Arial"/>
                <w:noProof/>
                <w:sz w:val="16"/>
                <w:szCs w:val="16"/>
              </w:rPr>
              <w:t>2024- 2036 average</w:t>
            </w:r>
          </w:p>
        </w:tc>
        <w:tc>
          <w:tcPr>
            <w:tcW w:w="1085" w:type="pct"/>
            <w:tcBorders>
              <w:top w:val="nil"/>
              <w:left w:val="nil"/>
              <w:bottom w:val="single" w:sz="12" w:space="0" w:color="auto"/>
              <w:right w:val="single" w:sz="8" w:space="0" w:color="auto"/>
            </w:tcBorders>
            <w:shd w:val="clear" w:color="auto" w:fill="auto"/>
            <w:noWrap/>
            <w:vAlign w:val="center"/>
          </w:tcPr>
          <w:p w14:paraId="50F93237" w14:textId="77777777" w:rsidR="003D2A14" w:rsidRPr="003D2A14" w:rsidRDefault="3982CBDC" w:rsidP="3982CBDC">
            <w:pPr>
              <w:spacing w:after="0" w:line="240" w:lineRule="auto"/>
              <w:jc w:val="right"/>
              <w:rPr>
                <w:rFonts w:ascii="Arial" w:eastAsia="Calibri" w:hAnsi="Arial" w:cs="Arial"/>
                <w:b/>
                <w:bCs/>
                <w:noProof/>
                <w:sz w:val="16"/>
                <w:szCs w:val="16"/>
              </w:rPr>
            </w:pPr>
            <w:r w:rsidRPr="3982CBDC">
              <w:rPr>
                <w:rFonts w:ascii="Arial" w:hAnsi="Arial" w:cs="Arial"/>
                <w:noProof/>
                <w:sz w:val="16"/>
                <w:szCs w:val="16"/>
              </w:rPr>
              <w:t>0.0</w:t>
            </w:r>
          </w:p>
        </w:tc>
        <w:tc>
          <w:tcPr>
            <w:tcW w:w="1086" w:type="pct"/>
            <w:tcBorders>
              <w:top w:val="nil"/>
              <w:left w:val="nil"/>
              <w:bottom w:val="single" w:sz="12" w:space="0" w:color="auto"/>
              <w:right w:val="single" w:sz="8" w:space="0" w:color="auto"/>
            </w:tcBorders>
            <w:shd w:val="clear" w:color="auto" w:fill="auto"/>
            <w:noWrap/>
            <w:vAlign w:val="center"/>
          </w:tcPr>
          <w:p w14:paraId="03084A84" w14:textId="77777777" w:rsidR="003D2A14" w:rsidRPr="003D2A14" w:rsidRDefault="3982CBDC" w:rsidP="3982CBDC">
            <w:pPr>
              <w:spacing w:after="0" w:line="240" w:lineRule="auto"/>
              <w:jc w:val="right"/>
              <w:rPr>
                <w:rFonts w:ascii="Arial" w:eastAsia="Calibri" w:hAnsi="Arial" w:cs="Arial"/>
                <w:b/>
                <w:bCs/>
                <w:noProof/>
                <w:sz w:val="16"/>
                <w:szCs w:val="16"/>
              </w:rPr>
            </w:pPr>
            <w:r w:rsidRPr="3982CBDC">
              <w:rPr>
                <w:rFonts w:ascii="Arial" w:hAnsi="Arial" w:cs="Arial"/>
                <w:noProof/>
                <w:sz w:val="16"/>
                <w:szCs w:val="16"/>
              </w:rPr>
              <w:t>49.3</w:t>
            </w:r>
          </w:p>
        </w:tc>
        <w:tc>
          <w:tcPr>
            <w:tcW w:w="1086" w:type="pct"/>
            <w:tcBorders>
              <w:top w:val="nil"/>
              <w:left w:val="nil"/>
              <w:bottom w:val="single" w:sz="12" w:space="0" w:color="auto"/>
              <w:right w:val="single" w:sz="8" w:space="0" w:color="auto"/>
            </w:tcBorders>
            <w:shd w:val="clear" w:color="auto" w:fill="auto"/>
            <w:noWrap/>
            <w:vAlign w:val="center"/>
          </w:tcPr>
          <w:p w14:paraId="701F57F5" w14:textId="77777777" w:rsidR="003D2A14" w:rsidRPr="003D2A14" w:rsidRDefault="3982CBDC" w:rsidP="3982CBDC">
            <w:pPr>
              <w:spacing w:after="0" w:line="240" w:lineRule="auto"/>
              <w:jc w:val="right"/>
              <w:rPr>
                <w:rFonts w:ascii="Arial" w:eastAsia="Calibri" w:hAnsi="Arial" w:cs="Arial"/>
                <w:b/>
                <w:bCs/>
                <w:noProof/>
                <w:sz w:val="16"/>
                <w:szCs w:val="16"/>
              </w:rPr>
            </w:pPr>
            <w:r w:rsidRPr="3982CBDC">
              <w:rPr>
                <w:rFonts w:ascii="Arial" w:hAnsi="Arial" w:cs="Arial"/>
                <w:noProof/>
                <w:sz w:val="16"/>
                <w:szCs w:val="16"/>
              </w:rPr>
              <w:t>49.3</w:t>
            </w:r>
          </w:p>
        </w:tc>
      </w:tr>
      <w:tr w:rsidR="003D2A14" w:rsidRPr="007357D7" w14:paraId="046EDDE5" w14:textId="77777777" w:rsidTr="00D83703">
        <w:trPr>
          <w:trHeight w:val="290"/>
        </w:trPr>
        <w:tc>
          <w:tcPr>
            <w:tcW w:w="814" w:type="pct"/>
            <w:tcBorders>
              <w:top w:val="single" w:sz="12" w:space="0" w:color="auto"/>
              <w:left w:val="single" w:sz="8" w:space="0" w:color="auto"/>
              <w:bottom w:val="double" w:sz="4" w:space="0" w:color="auto"/>
              <w:right w:val="single" w:sz="4" w:space="0" w:color="auto"/>
            </w:tcBorders>
            <w:shd w:val="clear" w:color="auto" w:fill="D9D9D9" w:themeFill="background1" w:themeFillShade="D9"/>
            <w:noWrap/>
            <w:vAlign w:val="center"/>
            <w:hideMark/>
          </w:tcPr>
          <w:p w14:paraId="6F6D0339" w14:textId="1C0EC12C" w:rsidR="003D2A14" w:rsidRPr="005B7DD1" w:rsidRDefault="00D83703" w:rsidP="3982CBDC">
            <w:pPr>
              <w:spacing w:after="0" w:line="240" w:lineRule="auto"/>
              <w:jc w:val="left"/>
              <w:rPr>
                <w:rFonts w:ascii="Arial" w:eastAsia="Times New Roman" w:hAnsi="Arial" w:cs="Arial"/>
                <w:b/>
                <w:bCs/>
                <w:i/>
                <w:noProof/>
                <w:color w:val="000000" w:themeColor="text1"/>
                <w:sz w:val="16"/>
                <w:szCs w:val="16"/>
                <w:lang w:eastAsia="de-DE"/>
              </w:rPr>
            </w:pPr>
            <w:r w:rsidRPr="005B7DD1">
              <w:rPr>
                <w:rFonts w:ascii="Arial" w:eastAsia="Times New Roman" w:hAnsi="Arial" w:cs="Arial"/>
                <w:b/>
                <w:bCs/>
                <w:i/>
                <w:noProof/>
                <w:color w:val="000000" w:themeColor="text1"/>
                <w:sz w:val="16"/>
                <w:szCs w:val="16"/>
                <w:lang w:eastAsia="de-DE"/>
              </w:rPr>
              <w:t>Annual cost for all sectors</w:t>
            </w:r>
            <w:r w:rsidR="005B7DD1" w:rsidRPr="005B7DD1">
              <w:rPr>
                <w:rFonts w:ascii="Arial" w:eastAsia="Times New Roman" w:hAnsi="Arial" w:cs="Arial"/>
                <w:b/>
                <w:bCs/>
                <w:i/>
                <w:noProof/>
                <w:color w:val="000000" w:themeColor="text1"/>
                <w:sz w:val="16"/>
                <w:szCs w:val="16"/>
                <w:lang w:eastAsia="de-DE"/>
              </w:rPr>
              <w:t xml:space="preserve"> combined</w:t>
            </w:r>
          </w:p>
        </w:tc>
        <w:tc>
          <w:tcPr>
            <w:tcW w:w="929" w:type="pct"/>
            <w:tcBorders>
              <w:top w:val="single" w:sz="12" w:space="0" w:color="auto"/>
              <w:left w:val="nil"/>
              <w:bottom w:val="double" w:sz="4" w:space="0" w:color="auto"/>
              <w:right w:val="single" w:sz="8" w:space="0" w:color="auto"/>
            </w:tcBorders>
            <w:shd w:val="clear" w:color="auto" w:fill="D9D9D9" w:themeFill="background1" w:themeFillShade="D9"/>
            <w:noWrap/>
            <w:vAlign w:val="center"/>
            <w:hideMark/>
          </w:tcPr>
          <w:p w14:paraId="44219852" w14:textId="77777777" w:rsidR="003D2A14" w:rsidRPr="007357D7" w:rsidRDefault="3982CBDC" w:rsidP="3982CBDC">
            <w:pPr>
              <w:spacing w:after="0" w:line="240" w:lineRule="auto"/>
              <w:jc w:val="center"/>
              <w:rPr>
                <w:rFonts w:ascii="Arial" w:eastAsia="Times New Roman" w:hAnsi="Arial" w:cs="Arial"/>
                <w:b/>
                <w:bCs/>
                <w:noProof/>
                <w:color w:val="000000" w:themeColor="text1"/>
                <w:sz w:val="16"/>
                <w:szCs w:val="16"/>
                <w:lang w:eastAsia="de-DE"/>
              </w:rPr>
            </w:pPr>
            <w:r w:rsidRPr="3982CBDC">
              <w:rPr>
                <w:rFonts w:ascii="Arial" w:eastAsia="Times New Roman" w:hAnsi="Arial" w:cs="Arial"/>
                <w:b/>
                <w:bCs/>
                <w:noProof/>
                <w:color w:val="000000" w:themeColor="text1"/>
                <w:sz w:val="16"/>
                <w:szCs w:val="16"/>
                <w:lang w:eastAsia="de-DE"/>
              </w:rPr>
              <w:t>2024- 2036 average</w:t>
            </w:r>
          </w:p>
        </w:tc>
        <w:tc>
          <w:tcPr>
            <w:tcW w:w="1085" w:type="pct"/>
            <w:tcBorders>
              <w:top w:val="single" w:sz="12" w:space="0" w:color="auto"/>
              <w:left w:val="nil"/>
              <w:bottom w:val="double" w:sz="4" w:space="0" w:color="auto"/>
              <w:right w:val="single" w:sz="4" w:space="0" w:color="auto"/>
            </w:tcBorders>
            <w:shd w:val="clear" w:color="auto" w:fill="D9D9D9" w:themeFill="background1" w:themeFillShade="D9"/>
            <w:noWrap/>
            <w:vAlign w:val="center"/>
            <w:hideMark/>
          </w:tcPr>
          <w:p w14:paraId="57DD49F2" w14:textId="77777777" w:rsidR="003D2A14" w:rsidRPr="007357D7" w:rsidRDefault="3982CBDC" w:rsidP="3982CBDC">
            <w:pPr>
              <w:spacing w:after="0" w:line="240" w:lineRule="auto"/>
              <w:jc w:val="right"/>
              <w:rPr>
                <w:rFonts w:ascii="Arial" w:eastAsia="Times New Roman" w:hAnsi="Arial" w:cs="Arial"/>
                <w:b/>
                <w:bCs/>
                <w:noProof/>
                <w:color w:val="000000" w:themeColor="text1"/>
                <w:sz w:val="16"/>
                <w:szCs w:val="16"/>
                <w:lang w:eastAsia="de-DE"/>
              </w:rPr>
            </w:pPr>
            <w:r w:rsidRPr="3982CBDC">
              <w:rPr>
                <w:rFonts w:ascii="Arial" w:eastAsia="Calibri" w:hAnsi="Arial" w:cs="Arial"/>
                <w:b/>
                <w:bCs/>
                <w:noProof/>
                <w:sz w:val="16"/>
                <w:szCs w:val="16"/>
              </w:rPr>
              <w:t>1.9</w:t>
            </w:r>
          </w:p>
        </w:tc>
        <w:tc>
          <w:tcPr>
            <w:tcW w:w="1086" w:type="pct"/>
            <w:tcBorders>
              <w:top w:val="single" w:sz="12" w:space="0" w:color="auto"/>
              <w:left w:val="nil"/>
              <w:bottom w:val="double" w:sz="4" w:space="0" w:color="auto"/>
              <w:right w:val="single" w:sz="4" w:space="0" w:color="auto"/>
            </w:tcBorders>
            <w:shd w:val="clear" w:color="auto" w:fill="D9D9D9" w:themeFill="background1" w:themeFillShade="D9"/>
            <w:noWrap/>
            <w:vAlign w:val="center"/>
            <w:hideMark/>
          </w:tcPr>
          <w:p w14:paraId="5F6A9FAE" w14:textId="66C37523" w:rsidR="003D2A14" w:rsidRPr="007357D7" w:rsidRDefault="001A0C1F" w:rsidP="3982CBDC">
            <w:pPr>
              <w:spacing w:after="0" w:line="240" w:lineRule="auto"/>
              <w:jc w:val="right"/>
              <w:rPr>
                <w:rFonts w:ascii="Arial" w:eastAsia="Times New Roman" w:hAnsi="Arial" w:cs="Arial"/>
                <w:b/>
                <w:bCs/>
                <w:noProof/>
                <w:color w:val="000000" w:themeColor="text1"/>
                <w:sz w:val="16"/>
                <w:szCs w:val="16"/>
                <w:lang w:eastAsia="de-DE"/>
              </w:rPr>
            </w:pPr>
            <w:r>
              <w:rPr>
                <w:rFonts w:ascii="Arial" w:eastAsia="Calibri" w:hAnsi="Arial" w:cs="Arial"/>
                <w:b/>
                <w:bCs/>
                <w:noProof/>
                <w:sz w:val="16"/>
                <w:szCs w:val="16"/>
              </w:rPr>
              <w:t>1</w:t>
            </w:r>
            <w:r w:rsidR="002359F8">
              <w:rPr>
                <w:rFonts w:ascii="Arial" w:eastAsia="Calibri" w:hAnsi="Arial" w:cs="Arial"/>
                <w:b/>
                <w:bCs/>
                <w:noProof/>
                <w:sz w:val="16"/>
                <w:szCs w:val="16"/>
              </w:rPr>
              <w:t>1</w:t>
            </w:r>
            <w:r>
              <w:rPr>
                <w:rFonts w:ascii="Arial" w:eastAsia="Calibri" w:hAnsi="Arial" w:cs="Arial"/>
                <w:b/>
                <w:bCs/>
                <w:noProof/>
                <w:sz w:val="16"/>
                <w:szCs w:val="16"/>
              </w:rPr>
              <w:t>.5</w:t>
            </w:r>
          </w:p>
        </w:tc>
        <w:tc>
          <w:tcPr>
            <w:tcW w:w="1086" w:type="pct"/>
            <w:tcBorders>
              <w:top w:val="single" w:sz="12" w:space="0" w:color="auto"/>
              <w:left w:val="nil"/>
              <w:bottom w:val="double" w:sz="4" w:space="0" w:color="auto"/>
              <w:right w:val="single" w:sz="4" w:space="0" w:color="auto"/>
            </w:tcBorders>
            <w:shd w:val="clear" w:color="auto" w:fill="D9D9D9" w:themeFill="background1" w:themeFillShade="D9"/>
            <w:noWrap/>
            <w:vAlign w:val="center"/>
            <w:hideMark/>
          </w:tcPr>
          <w:p w14:paraId="187CBD17" w14:textId="77777777" w:rsidR="003D2A14" w:rsidRPr="007357D7" w:rsidRDefault="3982CBDC" w:rsidP="3982CBDC">
            <w:pPr>
              <w:spacing w:after="0" w:line="240" w:lineRule="auto"/>
              <w:jc w:val="right"/>
              <w:rPr>
                <w:rFonts w:ascii="Arial" w:eastAsia="Times New Roman" w:hAnsi="Arial" w:cs="Arial"/>
                <w:b/>
                <w:bCs/>
                <w:noProof/>
                <w:color w:val="000000" w:themeColor="text1"/>
                <w:sz w:val="16"/>
                <w:szCs w:val="16"/>
                <w:lang w:eastAsia="de-DE"/>
              </w:rPr>
            </w:pPr>
            <w:r w:rsidRPr="3982CBDC">
              <w:rPr>
                <w:rFonts w:ascii="Arial" w:eastAsia="Calibri" w:hAnsi="Arial" w:cs="Arial"/>
                <w:b/>
                <w:bCs/>
                <w:noProof/>
                <w:sz w:val="16"/>
                <w:szCs w:val="16"/>
              </w:rPr>
              <w:t>115.7</w:t>
            </w:r>
          </w:p>
        </w:tc>
      </w:tr>
      <w:tr w:rsidR="003D2A14" w:rsidRPr="007357D7" w14:paraId="76A62A17" w14:textId="77777777" w:rsidTr="00D83703">
        <w:trPr>
          <w:trHeight w:val="255"/>
        </w:trPr>
        <w:tc>
          <w:tcPr>
            <w:tcW w:w="814" w:type="pct"/>
            <w:tcBorders>
              <w:top w:val="double" w:sz="4" w:space="0" w:color="auto"/>
              <w:left w:val="single" w:sz="8" w:space="0" w:color="auto"/>
              <w:bottom w:val="single" w:sz="8" w:space="0" w:color="auto"/>
              <w:right w:val="single" w:sz="4" w:space="0" w:color="auto"/>
            </w:tcBorders>
            <w:shd w:val="clear" w:color="auto" w:fill="FFFFFF" w:themeFill="background1"/>
            <w:noWrap/>
            <w:vAlign w:val="center"/>
            <w:hideMark/>
          </w:tcPr>
          <w:p w14:paraId="2C43590F" w14:textId="5572998F" w:rsidR="003D2A14" w:rsidRPr="00FB2030" w:rsidRDefault="005B7DD1" w:rsidP="3982CBDC">
            <w:pPr>
              <w:spacing w:after="0" w:line="240" w:lineRule="auto"/>
              <w:jc w:val="left"/>
              <w:rPr>
                <w:rFonts w:ascii="Arial" w:eastAsia="Times New Roman" w:hAnsi="Arial" w:cs="Arial"/>
                <w:b/>
                <w:i/>
                <w:noProof/>
                <w:color w:val="000000" w:themeColor="text1"/>
                <w:sz w:val="16"/>
                <w:szCs w:val="16"/>
                <w:lang w:eastAsia="de-DE"/>
              </w:rPr>
            </w:pPr>
            <w:r>
              <w:rPr>
                <w:rFonts w:ascii="Arial" w:eastAsia="Times New Roman" w:hAnsi="Arial" w:cs="Arial"/>
                <w:b/>
                <w:i/>
                <w:noProof/>
                <w:color w:val="000000" w:themeColor="text1"/>
                <w:sz w:val="16"/>
                <w:szCs w:val="16"/>
                <w:lang w:eastAsia="de-DE"/>
              </w:rPr>
              <w:t>Annual cost</w:t>
            </w:r>
            <w:r w:rsidR="00D83703">
              <w:rPr>
                <w:rFonts w:ascii="Arial" w:eastAsia="Times New Roman" w:hAnsi="Arial" w:cs="Arial"/>
                <w:b/>
                <w:i/>
                <w:noProof/>
                <w:color w:val="000000" w:themeColor="text1"/>
                <w:sz w:val="16"/>
                <w:szCs w:val="16"/>
                <w:lang w:eastAsia="de-DE"/>
              </w:rPr>
              <w:t xml:space="preserve"> for all sectors</w:t>
            </w:r>
            <w:r>
              <w:rPr>
                <w:rFonts w:ascii="Arial" w:eastAsia="Times New Roman" w:hAnsi="Arial" w:cs="Arial"/>
                <w:b/>
                <w:i/>
                <w:noProof/>
                <w:color w:val="000000" w:themeColor="text1"/>
                <w:sz w:val="16"/>
                <w:szCs w:val="16"/>
                <w:lang w:eastAsia="de-DE"/>
              </w:rPr>
              <w:t xml:space="preserve"> combined </w:t>
            </w:r>
          </w:p>
        </w:tc>
        <w:tc>
          <w:tcPr>
            <w:tcW w:w="929" w:type="pct"/>
            <w:tcBorders>
              <w:top w:val="double" w:sz="4" w:space="0" w:color="auto"/>
              <w:left w:val="nil"/>
              <w:bottom w:val="single" w:sz="8" w:space="0" w:color="auto"/>
              <w:right w:val="single" w:sz="8" w:space="0" w:color="auto"/>
            </w:tcBorders>
            <w:shd w:val="clear" w:color="auto" w:fill="FFFFFF" w:themeFill="background1"/>
            <w:noWrap/>
            <w:vAlign w:val="center"/>
            <w:hideMark/>
          </w:tcPr>
          <w:p w14:paraId="2EBC5723" w14:textId="6E5F86FB" w:rsidR="003D2A14" w:rsidRPr="00FB2030" w:rsidRDefault="005B7DD1" w:rsidP="3982CBDC">
            <w:pPr>
              <w:spacing w:after="0" w:line="240" w:lineRule="auto"/>
              <w:jc w:val="center"/>
              <w:rPr>
                <w:rFonts w:ascii="Arial" w:eastAsia="Times New Roman" w:hAnsi="Arial" w:cs="Arial"/>
                <w:b/>
                <w:i/>
                <w:noProof/>
                <w:color w:val="000000" w:themeColor="text1"/>
                <w:sz w:val="16"/>
                <w:szCs w:val="16"/>
                <w:lang w:eastAsia="de-DE"/>
              </w:rPr>
            </w:pPr>
            <w:r w:rsidRPr="005B7DD1">
              <w:rPr>
                <w:rFonts w:ascii="Arial" w:eastAsia="Times New Roman" w:hAnsi="Arial" w:cs="Arial"/>
                <w:b/>
                <w:i/>
                <w:noProof/>
                <w:color w:val="000000" w:themeColor="text1"/>
                <w:sz w:val="16"/>
                <w:szCs w:val="16"/>
                <w:lang w:eastAsia="de-DE"/>
              </w:rPr>
              <w:t xml:space="preserve">In </w:t>
            </w:r>
            <w:r w:rsidR="3982CBDC" w:rsidRPr="005B7DD1">
              <w:rPr>
                <w:rFonts w:ascii="Arial" w:eastAsia="Times New Roman" w:hAnsi="Arial" w:cs="Arial"/>
                <w:b/>
                <w:i/>
                <w:noProof/>
                <w:color w:val="000000" w:themeColor="text1"/>
                <w:sz w:val="16"/>
                <w:szCs w:val="16"/>
                <w:lang w:eastAsia="de-DE"/>
              </w:rPr>
              <w:t>2050</w:t>
            </w:r>
          </w:p>
        </w:tc>
        <w:tc>
          <w:tcPr>
            <w:tcW w:w="1085" w:type="pct"/>
            <w:tcBorders>
              <w:top w:val="double" w:sz="4" w:space="0" w:color="auto"/>
              <w:left w:val="nil"/>
              <w:bottom w:val="single" w:sz="8" w:space="0" w:color="auto"/>
              <w:right w:val="single" w:sz="8" w:space="0" w:color="auto"/>
            </w:tcBorders>
            <w:shd w:val="clear" w:color="auto" w:fill="FFFFFF" w:themeFill="background1"/>
            <w:noWrap/>
            <w:vAlign w:val="center"/>
            <w:hideMark/>
          </w:tcPr>
          <w:p w14:paraId="0A67A685" w14:textId="1279F5F2" w:rsidR="003D2A14" w:rsidRPr="00FB2030" w:rsidRDefault="3982CBDC" w:rsidP="3982CBDC">
            <w:pPr>
              <w:spacing w:after="0" w:line="240" w:lineRule="auto"/>
              <w:jc w:val="right"/>
              <w:rPr>
                <w:rFonts w:ascii="Arial" w:eastAsia="Times New Roman" w:hAnsi="Arial" w:cs="Arial"/>
                <w:b/>
                <w:i/>
                <w:noProof/>
                <w:color w:val="000000" w:themeColor="text1"/>
                <w:sz w:val="16"/>
                <w:szCs w:val="16"/>
                <w:lang w:eastAsia="de-DE"/>
              </w:rPr>
            </w:pPr>
            <w:r w:rsidRPr="00FB2030">
              <w:rPr>
                <w:rFonts w:ascii="Arial" w:eastAsia="Calibri" w:hAnsi="Arial" w:cs="Arial"/>
                <w:b/>
                <w:i/>
                <w:noProof/>
                <w:sz w:val="16"/>
                <w:szCs w:val="16"/>
              </w:rPr>
              <w:t>-456.1</w:t>
            </w:r>
          </w:p>
        </w:tc>
        <w:tc>
          <w:tcPr>
            <w:tcW w:w="1086" w:type="pct"/>
            <w:tcBorders>
              <w:top w:val="double" w:sz="4" w:space="0" w:color="auto"/>
              <w:left w:val="nil"/>
              <w:bottom w:val="single" w:sz="8" w:space="0" w:color="auto"/>
              <w:right w:val="single" w:sz="8" w:space="0" w:color="auto"/>
            </w:tcBorders>
            <w:shd w:val="clear" w:color="auto" w:fill="FFFFFF" w:themeFill="background1"/>
            <w:noWrap/>
            <w:vAlign w:val="center"/>
            <w:hideMark/>
          </w:tcPr>
          <w:p w14:paraId="456BF6C3" w14:textId="131A700C" w:rsidR="003D2A14" w:rsidRPr="00FB2030" w:rsidRDefault="001A0C1F" w:rsidP="3982CBDC">
            <w:pPr>
              <w:spacing w:after="0" w:line="240" w:lineRule="auto"/>
              <w:jc w:val="right"/>
              <w:rPr>
                <w:rFonts w:ascii="Arial" w:eastAsia="Times New Roman" w:hAnsi="Arial" w:cs="Arial"/>
                <w:b/>
                <w:i/>
                <w:noProof/>
                <w:color w:val="000000" w:themeColor="text1"/>
                <w:sz w:val="16"/>
                <w:szCs w:val="16"/>
                <w:lang w:eastAsia="de-DE"/>
              </w:rPr>
            </w:pPr>
            <w:r>
              <w:rPr>
                <w:rFonts w:ascii="Arial" w:eastAsia="Calibri" w:hAnsi="Arial" w:cs="Arial"/>
                <w:b/>
                <w:i/>
                <w:noProof/>
                <w:sz w:val="16"/>
                <w:szCs w:val="16"/>
              </w:rPr>
              <w:t>-1024.6</w:t>
            </w:r>
          </w:p>
        </w:tc>
        <w:tc>
          <w:tcPr>
            <w:tcW w:w="1086" w:type="pct"/>
            <w:tcBorders>
              <w:top w:val="double" w:sz="4" w:space="0" w:color="auto"/>
              <w:left w:val="nil"/>
              <w:bottom w:val="single" w:sz="8" w:space="0" w:color="auto"/>
              <w:right w:val="single" w:sz="8" w:space="0" w:color="auto"/>
            </w:tcBorders>
            <w:shd w:val="clear" w:color="auto" w:fill="FFFFFF" w:themeFill="background1"/>
            <w:noWrap/>
            <w:vAlign w:val="center"/>
            <w:hideMark/>
          </w:tcPr>
          <w:p w14:paraId="59E66464" w14:textId="2C9A6F59" w:rsidR="003D2A14" w:rsidRPr="00FB2030" w:rsidRDefault="3982CBDC" w:rsidP="3982CBDC">
            <w:pPr>
              <w:spacing w:after="0" w:line="240" w:lineRule="auto"/>
              <w:jc w:val="right"/>
              <w:rPr>
                <w:rFonts w:ascii="Arial" w:eastAsia="Times New Roman" w:hAnsi="Arial" w:cs="Arial"/>
                <w:b/>
                <w:i/>
                <w:noProof/>
                <w:color w:val="000000" w:themeColor="text1"/>
                <w:sz w:val="16"/>
                <w:szCs w:val="16"/>
                <w:lang w:eastAsia="de-DE"/>
              </w:rPr>
            </w:pPr>
            <w:r w:rsidRPr="00FB2030">
              <w:rPr>
                <w:rFonts w:ascii="Arial" w:eastAsia="Calibri" w:hAnsi="Arial" w:cs="Arial"/>
                <w:b/>
                <w:i/>
                <w:noProof/>
                <w:sz w:val="16"/>
                <w:szCs w:val="16"/>
              </w:rPr>
              <w:t>-1040.1</w:t>
            </w:r>
          </w:p>
        </w:tc>
      </w:tr>
    </w:tbl>
    <w:p w14:paraId="23799B54" w14:textId="7560352A" w:rsidR="007C29D2" w:rsidRDefault="00921E35" w:rsidP="00D32AA8">
      <w:pPr>
        <w:spacing w:after="0"/>
        <w:rPr>
          <w:b/>
          <w:noProof/>
        </w:rPr>
      </w:pPr>
      <w:r>
        <w:rPr>
          <w:b/>
          <w:noProof/>
        </w:rPr>
        <w:t xml:space="preserve"> </w:t>
      </w:r>
    </w:p>
    <w:p w14:paraId="2D98D8B6" w14:textId="5717D4F5" w:rsidR="00A75F5E" w:rsidRPr="00A75F5E" w:rsidRDefault="00E04F0C" w:rsidP="00E04F0C">
      <w:pPr>
        <w:pStyle w:val="Heading4"/>
        <w:rPr>
          <w:rFonts w:eastAsia="MS Gothic"/>
          <w:noProof/>
        </w:rPr>
      </w:pPr>
      <w:r w:rsidRPr="00E04F0C">
        <w:rPr>
          <w:rFonts w:eastAsia="MS Gothic"/>
        </w:rPr>
        <w:t>6.2.1.2.</w:t>
      </w:r>
      <w:r w:rsidRPr="00E04F0C">
        <w:rPr>
          <w:rFonts w:eastAsia="MS Gothic"/>
        </w:rPr>
        <w:tab/>
      </w:r>
      <w:r w:rsidR="00A75F5E">
        <w:rPr>
          <w:rFonts w:eastAsia="MS Gothic"/>
          <w:noProof/>
        </w:rPr>
        <w:t>Emission reduction costs</w:t>
      </w:r>
    </w:p>
    <w:p w14:paraId="6F154184" w14:textId="31CA2714" w:rsidR="00103237" w:rsidRDefault="00A75F5E" w:rsidP="00A631F9">
      <w:pPr>
        <w:spacing w:after="120"/>
        <w:rPr>
          <w:noProof/>
        </w:rPr>
      </w:pPr>
      <w:r>
        <w:rPr>
          <w:b/>
          <w:bCs/>
          <w:noProof/>
        </w:rPr>
        <w:t>To judge the cost-</w:t>
      </w:r>
      <w:r w:rsidR="000C7D50" w:rsidRPr="3982CBDC">
        <w:rPr>
          <w:b/>
          <w:bCs/>
          <w:noProof/>
        </w:rPr>
        <w:t xml:space="preserve">efficiency </w:t>
      </w:r>
      <w:r w:rsidR="00657197" w:rsidRPr="3982CBDC">
        <w:rPr>
          <w:b/>
          <w:bCs/>
          <w:noProof/>
        </w:rPr>
        <w:t>of the options</w:t>
      </w:r>
      <w:r>
        <w:rPr>
          <w:b/>
          <w:bCs/>
          <w:noProof/>
        </w:rPr>
        <w:t>,</w:t>
      </w:r>
      <w:r w:rsidR="00657197" w:rsidRPr="3982CBDC">
        <w:rPr>
          <w:b/>
          <w:bCs/>
          <w:noProof/>
        </w:rPr>
        <w:t xml:space="preserve"> </w:t>
      </w:r>
      <w:r w:rsidRPr="00A75F5E">
        <w:rPr>
          <w:b/>
          <w:bCs/>
          <w:noProof/>
        </w:rPr>
        <w:t xml:space="preserve">emission reduction costs </w:t>
      </w:r>
      <w:r w:rsidR="00DA420B">
        <w:rPr>
          <w:b/>
          <w:bCs/>
          <w:noProof/>
        </w:rPr>
        <w:t xml:space="preserve">(i.e. abatement costs) </w:t>
      </w:r>
      <w:r w:rsidRPr="00A75F5E">
        <w:rPr>
          <w:b/>
          <w:bCs/>
          <w:noProof/>
        </w:rPr>
        <w:t>are calculated</w:t>
      </w:r>
      <w:r w:rsidR="007C29D2">
        <w:rPr>
          <w:noProof/>
        </w:rPr>
        <w:t>.</w:t>
      </w:r>
      <w:r w:rsidR="00B44841">
        <w:rPr>
          <w:noProof/>
        </w:rPr>
        <w:t xml:space="preserve"> </w:t>
      </w:r>
      <w:r w:rsidR="001741EB">
        <w:rPr>
          <w:noProof/>
        </w:rPr>
        <w:t>Since new equipment will leak (i.e. emit) over many years, e</w:t>
      </w:r>
      <w:r w:rsidR="001741EB" w:rsidRPr="001741EB">
        <w:rPr>
          <w:noProof/>
        </w:rPr>
        <w:t xml:space="preserve">mission reduction cost compare the cost of technological change for investment in and operation </w:t>
      </w:r>
      <w:r w:rsidR="001741EB">
        <w:rPr>
          <w:noProof/>
        </w:rPr>
        <w:t xml:space="preserve">(e.g. maintenance costs, energy use) </w:t>
      </w:r>
      <w:r w:rsidR="001741EB" w:rsidRPr="001741EB">
        <w:rPr>
          <w:noProof/>
        </w:rPr>
        <w:t xml:space="preserve">of equipment based on low-GWP alternatives </w:t>
      </w:r>
      <w:r w:rsidR="00DB0692">
        <w:rPr>
          <w:noProof/>
        </w:rPr>
        <w:t xml:space="preserve">during its lifetime </w:t>
      </w:r>
      <w:r w:rsidR="001741EB" w:rsidRPr="001741EB">
        <w:rPr>
          <w:noProof/>
        </w:rPr>
        <w:t xml:space="preserve">to the emissions saved during the lifetime of the respective equipment. </w:t>
      </w:r>
      <w:r w:rsidR="00311223">
        <w:rPr>
          <w:noProof/>
        </w:rPr>
        <w:t>These costs are determine</w:t>
      </w:r>
      <w:r w:rsidR="00DA420B">
        <w:rPr>
          <w:noProof/>
        </w:rPr>
        <w:t>d for new equipment installed</w:t>
      </w:r>
      <w:r w:rsidR="00311223">
        <w:rPr>
          <w:noProof/>
        </w:rPr>
        <w:t xml:space="preserve"> (i) </w:t>
      </w:r>
      <w:r w:rsidR="00DA420B">
        <w:rPr>
          <w:noProof/>
        </w:rPr>
        <w:t xml:space="preserve">each year during </w:t>
      </w:r>
      <w:r w:rsidR="00311223">
        <w:rPr>
          <w:noProof/>
        </w:rPr>
        <w:t xml:space="preserve">the 2024-2036 timeframe and (ii) in 2050. The HFC price premium (see </w:t>
      </w:r>
      <w:r w:rsidR="0064033B">
        <w:rPr>
          <w:noProof/>
        </w:rPr>
        <w:t>6.2.1.3</w:t>
      </w:r>
      <w:r w:rsidR="00311223">
        <w:rPr>
          <w:noProof/>
        </w:rPr>
        <w:t xml:space="preserve">) is not considered </w:t>
      </w:r>
      <w:r w:rsidR="00DA420B">
        <w:rPr>
          <w:noProof/>
        </w:rPr>
        <w:t>here</w:t>
      </w:r>
      <w:r w:rsidR="00311223">
        <w:rPr>
          <w:noProof/>
        </w:rPr>
        <w:t>, because it is (i) a distributional cost, a</w:t>
      </w:r>
      <w:r w:rsidR="001741EB">
        <w:rPr>
          <w:noProof/>
        </w:rPr>
        <w:t>n</w:t>
      </w:r>
      <w:r w:rsidR="00311223">
        <w:rPr>
          <w:noProof/>
        </w:rPr>
        <w:t xml:space="preserve">d not a net cost for the economy (see </w:t>
      </w:r>
      <w:r w:rsidR="0064033B">
        <w:rPr>
          <w:noProof/>
        </w:rPr>
        <w:t>6.2.1.5</w:t>
      </w:r>
      <w:r w:rsidR="00311223">
        <w:rPr>
          <w:noProof/>
        </w:rPr>
        <w:t xml:space="preserve">), and (ii) these premiums are paid by the users of HFC </w:t>
      </w:r>
      <w:r w:rsidR="00EC6238">
        <w:rPr>
          <w:noProof/>
        </w:rPr>
        <w:t xml:space="preserve">equipment, rather than those </w:t>
      </w:r>
      <w:r w:rsidR="00311223">
        <w:rPr>
          <w:noProof/>
        </w:rPr>
        <w:t xml:space="preserve">using alternative equipment </w:t>
      </w:r>
      <w:r w:rsidR="001741EB">
        <w:rPr>
          <w:noProof/>
        </w:rPr>
        <w:t xml:space="preserve">as a result of </w:t>
      </w:r>
      <w:r w:rsidR="00311223">
        <w:rPr>
          <w:noProof/>
        </w:rPr>
        <w:t xml:space="preserve">the policy options assessed. </w:t>
      </w:r>
      <w:r w:rsidR="00103237">
        <w:rPr>
          <w:noProof/>
        </w:rPr>
        <w:t>T</w:t>
      </w:r>
      <w:r w:rsidR="00D73B0A">
        <w:rPr>
          <w:noProof/>
        </w:rPr>
        <w:t xml:space="preserve">he resulting estimated </w:t>
      </w:r>
      <w:r w:rsidR="00590D8C" w:rsidRPr="00590D8C">
        <w:rPr>
          <w:noProof/>
        </w:rPr>
        <w:t>emission reduction cost</w:t>
      </w:r>
      <w:r w:rsidR="001741EB">
        <w:rPr>
          <w:noProof/>
        </w:rPr>
        <w:t>s</w:t>
      </w:r>
      <w:r w:rsidR="00590D8C" w:rsidRPr="00590D8C">
        <w:rPr>
          <w:noProof/>
        </w:rPr>
        <w:t xml:space="preserve"> </w:t>
      </w:r>
      <w:r w:rsidR="00103237">
        <w:rPr>
          <w:noProof/>
        </w:rPr>
        <w:t xml:space="preserve">are shown </w:t>
      </w:r>
      <w:r w:rsidR="00590D8C">
        <w:rPr>
          <w:noProof/>
        </w:rPr>
        <w:t xml:space="preserve">in </w:t>
      </w:r>
      <w:r w:rsidR="00C53749">
        <w:rPr>
          <w:noProof/>
        </w:rPr>
        <w:fldChar w:fldCharType="begin"/>
      </w:r>
      <w:r w:rsidR="00C53749">
        <w:rPr>
          <w:noProof/>
        </w:rPr>
        <w:instrText xml:space="preserve"> REF _Ref94692257 \h  \* MERGEFORMAT </w:instrText>
      </w:r>
      <w:r w:rsidR="00C53749">
        <w:rPr>
          <w:noProof/>
        </w:rPr>
      </w:r>
      <w:r w:rsidR="00C53749">
        <w:rPr>
          <w:noProof/>
        </w:rPr>
        <w:fldChar w:fldCharType="separate"/>
      </w:r>
      <w:r w:rsidR="00C53749" w:rsidRPr="001741EB">
        <w:rPr>
          <w:noProof/>
        </w:rPr>
        <w:t>Table 5</w:t>
      </w:r>
      <w:r w:rsidR="00C53749">
        <w:rPr>
          <w:noProof/>
        </w:rPr>
        <w:fldChar w:fldCharType="end"/>
      </w:r>
      <w:r w:rsidR="00FC2837">
        <w:rPr>
          <w:noProof/>
        </w:rPr>
        <w:t xml:space="preserve">. </w:t>
      </w:r>
    </w:p>
    <w:p w14:paraId="64108322" w14:textId="3C35FC4E" w:rsidR="00493939" w:rsidRDefault="00D47974" w:rsidP="00A631F9">
      <w:pPr>
        <w:spacing w:after="120"/>
        <w:rPr>
          <w:noProof/>
        </w:rPr>
      </w:pPr>
      <w:r w:rsidRPr="00D47974">
        <w:rPr>
          <w:noProof/>
        </w:rPr>
        <w:t xml:space="preserve">In </w:t>
      </w:r>
      <w:r w:rsidRPr="001B1C36">
        <w:rPr>
          <w:noProof/>
        </w:rPr>
        <w:t xml:space="preserve">the </w:t>
      </w:r>
      <w:r w:rsidRPr="3982CBDC">
        <w:rPr>
          <w:b/>
          <w:bCs/>
          <w:noProof/>
        </w:rPr>
        <w:t>2024-2036 time horizo</w:t>
      </w:r>
      <w:r w:rsidRPr="00A631F9">
        <w:rPr>
          <w:b/>
          <w:bCs/>
          <w:noProof/>
        </w:rPr>
        <w:t>n</w:t>
      </w:r>
      <w:r w:rsidR="00B936CC" w:rsidRPr="00A631F9">
        <w:rPr>
          <w:b/>
          <w:noProof/>
        </w:rPr>
        <w:t>,</w:t>
      </w:r>
      <w:r w:rsidR="00116C29" w:rsidRPr="00A631F9">
        <w:rPr>
          <w:b/>
          <w:noProof/>
        </w:rPr>
        <w:t xml:space="preserve"> </w:t>
      </w:r>
      <w:r w:rsidR="003A5CE8" w:rsidRPr="00A631F9">
        <w:rPr>
          <w:b/>
          <w:noProof/>
        </w:rPr>
        <w:t xml:space="preserve">Option 2 and 3 </w:t>
      </w:r>
      <w:r w:rsidR="00DD7AB7">
        <w:rPr>
          <w:b/>
          <w:noProof/>
        </w:rPr>
        <w:t xml:space="preserve">will </w:t>
      </w:r>
      <w:r w:rsidR="000C7D50" w:rsidRPr="00A631F9">
        <w:rPr>
          <w:b/>
          <w:noProof/>
        </w:rPr>
        <w:t xml:space="preserve">result in </w:t>
      </w:r>
      <w:r w:rsidR="001B1C36" w:rsidRPr="00A631F9">
        <w:rPr>
          <w:b/>
          <w:noProof/>
        </w:rPr>
        <w:t>cost</w:t>
      </w:r>
      <w:r w:rsidR="00493939" w:rsidRPr="00A631F9">
        <w:rPr>
          <w:b/>
          <w:noProof/>
        </w:rPr>
        <w:t xml:space="preserve"> </w:t>
      </w:r>
      <w:r w:rsidR="001B1C36" w:rsidRPr="00A631F9">
        <w:rPr>
          <w:b/>
          <w:noProof/>
        </w:rPr>
        <w:t>s</w:t>
      </w:r>
      <w:r w:rsidR="00493939" w:rsidRPr="00A631F9">
        <w:rPr>
          <w:b/>
          <w:noProof/>
        </w:rPr>
        <w:t>avings</w:t>
      </w:r>
      <w:r w:rsidR="001B1C36">
        <w:rPr>
          <w:b/>
          <w:noProof/>
        </w:rPr>
        <w:t xml:space="preserve"> </w:t>
      </w:r>
      <w:r w:rsidR="00694D30" w:rsidRPr="00694D30">
        <w:rPr>
          <w:noProof/>
        </w:rPr>
        <w:t>(</w:t>
      </w:r>
      <w:r w:rsidR="005623B4">
        <w:rPr>
          <w:noProof/>
        </w:rPr>
        <w:t>i.e.</w:t>
      </w:r>
      <w:r w:rsidR="00694D30">
        <w:rPr>
          <w:noProof/>
        </w:rPr>
        <w:t xml:space="preserve"> </w:t>
      </w:r>
      <w:r w:rsidR="00694D30" w:rsidRPr="00694D30">
        <w:rPr>
          <w:noProof/>
        </w:rPr>
        <w:t>negative costs)</w:t>
      </w:r>
      <w:r w:rsidR="001B1C36">
        <w:rPr>
          <w:noProof/>
        </w:rPr>
        <w:t xml:space="preserve"> </w:t>
      </w:r>
      <w:r w:rsidR="00453203" w:rsidRPr="00492D4F">
        <w:rPr>
          <w:b/>
          <w:noProof/>
        </w:rPr>
        <w:t xml:space="preserve">of </w:t>
      </w:r>
      <w:r w:rsidR="00FB2030" w:rsidRPr="00492D4F">
        <w:rPr>
          <w:b/>
          <w:noProof/>
        </w:rPr>
        <w:t>36</w:t>
      </w:r>
      <w:r w:rsidRPr="00492D4F">
        <w:rPr>
          <w:b/>
          <w:noProof/>
        </w:rPr>
        <w:t xml:space="preserve">€/tCO2e </w:t>
      </w:r>
      <w:r w:rsidR="003A5CE8" w:rsidRPr="00492D4F">
        <w:rPr>
          <w:b/>
          <w:noProof/>
        </w:rPr>
        <w:t>abated</w:t>
      </w:r>
      <w:r w:rsidR="003A5CE8" w:rsidRPr="00694D30">
        <w:rPr>
          <w:noProof/>
        </w:rPr>
        <w:t xml:space="preserve"> </w:t>
      </w:r>
      <w:r w:rsidR="00694D30">
        <w:rPr>
          <w:b/>
          <w:noProof/>
        </w:rPr>
        <w:t>and</w:t>
      </w:r>
      <w:r w:rsidRPr="00492D4F">
        <w:rPr>
          <w:b/>
          <w:noProof/>
        </w:rPr>
        <w:t xml:space="preserve"> </w:t>
      </w:r>
      <w:r w:rsidR="00493939" w:rsidRPr="00492D4F">
        <w:rPr>
          <w:b/>
          <w:noProof/>
        </w:rPr>
        <w:t>23</w:t>
      </w:r>
      <w:r w:rsidR="00694D30">
        <w:rPr>
          <w:b/>
          <w:noProof/>
        </w:rPr>
        <w:t xml:space="preserve"> </w:t>
      </w:r>
      <w:r w:rsidRPr="00492D4F">
        <w:rPr>
          <w:b/>
          <w:noProof/>
        </w:rPr>
        <w:t>€/</w:t>
      </w:r>
      <w:r w:rsidR="00493939" w:rsidRPr="00492D4F">
        <w:rPr>
          <w:b/>
          <w:noProof/>
        </w:rPr>
        <w:t>t</w:t>
      </w:r>
      <w:r w:rsidRPr="00492D4F">
        <w:rPr>
          <w:b/>
          <w:noProof/>
        </w:rPr>
        <w:t>CO2e</w:t>
      </w:r>
      <w:r w:rsidR="003A5CE8" w:rsidRPr="00492D4F">
        <w:rPr>
          <w:b/>
          <w:noProof/>
        </w:rPr>
        <w:t xml:space="preserve"> abated</w:t>
      </w:r>
      <w:r w:rsidR="00694D30">
        <w:rPr>
          <w:b/>
          <w:noProof/>
        </w:rPr>
        <w:t xml:space="preserve">, </w:t>
      </w:r>
      <w:r w:rsidR="00694D30" w:rsidRPr="00694D30">
        <w:rPr>
          <w:noProof/>
        </w:rPr>
        <w:t>respectively</w:t>
      </w:r>
      <w:r w:rsidRPr="00492D4F">
        <w:rPr>
          <w:b/>
          <w:noProof/>
        </w:rPr>
        <w:t xml:space="preserve"> </w:t>
      </w:r>
      <w:r w:rsidR="00694D30">
        <w:rPr>
          <w:noProof/>
        </w:rPr>
        <w:t>for the economy as a whole</w:t>
      </w:r>
      <w:r w:rsidRPr="00D47974">
        <w:rPr>
          <w:noProof/>
        </w:rPr>
        <w:t>.</w:t>
      </w:r>
      <w:r w:rsidR="000C7D50">
        <w:rPr>
          <w:rStyle w:val="FootnoteReference"/>
          <w:noProof/>
        </w:rPr>
        <w:footnoteReference w:id="97"/>
      </w:r>
      <w:r w:rsidRPr="00D47974">
        <w:rPr>
          <w:noProof/>
        </w:rPr>
        <w:t xml:space="preserve"> </w:t>
      </w:r>
      <w:bookmarkStart w:id="214" w:name="_Ref85709705"/>
      <w:r w:rsidR="00493939" w:rsidRPr="00CD7616">
        <w:rPr>
          <w:noProof/>
        </w:rPr>
        <w:t xml:space="preserve">In the </w:t>
      </w:r>
      <w:r w:rsidR="00493939" w:rsidRPr="00BC4124">
        <w:rPr>
          <w:b/>
          <w:noProof/>
        </w:rPr>
        <w:t>long-term perspective (2050)</w:t>
      </w:r>
      <w:r w:rsidR="00493939" w:rsidRPr="00CD7616">
        <w:rPr>
          <w:noProof/>
        </w:rPr>
        <w:t xml:space="preserve">, </w:t>
      </w:r>
      <w:r w:rsidR="00493939" w:rsidRPr="00694D30">
        <w:rPr>
          <w:b/>
          <w:noProof/>
        </w:rPr>
        <w:t>Option 1 results in</w:t>
      </w:r>
      <w:r w:rsidR="00493939" w:rsidRPr="00CD7616">
        <w:rPr>
          <w:noProof/>
        </w:rPr>
        <w:t xml:space="preserve"> </w:t>
      </w:r>
      <w:r w:rsidR="00694D30" w:rsidRPr="00694D30">
        <w:rPr>
          <w:b/>
          <w:noProof/>
        </w:rPr>
        <w:t>cost savings</w:t>
      </w:r>
      <w:r w:rsidR="00493939" w:rsidRPr="00694D30">
        <w:rPr>
          <w:b/>
          <w:noProof/>
        </w:rPr>
        <w:t xml:space="preserve"> at almost -</w:t>
      </w:r>
      <w:r w:rsidR="00D76DDB" w:rsidRPr="00694D30">
        <w:rPr>
          <w:b/>
          <w:noProof/>
        </w:rPr>
        <w:t>178</w:t>
      </w:r>
      <w:r w:rsidR="00493939" w:rsidRPr="00694D30">
        <w:rPr>
          <w:b/>
          <w:noProof/>
        </w:rPr>
        <w:t xml:space="preserve"> €/t CO2 abated</w:t>
      </w:r>
      <w:r w:rsidR="00493939" w:rsidRPr="00CD7616">
        <w:rPr>
          <w:noProof/>
        </w:rPr>
        <w:t>, since emissions savings would be mostly limited to the cost-efficient sub-sectors of refrigeration and AC</w:t>
      </w:r>
      <w:r w:rsidR="00D76DDB">
        <w:rPr>
          <w:noProof/>
        </w:rPr>
        <w:t xml:space="preserve"> (and the other sectors therefore do not show up in the calculation)</w:t>
      </w:r>
      <w:r w:rsidR="00493939" w:rsidRPr="00CD7616">
        <w:rPr>
          <w:noProof/>
        </w:rPr>
        <w:t xml:space="preserve">. Under </w:t>
      </w:r>
      <w:r w:rsidR="00493939" w:rsidRPr="00694D30">
        <w:rPr>
          <w:b/>
          <w:noProof/>
        </w:rPr>
        <w:t>Option 2 and 3</w:t>
      </w:r>
      <w:r w:rsidR="00EC6238">
        <w:rPr>
          <w:b/>
          <w:noProof/>
        </w:rPr>
        <w:t>,</w:t>
      </w:r>
      <w:r w:rsidR="00493939" w:rsidRPr="00694D30">
        <w:rPr>
          <w:b/>
          <w:noProof/>
        </w:rPr>
        <w:t xml:space="preserve"> the </w:t>
      </w:r>
      <w:r w:rsidR="00126BCD">
        <w:rPr>
          <w:b/>
          <w:noProof/>
        </w:rPr>
        <w:t xml:space="preserve">analysis shows </w:t>
      </w:r>
      <w:r w:rsidR="00682A83" w:rsidRPr="00694D30">
        <w:rPr>
          <w:b/>
          <w:noProof/>
        </w:rPr>
        <w:t xml:space="preserve">average </w:t>
      </w:r>
      <w:r w:rsidR="00493939" w:rsidRPr="00694D30">
        <w:rPr>
          <w:b/>
          <w:noProof/>
        </w:rPr>
        <w:t xml:space="preserve">benefits </w:t>
      </w:r>
      <w:r w:rsidR="00682A83" w:rsidRPr="00694D30">
        <w:rPr>
          <w:b/>
          <w:noProof/>
        </w:rPr>
        <w:t>for th</w:t>
      </w:r>
      <w:r w:rsidR="00126BCD">
        <w:rPr>
          <w:b/>
          <w:noProof/>
        </w:rPr>
        <w:t>e economy as a whole, estimated at</w:t>
      </w:r>
      <w:r w:rsidR="00103237">
        <w:rPr>
          <w:b/>
          <w:noProof/>
        </w:rPr>
        <w:t xml:space="preserve"> 6</w:t>
      </w:r>
      <w:r w:rsidR="00D76DDB" w:rsidRPr="00694D30">
        <w:rPr>
          <w:b/>
          <w:noProof/>
        </w:rPr>
        <w:t xml:space="preserve">3 </w:t>
      </w:r>
      <w:r w:rsidR="00493939" w:rsidRPr="00694D30">
        <w:rPr>
          <w:b/>
          <w:noProof/>
        </w:rPr>
        <w:t>€/t CO2e</w:t>
      </w:r>
      <w:r w:rsidR="00D76DDB" w:rsidRPr="00694D30">
        <w:rPr>
          <w:b/>
          <w:noProof/>
        </w:rPr>
        <w:t xml:space="preserve"> and 52 €/tCO2e</w:t>
      </w:r>
      <w:r w:rsidR="00D76DDB">
        <w:rPr>
          <w:noProof/>
        </w:rPr>
        <w:t xml:space="preserve">, </w:t>
      </w:r>
      <w:r w:rsidR="00682A83">
        <w:rPr>
          <w:noProof/>
        </w:rPr>
        <w:t>respectively</w:t>
      </w:r>
      <w:r w:rsidR="00493939" w:rsidRPr="00CD7616" w:rsidDel="00AE0508">
        <w:rPr>
          <w:noProof/>
        </w:rPr>
        <w:t>.</w:t>
      </w:r>
      <w:r w:rsidR="00DA420B">
        <w:rPr>
          <w:noProof/>
        </w:rPr>
        <w:t xml:space="preserve"> The cost savings come mostly from reduced maintenance costs, in particular energy use.</w:t>
      </w:r>
      <w:r w:rsidR="00493939" w:rsidRPr="00CD7616" w:rsidDel="00AE0508">
        <w:rPr>
          <w:noProof/>
        </w:rPr>
        <w:t xml:space="preserve"> </w:t>
      </w:r>
      <w:r w:rsidR="00126BCD">
        <w:rPr>
          <w:noProof/>
        </w:rPr>
        <w:t xml:space="preserve">This indicates </w:t>
      </w:r>
      <w:r w:rsidR="00126BCD" w:rsidRPr="00330363">
        <w:rPr>
          <w:noProof/>
        </w:rPr>
        <w:t>that</w:t>
      </w:r>
      <w:r w:rsidR="00126BCD" w:rsidRPr="00AE0508">
        <w:rPr>
          <w:b/>
          <w:noProof/>
        </w:rPr>
        <w:t xml:space="preserve"> action in m</w:t>
      </w:r>
      <w:r w:rsidR="00126BCD">
        <w:rPr>
          <w:b/>
          <w:noProof/>
        </w:rPr>
        <w:t>ost</w:t>
      </w:r>
      <w:r w:rsidR="00126BCD" w:rsidRPr="000C77BE">
        <w:rPr>
          <w:b/>
          <w:noProof/>
        </w:rPr>
        <w:t xml:space="preserve"> F-gas sectors is very cost-efficient.</w:t>
      </w:r>
      <w:r w:rsidR="00126BCD">
        <w:rPr>
          <w:b/>
          <w:noProof/>
        </w:rPr>
        <w:t xml:space="preserve"> It is therefore also in general more economical in view of actions taken elsewhere, in other sectors of the economy. </w:t>
      </w:r>
    </w:p>
    <w:p w14:paraId="5E3B4E7A" w14:textId="3553821C" w:rsidR="00B735AF" w:rsidRPr="00126BCD" w:rsidRDefault="00A631F9" w:rsidP="00B735AF">
      <w:pPr>
        <w:spacing w:after="120"/>
        <w:rPr>
          <w:noProof/>
        </w:rPr>
      </w:pPr>
      <w:r>
        <w:rPr>
          <w:rFonts w:eastAsia="Calibri" w:cs="Times New Roman"/>
          <w:noProof/>
        </w:rPr>
        <w:t>The</w:t>
      </w:r>
      <w:r w:rsidR="00126BCD">
        <w:rPr>
          <w:rFonts w:eastAsia="Calibri" w:cs="Times New Roman"/>
          <w:noProof/>
        </w:rPr>
        <w:t>re are however large differences in the marginal abatement costs at the sub-sectoral level</w:t>
      </w:r>
      <w:r>
        <w:rPr>
          <w:rFonts w:eastAsia="Calibri" w:cs="Times New Roman"/>
          <w:noProof/>
        </w:rPr>
        <w:t xml:space="preserve"> </w:t>
      </w:r>
      <w:r w:rsidR="00126BCD">
        <w:rPr>
          <w:noProof/>
        </w:rPr>
        <w:t>(see Annex A12.4).</w:t>
      </w:r>
      <w:r w:rsidR="00354834">
        <w:rPr>
          <w:noProof/>
        </w:rPr>
        <w:t xml:space="preserve"> </w:t>
      </w:r>
      <w:r w:rsidR="00126BCD">
        <w:rPr>
          <w:rFonts w:eastAsia="Calibri" w:cs="Times New Roman"/>
          <w:noProof/>
        </w:rPr>
        <w:t>C</w:t>
      </w:r>
      <w:r w:rsidR="00493939" w:rsidRPr="3982CBDC">
        <w:rPr>
          <w:rFonts w:eastAsia="Calibri" w:cs="Times New Roman"/>
          <w:noProof/>
        </w:rPr>
        <w:t xml:space="preserve">osts related to Option 3 </w:t>
      </w:r>
      <w:r w:rsidR="00493939">
        <w:rPr>
          <w:rFonts w:eastAsia="Calibri" w:cs="Times New Roman"/>
          <w:noProof/>
        </w:rPr>
        <w:t xml:space="preserve">(through a stricter phase-down) reach </w:t>
      </w:r>
      <w:r w:rsidR="00493939" w:rsidRPr="3982CBDC">
        <w:rPr>
          <w:rFonts w:eastAsia="Calibri" w:cs="Times New Roman"/>
          <w:noProof/>
        </w:rPr>
        <w:t xml:space="preserve">up to </w:t>
      </w:r>
      <w:r w:rsidR="00493939">
        <w:rPr>
          <w:rFonts w:eastAsia="Calibri" w:cs="Times New Roman"/>
          <w:noProof/>
        </w:rPr>
        <w:t>2,111</w:t>
      </w:r>
      <w:r w:rsidR="00493939" w:rsidRPr="3982CBDC">
        <w:rPr>
          <w:rFonts w:eastAsia="Calibri" w:cs="Times New Roman"/>
          <w:noProof/>
        </w:rPr>
        <w:t xml:space="preserve"> €/t CO2e abated</w:t>
      </w:r>
      <w:r w:rsidR="00493939">
        <w:rPr>
          <w:rFonts w:eastAsia="Calibri" w:cs="Times New Roman"/>
          <w:noProof/>
        </w:rPr>
        <w:t xml:space="preserve"> (train AC)</w:t>
      </w:r>
      <w:r w:rsidR="00493939" w:rsidRPr="3982CBDC">
        <w:rPr>
          <w:rFonts w:eastAsia="Calibri" w:cs="Times New Roman"/>
          <w:noProof/>
        </w:rPr>
        <w:t xml:space="preserve">, whereas the highest abatement costs under Option 2 are estimated to be </w:t>
      </w:r>
      <w:r w:rsidR="00493939">
        <w:rPr>
          <w:rFonts w:eastAsia="Calibri" w:cs="Times New Roman"/>
          <w:noProof/>
        </w:rPr>
        <w:t>334 (buses AC) and 336</w:t>
      </w:r>
      <w:r w:rsidR="00493939" w:rsidRPr="3982CBDC">
        <w:rPr>
          <w:rFonts w:eastAsia="Calibri" w:cs="Times New Roman"/>
          <w:noProof/>
        </w:rPr>
        <w:t xml:space="preserve"> </w:t>
      </w:r>
      <w:r w:rsidR="00493939">
        <w:rPr>
          <w:rFonts w:eastAsia="Calibri" w:cs="Times New Roman"/>
          <w:noProof/>
        </w:rPr>
        <w:t>(switchgear)</w:t>
      </w:r>
      <w:r w:rsidR="00493939" w:rsidRPr="00CD7616">
        <w:rPr>
          <w:rFonts w:eastAsia="Calibri" w:cs="Times New Roman"/>
          <w:noProof/>
        </w:rPr>
        <w:t xml:space="preserve"> </w:t>
      </w:r>
      <w:r w:rsidR="00493939" w:rsidRPr="3982CBDC">
        <w:rPr>
          <w:rFonts w:eastAsia="Calibri" w:cs="Times New Roman"/>
          <w:noProof/>
        </w:rPr>
        <w:t xml:space="preserve">€/tCO2e. Thus, </w:t>
      </w:r>
      <w:r w:rsidR="00493939" w:rsidRPr="000C77BE">
        <w:rPr>
          <w:rFonts w:eastAsia="Calibri" w:cs="Times New Roman"/>
          <w:b/>
          <w:noProof/>
        </w:rPr>
        <w:t>Option 3 will have</w:t>
      </w:r>
      <w:r w:rsidR="000E43DD" w:rsidRPr="00784333">
        <w:rPr>
          <w:rFonts w:eastAsia="Calibri" w:cs="Times New Roman"/>
          <w:b/>
          <w:noProof/>
        </w:rPr>
        <w:t>, in a few sub-sectors</w:t>
      </w:r>
      <w:r w:rsidR="00D6011E">
        <w:rPr>
          <w:rFonts w:eastAsia="Calibri" w:cs="Times New Roman"/>
          <w:b/>
          <w:noProof/>
        </w:rPr>
        <w:t xml:space="preserve"> (e.g. AC in trains, buses and metros)</w:t>
      </w:r>
      <w:r w:rsidR="000E43DD" w:rsidRPr="000C77BE">
        <w:rPr>
          <w:rFonts w:eastAsia="Calibri" w:cs="Times New Roman"/>
          <w:b/>
          <w:noProof/>
        </w:rPr>
        <w:t>,</w:t>
      </w:r>
      <w:r w:rsidR="00493939" w:rsidRPr="00784333">
        <w:rPr>
          <w:rFonts w:eastAsia="Calibri" w:cs="Times New Roman"/>
          <w:b/>
          <w:noProof/>
        </w:rPr>
        <w:t xml:space="preserve"> marginal abatement costs that are significantly higher than what is being estimated as </w:t>
      </w:r>
      <w:r w:rsidR="00D27562">
        <w:rPr>
          <w:rFonts w:eastAsia="Calibri" w:cs="Times New Roman"/>
          <w:b/>
          <w:noProof/>
        </w:rPr>
        <w:t>necessary</w:t>
      </w:r>
      <w:r w:rsidR="00493939" w:rsidRPr="000C77BE">
        <w:rPr>
          <w:rFonts w:eastAsia="Calibri" w:cs="Times New Roman"/>
          <w:b/>
          <w:noProof/>
        </w:rPr>
        <w:t xml:space="preserve"> </w:t>
      </w:r>
      <w:r w:rsidR="00493939" w:rsidRPr="00330363">
        <w:rPr>
          <w:rFonts w:eastAsia="Calibri" w:cs="Times New Roman"/>
          <w:noProof/>
        </w:rPr>
        <w:t>(390 €/t CO2e abated</w:t>
      </w:r>
      <w:r w:rsidR="00827D46" w:rsidRPr="00330363">
        <w:rPr>
          <w:rFonts w:eastAsia="Calibri" w:cs="Times New Roman"/>
          <w:noProof/>
        </w:rPr>
        <w:t xml:space="preserve"> by 2050</w:t>
      </w:r>
      <w:r w:rsidR="00493939" w:rsidRPr="00330363">
        <w:rPr>
          <w:rFonts w:eastAsia="Calibri" w:cs="Times New Roman"/>
          <w:noProof/>
        </w:rPr>
        <w:t>)</w:t>
      </w:r>
      <w:r w:rsidR="00493939" w:rsidRPr="00784333">
        <w:rPr>
          <w:rFonts w:eastAsia="Calibri" w:cs="Times New Roman"/>
          <w:b/>
          <w:noProof/>
        </w:rPr>
        <w:t xml:space="preserve"> for the economy as </w:t>
      </w:r>
      <w:r w:rsidR="00DD7AB7">
        <w:rPr>
          <w:rFonts w:eastAsia="Calibri" w:cs="Times New Roman"/>
          <w:b/>
          <w:noProof/>
        </w:rPr>
        <w:t xml:space="preserve">a </w:t>
      </w:r>
      <w:r w:rsidR="00493939" w:rsidRPr="00784333">
        <w:rPr>
          <w:rFonts w:eastAsia="Calibri" w:cs="Times New Roman"/>
          <w:b/>
          <w:noProof/>
        </w:rPr>
        <w:t>whole</w:t>
      </w:r>
      <w:r w:rsidR="00D27562">
        <w:rPr>
          <w:rFonts w:eastAsia="Calibri" w:cs="Times New Roman"/>
          <w:b/>
          <w:noProof/>
        </w:rPr>
        <w:t xml:space="preserve"> in modelling until 2050</w:t>
      </w:r>
      <w:r w:rsidR="00493939" w:rsidRPr="000C77BE">
        <w:rPr>
          <w:rFonts w:eastAsia="Calibri" w:cs="Times New Roman"/>
          <w:b/>
          <w:noProof/>
        </w:rPr>
        <w:t>.</w:t>
      </w:r>
      <w:bookmarkStart w:id="215" w:name="_Ref88814486"/>
      <w:r w:rsidR="00103237" w:rsidRPr="00103237">
        <w:rPr>
          <w:noProof/>
        </w:rPr>
        <w:t xml:space="preserve"> </w:t>
      </w:r>
    </w:p>
    <w:p w14:paraId="526B7DEA" w14:textId="70B07CA9" w:rsidR="00A47775" w:rsidRPr="00B735AF" w:rsidRDefault="00A47775" w:rsidP="00B735AF">
      <w:pPr>
        <w:spacing w:after="0"/>
        <w:rPr>
          <w:rFonts w:eastAsia="Calibri" w:cs="Times New Roman"/>
          <w:noProof/>
        </w:rPr>
      </w:pPr>
      <w:bookmarkStart w:id="216" w:name="_Ref94692257"/>
      <w:r w:rsidRPr="3982CBDC">
        <w:rPr>
          <w:rFonts w:asciiTheme="minorHAnsi" w:hAnsiTheme="minorHAnsi"/>
          <w:b/>
          <w:bCs/>
          <w:noProof/>
          <w:color w:val="0070C0"/>
          <w:sz w:val="20"/>
          <w:szCs w:val="20"/>
        </w:rPr>
        <w:t xml:space="preserve">Table </w:t>
      </w:r>
      <w:r w:rsidRPr="3982CBDC">
        <w:rPr>
          <w:noProof/>
        </w:rPr>
        <w:fldChar w:fldCharType="begin"/>
      </w:r>
      <w:r w:rsidRPr="00B25274">
        <w:rPr>
          <w:rFonts w:asciiTheme="minorHAnsi" w:hAnsiTheme="minorHAnsi"/>
          <w:b/>
          <w:noProof/>
          <w:color w:val="0070C0"/>
          <w:sz w:val="20"/>
          <w:szCs w:val="20"/>
        </w:rPr>
        <w:instrText xml:space="preserve"> SEQ Table \* ARABIC </w:instrText>
      </w:r>
      <w:r w:rsidRPr="3982CBDC">
        <w:rPr>
          <w:rFonts w:asciiTheme="minorHAnsi" w:hAnsiTheme="minorHAnsi"/>
          <w:b/>
          <w:noProof/>
          <w:color w:val="0070C0"/>
          <w:sz w:val="20"/>
          <w:szCs w:val="20"/>
        </w:rPr>
        <w:fldChar w:fldCharType="separate"/>
      </w:r>
      <w:r w:rsidR="00830261">
        <w:rPr>
          <w:rFonts w:asciiTheme="minorHAnsi" w:hAnsiTheme="minorHAnsi"/>
          <w:b/>
          <w:noProof/>
          <w:color w:val="0070C0"/>
          <w:sz w:val="20"/>
          <w:szCs w:val="20"/>
        </w:rPr>
        <w:t>5</w:t>
      </w:r>
      <w:r w:rsidRPr="3982CBDC">
        <w:rPr>
          <w:noProof/>
        </w:rPr>
        <w:fldChar w:fldCharType="end"/>
      </w:r>
      <w:bookmarkEnd w:id="214"/>
      <w:bookmarkEnd w:id="215"/>
      <w:bookmarkEnd w:id="216"/>
      <w:r w:rsidR="00B25274" w:rsidRPr="3982CBDC">
        <w:rPr>
          <w:rFonts w:asciiTheme="minorHAnsi" w:hAnsiTheme="minorHAnsi"/>
          <w:noProof/>
          <w:color w:val="0070C0"/>
          <w:sz w:val="20"/>
          <w:szCs w:val="20"/>
        </w:rPr>
        <w:t>.</w:t>
      </w:r>
      <w:r w:rsidRPr="3982CBDC">
        <w:rPr>
          <w:rFonts w:asciiTheme="minorHAnsi" w:hAnsiTheme="minorHAnsi"/>
          <w:noProof/>
          <w:color w:val="0070C0"/>
          <w:sz w:val="20"/>
          <w:szCs w:val="20"/>
        </w:rPr>
        <w:t xml:space="preserve"> Emission reduction costs</w:t>
      </w:r>
      <w:r w:rsidR="00116C29" w:rsidRPr="3982CBDC">
        <w:rPr>
          <w:rFonts w:asciiTheme="minorHAnsi" w:hAnsiTheme="minorHAnsi"/>
          <w:noProof/>
          <w:color w:val="0070C0"/>
          <w:sz w:val="20"/>
          <w:szCs w:val="20"/>
        </w:rPr>
        <w:t xml:space="preserve"> </w:t>
      </w:r>
      <w:r w:rsidR="00B44841">
        <w:rPr>
          <w:rFonts w:asciiTheme="minorHAnsi" w:hAnsiTheme="minorHAnsi"/>
          <w:noProof/>
          <w:color w:val="0070C0"/>
          <w:sz w:val="20"/>
          <w:szCs w:val="20"/>
        </w:rPr>
        <w:t xml:space="preserve">(i.e. abatement costs) </w:t>
      </w:r>
      <w:r w:rsidR="00116C29" w:rsidRPr="3982CBDC">
        <w:rPr>
          <w:rFonts w:asciiTheme="minorHAnsi" w:hAnsiTheme="minorHAnsi"/>
          <w:noProof/>
          <w:color w:val="0070C0"/>
          <w:sz w:val="20"/>
          <w:szCs w:val="20"/>
        </w:rPr>
        <w:t>per sector and in total</w:t>
      </w:r>
      <w:r w:rsidR="002516AC">
        <w:rPr>
          <w:rFonts w:asciiTheme="minorHAnsi" w:hAnsiTheme="minorHAnsi"/>
          <w:noProof/>
          <w:color w:val="0070C0"/>
          <w:sz w:val="20"/>
          <w:szCs w:val="20"/>
        </w:rPr>
        <w:t xml:space="preserve"> for all sectors</w:t>
      </w:r>
      <w:r w:rsidR="00FC2837">
        <w:rPr>
          <w:rFonts w:asciiTheme="minorHAnsi" w:hAnsiTheme="minorHAnsi"/>
          <w:noProof/>
          <w:color w:val="0070C0"/>
          <w:sz w:val="20"/>
          <w:szCs w:val="20"/>
        </w:rPr>
        <w:t xml:space="preserve">. </w:t>
      </w:r>
      <w:r w:rsidR="00B44841">
        <w:rPr>
          <w:rFonts w:asciiTheme="minorHAnsi" w:hAnsiTheme="minorHAnsi"/>
          <w:noProof/>
          <w:color w:val="0070C0"/>
          <w:sz w:val="20"/>
          <w:szCs w:val="20"/>
        </w:rPr>
        <w:t xml:space="preserve"> </w:t>
      </w:r>
    </w:p>
    <w:tbl>
      <w:tblPr>
        <w:tblW w:w="0" w:type="auto"/>
        <w:tblLayout w:type="fixed"/>
        <w:tblCellMar>
          <w:left w:w="70" w:type="dxa"/>
          <w:right w:w="70" w:type="dxa"/>
        </w:tblCellMar>
        <w:tblLook w:val="04A0" w:firstRow="1" w:lastRow="0" w:firstColumn="1" w:lastColumn="0" w:noHBand="0" w:noVBand="1"/>
      </w:tblPr>
      <w:tblGrid>
        <w:gridCol w:w="864"/>
        <w:gridCol w:w="759"/>
        <w:gridCol w:w="857"/>
        <w:gridCol w:w="709"/>
        <w:gridCol w:w="863"/>
        <w:gridCol w:w="751"/>
        <w:gridCol w:w="903"/>
        <w:gridCol w:w="903"/>
        <w:gridCol w:w="751"/>
        <w:gridCol w:w="903"/>
        <w:gridCol w:w="903"/>
      </w:tblGrid>
      <w:tr w:rsidR="009945DE" w:rsidRPr="00D31C49" w14:paraId="09358FE3" w14:textId="77777777" w:rsidTr="009945DE">
        <w:trPr>
          <w:trHeight w:val="290"/>
        </w:trPr>
        <w:tc>
          <w:tcPr>
            <w:tcW w:w="864" w:type="dxa"/>
            <w:vMerge w:val="restart"/>
            <w:tcBorders>
              <w:top w:val="single" w:sz="8" w:space="0" w:color="auto"/>
              <w:left w:val="single" w:sz="8" w:space="0" w:color="auto"/>
              <w:bottom w:val="nil"/>
              <w:right w:val="single" w:sz="4" w:space="0" w:color="auto"/>
            </w:tcBorders>
            <w:shd w:val="clear" w:color="auto" w:fill="BFBFBF" w:themeFill="background1" w:themeFillShade="BF"/>
            <w:vAlign w:val="center"/>
            <w:hideMark/>
          </w:tcPr>
          <w:p w14:paraId="00CA6BD4" w14:textId="77777777" w:rsidR="00A47775" w:rsidRPr="002073BC" w:rsidRDefault="3982CBDC" w:rsidP="3982CBDC">
            <w:pPr>
              <w:spacing w:after="0" w:line="240" w:lineRule="auto"/>
              <w:jc w:val="center"/>
              <w:rPr>
                <w:rFonts w:eastAsia="Times New Roman"/>
                <w:b/>
                <w:bCs/>
                <w:noProof/>
                <w:sz w:val="16"/>
                <w:szCs w:val="16"/>
                <w:lang w:eastAsia="de-DE"/>
              </w:rPr>
            </w:pPr>
            <w:r w:rsidRPr="3982CBDC">
              <w:rPr>
                <w:rFonts w:eastAsia="Times New Roman"/>
                <w:b/>
                <w:bCs/>
                <w:noProof/>
                <w:sz w:val="16"/>
                <w:szCs w:val="16"/>
                <w:lang w:eastAsia="de-DE"/>
              </w:rPr>
              <w:t>Sector</w:t>
            </w:r>
          </w:p>
        </w:tc>
        <w:tc>
          <w:tcPr>
            <w:tcW w:w="759" w:type="dxa"/>
            <w:vMerge w:val="restart"/>
            <w:tcBorders>
              <w:top w:val="single" w:sz="8" w:space="0" w:color="auto"/>
              <w:left w:val="single" w:sz="4" w:space="0" w:color="auto"/>
              <w:bottom w:val="single" w:sz="4" w:space="0" w:color="auto"/>
              <w:right w:val="single" w:sz="8" w:space="0" w:color="auto"/>
            </w:tcBorders>
            <w:shd w:val="clear" w:color="auto" w:fill="BFBFBF" w:themeFill="background1" w:themeFillShade="BF"/>
            <w:vAlign w:val="center"/>
            <w:hideMark/>
          </w:tcPr>
          <w:p w14:paraId="7097541E" w14:textId="77777777" w:rsidR="00A47775" w:rsidRPr="002073BC" w:rsidRDefault="3982CBDC" w:rsidP="3982CBDC">
            <w:pPr>
              <w:spacing w:after="0" w:line="240" w:lineRule="auto"/>
              <w:jc w:val="center"/>
              <w:rPr>
                <w:rFonts w:eastAsia="Times New Roman"/>
                <w:b/>
                <w:bCs/>
                <w:noProof/>
                <w:sz w:val="16"/>
                <w:szCs w:val="16"/>
                <w:lang w:eastAsia="de-DE"/>
              </w:rPr>
            </w:pPr>
            <w:r w:rsidRPr="3982CBDC">
              <w:rPr>
                <w:rFonts w:eastAsia="Times New Roman"/>
                <w:b/>
                <w:bCs/>
                <w:noProof/>
                <w:sz w:val="16"/>
                <w:szCs w:val="16"/>
                <w:lang w:eastAsia="de-DE"/>
              </w:rPr>
              <w:t>time horizon for new installed equipment</w:t>
            </w:r>
          </w:p>
        </w:tc>
        <w:tc>
          <w:tcPr>
            <w:tcW w:w="2429" w:type="dxa"/>
            <w:gridSpan w:val="3"/>
            <w:tcBorders>
              <w:top w:val="single" w:sz="8" w:space="0" w:color="auto"/>
              <w:left w:val="nil"/>
              <w:bottom w:val="single" w:sz="4" w:space="0" w:color="auto"/>
              <w:right w:val="single" w:sz="8" w:space="0" w:color="000000" w:themeColor="text1"/>
            </w:tcBorders>
            <w:shd w:val="clear" w:color="auto" w:fill="BFBFBF" w:themeFill="background1" w:themeFillShade="BF"/>
            <w:vAlign w:val="center"/>
            <w:hideMark/>
          </w:tcPr>
          <w:p w14:paraId="7882F443" w14:textId="77777777" w:rsidR="00A47775" w:rsidRPr="002073BC" w:rsidRDefault="3982CBDC" w:rsidP="3982CBDC">
            <w:pPr>
              <w:spacing w:after="0" w:line="240" w:lineRule="auto"/>
              <w:jc w:val="center"/>
              <w:rPr>
                <w:rFonts w:eastAsia="Times New Roman"/>
                <w:b/>
                <w:bCs/>
                <w:noProof/>
                <w:sz w:val="16"/>
                <w:szCs w:val="16"/>
                <w:lang w:eastAsia="de-DE"/>
              </w:rPr>
            </w:pPr>
            <w:r w:rsidRPr="3982CBDC">
              <w:rPr>
                <w:rFonts w:eastAsia="Times New Roman"/>
                <w:b/>
                <w:bCs/>
                <w:noProof/>
                <w:sz w:val="16"/>
                <w:szCs w:val="16"/>
                <w:lang w:eastAsia="de-DE"/>
              </w:rPr>
              <w:t>Option 1</w:t>
            </w:r>
          </w:p>
        </w:tc>
        <w:tc>
          <w:tcPr>
            <w:tcW w:w="2557" w:type="dxa"/>
            <w:gridSpan w:val="3"/>
            <w:tcBorders>
              <w:top w:val="single" w:sz="8" w:space="0" w:color="auto"/>
              <w:left w:val="nil"/>
              <w:bottom w:val="single" w:sz="4" w:space="0" w:color="auto"/>
              <w:right w:val="single" w:sz="8" w:space="0" w:color="000000" w:themeColor="text1"/>
            </w:tcBorders>
            <w:shd w:val="clear" w:color="auto" w:fill="BFBFBF" w:themeFill="background1" w:themeFillShade="BF"/>
            <w:vAlign w:val="center"/>
            <w:hideMark/>
          </w:tcPr>
          <w:p w14:paraId="52E1B356" w14:textId="77777777" w:rsidR="00A47775" w:rsidRPr="002073BC" w:rsidRDefault="3982CBDC" w:rsidP="3982CBDC">
            <w:pPr>
              <w:spacing w:after="0" w:line="240" w:lineRule="auto"/>
              <w:jc w:val="center"/>
              <w:rPr>
                <w:rFonts w:eastAsia="Times New Roman"/>
                <w:b/>
                <w:bCs/>
                <w:noProof/>
                <w:sz w:val="16"/>
                <w:szCs w:val="16"/>
                <w:lang w:eastAsia="de-DE"/>
              </w:rPr>
            </w:pPr>
            <w:r w:rsidRPr="3982CBDC">
              <w:rPr>
                <w:rFonts w:eastAsia="Times New Roman"/>
                <w:b/>
                <w:bCs/>
                <w:noProof/>
                <w:sz w:val="16"/>
                <w:szCs w:val="16"/>
                <w:lang w:eastAsia="de-DE"/>
              </w:rPr>
              <w:t>Option 2</w:t>
            </w:r>
          </w:p>
        </w:tc>
        <w:tc>
          <w:tcPr>
            <w:tcW w:w="2557" w:type="dxa"/>
            <w:gridSpan w:val="3"/>
            <w:tcBorders>
              <w:top w:val="single" w:sz="8" w:space="0" w:color="auto"/>
              <w:left w:val="nil"/>
              <w:bottom w:val="single" w:sz="4" w:space="0" w:color="auto"/>
              <w:right w:val="single" w:sz="8" w:space="0" w:color="000000" w:themeColor="text1"/>
            </w:tcBorders>
            <w:shd w:val="clear" w:color="auto" w:fill="BFBFBF" w:themeFill="background1" w:themeFillShade="BF"/>
            <w:vAlign w:val="center"/>
            <w:hideMark/>
          </w:tcPr>
          <w:p w14:paraId="37A9D3F8" w14:textId="77777777" w:rsidR="00A47775" w:rsidRPr="002073BC" w:rsidRDefault="3982CBDC" w:rsidP="3982CBDC">
            <w:pPr>
              <w:spacing w:after="0" w:line="240" w:lineRule="auto"/>
              <w:jc w:val="center"/>
              <w:rPr>
                <w:rFonts w:eastAsia="Times New Roman"/>
                <w:b/>
                <w:bCs/>
                <w:noProof/>
                <w:sz w:val="16"/>
                <w:szCs w:val="16"/>
                <w:lang w:eastAsia="de-DE"/>
              </w:rPr>
            </w:pPr>
            <w:r w:rsidRPr="3982CBDC">
              <w:rPr>
                <w:rFonts w:eastAsia="Times New Roman"/>
                <w:b/>
                <w:bCs/>
                <w:noProof/>
                <w:sz w:val="16"/>
                <w:szCs w:val="16"/>
                <w:lang w:eastAsia="de-DE"/>
              </w:rPr>
              <w:t>Option 3</w:t>
            </w:r>
          </w:p>
        </w:tc>
      </w:tr>
      <w:tr w:rsidR="009945DE" w:rsidRPr="00B123FF" w14:paraId="3F4BCC15" w14:textId="77777777" w:rsidTr="009945DE">
        <w:trPr>
          <w:trHeight w:val="1819"/>
        </w:trPr>
        <w:tc>
          <w:tcPr>
            <w:tcW w:w="864" w:type="dxa"/>
            <w:vMerge/>
            <w:tcBorders>
              <w:top w:val="single" w:sz="8" w:space="0" w:color="auto"/>
              <w:left w:val="single" w:sz="8" w:space="0" w:color="auto"/>
              <w:bottom w:val="nil"/>
              <w:right w:val="single" w:sz="4" w:space="0" w:color="auto"/>
            </w:tcBorders>
            <w:shd w:val="clear" w:color="auto" w:fill="BFBFBF" w:themeFill="background1" w:themeFillShade="BF"/>
            <w:vAlign w:val="center"/>
            <w:hideMark/>
          </w:tcPr>
          <w:p w14:paraId="66DDB32E" w14:textId="77777777" w:rsidR="00A47775" w:rsidRPr="002073BC" w:rsidRDefault="00A47775" w:rsidP="00B66A42">
            <w:pPr>
              <w:spacing w:after="0" w:line="240" w:lineRule="auto"/>
              <w:jc w:val="left"/>
              <w:rPr>
                <w:rFonts w:eastAsia="Times New Roman"/>
                <w:b/>
                <w:bCs/>
                <w:noProof/>
                <w:sz w:val="16"/>
                <w:szCs w:val="16"/>
                <w:lang w:eastAsia="de-DE"/>
              </w:rPr>
            </w:pPr>
          </w:p>
        </w:tc>
        <w:tc>
          <w:tcPr>
            <w:tcW w:w="759" w:type="dxa"/>
            <w:vMerge/>
            <w:tcBorders>
              <w:top w:val="single" w:sz="8" w:space="0" w:color="auto"/>
              <w:left w:val="single" w:sz="4" w:space="0" w:color="auto"/>
              <w:bottom w:val="single" w:sz="4" w:space="0" w:color="auto"/>
              <w:right w:val="single" w:sz="8" w:space="0" w:color="auto"/>
            </w:tcBorders>
            <w:shd w:val="clear" w:color="auto" w:fill="BFBFBF" w:themeFill="background1" w:themeFillShade="BF"/>
            <w:vAlign w:val="center"/>
            <w:hideMark/>
          </w:tcPr>
          <w:p w14:paraId="622FE2FF" w14:textId="77777777" w:rsidR="00A47775" w:rsidRPr="002073BC" w:rsidRDefault="00A47775" w:rsidP="00B66A42">
            <w:pPr>
              <w:spacing w:after="0" w:line="240" w:lineRule="auto"/>
              <w:jc w:val="left"/>
              <w:rPr>
                <w:rFonts w:eastAsia="Times New Roman"/>
                <w:b/>
                <w:bCs/>
                <w:noProof/>
                <w:sz w:val="16"/>
                <w:szCs w:val="16"/>
                <w:lang w:eastAsia="de-DE"/>
              </w:rPr>
            </w:pPr>
          </w:p>
        </w:tc>
        <w:tc>
          <w:tcPr>
            <w:tcW w:w="857" w:type="dxa"/>
            <w:tcBorders>
              <w:top w:val="nil"/>
              <w:left w:val="nil"/>
              <w:bottom w:val="single" w:sz="4" w:space="0" w:color="auto"/>
              <w:right w:val="single" w:sz="4" w:space="0" w:color="auto"/>
            </w:tcBorders>
            <w:shd w:val="clear" w:color="auto" w:fill="BFBFBF" w:themeFill="background1" w:themeFillShade="BF"/>
            <w:vAlign w:val="center"/>
            <w:hideMark/>
          </w:tcPr>
          <w:p w14:paraId="62243111" w14:textId="6EC4DD05" w:rsidR="00A47775" w:rsidRPr="002073BC" w:rsidRDefault="3982CBDC" w:rsidP="3982CBDC">
            <w:pPr>
              <w:spacing w:after="0" w:line="240" w:lineRule="auto"/>
              <w:jc w:val="left"/>
              <w:rPr>
                <w:rFonts w:eastAsia="Times New Roman"/>
                <w:b/>
                <w:bCs/>
                <w:noProof/>
                <w:sz w:val="16"/>
                <w:szCs w:val="16"/>
                <w:lang w:eastAsia="de-DE"/>
              </w:rPr>
            </w:pPr>
            <w:r w:rsidRPr="3982CBDC">
              <w:rPr>
                <w:rFonts w:eastAsia="Times New Roman"/>
                <w:b/>
                <w:bCs/>
                <w:noProof/>
                <w:sz w:val="16"/>
                <w:szCs w:val="16"/>
                <w:lang w:eastAsia="de-DE"/>
              </w:rPr>
              <w:t>total emission reductions vs. baseline</w:t>
            </w:r>
            <w:r w:rsidRPr="3982CBDC">
              <w:rPr>
                <w:rFonts w:eastAsia="Times New Roman"/>
                <w:b/>
                <w:bCs/>
                <w:noProof/>
                <w:sz w:val="16"/>
                <w:szCs w:val="16"/>
                <w:vertAlign w:val="superscript"/>
                <w:lang w:eastAsia="de-DE"/>
              </w:rPr>
              <w:t>*</w:t>
            </w:r>
          </w:p>
        </w:tc>
        <w:tc>
          <w:tcPr>
            <w:tcW w:w="709" w:type="dxa"/>
            <w:tcBorders>
              <w:top w:val="nil"/>
              <w:left w:val="nil"/>
              <w:bottom w:val="single" w:sz="4" w:space="0" w:color="auto"/>
              <w:right w:val="single" w:sz="4" w:space="0" w:color="auto"/>
            </w:tcBorders>
            <w:shd w:val="clear" w:color="auto" w:fill="BFBFBF" w:themeFill="background1" w:themeFillShade="BF"/>
            <w:vAlign w:val="center"/>
            <w:hideMark/>
          </w:tcPr>
          <w:p w14:paraId="217B509D" w14:textId="77777777" w:rsidR="00A47775" w:rsidRPr="002073BC" w:rsidRDefault="3982CBDC" w:rsidP="3982CBDC">
            <w:pPr>
              <w:spacing w:after="0" w:line="240" w:lineRule="auto"/>
              <w:jc w:val="left"/>
              <w:rPr>
                <w:rFonts w:eastAsia="Times New Roman"/>
                <w:b/>
                <w:bCs/>
                <w:noProof/>
                <w:sz w:val="16"/>
                <w:szCs w:val="16"/>
                <w:lang w:eastAsia="de-DE"/>
              </w:rPr>
            </w:pPr>
            <w:r w:rsidRPr="3982CBDC">
              <w:rPr>
                <w:rFonts w:eastAsia="Times New Roman"/>
                <w:b/>
                <w:bCs/>
                <w:noProof/>
                <w:sz w:val="16"/>
                <w:szCs w:val="16"/>
                <w:lang w:eastAsia="de-DE"/>
              </w:rPr>
              <w:t xml:space="preserve">Cost of technological change </w:t>
            </w:r>
          </w:p>
        </w:tc>
        <w:tc>
          <w:tcPr>
            <w:tcW w:w="863" w:type="dxa"/>
            <w:tcBorders>
              <w:top w:val="nil"/>
              <w:left w:val="nil"/>
              <w:bottom w:val="single" w:sz="4" w:space="0" w:color="auto"/>
              <w:right w:val="single" w:sz="8" w:space="0" w:color="auto"/>
            </w:tcBorders>
            <w:shd w:val="clear" w:color="auto" w:fill="BFBFBF" w:themeFill="background1" w:themeFillShade="BF"/>
            <w:vAlign w:val="center"/>
            <w:hideMark/>
          </w:tcPr>
          <w:p w14:paraId="12D05F0B" w14:textId="77777777" w:rsidR="00A47775" w:rsidRPr="00590D8C" w:rsidRDefault="3982CBDC" w:rsidP="3982CBDC">
            <w:pPr>
              <w:spacing w:after="0" w:line="240" w:lineRule="auto"/>
              <w:jc w:val="left"/>
              <w:rPr>
                <w:rFonts w:eastAsia="Times New Roman"/>
                <w:b/>
                <w:noProof/>
                <w:sz w:val="16"/>
                <w:szCs w:val="16"/>
                <w:u w:val="single"/>
                <w:lang w:eastAsia="de-DE"/>
              </w:rPr>
            </w:pPr>
            <w:r w:rsidRPr="00590D8C">
              <w:rPr>
                <w:rFonts w:eastAsia="Times New Roman"/>
                <w:b/>
                <w:noProof/>
                <w:sz w:val="16"/>
                <w:szCs w:val="16"/>
                <w:u w:val="single"/>
                <w:lang w:eastAsia="de-DE"/>
              </w:rPr>
              <w:t>emission reduction cost</w:t>
            </w:r>
            <w:r w:rsidRPr="00590D8C">
              <w:rPr>
                <w:rFonts w:eastAsia="Times New Roman"/>
                <w:b/>
                <w:noProof/>
                <w:sz w:val="16"/>
                <w:szCs w:val="16"/>
                <w:u w:val="single"/>
                <w:vertAlign w:val="superscript"/>
                <w:lang w:eastAsia="de-DE"/>
              </w:rPr>
              <w:t>+</w:t>
            </w:r>
            <w:r w:rsidRPr="00590D8C">
              <w:rPr>
                <w:rFonts w:eastAsia="Times New Roman"/>
                <w:b/>
                <w:noProof/>
                <w:sz w:val="16"/>
                <w:szCs w:val="16"/>
                <w:u w:val="single"/>
                <w:lang w:eastAsia="de-DE"/>
              </w:rPr>
              <w:t xml:space="preserve"> </w:t>
            </w:r>
          </w:p>
        </w:tc>
        <w:tc>
          <w:tcPr>
            <w:tcW w:w="751" w:type="dxa"/>
            <w:tcBorders>
              <w:top w:val="nil"/>
              <w:left w:val="nil"/>
              <w:bottom w:val="single" w:sz="4" w:space="0" w:color="auto"/>
              <w:right w:val="single" w:sz="4" w:space="0" w:color="auto"/>
            </w:tcBorders>
            <w:shd w:val="clear" w:color="auto" w:fill="BFBFBF" w:themeFill="background1" w:themeFillShade="BF"/>
            <w:vAlign w:val="center"/>
            <w:hideMark/>
          </w:tcPr>
          <w:p w14:paraId="5EDAF1D3" w14:textId="69A25EFC" w:rsidR="00A47775" w:rsidRPr="002073BC" w:rsidRDefault="3982CBDC" w:rsidP="009945DE">
            <w:pPr>
              <w:spacing w:after="0" w:line="240" w:lineRule="auto"/>
              <w:jc w:val="left"/>
              <w:rPr>
                <w:rFonts w:eastAsia="Times New Roman"/>
                <w:b/>
                <w:bCs/>
                <w:noProof/>
                <w:sz w:val="16"/>
                <w:szCs w:val="16"/>
                <w:lang w:eastAsia="de-DE"/>
              </w:rPr>
            </w:pPr>
            <w:r w:rsidRPr="3982CBDC">
              <w:rPr>
                <w:rFonts w:eastAsia="Times New Roman"/>
                <w:b/>
                <w:bCs/>
                <w:noProof/>
                <w:sz w:val="16"/>
                <w:szCs w:val="16"/>
                <w:lang w:eastAsia="de-DE"/>
              </w:rPr>
              <w:t>lifetime-integrated emission reductions compared to baseline</w:t>
            </w:r>
          </w:p>
        </w:tc>
        <w:tc>
          <w:tcPr>
            <w:tcW w:w="903" w:type="dxa"/>
            <w:tcBorders>
              <w:top w:val="nil"/>
              <w:left w:val="nil"/>
              <w:bottom w:val="single" w:sz="4" w:space="0" w:color="auto"/>
              <w:right w:val="single" w:sz="4" w:space="0" w:color="auto"/>
            </w:tcBorders>
            <w:shd w:val="clear" w:color="auto" w:fill="BFBFBF" w:themeFill="background1" w:themeFillShade="BF"/>
            <w:vAlign w:val="center"/>
            <w:hideMark/>
          </w:tcPr>
          <w:p w14:paraId="107C1AC6" w14:textId="77777777" w:rsidR="00A47775" w:rsidRPr="002073BC" w:rsidRDefault="3982CBDC" w:rsidP="3982CBDC">
            <w:pPr>
              <w:spacing w:after="0" w:line="240" w:lineRule="auto"/>
              <w:jc w:val="left"/>
              <w:rPr>
                <w:rFonts w:eastAsia="Times New Roman"/>
                <w:b/>
                <w:bCs/>
                <w:noProof/>
                <w:sz w:val="16"/>
                <w:szCs w:val="16"/>
                <w:lang w:eastAsia="de-DE"/>
              </w:rPr>
            </w:pPr>
            <w:r w:rsidRPr="3982CBDC">
              <w:rPr>
                <w:rFonts w:eastAsia="Times New Roman"/>
                <w:b/>
                <w:bCs/>
                <w:noProof/>
                <w:sz w:val="16"/>
                <w:szCs w:val="16"/>
                <w:lang w:eastAsia="de-DE"/>
              </w:rPr>
              <w:t>Cost of technological change of lifetime-integrated emission reductions</w:t>
            </w:r>
          </w:p>
        </w:tc>
        <w:tc>
          <w:tcPr>
            <w:tcW w:w="903" w:type="dxa"/>
            <w:tcBorders>
              <w:top w:val="nil"/>
              <w:left w:val="nil"/>
              <w:bottom w:val="single" w:sz="4" w:space="0" w:color="auto"/>
              <w:right w:val="single" w:sz="8" w:space="0" w:color="auto"/>
            </w:tcBorders>
            <w:shd w:val="clear" w:color="auto" w:fill="BFBFBF" w:themeFill="background1" w:themeFillShade="BF"/>
            <w:vAlign w:val="center"/>
            <w:hideMark/>
          </w:tcPr>
          <w:p w14:paraId="041BDFB9" w14:textId="5E9009A6" w:rsidR="00A47775" w:rsidRPr="00590D8C" w:rsidRDefault="3982CBDC" w:rsidP="001741EB">
            <w:pPr>
              <w:spacing w:after="0" w:line="240" w:lineRule="auto"/>
              <w:jc w:val="left"/>
              <w:rPr>
                <w:rFonts w:eastAsia="Times New Roman"/>
                <w:b/>
                <w:noProof/>
                <w:sz w:val="16"/>
                <w:szCs w:val="16"/>
                <w:u w:val="single"/>
                <w:vertAlign w:val="superscript"/>
                <w:lang w:eastAsia="de-DE"/>
              </w:rPr>
            </w:pPr>
            <w:r w:rsidRPr="00590D8C">
              <w:rPr>
                <w:rFonts w:eastAsia="Times New Roman"/>
                <w:b/>
                <w:noProof/>
                <w:sz w:val="16"/>
                <w:szCs w:val="16"/>
                <w:u w:val="single"/>
                <w:lang w:eastAsia="de-DE"/>
              </w:rPr>
              <w:t>Cal</w:t>
            </w:r>
            <w:r w:rsidR="001741EB">
              <w:rPr>
                <w:rFonts w:eastAsia="Times New Roman"/>
                <w:b/>
                <w:noProof/>
                <w:sz w:val="16"/>
                <w:szCs w:val="16"/>
                <w:u w:val="single"/>
                <w:lang w:eastAsia="de-DE"/>
              </w:rPr>
              <w:t>culated emission reduction cost</w:t>
            </w:r>
            <w:r w:rsidRPr="00590D8C">
              <w:rPr>
                <w:rFonts w:eastAsia="Times New Roman"/>
                <w:b/>
                <w:noProof/>
                <w:sz w:val="16"/>
                <w:szCs w:val="16"/>
                <w:u w:val="single"/>
                <w:vertAlign w:val="superscript"/>
                <w:lang w:eastAsia="de-DE"/>
              </w:rPr>
              <w:t>+</w:t>
            </w:r>
          </w:p>
        </w:tc>
        <w:tc>
          <w:tcPr>
            <w:tcW w:w="751" w:type="dxa"/>
            <w:tcBorders>
              <w:top w:val="nil"/>
              <w:left w:val="nil"/>
              <w:bottom w:val="single" w:sz="4" w:space="0" w:color="auto"/>
              <w:right w:val="single" w:sz="4" w:space="0" w:color="auto"/>
            </w:tcBorders>
            <w:shd w:val="clear" w:color="auto" w:fill="BFBFBF" w:themeFill="background1" w:themeFillShade="BF"/>
            <w:vAlign w:val="center"/>
            <w:hideMark/>
          </w:tcPr>
          <w:p w14:paraId="3C625BC1" w14:textId="05557B90" w:rsidR="00A47775" w:rsidRPr="002073BC" w:rsidRDefault="3982CBDC" w:rsidP="009945DE">
            <w:pPr>
              <w:spacing w:after="0" w:line="240" w:lineRule="auto"/>
              <w:jc w:val="left"/>
              <w:rPr>
                <w:rFonts w:eastAsia="Times New Roman"/>
                <w:b/>
                <w:bCs/>
                <w:noProof/>
                <w:sz w:val="16"/>
                <w:szCs w:val="16"/>
                <w:lang w:eastAsia="de-DE"/>
              </w:rPr>
            </w:pPr>
            <w:r w:rsidRPr="3982CBDC">
              <w:rPr>
                <w:rFonts w:eastAsia="Times New Roman"/>
                <w:b/>
                <w:bCs/>
                <w:noProof/>
                <w:sz w:val="16"/>
                <w:szCs w:val="16"/>
                <w:lang w:eastAsia="de-DE"/>
              </w:rPr>
              <w:t>lifetime-integrated emission reductions compared to baseline</w:t>
            </w:r>
          </w:p>
        </w:tc>
        <w:tc>
          <w:tcPr>
            <w:tcW w:w="903" w:type="dxa"/>
            <w:tcBorders>
              <w:top w:val="nil"/>
              <w:left w:val="nil"/>
              <w:bottom w:val="single" w:sz="4" w:space="0" w:color="auto"/>
              <w:right w:val="single" w:sz="4" w:space="0" w:color="auto"/>
            </w:tcBorders>
            <w:shd w:val="clear" w:color="auto" w:fill="BFBFBF" w:themeFill="background1" w:themeFillShade="BF"/>
            <w:vAlign w:val="center"/>
            <w:hideMark/>
          </w:tcPr>
          <w:p w14:paraId="2466C0A6" w14:textId="77777777" w:rsidR="00A47775" w:rsidRPr="002073BC" w:rsidRDefault="3982CBDC" w:rsidP="3982CBDC">
            <w:pPr>
              <w:spacing w:after="0" w:line="240" w:lineRule="auto"/>
              <w:jc w:val="left"/>
              <w:rPr>
                <w:rFonts w:eastAsia="Times New Roman"/>
                <w:b/>
                <w:bCs/>
                <w:noProof/>
                <w:sz w:val="16"/>
                <w:szCs w:val="16"/>
                <w:lang w:eastAsia="de-DE"/>
              </w:rPr>
            </w:pPr>
            <w:r w:rsidRPr="3982CBDC">
              <w:rPr>
                <w:rFonts w:eastAsia="Times New Roman"/>
                <w:b/>
                <w:bCs/>
                <w:noProof/>
                <w:sz w:val="16"/>
                <w:szCs w:val="16"/>
                <w:lang w:eastAsia="de-DE"/>
              </w:rPr>
              <w:t>Cost of technological change of lifetime-integrated emission reductions</w:t>
            </w:r>
          </w:p>
        </w:tc>
        <w:tc>
          <w:tcPr>
            <w:tcW w:w="903" w:type="dxa"/>
            <w:tcBorders>
              <w:top w:val="nil"/>
              <w:left w:val="nil"/>
              <w:bottom w:val="single" w:sz="4" w:space="0" w:color="auto"/>
              <w:right w:val="single" w:sz="8" w:space="0" w:color="auto"/>
            </w:tcBorders>
            <w:shd w:val="clear" w:color="auto" w:fill="BFBFBF" w:themeFill="background1" w:themeFillShade="BF"/>
            <w:vAlign w:val="center"/>
            <w:hideMark/>
          </w:tcPr>
          <w:p w14:paraId="14F9695D" w14:textId="0424602F" w:rsidR="00A47775" w:rsidRPr="00590D8C" w:rsidRDefault="3982CBDC" w:rsidP="001741EB">
            <w:pPr>
              <w:spacing w:after="0" w:line="240" w:lineRule="auto"/>
              <w:jc w:val="left"/>
              <w:rPr>
                <w:rFonts w:eastAsia="Times New Roman"/>
                <w:b/>
                <w:noProof/>
                <w:sz w:val="16"/>
                <w:szCs w:val="16"/>
                <w:u w:val="single"/>
                <w:vertAlign w:val="superscript"/>
                <w:lang w:eastAsia="de-DE"/>
              </w:rPr>
            </w:pPr>
            <w:r w:rsidRPr="00590D8C">
              <w:rPr>
                <w:rFonts w:eastAsia="Times New Roman"/>
                <w:b/>
                <w:noProof/>
                <w:sz w:val="16"/>
                <w:szCs w:val="16"/>
                <w:u w:val="single"/>
                <w:lang w:eastAsia="de-DE"/>
              </w:rPr>
              <w:t>Calculated emission reduction cost</w:t>
            </w:r>
            <w:r w:rsidR="001741EB">
              <w:rPr>
                <w:rFonts w:eastAsia="Times New Roman"/>
                <w:b/>
                <w:noProof/>
                <w:sz w:val="16"/>
                <w:szCs w:val="16"/>
                <w:u w:val="single"/>
                <w:lang w:eastAsia="de-DE"/>
              </w:rPr>
              <w:t>s</w:t>
            </w:r>
            <w:r w:rsidRPr="00590D8C">
              <w:rPr>
                <w:rFonts w:eastAsia="Times New Roman"/>
                <w:b/>
                <w:noProof/>
                <w:sz w:val="16"/>
                <w:szCs w:val="16"/>
                <w:u w:val="single"/>
                <w:lang w:eastAsia="de-DE"/>
              </w:rPr>
              <w:t xml:space="preserve"> </w:t>
            </w:r>
            <w:r w:rsidRPr="00590D8C">
              <w:rPr>
                <w:rFonts w:eastAsia="Times New Roman"/>
                <w:b/>
                <w:noProof/>
                <w:sz w:val="16"/>
                <w:szCs w:val="16"/>
                <w:u w:val="single"/>
                <w:vertAlign w:val="superscript"/>
                <w:lang w:eastAsia="de-DE"/>
              </w:rPr>
              <w:t>+</w:t>
            </w:r>
          </w:p>
        </w:tc>
      </w:tr>
      <w:tr w:rsidR="009945DE" w:rsidRPr="00B123FF" w14:paraId="7846F5F1" w14:textId="77777777" w:rsidTr="009945DE">
        <w:trPr>
          <w:trHeight w:val="320"/>
        </w:trPr>
        <w:tc>
          <w:tcPr>
            <w:tcW w:w="864" w:type="dxa"/>
            <w:vMerge/>
            <w:tcBorders>
              <w:top w:val="single" w:sz="8" w:space="0" w:color="auto"/>
              <w:left w:val="single" w:sz="8" w:space="0" w:color="auto"/>
              <w:bottom w:val="nil"/>
              <w:right w:val="single" w:sz="4" w:space="0" w:color="auto"/>
            </w:tcBorders>
            <w:shd w:val="clear" w:color="auto" w:fill="BFBFBF" w:themeFill="background1" w:themeFillShade="BF"/>
            <w:vAlign w:val="center"/>
            <w:hideMark/>
          </w:tcPr>
          <w:p w14:paraId="59E11D6A" w14:textId="77777777" w:rsidR="00A47775" w:rsidRPr="002073BC" w:rsidRDefault="00A47775" w:rsidP="00B66A42">
            <w:pPr>
              <w:spacing w:after="0" w:line="240" w:lineRule="auto"/>
              <w:jc w:val="left"/>
              <w:rPr>
                <w:rFonts w:eastAsia="Times New Roman"/>
                <w:b/>
                <w:bCs/>
                <w:noProof/>
                <w:sz w:val="16"/>
                <w:szCs w:val="16"/>
                <w:lang w:eastAsia="de-DE"/>
              </w:rPr>
            </w:pPr>
          </w:p>
        </w:tc>
        <w:tc>
          <w:tcPr>
            <w:tcW w:w="759" w:type="dxa"/>
            <w:vMerge/>
            <w:tcBorders>
              <w:top w:val="single" w:sz="8" w:space="0" w:color="auto"/>
              <w:left w:val="single" w:sz="4" w:space="0" w:color="auto"/>
              <w:bottom w:val="single" w:sz="4" w:space="0" w:color="auto"/>
              <w:right w:val="single" w:sz="8" w:space="0" w:color="auto"/>
            </w:tcBorders>
            <w:shd w:val="clear" w:color="auto" w:fill="BFBFBF" w:themeFill="background1" w:themeFillShade="BF"/>
            <w:vAlign w:val="center"/>
            <w:hideMark/>
          </w:tcPr>
          <w:p w14:paraId="2C3258E8" w14:textId="77777777" w:rsidR="00A47775" w:rsidRPr="002073BC" w:rsidRDefault="00A47775" w:rsidP="00B66A42">
            <w:pPr>
              <w:spacing w:after="0" w:line="240" w:lineRule="auto"/>
              <w:jc w:val="left"/>
              <w:rPr>
                <w:rFonts w:eastAsia="Times New Roman"/>
                <w:b/>
                <w:bCs/>
                <w:noProof/>
                <w:sz w:val="16"/>
                <w:szCs w:val="16"/>
                <w:lang w:eastAsia="de-DE"/>
              </w:rPr>
            </w:pPr>
          </w:p>
        </w:tc>
        <w:tc>
          <w:tcPr>
            <w:tcW w:w="857" w:type="dxa"/>
            <w:tcBorders>
              <w:top w:val="nil"/>
              <w:left w:val="nil"/>
              <w:bottom w:val="single" w:sz="4" w:space="0" w:color="auto"/>
              <w:right w:val="single" w:sz="4" w:space="0" w:color="auto"/>
            </w:tcBorders>
            <w:shd w:val="clear" w:color="auto" w:fill="BFBFBF" w:themeFill="background1" w:themeFillShade="BF"/>
            <w:vAlign w:val="center"/>
            <w:hideMark/>
          </w:tcPr>
          <w:p w14:paraId="22897740" w14:textId="77777777" w:rsidR="00A47775" w:rsidRPr="002073BC" w:rsidRDefault="3982CBDC" w:rsidP="3982CBDC">
            <w:pPr>
              <w:spacing w:after="0" w:line="240" w:lineRule="auto"/>
              <w:jc w:val="center"/>
              <w:rPr>
                <w:rFonts w:eastAsia="Times New Roman"/>
                <w:b/>
                <w:bCs/>
                <w:noProof/>
                <w:sz w:val="16"/>
                <w:szCs w:val="16"/>
                <w:lang w:eastAsia="de-DE"/>
              </w:rPr>
            </w:pPr>
            <w:r w:rsidRPr="3982CBDC">
              <w:rPr>
                <w:rFonts w:eastAsia="Times New Roman"/>
                <w:b/>
                <w:bCs/>
                <w:noProof/>
                <w:sz w:val="16"/>
                <w:szCs w:val="16"/>
                <w:lang w:eastAsia="de-DE"/>
              </w:rPr>
              <w:t>Mt CO</w:t>
            </w:r>
            <w:r w:rsidRPr="3982CBDC">
              <w:rPr>
                <w:rFonts w:eastAsia="Times New Roman"/>
                <w:b/>
                <w:bCs/>
                <w:noProof/>
                <w:sz w:val="16"/>
                <w:szCs w:val="16"/>
                <w:vertAlign w:val="subscript"/>
                <w:lang w:eastAsia="de-DE"/>
              </w:rPr>
              <w:t>2</w:t>
            </w:r>
            <w:r w:rsidRPr="3982CBDC">
              <w:rPr>
                <w:rFonts w:eastAsia="Times New Roman"/>
                <w:b/>
                <w:bCs/>
                <w:noProof/>
                <w:sz w:val="16"/>
                <w:szCs w:val="16"/>
                <w:lang w:eastAsia="de-DE"/>
              </w:rPr>
              <w:t>e</w:t>
            </w:r>
          </w:p>
        </w:tc>
        <w:tc>
          <w:tcPr>
            <w:tcW w:w="709" w:type="dxa"/>
            <w:tcBorders>
              <w:top w:val="nil"/>
              <w:left w:val="nil"/>
              <w:bottom w:val="single" w:sz="4" w:space="0" w:color="auto"/>
              <w:right w:val="single" w:sz="4" w:space="0" w:color="auto"/>
            </w:tcBorders>
            <w:shd w:val="clear" w:color="auto" w:fill="BFBFBF" w:themeFill="background1" w:themeFillShade="BF"/>
            <w:vAlign w:val="center"/>
            <w:hideMark/>
          </w:tcPr>
          <w:p w14:paraId="0EB0AA38" w14:textId="77777777" w:rsidR="00A47775" w:rsidRPr="002073BC" w:rsidRDefault="3982CBDC" w:rsidP="3982CBDC">
            <w:pPr>
              <w:spacing w:after="0" w:line="240" w:lineRule="auto"/>
              <w:jc w:val="center"/>
              <w:rPr>
                <w:rFonts w:eastAsia="Times New Roman"/>
                <w:b/>
                <w:bCs/>
                <w:noProof/>
                <w:sz w:val="16"/>
                <w:szCs w:val="16"/>
                <w:lang w:eastAsia="de-DE"/>
              </w:rPr>
            </w:pPr>
            <w:r w:rsidRPr="3982CBDC">
              <w:rPr>
                <w:rFonts w:eastAsia="Times New Roman"/>
                <w:b/>
                <w:bCs/>
                <w:noProof/>
                <w:sz w:val="16"/>
                <w:szCs w:val="16"/>
                <w:lang w:eastAsia="de-DE"/>
              </w:rPr>
              <w:t>Mio €</w:t>
            </w:r>
          </w:p>
        </w:tc>
        <w:tc>
          <w:tcPr>
            <w:tcW w:w="863" w:type="dxa"/>
            <w:tcBorders>
              <w:top w:val="nil"/>
              <w:left w:val="nil"/>
              <w:bottom w:val="single" w:sz="4" w:space="0" w:color="auto"/>
              <w:right w:val="single" w:sz="8" w:space="0" w:color="auto"/>
            </w:tcBorders>
            <w:shd w:val="clear" w:color="auto" w:fill="BFBFBF" w:themeFill="background1" w:themeFillShade="BF"/>
            <w:vAlign w:val="center"/>
            <w:hideMark/>
          </w:tcPr>
          <w:p w14:paraId="2A7EE343" w14:textId="77777777" w:rsidR="00A47775" w:rsidRPr="002073BC" w:rsidRDefault="3982CBDC" w:rsidP="3982CBDC">
            <w:pPr>
              <w:spacing w:after="0" w:line="240" w:lineRule="auto"/>
              <w:jc w:val="center"/>
              <w:rPr>
                <w:rFonts w:eastAsia="Times New Roman"/>
                <w:b/>
                <w:bCs/>
                <w:noProof/>
                <w:sz w:val="16"/>
                <w:szCs w:val="16"/>
                <w:lang w:eastAsia="de-DE"/>
              </w:rPr>
            </w:pPr>
            <w:r w:rsidRPr="3982CBDC">
              <w:rPr>
                <w:rFonts w:eastAsia="Times New Roman"/>
                <w:b/>
                <w:bCs/>
                <w:noProof/>
                <w:sz w:val="16"/>
                <w:szCs w:val="16"/>
                <w:lang w:eastAsia="de-DE"/>
              </w:rPr>
              <w:t>€ / t CO</w:t>
            </w:r>
            <w:r w:rsidRPr="3982CBDC">
              <w:rPr>
                <w:rFonts w:eastAsia="Times New Roman"/>
                <w:b/>
                <w:bCs/>
                <w:noProof/>
                <w:sz w:val="16"/>
                <w:szCs w:val="16"/>
                <w:vertAlign w:val="subscript"/>
                <w:lang w:eastAsia="de-DE"/>
              </w:rPr>
              <w:t>2</w:t>
            </w:r>
            <w:r w:rsidRPr="3982CBDC">
              <w:rPr>
                <w:rFonts w:eastAsia="Times New Roman"/>
                <w:b/>
                <w:bCs/>
                <w:noProof/>
                <w:sz w:val="16"/>
                <w:szCs w:val="16"/>
                <w:lang w:eastAsia="de-DE"/>
              </w:rPr>
              <w:t>e</w:t>
            </w:r>
          </w:p>
        </w:tc>
        <w:tc>
          <w:tcPr>
            <w:tcW w:w="751" w:type="dxa"/>
            <w:tcBorders>
              <w:top w:val="nil"/>
              <w:left w:val="nil"/>
              <w:bottom w:val="single" w:sz="4" w:space="0" w:color="auto"/>
              <w:right w:val="single" w:sz="4" w:space="0" w:color="auto"/>
            </w:tcBorders>
            <w:shd w:val="clear" w:color="auto" w:fill="BFBFBF" w:themeFill="background1" w:themeFillShade="BF"/>
            <w:vAlign w:val="center"/>
            <w:hideMark/>
          </w:tcPr>
          <w:p w14:paraId="60E14EAA" w14:textId="77777777" w:rsidR="00A47775" w:rsidRPr="002073BC" w:rsidRDefault="3982CBDC" w:rsidP="3982CBDC">
            <w:pPr>
              <w:spacing w:after="0" w:line="240" w:lineRule="auto"/>
              <w:jc w:val="center"/>
              <w:rPr>
                <w:rFonts w:eastAsia="Times New Roman"/>
                <w:b/>
                <w:bCs/>
                <w:noProof/>
                <w:sz w:val="16"/>
                <w:szCs w:val="16"/>
                <w:lang w:eastAsia="de-DE"/>
              </w:rPr>
            </w:pPr>
            <w:r w:rsidRPr="3982CBDC">
              <w:rPr>
                <w:rFonts w:eastAsia="Times New Roman"/>
                <w:b/>
                <w:bCs/>
                <w:noProof/>
                <w:sz w:val="16"/>
                <w:szCs w:val="16"/>
                <w:lang w:eastAsia="de-DE"/>
              </w:rPr>
              <w:t>Mt CO</w:t>
            </w:r>
            <w:r w:rsidRPr="3982CBDC">
              <w:rPr>
                <w:rFonts w:eastAsia="Times New Roman"/>
                <w:b/>
                <w:bCs/>
                <w:noProof/>
                <w:sz w:val="16"/>
                <w:szCs w:val="16"/>
                <w:vertAlign w:val="subscript"/>
                <w:lang w:eastAsia="de-DE"/>
              </w:rPr>
              <w:t>2</w:t>
            </w:r>
            <w:r w:rsidRPr="3982CBDC">
              <w:rPr>
                <w:rFonts w:eastAsia="Times New Roman"/>
                <w:b/>
                <w:bCs/>
                <w:noProof/>
                <w:sz w:val="16"/>
                <w:szCs w:val="16"/>
                <w:lang w:eastAsia="de-DE"/>
              </w:rPr>
              <w:t>e</w:t>
            </w:r>
          </w:p>
        </w:tc>
        <w:tc>
          <w:tcPr>
            <w:tcW w:w="903" w:type="dxa"/>
            <w:tcBorders>
              <w:top w:val="nil"/>
              <w:left w:val="nil"/>
              <w:bottom w:val="single" w:sz="4" w:space="0" w:color="auto"/>
              <w:right w:val="single" w:sz="4" w:space="0" w:color="auto"/>
            </w:tcBorders>
            <w:shd w:val="clear" w:color="auto" w:fill="BFBFBF" w:themeFill="background1" w:themeFillShade="BF"/>
            <w:vAlign w:val="center"/>
            <w:hideMark/>
          </w:tcPr>
          <w:p w14:paraId="3E93BAFB" w14:textId="77777777" w:rsidR="00A47775" w:rsidRPr="002073BC" w:rsidRDefault="3982CBDC" w:rsidP="3982CBDC">
            <w:pPr>
              <w:spacing w:after="0" w:line="240" w:lineRule="auto"/>
              <w:jc w:val="center"/>
              <w:rPr>
                <w:rFonts w:eastAsia="Times New Roman"/>
                <w:b/>
                <w:bCs/>
                <w:noProof/>
                <w:sz w:val="16"/>
                <w:szCs w:val="16"/>
                <w:lang w:eastAsia="de-DE"/>
              </w:rPr>
            </w:pPr>
            <w:r w:rsidRPr="3982CBDC">
              <w:rPr>
                <w:rFonts w:eastAsia="Times New Roman"/>
                <w:b/>
                <w:bCs/>
                <w:noProof/>
                <w:sz w:val="16"/>
                <w:szCs w:val="16"/>
                <w:lang w:eastAsia="de-DE"/>
              </w:rPr>
              <w:t>Mio €</w:t>
            </w:r>
          </w:p>
        </w:tc>
        <w:tc>
          <w:tcPr>
            <w:tcW w:w="903" w:type="dxa"/>
            <w:tcBorders>
              <w:top w:val="nil"/>
              <w:left w:val="nil"/>
              <w:bottom w:val="single" w:sz="4" w:space="0" w:color="auto"/>
              <w:right w:val="single" w:sz="8" w:space="0" w:color="auto"/>
            </w:tcBorders>
            <w:shd w:val="clear" w:color="auto" w:fill="BFBFBF" w:themeFill="background1" w:themeFillShade="BF"/>
            <w:vAlign w:val="center"/>
            <w:hideMark/>
          </w:tcPr>
          <w:p w14:paraId="44790640" w14:textId="77777777" w:rsidR="00A47775" w:rsidRPr="002073BC" w:rsidRDefault="3982CBDC" w:rsidP="3982CBDC">
            <w:pPr>
              <w:spacing w:after="0" w:line="240" w:lineRule="auto"/>
              <w:jc w:val="center"/>
              <w:rPr>
                <w:rFonts w:eastAsia="Times New Roman"/>
                <w:b/>
                <w:bCs/>
                <w:noProof/>
                <w:sz w:val="16"/>
                <w:szCs w:val="16"/>
                <w:lang w:eastAsia="de-DE"/>
              </w:rPr>
            </w:pPr>
            <w:r w:rsidRPr="3982CBDC">
              <w:rPr>
                <w:rFonts w:eastAsia="Times New Roman"/>
                <w:b/>
                <w:bCs/>
                <w:noProof/>
                <w:sz w:val="16"/>
                <w:szCs w:val="16"/>
                <w:lang w:eastAsia="de-DE"/>
              </w:rPr>
              <w:t>€ / t CO</w:t>
            </w:r>
            <w:r w:rsidRPr="3982CBDC">
              <w:rPr>
                <w:rFonts w:eastAsia="Times New Roman"/>
                <w:b/>
                <w:bCs/>
                <w:noProof/>
                <w:sz w:val="16"/>
                <w:szCs w:val="16"/>
                <w:vertAlign w:val="subscript"/>
                <w:lang w:eastAsia="de-DE"/>
              </w:rPr>
              <w:t>2</w:t>
            </w:r>
            <w:r w:rsidRPr="3982CBDC">
              <w:rPr>
                <w:rFonts w:eastAsia="Times New Roman"/>
                <w:b/>
                <w:bCs/>
                <w:noProof/>
                <w:sz w:val="16"/>
                <w:szCs w:val="16"/>
                <w:lang w:eastAsia="de-DE"/>
              </w:rPr>
              <w:t>e</w:t>
            </w:r>
          </w:p>
        </w:tc>
        <w:tc>
          <w:tcPr>
            <w:tcW w:w="751" w:type="dxa"/>
            <w:tcBorders>
              <w:top w:val="nil"/>
              <w:left w:val="nil"/>
              <w:bottom w:val="single" w:sz="4" w:space="0" w:color="auto"/>
              <w:right w:val="single" w:sz="4" w:space="0" w:color="auto"/>
            </w:tcBorders>
            <w:shd w:val="clear" w:color="auto" w:fill="BFBFBF" w:themeFill="background1" w:themeFillShade="BF"/>
            <w:vAlign w:val="center"/>
            <w:hideMark/>
          </w:tcPr>
          <w:p w14:paraId="71F1A1A2" w14:textId="77777777" w:rsidR="00A47775" w:rsidRPr="002073BC" w:rsidRDefault="3982CBDC" w:rsidP="3982CBDC">
            <w:pPr>
              <w:spacing w:after="0" w:line="240" w:lineRule="auto"/>
              <w:jc w:val="center"/>
              <w:rPr>
                <w:rFonts w:eastAsia="Times New Roman"/>
                <w:b/>
                <w:bCs/>
                <w:noProof/>
                <w:sz w:val="16"/>
                <w:szCs w:val="16"/>
                <w:lang w:eastAsia="de-DE"/>
              </w:rPr>
            </w:pPr>
            <w:r w:rsidRPr="3982CBDC">
              <w:rPr>
                <w:rFonts w:eastAsia="Times New Roman"/>
                <w:b/>
                <w:bCs/>
                <w:noProof/>
                <w:sz w:val="16"/>
                <w:szCs w:val="16"/>
                <w:lang w:eastAsia="de-DE"/>
              </w:rPr>
              <w:t>Mt CO</w:t>
            </w:r>
            <w:r w:rsidRPr="3982CBDC">
              <w:rPr>
                <w:rFonts w:eastAsia="Times New Roman"/>
                <w:b/>
                <w:bCs/>
                <w:noProof/>
                <w:sz w:val="16"/>
                <w:szCs w:val="16"/>
                <w:vertAlign w:val="subscript"/>
                <w:lang w:eastAsia="de-DE"/>
              </w:rPr>
              <w:t>2</w:t>
            </w:r>
            <w:r w:rsidRPr="3982CBDC">
              <w:rPr>
                <w:rFonts w:eastAsia="Times New Roman"/>
                <w:b/>
                <w:bCs/>
                <w:noProof/>
                <w:sz w:val="16"/>
                <w:szCs w:val="16"/>
                <w:lang w:eastAsia="de-DE"/>
              </w:rPr>
              <w:t>e</w:t>
            </w:r>
          </w:p>
        </w:tc>
        <w:tc>
          <w:tcPr>
            <w:tcW w:w="903" w:type="dxa"/>
            <w:tcBorders>
              <w:top w:val="nil"/>
              <w:left w:val="nil"/>
              <w:bottom w:val="single" w:sz="4" w:space="0" w:color="auto"/>
              <w:right w:val="single" w:sz="4" w:space="0" w:color="auto"/>
            </w:tcBorders>
            <w:shd w:val="clear" w:color="auto" w:fill="BFBFBF" w:themeFill="background1" w:themeFillShade="BF"/>
            <w:vAlign w:val="center"/>
            <w:hideMark/>
          </w:tcPr>
          <w:p w14:paraId="5DD2C2A1" w14:textId="77777777" w:rsidR="00A47775" w:rsidRPr="002073BC" w:rsidRDefault="3982CBDC" w:rsidP="3982CBDC">
            <w:pPr>
              <w:spacing w:after="0" w:line="240" w:lineRule="auto"/>
              <w:jc w:val="center"/>
              <w:rPr>
                <w:rFonts w:eastAsia="Times New Roman"/>
                <w:b/>
                <w:bCs/>
                <w:noProof/>
                <w:sz w:val="16"/>
                <w:szCs w:val="16"/>
                <w:lang w:eastAsia="de-DE"/>
              </w:rPr>
            </w:pPr>
            <w:r w:rsidRPr="3982CBDC">
              <w:rPr>
                <w:rFonts w:eastAsia="Times New Roman"/>
                <w:b/>
                <w:bCs/>
                <w:noProof/>
                <w:sz w:val="16"/>
                <w:szCs w:val="16"/>
                <w:lang w:eastAsia="de-DE"/>
              </w:rPr>
              <w:t>Mio €</w:t>
            </w:r>
          </w:p>
        </w:tc>
        <w:tc>
          <w:tcPr>
            <w:tcW w:w="903" w:type="dxa"/>
            <w:tcBorders>
              <w:top w:val="nil"/>
              <w:left w:val="nil"/>
              <w:bottom w:val="single" w:sz="4" w:space="0" w:color="auto"/>
              <w:right w:val="single" w:sz="8" w:space="0" w:color="auto"/>
            </w:tcBorders>
            <w:shd w:val="clear" w:color="auto" w:fill="BFBFBF" w:themeFill="background1" w:themeFillShade="BF"/>
            <w:vAlign w:val="center"/>
            <w:hideMark/>
          </w:tcPr>
          <w:p w14:paraId="79818136" w14:textId="77777777" w:rsidR="00A47775" w:rsidRPr="002073BC" w:rsidRDefault="3982CBDC" w:rsidP="3982CBDC">
            <w:pPr>
              <w:spacing w:after="0" w:line="240" w:lineRule="auto"/>
              <w:jc w:val="center"/>
              <w:rPr>
                <w:rFonts w:eastAsia="Times New Roman"/>
                <w:b/>
                <w:bCs/>
                <w:noProof/>
                <w:sz w:val="16"/>
                <w:szCs w:val="16"/>
                <w:lang w:eastAsia="de-DE"/>
              </w:rPr>
            </w:pPr>
            <w:r w:rsidRPr="3982CBDC">
              <w:rPr>
                <w:rFonts w:eastAsia="Times New Roman"/>
                <w:b/>
                <w:bCs/>
                <w:noProof/>
                <w:sz w:val="16"/>
                <w:szCs w:val="16"/>
                <w:lang w:eastAsia="de-DE"/>
              </w:rPr>
              <w:t>€ / t CO</w:t>
            </w:r>
            <w:r w:rsidRPr="3982CBDC">
              <w:rPr>
                <w:rFonts w:eastAsia="Times New Roman"/>
                <w:b/>
                <w:bCs/>
                <w:noProof/>
                <w:sz w:val="16"/>
                <w:szCs w:val="16"/>
                <w:vertAlign w:val="subscript"/>
                <w:lang w:eastAsia="de-DE"/>
              </w:rPr>
              <w:t>2</w:t>
            </w:r>
            <w:r w:rsidRPr="3982CBDC">
              <w:rPr>
                <w:rFonts w:eastAsia="Times New Roman"/>
                <w:b/>
                <w:bCs/>
                <w:noProof/>
                <w:sz w:val="16"/>
                <w:szCs w:val="16"/>
                <w:lang w:eastAsia="de-DE"/>
              </w:rPr>
              <w:t>e</w:t>
            </w:r>
          </w:p>
        </w:tc>
      </w:tr>
      <w:tr w:rsidR="009945DE" w:rsidRPr="00D31C49" w14:paraId="500A1A91" w14:textId="77777777" w:rsidTr="00B735AF">
        <w:trPr>
          <w:trHeight w:val="357"/>
        </w:trPr>
        <w:tc>
          <w:tcPr>
            <w:tcW w:w="86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5560C2B" w14:textId="77777777" w:rsidR="00A47775" w:rsidRPr="002073BC" w:rsidRDefault="3982CBDC" w:rsidP="009945DE">
            <w:pPr>
              <w:spacing w:after="0" w:line="240" w:lineRule="auto"/>
              <w:jc w:val="left"/>
              <w:rPr>
                <w:rFonts w:eastAsia="Times New Roman"/>
                <w:noProof/>
                <w:color w:val="000000" w:themeColor="text1"/>
                <w:sz w:val="16"/>
                <w:szCs w:val="16"/>
                <w:lang w:eastAsia="de-DE"/>
              </w:rPr>
            </w:pPr>
            <w:r w:rsidRPr="3982CBDC">
              <w:rPr>
                <w:rFonts w:eastAsia="Times New Roman"/>
                <w:noProof/>
                <w:color w:val="000000" w:themeColor="text1"/>
                <w:sz w:val="16"/>
                <w:szCs w:val="16"/>
                <w:lang w:eastAsia="de-DE"/>
              </w:rPr>
              <w:t>Refrigeration</w:t>
            </w:r>
          </w:p>
        </w:tc>
        <w:tc>
          <w:tcPr>
            <w:tcW w:w="759" w:type="dxa"/>
            <w:tcBorders>
              <w:top w:val="single" w:sz="4" w:space="0" w:color="auto"/>
              <w:left w:val="nil"/>
              <w:bottom w:val="single" w:sz="4" w:space="0" w:color="auto"/>
              <w:right w:val="single" w:sz="8" w:space="0" w:color="auto"/>
            </w:tcBorders>
            <w:shd w:val="clear" w:color="auto" w:fill="auto"/>
            <w:vAlign w:val="center"/>
            <w:hideMark/>
          </w:tcPr>
          <w:p w14:paraId="611DC3EE" w14:textId="6C4F663C" w:rsidR="00A47775" w:rsidRPr="002073BC" w:rsidRDefault="009945DE" w:rsidP="009945DE">
            <w:pPr>
              <w:spacing w:after="0" w:line="240" w:lineRule="auto"/>
              <w:jc w:val="center"/>
              <w:rPr>
                <w:rFonts w:eastAsia="Times New Roman"/>
                <w:noProof/>
                <w:color w:val="000000" w:themeColor="text1"/>
                <w:sz w:val="16"/>
                <w:szCs w:val="16"/>
                <w:lang w:eastAsia="de-DE"/>
              </w:rPr>
            </w:pPr>
            <w:r>
              <w:rPr>
                <w:rFonts w:eastAsia="Times New Roman"/>
                <w:noProof/>
                <w:color w:val="000000" w:themeColor="text1"/>
                <w:sz w:val="16"/>
                <w:szCs w:val="16"/>
                <w:lang w:eastAsia="de-DE"/>
              </w:rPr>
              <w:t>2024- 2036</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4DF27A65" w14:textId="77777777" w:rsidR="00A47775" w:rsidRPr="002073BC"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-1.9</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A4E54F9" w14:textId="77777777" w:rsidR="00A47775" w:rsidRPr="002073BC"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-5.5</w:t>
            </w:r>
          </w:p>
        </w:tc>
        <w:tc>
          <w:tcPr>
            <w:tcW w:w="863" w:type="dxa"/>
            <w:tcBorders>
              <w:top w:val="single" w:sz="4" w:space="0" w:color="auto"/>
              <w:left w:val="nil"/>
              <w:bottom w:val="single" w:sz="4" w:space="0" w:color="auto"/>
              <w:right w:val="single" w:sz="8" w:space="0" w:color="auto"/>
            </w:tcBorders>
            <w:shd w:val="clear" w:color="auto" w:fill="auto"/>
            <w:noWrap/>
            <w:vAlign w:val="center"/>
            <w:hideMark/>
          </w:tcPr>
          <w:p w14:paraId="5A1EBDF4" w14:textId="77777777" w:rsidR="00A47775" w:rsidRPr="00D96089" w:rsidRDefault="3982CBDC" w:rsidP="009945DE">
            <w:pPr>
              <w:spacing w:after="0" w:line="240" w:lineRule="auto"/>
              <w:jc w:val="right"/>
              <w:rPr>
                <w:rFonts w:eastAsia="Times New Roman"/>
                <w:noProof/>
                <w:color w:val="000000" w:themeColor="text1"/>
                <w:sz w:val="16"/>
                <w:szCs w:val="16"/>
                <w:vertAlign w:val="superscript"/>
                <w:lang w:eastAsia="de-DE"/>
              </w:rPr>
            </w:pPr>
            <w:r w:rsidRPr="3982CBDC">
              <w:rPr>
                <w:noProof/>
                <w:sz w:val="16"/>
                <w:szCs w:val="16"/>
              </w:rPr>
              <w:t>NA</w:t>
            </w:r>
            <w:r w:rsidRPr="3982CBDC">
              <w:rPr>
                <w:noProof/>
                <w:sz w:val="16"/>
                <w:szCs w:val="16"/>
                <w:vertAlign w:val="superscript"/>
              </w:rPr>
              <w:t>+</w:t>
            </w:r>
          </w:p>
        </w:tc>
        <w:tc>
          <w:tcPr>
            <w:tcW w:w="751" w:type="dxa"/>
            <w:tcBorders>
              <w:top w:val="single" w:sz="4" w:space="0" w:color="auto"/>
              <w:left w:val="nil"/>
              <w:bottom w:val="single" w:sz="4" w:space="0" w:color="auto"/>
              <w:right w:val="single" w:sz="4" w:space="0" w:color="auto"/>
            </w:tcBorders>
            <w:shd w:val="clear" w:color="auto" w:fill="auto"/>
            <w:noWrap/>
            <w:vAlign w:val="center"/>
            <w:hideMark/>
          </w:tcPr>
          <w:p w14:paraId="686A3040" w14:textId="77777777" w:rsidR="00A47775" w:rsidRPr="002073BC"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1.7</w:t>
            </w:r>
          </w:p>
        </w:tc>
        <w:tc>
          <w:tcPr>
            <w:tcW w:w="903" w:type="dxa"/>
            <w:tcBorders>
              <w:top w:val="single" w:sz="4" w:space="0" w:color="auto"/>
              <w:left w:val="nil"/>
              <w:bottom w:val="single" w:sz="4" w:space="0" w:color="auto"/>
              <w:right w:val="single" w:sz="4" w:space="0" w:color="auto"/>
            </w:tcBorders>
            <w:shd w:val="clear" w:color="auto" w:fill="auto"/>
            <w:noWrap/>
            <w:vAlign w:val="center"/>
            <w:hideMark/>
          </w:tcPr>
          <w:p w14:paraId="4CC9F5B2" w14:textId="77777777" w:rsidR="00A47775" w:rsidRPr="002073BC"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-120.8</w:t>
            </w:r>
          </w:p>
        </w:tc>
        <w:tc>
          <w:tcPr>
            <w:tcW w:w="903" w:type="dxa"/>
            <w:tcBorders>
              <w:top w:val="single" w:sz="4" w:space="0" w:color="auto"/>
              <w:left w:val="nil"/>
              <w:bottom w:val="single" w:sz="4" w:space="0" w:color="auto"/>
              <w:right w:val="single" w:sz="8" w:space="0" w:color="auto"/>
            </w:tcBorders>
            <w:shd w:val="clear" w:color="auto" w:fill="auto"/>
            <w:noWrap/>
            <w:vAlign w:val="center"/>
            <w:hideMark/>
          </w:tcPr>
          <w:p w14:paraId="7AE37D76" w14:textId="0175ADB5" w:rsidR="00A47775" w:rsidRPr="002073BC" w:rsidRDefault="002359F8" w:rsidP="009945DE">
            <w:pPr>
              <w:spacing w:after="0" w:line="240" w:lineRule="auto"/>
              <w:jc w:val="right"/>
              <w:rPr>
                <w:rFonts w:eastAsia="Times New Roman"/>
                <w:noProof/>
                <w:color w:val="000000" w:themeColor="text1"/>
                <w:sz w:val="16"/>
                <w:szCs w:val="16"/>
                <w:lang w:eastAsia="de-DE"/>
              </w:rPr>
            </w:pPr>
            <w:r>
              <w:rPr>
                <w:noProof/>
                <w:sz w:val="16"/>
                <w:szCs w:val="16"/>
              </w:rPr>
              <w:t>-7</w:t>
            </w:r>
            <w:r w:rsidR="00FD6EE6">
              <w:rPr>
                <w:noProof/>
                <w:sz w:val="16"/>
                <w:szCs w:val="16"/>
              </w:rPr>
              <w:t>2.5</w:t>
            </w:r>
          </w:p>
        </w:tc>
        <w:tc>
          <w:tcPr>
            <w:tcW w:w="751" w:type="dxa"/>
            <w:tcBorders>
              <w:top w:val="single" w:sz="4" w:space="0" w:color="auto"/>
              <w:left w:val="nil"/>
              <w:bottom w:val="single" w:sz="4" w:space="0" w:color="auto"/>
              <w:right w:val="single" w:sz="4" w:space="0" w:color="auto"/>
            </w:tcBorders>
            <w:shd w:val="clear" w:color="auto" w:fill="auto"/>
            <w:noWrap/>
            <w:vAlign w:val="center"/>
            <w:hideMark/>
          </w:tcPr>
          <w:p w14:paraId="045102DE" w14:textId="77777777" w:rsidR="00A47775" w:rsidRPr="002073BC"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2.1</w:t>
            </w:r>
          </w:p>
        </w:tc>
        <w:tc>
          <w:tcPr>
            <w:tcW w:w="903" w:type="dxa"/>
            <w:tcBorders>
              <w:top w:val="single" w:sz="4" w:space="0" w:color="auto"/>
              <w:left w:val="nil"/>
              <w:bottom w:val="single" w:sz="4" w:space="0" w:color="auto"/>
              <w:right w:val="single" w:sz="4" w:space="0" w:color="auto"/>
            </w:tcBorders>
            <w:shd w:val="clear" w:color="auto" w:fill="auto"/>
            <w:noWrap/>
            <w:vAlign w:val="center"/>
            <w:hideMark/>
          </w:tcPr>
          <w:p w14:paraId="32E7C0D0" w14:textId="77777777" w:rsidR="00A47775" w:rsidRPr="002073BC"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-188.6</w:t>
            </w:r>
          </w:p>
        </w:tc>
        <w:tc>
          <w:tcPr>
            <w:tcW w:w="903" w:type="dxa"/>
            <w:tcBorders>
              <w:top w:val="single" w:sz="4" w:space="0" w:color="auto"/>
              <w:left w:val="nil"/>
              <w:bottom w:val="single" w:sz="4" w:space="0" w:color="auto"/>
              <w:right w:val="single" w:sz="8" w:space="0" w:color="auto"/>
            </w:tcBorders>
            <w:shd w:val="clear" w:color="auto" w:fill="auto"/>
            <w:noWrap/>
            <w:vAlign w:val="center"/>
            <w:hideMark/>
          </w:tcPr>
          <w:p w14:paraId="7FDCADF2" w14:textId="3D0E601E" w:rsidR="00A47775" w:rsidRPr="00D87B4A" w:rsidRDefault="00D87B4A" w:rsidP="00D87B4A">
            <w:pPr>
              <w:spacing w:after="0" w:line="240" w:lineRule="auto"/>
              <w:jc w:val="right"/>
              <w:rPr>
                <w:noProof/>
                <w:sz w:val="16"/>
                <w:szCs w:val="16"/>
              </w:rPr>
            </w:pPr>
            <w:r>
              <w:rPr>
                <w:noProof/>
                <w:sz w:val="16"/>
                <w:szCs w:val="16"/>
              </w:rPr>
              <w:t>-91.6</w:t>
            </w:r>
          </w:p>
        </w:tc>
      </w:tr>
      <w:tr w:rsidR="009945DE" w:rsidRPr="00D31C49" w14:paraId="43AD8E20" w14:textId="77777777" w:rsidTr="009945DE">
        <w:trPr>
          <w:trHeight w:val="379"/>
        </w:trPr>
        <w:tc>
          <w:tcPr>
            <w:tcW w:w="864" w:type="dxa"/>
            <w:tcBorders>
              <w:top w:val="nil"/>
              <w:left w:val="single" w:sz="8" w:space="0" w:color="auto"/>
              <w:bottom w:val="single" w:sz="4" w:space="0" w:color="auto"/>
              <w:right w:val="single" w:sz="4" w:space="0" w:color="auto"/>
            </w:tcBorders>
            <w:shd w:val="clear" w:color="auto" w:fill="auto"/>
            <w:noWrap/>
            <w:vAlign w:val="center"/>
            <w:hideMark/>
          </w:tcPr>
          <w:p w14:paraId="2EAA1E0B" w14:textId="77777777" w:rsidR="00A47775" w:rsidRPr="002073BC" w:rsidRDefault="3982CBDC" w:rsidP="009945DE">
            <w:pPr>
              <w:spacing w:after="0" w:line="240" w:lineRule="auto"/>
              <w:jc w:val="left"/>
              <w:rPr>
                <w:rFonts w:eastAsia="Times New Roman"/>
                <w:noProof/>
                <w:color w:val="000000" w:themeColor="text1"/>
                <w:sz w:val="16"/>
                <w:szCs w:val="16"/>
                <w:lang w:eastAsia="de-DE"/>
              </w:rPr>
            </w:pPr>
            <w:r w:rsidRPr="3982CBDC">
              <w:rPr>
                <w:rFonts w:eastAsia="Times New Roman"/>
                <w:noProof/>
                <w:color w:val="000000" w:themeColor="text1"/>
                <w:sz w:val="16"/>
                <w:szCs w:val="16"/>
                <w:lang w:eastAsia="de-DE"/>
              </w:rPr>
              <w:t>Stationary A/C</w:t>
            </w:r>
          </w:p>
        </w:tc>
        <w:tc>
          <w:tcPr>
            <w:tcW w:w="759" w:type="dxa"/>
            <w:tcBorders>
              <w:top w:val="nil"/>
              <w:left w:val="nil"/>
              <w:bottom w:val="single" w:sz="4" w:space="0" w:color="auto"/>
              <w:right w:val="single" w:sz="8" w:space="0" w:color="auto"/>
            </w:tcBorders>
            <w:shd w:val="clear" w:color="auto" w:fill="auto"/>
            <w:vAlign w:val="center"/>
            <w:hideMark/>
          </w:tcPr>
          <w:p w14:paraId="4F4F5F04" w14:textId="465B61E1" w:rsidR="00A47775" w:rsidRPr="002073BC" w:rsidRDefault="009945DE" w:rsidP="009945DE">
            <w:pPr>
              <w:spacing w:after="0" w:line="240" w:lineRule="auto"/>
              <w:jc w:val="center"/>
              <w:rPr>
                <w:rFonts w:eastAsia="Times New Roman"/>
                <w:noProof/>
                <w:color w:val="000000" w:themeColor="text1"/>
                <w:sz w:val="16"/>
                <w:szCs w:val="16"/>
                <w:lang w:eastAsia="de-DE"/>
              </w:rPr>
            </w:pPr>
            <w:r>
              <w:rPr>
                <w:rFonts w:eastAsia="Times New Roman"/>
                <w:noProof/>
                <w:color w:val="000000" w:themeColor="text1"/>
                <w:sz w:val="16"/>
                <w:szCs w:val="16"/>
                <w:lang w:eastAsia="de-DE"/>
              </w:rPr>
              <w:t>2024- 2036</w:t>
            </w:r>
          </w:p>
        </w:tc>
        <w:tc>
          <w:tcPr>
            <w:tcW w:w="857" w:type="dxa"/>
            <w:tcBorders>
              <w:top w:val="nil"/>
              <w:left w:val="nil"/>
              <w:bottom w:val="single" w:sz="4" w:space="0" w:color="auto"/>
              <w:right w:val="single" w:sz="4" w:space="0" w:color="auto"/>
            </w:tcBorders>
            <w:shd w:val="clear" w:color="auto" w:fill="auto"/>
            <w:noWrap/>
            <w:vAlign w:val="center"/>
            <w:hideMark/>
          </w:tcPr>
          <w:p w14:paraId="32FD002F" w14:textId="77777777" w:rsidR="00A47775" w:rsidRPr="002073BC"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-3.0</w:t>
            </w:r>
          </w:p>
        </w:tc>
        <w:tc>
          <w:tcPr>
            <w:tcW w:w="709" w:type="dxa"/>
            <w:tcBorders>
              <w:top w:val="nil"/>
              <w:left w:val="nil"/>
              <w:bottom w:val="single" w:sz="4" w:space="0" w:color="auto"/>
              <w:right w:val="single" w:sz="4" w:space="0" w:color="auto"/>
            </w:tcBorders>
            <w:shd w:val="clear" w:color="auto" w:fill="auto"/>
            <w:noWrap/>
            <w:vAlign w:val="center"/>
            <w:hideMark/>
          </w:tcPr>
          <w:p w14:paraId="2EFCDBD9" w14:textId="77777777" w:rsidR="00A47775" w:rsidRPr="002073BC"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196.9</w:t>
            </w:r>
          </w:p>
        </w:tc>
        <w:tc>
          <w:tcPr>
            <w:tcW w:w="863" w:type="dxa"/>
            <w:tcBorders>
              <w:top w:val="nil"/>
              <w:left w:val="nil"/>
              <w:bottom w:val="single" w:sz="4" w:space="0" w:color="auto"/>
              <w:right w:val="single" w:sz="8" w:space="0" w:color="auto"/>
            </w:tcBorders>
            <w:shd w:val="clear" w:color="auto" w:fill="auto"/>
            <w:noWrap/>
            <w:vAlign w:val="center"/>
            <w:hideMark/>
          </w:tcPr>
          <w:p w14:paraId="358AE654" w14:textId="77777777" w:rsidR="00A47775" w:rsidRPr="002073BC"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NA</w:t>
            </w:r>
          </w:p>
        </w:tc>
        <w:tc>
          <w:tcPr>
            <w:tcW w:w="751" w:type="dxa"/>
            <w:tcBorders>
              <w:top w:val="nil"/>
              <w:left w:val="nil"/>
              <w:bottom w:val="single" w:sz="4" w:space="0" w:color="auto"/>
              <w:right w:val="single" w:sz="4" w:space="0" w:color="auto"/>
            </w:tcBorders>
            <w:shd w:val="clear" w:color="auto" w:fill="auto"/>
            <w:noWrap/>
            <w:vAlign w:val="center"/>
            <w:hideMark/>
          </w:tcPr>
          <w:p w14:paraId="2CB2FDD5" w14:textId="77777777" w:rsidR="00A47775" w:rsidRPr="002073BC"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7.3</w:t>
            </w:r>
          </w:p>
        </w:tc>
        <w:tc>
          <w:tcPr>
            <w:tcW w:w="903" w:type="dxa"/>
            <w:tcBorders>
              <w:top w:val="nil"/>
              <w:left w:val="nil"/>
              <w:bottom w:val="single" w:sz="4" w:space="0" w:color="auto"/>
              <w:right w:val="single" w:sz="4" w:space="0" w:color="auto"/>
            </w:tcBorders>
            <w:shd w:val="clear" w:color="auto" w:fill="auto"/>
            <w:noWrap/>
            <w:vAlign w:val="center"/>
            <w:hideMark/>
          </w:tcPr>
          <w:p w14:paraId="69C09BA2" w14:textId="77777777" w:rsidR="00A47775" w:rsidRPr="002073BC"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-559.4</w:t>
            </w:r>
          </w:p>
        </w:tc>
        <w:tc>
          <w:tcPr>
            <w:tcW w:w="903" w:type="dxa"/>
            <w:tcBorders>
              <w:top w:val="nil"/>
              <w:left w:val="nil"/>
              <w:bottom w:val="single" w:sz="4" w:space="0" w:color="auto"/>
              <w:right w:val="single" w:sz="8" w:space="0" w:color="auto"/>
            </w:tcBorders>
            <w:shd w:val="clear" w:color="auto" w:fill="auto"/>
            <w:noWrap/>
            <w:vAlign w:val="center"/>
            <w:hideMark/>
          </w:tcPr>
          <w:p w14:paraId="1D1F8C17" w14:textId="0F57FA9F" w:rsidR="00A47775" w:rsidRPr="002073BC" w:rsidRDefault="00D87B4A" w:rsidP="009945DE">
            <w:pPr>
              <w:spacing w:after="0" w:line="240" w:lineRule="auto"/>
              <w:jc w:val="right"/>
              <w:rPr>
                <w:rFonts w:eastAsia="Times New Roman"/>
                <w:noProof/>
                <w:color w:val="000000" w:themeColor="text1"/>
                <w:sz w:val="16"/>
                <w:szCs w:val="16"/>
                <w:lang w:eastAsia="de-DE"/>
              </w:rPr>
            </w:pPr>
            <w:r>
              <w:rPr>
                <w:noProof/>
                <w:sz w:val="16"/>
                <w:szCs w:val="16"/>
              </w:rPr>
              <w:t>-76.</w:t>
            </w:r>
            <w:r w:rsidR="00FD6EE6">
              <w:rPr>
                <w:noProof/>
                <w:sz w:val="16"/>
                <w:szCs w:val="16"/>
              </w:rPr>
              <w:t>3</w:t>
            </w:r>
          </w:p>
        </w:tc>
        <w:tc>
          <w:tcPr>
            <w:tcW w:w="751" w:type="dxa"/>
            <w:tcBorders>
              <w:top w:val="nil"/>
              <w:left w:val="nil"/>
              <w:bottom w:val="single" w:sz="4" w:space="0" w:color="auto"/>
              <w:right w:val="single" w:sz="4" w:space="0" w:color="auto"/>
            </w:tcBorders>
            <w:shd w:val="clear" w:color="auto" w:fill="auto"/>
            <w:noWrap/>
            <w:vAlign w:val="center"/>
            <w:hideMark/>
          </w:tcPr>
          <w:p w14:paraId="5E4E19F5" w14:textId="77777777" w:rsidR="00A47775" w:rsidRPr="002073BC"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7.3</w:t>
            </w:r>
          </w:p>
        </w:tc>
        <w:tc>
          <w:tcPr>
            <w:tcW w:w="903" w:type="dxa"/>
            <w:tcBorders>
              <w:top w:val="nil"/>
              <w:left w:val="nil"/>
              <w:bottom w:val="single" w:sz="4" w:space="0" w:color="auto"/>
              <w:right w:val="single" w:sz="4" w:space="0" w:color="auto"/>
            </w:tcBorders>
            <w:shd w:val="clear" w:color="auto" w:fill="auto"/>
            <w:noWrap/>
            <w:vAlign w:val="center"/>
            <w:hideMark/>
          </w:tcPr>
          <w:p w14:paraId="7546B068" w14:textId="77777777" w:rsidR="00A47775" w:rsidRPr="002073BC"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-559.4</w:t>
            </w:r>
          </w:p>
        </w:tc>
        <w:tc>
          <w:tcPr>
            <w:tcW w:w="903" w:type="dxa"/>
            <w:tcBorders>
              <w:top w:val="nil"/>
              <w:left w:val="nil"/>
              <w:bottom w:val="single" w:sz="4" w:space="0" w:color="auto"/>
              <w:right w:val="single" w:sz="8" w:space="0" w:color="auto"/>
            </w:tcBorders>
            <w:shd w:val="clear" w:color="auto" w:fill="auto"/>
            <w:noWrap/>
            <w:vAlign w:val="center"/>
            <w:hideMark/>
          </w:tcPr>
          <w:p w14:paraId="33EA6EE8" w14:textId="77777777" w:rsidR="00A47775" w:rsidRPr="002073BC"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-76.3</w:t>
            </w:r>
          </w:p>
        </w:tc>
      </w:tr>
      <w:tr w:rsidR="009945DE" w:rsidRPr="00D31C49" w14:paraId="4D70B954" w14:textId="77777777" w:rsidTr="009945DE">
        <w:trPr>
          <w:trHeight w:val="401"/>
        </w:trPr>
        <w:tc>
          <w:tcPr>
            <w:tcW w:w="864" w:type="dxa"/>
            <w:tcBorders>
              <w:top w:val="nil"/>
              <w:left w:val="single" w:sz="8" w:space="0" w:color="auto"/>
              <w:bottom w:val="single" w:sz="4" w:space="0" w:color="auto"/>
              <w:right w:val="single" w:sz="4" w:space="0" w:color="auto"/>
            </w:tcBorders>
            <w:shd w:val="clear" w:color="auto" w:fill="auto"/>
            <w:noWrap/>
            <w:vAlign w:val="center"/>
            <w:hideMark/>
          </w:tcPr>
          <w:p w14:paraId="74324547" w14:textId="77777777" w:rsidR="00A47775" w:rsidRPr="002073BC" w:rsidRDefault="3982CBDC" w:rsidP="009945DE">
            <w:pPr>
              <w:spacing w:after="0" w:line="240" w:lineRule="auto"/>
              <w:jc w:val="left"/>
              <w:rPr>
                <w:rFonts w:eastAsia="Times New Roman"/>
                <w:noProof/>
                <w:color w:val="000000" w:themeColor="text1"/>
                <w:sz w:val="16"/>
                <w:szCs w:val="16"/>
                <w:lang w:eastAsia="de-DE"/>
              </w:rPr>
            </w:pPr>
            <w:r w:rsidRPr="3982CBDC">
              <w:rPr>
                <w:rFonts w:eastAsia="Times New Roman"/>
                <w:noProof/>
                <w:color w:val="000000" w:themeColor="text1"/>
                <w:sz w:val="16"/>
                <w:szCs w:val="16"/>
                <w:lang w:eastAsia="de-DE"/>
              </w:rPr>
              <w:t>Mobile A/C</w:t>
            </w:r>
          </w:p>
        </w:tc>
        <w:tc>
          <w:tcPr>
            <w:tcW w:w="759" w:type="dxa"/>
            <w:tcBorders>
              <w:top w:val="nil"/>
              <w:left w:val="nil"/>
              <w:bottom w:val="single" w:sz="4" w:space="0" w:color="auto"/>
              <w:right w:val="single" w:sz="8" w:space="0" w:color="auto"/>
            </w:tcBorders>
            <w:shd w:val="clear" w:color="auto" w:fill="auto"/>
            <w:vAlign w:val="center"/>
            <w:hideMark/>
          </w:tcPr>
          <w:p w14:paraId="4798A4F6" w14:textId="73D687BD" w:rsidR="00A47775" w:rsidRPr="002073BC" w:rsidRDefault="009945DE" w:rsidP="009945DE">
            <w:pPr>
              <w:spacing w:after="0" w:line="240" w:lineRule="auto"/>
              <w:jc w:val="center"/>
              <w:rPr>
                <w:rFonts w:eastAsia="Times New Roman"/>
                <w:noProof/>
                <w:color w:val="000000" w:themeColor="text1"/>
                <w:sz w:val="16"/>
                <w:szCs w:val="16"/>
                <w:lang w:eastAsia="de-DE"/>
              </w:rPr>
            </w:pPr>
            <w:r>
              <w:rPr>
                <w:rFonts w:eastAsia="Times New Roman"/>
                <w:noProof/>
                <w:color w:val="000000" w:themeColor="text1"/>
                <w:sz w:val="16"/>
                <w:szCs w:val="16"/>
                <w:lang w:eastAsia="de-DE"/>
              </w:rPr>
              <w:t>2024- 2036</w:t>
            </w:r>
          </w:p>
        </w:tc>
        <w:tc>
          <w:tcPr>
            <w:tcW w:w="857" w:type="dxa"/>
            <w:tcBorders>
              <w:top w:val="nil"/>
              <w:left w:val="nil"/>
              <w:bottom w:val="single" w:sz="4" w:space="0" w:color="auto"/>
              <w:right w:val="single" w:sz="4" w:space="0" w:color="auto"/>
            </w:tcBorders>
            <w:shd w:val="clear" w:color="auto" w:fill="auto"/>
            <w:noWrap/>
            <w:vAlign w:val="center"/>
            <w:hideMark/>
          </w:tcPr>
          <w:p w14:paraId="45FD480F" w14:textId="77777777" w:rsidR="00A47775" w:rsidRPr="002073BC"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14:paraId="20C2475C" w14:textId="77777777" w:rsidR="00A47775" w:rsidRPr="002073BC"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0.0</w:t>
            </w:r>
          </w:p>
        </w:tc>
        <w:tc>
          <w:tcPr>
            <w:tcW w:w="863" w:type="dxa"/>
            <w:tcBorders>
              <w:top w:val="nil"/>
              <w:left w:val="nil"/>
              <w:bottom w:val="single" w:sz="4" w:space="0" w:color="auto"/>
              <w:right w:val="single" w:sz="8" w:space="0" w:color="auto"/>
            </w:tcBorders>
            <w:shd w:val="clear" w:color="auto" w:fill="auto"/>
            <w:noWrap/>
            <w:vAlign w:val="center"/>
            <w:hideMark/>
          </w:tcPr>
          <w:p w14:paraId="58385B14" w14:textId="77777777" w:rsidR="00A47775" w:rsidRPr="002073BC"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NA</w:t>
            </w:r>
          </w:p>
        </w:tc>
        <w:tc>
          <w:tcPr>
            <w:tcW w:w="751" w:type="dxa"/>
            <w:tcBorders>
              <w:top w:val="nil"/>
              <w:left w:val="nil"/>
              <w:bottom w:val="single" w:sz="4" w:space="0" w:color="auto"/>
              <w:right w:val="single" w:sz="4" w:space="0" w:color="auto"/>
            </w:tcBorders>
            <w:shd w:val="clear" w:color="auto" w:fill="auto"/>
            <w:noWrap/>
            <w:vAlign w:val="center"/>
            <w:hideMark/>
          </w:tcPr>
          <w:p w14:paraId="050AF31F" w14:textId="77777777" w:rsidR="00A47775" w:rsidRPr="002073BC"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1.7</w:t>
            </w:r>
          </w:p>
        </w:tc>
        <w:tc>
          <w:tcPr>
            <w:tcW w:w="903" w:type="dxa"/>
            <w:tcBorders>
              <w:top w:val="nil"/>
              <w:left w:val="nil"/>
              <w:bottom w:val="single" w:sz="4" w:space="0" w:color="auto"/>
              <w:right w:val="single" w:sz="4" w:space="0" w:color="auto"/>
            </w:tcBorders>
            <w:shd w:val="clear" w:color="auto" w:fill="auto"/>
            <w:noWrap/>
            <w:vAlign w:val="center"/>
            <w:hideMark/>
          </w:tcPr>
          <w:p w14:paraId="101DB279" w14:textId="0BD02078" w:rsidR="00A47775" w:rsidRPr="002073BC" w:rsidRDefault="00E5787D" w:rsidP="009945DE">
            <w:pPr>
              <w:spacing w:after="0" w:line="240" w:lineRule="auto"/>
              <w:jc w:val="right"/>
              <w:rPr>
                <w:rFonts w:eastAsia="Times New Roman"/>
                <w:noProof/>
                <w:color w:val="000000" w:themeColor="text1"/>
                <w:sz w:val="16"/>
                <w:szCs w:val="16"/>
                <w:lang w:eastAsia="de-DE"/>
              </w:rPr>
            </w:pPr>
            <w:r>
              <w:rPr>
                <w:noProof/>
                <w:sz w:val="16"/>
                <w:szCs w:val="16"/>
              </w:rPr>
              <w:t>96.2</w:t>
            </w:r>
          </w:p>
        </w:tc>
        <w:tc>
          <w:tcPr>
            <w:tcW w:w="903" w:type="dxa"/>
            <w:tcBorders>
              <w:top w:val="nil"/>
              <w:left w:val="nil"/>
              <w:bottom w:val="single" w:sz="4" w:space="0" w:color="auto"/>
              <w:right w:val="single" w:sz="8" w:space="0" w:color="auto"/>
            </w:tcBorders>
            <w:shd w:val="clear" w:color="auto" w:fill="auto"/>
            <w:noWrap/>
            <w:vAlign w:val="center"/>
            <w:hideMark/>
          </w:tcPr>
          <w:p w14:paraId="5E548700" w14:textId="2E60DF76" w:rsidR="00A47775" w:rsidRPr="002073BC" w:rsidRDefault="00D87B4A" w:rsidP="009945DE">
            <w:pPr>
              <w:spacing w:after="0" w:line="240" w:lineRule="auto"/>
              <w:jc w:val="right"/>
              <w:rPr>
                <w:rFonts w:eastAsia="Times New Roman"/>
                <w:noProof/>
                <w:color w:val="000000" w:themeColor="text1"/>
                <w:sz w:val="16"/>
                <w:szCs w:val="16"/>
                <w:lang w:eastAsia="de-DE"/>
              </w:rPr>
            </w:pPr>
            <w:r>
              <w:rPr>
                <w:noProof/>
                <w:sz w:val="16"/>
                <w:szCs w:val="16"/>
              </w:rPr>
              <w:t>5</w:t>
            </w:r>
            <w:r w:rsidR="00FD6EE6">
              <w:rPr>
                <w:noProof/>
                <w:sz w:val="16"/>
                <w:szCs w:val="16"/>
              </w:rPr>
              <w:t>7</w:t>
            </w:r>
            <w:r>
              <w:rPr>
                <w:noProof/>
                <w:sz w:val="16"/>
                <w:szCs w:val="16"/>
              </w:rPr>
              <w:t>.</w:t>
            </w:r>
            <w:r w:rsidR="00FD6EE6">
              <w:rPr>
                <w:noProof/>
                <w:sz w:val="16"/>
                <w:szCs w:val="16"/>
              </w:rPr>
              <w:t>9</w:t>
            </w:r>
          </w:p>
        </w:tc>
        <w:tc>
          <w:tcPr>
            <w:tcW w:w="751" w:type="dxa"/>
            <w:tcBorders>
              <w:top w:val="nil"/>
              <w:left w:val="nil"/>
              <w:bottom w:val="single" w:sz="4" w:space="0" w:color="auto"/>
              <w:right w:val="single" w:sz="4" w:space="0" w:color="auto"/>
            </w:tcBorders>
            <w:shd w:val="clear" w:color="auto" w:fill="auto"/>
            <w:noWrap/>
            <w:vAlign w:val="center"/>
            <w:hideMark/>
          </w:tcPr>
          <w:p w14:paraId="6BCBE9EF" w14:textId="77777777" w:rsidR="00A47775" w:rsidRPr="002073BC"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2.9</w:t>
            </w:r>
          </w:p>
        </w:tc>
        <w:tc>
          <w:tcPr>
            <w:tcW w:w="903" w:type="dxa"/>
            <w:tcBorders>
              <w:top w:val="nil"/>
              <w:left w:val="nil"/>
              <w:bottom w:val="single" w:sz="4" w:space="0" w:color="auto"/>
              <w:right w:val="single" w:sz="4" w:space="0" w:color="auto"/>
            </w:tcBorders>
            <w:shd w:val="clear" w:color="auto" w:fill="auto"/>
            <w:noWrap/>
            <w:vAlign w:val="center"/>
            <w:hideMark/>
          </w:tcPr>
          <w:p w14:paraId="08DA54FD" w14:textId="77777777" w:rsidR="00A47775" w:rsidRPr="002073BC"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303.9</w:t>
            </w:r>
          </w:p>
        </w:tc>
        <w:tc>
          <w:tcPr>
            <w:tcW w:w="903" w:type="dxa"/>
            <w:tcBorders>
              <w:top w:val="nil"/>
              <w:left w:val="nil"/>
              <w:bottom w:val="single" w:sz="4" w:space="0" w:color="auto"/>
              <w:right w:val="single" w:sz="8" w:space="0" w:color="auto"/>
            </w:tcBorders>
            <w:shd w:val="clear" w:color="auto" w:fill="auto"/>
            <w:noWrap/>
            <w:vAlign w:val="center"/>
            <w:hideMark/>
          </w:tcPr>
          <w:p w14:paraId="3AFB1566" w14:textId="77777777" w:rsidR="00A47775" w:rsidRPr="002073BC"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106.4</w:t>
            </w:r>
          </w:p>
        </w:tc>
      </w:tr>
      <w:tr w:rsidR="009945DE" w:rsidRPr="00D31C49" w14:paraId="4E8CA136" w14:textId="77777777" w:rsidTr="009945DE">
        <w:trPr>
          <w:trHeight w:val="716"/>
        </w:trPr>
        <w:tc>
          <w:tcPr>
            <w:tcW w:w="864" w:type="dxa"/>
            <w:tcBorders>
              <w:top w:val="nil"/>
              <w:left w:val="single" w:sz="8" w:space="0" w:color="auto"/>
              <w:bottom w:val="single" w:sz="4" w:space="0" w:color="auto"/>
              <w:right w:val="single" w:sz="4" w:space="0" w:color="auto"/>
            </w:tcBorders>
            <w:shd w:val="clear" w:color="auto" w:fill="auto"/>
            <w:vAlign w:val="center"/>
            <w:hideMark/>
          </w:tcPr>
          <w:p w14:paraId="264FA5C4" w14:textId="1F30CA20" w:rsidR="009945DE" w:rsidRDefault="006E4970" w:rsidP="009945DE">
            <w:pPr>
              <w:spacing w:after="0" w:line="240" w:lineRule="auto"/>
              <w:jc w:val="left"/>
              <w:rPr>
                <w:rFonts w:eastAsia="Times New Roman"/>
                <w:noProof/>
                <w:color w:val="000000" w:themeColor="text1"/>
                <w:sz w:val="16"/>
                <w:szCs w:val="16"/>
                <w:lang w:eastAsia="de-DE"/>
              </w:rPr>
            </w:pPr>
            <w:r>
              <w:rPr>
                <w:rFonts w:eastAsia="Times New Roman"/>
                <w:noProof/>
                <w:color w:val="000000" w:themeColor="text1"/>
                <w:sz w:val="16"/>
                <w:szCs w:val="16"/>
                <w:lang w:eastAsia="de-DE"/>
              </w:rPr>
              <w:t>PropellantsS</w:t>
            </w:r>
            <w:r w:rsidR="009945DE">
              <w:rPr>
                <w:rFonts w:eastAsia="Times New Roman"/>
                <w:noProof/>
                <w:color w:val="000000" w:themeColor="text1"/>
                <w:sz w:val="16"/>
                <w:szCs w:val="16"/>
                <w:lang w:eastAsia="de-DE"/>
              </w:rPr>
              <w:t>olvents</w:t>
            </w:r>
          </w:p>
          <w:p w14:paraId="7882AC18" w14:textId="3488003A" w:rsidR="00A47775" w:rsidRPr="002073BC" w:rsidRDefault="009945DE" w:rsidP="009945DE">
            <w:pPr>
              <w:spacing w:after="0" w:line="240" w:lineRule="auto"/>
              <w:jc w:val="left"/>
              <w:rPr>
                <w:rFonts w:eastAsia="Times New Roman"/>
                <w:noProof/>
                <w:color w:val="000000" w:themeColor="text1"/>
                <w:sz w:val="16"/>
                <w:szCs w:val="16"/>
                <w:lang w:eastAsia="de-DE"/>
              </w:rPr>
            </w:pPr>
            <w:r>
              <w:rPr>
                <w:rFonts w:eastAsia="Times New Roman"/>
                <w:noProof/>
                <w:color w:val="000000" w:themeColor="text1"/>
                <w:sz w:val="16"/>
                <w:szCs w:val="16"/>
                <w:lang w:eastAsia="de-DE"/>
              </w:rPr>
              <w:t>Fire fight.</w:t>
            </w:r>
          </w:p>
        </w:tc>
        <w:tc>
          <w:tcPr>
            <w:tcW w:w="759" w:type="dxa"/>
            <w:tcBorders>
              <w:top w:val="nil"/>
              <w:left w:val="nil"/>
              <w:bottom w:val="single" w:sz="4" w:space="0" w:color="auto"/>
              <w:right w:val="single" w:sz="8" w:space="0" w:color="auto"/>
            </w:tcBorders>
            <w:shd w:val="clear" w:color="auto" w:fill="auto"/>
            <w:vAlign w:val="center"/>
            <w:hideMark/>
          </w:tcPr>
          <w:p w14:paraId="48111A17" w14:textId="0C0A88CF" w:rsidR="00A47775" w:rsidRPr="002073BC" w:rsidRDefault="009945DE" w:rsidP="009945DE">
            <w:pPr>
              <w:spacing w:after="0" w:line="240" w:lineRule="auto"/>
              <w:jc w:val="center"/>
              <w:rPr>
                <w:rFonts w:eastAsia="Times New Roman"/>
                <w:noProof/>
                <w:color w:val="000000" w:themeColor="text1"/>
                <w:sz w:val="16"/>
                <w:szCs w:val="16"/>
                <w:lang w:eastAsia="de-DE"/>
              </w:rPr>
            </w:pPr>
            <w:r>
              <w:rPr>
                <w:rFonts w:eastAsia="Times New Roman"/>
                <w:noProof/>
                <w:color w:val="000000" w:themeColor="text1"/>
                <w:sz w:val="16"/>
                <w:szCs w:val="16"/>
                <w:lang w:eastAsia="de-DE"/>
              </w:rPr>
              <w:t>2024- 2036</w:t>
            </w:r>
          </w:p>
        </w:tc>
        <w:tc>
          <w:tcPr>
            <w:tcW w:w="857" w:type="dxa"/>
            <w:tcBorders>
              <w:top w:val="nil"/>
              <w:left w:val="nil"/>
              <w:bottom w:val="single" w:sz="4" w:space="0" w:color="auto"/>
              <w:right w:val="single" w:sz="4" w:space="0" w:color="auto"/>
            </w:tcBorders>
            <w:shd w:val="clear" w:color="auto" w:fill="auto"/>
            <w:noWrap/>
            <w:vAlign w:val="center"/>
            <w:hideMark/>
          </w:tcPr>
          <w:p w14:paraId="5322CA7B" w14:textId="77777777" w:rsidR="00A47775" w:rsidRPr="002073BC"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14:paraId="78BEC0A0" w14:textId="77777777" w:rsidR="00A47775" w:rsidRPr="002073BC"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0.0</w:t>
            </w:r>
          </w:p>
        </w:tc>
        <w:tc>
          <w:tcPr>
            <w:tcW w:w="863" w:type="dxa"/>
            <w:tcBorders>
              <w:top w:val="nil"/>
              <w:left w:val="nil"/>
              <w:bottom w:val="single" w:sz="4" w:space="0" w:color="auto"/>
              <w:right w:val="single" w:sz="8" w:space="0" w:color="auto"/>
            </w:tcBorders>
            <w:shd w:val="clear" w:color="auto" w:fill="auto"/>
            <w:noWrap/>
            <w:vAlign w:val="center"/>
            <w:hideMark/>
          </w:tcPr>
          <w:p w14:paraId="48F0A233" w14:textId="77777777" w:rsidR="00A47775" w:rsidRPr="002073BC"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NA</w:t>
            </w:r>
          </w:p>
        </w:tc>
        <w:tc>
          <w:tcPr>
            <w:tcW w:w="751" w:type="dxa"/>
            <w:tcBorders>
              <w:top w:val="nil"/>
              <w:left w:val="nil"/>
              <w:bottom w:val="single" w:sz="4" w:space="0" w:color="auto"/>
              <w:right w:val="single" w:sz="4" w:space="0" w:color="auto"/>
            </w:tcBorders>
            <w:shd w:val="clear" w:color="auto" w:fill="auto"/>
            <w:noWrap/>
            <w:vAlign w:val="center"/>
            <w:hideMark/>
          </w:tcPr>
          <w:p w14:paraId="528B63E8" w14:textId="77777777" w:rsidR="00A47775" w:rsidRPr="002073BC"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2.5</w:t>
            </w:r>
          </w:p>
        </w:tc>
        <w:tc>
          <w:tcPr>
            <w:tcW w:w="903" w:type="dxa"/>
            <w:tcBorders>
              <w:top w:val="nil"/>
              <w:left w:val="nil"/>
              <w:bottom w:val="single" w:sz="4" w:space="0" w:color="auto"/>
              <w:right w:val="single" w:sz="4" w:space="0" w:color="auto"/>
            </w:tcBorders>
            <w:shd w:val="clear" w:color="auto" w:fill="auto"/>
            <w:noWrap/>
            <w:vAlign w:val="center"/>
            <w:hideMark/>
          </w:tcPr>
          <w:p w14:paraId="48848BE7" w14:textId="77777777" w:rsidR="00A47775" w:rsidRPr="002073BC"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3.3</w:t>
            </w:r>
          </w:p>
        </w:tc>
        <w:tc>
          <w:tcPr>
            <w:tcW w:w="903" w:type="dxa"/>
            <w:tcBorders>
              <w:top w:val="nil"/>
              <w:left w:val="nil"/>
              <w:bottom w:val="single" w:sz="4" w:space="0" w:color="auto"/>
              <w:right w:val="single" w:sz="8" w:space="0" w:color="auto"/>
            </w:tcBorders>
            <w:shd w:val="clear" w:color="auto" w:fill="auto"/>
            <w:noWrap/>
            <w:vAlign w:val="center"/>
            <w:hideMark/>
          </w:tcPr>
          <w:p w14:paraId="1FF807D8" w14:textId="77777777" w:rsidR="00A47775" w:rsidRPr="002073BC"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1.3</w:t>
            </w:r>
          </w:p>
        </w:tc>
        <w:tc>
          <w:tcPr>
            <w:tcW w:w="751" w:type="dxa"/>
            <w:tcBorders>
              <w:top w:val="nil"/>
              <w:left w:val="nil"/>
              <w:bottom w:val="single" w:sz="4" w:space="0" w:color="auto"/>
              <w:right w:val="single" w:sz="4" w:space="0" w:color="auto"/>
            </w:tcBorders>
            <w:shd w:val="clear" w:color="auto" w:fill="auto"/>
            <w:noWrap/>
            <w:vAlign w:val="center"/>
            <w:hideMark/>
          </w:tcPr>
          <w:p w14:paraId="0951A4AA" w14:textId="77777777" w:rsidR="00A47775" w:rsidRPr="002073BC"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2.5</w:t>
            </w:r>
          </w:p>
        </w:tc>
        <w:tc>
          <w:tcPr>
            <w:tcW w:w="903" w:type="dxa"/>
            <w:tcBorders>
              <w:top w:val="nil"/>
              <w:left w:val="nil"/>
              <w:bottom w:val="single" w:sz="4" w:space="0" w:color="auto"/>
              <w:right w:val="single" w:sz="4" w:space="0" w:color="auto"/>
            </w:tcBorders>
            <w:shd w:val="clear" w:color="auto" w:fill="auto"/>
            <w:noWrap/>
            <w:vAlign w:val="center"/>
            <w:hideMark/>
          </w:tcPr>
          <w:p w14:paraId="1C26D445" w14:textId="77777777" w:rsidR="00A47775" w:rsidRPr="002073BC"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3.3</w:t>
            </w:r>
          </w:p>
        </w:tc>
        <w:tc>
          <w:tcPr>
            <w:tcW w:w="903" w:type="dxa"/>
            <w:tcBorders>
              <w:top w:val="nil"/>
              <w:left w:val="nil"/>
              <w:bottom w:val="single" w:sz="4" w:space="0" w:color="auto"/>
              <w:right w:val="single" w:sz="8" w:space="0" w:color="auto"/>
            </w:tcBorders>
            <w:shd w:val="clear" w:color="auto" w:fill="auto"/>
            <w:noWrap/>
            <w:vAlign w:val="center"/>
            <w:hideMark/>
          </w:tcPr>
          <w:p w14:paraId="18AA0B9F" w14:textId="77777777" w:rsidR="00A47775" w:rsidRPr="002073BC"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1.3</w:t>
            </w:r>
          </w:p>
        </w:tc>
      </w:tr>
      <w:tr w:rsidR="009945DE" w:rsidRPr="00D31C49" w14:paraId="386AB101" w14:textId="77777777" w:rsidTr="009945DE">
        <w:trPr>
          <w:trHeight w:val="376"/>
        </w:trPr>
        <w:tc>
          <w:tcPr>
            <w:tcW w:w="864" w:type="dxa"/>
            <w:tcBorders>
              <w:top w:val="nil"/>
              <w:left w:val="single" w:sz="8" w:space="0" w:color="auto"/>
              <w:bottom w:val="single" w:sz="4" w:space="0" w:color="auto"/>
              <w:right w:val="single" w:sz="4" w:space="0" w:color="auto"/>
            </w:tcBorders>
            <w:shd w:val="clear" w:color="auto" w:fill="auto"/>
            <w:noWrap/>
            <w:vAlign w:val="center"/>
            <w:hideMark/>
          </w:tcPr>
          <w:p w14:paraId="04117547" w14:textId="77777777" w:rsidR="00A47775" w:rsidRPr="002073BC" w:rsidRDefault="3982CBDC" w:rsidP="009945DE">
            <w:pPr>
              <w:spacing w:after="0" w:line="240" w:lineRule="auto"/>
              <w:jc w:val="left"/>
              <w:rPr>
                <w:rFonts w:eastAsia="Times New Roman"/>
                <w:noProof/>
                <w:color w:val="000000" w:themeColor="text1"/>
                <w:sz w:val="16"/>
                <w:szCs w:val="16"/>
                <w:lang w:eastAsia="de-DE"/>
              </w:rPr>
            </w:pPr>
            <w:r w:rsidRPr="3982CBDC">
              <w:rPr>
                <w:rFonts w:eastAsia="Times New Roman"/>
                <w:noProof/>
                <w:color w:val="000000" w:themeColor="text1"/>
                <w:sz w:val="16"/>
                <w:szCs w:val="16"/>
                <w:lang w:eastAsia="de-DE"/>
              </w:rPr>
              <w:t>Foam</w:t>
            </w:r>
          </w:p>
        </w:tc>
        <w:tc>
          <w:tcPr>
            <w:tcW w:w="759" w:type="dxa"/>
            <w:tcBorders>
              <w:top w:val="nil"/>
              <w:left w:val="nil"/>
              <w:bottom w:val="single" w:sz="4" w:space="0" w:color="auto"/>
              <w:right w:val="single" w:sz="8" w:space="0" w:color="auto"/>
            </w:tcBorders>
            <w:shd w:val="clear" w:color="auto" w:fill="auto"/>
            <w:vAlign w:val="center"/>
            <w:hideMark/>
          </w:tcPr>
          <w:p w14:paraId="2CCCE469" w14:textId="5409224E" w:rsidR="00A47775" w:rsidRPr="002073BC" w:rsidRDefault="3982CBDC" w:rsidP="009945DE">
            <w:pPr>
              <w:spacing w:after="0" w:line="240" w:lineRule="auto"/>
              <w:jc w:val="center"/>
              <w:rPr>
                <w:rFonts w:eastAsia="Times New Roman"/>
                <w:noProof/>
                <w:color w:val="000000" w:themeColor="text1"/>
                <w:sz w:val="16"/>
                <w:szCs w:val="16"/>
                <w:lang w:eastAsia="de-DE"/>
              </w:rPr>
            </w:pPr>
            <w:r w:rsidRPr="3982CBDC">
              <w:rPr>
                <w:rFonts w:eastAsia="Times New Roman"/>
                <w:noProof/>
                <w:color w:val="000000" w:themeColor="text1"/>
                <w:sz w:val="16"/>
                <w:szCs w:val="16"/>
                <w:lang w:eastAsia="de-DE"/>
              </w:rPr>
              <w:t>2</w:t>
            </w:r>
            <w:r w:rsidR="009945DE">
              <w:rPr>
                <w:rFonts w:eastAsia="Times New Roman"/>
                <w:noProof/>
                <w:color w:val="000000" w:themeColor="text1"/>
                <w:sz w:val="16"/>
                <w:szCs w:val="16"/>
                <w:lang w:eastAsia="de-DE"/>
              </w:rPr>
              <w:t>024- 2036</w:t>
            </w:r>
          </w:p>
        </w:tc>
        <w:tc>
          <w:tcPr>
            <w:tcW w:w="857" w:type="dxa"/>
            <w:tcBorders>
              <w:top w:val="nil"/>
              <w:left w:val="nil"/>
              <w:bottom w:val="single" w:sz="4" w:space="0" w:color="auto"/>
              <w:right w:val="single" w:sz="4" w:space="0" w:color="auto"/>
            </w:tcBorders>
            <w:shd w:val="clear" w:color="auto" w:fill="auto"/>
            <w:noWrap/>
            <w:vAlign w:val="center"/>
            <w:hideMark/>
          </w:tcPr>
          <w:p w14:paraId="4B634BC9" w14:textId="77777777" w:rsidR="00A47775" w:rsidRPr="002073BC"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14:paraId="3B5F4E56" w14:textId="77777777" w:rsidR="00A47775" w:rsidRPr="002073BC"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0.0</w:t>
            </w:r>
          </w:p>
        </w:tc>
        <w:tc>
          <w:tcPr>
            <w:tcW w:w="863" w:type="dxa"/>
            <w:tcBorders>
              <w:top w:val="nil"/>
              <w:left w:val="nil"/>
              <w:bottom w:val="single" w:sz="4" w:space="0" w:color="auto"/>
              <w:right w:val="single" w:sz="8" w:space="0" w:color="auto"/>
            </w:tcBorders>
            <w:shd w:val="clear" w:color="auto" w:fill="auto"/>
            <w:noWrap/>
            <w:vAlign w:val="center"/>
            <w:hideMark/>
          </w:tcPr>
          <w:p w14:paraId="524D1DCC" w14:textId="77777777" w:rsidR="00A47775" w:rsidRPr="002073BC"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NA</w:t>
            </w:r>
          </w:p>
        </w:tc>
        <w:tc>
          <w:tcPr>
            <w:tcW w:w="751" w:type="dxa"/>
            <w:tcBorders>
              <w:top w:val="nil"/>
              <w:left w:val="nil"/>
              <w:bottom w:val="single" w:sz="4" w:space="0" w:color="auto"/>
              <w:right w:val="single" w:sz="4" w:space="0" w:color="auto"/>
            </w:tcBorders>
            <w:shd w:val="clear" w:color="auto" w:fill="auto"/>
            <w:noWrap/>
            <w:vAlign w:val="center"/>
            <w:hideMark/>
          </w:tcPr>
          <w:p w14:paraId="737CEBCE" w14:textId="77777777" w:rsidR="00A47775" w:rsidRPr="002073BC"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0.0</w:t>
            </w:r>
          </w:p>
        </w:tc>
        <w:tc>
          <w:tcPr>
            <w:tcW w:w="903" w:type="dxa"/>
            <w:tcBorders>
              <w:top w:val="nil"/>
              <w:left w:val="nil"/>
              <w:bottom w:val="single" w:sz="4" w:space="0" w:color="auto"/>
              <w:right w:val="single" w:sz="4" w:space="0" w:color="auto"/>
            </w:tcBorders>
            <w:shd w:val="clear" w:color="auto" w:fill="auto"/>
            <w:noWrap/>
            <w:vAlign w:val="center"/>
            <w:hideMark/>
          </w:tcPr>
          <w:p w14:paraId="1A6F2FBB" w14:textId="77777777" w:rsidR="00A47775" w:rsidRPr="002073BC"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0.0</w:t>
            </w:r>
          </w:p>
        </w:tc>
        <w:tc>
          <w:tcPr>
            <w:tcW w:w="903" w:type="dxa"/>
            <w:tcBorders>
              <w:top w:val="nil"/>
              <w:left w:val="nil"/>
              <w:bottom w:val="single" w:sz="4" w:space="0" w:color="auto"/>
              <w:right w:val="single" w:sz="8" w:space="0" w:color="auto"/>
            </w:tcBorders>
            <w:shd w:val="clear" w:color="auto" w:fill="auto"/>
            <w:noWrap/>
            <w:vAlign w:val="center"/>
            <w:hideMark/>
          </w:tcPr>
          <w:p w14:paraId="3686D002" w14:textId="77777777" w:rsidR="00A47775" w:rsidRPr="002073BC"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NA</w:t>
            </w:r>
          </w:p>
        </w:tc>
        <w:tc>
          <w:tcPr>
            <w:tcW w:w="751" w:type="dxa"/>
            <w:tcBorders>
              <w:top w:val="nil"/>
              <w:left w:val="nil"/>
              <w:bottom w:val="single" w:sz="4" w:space="0" w:color="auto"/>
              <w:right w:val="single" w:sz="4" w:space="0" w:color="auto"/>
            </w:tcBorders>
            <w:shd w:val="clear" w:color="auto" w:fill="auto"/>
            <w:noWrap/>
            <w:vAlign w:val="center"/>
            <w:hideMark/>
          </w:tcPr>
          <w:p w14:paraId="6CE6A39B" w14:textId="77777777" w:rsidR="00A47775" w:rsidRPr="002073BC"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0.0</w:t>
            </w:r>
          </w:p>
        </w:tc>
        <w:tc>
          <w:tcPr>
            <w:tcW w:w="903" w:type="dxa"/>
            <w:tcBorders>
              <w:top w:val="nil"/>
              <w:left w:val="nil"/>
              <w:bottom w:val="single" w:sz="4" w:space="0" w:color="auto"/>
              <w:right w:val="single" w:sz="4" w:space="0" w:color="auto"/>
            </w:tcBorders>
            <w:shd w:val="clear" w:color="auto" w:fill="auto"/>
            <w:noWrap/>
            <w:vAlign w:val="center"/>
            <w:hideMark/>
          </w:tcPr>
          <w:p w14:paraId="671F6B11" w14:textId="77777777" w:rsidR="00A47775" w:rsidRPr="002073BC"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0.0</w:t>
            </w:r>
          </w:p>
        </w:tc>
        <w:tc>
          <w:tcPr>
            <w:tcW w:w="903" w:type="dxa"/>
            <w:tcBorders>
              <w:top w:val="nil"/>
              <w:left w:val="nil"/>
              <w:bottom w:val="single" w:sz="4" w:space="0" w:color="auto"/>
              <w:right w:val="single" w:sz="8" w:space="0" w:color="auto"/>
            </w:tcBorders>
            <w:shd w:val="clear" w:color="auto" w:fill="auto"/>
            <w:noWrap/>
            <w:vAlign w:val="center"/>
            <w:hideMark/>
          </w:tcPr>
          <w:p w14:paraId="3B5B4B76" w14:textId="77777777" w:rsidR="00A47775" w:rsidRPr="002073BC"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NA</w:t>
            </w:r>
          </w:p>
        </w:tc>
      </w:tr>
      <w:tr w:rsidR="009945DE" w:rsidRPr="00D31C49" w14:paraId="4D36BE48" w14:textId="77777777" w:rsidTr="009945DE">
        <w:trPr>
          <w:trHeight w:val="425"/>
        </w:trPr>
        <w:tc>
          <w:tcPr>
            <w:tcW w:w="864" w:type="dxa"/>
            <w:tcBorders>
              <w:top w:val="nil"/>
              <w:left w:val="single" w:sz="8" w:space="0" w:color="auto"/>
              <w:bottom w:val="single" w:sz="4" w:space="0" w:color="auto"/>
              <w:right w:val="single" w:sz="4" w:space="0" w:color="auto"/>
            </w:tcBorders>
            <w:shd w:val="clear" w:color="auto" w:fill="auto"/>
            <w:noWrap/>
            <w:vAlign w:val="center"/>
            <w:hideMark/>
          </w:tcPr>
          <w:p w14:paraId="7015439C" w14:textId="77777777" w:rsidR="00A47775" w:rsidRPr="002073BC" w:rsidRDefault="3982CBDC" w:rsidP="009945DE">
            <w:pPr>
              <w:spacing w:after="0" w:line="240" w:lineRule="auto"/>
              <w:jc w:val="left"/>
              <w:rPr>
                <w:rFonts w:eastAsia="Times New Roman"/>
                <w:noProof/>
                <w:color w:val="000000" w:themeColor="text1"/>
                <w:sz w:val="16"/>
                <w:szCs w:val="16"/>
                <w:lang w:eastAsia="de-DE"/>
              </w:rPr>
            </w:pPr>
            <w:r w:rsidRPr="3982CBDC">
              <w:rPr>
                <w:rFonts w:eastAsia="Times New Roman"/>
                <w:noProof/>
                <w:color w:val="000000" w:themeColor="text1"/>
                <w:sz w:val="16"/>
                <w:szCs w:val="16"/>
                <w:lang w:eastAsia="de-DE"/>
              </w:rPr>
              <w:t>Other HFCs</w:t>
            </w:r>
          </w:p>
        </w:tc>
        <w:tc>
          <w:tcPr>
            <w:tcW w:w="759" w:type="dxa"/>
            <w:tcBorders>
              <w:top w:val="nil"/>
              <w:left w:val="nil"/>
              <w:bottom w:val="single" w:sz="4" w:space="0" w:color="auto"/>
              <w:right w:val="single" w:sz="8" w:space="0" w:color="auto"/>
            </w:tcBorders>
            <w:shd w:val="clear" w:color="auto" w:fill="auto"/>
            <w:vAlign w:val="center"/>
            <w:hideMark/>
          </w:tcPr>
          <w:p w14:paraId="7ACFA61D" w14:textId="08DC1132" w:rsidR="00A47775" w:rsidRPr="002073BC" w:rsidRDefault="009945DE" w:rsidP="009945DE">
            <w:pPr>
              <w:spacing w:after="0" w:line="240" w:lineRule="auto"/>
              <w:jc w:val="center"/>
              <w:rPr>
                <w:rFonts w:eastAsia="Times New Roman"/>
                <w:noProof/>
                <w:color w:val="000000" w:themeColor="text1"/>
                <w:sz w:val="16"/>
                <w:szCs w:val="16"/>
                <w:lang w:eastAsia="de-DE"/>
              </w:rPr>
            </w:pPr>
            <w:r>
              <w:rPr>
                <w:rFonts w:eastAsia="Times New Roman"/>
                <w:noProof/>
                <w:color w:val="000000" w:themeColor="text1"/>
                <w:sz w:val="16"/>
                <w:szCs w:val="16"/>
                <w:lang w:eastAsia="de-DE"/>
              </w:rPr>
              <w:t>2024- 2036</w:t>
            </w:r>
          </w:p>
        </w:tc>
        <w:tc>
          <w:tcPr>
            <w:tcW w:w="857" w:type="dxa"/>
            <w:tcBorders>
              <w:top w:val="nil"/>
              <w:left w:val="nil"/>
              <w:bottom w:val="single" w:sz="4" w:space="0" w:color="auto"/>
              <w:right w:val="single" w:sz="4" w:space="0" w:color="auto"/>
            </w:tcBorders>
            <w:shd w:val="clear" w:color="auto" w:fill="auto"/>
            <w:noWrap/>
            <w:vAlign w:val="center"/>
            <w:hideMark/>
          </w:tcPr>
          <w:p w14:paraId="0B249CDA" w14:textId="77777777" w:rsidR="00A47775" w:rsidRPr="002073BC"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14:paraId="16A2037B" w14:textId="77777777" w:rsidR="00A47775" w:rsidRPr="002073BC"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0.0</w:t>
            </w:r>
          </w:p>
        </w:tc>
        <w:tc>
          <w:tcPr>
            <w:tcW w:w="863" w:type="dxa"/>
            <w:tcBorders>
              <w:top w:val="nil"/>
              <w:left w:val="nil"/>
              <w:bottom w:val="single" w:sz="4" w:space="0" w:color="auto"/>
              <w:right w:val="single" w:sz="8" w:space="0" w:color="auto"/>
            </w:tcBorders>
            <w:shd w:val="clear" w:color="auto" w:fill="auto"/>
            <w:noWrap/>
            <w:vAlign w:val="center"/>
            <w:hideMark/>
          </w:tcPr>
          <w:p w14:paraId="606C4692" w14:textId="77777777" w:rsidR="00A47775" w:rsidRPr="002073BC"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NA</w:t>
            </w:r>
          </w:p>
        </w:tc>
        <w:tc>
          <w:tcPr>
            <w:tcW w:w="751" w:type="dxa"/>
            <w:tcBorders>
              <w:top w:val="nil"/>
              <w:left w:val="nil"/>
              <w:bottom w:val="single" w:sz="4" w:space="0" w:color="auto"/>
              <w:right w:val="single" w:sz="4" w:space="0" w:color="auto"/>
            </w:tcBorders>
            <w:shd w:val="clear" w:color="auto" w:fill="auto"/>
            <w:noWrap/>
            <w:vAlign w:val="center"/>
            <w:hideMark/>
          </w:tcPr>
          <w:p w14:paraId="34DC346B" w14:textId="77777777" w:rsidR="00A47775" w:rsidRPr="002073BC"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0.0</w:t>
            </w:r>
          </w:p>
        </w:tc>
        <w:tc>
          <w:tcPr>
            <w:tcW w:w="903" w:type="dxa"/>
            <w:tcBorders>
              <w:top w:val="nil"/>
              <w:left w:val="nil"/>
              <w:bottom w:val="single" w:sz="4" w:space="0" w:color="auto"/>
              <w:right w:val="single" w:sz="4" w:space="0" w:color="auto"/>
            </w:tcBorders>
            <w:shd w:val="clear" w:color="auto" w:fill="auto"/>
            <w:noWrap/>
            <w:vAlign w:val="center"/>
            <w:hideMark/>
          </w:tcPr>
          <w:p w14:paraId="7ED3BD7E" w14:textId="77777777" w:rsidR="00A47775" w:rsidRPr="002073BC"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0.0</w:t>
            </w:r>
          </w:p>
        </w:tc>
        <w:tc>
          <w:tcPr>
            <w:tcW w:w="903" w:type="dxa"/>
            <w:tcBorders>
              <w:top w:val="nil"/>
              <w:left w:val="nil"/>
              <w:bottom w:val="single" w:sz="4" w:space="0" w:color="auto"/>
              <w:right w:val="single" w:sz="8" w:space="0" w:color="auto"/>
            </w:tcBorders>
            <w:shd w:val="clear" w:color="auto" w:fill="auto"/>
            <w:noWrap/>
            <w:vAlign w:val="center"/>
            <w:hideMark/>
          </w:tcPr>
          <w:p w14:paraId="1C1975B3" w14:textId="77777777" w:rsidR="00A47775" w:rsidRPr="002073BC"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NA</w:t>
            </w:r>
          </w:p>
        </w:tc>
        <w:tc>
          <w:tcPr>
            <w:tcW w:w="751" w:type="dxa"/>
            <w:tcBorders>
              <w:top w:val="nil"/>
              <w:left w:val="nil"/>
              <w:bottom w:val="single" w:sz="4" w:space="0" w:color="auto"/>
              <w:right w:val="single" w:sz="4" w:space="0" w:color="auto"/>
            </w:tcBorders>
            <w:shd w:val="clear" w:color="auto" w:fill="auto"/>
            <w:noWrap/>
            <w:vAlign w:val="center"/>
            <w:hideMark/>
          </w:tcPr>
          <w:p w14:paraId="17C50F4C" w14:textId="77777777" w:rsidR="00A47775" w:rsidRPr="002073BC"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0.0</w:t>
            </w:r>
          </w:p>
        </w:tc>
        <w:tc>
          <w:tcPr>
            <w:tcW w:w="903" w:type="dxa"/>
            <w:tcBorders>
              <w:top w:val="nil"/>
              <w:left w:val="nil"/>
              <w:bottom w:val="single" w:sz="4" w:space="0" w:color="auto"/>
              <w:right w:val="single" w:sz="4" w:space="0" w:color="auto"/>
            </w:tcBorders>
            <w:shd w:val="clear" w:color="auto" w:fill="auto"/>
            <w:noWrap/>
            <w:vAlign w:val="center"/>
            <w:hideMark/>
          </w:tcPr>
          <w:p w14:paraId="7DE8A415" w14:textId="77777777" w:rsidR="00A47775" w:rsidRPr="002073BC"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0.0</w:t>
            </w:r>
          </w:p>
        </w:tc>
        <w:tc>
          <w:tcPr>
            <w:tcW w:w="903" w:type="dxa"/>
            <w:tcBorders>
              <w:top w:val="nil"/>
              <w:left w:val="nil"/>
              <w:bottom w:val="single" w:sz="4" w:space="0" w:color="auto"/>
              <w:right w:val="single" w:sz="8" w:space="0" w:color="auto"/>
            </w:tcBorders>
            <w:shd w:val="clear" w:color="auto" w:fill="auto"/>
            <w:noWrap/>
            <w:vAlign w:val="center"/>
            <w:hideMark/>
          </w:tcPr>
          <w:p w14:paraId="60EBB2C9" w14:textId="77777777" w:rsidR="00A47775" w:rsidRPr="002073BC"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NA</w:t>
            </w:r>
          </w:p>
        </w:tc>
      </w:tr>
      <w:tr w:rsidR="009945DE" w:rsidRPr="00D31C49" w14:paraId="0759D56A" w14:textId="77777777" w:rsidTr="009945DE">
        <w:trPr>
          <w:trHeight w:val="403"/>
        </w:trPr>
        <w:tc>
          <w:tcPr>
            <w:tcW w:w="864" w:type="dxa"/>
            <w:tcBorders>
              <w:top w:val="nil"/>
              <w:left w:val="single" w:sz="8" w:space="0" w:color="auto"/>
              <w:bottom w:val="single" w:sz="4" w:space="0" w:color="auto"/>
              <w:right w:val="single" w:sz="4" w:space="0" w:color="auto"/>
            </w:tcBorders>
            <w:shd w:val="clear" w:color="auto" w:fill="auto"/>
            <w:noWrap/>
            <w:vAlign w:val="center"/>
            <w:hideMark/>
          </w:tcPr>
          <w:p w14:paraId="482EB443" w14:textId="77777777" w:rsidR="00A47775" w:rsidRPr="002073BC" w:rsidRDefault="3982CBDC" w:rsidP="009945DE">
            <w:pPr>
              <w:spacing w:after="0" w:line="240" w:lineRule="auto"/>
              <w:jc w:val="left"/>
              <w:rPr>
                <w:rFonts w:eastAsia="Times New Roman"/>
                <w:noProof/>
                <w:color w:val="000000" w:themeColor="text1"/>
                <w:sz w:val="16"/>
                <w:szCs w:val="16"/>
                <w:lang w:eastAsia="de-DE"/>
              </w:rPr>
            </w:pPr>
            <w:r w:rsidRPr="3982CBDC">
              <w:rPr>
                <w:rFonts w:eastAsia="Times New Roman"/>
                <w:noProof/>
                <w:color w:val="000000" w:themeColor="text1"/>
                <w:sz w:val="16"/>
                <w:szCs w:val="16"/>
                <w:lang w:eastAsia="de-DE"/>
              </w:rPr>
              <w:t>SF</w:t>
            </w:r>
            <w:r w:rsidRPr="00492D4F">
              <w:rPr>
                <w:rFonts w:eastAsia="Times New Roman"/>
                <w:noProof/>
                <w:color w:val="000000" w:themeColor="text1"/>
                <w:sz w:val="16"/>
                <w:szCs w:val="16"/>
                <w:vertAlign w:val="subscript"/>
                <w:lang w:eastAsia="de-DE"/>
              </w:rPr>
              <w:t>6</w:t>
            </w:r>
          </w:p>
        </w:tc>
        <w:tc>
          <w:tcPr>
            <w:tcW w:w="759" w:type="dxa"/>
            <w:tcBorders>
              <w:top w:val="nil"/>
              <w:left w:val="nil"/>
              <w:bottom w:val="single" w:sz="4" w:space="0" w:color="auto"/>
              <w:right w:val="single" w:sz="8" w:space="0" w:color="auto"/>
            </w:tcBorders>
            <w:shd w:val="clear" w:color="auto" w:fill="auto"/>
            <w:vAlign w:val="center"/>
            <w:hideMark/>
          </w:tcPr>
          <w:p w14:paraId="42C63B97" w14:textId="039CEBC7" w:rsidR="00A47775" w:rsidRPr="002073BC" w:rsidRDefault="009945DE" w:rsidP="009945DE">
            <w:pPr>
              <w:spacing w:after="0" w:line="240" w:lineRule="auto"/>
              <w:jc w:val="center"/>
              <w:rPr>
                <w:rFonts w:eastAsia="Times New Roman"/>
                <w:noProof/>
                <w:color w:val="000000" w:themeColor="text1"/>
                <w:sz w:val="16"/>
                <w:szCs w:val="16"/>
                <w:lang w:eastAsia="de-DE"/>
              </w:rPr>
            </w:pPr>
            <w:r>
              <w:rPr>
                <w:rFonts w:eastAsia="Times New Roman"/>
                <w:noProof/>
                <w:color w:val="000000" w:themeColor="text1"/>
                <w:sz w:val="16"/>
                <w:szCs w:val="16"/>
                <w:lang w:eastAsia="de-DE"/>
              </w:rPr>
              <w:t>2024- 2036</w:t>
            </w:r>
          </w:p>
        </w:tc>
        <w:tc>
          <w:tcPr>
            <w:tcW w:w="857" w:type="dxa"/>
            <w:tcBorders>
              <w:top w:val="nil"/>
              <w:left w:val="nil"/>
              <w:bottom w:val="single" w:sz="4" w:space="0" w:color="auto"/>
              <w:right w:val="single" w:sz="4" w:space="0" w:color="auto"/>
            </w:tcBorders>
            <w:shd w:val="clear" w:color="auto" w:fill="auto"/>
            <w:noWrap/>
            <w:vAlign w:val="center"/>
            <w:hideMark/>
          </w:tcPr>
          <w:p w14:paraId="49E8F41C" w14:textId="77777777" w:rsidR="00A47775" w:rsidRPr="002073BC"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14:paraId="08E9B15D" w14:textId="77777777" w:rsidR="00A47775" w:rsidRPr="002073BC"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0.0</w:t>
            </w:r>
          </w:p>
        </w:tc>
        <w:tc>
          <w:tcPr>
            <w:tcW w:w="863" w:type="dxa"/>
            <w:tcBorders>
              <w:top w:val="nil"/>
              <w:left w:val="nil"/>
              <w:bottom w:val="single" w:sz="4" w:space="0" w:color="auto"/>
              <w:right w:val="single" w:sz="8" w:space="0" w:color="auto"/>
            </w:tcBorders>
            <w:shd w:val="clear" w:color="auto" w:fill="auto"/>
            <w:noWrap/>
            <w:vAlign w:val="center"/>
            <w:hideMark/>
          </w:tcPr>
          <w:p w14:paraId="0845F270" w14:textId="77777777" w:rsidR="00A47775" w:rsidRPr="002073BC"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NA</w:t>
            </w:r>
          </w:p>
        </w:tc>
        <w:tc>
          <w:tcPr>
            <w:tcW w:w="751" w:type="dxa"/>
            <w:tcBorders>
              <w:top w:val="nil"/>
              <w:left w:val="nil"/>
              <w:bottom w:val="single" w:sz="4" w:space="0" w:color="auto"/>
              <w:right w:val="single" w:sz="4" w:space="0" w:color="auto"/>
            </w:tcBorders>
            <w:shd w:val="clear" w:color="auto" w:fill="auto"/>
            <w:noWrap/>
            <w:vAlign w:val="center"/>
            <w:hideMark/>
          </w:tcPr>
          <w:p w14:paraId="7E726842" w14:textId="77777777" w:rsidR="00A47775" w:rsidRPr="002073BC"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0.7</w:t>
            </w:r>
          </w:p>
        </w:tc>
        <w:tc>
          <w:tcPr>
            <w:tcW w:w="903" w:type="dxa"/>
            <w:tcBorders>
              <w:top w:val="nil"/>
              <w:left w:val="nil"/>
              <w:bottom w:val="single" w:sz="4" w:space="0" w:color="auto"/>
              <w:right w:val="single" w:sz="4" w:space="0" w:color="auto"/>
            </w:tcBorders>
            <w:shd w:val="clear" w:color="auto" w:fill="auto"/>
            <w:noWrap/>
            <w:vAlign w:val="center"/>
            <w:hideMark/>
          </w:tcPr>
          <w:p w14:paraId="0616A750" w14:textId="77777777" w:rsidR="00A47775" w:rsidRPr="002073BC"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79.5</w:t>
            </w:r>
          </w:p>
        </w:tc>
        <w:tc>
          <w:tcPr>
            <w:tcW w:w="903" w:type="dxa"/>
            <w:tcBorders>
              <w:top w:val="nil"/>
              <w:left w:val="nil"/>
              <w:bottom w:val="single" w:sz="4" w:space="0" w:color="auto"/>
              <w:right w:val="single" w:sz="8" w:space="0" w:color="auto"/>
            </w:tcBorders>
            <w:shd w:val="clear" w:color="auto" w:fill="auto"/>
            <w:noWrap/>
            <w:vAlign w:val="center"/>
            <w:hideMark/>
          </w:tcPr>
          <w:p w14:paraId="2E1D5AF1" w14:textId="77777777" w:rsidR="00A47775" w:rsidRPr="002073BC"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115.8</w:t>
            </w:r>
          </w:p>
        </w:tc>
        <w:tc>
          <w:tcPr>
            <w:tcW w:w="751" w:type="dxa"/>
            <w:tcBorders>
              <w:top w:val="nil"/>
              <w:left w:val="nil"/>
              <w:bottom w:val="single" w:sz="4" w:space="0" w:color="auto"/>
              <w:right w:val="single" w:sz="4" w:space="0" w:color="auto"/>
            </w:tcBorders>
            <w:shd w:val="clear" w:color="auto" w:fill="auto"/>
            <w:noWrap/>
            <w:vAlign w:val="center"/>
            <w:hideMark/>
          </w:tcPr>
          <w:p w14:paraId="37368FD7" w14:textId="77777777" w:rsidR="00A47775" w:rsidRPr="002073BC"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0.7</w:t>
            </w:r>
          </w:p>
        </w:tc>
        <w:tc>
          <w:tcPr>
            <w:tcW w:w="903" w:type="dxa"/>
            <w:tcBorders>
              <w:top w:val="nil"/>
              <w:left w:val="nil"/>
              <w:bottom w:val="single" w:sz="4" w:space="0" w:color="auto"/>
              <w:right w:val="single" w:sz="4" w:space="0" w:color="auto"/>
            </w:tcBorders>
            <w:shd w:val="clear" w:color="auto" w:fill="auto"/>
            <w:noWrap/>
            <w:vAlign w:val="center"/>
            <w:hideMark/>
          </w:tcPr>
          <w:p w14:paraId="4338FF1A" w14:textId="77777777" w:rsidR="00A47775" w:rsidRPr="002073BC"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79.5</w:t>
            </w:r>
          </w:p>
        </w:tc>
        <w:tc>
          <w:tcPr>
            <w:tcW w:w="903" w:type="dxa"/>
            <w:tcBorders>
              <w:top w:val="nil"/>
              <w:left w:val="nil"/>
              <w:bottom w:val="single" w:sz="4" w:space="0" w:color="auto"/>
              <w:right w:val="single" w:sz="8" w:space="0" w:color="auto"/>
            </w:tcBorders>
            <w:shd w:val="clear" w:color="auto" w:fill="auto"/>
            <w:noWrap/>
            <w:vAlign w:val="center"/>
            <w:hideMark/>
          </w:tcPr>
          <w:p w14:paraId="7C9F53AC" w14:textId="77777777" w:rsidR="00A47775" w:rsidRPr="002073BC"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115.8</w:t>
            </w:r>
          </w:p>
        </w:tc>
      </w:tr>
      <w:tr w:rsidR="009945DE" w:rsidRPr="00FC6ABD" w14:paraId="326A0FC7" w14:textId="77777777" w:rsidTr="009945DE">
        <w:trPr>
          <w:trHeight w:val="319"/>
        </w:trPr>
        <w:tc>
          <w:tcPr>
            <w:tcW w:w="864" w:type="dxa"/>
            <w:tcBorders>
              <w:top w:val="nil"/>
              <w:left w:val="single" w:sz="8" w:space="0" w:color="auto"/>
              <w:bottom w:val="double" w:sz="4" w:space="0" w:color="auto"/>
              <w:right w:val="single" w:sz="4" w:space="0" w:color="auto"/>
            </w:tcBorders>
            <w:shd w:val="clear" w:color="auto" w:fill="D9D9D9" w:themeFill="background1" w:themeFillShade="D9"/>
            <w:noWrap/>
            <w:vAlign w:val="center"/>
            <w:hideMark/>
          </w:tcPr>
          <w:p w14:paraId="1C5CF497" w14:textId="70030CC0" w:rsidR="00A47775" w:rsidRPr="002073BC" w:rsidRDefault="00420231" w:rsidP="00AA7447">
            <w:pPr>
              <w:spacing w:after="0" w:line="240" w:lineRule="auto"/>
              <w:jc w:val="left"/>
              <w:rPr>
                <w:rFonts w:eastAsia="Times New Roman"/>
                <w:b/>
                <w:bCs/>
                <w:noProof/>
                <w:color w:val="000000" w:themeColor="text1"/>
                <w:sz w:val="16"/>
                <w:szCs w:val="16"/>
                <w:lang w:eastAsia="de-DE"/>
              </w:rPr>
            </w:pPr>
            <w:r>
              <w:rPr>
                <w:rFonts w:eastAsia="Times New Roman"/>
                <w:b/>
                <w:bCs/>
                <w:noProof/>
                <w:color w:val="000000" w:themeColor="text1"/>
                <w:sz w:val="16"/>
                <w:szCs w:val="16"/>
                <w:lang w:eastAsia="de-DE"/>
              </w:rPr>
              <w:t xml:space="preserve">For all sectors </w:t>
            </w:r>
          </w:p>
        </w:tc>
        <w:tc>
          <w:tcPr>
            <w:tcW w:w="759" w:type="dxa"/>
            <w:tcBorders>
              <w:top w:val="nil"/>
              <w:left w:val="nil"/>
              <w:bottom w:val="double" w:sz="4" w:space="0" w:color="auto"/>
              <w:right w:val="single" w:sz="8" w:space="0" w:color="auto"/>
            </w:tcBorders>
            <w:shd w:val="clear" w:color="auto" w:fill="D9D9D9" w:themeFill="background1" w:themeFillShade="D9"/>
            <w:vAlign w:val="center"/>
            <w:hideMark/>
          </w:tcPr>
          <w:p w14:paraId="351FF75C" w14:textId="4AFEB871" w:rsidR="00A47775" w:rsidRPr="002073BC" w:rsidRDefault="009945DE" w:rsidP="009945DE">
            <w:pPr>
              <w:spacing w:after="0" w:line="240" w:lineRule="auto"/>
              <w:jc w:val="center"/>
              <w:rPr>
                <w:rFonts w:eastAsia="Times New Roman"/>
                <w:b/>
                <w:bCs/>
                <w:noProof/>
                <w:color w:val="000000" w:themeColor="text1"/>
                <w:sz w:val="16"/>
                <w:szCs w:val="16"/>
                <w:lang w:eastAsia="de-DE"/>
              </w:rPr>
            </w:pPr>
            <w:r>
              <w:rPr>
                <w:rFonts w:eastAsia="Times New Roman"/>
                <w:b/>
                <w:bCs/>
                <w:noProof/>
                <w:color w:val="000000" w:themeColor="text1"/>
                <w:sz w:val="16"/>
                <w:szCs w:val="16"/>
                <w:lang w:eastAsia="de-DE"/>
              </w:rPr>
              <w:t>2024- 2036</w:t>
            </w:r>
          </w:p>
        </w:tc>
        <w:tc>
          <w:tcPr>
            <w:tcW w:w="857" w:type="dxa"/>
            <w:tcBorders>
              <w:top w:val="nil"/>
              <w:left w:val="nil"/>
              <w:bottom w:val="double" w:sz="4" w:space="0" w:color="auto"/>
              <w:right w:val="single" w:sz="4" w:space="0" w:color="auto"/>
            </w:tcBorders>
            <w:shd w:val="clear" w:color="auto" w:fill="D9D9D9" w:themeFill="background1" w:themeFillShade="D9"/>
            <w:noWrap/>
            <w:vAlign w:val="center"/>
            <w:hideMark/>
          </w:tcPr>
          <w:p w14:paraId="2661483C" w14:textId="77777777" w:rsidR="00A47775" w:rsidRPr="00D96089"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-4.9</w:t>
            </w:r>
          </w:p>
        </w:tc>
        <w:tc>
          <w:tcPr>
            <w:tcW w:w="709" w:type="dxa"/>
            <w:tcBorders>
              <w:top w:val="nil"/>
              <w:left w:val="nil"/>
              <w:bottom w:val="double" w:sz="4" w:space="0" w:color="auto"/>
              <w:right w:val="single" w:sz="4" w:space="0" w:color="auto"/>
            </w:tcBorders>
            <w:shd w:val="clear" w:color="auto" w:fill="D9D9D9" w:themeFill="background1" w:themeFillShade="D9"/>
            <w:noWrap/>
            <w:vAlign w:val="center"/>
            <w:hideMark/>
          </w:tcPr>
          <w:p w14:paraId="7D1CE808" w14:textId="77777777" w:rsidR="00A47775" w:rsidRPr="00D96089"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191.4</w:t>
            </w:r>
          </w:p>
        </w:tc>
        <w:tc>
          <w:tcPr>
            <w:tcW w:w="863" w:type="dxa"/>
            <w:tcBorders>
              <w:top w:val="nil"/>
              <w:left w:val="nil"/>
              <w:bottom w:val="double" w:sz="4" w:space="0" w:color="auto"/>
              <w:right w:val="single" w:sz="8" w:space="0" w:color="auto"/>
            </w:tcBorders>
            <w:shd w:val="clear" w:color="auto" w:fill="D9D9D9" w:themeFill="background1" w:themeFillShade="D9"/>
            <w:noWrap/>
            <w:vAlign w:val="center"/>
            <w:hideMark/>
          </w:tcPr>
          <w:p w14:paraId="58FE6AA0" w14:textId="77777777" w:rsidR="00A47775" w:rsidRPr="002073BC" w:rsidRDefault="3982CBDC" w:rsidP="009945DE">
            <w:pPr>
              <w:spacing w:after="0" w:line="240" w:lineRule="auto"/>
              <w:jc w:val="right"/>
              <w:rPr>
                <w:rFonts w:eastAsia="Times New Roman"/>
                <w:b/>
                <w:bCs/>
                <w:noProof/>
                <w:color w:val="000000" w:themeColor="text1"/>
                <w:sz w:val="16"/>
                <w:szCs w:val="16"/>
                <w:lang w:eastAsia="de-DE"/>
              </w:rPr>
            </w:pPr>
            <w:r w:rsidRPr="3982CBDC">
              <w:rPr>
                <w:b/>
                <w:bCs/>
                <w:noProof/>
                <w:sz w:val="16"/>
                <w:szCs w:val="16"/>
              </w:rPr>
              <w:t>NA</w:t>
            </w:r>
          </w:p>
        </w:tc>
        <w:tc>
          <w:tcPr>
            <w:tcW w:w="751" w:type="dxa"/>
            <w:tcBorders>
              <w:top w:val="nil"/>
              <w:left w:val="nil"/>
              <w:bottom w:val="double" w:sz="4" w:space="0" w:color="auto"/>
              <w:right w:val="single" w:sz="4" w:space="0" w:color="auto"/>
            </w:tcBorders>
            <w:shd w:val="clear" w:color="auto" w:fill="D9D9D9" w:themeFill="background1" w:themeFillShade="D9"/>
            <w:noWrap/>
            <w:vAlign w:val="center"/>
            <w:hideMark/>
          </w:tcPr>
          <w:p w14:paraId="334D4F5F" w14:textId="77777777" w:rsidR="00A47775" w:rsidRPr="00D96089"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13.8</w:t>
            </w:r>
          </w:p>
        </w:tc>
        <w:tc>
          <w:tcPr>
            <w:tcW w:w="903" w:type="dxa"/>
            <w:tcBorders>
              <w:top w:val="nil"/>
              <w:left w:val="nil"/>
              <w:bottom w:val="double" w:sz="4" w:space="0" w:color="auto"/>
              <w:right w:val="single" w:sz="4" w:space="0" w:color="auto"/>
            </w:tcBorders>
            <w:shd w:val="clear" w:color="auto" w:fill="D9D9D9" w:themeFill="background1" w:themeFillShade="D9"/>
            <w:noWrap/>
            <w:vAlign w:val="center"/>
            <w:hideMark/>
          </w:tcPr>
          <w:p w14:paraId="37EAC1C9" w14:textId="30590E4E" w:rsidR="00A47775" w:rsidRPr="00D96089" w:rsidRDefault="00E5787D" w:rsidP="009945DE">
            <w:pPr>
              <w:spacing w:after="0" w:line="240" w:lineRule="auto"/>
              <w:jc w:val="right"/>
              <w:rPr>
                <w:rFonts w:eastAsia="Times New Roman"/>
                <w:noProof/>
                <w:color w:val="000000" w:themeColor="text1"/>
                <w:sz w:val="16"/>
                <w:szCs w:val="16"/>
                <w:lang w:eastAsia="de-DE"/>
              </w:rPr>
            </w:pPr>
            <w:r>
              <w:rPr>
                <w:noProof/>
                <w:sz w:val="16"/>
                <w:szCs w:val="16"/>
              </w:rPr>
              <w:t>-501.1</w:t>
            </w:r>
          </w:p>
        </w:tc>
        <w:tc>
          <w:tcPr>
            <w:tcW w:w="903" w:type="dxa"/>
            <w:tcBorders>
              <w:top w:val="nil"/>
              <w:left w:val="nil"/>
              <w:bottom w:val="double" w:sz="4" w:space="0" w:color="auto"/>
              <w:right w:val="single" w:sz="8" w:space="0" w:color="auto"/>
            </w:tcBorders>
            <w:shd w:val="clear" w:color="auto" w:fill="D9D9D9" w:themeFill="background1" w:themeFillShade="D9"/>
            <w:noWrap/>
            <w:vAlign w:val="center"/>
            <w:hideMark/>
          </w:tcPr>
          <w:p w14:paraId="4419006E" w14:textId="56212E3E" w:rsidR="00A47775" w:rsidRPr="002073BC" w:rsidRDefault="00CA6DDE" w:rsidP="009945DE">
            <w:pPr>
              <w:spacing w:after="0" w:line="240" w:lineRule="auto"/>
              <w:jc w:val="right"/>
              <w:rPr>
                <w:rFonts w:eastAsia="Times New Roman"/>
                <w:b/>
                <w:bCs/>
                <w:noProof/>
                <w:color w:val="000000" w:themeColor="text1"/>
                <w:sz w:val="16"/>
                <w:szCs w:val="16"/>
                <w:lang w:eastAsia="de-DE"/>
              </w:rPr>
            </w:pPr>
            <w:r>
              <w:rPr>
                <w:b/>
                <w:bCs/>
                <w:noProof/>
                <w:sz w:val="16"/>
                <w:szCs w:val="16"/>
              </w:rPr>
              <w:t>-</w:t>
            </w:r>
            <w:r w:rsidR="00E5787D">
              <w:rPr>
                <w:b/>
                <w:bCs/>
                <w:noProof/>
                <w:sz w:val="16"/>
                <w:szCs w:val="16"/>
              </w:rPr>
              <w:t>36.3</w:t>
            </w:r>
          </w:p>
        </w:tc>
        <w:tc>
          <w:tcPr>
            <w:tcW w:w="751" w:type="dxa"/>
            <w:tcBorders>
              <w:top w:val="nil"/>
              <w:left w:val="nil"/>
              <w:bottom w:val="double" w:sz="4" w:space="0" w:color="auto"/>
              <w:right w:val="single" w:sz="4" w:space="0" w:color="auto"/>
            </w:tcBorders>
            <w:shd w:val="clear" w:color="auto" w:fill="D9D9D9" w:themeFill="background1" w:themeFillShade="D9"/>
            <w:noWrap/>
            <w:vAlign w:val="center"/>
            <w:hideMark/>
          </w:tcPr>
          <w:p w14:paraId="0E324F96" w14:textId="77777777" w:rsidR="00A47775" w:rsidRPr="00D96089"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15.4</w:t>
            </w:r>
          </w:p>
        </w:tc>
        <w:tc>
          <w:tcPr>
            <w:tcW w:w="903" w:type="dxa"/>
            <w:tcBorders>
              <w:top w:val="nil"/>
              <w:left w:val="nil"/>
              <w:bottom w:val="double" w:sz="4" w:space="0" w:color="auto"/>
              <w:right w:val="single" w:sz="4" w:space="0" w:color="auto"/>
            </w:tcBorders>
            <w:shd w:val="clear" w:color="auto" w:fill="D9D9D9" w:themeFill="background1" w:themeFillShade="D9"/>
            <w:noWrap/>
            <w:vAlign w:val="center"/>
            <w:hideMark/>
          </w:tcPr>
          <w:p w14:paraId="3B23D5E1" w14:textId="77777777" w:rsidR="00A47775" w:rsidRPr="00D96089" w:rsidRDefault="3982CBDC" w:rsidP="009945DE">
            <w:pPr>
              <w:spacing w:after="0" w:line="240" w:lineRule="auto"/>
              <w:jc w:val="right"/>
              <w:rPr>
                <w:rFonts w:eastAsia="Times New Roman"/>
                <w:noProof/>
                <w:color w:val="000000" w:themeColor="text1"/>
                <w:sz w:val="16"/>
                <w:szCs w:val="16"/>
                <w:lang w:eastAsia="de-DE"/>
              </w:rPr>
            </w:pPr>
            <w:r w:rsidRPr="3982CBDC">
              <w:rPr>
                <w:noProof/>
                <w:sz w:val="16"/>
                <w:szCs w:val="16"/>
              </w:rPr>
              <w:t>-361.2</w:t>
            </w:r>
          </w:p>
        </w:tc>
        <w:tc>
          <w:tcPr>
            <w:tcW w:w="903" w:type="dxa"/>
            <w:tcBorders>
              <w:top w:val="nil"/>
              <w:left w:val="nil"/>
              <w:bottom w:val="double" w:sz="4" w:space="0" w:color="auto"/>
              <w:right w:val="single" w:sz="8" w:space="0" w:color="auto"/>
            </w:tcBorders>
            <w:shd w:val="clear" w:color="auto" w:fill="D9D9D9" w:themeFill="background1" w:themeFillShade="D9"/>
            <w:noWrap/>
            <w:vAlign w:val="center"/>
            <w:hideMark/>
          </w:tcPr>
          <w:p w14:paraId="68D0EEE7" w14:textId="41E11F19" w:rsidR="00A47775" w:rsidRPr="00CA6DDE" w:rsidRDefault="00CA6DDE" w:rsidP="009945DE">
            <w:pPr>
              <w:spacing w:after="0" w:line="240" w:lineRule="auto"/>
              <w:jc w:val="right"/>
              <w:rPr>
                <w:b/>
                <w:bCs/>
                <w:noProof/>
                <w:sz w:val="16"/>
                <w:szCs w:val="16"/>
              </w:rPr>
            </w:pPr>
            <w:r>
              <w:rPr>
                <w:b/>
                <w:bCs/>
                <w:noProof/>
                <w:sz w:val="16"/>
                <w:szCs w:val="16"/>
              </w:rPr>
              <w:t>-23.4</w:t>
            </w:r>
          </w:p>
        </w:tc>
      </w:tr>
      <w:tr w:rsidR="009945DE" w:rsidRPr="00FC6ABD" w14:paraId="5B44BDD4" w14:textId="77777777" w:rsidTr="00420231">
        <w:trPr>
          <w:trHeight w:val="653"/>
        </w:trPr>
        <w:tc>
          <w:tcPr>
            <w:tcW w:w="864" w:type="dxa"/>
            <w:tcBorders>
              <w:top w:val="double" w:sz="4" w:space="0" w:color="auto"/>
              <w:left w:val="single" w:sz="8" w:space="0" w:color="auto"/>
              <w:bottom w:val="single" w:sz="8" w:space="0" w:color="auto"/>
              <w:right w:val="single" w:sz="4" w:space="0" w:color="auto"/>
            </w:tcBorders>
            <w:shd w:val="clear" w:color="auto" w:fill="auto"/>
            <w:noWrap/>
            <w:vAlign w:val="center"/>
            <w:hideMark/>
          </w:tcPr>
          <w:p w14:paraId="29EC0270" w14:textId="7C965EC2" w:rsidR="0028145A" w:rsidRPr="00420231" w:rsidRDefault="00420231" w:rsidP="009945DE">
            <w:pPr>
              <w:spacing w:after="0" w:line="240" w:lineRule="auto"/>
              <w:jc w:val="left"/>
              <w:rPr>
                <w:rFonts w:eastAsia="Times New Roman"/>
                <w:b/>
                <w:noProof/>
                <w:color w:val="000000" w:themeColor="text1"/>
                <w:sz w:val="16"/>
                <w:szCs w:val="16"/>
                <w:lang w:eastAsia="de-DE"/>
              </w:rPr>
            </w:pPr>
            <w:r>
              <w:rPr>
                <w:rFonts w:eastAsia="Times New Roman"/>
                <w:b/>
                <w:bCs/>
                <w:noProof/>
                <w:color w:val="000000" w:themeColor="text1"/>
                <w:sz w:val="16"/>
                <w:szCs w:val="16"/>
                <w:lang w:eastAsia="de-DE"/>
              </w:rPr>
              <w:t xml:space="preserve">For </w:t>
            </w:r>
            <w:r w:rsidR="00C451E7">
              <w:rPr>
                <w:rFonts w:eastAsia="Times New Roman"/>
                <w:bCs/>
                <w:noProof/>
                <w:color w:val="000000" w:themeColor="text1"/>
                <w:sz w:val="16"/>
                <w:szCs w:val="16"/>
                <w:lang w:eastAsia="de-DE"/>
              </w:rPr>
              <w:t xml:space="preserve"> </w:t>
            </w:r>
            <w:r w:rsidRPr="00420231">
              <w:rPr>
                <w:rFonts w:eastAsia="Times New Roman"/>
                <w:b/>
                <w:bCs/>
                <w:noProof/>
                <w:color w:val="000000" w:themeColor="text1"/>
                <w:sz w:val="16"/>
                <w:szCs w:val="16"/>
                <w:lang w:eastAsia="de-DE"/>
              </w:rPr>
              <w:t>all sectors</w:t>
            </w:r>
          </w:p>
        </w:tc>
        <w:tc>
          <w:tcPr>
            <w:tcW w:w="759" w:type="dxa"/>
            <w:tcBorders>
              <w:top w:val="double" w:sz="4" w:space="0" w:color="auto"/>
              <w:left w:val="nil"/>
              <w:bottom w:val="single" w:sz="8" w:space="0" w:color="auto"/>
              <w:right w:val="single" w:sz="8" w:space="0" w:color="auto"/>
            </w:tcBorders>
            <w:shd w:val="clear" w:color="auto" w:fill="auto"/>
            <w:noWrap/>
            <w:vAlign w:val="center"/>
            <w:hideMark/>
          </w:tcPr>
          <w:p w14:paraId="5E263E8E" w14:textId="1BB51CDB" w:rsidR="00A47775" w:rsidRPr="00290FE5" w:rsidRDefault="00AA7447" w:rsidP="009945DE">
            <w:pPr>
              <w:spacing w:after="0" w:line="240" w:lineRule="auto"/>
              <w:jc w:val="center"/>
              <w:rPr>
                <w:rFonts w:eastAsia="Times New Roman"/>
                <w:b/>
                <w:bCs/>
                <w:noProof/>
                <w:color w:val="000000" w:themeColor="text1"/>
                <w:sz w:val="16"/>
                <w:szCs w:val="16"/>
                <w:lang w:eastAsia="de-DE"/>
              </w:rPr>
            </w:pPr>
            <w:r>
              <w:rPr>
                <w:rFonts w:eastAsia="Times New Roman"/>
                <w:b/>
                <w:bCs/>
                <w:noProof/>
                <w:color w:val="000000" w:themeColor="text1"/>
                <w:sz w:val="16"/>
                <w:szCs w:val="16"/>
                <w:lang w:eastAsia="de-DE"/>
              </w:rPr>
              <w:t xml:space="preserve">In </w:t>
            </w:r>
            <w:r w:rsidR="3982CBDC" w:rsidRPr="00290FE5">
              <w:rPr>
                <w:rFonts w:eastAsia="Times New Roman"/>
                <w:b/>
                <w:bCs/>
                <w:noProof/>
                <w:color w:val="000000" w:themeColor="text1"/>
                <w:sz w:val="16"/>
                <w:szCs w:val="16"/>
                <w:lang w:eastAsia="de-DE"/>
              </w:rPr>
              <w:t>2050</w:t>
            </w:r>
          </w:p>
        </w:tc>
        <w:tc>
          <w:tcPr>
            <w:tcW w:w="857" w:type="dxa"/>
            <w:tcBorders>
              <w:top w:val="double" w:sz="4" w:space="0" w:color="auto"/>
              <w:left w:val="nil"/>
              <w:bottom w:val="single" w:sz="8" w:space="0" w:color="auto"/>
              <w:right w:val="single" w:sz="4" w:space="0" w:color="auto"/>
            </w:tcBorders>
            <w:shd w:val="clear" w:color="auto" w:fill="auto"/>
            <w:noWrap/>
            <w:vAlign w:val="center"/>
            <w:hideMark/>
          </w:tcPr>
          <w:p w14:paraId="7C3AAC71" w14:textId="77777777" w:rsidR="00A47775" w:rsidRPr="00290FE5" w:rsidRDefault="3982CBDC" w:rsidP="009945DE">
            <w:pPr>
              <w:spacing w:after="0" w:line="240" w:lineRule="auto"/>
              <w:jc w:val="right"/>
              <w:rPr>
                <w:rFonts w:eastAsia="Times New Roman"/>
                <w:noProof/>
                <w:color w:val="000000" w:themeColor="text1"/>
                <w:sz w:val="16"/>
                <w:szCs w:val="16"/>
                <w:lang w:eastAsia="de-DE"/>
              </w:rPr>
            </w:pPr>
            <w:r w:rsidRPr="00290FE5">
              <w:rPr>
                <w:noProof/>
                <w:sz w:val="16"/>
                <w:szCs w:val="16"/>
              </w:rPr>
              <w:t>4.4</w:t>
            </w:r>
          </w:p>
        </w:tc>
        <w:tc>
          <w:tcPr>
            <w:tcW w:w="709" w:type="dxa"/>
            <w:tcBorders>
              <w:top w:val="double" w:sz="4" w:space="0" w:color="auto"/>
              <w:left w:val="nil"/>
              <w:bottom w:val="single" w:sz="8" w:space="0" w:color="auto"/>
              <w:right w:val="single" w:sz="4" w:space="0" w:color="auto"/>
            </w:tcBorders>
            <w:shd w:val="clear" w:color="auto" w:fill="auto"/>
            <w:noWrap/>
            <w:vAlign w:val="center"/>
            <w:hideMark/>
          </w:tcPr>
          <w:p w14:paraId="71F6699A" w14:textId="77777777" w:rsidR="00A47775" w:rsidRPr="00290FE5" w:rsidRDefault="3982CBDC" w:rsidP="009945DE">
            <w:pPr>
              <w:spacing w:after="0" w:line="240" w:lineRule="auto"/>
              <w:jc w:val="right"/>
              <w:rPr>
                <w:rFonts w:eastAsia="Times New Roman"/>
                <w:noProof/>
                <w:color w:val="000000" w:themeColor="text1"/>
                <w:sz w:val="16"/>
                <w:szCs w:val="16"/>
                <w:lang w:eastAsia="de-DE"/>
              </w:rPr>
            </w:pPr>
            <w:r w:rsidRPr="00290FE5">
              <w:rPr>
                <w:noProof/>
                <w:sz w:val="16"/>
                <w:szCs w:val="16"/>
              </w:rPr>
              <w:t>-781.1</w:t>
            </w:r>
          </w:p>
        </w:tc>
        <w:tc>
          <w:tcPr>
            <w:tcW w:w="863" w:type="dxa"/>
            <w:tcBorders>
              <w:top w:val="double" w:sz="4" w:space="0" w:color="auto"/>
              <w:left w:val="nil"/>
              <w:bottom w:val="single" w:sz="8" w:space="0" w:color="auto"/>
              <w:right w:val="single" w:sz="8" w:space="0" w:color="auto"/>
            </w:tcBorders>
            <w:shd w:val="clear" w:color="auto" w:fill="auto"/>
            <w:noWrap/>
            <w:vAlign w:val="center"/>
            <w:hideMark/>
          </w:tcPr>
          <w:p w14:paraId="153E3135" w14:textId="77777777" w:rsidR="00A47775" w:rsidRPr="00290FE5" w:rsidRDefault="3982CBDC" w:rsidP="009945DE">
            <w:pPr>
              <w:spacing w:after="0" w:line="240" w:lineRule="auto"/>
              <w:jc w:val="right"/>
              <w:rPr>
                <w:rFonts w:eastAsia="Times New Roman"/>
                <w:b/>
                <w:bCs/>
                <w:noProof/>
                <w:color w:val="000000" w:themeColor="text1"/>
                <w:sz w:val="16"/>
                <w:szCs w:val="16"/>
                <w:lang w:eastAsia="de-DE"/>
              </w:rPr>
            </w:pPr>
            <w:r w:rsidRPr="00290FE5">
              <w:rPr>
                <w:b/>
                <w:bCs/>
                <w:noProof/>
                <w:sz w:val="16"/>
                <w:szCs w:val="16"/>
              </w:rPr>
              <w:t>-178.1</w:t>
            </w:r>
          </w:p>
        </w:tc>
        <w:tc>
          <w:tcPr>
            <w:tcW w:w="751" w:type="dxa"/>
            <w:tcBorders>
              <w:top w:val="double" w:sz="4" w:space="0" w:color="auto"/>
              <w:left w:val="nil"/>
              <w:bottom w:val="single" w:sz="8" w:space="0" w:color="auto"/>
              <w:right w:val="single" w:sz="4" w:space="0" w:color="auto"/>
            </w:tcBorders>
            <w:shd w:val="clear" w:color="auto" w:fill="auto"/>
            <w:noWrap/>
            <w:vAlign w:val="center"/>
            <w:hideMark/>
          </w:tcPr>
          <w:p w14:paraId="0DF28643" w14:textId="77777777" w:rsidR="00A47775" w:rsidRPr="00290FE5" w:rsidRDefault="3982CBDC" w:rsidP="009945DE">
            <w:pPr>
              <w:spacing w:after="0" w:line="240" w:lineRule="auto"/>
              <w:jc w:val="right"/>
              <w:rPr>
                <w:rFonts w:eastAsia="Times New Roman"/>
                <w:noProof/>
                <w:color w:val="000000" w:themeColor="text1"/>
                <w:sz w:val="16"/>
                <w:szCs w:val="16"/>
                <w:lang w:eastAsia="de-DE"/>
              </w:rPr>
            </w:pPr>
            <w:r w:rsidRPr="00290FE5">
              <w:rPr>
                <w:noProof/>
                <w:sz w:val="16"/>
                <w:szCs w:val="16"/>
              </w:rPr>
              <w:t>16.1</w:t>
            </w:r>
          </w:p>
        </w:tc>
        <w:tc>
          <w:tcPr>
            <w:tcW w:w="903" w:type="dxa"/>
            <w:tcBorders>
              <w:top w:val="double" w:sz="4" w:space="0" w:color="auto"/>
              <w:left w:val="nil"/>
              <w:bottom w:val="single" w:sz="8" w:space="0" w:color="auto"/>
              <w:right w:val="single" w:sz="4" w:space="0" w:color="auto"/>
            </w:tcBorders>
            <w:shd w:val="clear" w:color="auto" w:fill="auto"/>
            <w:noWrap/>
            <w:vAlign w:val="center"/>
            <w:hideMark/>
          </w:tcPr>
          <w:p w14:paraId="2C15812C" w14:textId="665982C2" w:rsidR="00A47775" w:rsidRPr="00290FE5" w:rsidRDefault="00E5787D" w:rsidP="009945DE">
            <w:pPr>
              <w:spacing w:after="0" w:line="240" w:lineRule="auto"/>
              <w:jc w:val="right"/>
              <w:rPr>
                <w:rFonts w:eastAsia="Times New Roman"/>
                <w:noProof/>
                <w:color w:val="000000" w:themeColor="text1"/>
                <w:sz w:val="16"/>
                <w:szCs w:val="16"/>
                <w:lang w:eastAsia="de-DE"/>
              </w:rPr>
            </w:pPr>
            <w:r>
              <w:rPr>
                <w:noProof/>
                <w:sz w:val="16"/>
                <w:szCs w:val="16"/>
              </w:rPr>
              <w:t>-1005.2</w:t>
            </w:r>
          </w:p>
        </w:tc>
        <w:tc>
          <w:tcPr>
            <w:tcW w:w="903" w:type="dxa"/>
            <w:tcBorders>
              <w:top w:val="double" w:sz="4" w:space="0" w:color="auto"/>
              <w:left w:val="nil"/>
              <w:bottom w:val="single" w:sz="8" w:space="0" w:color="auto"/>
              <w:right w:val="single" w:sz="8" w:space="0" w:color="auto"/>
            </w:tcBorders>
            <w:shd w:val="clear" w:color="auto" w:fill="auto"/>
            <w:noWrap/>
            <w:vAlign w:val="center"/>
            <w:hideMark/>
          </w:tcPr>
          <w:p w14:paraId="50093DBD" w14:textId="2BE023F2" w:rsidR="00A47775" w:rsidRPr="00290FE5" w:rsidRDefault="00D87B4A" w:rsidP="009945DE">
            <w:pPr>
              <w:spacing w:after="0" w:line="240" w:lineRule="auto"/>
              <w:jc w:val="right"/>
              <w:rPr>
                <w:rFonts w:eastAsia="Times New Roman"/>
                <w:b/>
                <w:bCs/>
                <w:noProof/>
                <w:color w:val="000000" w:themeColor="text1"/>
                <w:sz w:val="16"/>
                <w:szCs w:val="16"/>
                <w:lang w:eastAsia="de-DE"/>
              </w:rPr>
            </w:pPr>
            <w:r>
              <w:rPr>
                <w:b/>
                <w:bCs/>
                <w:noProof/>
                <w:sz w:val="16"/>
                <w:szCs w:val="16"/>
              </w:rPr>
              <w:t>-62</w:t>
            </w:r>
            <w:r w:rsidR="00FD6EE6">
              <w:rPr>
                <w:b/>
                <w:bCs/>
                <w:noProof/>
                <w:sz w:val="16"/>
                <w:szCs w:val="16"/>
              </w:rPr>
              <w:t>.</w:t>
            </w:r>
            <w:r>
              <w:rPr>
                <w:b/>
                <w:bCs/>
                <w:noProof/>
                <w:sz w:val="16"/>
                <w:szCs w:val="16"/>
              </w:rPr>
              <w:t>7</w:t>
            </w:r>
          </w:p>
        </w:tc>
        <w:tc>
          <w:tcPr>
            <w:tcW w:w="751" w:type="dxa"/>
            <w:tcBorders>
              <w:top w:val="double" w:sz="4" w:space="0" w:color="auto"/>
              <w:left w:val="nil"/>
              <w:bottom w:val="single" w:sz="8" w:space="0" w:color="auto"/>
              <w:right w:val="single" w:sz="4" w:space="0" w:color="auto"/>
            </w:tcBorders>
            <w:shd w:val="clear" w:color="auto" w:fill="auto"/>
            <w:noWrap/>
            <w:vAlign w:val="center"/>
            <w:hideMark/>
          </w:tcPr>
          <w:p w14:paraId="0D9263D0" w14:textId="77777777" w:rsidR="00A47775" w:rsidRPr="00290FE5" w:rsidRDefault="3982CBDC" w:rsidP="009945DE">
            <w:pPr>
              <w:spacing w:after="0" w:line="240" w:lineRule="auto"/>
              <w:jc w:val="right"/>
              <w:rPr>
                <w:rFonts w:eastAsia="Times New Roman"/>
                <w:noProof/>
                <w:color w:val="000000" w:themeColor="text1"/>
                <w:sz w:val="16"/>
                <w:szCs w:val="16"/>
                <w:lang w:eastAsia="de-DE"/>
              </w:rPr>
            </w:pPr>
            <w:r w:rsidRPr="00290FE5">
              <w:rPr>
                <w:noProof/>
                <w:sz w:val="16"/>
                <w:szCs w:val="16"/>
              </w:rPr>
              <w:t>16.3</w:t>
            </w:r>
          </w:p>
        </w:tc>
        <w:tc>
          <w:tcPr>
            <w:tcW w:w="903" w:type="dxa"/>
            <w:tcBorders>
              <w:top w:val="double" w:sz="4" w:space="0" w:color="auto"/>
              <w:left w:val="nil"/>
              <w:bottom w:val="single" w:sz="8" w:space="0" w:color="auto"/>
              <w:right w:val="single" w:sz="4" w:space="0" w:color="auto"/>
            </w:tcBorders>
            <w:shd w:val="clear" w:color="auto" w:fill="auto"/>
            <w:noWrap/>
            <w:vAlign w:val="center"/>
            <w:hideMark/>
          </w:tcPr>
          <w:p w14:paraId="440BE878" w14:textId="77777777" w:rsidR="00A47775" w:rsidRPr="00290FE5" w:rsidRDefault="3982CBDC" w:rsidP="009945DE">
            <w:pPr>
              <w:spacing w:after="0" w:line="240" w:lineRule="auto"/>
              <w:jc w:val="right"/>
              <w:rPr>
                <w:rFonts w:eastAsia="Times New Roman"/>
                <w:noProof/>
                <w:color w:val="000000" w:themeColor="text1"/>
                <w:sz w:val="16"/>
                <w:szCs w:val="16"/>
                <w:lang w:eastAsia="de-DE"/>
              </w:rPr>
            </w:pPr>
            <w:r w:rsidRPr="00290FE5">
              <w:rPr>
                <w:noProof/>
                <w:sz w:val="16"/>
                <w:szCs w:val="16"/>
              </w:rPr>
              <w:t>-841.2</w:t>
            </w:r>
          </w:p>
        </w:tc>
        <w:tc>
          <w:tcPr>
            <w:tcW w:w="903" w:type="dxa"/>
            <w:tcBorders>
              <w:top w:val="double" w:sz="4" w:space="0" w:color="auto"/>
              <w:left w:val="nil"/>
              <w:bottom w:val="single" w:sz="8" w:space="0" w:color="auto"/>
              <w:right w:val="single" w:sz="8" w:space="0" w:color="auto"/>
            </w:tcBorders>
            <w:shd w:val="clear" w:color="auto" w:fill="auto"/>
            <w:noWrap/>
            <w:vAlign w:val="center"/>
            <w:hideMark/>
          </w:tcPr>
          <w:p w14:paraId="17E22F7E" w14:textId="77777777" w:rsidR="00A47775" w:rsidRPr="00290FE5" w:rsidRDefault="3982CBDC" w:rsidP="009945DE">
            <w:pPr>
              <w:spacing w:after="0" w:line="240" w:lineRule="auto"/>
              <w:jc w:val="right"/>
              <w:rPr>
                <w:rFonts w:eastAsia="Times New Roman"/>
                <w:b/>
                <w:bCs/>
                <w:noProof/>
                <w:color w:val="000000" w:themeColor="text1"/>
                <w:sz w:val="16"/>
                <w:szCs w:val="16"/>
                <w:lang w:eastAsia="de-DE"/>
              </w:rPr>
            </w:pPr>
            <w:r w:rsidRPr="00290FE5">
              <w:rPr>
                <w:b/>
                <w:bCs/>
                <w:noProof/>
                <w:sz w:val="16"/>
                <w:szCs w:val="16"/>
              </w:rPr>
              <w:t>-51.7</w:t>
            </w:r>
          </w:p>
        </w:tc>
      </w:tr>
    </w:tbl>
    <w:p w14:paraId="77334BAC" w14:textId="77777777" w:rsidR="00A47775" w:rsidRPr="0085241A" w:rsidRDefault="3982CBDC" w:rsidP="00F04C99">
      <w:pPr>
        <w:spacing w:before="60" w:after="0"/>
        <w:rPr>
          <w:rFonts w:ascii="Calibri" w:hAnsi="Calibri"/>
          <w:i/>
          <w:noProof/>
          <w:sz w:val="20"/>
        </w:rPr>
      </w:pPr>
      <w:r w:rsidRPr="0085241A">
        <w:rPr>
          <w:rFonts w:ascii="Calibri" w:hAnsi="Calibri"/>
          <w:b/>
          <w:i/>
          <w:noProof/>
          <w:sz w:val="20"/>
        </w:rPr>
        <w:t>Source:</w:t>
      </w:r>
      <w:r w:rsidRPr="0085241A">
        <w:rPr>
          <w:rFonts w:ascii="Calibri" w:hAnsi="Calibri"/>
          <w:i/>
          <w:noProof/>
          <w:sz w:val="20"/>
        </w:rPr>
        <w:t xml:space="preserve"> AnaFgas cost modelling</w:t>
      </w:r>
    </w:p>
    <w:p w14:paraId="05EB07A4" w14:textId="77777777" w:rsidR="00FC2837" w:rsidRPr="00B735AF" w:rsidRDefault="3982CBDC" w:rsidP="3982CBDC">
      <w:pPr>
        <w:spacing w:after="0"/>
        <w:rPr>
          <w:rFonts w:asciiTheme="minorHAnsi" w:hAnsiTheme="minorHAnsi" w:cstheme="minorHAnsi"/>
          <w:noProof/>
          <w:sz w:val="20"/>
          <w:szCs w:val="20"/>
        </w:rPr>
      </w:pPr>
      <w:r w:rsidRPr="00B735AF">
        <w:rPr>
          <w:rFonts w:asciiTheme="minorHAnsi" w:hAnsiTheme="minorHAnsi" w:cstheme="minorHAnsi"/>
          <w:noProof/>
          <w:sz w:val="20"/>
          <w:szCs w:val="20"/>
        </w:rPr>
        <w:t>*negative values indicate emission increases vs. baseline</w:t>
      </w:r>
    </w:p>
    <w:p w14:paraId="60089516" w14:textId="037F0FA7" w:rsidR="00A47775" w:rsidRDefault="3982CBDC" w:rsidP="00FC2837">
      <w:pPr>
        <w:spacing w:after="0"/>
        <w:rPr>
          <w:rFonts w:asciiTheme="minorHAnsi" w:hAnsiTheme="minorHAnsi" w:cstheme="minorHAnsi"/>
          <w:noProof/>
          <w:sz w:val="20"/>
          <w:szCs w:val="20"/>
        </w:rPr>
      </w:pPr>
      <w:r w:rsidRPr="00B735AF">
        <w:rPr>
          <w:rFonts w:asciiTheme="minorHAnsi" w:hAnsiTheme="minorHAnsi" w:cstheme="minorHAnsi"/>
          <w:noProof/>
          <w:sz w:val="20"/>
          <w:szCs w:val="20"/>
        </w:rPr>
        <w:t>+ NA: not applicable: no emission reduction costs can be calculated as emissions increase</w:t>
      </w:r>
    </w:p>
    <w:p w14:paraId="70C54593" w14:textId="102C2406" w:rsidR="00FC2837" w:rsidRPr="00B735AF" w:rsidRDefault="00F854AA" w:rsidP="00F04C99">
      <w:pPr>
        <w:rPr>
          <w:rFonts w:asciiTheme="minorHAnsi" w:hAnsiTheme="minorHAnsi" w:cstheme="minorHAnsi"/>
          <w:noProof/>
          <w:sz w:val="20"/>
          <w:szCs w:val="20"/>
        </w:rPr>
      </w:pPr>
      <w:r>
        <w:rPr>
          <w:rFonts w:asciiTheme="minorHAnsi" w:hAnsiTheme="minorHAnsi" w:cstheme="minorHAnsi"/>
          <w:noProof/>
          <w:sz w:val="20"/>
          <w:szCs w:val="20"/>
        </w:rPr>
        <w:t>n</w:t>
      </w:r>
      <w:r w:rsidR="00FC2837">
        <w:rPr>
          <w:rFonts w:asciiTheme="minorHAnsi" w:hAnsiTheme="minorHAnsi" w:cstheme="minorHAnsi"/>
          <w:noProof/>
          <w:sz w:val="20"/>
          <w:szCs w:val="20"/>
        </w:rPr>
        <w:t xml:space="preserve">.b. The emission reduction costs shown relate to new equipment installed in </w:t>
      </w:r>
      <w:r w:rsidR="00840263">
        <w:rPr>
          <w:rFonts w:asciiTheme="minorHAnsi" w:hAnsiTheme="minorHAnsi" w:cstheme="minorHAnsi"/>
          <w:noProof/>
          <w:sz w:val="20"/>
          <w:szCs w:val="20"/>
        </w:rPr>
        <w:t>the period 2024-2036</w:t>
      </w:r>
      <w:r w:rsidR="00FC2837">
        <w:rPr>
          <w:rFonts w:asciiTheme="minorHAnsi" w:hAnsiTheme="minorHAnsi" w:cstheme="minorHAnsi"/>
          <w:noProof/>
          <w:sz w:val="20"/>
          <w:szCs w:val="20"/>
        </w:rPr>
        <w:t xml:space="preserve"> (</w:t>
      </w:r>
      <w:r w:rsidR="00840263">
        <w:rPr>
          <w:rFonts w:asciiTheme="minorHAnsi" w:hAnsiTheme="minorHAnsi" w:cstheme="minorHAnsi"/>
          <w:noProof/>
          <w:sz w:val="20"/>
          <w:szCs w:val="20"/>
        </w:rPr>
        <w:t>average</w:t>
      </w:r>
      <w:r w:rsidR="00FC2837">
        <w:rPr>
          <w:rFonts w:asciiTheme="minorHAnsi" w:hAnsiTheme="minorHAnsi" w:cstheme="minorHAnsi"/>
          <w:noProof/>
          <w:sz w:val="20"/>
          <w:szCs w:val="20"/>
        </w:rPr>
        <w:t>) and in 2050</w:t>
      </w:r>
    </w:p>
    <w:p w14:paraId="693A73C5" w14:textId="20ED9FCA" w:rsidR="0013695D" w:rsidRPr="000C7CF0" w:rsidRDefault="00E04F0C" w:rsidP="00E04F0C">
      <w:pPr>
        <w:pStyle w:val="Heading4"/>
        <w:rPr>
          <w:rFonts w:eastAsia="MS Gothic"/>
          <w:noProof/>
        </w:rPr>
      </w:pPr>
      <w:bookmarkStart w:id="217" w:name="_Ref87265054"/>
      <w:bookmarkStart w:id="218" w:name="_Ref94176743"/>
      <w:r w:rsidRPr="00E04F0C">
        <w:rPr>
          <w:rFonts w:eastAsia="MS Gothic"/>
        </w:rPr>
        <w:t>6.2.1.3.</w:t>
      </w:r>
      <w:r w:rsidRPr="00E04F0C">
        <w:rPr>
          <w:rFonts w:eastAsia="MS Gothic"/>
        </w:rPr>
        <w:tab/>
      </w:r>
      <w:r w:rsidR="3982CBDC" w:rsidRPr="3982CBDC">
        <w:rPr>
          <w:rFonts w:eastAsia="MS Gothic"/>
          <w:noProof/>
        </w:rPr>
        <w:t>HFC price premium for users that rely on HFCs</w:t>
      </w:r>
      <w:bookmarkEnd w:id="217"/>
      <w:bookmarkEnd w:id="218"/>
    </w:p>
    <w:p w14:paraId="58743DC9" w14:textId="030D5142" w:rsidR="00BF7FA2" w:rsidRDefault="00DB293F" w:rsidP="00920700">
      <w:pPr>
        <w:spacing w:after="120"/>
        <w:rPr>
          <w:noProof/>
        </w:rPr>
      </w:pPr>
      <w:r w:rsidRPr="000C7CF0">
        <w:rPr>
          <w:noProof/>
        </w:rPr>
        <w:t>F</w:t>
      </w:r>
      <w:r w:rsidR="005E6DF7" w:rsidRPr="000C7CF0">
        <w:rPr>
          <w:noProof/>
        </w:rPr>
        <w:t xml:space="preserve">rom 2015-2019 </w:t>
      </w:r>
      <w:r w:rsidR="005B1F69" w:rsidRPr="000C7CF0">
        <w:rPr>
          <w:noProof/>
        </w:rPr>
        <w:t xml:space="preserve">the </w:t>
      </w:r>
      <w:r w:rsidR="00116C29" w:rsidRPr="000C7CF0">
        <w:rPr>
          <w:noProof/>
        </w:rPr>
        <w:t>phase</w:t>
      </w:r>
      <w:r w:rsidR="00116C29">
        <w:rPr>
          <w:noProof/>
        </w:rPr>
        <w:t xml:space="preserve">-down </w:t>
      </w:r>
      <w:r w:rsidR="005B1F69">
        <w:rPr>
          <w:noProof/>
        </w:rPr>
        <w:t xml:space="preserve">system resulted </w:t>
      </w:r>
      <w:r w:rsidR="000C7CF0">
        <w:rPr>
          <w:noProof/>
        </w:rPr>
        <w:t>in an increase in HFC prices on</w:t>
      </w:r>
      <w:r>
        <w:rPr>
          <w:noProof/>
        </w:rPr>
        <w:t xml:space="preserve"> the EU market compared to the prices before the phase-down started. While </w:t>
      </w:r>
      <w:r w:rsidR="0040140C">
        <w:rPr>
          <w:noProof/>
        </w:rPr>
        <w:t xml:space="preserve">EU </w:t>
      </w:r>
      <w:r>
        <w:rPr>
          <w:noProof/>
        </w:rPr>
        <w:t xml:space="preserve">prices </w:t>
      </w:r>
      <w:r w:rsidR="007C29D2">
        <w:rPr>
          <w:noProof/>
        </w:rPr>
        <w:t xml:space="preserve">have been </w:t>
      </w:r>
      <w:r>
        <w:rPr>
          <w:noProof/>
        </w:rPr>
        <w:t>fluctuating</w:t>
      </w:r>
      <w:r w:rsidR="000C7CF0">
        <w:rPr>
          <w:rStyle w:val="FootnoteReference"/>
          <w:noProof/>
        </w:rPr>
        <w:footnoteReference w:id="98"/>
      </w:r>
      <w:r w:rsidR="0040140C">
        <w:rPr>
          <w:noProof/>
        </w:rPr>
        <w:t>,</w:t>
      </w:r>
      <w:r>
        <w:rPr>
          <w:noProof/>
        </w:rPr>
        <w:t xml:space="preserve"> on average the </w:t>
      </w:r>
      <w:r w:rsidR="00AD06BF">
        <w:rPr>
          <w:noProof/>
        </w:rPr>
        <w:t xml:space="preserve">price </w:t>
      </w:r>
      <w:r>
        <w:rPr>
          <w:noProof/>
        </w:rPr>
        <w:t xml:space="preserve">increase </w:t>
      </w:r>
      <w:r w:rsidR="00AD06BF">
        <w:rPr>
          <w:noProof/>
        </w:rPr>
        <w:t>(premium)</w:t>
      </w:r>
      <w:r>
        <w:rPr>
          <w:noProof/>
        </w:rPr>
        <w:t xml:space="preserve"> </w:t>
      </w:r>
      <w:r w:rsidR="00F66EC9">
        <w:rPr>
          <w:noProof/>
        </w:rPr>
        <w:t>is</w:t>
      </w:r>
      <w:r w:rsidR="007C29D2">
        <w:rPr>
          <w:noProof/>
        </w:rPr>
        <w:t xml:space="preserve"> estimated to be </w:t>
      </w:r>
      <w:r w:rsidR="00523489" w:rsidRPr="002A5071">
        <w:rPr>
          <w:noProof/>
        </w:rPr>
        <w:t xml:space="preserve">around </w:t>
      </w:r>
      <w:r w:rsidR="0013695D" w:rsidRPr="002A5071">
        <w:rPr>
          <w:noProof/>
        </w:rPr>
        <w:t>8 €/t CO2e</w:t>
      </w:r>
      <w:r w:rsidR="0095365C">
        <w:rPr>
          <w:noProof/>
        </w:rPr>
        <w:t xml:space="preserve"> </w:t>
      </w:r>
      <w:r w:rsidR="005E6DF7">
        <w:rPr>
          <w:noProof/>
        </w:rPr>
        <w:t xml:space="preserve">at gas </w:t>
      </w:r>
      <w:r w:rsidR="005E6DF7" w:rsidRPr="002A5071">
        <w:rPr>
          <w:noProof/>
        </w:rPr>
        <w:t>distributor level</w:t>
      </w:r>
      <w:r w:rsidR="000C7CF0">
        <w:rPr>
          <w:noProof/>
        </w:rPr>
        <w:t xml:space="preserve"> (</w:t>
      </w:r>
      <w:r w:rsidR="001A07D9">
        <w:rPr>
          <w:noProof/>
        </w:rPr>
        <w:t xml:space="preserve">see Annex </w:t>
      </w:r>
      <w:r w:rsidR="00DD7AB7">
        <w:rPr>
          <w:noProof/>
        </w:rPr>
        <w:t xml:space="preserve">A5.6.1.1 and </w:t>
      </w:r>
      <w:r w:rsidR="00C66A21">
        <w:rPr>
          <w:noProof/>
        </w:rPr>
        <w:t>A4.2.10.1</w:t>
      </w:r>
      <w:r w:rsidR="000C7CF0">
        <w:rPr>
          <w:noProof/>
        </w:rPr>
        <w:t>)</w:t>
      </w:r>
      <w:r w:rsidR="0013695D" w:rsidRPr="002A5071">
        <w:rPr>
          <w:noProof/>
        </w:rPr>
        <w:t xml:space="preserve">. </w:t>
      </w:r>
      <w:r w:rsidR="00AD06BF">
        <w:rPr>
          <w:noProof/>
        </w:rPr>
        <w:t>Thus</w:t>
      </w:r>
      <w:r w:rsidR="00083B45">
        <w:rPr>
          <w:noProof/>
        </w:rPr>
        <w:t>,</w:t>
      </w:r>
      <w:r w:rsidR="000C7CF0">
        <w:rPr>
          <w:noProof/>
        </w:rPr>
        <w:t xml:space="preserve"> </w:t>
      </w:r>
      <w:r>
        <w:rPr>
          <w:noProof/>
        </w:rPr>
        <w:t xml:space="preserve">new HFC </w:t>
      </w:r>
      <w:r w:rsidR="00921CCA">
        <w:rPr>
          <w:noProof/>
        </w:rPr>
        <w:t xml:space="preserve">equipment </w:t>
      </w:r>
      <w:r>
        <w:rPr>
          <w:noProof/>
        </w:rPr>
        <w:t xml:space="preserve">and products and </w:t>
      </w:r>
      <w:r w:rsidR="000C7CF0">
        <w:rPr>
          <w:noProof/>
        </w:rPr>
        <w:t xml:space="preserve">the </w:t>
      </w:r>
      <w:r w:rsidR="007C29D2">
        <w:rPr>
          <w:noProof/>
        </w:rPr>
        <w:t>servicing</w:t>
      </w:r>
      <w:r w:rsidR="00F66EC9">
        <w:rPr>
          <w:noProof/>
        </w:rPr>
        <w:t xml:space="preserve"> of </w:t>
      </w:r>
      <w:r w:rsidR="00AD06BF">
        <w:rPr>
          <w:noProof/>
        </w:rPr>
        <w:t>such</w:t>
      </w:r>
      <w:r w:rsidR="00F66EC9">
        <w:rPr>
          <w:noProof/>
        </w:rPr>
        <w:t xml:space="preserve"> equipment (e.g.</w:t>
      </w:r>
      <w:r w:rsidR="007C29D2">
        <w:rPr>
          <w:noProof/>
        </w:rPr>
        <w:t xml:space="preserve"> refilling </w:t>
      </w:r>
      <w:r w:rsidR="00F61F0B">
        <w:rPr>
          <w:noProof/>
        </w:rPr>
        <w:t>s</w:t>
      </w:r>
      <w:r w:rsidR="009A6A0D">
        <w:rPr>
          <w:noProof/>
        </w:rPr>
        <w:t>upermarket</w:t>
      </w:r>
      <w:r w:rsidR="00F61F0B">
        <w:rPr>
          <w:noProof/>
        </w:rPr>
        <w:t xml:space="preserve"> refrigeration or old passenger cars</w:t>
      </w:r>
      <w:r w:rsidR="007C29D2">
        <w:rPr>
          <w:noProof/>
        </w:rPr>
        <w:t xml:space="preserve"> with virgin HFCs</w:t>
      </w:r>
      <w:r w:rsidR="00F61F0B">
        <w:rPr>
          <w:noProof/>
        </w:rPr>
        <w:t xml:space="preserve">) </w:t>
      </w:r>
      <w:r w:rsidR="007C29D2">
        <w:rPr>
          <w:noProof/>
        </w:rPr>
        <w:t>became more expensive</w:t>
      </w:r>
      <w:r w:rsidR="00083B45">
        <w:rPr>
          <w:noProof/>
        </w:rPr>
        <w:t xml:space="preserve"> for users</w:t>
      </w:r>
      <w:r>
        <w:rPr>
          <w:noProof/>
        </w:rPr>
        <w:t>.</w:t>
      </w:r>
      <w:r w:rsidR="000C7CF0">
        <w:rPr>
          <w:noProof/>
        </w:rPr>
        <w:t xml:space="preserve"> </w:t>
      </w:r>
      <w:r w:rsidR="0010016B">
        <w:rPr>
          <w:noProof/>
        </w:rPr>
        <w:t xml:space="preserve">To </w:t>
      </w:r>
      <w:r>
        <w:rPr>
          <w:noProof/>
        </w:rPr>
        <w:t>determine the</w:t>
      </w:r>
      <w:r w:rsidR="000C7CF0">
        <w:rPr>
          <w:noProof/>
        </w:rPr>
        <w:t xml:space="preserve"> future</w:t>
      </w:r>
      <w:r>
        <w:rPr>
          <w:noProof/>
        </w:rPr>
        <w:t xml:space="preserve"> impact on users it is necessary to </w:t>
      </w:r>
      <w:r w:rsidR="005E6DF7">
        <w:rPr>
          <w:noProof/>
        </w:rPr>
        <w:t xml:space="preserve">understand </w:t>
      </w:r>
      <w:r w:rsidR="000C7CF0">
        <w:rPr>
          <w:noProof/>
        </w:rPr>
        <w:t>how this</w:t>
      </w:r>
      <w:r>
        <w:rPr>
          <w:noProof/>
        </w:rPr>
        <w:t xml:space="preserve"> </w:t>
      </w:r>
      <w:r w:rsidR="000C7CF0">
        <w:rPr>
          <w:noProof/>
        </w:rPr>
        <w:t xml:space="preserve">premium </w:t>
      </w:r>
      <w:r>
        <w:rPr>
          <w:noProof/>
        </w:rPr>
        <w:t>w</w:t>
      </w:r>
      <w:r w:rsidR="007C29D2">
        <w:rPr>
          <w:noProof/>
        </w:rPr>
        <w:t>ould</w:t>
      </w:r>
      <w:r>
        <w:rPr>
          <w:noProof/>
        </w:rPr>
        <w:t xml:space="preserve"> change under each</w:t>
      </w:r>
      <w:r w:rsidR="0010016B">
        <w:rPr>
          <w:noProof/>
        </w:rPr>
        <w:t xml:space="preserve"> </w:t>
      </w:r>
      <w:r w:rsidR="00A773CF">
        <w:rPr>
          <w:noProof/>
        </w:rPr>
        <w:t>option</w:t>
      </w:r>
      <w:r w:rsidR="005E6DF7">
        <w:rPr>
          <w:noProof/>
        </w:rPr>
        <w:t xml:space="preserve"> </w:t>
      </w:r>
      <w:r w:rsidR="0010016B">
        <w:rPr>
          <w:noProof/>
        </w:rPr>
        <w:t xml:space="preserve">compared to the HFC price development </w:t>
      </w:r>
      <w:r w:rsidR="007C29D2">
        <w:rPr>
          <w:noProof/>
        </w:rPr>
        <w:t xml:space="preserve">that would occur </w:t>
      </w:r>
      <w:r w:rsidR="0010016B">
        <w:rPr>
          <w:noProof/>
        </w:rPr>
        <w:t>under the baseline</w:t>
      </w:r>
      <w:r w:rsidR="0040140C">
        <w:rPr>
          <w:noProof/>
        </w:rPr>
        <w:t xml:space="preserve">. </w:t>
      </w:r>
      <w:r w:rsidR="00B84A82" w:rsidRPr="00A01521">
        <w:rPr>
          <w:i/>
          <w:noProof/>
        </w:rPr>
        <w:t>Temporarily</w:t>
      </w:r>
      <w:r w:rsidR="00B84A82">
        <w:rPr>
          <w:noProof/>
        </w:rPr>
        <w:t xml:space="preserve"> higher prices are required to drive replacement in the more difficult sectors with high marginal abatement costs. </w:t>
      </w:r>
      <w:r w:rsidR="0040140C">
        <w:rPr>
          <w:noProof/>
        </w:rPr>
        <w:t xml:space="preserve">However, </w:t>
      </w:r>
      <w:r w:rsidR="00B84A82">
        <w:rPr>
          <w:noProof/>
        </w:rPr>
        <w:t>significant uncertainty exist</w:t>
      </w:r>
      <w:r w:rsidR="0040140C">
        <w:rPr>
          <w:noProof/>
        </w:rPr>
        <w:t xml:space="preserve"> </w:t>
      </w:r>
      <w:r w:rsidR="00DA6940">
        <w:rPr>
          <w:noProof/>
        </w:rPr>
        <w:t xml:space="preserve">about </w:t>
      </w:r>
      <w:r>
        <w:rPr>
          <w:noProof/>
        </w:rPr>
        <w:t xml:space="preserve">HFC </w:t>
      </w:r>
      <w:r w:rsidR="0010016B">
        <w:rPr>
          <w:noProof/>
        </w:rPr>
        <w:t>price developments</w:t>
      </w:r>
      <w:r w:rsidR="0040140C">
        <w:rPr>
          <w:noProof/>
        </w:rPr>
        <w:t xml:space="preserve"> over 30 years</w:t>
      </w:r>
      <w:r w:rsidR="00DA6940">
        <w:rPr>
          <w:noProof/>
        </w:rPr>
        <w:t xml:space="preserve"> </w:t>
      </w:r>
      <w:r w:rsidR="00B84A82">
        <w:rPr>
          <w:noProof/>
        </w:rPr>
        <w:t xml:space="preserve">when estimating </w:t>
      </w:r>
      <w:r w:rsidR="007C29D2">
        <w:rPr>
          <w:noProof/>
        </w:rPr>
        <w:t xml:space="preserve">price effects related to the </w:t>
      </w:r>
      <w:r w:rsidR="00DA6940">
        <w:rPr>
          <w:noProof/>
        </w:rPr>
        <w:t>options</w:t>
      </w:r>
      <w:r w:rsidR="00F66EC9">
        <w:rPr>
          <w:noProof/>
        </w:rPr>
        <w:t>.</w:t>
      </w:r>
      <w:r w:rsidR="007307BC">
        <w:rPr>
          <w:rStyle w:val="FootnoteReference"/>
          <w:noProof/>
        </w:rPr>
        <w:footnoteReference w:id="99"/>
      </w:r>
      <w:r w:rsidR="00A01521">
        <w:rPr>
          <w:noProof/>
        </w:rPr>
        <w:t xml:space="preserve"> </w:t>
      </w:r>
    </w:p>
    <w:p w14:paraId="23CCA7BE" w14:textId="6F85C15C" w:rsidR="0013695D" w:rsidRPr="000C7CF0" w:rsidRDefault="00DA6940" w:rsidP="00F66EC9">
      <w:pPr>
        <w:spacing w:after="120"/>
        <w:rPr>
          <w:noProof/>
        </w:rPr>
      </w:pPr>
      <w:r>
        <w:rPr>
          <w:noProof/>
        </w:rPr>
        <w:t>Still</w:t>
      </w:r>
      <w:r w:rsidR="00920700">
        <w:rPr>
          <w:noProof/>
        </w:rPr>
        <w:t>,</w:t>
      </w:r>
      <w:r>
        <w:rPr>
          <w:noProof/>
        </w:rPr>
        <w:t xml:space="preserve"> f</w:t>
      </w:r>
      <w:r w:rsidR="001F32D4">
        <w:rPr>
          <w:noProof/>
        </w:rPr>
        <w:t xml:space="preserve">or the </w:t>
      </w:r>
      <w:r w:rsidR="00DD7E57">
        <w:rPr>
          <w:noProof/>
        </w:rPr>
        <w:t xml:space="preserve">purpose </w:t>
      </w:r>
      <w:r w:rsidR="000C7CF0">
        <w:rPr>
          <w:noProof/>
        </w:rPr>
        <w:t xml:space="preserve">of </w:t>
      </w:r>
      <w:r w:rsidR="0010016B">
        <w:rPr>
          <w:noProof/>
        </w:rPr>
        <w:t xml:space="preserve">illustrating the potential distributional impacts of </w:t>
      </w:r>
      <w:r w:rsidR="009C1EBE">
        <w:rPr>
          <w:noProof/>
        </w:rPr>
        <w:t xml:space="preserve">the </w:t>
      </w:r>
      <w:r w:rsidR="0010016B">
        <w:rPr>
          <w:noProof/>
        </w:rPr>
        <w:t>HFC pr</w:t>
      </w:r>
      <w:r w:rsidR="00AD06BF">
        <w:rPr>
          <w:noProof/>
        </w:rPr>
        <w:t>emium</w:t>
      </w:r>
      <w:r w:rsidR="0010016B">
        <w:rPr>
          <w:noProof/>
        </w:rPr>
        <w:t xml:space="preserve">, </w:t>
      </w:r>
      <w:r w:rsidR="003D0A15">
        <w:rPr>
          <w:noProof/>
        </w:rPr>
        <w:t>some assumptions about the potential develop</w:t>
      </w:r>
      <w:r w:rsidR="00A47775">
        <w:rPr>
          <w:noProof/>
        </w:rPr>
        <w:t>ment</w:t>
      </w:r>
      <w:r w:rsidR="00DD7AB7">
        <w:rPr>
          <w:noProof/>
        </w:rPr>
        <w:t xml:space="preserve"> have</w:t>
      </w:r>
      <w:r w:rsidR="003D0A15">
        <w:rPr>
          <w:noProof/>
        </w:rPr>
        <w:t xml:space="preserve"> been made </w:t>
      </w:r>
      <w:r w:rsidR="000C7CF0">
        <w:rPr>
          <w:noProof/>
        </w:rPr>
        <w:t xml:space="preserve">in </w:t>
      </w:r>
      <w:r w:rsidR="000C7CF0" w:rsidRPr="000C7CF0">
        <w:rPr>
          <w:noProof/>
        </w:rPr>
        <w:fldChar w:fldCharType="begin"/>
      </w:r>
      <w:r w:rsidR="000C7CF0" w:rsidRPr="000C7CF0">
        <w:rPr>
          <w:noProof/>
        </w:rPr>
        <w:instrText xml:space="preserve"> REF _Ref85716553 \h </w:instrText>
      </w:r>
      <w:r w:rsidR="000C7CF0">
        <w:rPr>
          <w:noProof/>
        </w:rPr>
        <w:instrText xml:space="preserve"> \* MERGEFORMAT </w:instrText>
      </w:r>
      <w:r w:rsidR="000C7CF0" w:rsidRPr="000C7CF0">
        <w:rPr>
          <w:noProof/>
        </w:rPr>
      </w:r>
      <w:r w:rsidR="000C7CF0" w:rsidRPr="000C7CF0">
        <w:rPr>
          <w:noProof/>
        </w:rPr>
        <w:fldChar w:fldCharType="separate"/>
      </w:r>
      <w:r w:rsidR="00C66A21" w:rsidRPr="00C66A21">
        <w:rPr>
          <w:rFonts w:eastAsia="Calibri" w:cs="Times New Roman"/>
          <w:noProof/>
        </w:rPr>
        <w:t>Table</w:t>
      </w:r>
      <w:r w:rsidR="00C66A21" w:rsidRPr="00C66A21">
        <w:rPr>
          <w:rFonts w:ascii="Arial" w:eastAsia="Calibri" w:hAnsi="Arial" w:cs="Arial"/>
          <w:noProof/>
          <w:sz w:val="20"/>
          <w:szCs w:val="20"/>
        </w:rPr>
        <w:t xml:space="preserve"> 6</w:t>
      </w:r>
      <w:r w:rsidR="000C7CF0" w:rsidRPr="000C7CF0">
        <w:rPr>
          <w:noProof/>
        </w:rPr>
        <w:fldChar w:fldCharType="end"/>
      </w:r>
      <w:r w:rsidR="0040140C" w:rsidRPr="000C7CF0">
        <w:rPr>
          <w:noProof/>
        </w:rPr>
        <w:t>.</w:t>
      </w:r>
      <w:r w:rsidR="0040140C">
        <w:rPr>
          <w:noProof/>
        </w:rPr>
        <w:t xml:space="preserve"> </w:t>
      </w:r>
      <w:r w:rsidR="00920700">
        <w:rPr>
          <w:noProof/>
        </w:rPr>
        <w:t>I</w:t>
      </w:r>
      <w:r>
        <w:rPr>
          <w:noProof/>
        </w:rPr>
        <w:t xml:space="preserve">t </w:t>
      </w:r>
      <w:r w:rsidR="00B84A82">
        <w:rPr>
          <w:noProof/>
        </w:rPr>
        <w:t>has to be</w:t>
      </w:r>
      <w:r>
        <w:rPr>
          <w:noProof/>
        </w:rPr>
        <w:t xml:space="preserve"> underlined that these price assumptions are not predictions.</w:t>
      </w:r>
      <w:r w:rsidR="00920700">
        <w:rPr>
          <w:noProof/>
        </w:rPr>
        <w:t xml:space="preserve"> They may however be assumed to represent a </w:t>
      </w:r>
      <w:r w:rsidR="00A60D0B">
        <w:rPr>
          <w:noProof/>
        </w:rPr>
        <w:t xml:space="preserve">conservative </w:t>
      </w:r>
      <w:r w:rsidR="00920700">
        <w:rPr>
          <w:noProof/>
        </w:rPr>
        <w:t>scenario</w:t>
      </w:r>
      <w:r w:rsidR="00DD7AB7">
        <w:rPr>
          <w:noProof/>
        </w:rPr>
        <w:t>, or so called worst-</w:t>
      </w:r>
      <w:r w:rsidR="00A60D0B">
        <w:rPr>
          <w:noProof/>
        </w:rPr>
        <w:t>case scenario,</w:t>
      </w:r>
      <w:r w:rsidR="00A01521">
        <w:rPr>
          <w:noProof/>
        </w:rPr>
        <w:t xml:space="preserve"> as regarding long-term price developments</w:t>
      </w:r>
      <w:r w:rsidR="00920700">
        <w:rPr>
          <w:noProof/>
        </w:rPr>
        <w:t>, as it is expected that over 30 years many new technological developments will take place that allow the replacement of F-gases also in the sectors</w:t>
      </w:r>
      <w:r w:rsidR="00DD7AB7">
        <w:rPr>
          <w:noProof/>
        </w:rPr>
        <w:t xml:space="preserve"> where abatement is difficult</w:t>
      </w:r>
      <w:r w:rsidR="00920700">
        <w:rPr>
          <w:noProof/>
        </w:rPr>
        <w:t xml:space="preserve">, which would </w:t>
      </w:r>
      <w:r w:rsidR="00A01521">
        <w:rPr>
          <w:noProof/>
        </w:rPr>
        <w:t>result in lower demand. T</w:t>
      </w:r>
      <w:r w:rsidR="00B36DF3">
        <w:rPr>
          <w:noProof/>
        </w:rPr>
        <w:t>his</w:t>
      </w:r>
      <w:r w:rsidR="00DD7AB7">
        <w:rPr>
          <w:noProof/>
        </w:rPr>
        <w:t>,</w:t>
      </w:r>
      <w:r w:rsidR="00B36DF3">
        <w:rPr>
          <w:noProof/>
        </w:rPr>
        <w:t xml:space="preserve"> in turn</w:t>
      </w:r>
      <w:r w:rsidR="00DD7AB7">
        <w:rPr>
          <w:noProof/>
        </w:rPr>
        <w:t>,</w:t>
      </w:r>
      <w:r w:rsidR="00B36DF3">
        <w:rPr>
          <w:noProof/>
        </w:rPr>
        <w:t xml:space="preserve"> would </w:t>
      </w:r>
      <w:r w:rsidR="00920700">
        <w:rPr>
          <w:noProof/>
        </w:rPr>
        <w:t>lower the price premium</w:t>
      </w:r>
      <w:r w:rsidR="00386F8E">
        <w:rPr>
          <w:noProof/>
        </w:rPr>
        <w:t xml:space="preserve"> </w:t>
      </w:r>
      <w:r w:rsidR="00B36DF3">
        <w:rPr>
          <w:noProof/>
        </w:rPr>
        <w:t xml:space="preserve">resulting from the decrease in </w:t>
      </w:r>
      <w:r w:rsidR="00386F8E">
        <w:rPr>
          <w:noProof/>
        </w:rPr>
        <w:t xml:space="preserve">HFC </w:t>
      </w:r>
      <w:r w:rsidR="00B36DF3">
        <w:rPr>
          <w:noProof/>
        </w:rPr>
        <w:t>supply</w:t>
      </w:r>
      <w:r w:rsidR="00920700">
        <w:rPr>
          <w:noProof/>
        </w:rPr>
        <w:t xml:space="preserve">. These </w:t>
      </w:r>
      <w:r w:rsidR="00B36DF3">
        <w:rPr>
          <w:noProof/>
        </w:rPr>
        <w:t xml:space="preserve">demand effects </w:t>
      </w:r>
      <w:r w:rsidR="00920700">
        <w:rPr>
          <w:noProof/>
        </w:rPr>
        <w:t xml:space="preserve">are not factored into the </w:t>
      </w:r>
      <w:r w:rsidR="00626A62">
        <w:rPr>
          <w:noProof/>
        </w:rPr>
        <w:t xml:space="preserve">assumed </w:t>
      </w:r>
      <w:r w:rsidR="00920700">
        <w:rPr>
          <w:noProof/>
        </w:rPr>
        <w:t xml:space="preserve">prices in </w:t>
      </w:r>
      <w:r w:rsidR="00920700" w:rsidRPr="00DD7AB7">
        <w:rPr>
          <w:rFonts w:cs="Times New Roman"/>
          <w:noProof/>
          <w:szCs w:val="24"/>
        </w:rPr>
        <w:fldChar w:fldCharType="begin"/>
      </w:r>
      <w:r w:rsidR="00920700" w:rsidRPr="00DD7AB7">
        <w:rPr>
          <w:rFonts w:cs="Times New Roman"/>
          <w:noProof/>
          <w:szCs w:val="24"/>
        </w:rPr>
        <w:instrText xml:space="preserve"> REF _Ref85716553 \h  \* MERGEFORMAT </w:instrText>
      </w:r>
      <w:r w:rsidR="00920700" w:rsidRPr="00DD7AB7">
        <w:rPr>
          <w:rFonts w:cs="Times New Roman"/>
          <w:noProof/>
          <w:szCs w:val="24"/>
        </w:rPr>
      </w:r>
      <w:r w:rsidR="00920700" w:rsidRPr="00DD7AB7">
        <w:rPr>
          <w:rFonts w:cs="Times New Roman"/>
          <w:noProof/>
          <w:szCs w:val="24"/>
        </w:rPr>
        <w:fldChar w:fldCharType="separate"/>
      </w:r>
      <w:r w:rsidR="00C66A21" w:rsidRPr="00DD7AB7">
        <w:rPr>
          <w:rFonts w:eastAsia="Calibri" w:cs="Times New Roman"/>
          <w:noProof/>
          <w:szCs w:val="24"/>
        </w:rPr>
        <w:t>Table 6</w:t>
      </w:r>
      <w:r w:rsidR="00920700" w:rsidRPr="00DD7AB7">
        <w:rPr>
          <w:rFonts w:cs="Times New Roman"/>
          <w:noProof/>
          <w:szCs w:val="24"/>
        </w:rPr>
        <w:fldChar w:fldCharType="end"/>
      </w:r>
      <w:r w:rsidR="00920700" w:rsidRPr="00DD7AB7">
        <w:rPr>
          <w:rFonts w:cs="Times New Roman"/>
          <w:noProof/>
          <w:szCs w:val="24"/>
        </w:rPr>
        <w:t>.</w:t>
      </w:r>
      <w:r w:rsidR="00920700">
        <w:rPr>
          <w:noProof/>
        </w:rPr>
        <w:t xml:space="preserve"> </w:t>
      </w:r>
    </w:p>
    <w:p w14:paraId="7D4BEE93" w14:textId="21E9C903" w:rsidR="0013695D" w:rsidRPr="00B25274" w:rsidRDefault="0013695D" w:rsidP="3982CBDC">
      <w:pPr>
        <w:keepNext/>
        <w:spacing w:before="120" w:after="120"/>
        <w:rPr>
          <w:rFonts w:ascii="Calibri" w:eastAsia="Calibri" w:hAnsi="Calibri" w:cs="Arial"/>
          <w:noProof/>
          <w:color w:val="0070C0"/>
          <w:sz w:val="20"/>
          <w:szCs w:val="20"/>
        </w:rPr>
      </w:pPr>
      <w:bookmarkStart w:id="219" w:name="_Ref85716553"/>
      <w:r w:rsidRPr="3982CBDC">
        <w:rPr>
          <w:rFonts w:ascii="Calibri" w:eastAsia="Calibri" w:hAnsi="Calibri" w:cs="Arial"/>
          <w:b/>
          <w:bCs/>
          <w:noProof/>
          <w:color w:val="0070C0"/>
          <w:sz w:val="20"/>
          <w:szCs w:val="20"/>
        </w:rPr>
        <w:t xml:space="preserve">Table </w:t>
      </w:r>
      <w:r w:rsidRPr="3982CBDC">
        <w:rPr>
          <w:noProof/>
        </w:rPr>
        <w:fldChar w:fldCharType="begin"/>
      </w:r>
      <w:r w:rsidRPr="00B25274">
        <w:rPr>
          <w:rFonts w:ascii="Calibri" w:eastAsia="Calibri" w:hAnsi="Calibri" w:cs="Arial"/>
          <w:b/>
          <w:noProof/>
          <w:color w:val="0070C0"/>
          <w:sz w:val="20"/>
        </w:rPr>
        <w:instrText xml:space="preserve"> SEQ Table \* ARABIC </w:instrText>
      </w:r>
      <w:r w:rsidRPr="3982CBDC">
        <w:rPr>
          <w:rFonts w:ascii="Calibri" w:eastAsia="Calibri" w:hAnsi="Calibri" w:cs="Arial"/>
          <w:b/>
          <w:noProof/>
          <w:color w:val="0070C0"/>
          <w:sz w:val="20"/>
        </w:rPr>
        <w:fldChar w:fldCharType="separate"/>
      </w:r>
      <w:r w:rsidR="00830261">
        <w:rPr>
          <w:rFonts w:ascii="Calibri" w:eastAsia="Calibri" w:hAnsi="Calibri" w:cs="Arial"/>
          <w:b/>
          <w:noProof/>
          <w:color w:val="0070C0"/>
          <w:sz w:val="20"/>
        </w:rPr>
        <w:t>6</w:t>
      </w:r>
      <w:r w:rsidRPr="3982CBDC">
        <w:rPr>
          <w:noProof/>
        </w:rPr>
        <w:fldChar w:fldCharType="end"/>
      </w:r>
      <w:bookmarkEnd w:id="219"/>
      <w:r w:rsidR="00B25274" w:rsidRPr="3982CBDC">
        <w:rPr>
          <w:rFonts w:ascii="Calibri" w:eastAsia="Calibri" w:hAnsi="Calibri" w:cs="Arial"/>
          <w:noProof/>
          <w:color w:val="0070C0"/>
          <w:sz w:val="20"/>
          <w:szCs w:val="20"/>
        </w:rPr>
        <w:t>.</w:t>
      </w:r>
      <w:r w:rsidRPr="3982CBDC">
        <w:rPr>
          <w:rFonts w:ascii="Calibri" w:eastAsia="Calibri" w:hAnsi="Calibri" w:cs="Arial"/>
          <w:noProof/>
          <w:color w:val="0070C0"/>
          <w:sz w:val="20"/>
          <w:szCs w:val="20"/>
        </w:rPr>
        <w:t xml:space="preserve"> </w:t>
      </w:r>
      <w:r w:rsidR="00B36DF3" w:rsidRPr="3982CBDC">
        <w:rPr>
          <w:rFonts w:ascii="Calibri" w:eastAsia="Calibri" w:hAnsi="Calibri" w:cs="Arial"/>
          <w:noProof/>
          <w:color w:val="0070C0"/>
          <w:sz w:val="20"/>
          <w:szCs w:val="20"/>
        </w:rPr>
        <w:t>Worst case a</w:t>
      </w:r>
      <w:r w:rsidRPr="3982CBDC">
        <w:rPr>
          <w:rFonts w:ascii="Calibri" w:eastAsia="Calibri" w:hAnsi="Calibri" w:cs="Arial"/>
          <w:noProof/>
          <w:color w:val="0070C0"/>
          <w:sz w:val="20"/>
          <w:szCs w:val="20"/>
        </w:rPr>
        <w:t xml:space="preserve">ssumptions </w:t>
      </w:r>
      <w:r w:rsidR="0040140C" w:rsidRPr="3982CBDC">
        <w:rPr>
          <w:rFonts w:ascii="Calibri" w:eastAsia="Calibri" w:hAnsi="Calibri" w:cs="Arial"/>
          <w:noProof/>
          <w:color w:val="0070C0"/>
          <w:sz w:val="20"/>
          <w:szCs w:val="20"/>
        </w:rPr>
        <w:t>about</w:t>
      </w:r>
      <w:r w:rsidRPr="3982CBDC">
        <w:rPr>
          <w:rFonts w:ascii="Calibri" w:eastAsia="Calibri" w:hAnsi="Calibri" w:cs="Arial"/>
          <w:noProof/>
          <w:color w:val="0070C0"/>
          <w:sz w:val="20"/>
          <w:szCs w:val="20"/>
        </w:rPr>
        <w:t xml:space="preserve"> </w:t>
      </w:r>
      <w:r w:rsidR="00920700" w:rsidRPr="3982CBDC">
        <w:rPr>
          <w:rFonts w:ascii="Calibri" w:eastAsia="Calibri" w:hAnsi="Calibri" w:cs="Arial"/>
          <w:noProof/>
          <w:color w:val="0070C0"/>
          <w:sz w:val="20"/>
          <w:szCs w:val="20"/>
        </w:rPr>
        <w:t xml:space="preserve">the </w:t>
      </w:r>
      <w:r w:rsidRPr="3982CBDC">
        <w:rPr>
          <w:rFonts w:ascii="Calibri" w:eastAsia="Calibri" w:hAnsi="Calibri" w:cs="Arial"/>
          <w:noProof/>
          <w:color w:val="0070C0"/>
          <w:sz w:val="20"/>
          <w:szCs w:val="20"/>
        </w:rPr>
        <w:t xml:space="preserve">HFC price </w:t>
      </w:r>
      <w:r w:rsidR="00920700" w:rsidRPr="3982CBDC">
        <w:rPr>
          <w:rFonts w:ascii="Calibri" w:eastAsia="Calibri" w:hAnsi="Calibri" w:cs="Arial"/>
          <w:noProof/>
          <w:color w:val="0070C0"/>
          <w:sz w:val="20"/>
          <w:szCs w:val="20"/>
        </w:rPr>
        <w:t>premium</w:t>
      </w:r>
      <w:r w:rsidRPr="3982CBDC">
        <w:rPr>
          <w:rFonts w:ascii="Calibri" w:eastAsia="Calibri" w:hAnsi="Calibri" w:cs="Arial"/>
          <w:noProof/>
          <w:color w:val="0070C0"/>
          <w:sz w:val="20"/>
          <w:szCs w:val="20"/>
        </w:rPr>
        <w:t xml:space="preserve"> vs 2014 pre-phase-down price levels</w:t>
      </w:r>
      <w:r w:rsidR="00920700" w:rsidRPr="3982CBDC">
        <w:rPr>
          <w:rFonts w:ascii="Calibri" w:eastAsia="Calibri" w:hAnsi="Calibri" w:cs="Arial"/>
          <w:noProof/>
          <w:color w:val="0070C0"/>
          <w:sz w:val="20"/>
          <w:szCs w:val="20"/>
        </w:rPr>
        <w:t xml:space="preserve"> </w:t>
      </w:r>
    </w:p>
    <w:tbl>
      <w:tblPr>
        <w:tblW w:w="42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72"/>
        <w:gridCol w:w="1356"/>
        <w:gridCol w:w="725"/>
        <w:gridCol w:w="725"/>
        <w:gridCol w:w="725"/>
        <w:gridCol w:w="725"/>
        <w:gridCol w:w="725"/>
        <w:gridCol w:w="725"/>
      </w:tblGrid>
      <w:tr w:rsidR="000819F9" w:rsidRPr="00920700" w14:paraId="012BEA74" w14:textId="77777777" w:rsidTr="3982CBDC">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50C7356" w14:textId="53153972" w:rsidR="000819F9" w:rsidRPr="00B25274" w:rsidRDefault="3982CBDC" w:rsidP="3982CBDC">
            <w:pPr>
              <w:spacing w:after="0" w:line="240" w:lineRule="auto"/>
              <w:jc w:val="center"/>
              <w:rPr>
                <w:rFonts w:ascii="Arial" w:eastAsia="Times New Roman" w:hAnsi="Arial" w:cs="Arial"/>
                <w:b/>
                <w:bCs/>
                <w:noProof/>
                <w:sz w:val="20"/>
                <w:szCs w:val="20"/>
                <w:lang w:eastAsia="de-DE"/>
              </w:rPr>
            </w:pPr>
            <w:r w:rsidRPr="3982CBDC">
              <w:rPr>
                <w:rFonts w:ascii="Arial" w:eastAsia="Times New Roman" w:hAnsi="Arial" w:cs="Arial"/>
                <w:b/>
                <w:bCs/>
                <w:noProof/>
                <w:sz w:val="20"/>
                <w:szCs w:val="20"/>
                <w:lang w:eastAsia="de-DE"/>
              </w:rPr>
              <w:t xml:space="preserve">Scenario </w:t>
            </w:r>
          </w:p>
        </w:tc>
        <w:tc>
          <w:tcPr>
            <w:tcW w:w="135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9B1A6DA" w14:textId="77777777" w:rsidR="000819F9" w:rsidRPr="00B25274" w:rsidRDefault="3982CBDC" w:rsidP="3982CBDC">
            <w:pPr>
              <w:spacing w:after="0" w:line="240" w:lineRule="auto"/>
              <w:jc w:val="center"/>
              <w:rPr>
                <w:rFonts w:ascii="Arial" w:eastAsia="Times New Roman" w:hAnsi="Arial" w:cs="Arial"/>
                <w:b/>
                <w:bCs/>
                <w:noProof/>
                <w:sz w:val="20"/>
                <w:szCs w:val="20"/>
                <w:lang w:eastAsia="de-DE"/>
              </w:rPr>
            </w:pPr>
            <w:r w:rsidRPr="3982CBDC">
              <w:rPr>
                <w:rFonts w:ascii="Arial" w:eastAsia="Times New Roman" w:hAnsi="Arial" w:cs="Arial"/>
                <w:b/>
                <w:bCs/>
                <w:noProof/>
                <w:sz w:val="20"/>
                <w:szCs w:val="20"/>
                <w:lang w:eastAsia="de-DE"/>
              </w:rPr>
              <w:t>Unit</w:t>
            </w:r>
          </w:p>
        </w:tc>
        <w:tc>
          <w:tcPr>
            <w:tcW w:w="7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F5AAF4C" w14:textId="77777777" w:rsidR="000819F9" w:rsidRPr="00B25274" w:rsidRDefault="3982CBDC" w:rsidP="3982CBDC">
            <w:pPr>
              <w:spacing w:after="0" w:line="240" w:lineRule="auto"/>
              <w:jc w:val="center"/>
              <w:rPr>
                <w:rFonts w:ascii="Arial" w:eastAsia="Times New Roman" w:hAnsi="Arial" w:cs="Arial"/>
                <w:b/>
                <w:bCs/>
                <w:noProof/>
                <w:sz w:val="20"/>
                <w:szCs w:val="20"/>
                <w:lang w:eastAsia="de-DE"/>
              </w:rPr>
            </w:pPr>
            <w:r w:rsidRPr="3982CBDC">
              <w:rPr>
                <w:rFonts w:ascii="Arial" w:eastAsia="Times New Roman" w:hAnsi="Arial" w:cs="Arial"/>
                <w:b/>
                <w:bCs/>
                <w:noProof/>
                <w:sz w:val="20"/>
                <w:szCs w:val="20"/>
                <w:lang w:eastAsia="de-DE"/>
              </w:rPr>
              <w:t>2025</w:t>
            </w:r>
          </w:p>
        </w:tc>
        <w:tc>
          <w:tcPr>
            <w:tcW w:w="7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503AFA0" w14:textId="77777777" w:rsidR="000819F9" w:rsidRPr="00B25274" w:rsidRDefault="3982CBDC" w:rsidP="3982CBDC">
            <w:pPr>
              <w:spacing w:after="0" w:line="240" w:lineRule="auto"/>
              <w:jc w:val="center"/>
              <w:rPr>
                <w:rFonts w:ascii="Arial" w:eastAsia="Times New Roman" w:hAnsi="Arial" w:cs="Arial"/>
                <w:b/>
                <w:bCs/>
                <w:noProof/>
                <w:sz w:val="20"/>
                <w:szCs w:val="20"/>
                <w:lang w:eastAsia="de-DE"/>
              </w:rPr>
            </w:pPr>
            <w:r w:rsidRPr="3982CBDC">
              <w:rPr>
                <w:rFonts w:ascii="Arial" w:eastAsia="Times New Roman" w:hAnsi="Arial" w:cs="Arial"/>
                <w:b/>
                <w:bCs/>
                <w:noProof/>
                <w:sz w:val="20"/>
                <w:szCs w:val="20"/>
                <w:lang w:eastAsia="de-DE"/>
              </w:rPr>
              <w:t>2030</w:t>
            </w:r>
          </w:p>
        </w:tc>
        <w:tc>
          <w:tcPr>
            <w:tcW w:w="7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9759618" w14:textId="77777777" w:rsidR="000819F9" w:rsidRPr="00B25274" w:rsidRDefault="3982CBDC" w:rsidP="3982CBDC">
            <w:pPr>
              <w:spacing w:after="0" w:line="240" w:lineRule="auto"/>
              <w:jc w:val="center"/>
              <w:rPr>
                <w:rFonts w:ascii="Arial" w:eastAsia="Times New Roman" w:hAnsi="Arial" w:cs="Arial"/>
                <w:b/>
                <w:bCs/>
                <w:noProof/>
                <w:sz w:val="20"/>
                <w:szCs w:val="20"/>
                <w:lang w:eastAsia="de-DE"/>
              </w:rPr>
            </w:pPr>
            <w:r w:rsidRPr="3982CBDC">
              <w:rPr>
                <w:rFonts w:ascii="Arial" w:eastAsia="Times New Roman" w:hAnsi="Arial" w:cs="Arial"/>
                <w:b/>
                <w:bCs/>
                <w:noProof/>
                <w:sz w:val="20"/>
                <w:szCs w:val="20"/>
                <w:lang w:eastAsia="de-DE"/>
              </w:rPr>
              <w:t>2035</w:t>
            </w:r>
          </w:p>
        </w:tc>
        <w:tc>
          <w:tcPr>
            <w:tcW w:w="7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F0BF20F" w14:textId="77777777" w:rsidR="000819F9" w:rsidRPr="00B25274" w:rsidRDefault="3982CBDC" w:rsidP="3982CBDC">
            <w:pPr>
              <w:spacing w:after="0" w:line="240" w:lineRule="auto"/>
              <w:jc w:val="center"/>
              <w:rPr>
                <w:rFonts w:ascii="Arial" w:eastAsia="Times New Roman" w:hAnsi="Arial" w:cs="Arial"/>
                <w:b/>
                <w:bCs/>
                <w:noProof/>
                <w:sz w:val="20"/>
                <w:szCs w:val="20"/>
                <w:lang w:eastAsia="de-DE"/>
              </w:rPr>
            </w:pPr>
            <w:r w:rsidRPr="3982CBDC">
              <w:rPr>
                <w:rFonts w:ascii="Arial" w:eastAsia="Times New Roman" w:hAnsi="Arial" w:cs="Arial"/>
                <w:b/>
                <w:bCs/>
                <w:noProof/>
                <w:sz w:val="20"/>
                <w:szCs w:val="20"/>
                <w:lang w:eastAsia="de-DE"/>
              </w:rPr>
              <w:t>2040</w:t>
            </w:r>
          </w:p>
        </w:tc>
        <w:tc>
          <w:tcPr>
            <w:tcW w:w="7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851ED09" w14:textId="77777777" w:rsidR="000819F9" w:rsidRPr="00B25274" w:rsidRDefault="3982CBDC" w:rsidP="3982CBDC">
            <w:pPr>
              <w:spacing w:after="0" w:line="240" w:lineRule="auto"/>
              <w:jc w:val="center"/>
              <w:rPr>
                <w:rFonts w:ascii="Arial" w:eastAsia="Times New Roman" w:hAnsi="Arial" w:cs="Arial"/>
                <w:b/>
                <w:bCs/>
                <w:noProof/>
                <w:sz w:val="20"/>
                <w:szCs w:val="20"/>
                <w:lang w:eastAsia="de-DE"/>
              </w:rPr>
            </w:pPr>
            <w:r w:rsidRPr="3982CBDC">
              <w:rPr>
                <w:rFonts w:ascii="Arial" w:eastAsia="Times New Roman" w:hAnsi="Arial" w:cs="Arial"/>
                <w:b/>
                <w:bCs/>
                <w:noProof/>
                <w:sz w:val="20"/>
                <w:szCs w:val="20"/>
                <w:lang w:eastAsia="de-DE"/>
              </w:rPr>
              <w:t>2045</w:t>
            </w:r>
          </w:p>
        </w:tc>
        <w:tc>
          <w:tcPr>
            <w:tcW w:w="7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9FF45F6" w14:textId="77777777" w:rsidR="000819F9" w:rsidRPr="00B25274" w:rsidRDefault="3982CBDC" w:rsidP="3982CBDC">
            <w:pPr>
              <w:spacing w:after="0" w:line="240" w:lineRule="auto"/>
              <w:jc w:val="center"/>
              <w:rPr>
                <w:rFonts w:ascii="Arial" w:eastAsia="Times New Roman" w:hAnsi="Arial" w:cs="Arial"/>
                <w:b/>
                <w:bCs/>
                <w:noProof/>
                <w:sz w:val="20"/>
                <w:szCs w:val="20"/>
                <w:lang w:eastAsia="de-DE"/>
              </w:rPr>
            </w:pPr>
            <w:r w:rsidRPr="3982CBDC">
              <w:rPr>
                <w:rFonts w:ascii="Arial" w:eastAsia="Times New Roman" w:hAnsi="Arial" w:cs="Arial"/>
                <w:b/>
                <w:bCs/>
                <w:noProof/>
                <w:sz w:val="20"/>
                <w:szCs w:val="20"/>
                <w:lang w:eastAsia="de-DE"/>
              </w:rPr>
              <w:t>2050</w:t>
            </w:r>
          </w:p>
        </w:tc>
      </w:tr>
      <w:tr w:rsidR="000819F9" w:rsidRPr="00920700" w14:paraId="44A1B931" w14:textId="77777777" w:rsidTr="3982CBDC">
        <w:trPr>
          <w:trHeight w:val="20"/>
          <w:jc w:val="center"/>
        </w:trPr>
        <w:tc>
          <w:tcPr>
            <w:tcW w:w="2072" w:type="dxa"/>
            <w:tcBorders>
              <w:top w:val="single" w:sz="4" w:space="0" w:color="auto"/>
              <w:left w:val="single" w:sz="4" w:space="0" w:color="auto"/>
              <w:bottom w:val="single" w:sz="4" w:space="0" w:color="auto"/>
              <w:right w:val="single" w:sz="4" w:space="0" w:color="auto"/>
            </w:tcBorders>
            <w:noWrap/>
            <w:vAlign w:val="center"/>
            <w:hideMark/>
          </w:tcPr>
          <w:p w14:paraId="0CCE0FD4" w14:textId="77777777" w:rsidR="000819F9" w:rsidRPr="00B25274" w:rsidRDefault="3982CBDC" w:rsidP="3982CBDC">
            <w:pPr>
              <w:spacing w:before="60" w:after="60" w:line="240" w:lineRule="auto"/>
              <w:rPr>
                <w:rFonts w:ascii="Calibri" w:eastAsia="Times New Roman" w:hAnsi="Calibri" w:cs="Arial"/>
                <w:noProof/>
                <w:sz w:val="22"/>
                <w:lang w:eastAsia="de-DE"/>
              </w:rPr>
            </w:pPr>
            <w:r w:rsidRPr="3982CBDC">
              <w:rPr>
                <w:rFonts w:ascii="Calibri" w:eastAsia="Times New Roman" w:hAnsi="Calibri" w:cs="Arial"/>
                <w:noProof/>
                <w:sz w:val="22"/>
                <w:lang w:eastAsia="de-DE"/>
              </w:rPr>
              <w:t>Baseline</w:t>
            </w:r>
          </w:p>
        </w:tc>
        <w:tc>
          <w:tcPr>
            <w:tcW w:w="1356" w:type="dxa"/>
            <w:tcBorders>
              <w:top w:val="single" w:sz="4" w:space="0" w:color="auto"/>
              <w:left w:val="single" w:sz="4" w:space="0" w:color="auto"/>
              <w:bottom w:val="single" w:sz="4" w:space="0" w:color="auto"/>
              <w:right w:val="single" w:sz="4" w:space="0" w:color="auto"/>
            </w:tcBorders>
            <w:noWrap/>
            <w:vAlign w:val="center"/>
            <w:hideMark/>
          </w:tcPr>
          <w:p w14:paraId="5841E785" w14:textId="001D3544" w:rsidR="000819F9" w:rsidRPr="00B25274" w:rsidRDefault="3982CBDC" w:rsidP="3982CBDC">
            <w:pPr>
              <w:spacing w:before="60" w:after="60" w:line="240" w:lineRule="auto"/>
              <w:rPr>
                <w:rFonts w:ascii="Calibri" w:eastAsia="Times New Roman" w:hAnsi="Calibri" w:cs="Arial"/>
                <w:noProof/>
                <w:sz w:val="22"/>
                <w:lang w:eastAsia="de-DE"/>
              </w:rPr>
            </w:pPr>
            <w:r w:rsidRPr="3982CBDC">
              <w:rPr>
                <w:rFonts w:ascii="Calibri" w:eastAsia="Times New Roman" w:hAnsi="Calibri" w:cs="Arial"/>
                <w:noProof/>
                <w:sz w:val="22"/>
                <w:lang w:eastAsia="de-DE"/>
              </w:rPr>
              <w:t>€/t CO2e</w:t>
            </w:r>
          </w:p>
        </w:tc>
        <w:tc>
          <w:tcPr>
            <w:tcW w:w="725" w:type="dxa"/>
            <w:tcBorders>
              <w:top w:val="single" w:sz="4" w:space="0" w:color="auto"/>
              <w:left w:val="single" w:sz="4" w:space="0" w:color="auto"/>
              <w:bottom w:val="single" w:sz="4" w:space="0" w:color="auto"/>
              <w:right w:val="single" w:sz="4" w:space="0" w:color="auto"/>
            </w:tcBorders>
            <w:noWrap/>
            <w:vAlign w:val="center"/>
            <w:hideMark/>
          </w:tcPr>
          <w:p w14:paraId="735BC4CC" w14:textId="77777777" w:rsidR="000819F9" w:rsidRPr="00B25274" w:rsidRDefault="3982CBDC" w:rsidP="3982CBDC">
            <w:pPr>
              <w:spacing w:before="60" w:after="60" w:line="240" w:lineRule="auto"/>
              <w:jc w:val="right"/>
              <w:rPr>
                <w:rFonts w:ascii="Calibri" w:eastAsia="Times New Roman" w:hAnsi="Calibri" w:cs="Arial"/>
                <w:noProof/>
                <w:sz w:val="22"/>
                <w:lang w:eastAsia="de-DE"/>
              </w:rPr>
            </w:pPr>
            <w:r w:rsidRPr="3982CBDC">
              <w:rPr>
                <w:rFonts w:ascii="Calibri" w:eastAsia="Times New Roman" w:hAnsi="Calibri" w:cs="Arial"/>
                <w:noProof/>
                <w:sz w:val="22"/>
                <w:lang w:eastAsia="de-DE"/>
              </w:rPr>
              <w:t xml:space="preserve"> 28 </w:t>
            </w:r>
          </w:p>
        </w:tc>
        <w:tc>
          <w:tcPr>
            <w:tcW w:w="725" w:type="dxa"/>
            <w:tcBorders>
              <w:top w:val="single" w:sz="4" w:space="0" w:color="auto"/>
              <w:left w:val="single" w:sz="4" w:space="0" w:color="auto"/>
              <w:bottom w:val="single" w:sz="4" w:space="0" w:color="auto"/>
              <w:right w:val="single" w:sz="4" w:space="0" w:color="auto"/>
            </w:tcBorders>
            <w:noWrap/>
            <w:vAlign w:val="center"/>
            <w:hideMark/>
          </w:tcPr>
          <w:p w14:paraId="2299C8C9" w14:textId="2C421E18" w:rsidR="000819F9" w:rsidRPr="00B25274" w:rsidRDefault="3982CBDC" w:rsidP="3982CBDC">
            <w:pPr>
              <w:spacing w:before="60" w:after="60" w:line="240" w:lineRule="auto"/>
              <w:jc w:val="right"/>
              <w:rPr>
                <w:rFonts w:ascii="Calibri" w:eastAsia="Times New Roman" w:hAnsi="Calibri" w:cs="Arial"/>
                <w:noProof/>
                <w:sz w:val="22"/>
                <w:lang w:eastAsia="de-DE"/>
              </w:rPr>
            </w:pPr>
            <w:r w:rsidRPr="3982CBDC">
              <w:rPr>
                <w:rFonts w:ascii="Calibri" w:eastAsia="Times New Roman" w:hAnsi="Calibri" w:cs="Arial"/>
                <w:noProof/>
                <w:sz w:val="22"/>
                <w:lang w:eastAsia="de-DE"/>
              </w:rPr>
              <w:t xml:space="preserve">37 </w:t>
            </w:r>
          </w:p>
        </w:tc>
        <w:tc>
          <w:tcPr>
            <w:tcW w:w="725" w:type="dxa"/>
            <w:tcBorders>
              <w:top w:val="single" w:sz="4" w:space="0" w:color="auto"/>
              <w:left w:val="single" w:sz="4" w:space="0" w:color="auto"/>
              <w:bottom w:val="single" w:sz="4" w:space="0" w:color="auto"/>
              <w:right w:val="single" w:sz="4" w:space="0" w:color="auto"/>
            </w:tcBorders>
            <w:noWrap/>
            <w:vAlign w:val="center"/>
            <w:hideMark/>
          </w:tcPr>
          <w:p w14:paraId="00B89879" w14:textId="77777777" w:rsidR="000819F9" w:rsidRPr="00B25274" w:rsidRDefault="3982CBDC" w:rsidP="3982CBDC">
            <w:pPr>
              <w:spacing w:before="60" w:after="60" w:line="240" w:lineRule="auto"/>
              <w:jc w:val="right"/>
              <w:rPr>
                <w:rFonts w:ascii="Calibri" w:eastAsia="Times New Roman" w:hAnsi="Calibri" w:cs="Arial"/>
                <w:noProof/>
                <w:sz w:val="22"/>
                <w:lang w:eastAsia="de-DE"/>
              </w:rPr>
            </w:pPr>
            <w:r w:rsidRPr="3982CBDC">
              <w:rPr>
                <w:rFonts w:ascii="Calibri" w:eastAsia="Times New Roman" w:hAnsi="Calibri" w:cs="Arial"/>
                <w:noProof/>
                <w:sz w:val="22"/>
                <w:lang w:eastAsia="de-DE"/>
              </w:rPr>
              <w:t xml:space="preserve"> 38 </w:t>
            </w:r>
          </w:p>
        </w:tc>
        <w:tc>
          <w:tcPr>
            <w:tcW w:w="725" w:type="dxa"/>
            <w:tcBorders>
              <w:top w:val="single" w:sz="4" w:space="0" w:color="auto"/>
              <w:left w:val="single" w:sz="4" w:space="0" w:color="auto"/>
              <w:bottom w:val="single" w:sz="4" w:space="0" w:color="auto"/>
              <w:right w:val="single" w:sz="4" w:space="0" w:color="auto"/>
            </w:tcBorders>
            <w:noWrap/>
            <w:vAlign w:val="center"/>
            <w:hideMark/>
          </w:tcPr>
          <w:p w14:paraId="44BDF814" w14:textId="77777777" w:rsidR="000819F9" w:rsidRPr="00B25274" w:rsidRDefault="3982CBDC" w:rsidP="3982CBDC">
            <w:pPr>
              <w:spacing w:before="60" w:after="60" w:line="240" w:lineRule="auto"/>
              <w:jc w:val="right"/>
              <w:rPr>
                <w:rFonts w:ascii="Calibri" w:eastAsia="Times New Roman" w:hAnsi="Calibri" w:cs="Arial"/>
                <w:noProof/>
                <w:sz w:val="22"/>
                <w:lang w:eastAsia="de-DE"/>
              </w:rPr>
            </w:pPr>
            <w:r w:rsidRPr="3982CBDC">
              <w:rPr>
                <w:rFonts w:ascii="Calibri" w:eastAsia="Times New Roman" w:hAnsi="Calibri" w:cs="Arial"/>
                <w:noProof/>
                <w:sz w:val="22"/>
                <w:lang w:eastAsia="de-DE"/>
              </w:rPr>
              <w:t xml:space="preserve"> 39 </w:t>
            </w:r>
          </w:p>
        </w:tc>
        <w:tc>
          <w:tcPr>
            <w:tcW w:w="725" w:type="dxa"/>
            <w:tcBorders>
              <w:top w:val="single" w:sz="4" w:space="0" w:color="auto"/>
              <w:left w:val="single" w:sz="4" w:space="0" w:color="auto"/>
              <w:bottom w:val="single" w:sz="4" w:space="0" w:color="auto"/>
              <w:right w:val="single" w:sz="4" w:space="0" w:color="auto"/>
            </w:tcBorders>
            <w:noWrap/>
            <w:vAlign w:val="center"/>
            <w:hideMark/>
          </w:tcPr>
          <w:p w14:paraId="46E2F1DB" w14:textId="77777777" w:rsidR="000819F9" w:rsidRPr="00B25274" w:rsidRDefault="3982CBDC" w:rsidP="3982CBDC">
            <w:pPr>
              <w:spacing w:before="60" w:after="60" w:line="240" w:lineRule="auto"/>
              <w:jc w:val="right"/>
              <w:rPr>
                <w:rFonts w:ascii="Calibri" w:eastAsia="Times New Roman" w:hAnsi="Calibri" w:cs="Arial"/>
                <w:noProof/>
                <w:sz w:val="22"/>
                <w:lang w:eastAsia="de-DE"/>
              </w:rPr>
            </w:pPr>
            <w:r w:rsidRPr="3982CBDC">
              <w:rPr>
                <w:rFonts w:ascii="Calibri" w:eastAsia="Times New Roman" w:hAnsi="Calibri" w:cs="Arial"/>
                <w:noProof/>
                <w:sz w:val="22"/>
                <w:lang w:eastAsia="de-DE"/>
              </w:rPr>
              <w:t xml:space="preserve"> 40 </w:t>
            </w:r>
          </w:p>
        </w:tc>
        <w:tc>
          <w:tcPr>
            <w:tcW w:w="725" w:type="dxa"/>
            <w:tcBorders>
              <w:top w:val="single" w:sz="4" w:space="0" w:color="auto"/>
              <w:left w:val="single" w:sz="4" w:space="0" w:color="auto"/>
              <w:bottom w:val="single" w:sz="4" w:space="0" w:color="auto"/>
              <w:right w:val="single" w:sz="4" w:space="0" w:color="auto"/>
            </w:tcBorders>
            <w:noWrap/>
            <w:vAlign w:val="center"/>
            <w:hideMark/>
          </w:tcPr>
          <w:p w14:paraId="0B6534A8" w14:textId="77777777" w:rsidR="000819F9" w:rsidRPr="00B25274" w:rsidRDefault="3982CBDC" w:rsidP="3982CBDC">
            <w:pPr>
              <w:spacing w:before="60" w:after="60" w:line="240" w:lineRule="auto"/>
              <w:jc w:val="right"/>
              <w:rPr>
                <w:rFonts w:ascii="Calibri" w:eastAsia="Times New Roman" w:hAnsi="Calibri" w:cs="Arial"/>
                <w:noProof/>
                <w:sz w:val="22"/>
                <w:lang w:eastAsia="de-DE"/>
              </w:rPr>
            </w:pPr>
            <w:r w:rsidRPr="3982CBDC">
              <w:rPr>
                <w:rFonts w:ascii="Calibri" w:eastAsia="Times New Roman" w:hAnsi="Calibri" w:cs="Arial"/>
                <w:noProof/>
                <w:sz w:val="22"/>
                <w:lang w:eastAsia="de-DE"/>
              </w:rPr>
              <w:t xml:space="preserve"> 40 </w:t>
            </w:r>
          </w:p>
        </w:tc>
      </w:tr>
      <w:tr w:rsidR="000819F9" w:rsidRPr="00920700" w14:paraId="5C38DC5D" w14:textId="77777777" w:rsidTr="3982CBDC">
        <w:trPr>
          <w:trHeight w:val="20"/>
          <w:jc w:val="center"/>
        </w:trPr>
        <w:tc>
          <w:tcPr>
            <w:tcW w:w="2072" w:type="dxa"/>
            <w:tcBorders>
              <w:top w:val="single" w:sz="4" w:space="0" w:color="auto"/>
              <w:left w:val="single" w:sz="4" w:space="0" w:color="auto"/>
              <w:bottom w:val="single" w:sz="4" w:space="0" w:color="auto"/>
              <w:right w:val="single" w:sz="4" w:space="0" w:color="auto"/>
            </w:tcBorders>
            <w:vAlign w:val="center"/>
            <w:hideMark/>
          </w:tcPr>
          <w:p w14:paraId="0B4A746E" w14:textId="66368232" w:rsidR="000819F9" w:rsidRPr="00B25274" w:rsidRDefault="3982CBDC" w:rsidP="3982CBDC">
            <w:pPr>
              <w:spacing w:before="60" w:after="60" w:line="240" w:lineRule="auto"/>
              <w:rPr>
                <w:rFonts w:ascii="Calibri" w:eastAsia="Times New Roman" w:hAnsi="Calibri" w:cs="Arial"/>
                <w:noProof/>
                <w:sz w:val="22"/>
                <w:lang w:eastAsia="de-DE"/>
              </w:rPr>
            </w:pPr>
            <w:r w:rsidRPr="3982CBDC">
              <w:rPr>
                <w:rFonts w:ascii="Calibri" w:eastAsia="Times New Roman" w:hAnsi="Calibri" w:cs="Arial"/>
                <w:noProof/>
                <w:sz w:val="22"/>
                <w:lang w:eastAsia="de-DE"/>
              </w:rPr>
              <w:t>Option 1</w:t>
            </w:r>
          </w:p>
        </w:tc>
        <w:tc>
          <w:tcPr>
            <w:tcW w:w="1356" w:type="dxa"/>
            <w:tcBorders>
              <w:top w:val="single" w:sz="4" w:space="0" w:color="auto"/>
              <w:left w:val="single" w:sz="4" w:space="0" w:color="auto"/>
              <w:bottom w:val="single" w:sz="4" w:space="0" w:color="auto"/>
              <w:right w:val="single" w:sz="4" w:space="0" w:color="auto"/>
            </w:tcBorders>
            <w:noWrap/>
            <w:vAlign w:val="center"/>
            <w:hideMark/>
          </w:tcPr>
          <w:p w14:paraId="42615B74" w14:textId="78B0D2FF" w:rsidR="000819F9" w:rsidRPr="00B25274" w:rsidRDefault="3982CBDC" w:rsidP="3982CBDC">
            <w:pPr>
              <w:spacing w:before="60" w:after="60" w:line="240" w:lineRule="auto"/>
              <w:rPr>
                <w:rFonts w:ascii="Calibri" w:eastAsia="Times New Roman" w:hAnsi="Calibri" w:cs="Arial"/>
                <w:noProof/>
                <w:sz w:val="22"/>
                <w:lang w:eastAsia="de-DE"/>
              </w:rPr>
            </w:pPr>
            <w:r w:rsidRPr="3982CBDC">
              <w:rPr>
                <w:rFonts w:ascii="Calibri" w:eastAsia="Times New Roman" w:hAnsi="Calibri" w:cs="Arial"/>
                <w:noProof/>
                <w:sz w:val="22"/>
                <w:lang w:eastAsia="de-DE"/>
              </w:rPr>
              <w:t>€/t CO2e</w:t>
            </w:r>
          </w:p>
        </w:tc>
        <w:tc>
          <w:tcPr>
            <w:tcW w:w="725" w:type="dxa"/>
            <w:tcBorders>
              <w:top w:val="single" w:sz="4" w:space="0" w:color="auto"/>
              <w:left w:val="single" w:sz="4" w:space="0" w:color="auto"/>
              <w:bottom w:val="single" w:sz="4" w:space="0" w:color="auto"/>
              <w:right w:val="single" w:sz="4" w:space="0" w:color="auto"/>
            </w:tcBorders>
            <w:noWrap/>
            <w:vAlign w:val="center"/>
            <w:hideMark/>
          </w:tcPr>
          <w:p w14:paraId="2BFE5386" w14:textId="77777777" w:rsidR="000819F9" w:rsidRPr="00B25274" w:rsidRDefault="3982CBDC" w:rsidP="3982CBDC">
            <w:pPr>
              <w:spacing w:before="60" w:after="60" w:line="240" w:lineRule="auto"/>
              <w:jc w:val="right"/>
              <w:rPr>
                <w:rFonts w:ascii="Calibri" w:eastAsia="Times New Roman" w:hAnsi="Calibri" w:cs="Arial"/>
                <w:noProof/>
                <w:sz w:val="22"/>
                <w:lang w:eastAsia="de-DE"/>
              </w:rPr>
            </w:pPr>
            <w:r w:rsidRPr="3982CBDC">
              <w:rPr>
                <w:rFonts w:ascii="Calibri" w:eastAsia="Times New Roman" w:hAnsi="Calibri" w:cs="Arial"/>
                <w:noProof/>
                <w:sz w:val="22"/>
                <w:lang w:eastAsia="de-DE"/>
              </w:rPr>
              <w:t xml:space="preserve"> 27 </w:t>
            </w:r>
          </w:p>
        </w:tc>
        <w:tc>
          <w:tcPr>
            <w:tcW w:w="725" w:type="dxa"/>
            <w:tcBorders>
              <w:top w:val="single" w:sz="4" w:space="0" w:color="auto"/>
              <w:left w:val="single" w:sz="4" w:space="0" w:color="auto"/>
              <w:bottom w:val="single" w:sz="4" w:space="0" w:color="auto"/>
              <w:right w:val="single" w:sz="4" w:space="0" w:color="auto"/>
            </w:tcBorders>
            <w:noWrap/>
            <w:vAlign w:val="center"/>
            <w:hideMark/>
          </w:tcPr>
          <w:p w14:paraId="56D7021C" w14:textId="77777777" w:rsidR="000819F9" w:rsidRPr="00B25274" w:rsidRDefault="3982CBDC" w:rsidP="3982CBDC">
            <w:pPr>
              <w:spacing w:before="60" w:after="60" w:line="240" w:lineRule="auto"/>
              <w:jc w:val="right"/>
              <w:rPr>
                <w:rFonts w:ascii="Calibri" w:eastAsia="Times New Roman" w:hAnsi="Calibri" w:cs="Arial"/>
                <w:noProof/>
                <w:sz w:val="22"/>
                <w:lang w:eastAsia="de-DE"/>
              </w:rPr>
            </w:pPr>
            <w:r w:rsidRPr="3982CBDC">
              <w:rPr>
                <w:rFonts w:ascii="Calibri" w:eastAsia="Times New Roman" w:hAnsi="Calibri" w:cs="Arial"/>
                <w:noProof/>
                <w:sz w:val="22"/>
                <w:lang w:eastAsia="de-DE"/>
              </w:rPr>
              <w:t xml:space="preserve"> 29 </w:t>
            </w:r>
          </w:p>
        </w:tc>
        <w:tc>
          <w:tcPr>
            <w:tcW w:w="725" w:type="dxa"/>
            <w:tcBorders>
              <w:top w:val="single" w:sz="4" w:space="0" w:color="auto"/>
              <w:left w:val="single" w:sz="4" w:space="0" w:color="auto"/>
              <w:bottom w:val="single" w:sz="4" w:space="0" w:color="auto"/>
              <w:right w:val="single" w:sz="4" w:space="0" w:color="auto"/>
            </w:tcBorders>
            <w:noWrap/>
            <w:vAlign w:val="center"/>
            <w:hideMark/>
          </w:tcPr>
          <w:p w14:paraId="1178E27D" w14:textId="77777777" w:rsidR="000819F9" w:rsidRPr="00B25274" w:rsidRDefault="3982CBDC" w:rsidP="3982CBDC">
            <w:pPr>
              <w:spacing w:before="60" w:after="60" w:line="240" w:lineRule="auto"/>
              <w:jc w:val="right"/>
              <w:rPr>
                <w:rFonts w:ascii="Calibri" w:eastAsia="Times New Roman" w:hAnsi="Calibri" w:cs="Arial"/>
                <w:noProof/>
                <w:sz w:val="22"/>
                <w:lang w:eastAsia="de-DE"/>
              </w:rPr>
            </w:pPr>
            <w:r w:rsidRPr="3982CBDC">
              <w:rPr>
                <w:rFonts w:ascii="Calibri" w:eastAsia="Times New Roman" w:hAnsi="Calibri" w:cs="Arial"/>
                <w:noProof/>
                <w:sz w:val="22"/>
                <w:lang w:eastAsia="de-DE"/>
              </w:rPr>
              <w:t xml:space="preserve"> 33 </w:t>
            </w:r>
          </w:p>
        </w:tc>
        <w:tc>
          <w:tcPr>
            <w:tcW w:w="725" w:type="dxa"/>
            <w:tcBorders>
              <w:top w:val="single" w:sz="4" w:space="0" w:color="auto"/>
              <w:left w:val="single" w:sz="4" w:space="0" w:color="auto"/>
              <w:bottom w:val="single" w:sz="4" w:space="0" w:color="auto"/>
              <w:right w:val="single" w:sz="4" w:space="0" w:color="auto"/>
            </w:tcBorders>
            <w:noWrap/>
            <w:vAlign w:val="center"/>
            <w:hideMark/>
          </w:tcPr>
          <w:p w14:paraId="6595819E" w14:textId="77777777" w:rsidR="000819F9" w:rsidRPr="00920700" w:rsidRDefault="3982CBDC" w:rsidP="3982CBDC">
            <w:pPr>
              <w:spacing w:before="60" w:after="60" w:line="240" w:lineRule="auto"/>
              <w:jc w:val="right"/>
              <w:rPr>
                <w:rFonts w:ascii="Calibri" w:eastAsia="Times New Roman" w:hAnsi="Calibri" w:cs="Arial"/>
                <w:noProof/>
                <w:sz w:val="22"/>
                <w:lang w:val="de-DE" w:eastAsia="de-DE"/>
              </w:rPr>
            </w:pPr>
            <w:r w:rsidRPr="3982CBDC">
              <w:rPr>
                <w:rFonts w:ascii="Calibri" w:eastAsia="Times New Roman" w:hAnsi="Calibri" w:cs="Arial"/>
                <w:noProof/>
                <w:sz w:val="22"/>
                <w:lang w:eastAsia="de-DE"/>
              </w:rPr>
              <w:t xml:space="preserve"> </w:t>
            </w:r>
            <w:r w:rsidRPr="3982CBDC">
              <w:rPr>
                <w:rFonts w:ascii="Calibri" w:eastAsia="Times New Roman" w:hAnsi="Calibri" w:cs="Arial"/>
                <w:noProof/>
                <w:sz w:val="22"/>
                <w:lang w:val="de-DE" w:eastAsia="de-DE"/>
              </w:rPr>
              <w:t xml:space="preserve">41 </w:t>
            </w:r>
          </w:p>
        </w:tc>
        <w:tc>
          <w:tcPr>
            <w:tcW w:w="725" w:type="dxa"/>
            <w:tcBorders>
              <w:top w:val="single" w:sz="4" w:space="0" w:color="auto"/>
              <w:left w:val="single" w:sz="4" w:space="0" w:color="auto"/>
              <w:bottom w:val="single" w:sz="4" w:space="0" w:color="auto"/>
              <w:right w:val="single" w:sz="4" w:space="0" w:color="auto"/>
            </w:tcBorders>
            <w:noWrap/>
            <w:vAlign w:val="center"/>
            <w:hideMark/>
          </w:tcPr>
          <w:p w14:paraId="339A6AAF" w14:textId="77777777" w:rsidR="000819F9" w:rsidRPr="00920700" w:rsidRDefault="3982CBDC" w:rsidP="3982CBDC">
            <w:pPr>
              <w:spacing w:before="60" w:after="60" w:line="240" w:lineRule="auto"/>
              <w:jc w:val="right"/>
              <w:rPr>
                <w:rFonts w:ascii="Calibri" w:eastAsia="Times New Roman" w:hAnsi="Calibri" w:cs="Arial"/>
                <w:noProof/>
                <w:sz w:val="22"/>
                <w:lang w:val="de-DE" w:eastAsia="de-DE"/>
              </w:rPr>
            </w:pPr>
            <w:r w:rsidRPr="3982CBDC">
              <w:rPr>
                <w:rFonts w:ascii="Calibri" w:eastAsia="Times New Roman" w:hAnsi="Calibri" w:cs="Arial"/>
                <w:noProof/>
                <w:sz w:val="22"/>
                <w:lang w:val="de-DE" w:eastAsia="de-DE"/>
              </w:rPr>
              <w:t xml:space="preserve"> 46 </w:t>
            </w:r>
          </w:p>
        </w:tc>
        <w:tc>
          <w:tcPr>
            <w:tcW w:w="725" w:type="dxa"/>
            <w:tcBorders>
              <w:top w:val="single" w:sz="4" w:space="0" w:color="auto"/>
              <w:left w:val="single" w:sz="4" w:space="0" w:color="auto"/>
              <w:bottom w:val="single" w:sz="4" w:space="0" w:color="auto"/>
              <w:right w:val="single" w:sz="4" w:space="0" w:color="auto"/>
            </w:tcBorders>
            <w:noWrap/>
            <w:vAlign w:val="center"/>
            <w:hideMark/>
          </w:tcPr>
          <w:p w14:paraId="45FB7EB6" w14:textId="77777777" w:rsidR="000819F9" w:rsidRPr="00920700" w:rsidRDefault="3982CBDC" w:rsidP="3982CBDC">
            <w:pPr>
              <w:spacing w:before="60" w:after="60" w:line="240" w:lineRule="auto"/>
              <w:jc w:val="right"/>
              <w:rPr>
                <w:rFonts w:ascii="Calibri" w:eastAsia="Times New Roman" w:hAnsi="Calibri" w:cs="Arial"/>
                <w:noProof/>
                <w:sz w:val="22"/>
                <w:lang w:val="de-DE" w:eastAsia="de-DE"/>
              </w:rPr>
            </w:pPr>
            <w:r w:rsidRPr="3982CBDC">
              <w:rPr>
                <w:rFonts w:ascii="Calibri" w:eastAsia="Times New Roman" w:hAnsi="Calibri" w:cs="Arial"/>
                <w:noProof/>
                <w:sz w:val="22"/>
                <w:lang w:val="de-DE" w:eastAsia="de-DE"/>
              </w:rPr>
              <w:t xml:space="preserve"> 50 </w:t>
            </w:r>
          </w:p>
        </w:tc>
      </w:tr>
      <w:tr w:rsidR="000819F9" w:rsidRPr="00920700" w14:paraId="7D71AFD1" w14:textId="77777777" w:rsidTr="3982CBDC">
        <w:trPr>
          <w:trHeight w:val="20"/>
          <w:jc w:val="center"/>
        </w:trPr>
        <w:tc>
          <w:tcPr>
            <w:tcW w:w="2072" w:type="dxa"/>
            <w:tcBorders>
              <w:top w:val="single" w:sz="4" w:space="0" w:color="auto"/>
              <w:left w:val="single" w:sz="4" w:space="0" w:color="auto"/>
              <w:bottom w:val="single" w:sz="4" w:space="0" w:color="auto"/>
              <w:right w:val="single" w:sz="4" w:space="0" w:color="auto"/>
            </w:tcBorders>
            <w:noWrap/>
            <w:vAlign w:val="center"/>
            <w:hideMark/>
          </w:tcPr>
          <w:p w14:paraId="0C6ACA3C" w14:textId="4E93AECF" w:rsidR="000819F9" w:rsidRPr="00920700" w:rsidRDefault="3982CBDC" w:rsidP="3982CBDC">
            <w:pPr>
              <w:spacing w:before="60" w:after="60" w:line="240" w:lineRule="auto"/>
              <w:rPr>
                <w:rFonts w:ascii="Calibri" w:eastAsia="Times New Roman" w:hAnsi="Calibri" w:cs="Arial"/>
                <w:noProof/>
                <w:sz w:val="22"/>
                <w:lang w:val="de-DE" w:eastAsia="de-DE"/>
              </w:rPr>
            </w:pPr>
            <w:r w:rsidRPr="3982CBDC">
              <w:rPr>
                <w:rFonts w:ascii="Calibri" w:eastAsia="Times New Roman" w:hAnsi="Calibri" w:cs="Arial"/>
                <w:noProof/>
                <w:sz w:val="22"/>
                <w:lang w:val="de-DE" w:eastAsia="de-DE"/>
              </w:rPr>
              <w:t>Option 2</w:t>
            </w:r>
          </w:p>
        </w:tc>
        <w:tc>
          <w:tcPr>
            <w:tcW w:w="1356" w:type="dxa"/>
            <w:tcBorders>
              <w:top w:val="single" w:sz="4" w:space="0" w:color="auto"/>
              <w:left w:val="single" w:sz="4" w:space="0" w:color="auto"/>
              <w:bottom w:val="single" w:sz="4" w:space="0" w:color="auto"/>
              <w:right w:val="single" w:sz="4" w:space="0" w:color="auto"/>
            </w:tcBorders>
            <w:noWrap/>
            <w:vAlign w:val="center"/>
            <w:hideMark/>
          </w:tcPr>
          <w:p w14:paraId="77DD093B" w14:textId="7C08E5EF" w:rsidR="000819F9" w:rsidRPr="00920700" w:rsidRDefault="3982CBDC" w:rsidP="3982CBDC">
            <w:pPr>
              <w:spacing w:before="60" w:after="60" w:line="240" w:lineRule="auto"/>
              <w:rPr>
                <w:rFonts w:ascii="Calibri" w:eastAsia="Times New Roman" w:hAnsi="Calibri" w:cs="Arial"/>
                <w:noProof/>
                <w:sz w:val="22"/>
                <w:lang w:val="de-DE" w:eastAsia="de-DE"/>
              </w:rPr>
            </w:pPr>
            <w:r w:rsidRPr="3982CBDC">
              <w:rPr>
                <w:rFonts w:ascii="Calibri" w:eastAsia="Times New Roman" w:hAnsi="Calibri" w:cs="Arial"/>
                <w:noProof/>
                <w:sz w:val="22"/>
                <w:lang w:val="de-DE" w:eastAsia="de-DE"/>
              </w:rPr>
              <w:t>€/t CO2e</w:t>
            </w:r>
          </w:p>
        </w:tc>
        <w:tc>
          <w:tcPr>
            <w:tcW w:w="725" w:type="dxa"/>
            <w:tcBorders>
              <w:top w:val="single" w:sz="4" w:space="0" w:color="auto"/>
              <w:left w:val="single" w:sz="4" w:space="0" w:color="auto"/>
              <w:bottom w:val="single" w:sz="4" w:space="0" w:color="auto"/>
              <w:right w:val="single" w:sz="4" w:space="0" w:color="auto"/>
            </w:tcBorders>
            <w:noWrap/>
            <w:hideMark/>
          </w:tcPr>
          <w:p w14:paraId="75B8076E" w14:textId="77777777" w:rsidR="000819F9" w:rsidRPr="00920700" w:rsidRDefault="3982CBDC" w:rsidP="3982CBDC">
            <w:pPr>
              <w:spacing w:before="60" w:after="60" w:line="240" w:lineRule="auto"/>
              <w:jc w:val="right"/>
              <w:rPr>
                <w:rFonts w:ascii="Calibri" w:eastAsia="Times New Roman" w:hAnsi="Calibri" w:cs="Arial"/>
                <w:noProof/>
                <w:sz w:val="22"/>
                <w:lang w:val="de-DE" w:eastAsia="de-DE"/>
              </w:rPr>
            </w:pPr>
            <w:r w:rsidRPr="3982CBDC">
              <w:rPr>
                <w:rFonts w:ascii="Calibri" w:eastAsia="Times New Roman" w:hAnsi="Calibri" w:cs="Arial"/>
                <w:noProof/>
                <w:sz w:val="22"/>
                <w:lang w:val="de-DE" w:eastAsia="de-DE"/>
              </w:rPr>
              <w:t xml:space="preserve"> 37 </w:t>
            </w:r>
          </w:p>
        </w:tc>
        <w:tc>
          <w:tcPr>
            <w:tcW w:w="725" w:type="dxa"/>
            <w:tcBorders>
              <w:top w:val="single" w:sz="4" w:space="0" w:color="auto"/>
              <w:left w:val="single" w:sz="4" w:space="0" w:color="auto"/>
              <w:bottom w:val="single" w:sz="4" w:space="0" w:color="auto"/>
              <w:right w:val="single" w:sz="4" w:space="0" w:color="auto"/>
            </w:tcBorders>
            <w:noWrap/>
            <w:hideMark/>
          </w:tcPr>
          <w:p w14:paraId="3001EF7D" w14:textId="77777777" w:rsidR="000819F9" w:rsidRPr="00920700" w:rsidRDefault="3982CBDC" w:rsidP="3982CBDC">
            <w:pPr>
              <w:spacing w:before="60" w:after="60" w:line="240" w:lineRule="auto"/>
              <w:jc w:val="right"/>
              <w:rPr>
                <w:rFonts w:ascii="Calibri" w:eastAsia="Times New Roman" w:hAnsi="Calibri" w:cs="Arial"/>
                <w:noProof/>
                <w:sz w:val="22"/>
                <w:lang w:val="de-DE" w:eastAsia="de-DE"/>
              </w:rPr>
            </w:pPr>
            <w:r w:rsidRPr="3982CBDC">
              <w:rPr>
                <w:rFonts w:ascii="Calibri" w:eastAsia="Times New Roman" w:hAnsi="Calibri" w:cs="Arial"/>
                <w:noProof/>
                <w:sz w:val="22"/>
                <w:lang w:val="de-DE" w:eastAsia="de-DE"/>
              </w:rPr>
              <w:t xml:space="preserve"> 68 </w:t>
            </w:r>
          </w:p>
        </w:tc>
        <w:tc>
          <w:tcPr>
            <w:tcW w:w="725" w:type="dxa"/>
            <w:tcBorders>
              <w:top w:val="single" w:sz="4" w:space="0" w:color="auto"/>
              <w:left w:val="single" w:sz="4" w:space="0" w:color="auto"/>
              <w:bottom w:val="single" w:sz="4" w:space="0" w:color="auto"/>
              <w:right w:val="single" w:sz="4" w:space="0" w:color="auto"/>
            </w:tcBorders>
            <w:noWrap/>
            <w:hideMark/>
          </w:tcPr>
          <w:p w14:paraId="554D50DF" w14:textId="77777777" w:rsidR="000819F9" w:rsidRPr="00920700" w:rsidRDefault="3982CBDC" w:rsidP="3982CBDC">
            <w:pPr>
              <w:spacing w:before="60" w:after="60" w:line="240" w:lineRule="auto"/>
              <w:jc w:val="right"/>
              <w:rPr>
                <w:rFonts w:ascii="Calibri" w:eastAsia="Times New Roman" w:hAnsi="Calibri" w:cs="Arial"/>
                <w:noProof/>
                <w:sz w:val="22"/>
                <w:lang w:val="de-DE" w:eastAsia="de-DE"/>
              </w:rPr>
            </w:pPr>
            <w:r w:rsidRPr="3982CBDC">
              <w:rPr>
                <w:rFonts w:ascii="Calibri" w:eastAsia="Times New Roman" w:hAnsi="Calibri" w:cs="Arial"/>
                <w:noProof/>
                <w:sz w:val="22"/>
                <w:lang w:val="de-DE" w:eastAsia="de-DE"/>
              </w:rPr>
              <w:t xml:space="preserve"> 95 </w:t>
            </w:r>
          </w:p>
        </w:tc>
        <w:tc>
          <w:tcPr>
            <w:tcW w:w="725" w:type="dxa"/>
            <w:tcBorders>
              <w:top w:val="single" w:sz="4" w:space="0" w:color="auto"/>
              <w:left w:val="single" w:sz="4" w:space="0" w:color="auto"/>
              <w:bottom w:val="single" w:sz="4" w:space="0" w:color="auto"/>
              <w:right w:val="single" w:sz="4" w:space="0" w:color="auto"/>
            </w:tcBorders>
            <w:noWrap/>
            <w:hideMark/>
          </w:tcPr>
          <w:p w14:paraId="12245946" w14:textId="77777777" w:rsidR="000819F9" w:rsidRPr="00920700" w:rsidRDefault="3982CBDC" w:rsidP="3982CBDC">
            <w:pPr>
              <w:spacing w:before="60" w:after="60" w:line="240" w:lineRule="auto"/>
              <w:jc w:val="right"/>
              <w:rPr>
                <w:rFonts w:ascii="Calibri" w:eastAsia="Times New Roman" w:hAnsi="Calibri" w:cs="Arial"/>
                <w:noProof/>
                <w:sz w:val="22"/>
                <w:lang w:val="de-DE" w:eastAsia="de-DE"/>
              </w:rPr>
            </w:pPr>
            <w:r w:rsidRPr="3982CBDC">
              <w:rPr>
                <w:rFonts w:ascii="Calibri" w:eastAsia="Times New Roman" w:hAnsi="Calibri" w:cs="Arial"/>
                <w:noProof/>
                <w:sz w:val="22"/>
                <w:lang w:val="de-DE" w:eastAsia="de-DE"/>
              </w:rPr>
              <w:t xml:space="preserve"> 119 </w:t>
            </w:r>
          </w:p>
        </w:tc>
        <w:tc>
          <w:tcPr>
            <w:tcW w:w="725" w:type="dxa"/>
            <w:tcBorders>
              <w:top w:val="single" w:sz="4" w:space="0" w:color="auto"/>
              <w:left w:val="single" w:sz="4" w:space="0" w:color="auto"/>
              <w:bottom w:val="single" w:sz="4" w:space="0" w:color="auto"/>
              <w:right w:val="single" w:sz="4" w:space="0" w:color="auto"/>
            </w:tcBorders>
            <w:noWrap/>
            <w:hideMark/>
          </w:tcPr>
          <w:p w14:paraId="1781993D" w14:textId="77777777" w:rsidR="000819F9" w:rsidRPr="00920700" w:rsidRDefault="3982CBDC" w:rsidP="3982CBDC">
            <w:pPr>
              <w:spacing w:before="60" w:after="60" w:line="240" w:lineRule="auto"/>
              <w:jc w:val="right"/>
              <w:rPr>
                <w:rFonts w:ascii="Calibri" w:eastAsia="Times New Roman" w:hAnsi="Calibri" w:cs="Arial"/>
                <w:noProof/>
                <w:sz w:val="22"/>
                <w:lang w:val="de-DE" w:eastAsia="de-DE"/>
              </w:rPr>
            </w:pPr>
            <w:r w:rsidRPr="3982CBDC">
              <w:rPr>
                <w:rFonts w:ascii="Calibri" w:eastAsia="Times New Roman" w:hAnsi="Calibri" w:cs="Arial"/>
                <w:noProof/>
                <w:sz w:val="22"/>
                <w:lang w:val="de-DE" w:eastAsia="de-DE"/>
              </w:rPr>
              <w:t xml:space="preserve"> 138 </w:t>
            </w:r>
          </w:p>
        </w:tc>
        <w:tc>
          <w:tcPr>
            <w:tcW w:w="725" w:type="dxa"/>
            <w:tcBorders>
              <w:top w:val="single" w:sz="4" w:space="0" w:color="auto"/>
              <w:left w:val="single" w:sz="4" w:space="0" w:color="auto"/>
              <w:bottom w:val="single" w:sz="4" w:space="0" w:color="auto"/>
              <w:right w:val="single" w:sz="4" w:space="0" w:color="auto"/>
            </w:tcBorders>
            <w:noWrap/>
            <w:hideMark/>
          </w:tcPr>
          <w:p w14:paraId="61E08596" w14:textId="77777777" w:rsidR="000819F9" w:rsidRPr="00920700" w:rsidRDefault="3982CBDC" w:rsidP="3982CBDC">
            <w:pPr>
              <w:spacing w:before="60" w:after="60" w:line="240" w:lineRule="auto"/>
              <w:jc w:val="right"/>
              <w:rPr>
                <w:rFonts w:ascii="Calibri" w:eastAsia="Times New Roman" w:hAnsi="Calibri" w:cs="Arial"/>
                <w:noProof/>
                <w:sz w:val="22"/>
                <w:lang w:val="de-DE" w:eastAsia="de-DE"/>
              </w:rPr>
            </w:pPr>
            <w:r w:rsidRPr="3982CBDC">
              <w:rPr>
                <w:rFonts w:ascii="Calibri" w:eastAsia="Times New Roman" w:hAnsi="Calibri" w:cs="Arial"/>
                <w:noProof/>
                <w:sz w:val="22"/>
                <w:lang w:val="de-DE" w:eastAsia="de-DE"/>
              </w:rPr>
              <w:t xml:space="preserve"> 161 </w:t>
            </w:r>
          </w:p>
        </w:tc>
      </w:tr>
      <w:tr w:rsidR="000819F9" w:rsidRPr="00920700" w14:paraId="2280B396" w14:textId="77777777" w:rsidTr="3982CBDC">
        <w:trPr>
          <w:trHeight w:val="20"/>
          <w:jc w:val="center"/>
        </w:trPr>
        <w:tc>
          <w:tcPr>
            <w:tcW w:w="2072" w:type="dxa"/>
            <w:tcBorders>
              <w:top w:val="single" w:sz="4" w:space="0" w:color="auto"/>
              <w:left w:val="single" w:sz="4" w:space="0" w:color="auto"/>
              <w:bottom w:val="single" w:sz="4" w:space="0" w:color="auto"/>
              <w:right w:val="single" w:sz="4" w:space="0" w:color="auto"/>
            </w:tcBorders>
            <w:noWrap/>
            <w:vAlign w:val="center"/>
            <w:hideMark/>
          </w:tcPr>
          <w:p w14:paraId="0D72ED73" w14:textId="3AD11B8E" w:rsidR="000819F9" w:rsidRPr="00920700" w:rsidRDefault="3982CBDC" w:rsidP="3982CBDC">
            <w:pPr>
              <w:spacing w:before="60" w:after="60" w:line="240" w:lineRule="auto"/>
              <w:rPr>
                <w:rFonts w:ascii="Calibri" w:eastAsia="Times New Roman" w:hAnsi="Calibri" w:cs="Arial"/>
                <w:noProof/>
                <w:sz w:val="22"/>
                <w:lang w:val="de-DE" w:eastAsia="de-DE"/>
              </w:rPr>
            </w:pPr>
            <w:r w:rsidRPr="3982CBDC">
              <w:rPr>
                <w:rFonts w:ascii="Calibri" w:eastAsia="Times New Roman" w:hAnsi="Calibri" w:cs="Arial"/>
                <w:noProof/>
                <w:sz w:val="22"/>
                <w:lang w:val="de-DE" w:eastAsia="de-DE"/>
              </w:rPr>
              <w:t>Option 3</w:t>
            </w:r>
          </w:p>
        </w:tc>
        <w:tc>
          <w:tcPr>
            <w:tcW w:w="1356" w:type="dxa"/>
            <w:tcBorders>
              <w:top w:val="single" w:sz="4" w:space="0" w:color="auto"/>
              <w:left w:val="single" w:sz="4" w:space="0" w:color="auto"/>
              <w:bottom w:val="single" w:sz="4" w:space="0" w:color="auto"/>
              <w:right w:val="single" w:sz="4" w:space="0" w:color="auto"/>
            </w:tcBorders>
            <w:noWrap/>
            <w:vAlign w:val="center"/>
            <w:hideMark/>
          </w:tcPr>
          <w:p w14:paraId="0D0C0675" w14:textId="0A196389" w:rsidR="000819F9" w:rsidRPr="00920700" w:rsidRDefault="3982CBDC" w:rsidP="3982CBDC">
            <w:pPr>
              <w:spacing w:before="60" w:after="60" w:line="240" w:lineRule="auto"/>
              <w:rPr>
                <w:rFonts w:ascii="Calibri" w:eastAsia="Times New Roman" w:hAnsi="Calibri" w:cs="Arial"/>
                <w:noProof/>
                <w:sz w:val="22"/>
                <w:lang w:val="de-DE" w:eastAsia="de-DE"/>
              </w:rPr>
            </w:pPr>
            <w:r w:rsidRPr="3982CBDC">
              <w:rPr>
                <w:rFonts w:ascii="Calibri" w:eastAsia="Times New Roman" w:hAnsi="Calibri" w:cs="Arial"/>
                <w:noProof/>
                <w:sz w:val="22"/>
                <w:lang w:val="de-DE" w:eastAsia="de-DE"/>
              </w:rPr>
              <w:t>€/t CO2e</w:t>
            </w:r>
          </w:p>
        </w:tc>
        <w:tc>
          <w:tcPr>
            <w:tcW w:w="725" w:type="dxa"/>
            <w:tcBorders>
              <w:top w:val="single" w:sz="4" w:space="0" w:color="auto"/>
              <w:left w:val="single" w:sz="4" w:space="0" w:color="auto"/>
              <w:bottom w:val="single" w:sz="4" w:space="0" w:color="auto"/>
              <w:right w:val="single" w:sz="4" w:space="0" w:color="auto"/>
            </w:tcBorders>
            <w:noWrap/>
            <w:hideMark/>
          </w:tcPr>
          <w:p w14:paraId="21607A64" w14:textId="77777777" w:rsidR="000819F9" w:rsidRPr="00920700" w:rsidRDefault="3982CBDC" w:rsidP="3982CBDC">
            <w:pPr>
              <w:spacing w:before="60" w:after="60" w:line="240" w:lineRule="auto"/>
              <w:jc w:val="right"/>
              <w:rPr>
                <w:rFonts w:ascii="Calibri" w:eastAsia="Times New Roman" w:hAnsi="Calibri" w:cs="Arial"/>
                <w:noProof/>
                <w:sz w:val="22"/>
                <w:lang w:val="de-DE" w:eastAsia="de-DE"/>
              </w:rPr>
            </w:pPr>
            <w:r w:rsidRPr="3982CBDC">
              <w:rPr>
                <w:rFonts w:ascii="Calibri" w:eastAsia="Times New Roman" w:hAnsi="Calibri" w:cs="Arial"/>
                <w:noProof/>
                <w:sz w:val="22"/>
                <w:lang w:val="de-DE" w:eastAsia="de-DE"/>
              </w:rPr>
              <w:t xml:space="preserve"> 38 </w:t>
            </w:r>
          </w:p>
        </w:tc>
        <w:tc>
          <w:tcPr>
            <w:tcW w:w="725" w:type="dxa"/>
            <w:tcBorders>
              <w:top w:val="single" w:sz="4" w:space="0" w:color="auto"/>
              <w:left w:val="single" w:sz="4" w:space="0" w:color="auto"/>
              <w:bottom w:val="single" w:sz="4" w:space="0" w:color="auto"/>
              <w:right w:val="single" w:sz="4" w:space="0" w:color="auto"/>
            </w:tcBorders>
            <w:noWrap/>
            <w:hideMark/>
          </w:tcPr>
          <w:p w14:paraId="0D441789" w14:textId="77777777" w:rsidR="000819F9" w:rsidRPr="00920700" w:rsidRDefault="3982CBDC" w:rsidP="3982CBDC">
            <w:pPr>
              <w:spacing w:before="60" w:after="60" w:line="240" w:lineRule="auto"/>
              <w:jc w:val="right"/>
              <w:rPr>
                <w:rFonts w:ascii="Calibri" w:eastAsia="Times New Roman" w:hAnsi="Calibri" w:cs="Arial"/>
                <w:noProof/>
                <w:sz w:val="22"/>
                <w:lang w:val="de-DE" w:eastAsia="de-DE"/>
              </w:rPr>
            </w:pPr>
            <w:r w:rsidRPr="3982CBDC">
              <w:rPr>
                <w:rFonts w:ascii="Calibri" w:eastAsia="Times New Roman" w:hAnsi="Calibri" w:cs="Arial"/>
                <w:noProof/>
                <w:sz w:val="22"/>
                <w:lang w:val="de-DE" w:eastAsia="de-DE"/>
              </w:rPr>
              <w:t xml:space="preserve"> 74 </w:t>
            </w:r>
          </w:p>
        </w:tc>
        <w:tc>
          <w:tcPr>
            <w:tcW w:w="725" w:type="dxa"/>
            <w:tcBorders>
              <w:top w:val="single" w:sz="4" w:space="0" w:color="auto"/>
              <w:left w:val="single" w:sz="4" w:space="0" w:color="auto"/>
              <w:bottom w:val="single" w:sz="4" w:space="0" w:color="auto"/>
              <w:right w:val="single" w:sz="4" w:space="0" w:color="auto"/>
            </w:tcBorders>
            <w:noWrap/>
            <w:hideMark/>
          </w:tcPr>
          <w:p w14:paraId="0847A802" w14:textId="77777777" w:rsidR="000819F9" w:rsidRPr="00920700" w:rsidRDefault="3982CBDC" w:rsidP="3982CBDC">
            <w:pPr>
              <w:spacing w:before="60" w:after="60" w:line="240" w:lineRule="auto"/>
              <w:jc w:val="right"/>
              <w:rPr>
                <w:rFonts w:ascii="Calibri" w:eastAsia="Times New Roman" w:hAnsi="Calibri" w:cs="Arial"/>
                <w:noProof/>
                <w:sz w:val="22"/>
                <w:lang w:val="de-DE" w:eastAsia="de-DE"/>
              </w:rPr>
            </w:pPr>
            <w:r w:rsidRPr="3982CBDC">
              <w:rPr>
                <w:rFonts w:ascii="Calibri" w:eastAsia="Times New Roman" w:hAnsi="Calibri" w:cs="Arial"/>
                <w:noProof/>
                <w:sz w:val="22"/>
                <w:lang w:val="de-DE" w:eastAsia="de-DE"/>
              </w:rPr>
              <w:t xml:space="preserve"> 112 </w:t>
            </w:r>
          </w:p>
        </w:tc>
        <w:tc>
          <w:tcPr>
            <w:tcW w:w="725" w:type="dxa"/>
            <w:tcBorders>
              <w:top w:val="single" w:sz="4" w:space="0" w:color="auto"/>
              <w:left w:val="single" w:sz="4" w:space="0" w:color="auto"/>
              <w:bottom w:val="single" w:sz="4" w:space="0" w:color="auto"/>
              <w:right w:val="single" w:sz="4" w:space="0" w:color="auto"/>
            </w:tcBorders>
            <w:noWrap/>
            <w:hideMark/>
          </w:tcPr>
          <w:p w14:paraId="400501E9" w14:textId="77777777" w:rsidR="000819F9" w:rsidRPr="00920700" w:rsidRDefault="3982CBDC" w:rsidP="3982CBDC">
            <w:pPr>
              <w:spacing w:before="60" w:after="60" w:line="240" w:lineRule="auto"/>
              <w:jc w:val="right"/>
              <w:rPr>
                <w:rFonts w:ascii="Calibri" w:eastAsia="Times New Roman" w:hAnsi="Calibri" w:cs="Arial"/>
                <w:noProof/>
                <w:sz w:val="22"/>
                <w:lang w:val="de-DE" w:eastAsia="de-DE"/>
              </w:rPr>
            </w:pPr>
            <w:r w:rsidRPr="3982CBDC">
              <w:rPr>
                <w:rFonts w:ascii="Calibri" w:eastAsia="Times New Roman" w:hAnsi="Calibri" w:cs="Arial"/>
                <w:noProof/>
                <w:sz w:val="22"/>
                <w:lang w:val="de-DE" w:eastAsia="de-DE"/>
              </w:rPr>
              <w:t xml:space="preserve"> 141 </w:t>
            </w:r>
          </w:p>
        </w:tc>
        <w:tc>
          <w:tcPr>
            <w:tcW w:w="725" w:type="dxa"/>
            <w:tcBorders>
              <w:top w:val="single" w:sz="4" w:space="0" w:color="auto"/>
              <w:left w:val="single" w:sz="4" w:space="0" w:color="auto"/>
              <w:bottom w:val="single" w:sz="4" w:space="0" w:color="auto"/>
              <w:right w:val="single" w:sz="4" w:space="0" w:color="auto"/>
            </w:tcBorders>
            <w:noWrap/>
            <w:hideMark/>
          </w:tcPr>
          <w:p w14:paraId="1B270F6E" w14:textId="77777777" w:rsidR="000819F9" w:rsidRPr="00920700" w:rsidRDefault="3982CBDC" w:rsidP="3982CBDC">
            <w:pPr>
              <w:spacing w:before="60" w:after="60" w:line="240" w:lineRule="auto"/>
              <w:jc w:val="right"/>
              <w:rPr>
                <w:rFonts w:ascii="Calibri" w:eastAsia="Times New Roman" w:hAnsi="Calibri" w:cs="Arial"/>
                <w:noProof/>
                <w:sz w:val="22"/>
                <w:lang w:val="de-DE" w:eastAsia="de-DE"/>
              </w:rPr>
            </w:pPr>
            <w:r w:rsidRPr="3982CBDC">
              <w:rPr>
                <w:rFonts w:ascii="Calibri" w:eastAsia="Times New Roman" w:hAnsi="Calibri" w:cs="Arial"/>
                <w:noProof/>
                <w:sz w:val="22"/>
                <w:lang w:val="de-DE" w:eastAsia="de-DE"/>
              </w:rPr>
              <w:t xml:space="preserve"> 159 </w:t>
            </w:r>
          </w:p>
        </w:tc>
        <w:tc>
          <w:tcPr>
            <w:tcW w:w="725" w:type="dxa"/>
            <w:tcBorders>
              <w:top w:val="single" w:sz="4" w:space="0" w:color="auto"/>
              <w:left w:val="single" w:sz="4" w:space="0" w:color="auto"/>
              <w:bottom w:val="single" w:sz="4" w:space="0" w:color="auto"/>
              <w:right w:val="single" w:sz="4" w:space="0" w:color="auto"/>
            </w:tcBorders>
            <w:noWrap/>
            <w:hideMark/>
          </w:tcPr>
          <w:p w14:paraId="4487A2E3" w14:textId="77777777" w:rsidR="000819F9" w:rsidRPr="00920700" w:rsidRDefault="3982CBDC" w:rsidP="3982CBDC">
            <w:pPr>
              <w:spacing w:before="60" w:after="60" w:line="240" w:lineRule="auto"/>
              <w:jc w:val="right"/>
              <w:rPr>
                <w:rFonts w:ascii="Calibri" w:eastAsia="Times New Roman" w:hAnsi="Calibri" w:cs="Arial"/>
                <w:noProof/>
                <w:sz w:val="22"/>
                <w:lang w:val="de-DE" w:eastAsia="de-DE"/>
              </w:rPr>
            </w:pPr>
            <w:r w:rsidRPr="3982CBDC">
              <w:rPr>
                <w:rFonts w:ascii="Calibri" w:eastAsia="Times New Roman" w:hAnsi="Calibri" w:cs="Arial"/>
                <w:noProof/>
                <w:sz w:val="22"/>
                <w:lang w:val="de-DE" w:eastAsia="de-DE"/>
              </w:rPr>
              <w:t xml:space="preserve"> 180 </w:t>
            </w:r>
          </w:p>
        </w:tc>
      </w:tr>
    </w:tbl>
    <w:p w14:paraId="3E764228" w14:textId="77777777" w:rsidR="0013695D" w:rsidRPr="0085241A" w:rsidRDefault="3982CBDC" w:rsidP="3982CBDC">
      <w:pPr>
        <w:spacing w:before="60"/>
        <w:rPr>
          <w:rFonts w:asciiTheme="minorHAnsi" w:hAnsiTheme="minorHAnsi"/>
          <w:i/>
          <w:noProof/>
          <w:sz w:val="20"/>
        </w:rPr>
      </w:pPr>
      <w:r w:rsidRPr="0085241A">
        <w:rPr>
          <w:rFonts w:asciiTheme="minorHAnsi" w:hAnsiTheme="minorHAnsi"/>
          <w:b/>
          <w:i/>
          <w:noProof/>
          <w:sz w:val="20"/>
        </w:rPr>
        <w:t>Source:</w:t>
      </w:r>
      <w:r w:rsidRPr="0085241A">
        <w:rPr>
          <w:rFonts w:asciiTheme="minorHAnsi" w:hAnsiTheme="minorHAnsi"/>
          <w:i/>
          <w:noProof/>
          <w:sz w:val="20"/>
        </w:rPr>
        <w:t xml:space="preserve"> AnaFgas cost modelling</w:t>
      </w:r>
    </w:p>
    <w:p w14:paraId="0CB2018D" w14:textId="77777777" w:rsidR="000B72B1" w:rsidRDefault="3982CBDC" w:rsidP="00CC03E3">
      <w:pPr>
        <w:spacing w:after="120"/>
        <w:rPr>
          <w:noProof/>
        </w:rPr>
      </w:pPr>
      <w:r>
        <w:rPr>
          <w:noProof/>
        </w:rPr>
        <w:t xml:space="preserve">In Option 1, </w:t>
      </w:r>
      <w:r w:rsidR="00F66EC9">
        <w:rPr>
          <w:noProof/>
        </w:rPr>
        <w:t>the sectors that are covered by the phase-down will first have lower HFC pr</w:t>
      </w:r>
      <w:r w:rsidR="00AD06BF">
        <w:rPr>
          <w:noProof/>
        </w:rPr>
        <w:t>emium</w:t>
      </w:r>
      <w:r w:rsidR="00F66EC9">
        <w:rPr>
          <w:noProof/>
        </w:rPr>
        <w:t xml:space="preserve"> until 2040 and then slightly higher HFC pr</w:t>
      </w:r>
      <w:r w:rsidR="00AD06BF">
        <w:rPr>
          <w:noProof/>
        </w:rPr>
        <w:t>emium</w:t>
      </w:r>
      <w:r w:rsidR="00F66EC9">
        <w:rPr>
          <w:noProof/>
        </w:rPr>
        <w:t xml:space="preserve">, compared to the baseline. For all options, </w:t>
      </w:r>
      <w:r w:rsidR="00DD7AB7">
        <w:rPr>
          <w:noProof/>
        </w:rPr>
        <w:t xml:space="preserve">the </w:t>
      </w:r>
      <w:r>
        <w:rPr>
          <w:noProof/>
        </w:rPr>
        <w:t xml:space="preserve">users of pharmaceutical MDIs that continue to use HFCs </w:t>
      </w:r>
      <w:r w:rsidR="00490D4D">
        <w:rPr>
          <w:noProof/>
        </w:rPr>
        <w:t xml:space="preserve">will have to pay these </w:t>
      </w:r>
      <w:r w:rsidR="00A60D0B">
        <w:rPr>
          <w:noProof/>
        </w:rPr>
        <w:t xml:space="preserve">HFC price premium </w:t>
      </w:r>
      <w:r w:rsidR="00F66EC9">
        <w:rPr>
          <w:noProof/>
        </w:rPr>
        <w:t>costs over time</w:t>
      </w:r>
      <w:r w:rsidR="00490D4D">
        <w:rPr>
          <w:noProof/>
        </w:rPr>
        <w:t>. This is contrary to the baseline where these users do not pay the premium, as</w:t>
      </w:r>
      <w:r>
        <w:rPr>
          <w:noProof/>
        </w:rPr>
        <w:t xml:space="preserve"> MDIs </w:t>
      </w:r>
      <w:r w:rsidR="00490D4D">
        <w:rPr>
          <w:noProof/>
        </w:rPr>
        <w:t>are exempted from the phase-down</w:t>
      </w:r>
      <w:r>
        <w:rPr>
          <w:noProof/>
        </w:rPr>
        <w:t xml:space="preserve"> </w:t>
      </w:r>
      <w:r w:rsidR="00E22BD9">
        <w:rPr>
          <w:noProof/>
        </w:rPr>
        <w:t xml:space="preserve">in </w:t>
      </w:r>
      <w:r w:rsidR="00490D4D">
        <w:rPr>
          <w:noProof/>
        </w:rPr>
        <w:t>the current Regulation</w:t>
      </w:r>
      <w:r>
        <w:rPr>
          <w:noProof/>
        </w:rPr>
        <w:t>. However, the high</w:t>
      </w:r>
      <w:r w:rsidR="00F66EC9">
        <w:rPr>
          <w:noProof/>
        </w:rPr>
        <w:t>er HFC pr</w:t>
      </w:r>
      <w:r w:rsidR="00AD06BF">
        <w:rPr>
          <w:noProof/>
        </w:rPr>
        <w:t>emium</w:t>
      </w:r>
      <w:r w:rsidR="00F66EC9">
        <w:rPr>
          <w:noProof/>
        </w:rPr>
        <w:t xml:space="preserve"> compared to the total product price </w:t>
      </w:r>
      <w:r>
        <w:rPr>
          <w:noProof/>
        </w:rPr>
        <w:t xml:space="preserve">is </w:t>
      </w:r>
      <w:r w:rsidR="00F66EC9">
        <w:rPr>
          <w:noProof/>
        </w:rPr>
        <w:t xml:space="preserve">very </w:t>
      </w:r>
      <w:r>
        <w:rPr>
          <w:noProof/>
        </w:rPr>
        <w:t>low in this case (less than 0.1%)</w:t>
      </w:r>
      <w:r w:rsidR="00F66EC9">
        <w:rPr>
          <w:noProof/>
        </w:rPr>
        <w:t xml:space="preserve"> and a smooth introduction of alternatives is thus promoted</w:t>
      </w:r>
      <w:r>
        <w:rPr>
          <w:noProof/>
        </w:rPr>
        <w:t>.</w:t>
      </w:r>
      <w:r w:rsidR="00F66EC9">
        <w:rPr>
          <w:noProof/>
        </w:rPr>
        <w:t xml:space="preserve"> The new quota system will start with an allocation of HFC quotas that covers 100% of the </w:t>
      </w:r>
      <w:r w:rsidR="00197A19">
        <w:rPr>
          <w:noProof/>
        </w:rPr>
        <w:t>MDI sector</w:t>
      </w:r>
      <w:r w:rsidR="00F66EC9">
        <w:rPr>
          <w:noProof/>
        </w:rPr>
        <w:t xml:space="preserve"> needs.</w:t>
      </w:r>
      <w:r>
        <w:rPr>
          <w:noProof/>
        </w:rPr>
        <w:t xml:space="preserve"> </w:t>
      </w:r>
    </w:p>
    <w:p w14:paraId="1386AF86" w14:textId="7607476D" w:rsidR="00FB67B0" w:rsidRPr="007B37D8" w:rsidRDefault="3982CBDC" w:rsidP="00CC03E3">
      <w:pPr>
        <w:spacing w:after="120"/>
        <w:rPr>
          <w:noProof/>
        </w:rPr>
      </w:pPr>
      <w:r w:rsidRPr="00492D4F">
        <w:rPr>
          <w:b/>
          <w:noProof/>
        </w:rPr>
        <w:t>In Option 2 and 3, higher HFC prices are assumed to impact on all users that are still buying new HFC equipment (including MDIs) or need to refill existing equipment</w:t>
      </w:r>
      <w:r w:rsidR="00BD125C">
        <w:rPr>
          <w:noProof/>
        </w:rPr>
        <w:t>.</w:t>
      </w:r>
      <w:r>
        <w:rPr>
          <w:noProof/>
        </w:rPr>
        <w:t xml:space="preserve"> </w:t>
      </w:r>
      <w:r w:rsidR="00294341">
        <w:rPr>
          <w:noProof/>
        </w:rPr>
        <w:t>For all operators collectively the higher HFC premium compared to the total product price is very low, at 0.1%</w:t>
      </w:r>
      <w:r w:rsidR="0034772D">
        <w:rPr>
          <w:noProof/>
        </w:rPr>
        <w:t>.</w:t>
      </w:r>
      <w:r w:rsidR="00EC6B30">
        <w:rPr>
          <w:noProof/>
        </w:rPr>
        <w:t xml:space="preserve"> </w:t>
      </w:r>
      <w:r>
        <w:rPr>
          <w:noProof/>
        </w:rPr>
        <w:t xml:space="preserve">However, </w:t>
      </w:r>
      <w:r w:rsidR="00D243B7">
        <w:rPr>
          <w:noProof/>
        </w:rPr>
        <w:t xml:space="preserve">some sectors will see bigger reductions in HFC content in </w:t>
      </w:r>
      <w:r>
        <w:rPr>
          <w:noProof/>
        </w:rPr>
        <w:t xml:space="preserve">equipment </w:t>
      </w:r>
      <w:r w:rsidR="00D243B7">
        <w:rPr>
          <w:noProof/>
        </w:rPr>
        <w:t>than the increase in HFC premium price, resulting in a net decrease in costs for HFC prices paid.</w:t>
      </w:r>
      <w:r>
        <w:rPr>
          <w:noProof/>
        </w:rPr>
        <w:t xml:space="preserve"> </w:t>
      </w:r>
      <w:r w:rsidR="00D918CC">
        <w:rPr>
          <w:noProof/>
        </w:rPr>
        <w:t>In a</w:t>
      </w:r>
      <w:r w:rsidR="00EC6B30">
        <w:rPr>
          <w:noProof/>
        </w:rPr>
        <w:t>bsolute terms, the stationary A</w:t>
      </w:r>
      <w:r w:rsidR="00D918CC">
        <w:rPr>
          <w:noProof/>
        </w:rPr>
        <w:t xml:space="preserve">C sector for instance sees the biggest net cost decrease in HFC price paid, because the cost associated with increasing HFC price premiums are more than compensated by the reductions in remaining HFC demand. For more </w:t>
      </w:r>
      <w:r w:rsidR="005E2488">
        <w:rPr>
          <w:noProof/>
        </w:rPr>
        <w:t xml:space="preserve">sectoral </w:t>
      </w:r>
      <w:r w:rsidR="00D918CC">
        <w:rPr>
          <w:noProof/>
        </w:rPr>
        <w:t>detail see</w:t>
      </w:r>
      <w:r w:rsidR="005E2488">
        <w:rPr>
          <w:noProof/>
        </w:rPr>
        <w:t xml:space="preserve"> A12.3</w:t>
      </w:r>
      <w:r w:rsidR="00D918CC">
        <w:rPr>
          <w:noProof/>
        </w:rPr>
        <w:t>.</w:t>
      </w:r>
    </w:p>
    <w:p w14:paraId="31085A1C" w14:textId="176F3915" w:rsidR="0033721A" w:rsidRPr="007B37D8" w:rsidRDefault="00E04F0C" w:rsidP="00E04F0C">
      <w:pPr>
        <w:pStyle w:val="Heading4"/>
        <w:rPr>
          <w:rFonts w:eastAsia="MS Gothic"/>
          <w:noProof/>
        </w:rPr>
      </w:pPr>
      <w:r w:rsidRPr="00E04F0C">
        <w:t>6.2.1.4.</w:t>
      </w:r>
      <w:r w:rsidRPr="00E04F0C">
        <w:tab/>
      </w:r>
      <w:r w:rsidR="3982CBDC">
        <w:rPr>
          <w:noProof/>
        </w:rPr>
        <w:t xml:space="preserve">Total adjustment </w:t>
      </w:r>
      <w:r w:rsidR="3982CBDC" w:rsidRPr="3982CBDC">
        <w:rPr>
          <w:rFonts w:eastAsia="MS Gothic"/>
          <w:noProof/>
        </w:rPr>
        <w:t>costs</w:t>
      </w:r>
      <w:r w:rsidR="00EB59E8">
        <w:rPr>
          <w:rFonts w:eastAsia="MS Gothic"/>
          <w:noProof/>
        </w:rPr>
        <w:t xml:space="preserve"> to users of equipment and products</w:t>
      </w:r>
      <w:r w:rsidR="3982CBDC" w:rsidRPr="3982CBDC">
        <w:rPr>
          <w:rFonts w:eastAsia="MS Gothic"/>
          <w:noProof/>
        </w:rPr>
        <w:t xml:space="preserve"> </w:t>
      </w:r>
    </w:p>
    <w:p w14:paraId="6DC427C4" w14:textId="5C71A541" w:rsidR="0013695D" w:rsidRDefault="00114CDB" w:rsidP="00B55661">
      <w:pPr>
        <w:spacing w:after="120"/>
        <w:rPr>
          <w:noProof/>
        </w:rPr>
      </w:pPr>
      <w:r w:rsidRPr="007B37D8">
        <w:rPr>
          <w:noProof/>
        </w:rPr>
        <w:t xml:space="preserve">In the </w:t>
      </w:r>
      <w:r w:rsidRPr="007B37D8">
        <w:rPr>
          <w:b/>
          <w:bCs/>
          <w:noProof/>
        </w:rPr>
        <w:t>2024-2036 time horizon</w:t>
      </w:r>
      <w:r w:rsidRPr="007B37D8">
        <w:rPr>
          <w:noProof/>
        </w:rPr>
        <w:t xml:space="preserve">, total adjustment costs for </w:t>
      </w:r>
      <w:r w:rsidRPr="00A41B24">
        <w:rPr>
          <w:b/>
          <w:bCs/>
          <w:noProof/>
        </w:rPr>
        <w:t>users</w:t>
      </w:r>
      <w:r w:rsidR="003E1933">
        <w:rPr>
          <w:b/>
          <w:bCs/>
          <w:noProof/>
        </w:rPr>
        <w:t xml:space="preserve"> </w:t>
      </w:r>
      <w:r w:rsidR="003E1933" w:rsidRPr="003E1933">
        <w:rPr>
          <w:bCs/>
          <w:noProof/>
        </w:rPr>
        <w:t>(e.g. equipment owners)</w:t>
      </w:r>
      <w:r w:rsidRPr="007B37D8">
        <w:rPr>
          <w:noProof/>
        </w:rPr>
        <w:t xml:space="preserve">, taking into account both </w:t>
      </w:r>
      <w:r w:rsidR="007B37D8">
        <w:rPr>
          <w:noProof/>
        </w:rPr>
        <w:t xml:space="preserve">technological change and </w:t>
      </w:r>
      <w:r w:rsidRPr="007B37D8">
        <w:rPr>
          <w:noProof/>
        </w:rPr>
        <w:t>HFC p</w:t>
      </w:r>
      <w:r w:rsidR="007B37D8">
        <w:rPr>
          <w:noProof/>
        </w:rPr>
        <w:t>rice premium</w:t>
      </w:r>
      <w:r w:rsidR="00E6668F">
        <w:rPr>
          <w:noProof/>
        </w:rPr>
        <w:t>, range from about 210 Mio €/year in Option 1 to 410</w:t>
      </w:r>
      <w:r w:rsidRPr="007B37D8">
        <w:rPr>
          <w:noProof/>
        </w:rPr>
        <w:t xml:space="preserve"> Mio €/year in </w:t>
      </w:r>
      <w:r w:rsidRPr="3982CBDC">
        <w:rPr>
          <w:noProof/>
        </w:rPr>
        <w:t>Option 2</w:t>
      </w:r>
      <w:r w:rsidRPr="3982CBDC">
        <w:rPr>
          <w:i/>
          <w:iCs/>
          <w:noProof/>
        </w:rPr>
        <w:t xml:space="preserve"> </w:t>
      </w:r>
      <w:r w:rsidR="00E6668F">
        <w:rPr>
          <w:noProof/>
        </w:rPr>
        <w:t>and 442</w:t>
      </w:r>
      <w:r w:rsidRPr="007B37D8">
        <w:rPr>
          <w:noProof/>
        </w:rPr>
        <w:t xml:space="preserve"> Mio €/year in </w:t>
      </w:r>
      <w:r w:rsidRPr="3982CBDC">
        <w:rPr>
          <w:noProof/>
        </w:rPr>
        <w:t>Option 3</w:t>
      </w:r>
      <w:r w:rsidR="00C60667">
        <w:rPr>
          <w:noProof/>
        </w:rPr>
        <w:t xml:space="preserve"> (see Annex </w:t>
      </w:r>
      <w:r w:rsidR="00C66A21">
        <w:rPr>
          <w:noProof/>
        </w:rPr>
        <w:t>A12.3</w:t>
      </w:r>
      <w:r w:rsidR="00C60667">
        <w:rPr>
          <w:noProof/>
        </w:rPr>
        <w:t>)</w:t>
      </w:r>
      <w:r w:rsidRPr="007B37D8">
        <w:rPr>
          <w:noProof/>
        </w:rPr>
        <w:t xml:space="preserve">. </w:t>
      </w:r>
      <w:r w:rsidR="00FB67B0" w:rsidRPr="0013695D">
        <w:rPr>
          <w:noProof/>
        </w:rPr>
        <w:t>In the long-term perspective</w:t>
      </w:r>
      <w:r w:rsidR="001332E8">
        <w:rPr>
          <w:noProof/>
        </w:rPr>
        <w:t xml:space="preserve"> (</w:t>
      </w:r>
      <w:r w:rsidR="001332E8" w:rsidRPr="0013695D">
        <w:rPr>
          <w:noProof/>
        </w:rPr>
        <w:t>2050</w:t>
      </w:r>
      <w:r w:rsidR="001332E8">
        <w:rPr>
          <w:noProof/>
        </w:rPr>
        <w:t>)</w:t>
      </w:r>
      <w:r w:rsidR="00FB67B0" w:rsidRPr="0013695D">
        <w:rPr>
          <w:noProof/>
        </w:rPr>
        <w:t xml:space="preserve">, </w:t>
      </w:r>
      <w:r w:rsidR="000819F9" w:rsidRPr="0013695D">
        <w:rPr>
          <w:noProof/>
        </w:rPr>
        <w:t>users</w:t>
      </w:r>
      <w:r w:rsidR="00FB67B0" w:rsidRPr="0013695D">
        <w:rPr>
          <w:noProof/>
        </w:rPr>
        <w:t xml:space="preserve"> </w:t>
      </w:r>
      <w:r w:rsidR="000819F9">
        <w:rPr>
          <w:noProof/>
        </w:rPr>
        <w:t xml:space="preserve">are expected to benefit </w:t>
      </w:r>
      <w:r w:rsidR="001332E8">
        <w:rPr>
          <w:noProof/>
        </w:rPr>
        <w:t>overall</w:t>
      </w:r>
      <w:r w:rsidR="009C1EBE">
        <w:rPr>
          <w:noProof/>
        </w:rPr>
        <w:t>,</w:t>
      </w:r>
      <w:r w:rsidR="001332E8">
        <w:rPr>
          <w:noProof/>
        </w:rPr>
        <w:t xml:space="preserve"> </w:t>
      </w:r>
      <w:r w:rsidR="000819F9">
        <w:rPr>
          <w:noProof/>
        </w:rPr>
        <w:t xml:space="preserve">as </w:t>
      </w:r>
      <w:r w:rsidR="00FB67B0" w:rsidRPr="0013695D">
        <w:rPr>
          <w:noProof/>
        </w:rPr>
        <w:t>cost</w:t>
      </w:r>
      <w:r w:rsidR="0033721A">
        <w:rPr>
          <w:noProof/>
        </w:rPr>
        <w:t>s</w:t>
      </w:r>
      <w:r w:rsidR="00FB67B0" w:rsidRPr="0013695D">
        <w:rPr>
          <w:noProof/>
        </w:rPr>
        <w:t xml:space="preserve"> </w:t>
      </w:r>
      <w:r w:rsidR="00657586">
        <w:rPr>
          <w:noProof/>
        </w:rPr>
        <w:t xml:space="preserve">related to technological adjustments </w:t>
      </w:r>
      <w:r w:rsidR="00FB67B0" w:rsidRPr="0013695D">
        <w:rPr>
          <w:noProof/>
        </w:rPr>
        <w:t>are negative in all policy scenarios</w:t>
      </w:r>
      <w:r w:rsidR="003E1933">
        <w:rPr>
          <w:noProof/>
        </w:rPr>
        <w:t xml:space="preserve"> (</w:t>
      </w:r>
      <w:r w:rsidR="00263743">
        <w:rPr>
          <w:noProof/>
        </w:rPr>
        <w:t xml:space="preserve">see </w:t>
      </w:r>
      <w:r w:rsidR="00C66A21">
        <w:rPr>
          <w:noProof/>
        </w:rPr>
        <w:t>6.2.1.1</w:t>
      </w:r>
      <w:r w:rsidR="003E1933">
        <w:rPr>
          <w:noProof/>
        </w:rPr>
        <w:t>)</w:t>
      </w:r>
      <w:r w:rsidR="00A60D0B">
        <w:rPr>
          <w:noProof/>
        </w:rPr>
        <w:t xml:space="preserve">, with </w:t>
      </w:r>
      <w:r w:rsidR="004442A4">
        <w:rPr>
          <w:noProof/>
        </w:rPr>
        <w:t xml:space="preserve">costs to those users that still </w:t>
      </w:r>
      <w:r w:rsidR="003E1933">
        <w:rPr>
          <w:noProof/>
        </w:rPr>
        <w:t xml:space="preserve">rely on </w:t>
      </w:r>
      <w:r w:rsidR="004442A4">
        <w:rPr>
          <w:noProof/>
        </w:rPr>
        <w:t xml:space="preserve">new HFCs in 2050 </w:t>
      </w:r>
      <w:r w:rsidR="00A60D0B">
        <w:rPr>
          <w:noProof/>
        </w:rPr>
        <w:t xml:space="preserve">ranging </w:t>
      </w:r>
      <w:r w:rsidR="00A47775" w:rsidRPr="003E1933">
        <w:rPr>
          <w:noProof/>
        </w:rPr>
        <w:t>between</w:t>
      </w:r>
      <w:r w:rsidR="00124AD8">
        <w:rPr>
          <w:noProof/>
        </w:rPr>
        <w:t xml:space="preserve"> 115-19</w:t>
      </w:r>
      <w:r w:rsidR="00263743" w:rsidRPr="003E1933">
        <w:rPr>
          <w:noProof/>
        </w:rPr>
        <w:t>0 Mio</w:t>
      </w:r>
      <w:r w:rsidR="00124AD8">
        <w:rPr>
          <w:noProof/>
        </w:rPr>
        <w:t xml:space="preserve"> </w:t>
      </w:r>
      <w:r w:rsidR="00FB67B0" w:rsidRPr="003E1933">
        <w:rPr>
          <w:noProof/>
        </w:rPr>
        <w:t>€/year</w:t>
      </w:r>
      <w:r w:rsidR="00124AD8">
        <w:rPr>
          <w:noProof/>
        </w:rPr>
        <w:t xml:space="preserve"> for the 3 options</w:t>
      </w:r>
      <w:r w:rsidR="003E1933">
        <w:rPr>
          <w:noProof/>
        </w:rPr>
        <w:t xml:space="preserve">. </w:t>
      </w:r>
      <w:r w:rsidRPr="007B37D8">
        <w:rPr>
          <w:noProof/>
        </w:rPr>
        <w:t xml:space="preserve">However, in all </w:t>
      </w:r>
      <w:r w:rsidR="002B35E4">
        <w:rPr>
          <w:noProof/>
        </w:rPr>
        <w:t>options</w:t>
      </w:r>
      <w:r w:rsidRPr="007B37D8">
        <w:rPr>
          <w:noProof/>
        </w:rPr>
        <w:t xml:space="preserve">, the </w:t>
      </w:r>
      <w:r w:rsidR="003E1933">
        <w:rPr>
          <w:noProof/>
        </w:rPr>
        <w:t xml:space="preserve">user </w:t>
      </w:r>
      <w:r w:rsidR="003E1933" w:rsidRPr="007B37D8">
        <w:rPr>
          <w:noProof/>
        </w:rPr>
        <w:t xml:space="preserve">costs are </w:t>
      </w:r>
      <w:r w:rsidR="003E1933">
        <w:rPr>
          <w:noProof/>
        </w:rPr>
        <w:t xml:space="preserve">linked to </w:t>
      </w:r>
      <w:r w:rsidR="007B37D8">
        <w:rPr>
          <w:noProof/>
        </w:rPr>
        <w:t xml:space="preserve">HFC </w:t>
      </w:r>
      <w:r w:rsidR="003E1933">
        <w:rPr>
          <w:noProof/>
        </w:rPr>
        <w:t>price</w:t>
      </w:r>
      <w:r w:rsidR="00AD06BF">
        <w:rPr>
          <w:noProof/>
        </w:rPr>
        <w:t xml:space="preserve"> premium</w:t>
      </w:r>
      <w:r w:rsidR="005E2488">
        <w:rPr>
          <w:noProof/>
        </w:rPr>
        <w:t xml:space="preserve"> assumptions</w:t>
      </w:r>
      <w:r w:rsidRPr="007B37D8">
        <w:rPr>
          <w:rStyle w:val="FootnoteReference"/>
          <w:noProof/>
        </w:rPr>
        <w:footnoteReference w:id="100"/>
      </w:r>
      <w:r w:rsidRPr="007B37D8">
        <w:rPr>
          <w:noProof/>
        </w:rPr>
        <w:t xml:space="preserve"> </w:t>
      </w:r>
      <w:r w:rsidR="005E2488">
        <w:rPr>
          <w:noProof/>
        </w:rPr>
        <w:t xml:space="preserve">which </w:t>
      </w:r>
      <w:r w:rsidR="003E1933" w:rsidRPr="00D96089">
        <w:rPr>
          <w:noProof/>
        </w:rPr>
        <w:t>are</w:t>
      </w:r>
      <w:r w:rsidRPr="00D96089">
        <w:rPr>
          <w:noProof/>
        </w:rPr>
        <w:t xml:space="preserve"> uncertain</w:t>
      </w:r>
      <w:r w:rsidR="001332E8">
        <w:rPr>
          <w:noProof/>
        </w:rPr>
        <w:t xml:space="preserve"> and</w:t>
      </w:r>
      <w:r w:rsidR="003E1933">
        <w:rPr>
          <w:noProof/>
        </w:rPr>
        <w:t xml:space="preserve"> </w:t>
      </w:r>
      <w:r w:rsidR="005E2488">
        <w:rPr>
          <w:noProof/>
        </w:rPr>
        <w:t xml:space="preserve">deemed </w:t>
      </w:r>
      <w:r w:rsidR="001332E8">
        <w:rPr>
          <w:noProof/>
        </w:rPr>
        <w:t>worst-case scenarios</w:t>
      </w:r>
      <w:r w:rsidRPr="00D96089">
        <w:rPr>
          <w:noProof/>
        </w:rPr>
        <w:t>.</w:t>
      </w:r>
      <w:r>
        <w:rPr>
          <w:noProof/>
        </w:rPr>
        <w:t xml:space="preserve"> Moreover, </w:t>
      </w:r>
      <w:r w:rsidR="001332E8">
        <w:rPr>
          <w:noProof/>
        </w:rPr>
        <w:t>t</w:t>
      </w:r>
      <w:r w:rsidR="007307BC">
        <w:rPr>
          <w:noProof/>
        </w:rPr>
        <w:t xml:space="preserve">he </w:t>
      </w:r>
      <w:r w:rsidR="00E6668F">
        <w:rPr>
          <w:noProof/>
        </w:rPr>
        <w:t xml:space="preserve">quota holders and other </w:t>
      </w:r>
      <w:r w:rsidR="007307BC">
        <w:rPr>
          <w:noProof/>
        </w:rPr>
        <w:t>companies in the HFC supply chain</w:t>
      </w:r>
      <w:r w:rsidR="00A37389">
        <w:rPr>
          <w:noProof/>
        </w:rPr>
        <w:t xml:space="preserve"> </w:t>
      </w:r>
      <w:r w:rsidR="00E6668F">
        <w:rPr>
          <w:noProof/>
        </w:rPr>
        <w:t>benefit from a higher price premium as they are able to</w:t>
      </w:r>
      <w:r w:rsidR="004442A4">
        <w:rPr>
          <w:noProof/>
        </w:rPr>
        <w:t xml:space="preserve"> </w:t>
      </w:r>
      <w:r w:rsidR="003E1933">
        <w:rPr>
          <w:noProof/>
        </w:rPr>
        <w:t xml:space="preserve">sell the HFCs at a higher price </w:t>
      </w:r>
      <w:r w:rsidR="00E6668F">
        <w:rPr>
          <w:noProof/>
        </w:rPr>
        <w:t>(see next</w:t>
      </w:r>
      <w:r w:rsidR="00124AD8">
        <w:rPr>
          <w:noProof/>
        </w:rPr>
        <w:t xml:space="preserve"> section below</w:t>
      </w:r>
      <w:r w:rsidR="00B55661">
        <w:rPr>
          <w:noProof/>
        </w:rPr>
        <w:t>)</w:t>
      </w:r>
      <w:r w:rsidR="007307BC">
        <w:rPr>
          <w:noProof/>
        </w:rPr>
        <w:t>.</w:t>
      </w:r>
    </w:p>
    <w:p w14:paraId="19368D55" w14:textId="557F8070" w:rsidR="00302400" w:rsidRDefault="00E04F0C" w:rsidP="00E04F0C">
      <w:pPr>
        <w:pStyle w:val="Heading4"/>
        <w:rPr>
          <w:noProof/>
        </w:rPr>
      </w:pPr>
      <w:bookmarkStart w:id="220" w:name="_Ref87272055"/>
      <w:r w:rsidRPr="00E04F0C">
        <w:t>6.2.1.5.</w:t>
      </w:r>
      <w:r w:rsidRPr="00E04F0C">
        <w:tab/>
      </w:r>
      <w:r w:rsidR="3982CBDC">
        <w:rPr>
          <w:noProof/>
        </w:rPr>
        <w:t>Distributional effects between equipment operators and undertakings of the HFC supply chain</w:t>
      </w:r>
      <w:bookmarkStart w:id="221" w:name="_Ref85721191"/>
      <w:bookmarkEnd w:id="220"/>
      <w:bookmarkEnd w:id="221"/>
      <w:r w:rsidR="00060C08">
        <w:rPr>
          <w:noProof/>
        </w:rPr>
        <w:t xml:space="preserve"> and impact of the quota allocation price</w:t>
      </w:r>
    </w:p>
    <w:p w14:paraId="48902ACB" w14:textId="64B17156" w:rsidR="00B55661" w:rsidRPr="00D33F4B" w:rsidRDefault="3982CBDC" w:rsidP="00D33F4B">
      <w:pPr>
        <w:spacing w:after="120"/>
        <w:rPr>
          <w:noProof/>
        </w:rPr>
      </w:pPr>
      <w:r w:rsidRPr="00492D4F">
        <w:rPr>
          <w:b/>
          <w:noProof/>
        </w:rPr>
        <w:t xml:space="preserve">The cost to F-gas using industries (e.g. equipment operators) due to </w:t>
      </w:r>
      <w:r w:rsidR="009C1EBE" w:rsidRPr="00492D4F">
        <w:rPr>
          <w:b/>
          <w:noProof/>
        </w:rPr>
        <w:t xml:space="preserve">the </w:t>
      </w:r>
      <w:r w:rsidRPr="00492D4F">
        <w:rPr>
          <w:b/>
          <w:noProof/>
        </w:rPr>
        <w:t xml:space="preserve">price </w:t>
      </w:r>
      <w:r w:rsidR="00AD06BF" w:rsidRPr="00492D4F">
        <w:rPr>
          <w:b/>
          <w:noProof/>
        </w:rPr>
        <w:t>premium</w:t>
      </w:r>
      <w:r w:rsidRPr="00492D4F">
        <w:rPr>
          <w:b/>
          <w:noProof/>
        </w:rPr>
        <w:t xml:space="preserve"> are revenues </w:t>
      </w:r>
      <w:r w:rsidR="005E2488">
        <w:rPr>
          <w:b/>
          <w:noProof/>
        </w:rPr>
        <w:t xml:space="preserve">for other operators </w:t>
      </w:r>
      <w:r w:rsidRPr="000C77BE">
        <w:rPr>
          <w:b/>
          <w:noProof/>
        </w:rPr>
        <w:t>in the HFC su</w:t>
      </w:r>
      <w:r w:rsidRPr="00784333">
        <w:rPr>
          <w:b/>
          <w:noProof/>
        </w:rPr>
        <w:t>pply</w:t>
      </w:r>
      <w:r w:rsidR="00C60667" w:rsidRPr="00784333">
        <w:rPr>
          <w:b/>
          <w:noProof/>
        </w:rPr>
        <w:t xml:space="preserve"> chain</w:t>
      </w:r>
      <w:r w:rsidR="00C60667">
        <w:rPr>
          <w:noProof/>
        </w:rPr>
        <w:t xml:space="preserve"> </w:t>
      </w:r>
      <w:r w:rsidR="005E2488">
        <w:rPr>
          <w:noProof/>
        </w:rPr>
        <w:t xml:space="preserve">and </w:t>
      </w:r>
      <w:r w:rsidR="00BD125C">
        <w:rPr>
          <w:noProof/>
        </w:rPr>
        <w:t xml:space="preserve">profit </w:t>
      </w:r>
      <w:r w:rsidR="00C60667">
        <w:rPr>
          <w:noProof/>
        </w:rPr>
        <w:t xml:space="preserve">bulk gas importers, </w:t>
      </w:r>
      <w:r>
        <w:rPr>
          <w:noProof/>
        </w:rPr>
        <w:t xml:space="preserve">producers/distributors and service companies. In the baseline scenario, the </w:t>
      </w:r>
      <w:r w:rsidR="00C60667">
        <w:rPr>
          <w:noProof/>
        </w:rPr>
        <w:t>quota system</w:t>
      </w:r>
      <w:r>
        <w:rPr>
          <w:noProof/>
        </w:rPr>
        <w:t xml:space="preserve"> could generate, if taking the high price </w:t>
      </w:r>
      <w:r w:rsidR="009A0CA2">
        <w:rPr>
          <w:noProof/>
        </w:rPr>
        <w:t>premium</w:t>
      </w:r>
      <w:r>
        <w:rPr>
          <w:noProof/>
        </w:rPr>
        <w:t xml:space="preserve"> as assumed </w:t>
      </w:r>
      <w:r w:rsidR="00DC47AF">
        <w:rPr>
          <w:noProof/>
        </w:rPr>
        <w:t xml:space="preserve">in </w:t>
      </w:r>
      <w:r w:rsidR="00411D45">
        <w:rPr>
          <w:noProof/>
        </w:rPr>
        <w:t>6.2.1.3</w:t>
      </w:r>
      <w:r w:rsidR="00E6668F">
        <w:rPr>
          <w:noProof/>
        </w:rPr>
        <w:t>,</w:t>
      </w:r>
      <w:r>
        <w:rPr>
          <w:noProof/>
        </w:rPr>
        <w:t xml:space="preserve"> revenue at about 2.1 billion €/year on average in the period 2024-2036. In the 2050 time horizon, the costs/revenue would decline to 1.4 billion €/year. </w:t>
      </w:r>
      <w:r w:rsidR="009674E3">
        <w:rPr>
          <w:noProof/>
        </w:rPr>
        <w:t xml:space="preserve">The experience of the </w:t>
      </w:r>
      <w:r w:rsidR="00485C1C">
        <w:rPr>
          <w:noProof/>
        </w:rPr>
        <w:t>quota system</w:t>
      </w:r>
      <w:r w:rsidR="009674E3">
        <w:rPr>
          <w:noProof/>
        </w:rPr>
        <w:t xml:space="preserve"> so far shows that the revenue gain is split 60% to 40% between the importers, EU producers and distributers on the one hand and the service companies on the other. </w:t>
      </w:r>
    </w:p>
    <w:p w14:paraId="6933584A" w14:textId="25DCE64B" w:rsidR="00302400" w:rsidRPr="00D47974" w:rsidRDefault="00DD77E7" w:rsidP="00C60667">
      <w:pPr>
        <w:spacing w:after="120"/>
        <w:rPr>
          <w:noProof/>
        </w:rPr>
      </w:pPr>
      <w:r w:rsidRPr="000C77BE">
        <w:rPr>
          <w:b/>
          <w:noProof/>
        </w:rPr>
        <w:t>A q</w:t>
      </w:r>
      <w:r w:rsidR="00302400" w:rsidRPr="00784333">
        <w:rPr>
          <w:b/>
          <w:noProof/>
        </w:rPr>
        <w:t xml:space="preserve">uota allocation </w:t>
      </w:r>
      <w:r w:rsidR="004355FC" w:rsidRPr="00784333">
        <w:rPr>
          <w:b/>
          <w:noProof/>
        </w:rPr>
        <w:t xml:space="preserve">price </w:t>
      </w:r>
      <w:r w:rsidR="00ED05BC" w:rsidRPr="00784333">
        <w:rPr>
          <w:b/>
          <w:noProof/>
        </w:rPr>
        <w:t xml:space="preserve">measure (Option 2 and 3) </w:t>
      </w:r>
      <w:r w:rsidR="004355FC" w:rsidRPr="00BD125C">
        <w:rPr>
          <w:b/>
          <w:noProof/>
        </w:rPr>
        <w:t xml:space="preserve">would </w:t>
      </w:r>
      <w:r w:rsidR="00BD125C" w:rsidRPr="00BD125C">
        <w:rPr>
          <w:b/>
          <w:noProof/>
        </w:rPr>
        <w:t xml:space="preserve">provide for a more evenly </w:t>
      </w:r>
      <w:r w:rsidR="009674E3" w:rsidRPr="009674E3">
        <w:rPr>
          <w:b/>
          <w:noProof/>
        </w:rPr>
        <w:t>distributed</w:t>
      </w:r>
      <w:r w:rsidR="00BD125C" w:rsidRPr="000C77BE">
        <w:rPr>
          <w:b/>
          <w:noProof/>
        </w:rPr>
        <w:t xml:space="preserve"> sharing of the burden between industry players</w:t>
      </w:r>
      <w:r w:rsidR="00BD125C">
        <w:rPr>
          <w:noProof/>
        </w:rPr>
        <w:t xml:space="preserve"> as it </w:t>
      </w:r>
      <w:r w:rsidR="00A15810" w:rsidRPr="00D33F4B">
        <w:rPr>
          <w:noProof/>
        </w:rPr>
        <w:t>reduce</w:t>
      </w:r>
      <w:r w:rsidR="00BD125C">
        <w:rPr>
          <w:noProof/>
        </w:rPr>
        <w:t>s</w:t>
      </w:r>
      <w:r w:rsidR="00A15810" w:rsidRPr="00D33F4B">
        <w:rPr>
          <w:noProof/>
        </w:rPr>
        <w:t xml:space="preserve"> the revenue </w:t>
      </w:r>
      <w:r w:rsidR="00ED05BC" w:rsidRPr="00D33F4B">
        <w:rPr>
          <w:noProof/>
        </w:rPr>
        <w:t xml:space="preserve">for the </w:t>
      </w:r>
      <w:r w:rsidR="00D33F4B" w:rsidRPr="00D33F4B">
        <w:rPr>
          <w:noProof/>
        </w:rPr>
        <w:t>actors</w:t>
      </w:r>
      <w:r w:rsidR="0035073A">
        <w:rPr>
          <w:noProof/>
        </w:rPr>
        <w:t xml:space="preserve"> (</w:t>
      </w:r>
      <w:r w:rsidR="0097474D">
        <w:rPr>
          <w:noProof/>
        </w:rPr>
        <w:t xml:space="preserve">EU </w:t>
      </w:r>
      <w:r w:rsidR="0035073A">
        <w:rPr>
          <w:noProof/>
        </w:rPr>
        <w:t>gas producers, importers, distributors, service companies)</w:t>
      </w:r>
      <w:r w:rsidR="00D33F4B" w:rsidRPr="00D33F4B">
        <w:rPr>
          <w:noProof/>
        </w:rPr>
        <w:t xml:space="preserve"> in </w:t>
      </w:r>
      <w:r w:rsidR="00ED05BC" w:rsidRPr="00D33F4B">
        <w:rPr>
          <w:noProof/>
        </w:rPr>
        <w:t xml:space="preserve">the </w:t>
      </w:r>
      <w:r w:rsidR="004355FC" w:rsidRPr="00D33F4B">
        <w:rPr>
          <w:noProof/>
        </w:rPr>
        <w:t xml:space="preserve">F-gas </w:t>
      </w:r>
      <w:r w:rsidRPr="00D33F4B">
        <w:rPr>
          <w:noProof/>
        </w:rPr>
        <w:t xml:space="preserve">supply chain. </w:t>
      </w:r>
      <w:r w:rsidR="00207A5A">
        <w:rPr>
          <w:noProof/>
        </w:rPr>
        <w:t xml:space="preserve">Due </w:t>
      </w:r>
      <w:r w:rsidR="0035073A">
        <w:rPr>
          <w:noProof/>
        </w:rPr>
        <w:t xml:space="preserve">to </w:t>
      </w:r>
      <w:r w:rsidR="00207A5A">
        <w:rPr>
          <w:noProof/>
        </w:rPr>
        <w:t>the high uncertainties about the HFC price development resulting from the phase-down</w:t>
      </w:r>
      <w:r w:rsidR="0097474D">
        <w:rPr>
          <w:noProof/>
        </w:rPr>
        <w:t>,</w:t>
      </w:r>
      <w:r w:rsidR="00207A5A">
        <w:rPr>
          <w:noProof/>
        </w:rPr>
        <w:t xml:space="preserve"> it is proposed to keep a relatively low quota allocation price to avoid </w:t>
      </w:r>
      <w:r w:rsidR="009C2C00">
        <w:rPr>
          <w:noProof/>
        </w:rPr>
        <w:t xml:space="preserve">any </w:t>
      </w:r>
      <w:r w:rsidR="00207A5A">
        <w:rPr>
          <w:noProof/>
        </w:rPr>
        <w:t xml:space="preserve">risk that </w:t>
      </w:r>
      <w:r w:rsidR="009C2C00">
        <w:rPr>
          <w:noProof/>
        </w:rPr>
        <w:t>an unnecessary higher</w:t>
      </w:r>
      <w:r w:rsidR="00207A5A">
        <w:rPr>
          <w:noProof/>
        </w:rPr>
        <w:t xml:space="preserve"> alloc</w:t>
      </w:r>
      <w:r w:rsidR="0035073A">
        <w:rPr>
          <w:noProof/>
        </w:rPr>
        <w:t xml:space="preserve">ation price is passed on to </w:t>
      </w:r>
      <w:r w:rsidR="00FF082D">
        <w:rPr>
          <w:noProof/>
        </w:rPr>
        <w:t>end-user</w:t>
      </w:r>
      <w:r w:rsidR="00207A5A">
        <w:rPr>
          <w:noProof/>
        </w:rPr>
        <w:t>s.</w:t>
      </w:r>
      <w:r w:rsidR="00207A5A" w:rsidRPr="00D33F4B">
        <w:rPr>
          <w:noProof/>
        </w:rPr>
        <w:t xml:space="preserve"> </w:t>
      </w:r>
      <w:r w:rsidRPr="00D33F4B">
        <w:rPr>
          <w:noProof/>
        </w:rPr>
        <w:t xml:space="preserve">If the </w:t>
      </w:r>
      <w:r w:rsidR="00207A5A">
        <w:rPr>
          <w:noProof/>
        </w:rPr>
        <w:t xml:space="preserve">allocation price </w:t>
      </w:r>
      <w:r w:rsidRPr="00D33F4B">
        <w:rPr>
          <w:noProof/>
        </w:rPr>
        <w:t xml:space="preserve">is </w:t>
      </w:r>
      <w:r w:rsidR="00D33F4B" w:rsidRPr="00D33F4B">
        <w:rPr>
          <w:noProof/>
        </w:rPr>
        <w:t xml:space="preserve">set to </w:t>
      </w:r>
      <w:r w:rsidRPr="00D33F4B">
        <w:rPr>
          <w:noProof/>
        </w:rPr>
        <w:t>3</w:t>
      </w:r>
      <w:r w:rsidR="00ED05BC" w:rsidRPr="00D33F4B">
        <w:rPr>
          <w:noProof/>
        </w:rPr>
        <w:t xml:space="preserve"> </w:t>
      </w:r>
      <w:r w:rsidR="00E67F09" w:rsidRPr="00D33F4B">
        <w:rPr>
          <w:noProof/>
        </w:rPr>
        <w:t>€/tCO2</w:t>
      </w:r>
      <w:r w:rsidR="00D33F4B">
        <w:rPr>
          <w:noProof/>
        </w:rPr>
        <w:t>e</w:t>
      </w:r>
      <w:r w:rsidR="00D33F4B" w:rsidRPr="3982CBDC">
        <w:rPr>
          <w:rStyle w:val="FootnoteReference"/>
          <w:rFonts w:ascii="Arial" w:hAnsi="Arial" w:cs="Arial"/>
          <w:noProof/>
          <w:sz w:val="20"/>
          <w:szCs w:val="20"/>
        </w:rPr>
        <w:footnoteReference w:id="101"/>
      </w:r>
      <w:r w:rsidR="00D33F4B" w:rsidRPr="3982CBDC">
        <w:rPr>
          <w:rFonts w:ascii="Arial" w:hAnsi="Arial" w:cs="Arial"/>
          <w:noProof/>
          <w:sz w:val="20"/>
          <w:szCs w:val="20"/>
        </w:rPr>
        <w:t>,</w:t>
      </w:r>
      <w:r w:rsidR="00D33F4B" w:rsidRPr="00D33F4B">
        <w:rPr>
          <w:noProof/>
        </w:rPr>
        <w:t xml:space="preserve"> </w:t>
      </w:r>
      <w:r w:rsidR="00ED05BC" w:rsidRPr="00D33F4B">
        <w:rPr>
          <w:noProof/>
        </w:rPr>
        <w:t xml:space="preserve">the </w:t>
      </w:r>
      <w:r w:rsidR="006F1D48">
        <w:rPr>
          <w:noProof/>
        </w:rPr>
        <w:t xml:space="preserve">revenue </w:t>
      </w:r>
      <w:r w:rsidR="00ED05BC" w:rsidRPr="00D33F4B">
        <w:rPr>
          <w:noProof/>
        </w:rPr>
        <w:t xml:space="preserve">would be around </w:t>
      </w:r>
      <w:r w:rsidR="00D33F4B" w:rsidRPr="00D33F4B">
        <w:rPr>
          <w:noProof/>
        </w:rPr>
        <w:t>€</w:t>
      </w:r>
      <w:r w:rsidR="00ED05BC" w:rsidRPr="00D33F4B">
        <w:rPr>
          <w:noProof/>
        </w:rPr>
        <w:t xml:space="preserve">125 </w:t>
      </w:r>
      <w:r w:rsidR="00353E68" w:rsidRPr="00D33F4B">
        <w:rPr>
          <w:noProof/>
        </w:rPr>
        <w:t xml:space="preserve">million </w:t>
      </w:r>
      <w:r w:rsidR="00D33F4B" w:rsidRPr="00D33F4B">
        <w:rPr>
          <w:noProof/>
        </w:rPr>
        <w:t>initially (2024)</w:t>
      </w:r>
      <w:r w:rsidR="00207A5A">
        <w:rPr>
          <w:noProof/>
        </w:rPr>
        <w:t xml:space="preserve"> and that revenue would decline over time as the quota allocate</w:t>
      </w:r>
      <w:r w:rsidR="0035073A">
        <w:rPr>
          <w:noProof/>
        </w:rPr>
        <w:t>d is being reduced</w:t>
      </w:r>
      <w:r w:rsidR="00520AB1">
        <w:rPr>
          <w:noProof/>
        </w:rPr>
        <w:t>.</w:t>
      </w:r>
      <w:r w:rsidR="0035073A">
        <w:rPr>
          <w:noProof/>
        </w:rPr>
        <w:t xml:space="preserve"> </w:t>
      </w:r>
      <w:r w:rsidR="006F1D48">
        <w:rPr>
          <w:noProof/>
        </w:rPr>
        <w:t>It would be important to have flexibility to adjust the quota allocation price in case it appears to be too high (pass on) or too low (insufficient limitation to genuine traders).</w:t>
      </w:r>
      <w:r w:rsidR="00520AB1" w:rsidRPr="00520AB1">
        <w:rPr>
          <w:noProof/>
        </w:rPr>
        <w:t xml:space="preserve"> </w:t>
      </w:r>
      <w:r w:rsidR="00520AB1">
        <w:rPr>
          <w:noProof/>
        </w:rPr>
        <w:t xml:space="preserve">See Annex </w:t>
      </w:r>
      <w:r w:rsidR="00C66A21">
        <w:rPr>
          <w:noProof/>
        </w:rPr>
        <w:t>A7.3</w:t>
      </w:r>
      <w:r w:rsidR="00520AB1">
        <w:rPr>
          <w:noProof/>
        </w:rPr>
        <w:t xml:space="preserve"> for more details on this measure.</w:t>
      </w:r>
    </w:p>
    <w:p w14:paraId="71CEF84E" w14:textId="4230642A" w:rsidR="001F22A1" w:rsidRDefault="00E04F0C" w:rsidP="00E04F0C">
      <w:pPr>
        <w:pStyle w:val="Heading3"/>
        <w:rPr>
          <w:noProof/>
        </w:rPr>
      </w:pPr>
      <w:bookmarkStart w:id="222" w:name="_Toc88571922"/>
      <w:bookmarkStart w:id="223" w:name="_Ref94187039"/>
      <w:bookmarkStart w:id="224" w:name="_Toc94629515"/>
      <w:bookmarkStart w:id="225" w:name="_Toc98857759"/>
      <w:r w:rsidRPr="00E04F0C">
        <w:t>6.2.2.</w:t>
      </w:r>
      <w:r w:rsidRPr="00E04F0C">
        <w:tab/>
      </w:r>
      <w:r w:rsidR="3982CBDC">
        <w:rPr>
          <w:noProof/>
        </w:rPr>
        <w:t>Administrative Costs</w:t>
      </w:r>
      <w:bookmarkEnd w:id="222"/>
      <w:bookmarkEnd w:id="223"/>
      <w:bookmarkEnd w:id="224"/>
      <w:bookmarkEnd w:id="225"/>
    </w:p>
    <w:p w14:paraId="7D8AA369" w14:textId="6BDBA3D1" w:rsidR="00B926EB" w:rsidRDefault="00AA4518" w:rsidP="00AA4518">
      <w:pPr>
        <w:rPr>
          <w:noProof/>
        </w:rPr>
      </w:pPr>
      <w:r w:rsidRPr="00FC200F">
        <w:rPr>
          <w:b/>
          <w:noProof/>
        </w:rPr>
        <w:t>Industrial stakeholders</w:t>
      </w:r>
      <w:r w:rsidRPr="00FC200F">
        <w:rPr>
          <w:noProof/>
        </w:rPr>
        <w:t xml:space="preserve"> were asked to provide information on </w:t>
      </w:r>
      <w:r w:rsidR="00B926EB">
        <w:rPr>
          <w:noProof/>
        </w:rPr>
        <w:t>additional a</w:t>
      </w:r>
      <w:r w:rsidRPr="00FC200F">
        <w:rPr>
          <w:noProof/>
        </w:rPr>
        <w:t>dministrative costs</w:t>
      </w:r>
      <w:r w:rsidR="00B926EB">
        <w:rPr>
          <w:noProof/>
        </w:rPr>
        <w:t xml:space="preserve"> of the measures included in the policy options</w:t>
      </w:r>
      <w:r w:rsidR="00B926EB" w:rsidRPr="00B926EB">
        <w:rPr>
          <w:noProof/>
        </w:rPr>
        <w:t xml:space="preserve">. </w:t>
      </w:r>
      <w:r w:rsidR="00B926EB">
        <w:rPr>
          <w:noProof/>
        </w:rPr>
        <w:t>Given that the</w:t>
      </w:r>
      <w:r w:rsidRPr="00FC200F">
        <w:rPr>
          <w:noProof/>
        </w:rPr>
        <w:t xml:space="preserve"> Regulation affects many different types of companies (gas producers, distributors, importers, equipment manufacturers, service companies, end users etc.) and in many different ways (different measures affec</w:t>
      </w:r>
      <w:r w:rsidR="00B926EB">
        <w:rPr>
          <w:noProof/>
        </w:rPr>
        <w:t>t different company types</w:t>
      </w:r>
      <w:r w:rsidR="00B926EB" w:rsidRPr="00B926EB">
        <w:rPr>
          <w:noProof/>
        </w:rPr>
        <w:t>)</w:t>
      </w:r>
      <w:r w:rsidRPr="00FC200F">
        <w:rPr>
          <w:noProof/>
        </w:rPr>
        <w:t>, the data collected needed to be complemented by further analysis</w:t>
      </w:r>
      <w:r w:rsidR="00B926EB">
        <w:rPr>
          <w:noProof/>
        </w:rPr>
        <w:t>, in particular also for data regarding company size</w:t>
      </w:r>
      <w:r w:rsidRPr="00FC200F">
        <w:rPr>
          <w:noProof/>
        </w:rPr>
        <w:t>. This detailed analysis, assumptions made and data considered are given in Annex</w:t>
      </w:r>
      <w:r w:rsidR="00B926EB">
        <w:rPr>
          <w:noProof/>
        </w:rPr>
        <w:t xml:space="preserve"> A14)</w:t>
      </w:r>
      <w:r w:rsidRPr="00FC200F">
        <w:rPr>
          <w:noProof/>
        </w:rPr>
        <w:t xml:space="preserve">. </w:t>
      </w:r>
    </w:p>
    <w:p w14:paraId="1933E579" w14:textId="69B22633" w:rsidR="00106064" w:rsidRPr="00106064" w:rsidRDefault="00AA4518" w:rsidP="00FC200F">
      <w:pPr>
        <w:rPr>
          <w:noProof/>
        </w:rPr>
      </w:pPr>
      <w:r w:rsidRPr="00FC200F">
        <w:rPr>
          <w:noProof/>
        </w:rPr>
        <w:t xml:space="preserve">For the </w:t>
      </w:r>
      <w:r w:rsidRPr="00FC200F">
        <w:rPr>
          <w:b/>
          <w:noProof/>
        </w:rPr>
        <w:t>EU Commission</w:t>
      </w:r>
      <w:r w:rsidRPr="00FC200F">
        <w:rPr>
          <w:noProof/>
        </w:rPr>
        <w:t xml:space="preserve"> the costs were estimated by DG CLIMA. The data for the</w:t>
      </w:r>
      <w:r w:rsidRPr="00FC200F">
        <w:rPr>
          <w:b/>
          <w:noProof/>
        </w:rPr>
        <w:t xml:space="preserve"> EEA</w:t>
      </w:r>
      <w:r w:rsidRPr="00FC200F">
        <w:rPr>
          <w:noProof/>
        </w:rPr>
        <w:t xml:space="preserve"> are based on EEA time recording and invoice information from EEA’s contractors.</w:t>
      </w:r>
      <w:r w:rsidR="00B926EB">
        <w:rPr>
          <w:noProof/>
        </w:rPr>
        <w:t xml:space="preserve"> The</w:t>
      </w:r>
      <w:r w:rsidRPr="00FC200F">
        <w:rPr>
          <w:noProof/>
        </w:rPr>
        <w:t xml:space="preserve"> 27 </w:t>
      </w:r>
      <w:r w:rsidRPr="00FC200F">
        <w:rPr>
          <w:b/>
          <w:bCs/>
          <w:noProof/>
        </w:rPr>
        <w:t>Member States</w:t>
      </w:r>
      <w:r w:rsidRPr="00FC200F">
        <w:rPr>
          <w:noProof/>
        </w:rPr>
        <w:t xml:space="preserve"> </w:t>
      </w:r>
      <w:r w:rsidR="00B926EB">
        <w:rPr>
          <w:noProof/>
        </w:rPr>
        <w:t xml:space="preserve">competent authorities </w:t>
      </w:r>
      <w:r w:rsidRPr="00FC200F">
        <w:rPr>
          <w:noProof/>
        </w:rPr>
        <w:t>were asked to fill out a questionnaire related to the administrative costs associated with the implementation and enforcement of the Regulation. The respondents were not able to provide answers to all the questions and the figures obtained include a combination of time effort and monetary expenditure estimates. The level of certainty ranges from ‘definitive’ to ‘rough estimates.’ Nonetheless, a good base of data was collected from the competent authorities on which an estimate of administrative costs could be made. In total 13 Member States provided information on administrative burden</w:t>
      </w:r>
      <w:r w:rsidRPr="00FC200F">
        <w:rPr>
          <w:noProof/>
          <w:vertAlign w:val="superscript"/>
        </w:rPr>
        <w:footnoteReference w:id="102"/>
      </w:r>
      <w:r w:rsidRPr="00FC200F">
        <w:rPr>
          <w:noProof/>
        </w:rPr>
        <w:t xml:space="preserve">, with six noting upfront costs. </w:t>
      </w:r>
    </w:p>
    <w:p w14:paraId="2C18B7FB" w14:textId="6B1FE8BC" w:rsidR="001F22A1" w:rsidRDefault="00E04F0C" w:rsidP="00E04F0C">
      <w:pPr>
        <w:pStyle w:val="Heading4"/>
        <w:rPr>
          <w:noProof/>
        </w:rPr>
      </w:pPr>
      <w:bookmarkStart w:id="226" w:name="_Ref94101489"/>
      <w:r w:rsidRPr="00E04F0C">
        <w:t>6.2.2.1.</w:t>
      </w:r>
      <w:r w:rsidRPr="00E04F0C">
        <w:tab/>
      </w:r>
      <w:r w:rsidR="3982CBDC">
        <w:rPr>
          <w:noProof/>
        </w:rPr>
        <w:t>Additional administrative costs for industry</w:t>
      </w:r>
      <w:bookmarkEnd w:id="226"/>
      <w:r w:rsidR="3982CBDC">
        <w:rPr>
          <w:noProof/>
        </w:rPr>
        <w:t xml:space="preserve"> </w:t>
      </w:r>
    </w:p>
    <w:p w14:paraId="5F8A3921" w14:textId="7A8660E2" w:rsidR="001F22A1" w:rsidRDefault="00CE74ED" w:rsidP="001F22A1">
      <w:pPr>
        <w:rPr>
          <w:noProof/>
        </w:rPr>
      </w:pPr>
      <w:r w:rsidRPr="001309B7">
        <w:rPr>
          <w:noProof/>
        </w:rPr>
        <w:t xml:space="preserve">Some measures will result in </w:t>
      </w:r>
      <w:r w:rsidR="00714FD5" w:rsidRPr="00A14FCD">
        <w:rPr>
          <w:noProof/>
        </w:rPr>
        <w:t xml:space="preserve">one-off </w:t>
      </w:r>
      <w:r w:rsidRPr="001309B7">
        <w:rPr>
          <w:noProof/>
        </w:rPr>
        <w:t xml:space="preserve">administrative </w:t>
      </w:r>
      <w:r w:rsidR="00714FD5" w:rsidRPr="00A14FCD">
        <w:rPr>
          <w:noProof/>
        </w:rPr>
        <w:t>cost</w:t>
      </w:r>
      <w:r w:rsidR="001309B7" w:rsidRPr="001309B7">
        <w:rPr>
          <w:noProof/>
        </w:rPr>
        <w:t>s where</w:t>
      </w:r>
      <w:r w:rsidRPr="001309B7">
        <w:rPr>
          <w:noProof/>
        </w:rPr>
        <w:t xml:space="preserve">as others will entail </w:t>
      </w:r>
      <w:r w:rsidR="001309B7" w:rsidRPr="001309B7">
        <w:rPr>
          <w:noProof/>
        </w:rPr>
        <w:t>costs</w:t>
      </w:r>
      <w:r w:rsidRPr="001309B7">
        <w:rPr>
          <w:noProof/>
        </w:rPr>
        <w:t xml:space="preserve"> every year</w:t>
      </w:r>
      <w:r w:rsidR="00714FD5" w:rsidRPr="00196706">
        <w:rPr>
          <w:noProof/>
        </w:rPr>
        <w:t xml:space="preserve">. </w:t>
      </w:r>
      <w:r w:rsidR="00341908" w:rsidRPr="00341908">
        <w:rPr>
          <w:rFonts w:cs="Times New Roman"/>
          <w:noProof/>
        </w:rPr>
        <w:fldChar w:fldCharType="begin"/>
      </w:r>
      <w:r w:rsidR="00341908" w:rsidRPr="00341908">
        <w:rPr>
          <w:rFonts w:cs="Times New Roman"/>
          <w:noProof/>
        </w:rPr>
        <w:instrText xml:space="preserve"> REF _Ref85724995 \h  \* MERGEFORMAT </w:instrText>
      </w:r>
      <w:r w:rsidR="00341908" w:rsidRPr="00341908">
        <w:rPr>
          <w:rFonts w:cs="Times New Roman"/>
          <w:noProof/>
        </w:rPr>
      </w:r>
      <w:r w:rsidR="00341908" w:rsidRPr="00341908">
        <w:rPr>
          <w:rFonts w:cs="Times New Roman"/>
          <w:noProof/>
        </w:rPr>
        <w:fldChar w:fldCharType="separate"/>
      </w:r>
      <w:r w:rsidR="00C66A21" w:rsidRPr="00C66A21">
        <w:rPr>
          <w:rFonts w:cs="Times New Roman"/>
          <w:bCs/>
          <w:noProof/>
        </w:rPr>
        <w:t>Table 7</w:t>
      </w:r>
      <w:r w:rsidR="00341908" w:rsidRPr="00341908">
        <w:rPr>
          <w:rFonts w:cs="Times New Roman"/>
          <w:noProof/>
        </w:rPr>
        <w:fldChar w:fldCharType="end"/>
      </w:r>
      <w:r w:rsidR="00341908" w:rsidRPr="00341908">
        <w:rPr>
          <w:rFonts w:cs="Times New Roman"/>
          <w:noProof/>
        </w:rPr>
        <w:t xml:space="preserve"> gives</w:t>
      </w:r>
      <w:r w:rsidR="00341908" w:rsidRPr="00196706">
        <w:rPr>
          <w:noProof/>
        </w:rPr>
        <w:t xml:space="preserve"> the expected additional administrative costs for each policy option </w:t>
      </w:r>
      <w:r w:rsidR="00341908">
        <w:rPr>
          <w:noProof/>
        </w:rPr>
        <w:t>by review objective</w:t>
      </w:r>
      <w:r w:rsidR="00341908" w:rsidRPr="00196706">
        <w:rPr>
          <w:noProof/>
        </w:rPr>
        <w:t>.</w:t>
      </w:r>
      <w:r w:rsidR="00341908">
        <w:rPr>
          <w:noProof/>
        </w:rPr>
        <w:t xml:space="preserve"> </w:t>
      </w:r>
    </w:p>
    <w:p w14:paraId="61F9A84F" w14:textId="3BAB272F" w:rsidR="00A14FCD" w:rsidRPr="00FA7781" w:rsidRDefault="00A14FCD" w:rsidP="00FA7781">
      <w:pPr>
        <w:pStyle w:val="Caption"/>
        <w:rPr>
          <w:noProof/>
        </w:rPr>
      </w:pPr>
      <w:bookmarkStart w:id="227" w:name="_Ref85724995"/>
      <w:bookmarkStart w:id="228" w:name="_Ref85724960"/>
      <w:r w:rsidRPr="3982CBDC">
        <w:rPr>
          <w:rFonts w:asciiTheme="minorHAnsi" w:hAnsiTheme="minorHAnsi" w:cstheme="minorBidi"/>
          <w:b/>
          <w:bCs/>
          <w:noProof/>
        </w:rPr>
        <w:t xml:space="preserve">Table </w:t>
      </w:r>
      <w:r w:rsidR="008574E2" w:rsidRPr="3982CBDC">
        <w:rPr>
          <w:noProof/>
        </w:rPr>
        <w:fldChar w:fldCharType="begin"/>
      </w:r>
      <w:r w:rsidR="008574E2" w:rsidRPr="00B25274">
        <w:rPr>
          <w:rFonts w:asciiTheme="minorHAnsi" w:hAnsiTheme="minorHAnsi" w:cstheme="minorHAnsi"/>
          <w:b/>
          <w:noProof/>
        </w:rPr>
        <w:instrText xml:space="preserve"> SEQ Table \* ARABIC </w:instrText>
      </w:r>
      <w:r w:rsidR="008574E2" w:rsidRPr="3982CBDC">
        <w:rPr>
          <w:rFonts w:asciiTheme="minorHAnsi" w:hAnsiTheme="minorHAnsi" w:cstheme="minorHAnsi"/>
          <w:b/>
          <w:noProof/>
        </w:rPr>
        <w:fldChar w:fldCharType="separate"/>
      </w:r>
      <w:r w:rsidR="00830261">
        <w:rPr>
          <w:rFonts w:asciiTheme="minorHAnsi" w:hAnsiTheme="minorHAnsi" w:cstheme="minorHAnsi"/>
          <w:b/>
          <w:noProof/>
        </w:rPr>
        <w:t>7</w:t>
      </w:r>
      <w:r w:rsidR="008574E2" w:rsidRPr="3982CBDC">
        <w:rPr>
          <w:noProof/>
        </w:rPr>
        <w:fldChar w:fldCharType="end"/>
      </w:r>
      <w:bookmarkEnd w:id="227"/>
      <w:r w:rsidR="00B25274">
        <w:rPr>
          <w:noProof/>
        </w:rPr>
        <w:t>.</w:t>
      </w:r>
      <w:r>
        <w:rPr>
          <w:noProof/>
        </w:rPr>
        <w:t xml:space="preserve"> </w:t>
      </w:r>
      <w:r w:rsidR="003340AC" w:rsidRPr="3982CBDC">
        <w:rPr>
          <w:rFonts w:asciiTheme="minorHAnsi" w:hAnsiTheme="minorHAnsi"/>
          <w:noProof/>
          <w:color w:val="0070C0"/>
        </w:rPr>
        <w:t xml:space="preserve">Additional </w:t>
      </w:r>
      <w:r w:rsidR="00FA7781">
        <w:rPr>
          <w:rFonts w:asciiTheme="minorHAnsi" w:hAnsiTheme="minorHAnsi"/>
          <w:noProof/>
          <w:color w:val="0070C0"/>
        </w:rPr>
        <w:t xml:space="preserve">recurrent </w:t>
      </w:r>
      <w:r w:rsidR="003340AC" w:rsidRPr="3982CBDC">
        <w:rPr>
          <w:rFonts w:asciiTheme="minorHAnsi" w:hAnsiTheme="minorHAnsi"/>
          <w:noProof/>
          <w:color w:val="0070C0"/>
        </w:rPr>
        <w:t>administrative costs expected for</w:t>
      </w:r>
      <w:r w:rsidR="00196706" w:rsidRPr="3982CBDC">
        <w:rPr>
          <w:rFonts w:asciiTheme="minorHAnsi" w:hAnsiTheme="minorHAnsi"/>
          <w:noProof/>
          <w:color w:val="0070C0"/>
        </w:rPr>
        <w:t xml:space="preserve"> industry stakeholders by</w:t>
      </w:r>
      <w:r w:rsidR="00FA7781">
        <w:rPr>
          <w:rFonts w:asciiTheme="minorHAnsi" w:hAnsiTheme="minorHAnsi"/>
          <w:noProof/>
          <w:color w:val="0070C0"/>
        </w:rPr>
        <w:t xml:space="preserve"> the three policy options and</w:t>
      </w:r>
      <w:r w:rsidR="003340AC" w:rsidRPr="3982CBDC">
        <w:rPr>
          <w:rFonts w:asciiTheme="minorHAnsi" w:hAnsiTheme="minorHAnsi"/>
          <w:noProof/>
          <w:color w:val="0070C0"/>
        </w:rPr>
        <w:t xml:space="preserve"> by review objective</w:t>
      </w:r>
      <w:bookmarkEnd w:id="228"/>
      <w:r w:rsidR="00FA7781">
        <w:rPr>
          <w:rFonts w:asciiTheme="minorHAnsi" w:hAnsiTheme="minorHAnsi"/>
          <w:noProof/>
          <w:color w:val="0070C0"/>
        </w:rPr>
        <w:t xml:space="preserve"> (in million € per year)</w:t>
      </w:r>
    </w:p>
    <w:tbl>
      <w:tblPr>
        <w:tblStyle w:val="HTG10"/>
        <w:tblW w:w="9100" w:type="dxa"/>
        <w:tblInd w:w="113" w:type="dxa"/>
        <w:tblLook w:val="04A0" w:firstRow="1" w:lastRow="0" w:firstColumn="1" w:lastColumn="0" w:noHBand="0" w:noVBand="1"/>
      </w:tblPr>
      <w:tblGrid>
        <w:gridCol w:w="2547"/>
        <w:gridCol w:w="2019"/>
        <w:gridCol w:w="2267"/>
        <w:gridCol w:w="2267"/>
      </w:tblGrid>
      <w:tr w:rsidR="001309B7" w:rsidRPr="00492884" w14:paraId="47E49E17" w14:textId="77777777" w:rsidTr="3F3807E4">
        <w:trPr>
          <w:trHeight w:val="268"/>
        </w:trPr>
        <w:tc>
          <w:tcPr>
            <w:tcW w:w="2547" w:type="dxa"/>
            <w:shd w:val="clear" w:color="auto" w:fill="7F7F7F" w:themeFill="background1" w:themeFillShade="7F"/>
          </w:tcPr>
          <w:p w14:paraId="2AF79895" w14:textId="7DA090E3" w:rsidR="001309B7" w:rsidRPr="00B25274" w:rsidRDefault="001309B7" w:rsidP="00FA7781">
            <w:pPr>
              <w:jc w:val="center"/>
              <w:rPr>
                <w:rFonts w:ascii="Arial" w:hAnsi="Arial" w:cs="Arial"/>
                <w:noProof/>
                <w:sz w:val="20"/>
                <w:szCs w:val="20"/>
                <w:lang w:val="en-GB"/>
              </w:rPr>
            </w:pPr>
          </w:p>
        </w:tc>
        <w:tc>
          <w:tcPr>
            <w:tcW w:w="2019" w:type="dxa"/>
            <w:shd w:val="clear" w:color="auto" w:fill="7F7F7F" w:themeFill="background1" w:themeFillShade="7F"/>
          </w:tcPr>
          <w:p w14:paraId="77A54A2B" w14:textId="3F1BEDC2" w:rsidR="001309B7" w:rsidRPr="00B25274" w:rsidRDefault="3F3807E4" w:rsidP="3982CBDC">
            <w:pPr>
              <w:rPr>
                <w:rFonts w:ascii="Arial" w:hAnsi="Arial" w:cs="Arial"/>
                <w:noProof/>
                <w:color w:val="FFFFFF" w:themeColor="background1"/>
                <w:sz w:val="20"/>
                <w:szCs w:val="20"/>
                <w:lang w:val="en-GB"/>
              </w:rPr>
            </w:pPr>
            <w:r w:rsidRPr="3F3807E4">
              <w:rPr>
                <w:rFonts w:ascii="Arial" w:hAnsi="Arial" w:cs="Arial"/>
                <w:noProof/>
                <w:color w:val="FFFFFF" w:themeColor="background1"/>
                <w:sz w:val="20"/>
                <w:szCs w:val="20"/>
                <w:lang w:val="en-GB"/>
              </w:rPr>
              <w:t>Option 1</w:t>
            </w:r>
          </w:p>
        </w:tc>
        <w:tc>
          <w:tcPr>
            <w:tcW w:w="2267" w:type="dxa"/>
            <w:shd w:val="clear" w:color="auto" w:fill="7F7F7F" w:themeFill="background1" w:themeFillShade="7F"/>
          </w:tcPr>
          <w:p w14:paraId="1B1B3CC0" w14:textId="6E069786" w:rsidR="001309B7" w:rsidRPr="00B25274" w:rsidRDefault="3F3807E4" w:rsidP="3982CBDC">
            <w:pPr>
              <w:rPr>
                <w:rFonts w:ascii="Arial" w:hAnsi="Arial" w:cs="Arial"/>
                <w:noProof/>
                <w:color w:val="FFFFFF" w:themeColor="background1"/>
                <w:sz w:val="20"/>
                <w:szCs w:val="20"/>
                <w:lang w:val="en-GB"/>
              </w:rPr>
            </w:pPr>
            <w:r w:rsidRPr="3F3807E4">
              <w:rPr>
                <w:rFonts w:ascii="Arial" w:hAnsi="Arial" w:cs="Arial"/>
                <w:noProof/>
                <w:color w:val="FFFFFF" w:themeColor="background1"/>
                <w:sz w:val="20"/>
                <w:szCs w:val="20"/>
                <w:lang w:val="en-GB"/>
              </w:rPr>
              <w:t>Option 2</w:t>
            </w:r>
          </w:p>
        </w:tc>
        <w:tc>
          <w:tcPr>
            <w:tcW w:w="2267" w:type="dxa"/>
            <w:shd w:val="clear" w:color="auto" w:fill="7F7F7F" w:themeFill="background1" w:themeFillShade="7F"/>
          </w:tcPr>
          <w:p w14:paraId="7EF63F3A" w14:textId="2D54B04B" w:rsidR="001309B7" w:rsidRPr="00B25274" w:rsidRDefault="3F3807E4" w:rsidP="3982CBDC">
            <w:pPr>
              <w:rPr>
                <w:rFonts w:ascii="Arial" w:hAnsi="Arial" w:cs="Arial"/>
                <w:noProof/>
                <w:color w:val="FFFFFF" w:themeColor="background1"/>
                <w:sz w:val="20"/>
                <w:szCs w:val="20"/>
                <w:lang w:val="en-GB"/>
              </w:rPr>
            </w:pPr>
            <w:r w:rsidRPr="3F3807E4">
              <w:rPr>
                <w:rFonts w:ascii="Arial" w:hAnsi="Arial" w:cs="Arial"/>
                <w:noProof/>
                <w:color w:val="FFFFFF" w:themeColor="background1"/>
                <w:sz w:val="20"/>
                <w:szCs w:val="20"/>
                <w:lang w:val="en-GB"/>
              </w:rPr>
              <w:t>Option 3</w:t>
            </w:r>
          </w:p>
        </w:tc>
      </w:tr>
      <w:tr w:rsidR="001309B7" w:rsidRPr="00DC2554" w14:paraId="70096D29" w14:textId="77777777" w:rsidTr="3F3807E4">
        <w:trPr>
          <w:trHeight w:val="268"/>
        </w:trPr>
        <w:tc>
          <w:tcPr>
            <w:tcW w:w="2547" w:type="dxa"/>
            <w:shd w:val="clear" w:color="auto" w:fill="A6A6A6" w:themeFill="background1" w:themeFillShade="A6"/>
          </w:tcPr>
          <w:p w14:paraId="2891A250" w14:textId="1FBCED62" w:rsidR="001309B7" w:rsidRPr="00FA7781" w:rsidRDefault="00D04F59" w:rsidP="3982CBDC">
            <w:pPr>
              <w:rPr>
                <w:rFonts w:ascii="Calibri" w:hAnsi="Calibri" w:cs="Calibri"/>
                <w:noProof/>
                <w:color w:val="FFFFFF" w:themeColor="background1"/>
                <w:sz w:val="20"/>
                <w:szCs w:val="20"/>
                <w:lang w:val="en-GB"/>
              </w:rPr>
            </w:pPr>
            <w:r>
              <w:rPr>
                <w:rFonts w:ascii="Calibri" w:hAnsi="Calibri" w:cs="Calibri"/>
                <w:noProof/>
                <w:color w:val="FFFFFF" w:themeColor="background1"/>
                <w:sz w:val="20"/>
                <w:szCs w:val="20"/>
                <w:lang w:val="en-GB"/>
              </w:rPr>
              <w:t xml:space="preserve">Net Costs </w:t>
            </w:r>
            <w:r w:rsidR="3F3807E4" w:rsidRPr="3F3807E4">
              <w:rPr>
                <w:rFonts w:ascii="Calibri" w:hAnsi="Calibri" w:cs="Calibri"/>
                <w:noProof/>
                <w:color w:val="FFFFFF" w:themeColor="background1"/>
                <w:sz w:val="20"/>
                <w:szCs w:val="20"/>
                <w:lang w:val="en-GB"/>
              </w:rPr>
              <w:t>Objective A</w:t>
            </w:r>
          </w:p>
        </w:tc>
        <w:tc>
          <w:tcPr>
            <w:tcW w:w="2019" w:type="dxa"/>
          </w:tcPr>
          <w:p w14:paraId="760C9540" w14:textId="77777777" w:rsidR="001309B7" w:rsidRPr="00FA7781" w:rsidRDefault="3982CBDC" w:rsidP="3982CBDC">
            <w:pPr>
              <w:jc w:val="center"/>
              <w:rPr>
                <w:rFonts w:ascii="Calibri" w:hAnsi="Calibri" w:cs="Calibri"/>
                <w:noProof/>
                <w:sz w:val="20"/>
                <w:szCs w:val="20"/>
                <w:lang w:val="en-GB"/>
              </w:rPr>
            </w:pPr>
            <w:r w:rsidRPr="00FA7781">
              <w:rPr>
                <w:rFonts w:ascii="Calibri" w:hAnsi="Calibri" w:cs="Calibri"/>
                <w:noProof/>
                <w:color w:val="000000" w:themeColor="text1"/>
                <w:sz w:val="20"/>
                <w:szCs w:val="20"/>
                <w:lang w:val="en-GB"/>
              </w:rPr>
              <w:t>-</w:t>
            </w:r>
          </w:p>
        </w:tc>
        <w:tc>
          <w:tcPr>
            <w:tcW w:w="2267" w:type="dxa"/>
          </w:tcPr>
          <w:p w14:paraId="5BC6AF4F" w14:textId="52251ED7" w:rsidR="001309B7" w:rsidRPr="00FA7781" w:rsidRDefault="004309F4" w:rsidP="3982CBDC">
            <w:pPr>
              <w:jc w:val="center"/>
              <w:rPr>
                <w:rFonts w:ascii="Calibri" w:hAnsi="Calibri" w:cs="Calibri"/>
                <w:noProof/>
                <w:sz w:val="20"/>
                <w:szCs w:val="20"/>
                <w:lang w:val="en-GB"/>
              </w:rPr>
            </w:pPr>
            <w:r w:rsidRPr="00FA7781">
              <w:rPr>
                <w:rFonts w:ascii="Calibri" w:hAnsi="Calibri" w:cs="Calibri"/>
                <w:noProof/>
                <w:color w:val="000000" w:themeColor="text1"/>
                <w:sz w:val="20"/>
                <w:szCs w:val="20"/>
                <w:lang w:val="en-GB"/>
              </w:rPr>
              <w:t>4.4</w:t>
            </w:r>
          </w:p>
        </w:tc>
        <w:tc>
          <w:tcPr>
            <w:tcW w:w="2267" w:type="dxa"/>
          </w:tcPr>
          <w:p w14:paraId="70405BAA" w14:textId="355E526F" w:rsidR="001309B7" w:rsidRPr="00FA7781" w:rsidRDefault="004309F4" w:rsidP="3982CBDC">
            <w:pPr>
              <w:jc w:val="center"/>
              <w:rPr>
                <w:rFonts w:ascii="Calibri" w:hAnsi="Calibri" w:cs="Calibri"/>
                <w:noProof/>
                <w:sz w:val="20"/>
                <w:szCs w:val="20"/>
                <w:lang w:val="en-GB"/>
              </w:rPr>
            </w:pPr>
            <w:r w:rsidRPr="00FA7781">
              <w:rPr>
                <w:rFonts w:ascii="Calibri" w:hAnsi="Calibri" w:cs="Calibri"/>
                <w:noProof/>
                <w:color w:val="000000" w:themeColor="text1"/>
                <w:sz w:val="20"/>
                <w:szCs w:val="20"/>
                <w:lang w:val="en-GB"/>
              </w:rPr>
              <w:t>4.4</w:t>
            </w:r>
          </w:p>
        </w:tc>
      </w:tr>
      <w:tr w:rsidR="001309B7" w:rsidRPr="00DC2554" w14:paraId="3B11C2A9" w14:textId="77777777" w:rsidTr="3F3807E4">
        <w:trPr>
          <w:trHeight w:val="268"/>
        </w:trPr>
        <w:tc>
          <w:tcPr>
            <w:tcW w:w="2547" w:type="dxa"/>
            <w:shd w:val="clear" w:color="auto" w:fill="A6A6A6" w:themeFill="background1" w:themeFillShade="A6"/>
          </w:tcPr>
          <w:p w14:paraId="34ADA705" w14:textId="0AB97763" w:rsidR="001309B7" w:rsidRPr="00FA7781" w:rsidRDefault="00D04F59" w:rsidP="3982CBDC">
            <w:pPr>
              <w:rPr>
                <w:rFonts w:ascii="Calibri" w:hAnsi="Calibri" w:cs="Calibri"/>
                <w:noProof/>
                <w:color w:val="FFFFFF" w:themeColor="background1"/>
                <w:sz w:val="20"/>
                <w:szCs w:val="20"/>
                <w:lang w:val="en-GB"/>
              </w:rPr>
            </w:pPr>
            <w:r>
              <w:rPr>
                <w:rFonts w:ascii="Calibri" w:hAnsi="Calibri" w:cs="Calibri"/>
                <w:noProof/>
                <w:color w:val="FFFFFF" w:themeColor="background1"/>
                <w:sz w:val="20"/>
                <w:szCs w:val="20"/>
                <w:lang w:val="en-GB"/>
              </w:rPr>
              <w:t xml:space="preserve">Net Costs </w:t>
            </w:r>
            <w:r w:rsidR="3F3807E4" w:rsidRPr="3F3807E4">
              <w:rPr>
                <w:rFonts w:ascii="Calibri" w:hAnsi="Calibri" w:cs="Calibri"/>
                <w:noProof/>
                <w:color w:val="FFFFFF" w:themeColor="background1"/>
                <w:sz w:val="20"/>
                <w:szCs w:val="20"/>
                <w:lang w:val="en-GB"/>
              </w:rPr>
              <w:t>Objective B</w:t>
            </w:r>
          </w:p>
        </w:tc>
        <w:tc>
          <w:tcPr>
            <w:tcW w:w="2019" w:type="dxa"/>
          </w:tcPr>
          <w:p w14:paraId="04ED3EAA" w14:textId="2067AA26" w:rsidR="001309B7" w:rsidRPr="00FA7781" w:rsidRDefault="004309F4" w:rsidP="3982CBDC">
            <w:pPr>
              <w:jc w:val="center"/>
              <w:rPr>
                <w:rFonts w:ascii="Calibri" w:hAnsi="Calibri" w:cs="Calibri"/>
                <w:noProof/>
                <w:sz w:val="20"/>
                <w:szCs w:val="20"/>
                <w:lang w:val="en-GB"/>
              </w:rPr>
            </w:pPr>
            <w:r w:rsidRPr="00FA7781">
              <w:rPr>
                <w:rFonts w:ascii="Calibri" w:hAnsi="Calibri" w:cs="Calibri"/>
                <w:noProof/>
                <w:color w:val="000000" w:themeColor="text1"/>
                <w:sz w:val="20"/>
                <w:szCs w:val="20"/>
                <w:lang w:val="en-GB"/>
              </w:rPr>
              <w:t>0.</w:t>
            </w:r>
            <w:r w:rsidR="00AB7294">
              <w:rPr>
                <w:rFonts w:ascii="Calibri" w:hAnsi="Calibri" w:cs="Calibri"/>
                <w:noProof/>
                <w:color w:val="000000" w:themeColor="text1"/>
                <w:sz w:val="20"/>
                <w:szCs w:val="20"/>
                <w:lang w:val="en-GB"/>
              </w:rPr>
              <w:t>0</w:t>
            </w:r>
            <w:r w:rsidRPr="00FA7781">
              <w:rPr>
                <w:rFonts w:ascii="Calibri" w:hAnsi="Calibri" w:cs="Calibri"/>
                <w:noProof/>
                <w:color w:val="000000" w:themeColor="text1"/>
                <w:sz w:val="20"/>
                <w:szCs w:val="20"/>
                <w:lang w:val="en-GB"/>
              </w:rPr>
              <w:t>2</w:t>
            </w:r>
          </w:p>
        </w:tc>
        <w:tc>
          <w:tcPr>
            <w:tcW w:w="2267" w:type="dxa"/>
          </w:tcPr>
          <w:p w14:paraId="1C89BD0D" w14:textId="369837AF" w:rsidR="001309B7" w:rsidRPr="00FA7781" w:rsidRDefault="004309F4" w:rsidP="3982CBDC">
            <w:pPr>
              <w:jc w:val="center"/>
              <w:rPr>
                <w:rFonts w:ascii="Calibri" w:hAnsi="Calibri" w:cs="Calibri"/>
                <w:noProof/>
                <w:sz w:val="20"/>
                <w:szCs w:val="20"/>
                <w:lang w:val="en-GB"/>
              </w:rPr>
            </w:pPr>
            <w:r w:rsidRPr="00FA7781">
              <w:rPr>
                <w:rFonts w:ascii="Calibri" w:hAnsi="Calibri" w:cs="Calibri"/>
                <w:noProof/>
                <w:color w:val="000000" w:themeColor="text1"/>
                <w:sz w:val="20"/>
                <w:szCs w:val="20"/>
                <w:lang w:val="en-GB"/>
              </w:rPr>
              <w:t>0.</w:t>
            </w:r>
            <w:r w:rsidR="00AB7294">
              <w:rPr>
                <w:rFonts w:ascii="Calibri" w:hAnsi="Calibri" w:cs="Calibri"/>
                <w:noProof/>
                <w:color w:val="000000" w:themeColor="text1"/>
                <w:sz w:val="20"/>
                <w:szCs w:val="20"/>
                <w:lang w:val="en-GB"/>
              </w:rPr>
              <w:t>0</w:t>
            </w:r>
            <w:r w:rsidRPr="00FA7781">
              <w:rPr>
                <w:rFonts w:ascii="Calibri" w:hAnsi="Calibri" w:cs="Calibri"/>
                <w:noProof/>
                <w:color w:val="000000" w:themeColor="text1"/>
                <w:sz w:val="20"/>
                <w:szCs w:val="20"/>
                <w:lang w:val="en-GB"/>
              </w:rPr>
              <w:t>2</w:t>
            </w:r>
          </w:p>
        </w:tc>
        <w:tc>
          <w:tcPr>
            <w:tcW w:w="2267" w:type="dxa"/>
          </w:tcPr>
          <w:p w14:paraId="6B266586" w14:textId="5107EBA9" w:rsidR="001309B7" w:rsidRPr="00FA7781" w:rsidRDefault="004309F4" w:rsidP="3982CBDC">
            <w:pPr>
              <w:jc w:val="center"/>
              <w:rPr>
                <w:rFonts w:ascii="Calibri" w:hAnsi="Calibri" w:cs="Calibri"/>
                <w:noProof/>
                <w:sz w:val="20"/>
                <w:szCs w:val="20"/>
                <w:lang w:val="en-GB"/>
              </w:rPr>
            </w:pPr>
            <w:r w:rsidRPr="00FA7781">
              <w:rPr>
                <w:rFonts w:ascii="Calibri" w:hAnsi="Calibri" w:cs="Calibri"/>
                <w:noProof/>
                <w:color w:val="000000" w:themeColor="text1"/>
                <w:sz w:val="20"/>
                <w:szCs w:val="20"/>
                <w:lang w:val="en-GB"/>
              </w:rPr>
              <w:t>0.</w:t>
            </w:r>
            <w:r w:rsidR="00AB7294">
              <w:rPr>
                <w:rFonts w:ascii="Calibri" w:hAnsi="Calibri" w:cs="Calibri"/>
                <w:noProof/>
                <w:color w:val="000000" w:themeColor="text1"/>
                <w:sz w:val="20"/>
                <w:szCs w:val="20"/>
                <w:lang w:val="en-GB"/>
              </w:rPr>
              <w:t>0</w:t>
            </w:r>
            <w:r w:rsidRPr="00FA7781">
              <w:rPr>
                <w:rFonts w:ascii="Calibri" w:hAnsi="Calibri" w:cs="Calibri"/>
                <w:noProof/>
                <w:color w:val="000000" w:themeColor="text1"/>
                <w:sz w:val="20"/>
                <w:szCs w:val="20"/>
                <w:lang w:val="en-GB"/>
              </w:rPr>
              <w:t>2</w:t>
            </w:r>
          </w:p>
        </w:tc>
      </w:tr>
      <w:tr w:rsidR="001309B7" w:rsidRPr="00DC2554" w14:paraId="5290E241" w14:textId="77777777" w:rsidTr="3F3807E4">
        <w:trPr>
          <w:trHeight w:val="268"/>
        </w:trPr>
        <w:tc>
          <w:tcPr>
            <w:tcW w:w="2547" w:type="dxa"/>
            <w:shd w:val="clear" w:color="auto" w:fill="A6A6A6" w:themeFill="background1" w:themeFillShade="A6"/>
          </w:tcPr>
          <w:p w14:paraId="3365A656" w14:textId="308E9DA4" w:rsidR="001309B7" w:rsidRPr="00FA7781" w:rsidRDefault="00D04F59" w:rsidP="3982CBDC">
            <w:pPr>
              <w:rPr>
                <w:rFonts w:ascii="Calibri" w:hAnsi="Calibri" w:cs="Calibri"/>
                <w:noProof/>
                <w:color w:val="FFFFFF" w:themeColor="background1"/>
                <w:sz w:val="20"/>
                <w:szCs w:val="20"/>
                <w:lang w:val="en-GB"/>
              </w:rPr>
            </w:pPr>
            <w:r>
              <w:rPr>
                <w:rFonts w:ascii="Calibri" w:hAnsi="Calibri" w:cs="Calibri"/>
                <w:noProof/>
                <w:color w:val="FFFFFF" w:themeColor="background1"/>
                <w:sz w:val="20"/>
                <w:szCs w:val="20"/>
                <w:lang w:val="en-GB"/>
              </w:rPr>
              <w:t xml:space="preserve">Net Costs </w:t>
            </w:r>
            <w:r w:rsidR="3F3807E4" w:rsidRPr="3F3807E4">
              <w:rPr>
                <w:rFonts w:ascii="Calibri" w:hAnsi="Calibri" w:cs="Calibri"/>
                <w:noProof/>
                <w:color w:val="FFFFFF" w:themeColor="background1"/>
                <w:sz w:val="20"/>
                <w:szCs w:val="20"/>
                <w:lang w:val="en-GB"/>
              </w:rPr>
              <w:t>Objective C</w:t>
            </w:r>
          </w:p>
        </w:tc>
        <w:tc>
          <w:tcPr>
            <w:tcW w:w="2019" w:type="dxa"/>
          </w:tcPr>
          <w:p w14:paraId="5DAAFC05" w14:textId="36E40D88" w:rsidR="001309B7" w:rsidRPr="00FA7781" w:rsidRDefault="008168AB" w:rsidP="3982CBDC">
            <w:pPr>
              <w:jc w:val="center"/>
              <w:rPr>
                <w:rFonts w:ascii="Calibri" w:hAnsi="Calibri" w:cs="Calibri"/>
                <w:noProof/>
                <w:sz w:val="20"/>
                <w:szCs w:val="20"/>
                <w:lang w:val="en-GB"/>
              </w:rPr>
            </w:pPr>
            <w:r>
              <w:rPr>
                <w:rFonts w:ascii="Calibri" w:hAnsi="Calibri" w:cs="Calibri"/>
                <w:noProof/>
                <w:sz w:val="20"/>
                <w:szCs w:val="20"/>
                <w:lang w:val="en-GB"/>
              </w:rPr>
              <w:t>-0.8</w:t>
            </w:r>
          </w:p>
        </w:tc>
        <w:tc>
          <w:tcPr>
            <w:tcW w:w="2267" w:type="dxa"/>
          </w:tcPr>
          <w:p w14:paraId="0393304D" w14:textId="41DC6A16" w:rsidR="001309B7" w:rsidRPr="00FA7781" w:rsidRDefault="009674E3" w:rsidP="005F764F">
            <w:pPr>
              <w:jc w:val="center"/>
              <w:rPr>
                <w:rFonts w:ascii="Calibri" w:hAnsi="Calibri" w:cs="Calibri"/>
                <w:noProof/>
                <w:sz w:val="20"/>
                <w:szCs w:val="20"/>
                <w:lang w:val="en-GB"/>
              </w:rPr>
            </w:pPr>
            <w:r>
              <w:rPr>
                <w:rFonts w:ascii="Calibri" w:hAnsi="Calibri" w:cs="Calibri"/>
                <w:noProof/>
                <w:color w:val="000000" w:themeColor="text1"/>
                <w:sz w:val="20"/>
                <w:szCs w:val="20"/>
                <w:lang w:val="en-GB"/>
              </w:rPr>
              <w:t>5,7</w:t>
            </w:r>
          </w:p>
        </w:tc>
        <w:tc>
          <w:tcPr>
            <w:tcW w:w="2267" w:type="dxa"/>
          </w:tcPr>
          <w:p w14:paraId="40B09D57" w14:textId="22A691DD" w:rsidR="001309B7" w:rsidRPr="00FA7781" w:rsidRDefault="009674E3" w:rsidP="005F764F">
            <w:pPr>
              <w:jc w:val="center"/>
              <w:rPr>
                <w:rFonts w:ascii="Calibri" w:hAnsi="Calibri" w:cs="Calibri"/>
                <w:noProof/>
                <w:color w:val="000000" w:themeColor="text1"/>
                <w:sz w:val="20"/>
                <w:szCs w:val="20"/>
                <w:lang w:val="en-GB"/>
              </w:rPr>
            </w:pPr>
            <w:r>
              <w:rPr>
                <w:rFonts w:ascii="Calibri" w:hAnsi="Calibri" w:cs="Calibri"/>
                <w:noProof/>
                <w:color w:val="000000" w:themeColor="text1"/>
                <w:sz w:val="20"/>
                <w:szCs w:val="20"/>
                <w:lang w:val="en-GB"/>
              </w:rPr>
              <w:t>6,2</w:t>
            </w:r>
          </w:p>
        </w:tc>
      </w:tr>
      <w:tr w:rsidR="001A07D9" w:rsidRPr="00DC2554" w14:paraId="01C9D034" w14:textId="77777777" w:rsidTr="3F3807E4">
        <w:trPr>
          <w:trHeight w:val="268"/>
        </w:trPr>
        <w:tc>
          <w:tcPr>
            <w:tcW w:w="2547" w:type="dxa"/>
            <w:shd w:val="clear" w:color="auto" w:fill="A6A6A6" w:themeFill="background1" w:themeFillShade="A6"/>
          </w:tcPr>
          <w:p w14:paraId="2DEB21B2" w14:textId="1D27E60B" w:rsidR="001A07D9" w:rsidRPr="001A07D9" w:rsidRDefault="00D04F59" w:rsidP="3982CBDC">
            <w:pPr>
              <w:rPr>
                <w:rFonts w:ascii="Calibri" w:hAnsi="Calibri" w:cs="Calibri"/>
                <w:bCs/>
                <w:noProof/>
                <w:color w:val="FFFFFF" w:themeColor="background1"/>
                <w:sz w:val="20"/>
                <w:szCs w:val="20"/>
              </w:rPr>
            </w:pPr>
            <w:r>
              <w:rPr>
                <w:rFonts w:ascii="Calibri" w:hAnsi="Calibri" w:cs="Calibri"/>
                <w:noProof/>
                <w:color w:val="FFFFFF" w:themeColor="background1"/>
                <w:sz w:val="20"/>
                <w:szCs w:val="20"/>
              </w:rPr>
              <w:t xml:space="preserve">Net Costs </w:t>
            </w:r>
            <w:r w:rsidR="3F3807E4" w:rsidRPr="3F3807E4">
              <w:rPr>
                <w:rFonts w:ascii="Calibri" w:hAnsi="Calibri" w:cs="Calibri"/>
                <w:noProof/>
                <w:color w:val="FFFFFF" w:themeColor="background1"/>
                <w:sz w:val="20"/>
                <w:szCs w:val="20"/>
              </w:rPr>
              <w:t>Objective D</w:t>
            </w:r>
          </w:p>
        </w:tc>
        <w:tc>
          <w:tcPr>
            <w:tcW w:w="2019" w:type="dxa"/>
          </w:tcPr>
          <w:p w14:paraId="30786FF3" w14:textId="173185A1" w:rsidR="001A07D9" w:rsidRPr="008168AB" w:rsidRDefault="00AB7294" w:rsidP="3982CBDC">
            <w:pPr>
              <w:jc w:val="center"/>
              <w:rPr>
                <w:rFonts w:ascii="Calibri" w:hAnsi="Calibri" w:cs="Calibri"/>
                <w:bCs/>
                <w:noProof/>
                <w:color w:val="000000" w:themeColor="text1"/>
                <w:sz w:val="20"/>
                <w:szCs w:val="20"/>
              </w:rPr>
            </w:pPr>
            <w:r>
              <w:rPr>
                <w:rFonts w:ascii="Calibri" w:hAnsi="Calibri" w:cs="Calibri"/>
                <w:bCs/>
                <w:noProof/>
                <w:color w:val="000000" w:themeColor="text1"/>
                <w:sz w:val="20"/>
                <w:szCs w:val="20"/>
              </w:rPr>
              <w:t>-1.1</w:t>
            </w:r>
          </w:p>
        </w:tc>
        <w:tc>
          <w:tcPr>
            <w:tcW w:w="2267" w:type="dxa"/>
          </w:tcPr>
          <w:p w14:paraId="176B7F4B" w14:textId="526B9168" w:rsidR="001A07D9" w:rsidRPr="008168AB" w:rsidRDefault="008168AB" w:rsidP="008168AB">
            <w:pPr>
              <w:jc w:val="center"/>
              <w:rPr>
                <w:rFonts w:ascii="Calibri" w:hAnsi="Calibri" w:cs="Calibri"/>
                <w:bCs/>
                <w:noProof/>
                <w:color w:val="000000" w:themeColor="text1"/>
                <w:sz w:val="20"/>
                <w:szCs w:val="20"/>
              </w:rPr>
            </w:pPr>
            <w:r w:rsidRPr="008168AB">
              <w:rPr>
                <w:rFonts w:ascii="Calibri" w:hAnsi="Calibri" w:cs="Calibri"/>
                <w:bCs/>
                <w:noProof/>
                <w:color w:val="000000" w:themeColor="text1"/>
                <w:sz w:val="20"/>
                <w:szCs w:val="20"/>
              </w:rPr>
              <w:t>-</w:t>
            </w:r>
            <w:r w:rsidR="00A67F96">
              <w:rPr>
                <w:rFonts w:ascii="Calibri" w:hAnsi="Calibri" w:cs="Calibri"/>
                <w:bCs/>
                <w:noProof/>
                <w:color w:val="000000" w:themeColor="text1"/>
                <w:sz w:val="20"/>
                <w:szCs w:val="20"/>
              </w:rPr>
              <w:t>2.5</w:t>
            </w:r>
          </w:p>
        </w:tc>
        <w:tc>
          <w:tcPr>
            <w:tcW w:w="2267" w:type="dxa"/>
          </w:tcPr>
          <w:p w14:paraId="11FF14B3" w14:textId="412CEC73" w:rsidR="001A07D9" w:rsidRPr="008168AB" w:rsidRDefault="008168AB" w:rsidP="005F764F">
            <w:pPr>
              <w:jc w:val="center"/>
              <w:rPr>
                <w:rFonts w:ascii="Calibri" w:hAnsi="Calibri" w:cs="Calibri"/>
                <w:bCs/>
                <w:noProof/>
                <w:color w:val="000000" w:themeColor="text1"/>
                <w:sz w:val="20"/>
                <w:szCs w:val="20"/>
              </w:rPr>
            </w:pPr>
            <w:r>
              <w:rPr>
                <w:rFonts w:ascii="Calibri" w:hAnsi="Calibri" w:cs="Calibri"/>
                <w:bCs/>
                <w:noProof/>
                <w:color w:val="000000" w:themeColor="text1"/>
                <w:sz w:val="20"/>
                <w:szCs w:val="20"/>
              </w:rPr>
              <w:t>-</w:t>
            </w:r>
            <w:r w:rsidR="00A67F96">
              <w:rPr>
                <w:rFonts w:ascii="Calibri" w:hAnsi="Calibri" w:cs="Calibri"/>
                <w:bCs/>
                <w:noProof/>
                <w:color w:val="000000" w:themeColor="text1"/>
                <w:sz w:val="20"/>
                <w:szCs w:val="20"/>
              </w:rPr>
              <w:t>1.3</w:t>
            </w:r>
          </w:p>
        </w:tc>
      </w:tr>
      <w:tr w:rsidR="001309B7" w:rsidRPr="00DC2554" w14:paraId="5C3982F6" w14:textId="77777777" w:rsidTr="3F3807E4">
        <w:trPr>
          <w:trHeight w:val="268"/>
        </w:trPr>
        <w:tc>
          <w:tcPr>
            <w:tcW w:w="2547" w:type="dxa"/>
            <w:shd w:val="clear" w:color="auto" w:fill="A6A6A6" w:themeFill="background1" w:themeFillShade="A6"/>
          </w:tcPr>
          <w:p w14:paraId="484AAA5F" w14:textId="5D31CBB5" w:rsidR="001309B7" w:rsidRPr="00FA7781" w:rsidRDefault="006B5CC1" w:rsidP="3982CBDC">
            <w:pPr>
              <w:rPr>
                <w:rFonts w:ascii="Calibri" w:hAnsi="Calibri" w:cs="Calibri"/>
                <w:b/>
                <w:bCs/>
                <w:noProof/>
                <w:color w:val="FFFFFF" w:themeColor="background1"/>
                <w:sz w:val="20"/>
                <w:szCs w:val="20"/>
              </w:rPr>
            </w:pPr>
            <w:r>
              <w:rPr>
                <w:rFonts w:ascii="Calibri" w:hAnsi="Calibri" w:cs="Calibri"/>
                <w:b/>
                <w:bCs/>
                <w:noProof/>
                <w:color w:val="FFFFFF" w:themeColor="background1"/>
                <w:sz w:val="20"/>
                <w:szCs w:val="20"/>
              </w:rPr>
              <w:t xml:space="preserve">Net </w:t>
            </w:r>
            <w:r w:rsidR="3F3807E4" w:rsidRPr="3F3807E4">
              <w:rPr>
                <w:rFonts w:ascii="Calibri" w:hAnsi="Calibri" w:cs="Calibri"/>
                <w:b/>
                <w:bCs/>
                <w:noProof/>
                <w:color w:val="FFFFFF" w:themeColor="background1"/>
                <w:sz w:val="20"/>
                <w:szCs w:val="20"/>
              </w:rPr>
              <w:t>Total Cost</w:t>
            </w:r>
          </w:p>
        </w:tc>
        <w:tc>
          <w:tcPr>
            <w:tcW w:w="2019" w:type="dxa"/>
          </w:tcPr>
          <w:p w14:paraId="7376E34A" w14:textId="031B9A26" w:rsidR="001309B7" w:rsidRPr="00FA7781" w:rsidRDefault="00A67F96" w:rsidP="3982CBDC">
            <w:pPr>
              <w:jc w:val="center"/>
              <w:rPr>
                <w:rFonts w:ascii="Calibri" w:hAnsi="Calibri" w:cs="Calibri"/>
                <w:noProof/>
                <w:sz w:val="20"/>
                <w:szCs w:val="20"/>
              </w:rPr>
            </w:pPr>
            <w:r>
              <w:rPr>
                <w:rFonts w:ascii="Calibri" w:hAnsi="Calibri" w:cs="Calibri"/>
                <w:b/>
                <w:bCs/>
                <w:noProof/>
                <w:color w:val="000000" w:themeColor="text1"/>
                <w:sz w:val="20"/>
                <w:szCs w:val="20"/>
              </w:rPr>
              <w:t>-1.8</w:t>
            </w:r>
          </w:p>
        </w:tc>
        <w:tc>
          <w:tcPr>
            <w:tcW w:w="2267" w:type="dxa"/>
          </w:tcPr>
          <w:p w14:paraId="32FA737D" w14:textId="0B3091F4" w:rsidR="001309B7" w:rsidRPr="00FA7781" w:rsidRDefault="009674E3" w:rsidP="005F764F">
            <w:pPr>
              <w:jc w:val="center"/>
              <w:rPr>
                <w:rFonts w:ascii="Calibri" w:hAnsi="Calibri" w:cs="Calibri"/>
                <w:noProof/>
                <w:sz w:val="20"/>
                <w:szCs w:val="20"/>
              </w:rPr>
            </w:pPr>
            <w:r>
              <w:rPr>
                <w:rFonts w:ascii="Calibri" w:hAnsi="Calibri" w:cs="Calibri"/>
                <w:b/>
                <w:bCs/>
                <w:noProof/>
                <w:color w:val="000000" w:themeColor="text1"/>
                <w:sz w:val="20"/>
                <w:szCs w:val="20"/>
              </w:rPr>
              <w:t>7</w:t>
            </w:r>
            <w:r w:rsidR="005F3D1A">
              <w:rPr>
                <w:rFonts w:ascii="Calibri" w:hAnsi="Calibri" w:cs="Calibri"/>
                <w:b/>
                <w:bCs/>
                <w:noProof/>
                <w:color w:val="000000" w:themeColor="text1"/>
                <w:sz w:val="20"/>
                <w:szCs w:val="20"/>
              </w:rPr>
              <w:t>.</w:t>
            </w:r>
            <w:r>
              <w:rPr>
                <w:rFonts w:ascii="Calibri" w:hAnsi="Calibri" w:cs="Calibri"/>
                <w:b/>
                <w:bCs/>
                <w:noProof/>
                <w:color w:val="000000" w:themeColor="text1"/>
                <w:sz w:val="20"/>
                <w:szCs w:val="20"/>
              </w:rPr>
              <w:t>6</w:t>
            </w:r>
          </w:p>
        </w:tc>
        <w:tc>
          <w:tcPr>
            <w:tcW w:w="2267" w:type="dxa"/>
          </w:tcPr>
          <w:p w14:paraId="4D2D4193" w14:textId="2E833B03" w:rsidR="001309B7" w:rsidRPr="00FA7781" w:rsidRDefault="009674E3" w:rsidP="005F764F">
            <w:pPr>
              <w:jc w:val="center"/>
              <w:rPr>
                <w:rFonts w:ascii="Calibri" w:hAnsi="Calibri" w:cs="Calibri"/>
                <w:b/>
                <w:bCs/>
                <w:noProof/>
                <w:color w:val="000000" w:themeColor="text1"/>
                <w:sz w:val="20"/>
                <w:szCs w:val="20"/>
              </w:rPr>
            </w:pPr>
            <w:r>
              <w:rPr>
                <w:rFonts w:ascii="Calibri" w:hAnsi="Calibri" w:cs="Calibri"/>
                <w:b/>
                <w:bCs/>
                <w:noProof/>
                <w:color w:val="000000" w:themeColor="text1"/>
                <w:sz w:val="20"/>
                <w:szCs w:val="20"/>
              </w:rPr>
              <w:t>9</w:t>
            </w:r>
            <w:r w:rsidR="005F3D1A">
              <w:rPr>
                <w:rFonts w:ascii="Calibri" w:hAnsi="Calibri" w:cs="Calibri"/>
                <w:b/>
                <w:bCs/>
                <w:noProof/>
                <w:color w:val="000000" w:themeColor="text1"/>
                <w:sz w:val="20"/>
                <w:szCs w:val="20"/>
              </w:rPr>
              <w:t>.</w:t>
            </w:r>
            <w:r>
              <w:rPr>
                <w:rFonts w:ascii="Calibri" w:hAnsi="Calibri" w:cs="Calibri"/>
                <w:b/>
                <w:bCs/>
                <w:noProof/>
                <w:color w:val="000000" w:themeColor="text1"/>
                <w:sz w:val="20"/>
                <w:szCs w:val="20"/>
              </w:rPr>
              <w:t>4</w:t>
            </w:r>
          </w:p>
        </w:tc>
      </w:tr>
    </w:tbl>
    <w:p w14:paraId="609020C8" w14:textId="77777777" w:rsidR="001F22A1" w:rsidRDefault="001F22A1" w:rsidP="00D32AA8">
      <w:pPr>
        <w:spacing w:after="0"/>
        <w:rPr>
          <w:noProof/>
        </w:rPr>
      </w:pPr>
    </w:p>
    <w:p w14:paraId="47D1A679" w14:textId="7D2DE1D7" w:rsidR="009E024D" w:rsidRDefault="009E024D" w:rsidP="00F04C99">
      <w:pPr>
        <w:spacing w:after="120"/>
        <w:rPr>
          <w:noProof/>
        </w:rPr>
      </w:pPr>
      <w:r>
        <w:rPr>
          <w:noProof/>
        </w:rPr>
        <w:t>Option 1 results in some cost savings for undertakings (-1.8 million € per year). Option 2 and 3 result in total costs of €</w:t>
      </w:r>
      <w:r w:rsidR="00F8050A">
        <w:rPr>
          <w:noProof/>
        </w:rPr>
        <w:t>7</w:t>
      </w:r>
      <w:r w:rsidR="005F3D1A">
        <w:rPr>
          <w:noProof/>
        </w:rPr>
        <w:t>.</w:t>
      </w:r>
      <w:r w:rsidR="00F8050A">
        <w:rPr>
          <w:noProof/>
        </w:rPr>
        <w:t>6</w:t>
      </w:r>
      <w:r>
        <w:rPr>
          <w:noProof/>
        </w:rPr>
        <w:t xml:space="preserve"> and €</w:t>
      </w:r>
      <w:r w:rsidR="00F8050A">
        <w:rPr>
          <w:noProof/>
        </w:rPr>
        <w:t>9</w:t>
      </w:r>
      <w:r w:rsidR="005F3D1A">
        <w:rPr>
          <w:noProof/>
        </w:rPr>
        <w:t>.</w:t>
      </w:r>
      <w:r w:rsidR="00F8050A">
        <w:rPr>
          <w:noProof/>
        </w:rPr>
        <w:t>4</w:t>
      </w:r>
      <w:r>
        <w:rPr>
          <w:noProof/>
        </w:rPr>
        <w:t xml:space="preserve"> million € per year, respectively, in addition to one-off costs of €3 and €21 million, respectively. As regards individual measures, </w:t>
      </w:r>
      <w:r w:rsidRPr="00196706">
        <w:rPr>
          <w:noProof/>
        </w:rPr>
        <w:t>“</w:t>
      </w:r>
      <w:r>
        <w:rPr>
          <w:noProof/>
        </w:rPr>
        <w:t>certification programmes to include alternatives</w:t>
      </w:r>
      <w:r w:rsidRPr="00196706">
        <w:rPr>
          <w:noProof/>
        </w:rPr>
        <w:t>”</w:t>
      </w:r>
      <w:r w:rsidR="009674E3">
        <w:rPr>
          <w:rStyle w:val="FootnoteReference"/>
          <w:noProof/>
        </w:rPr>
        <w:footnoteReference w:id="103"/>
      </w:r>
      <w:r>
        <w:rPr>
          <w:noProof/>
        </w:rPr>
        <w:t xml:space="preserve"> and</w:t>
      </w:r>
      <w:r w:rsidRPr="00196706">
        <w:rPr>
          <w:noProof/>
        </w:rPr>
        <w:t xml:space="preserve"> “</w:t>
      </w:r>
      <w:r>
        <w:rPr>
          <w:noProof/>
        </w:rPr>
        <w:t>additional requirements for prevention of emissions</w:t>
      </w:r>
      <w:r w:rsidRPr="00196706">
        <w:rPr>
          <w:noProof/>
        </w:rPr>
        <w:t>”</w:t>
      </w:r>
      <w:r>
        <w:rPr>
          <w:noProof/>
        </w:rPr>
        <w:t xml:space="preserve"> result in the highest recurrent costs (both measures are only in Options 2 and 3). High one-off costs are linked to the measure of a “Member States electronic tool to register emission-relevant company data” (Option 3 only). Relevant c</w:t>
      </w:r>
      <w:r w:rsidRPr="00196706">
        <w:rPr>
          <w:noProof/>
        </w:rPr>
        <w:t>ost savings for companies are achieved by “having new entrant declaration</w:t>
      </w:r>
      <w:r>
        <w:rPr>
          <w:noProof/>
        </w:rPr>
        <w:t xml:space="preserve">s only every 3 </w:t>
      </w:r>
      <w:r w:rsidRPr="00196706">
        <w:rPr>
          <w:noProof/>
        </w:rPr>
        <w:t>ye</w:t>
      </w:r>
      <w:r>
        <w:rPr>
          <w:noProof/>
        </w:rPr>
        <w:t>ars, instead of annually” (all O</w:t>
      </w:r>
      <w:r w:rsidRPr="00196706">
        <w:rPr>
          <w:noProof/>
        </w:rPr>
        <w:t>ptions), “</w:t>
      </w:r>
      <w:r>
        <w:rPr>
          <w:noProof/>
        </w:rPr>
        <w:t>relaxing the</w:t>
      </w:r>
      <w:r w:rsidRPr="00196706">
        <w:rPr>
          <w:noProof/>
        </w:rPr>
        <w:t xml:space="preserve"> verification thresholds for equipment” (all </w:t>
      </w:r>
      <w:r w:rsidRPr="001309B7">
        <w:rPr>
          <w:noProof/>
        </w:rPr>
        <w:t>O</w:t>
      </w:r>
      <w:r w:rsidRPr="00196706">
        <w:rPr>
          <w:noProof/>
        </w:rPr>
        <w:t>ptions)</w:t>
      </w:r>
      <w:r>
        <w:rPr>
          <w:noProof/>
        </w:rPr>
        <w:t>, and “enabling an electronic verification process” (Option 2 and 3).</w:t>
      </w:r>
      <w:r w:rsidRPr="00196706">
        <w:rPr>
          <w:noProof/>
        </w:rPr>
        <w:t xml:space="preserve"> The detailed costs per measure are given in Annex</w:t>
      </w:r>
      <w:r w:rsidR="00E06AC9">
        <w:rPr>
          <w:noProof/>
        </w:rPr>
        <w:t xml:space="preserve"> A14.2</w:t>
      </w:r>
      <w:r w:rsidRPr="00196706">
        <w:rPr>
          <w:noProof/>
        </w:rPr>
        <w:t>.</w:t>
      </w:r>
      <w:r w:rsidR="006B5CC1">
        <w:rPr>
          <w:noProof/>
        </w:rPr>
        <w:t xml:space="preserve"> Some</w:t>
      </w:r>
      <w:r w:rsidR="00C11580">
        <w:rPr>
          <w:noProof/>
        </w:rPr>
        <w:t xml:space="preserve"> of the measures resulting in additional costs are needed to align with international rules or achieve better implementation by reducing illegal activities</w:t>
      </w:r>
      <w:r w:rsidR="006B5CC1">
        <w:rPr>
          <w:noProof/>
        </w:rPr>
        <w:t xml:space="preserve"> (€1.9 million in total)</w:t>
      </w:r>
      <w:r w:rsidR="00C11580">
        <w:rPr>
          <w:noProof/>
        </w:rPr>
        <w:t>.</w:t>
      </w:r>
    </w:p>
    <w:p w14:paraId="14467DAA" w14:textId="47643A5D" w:rsidR="00040E75" w:rsidRDefault="00E04F0C" w:rsidP="00E04F0C">
      <w:pPr>
        <w:pStyle w:val="Heading4"/>
        <w:rPr>
          <w:noProof/>
        </w:rPr>
      </w:pPr>
      <w:r w:rsidRPr="00E04F0C">
        <w:t>6.2.2.2.</w:t>
      </w:r>
      <w:r w:rsidRPr="00E04F0C">
        <w:tab/>
      </w:r>
      <w:r w:rsidR="3982CBDC">
        <w:rPr>
          <w:noProof/>
        </w:rPr>
        <w:t>Additional administrative costs for authorities</w:t>
      </w:r>
    </w:p>
    <w:p w14:paraId="6F4F9089" w14:textId="77777777" w:rsidR="007E3ED5" w:rsidRPr="00196706" w:rsidRDefault="3982CBDC" w:rsidP="3982CBDC">
      <w:pPr>
        <w:pStyle w:val="Heading5"/>
        <w:rPr>
          <w:noProof/>
          <w:sz w:val="24"/>
          <w:szCs w:val="24"/>
        </w:rPr>
      </w:pPr>
      <w:r w:rsidRPr="3982CBDC">
        <w:rPr>
          <w:noProof/>
          <w:sz w:val="24"/>
          <w:szCs w:val="24"/>
        </w:rPr>
        <w:t>At European level</w:t>
      </w:r>
    </w:p>
    <w:p w14:paraId="07B1BD5E" w14:textId="20DE7803" w:rsidR="00901047" w:rsidRDefault="00CE74ED" w:rsidP="00901047">
      <w:pPr>
        <w:spacing w:after="120"/>
        <w:rPr>
          <w:noProof/>
        </w:rPr>
      </w:pPr>
      <w:r>
        <w:rPr>
          <w:noProof/>
        </w:rPr>
        <w:t xml:space="preserve">The European Commission is responsible for implementing the </w:t>
      </w:r>
      <w:r w:rsidR="00CC3EBB">
        <w:rPr>
          <w:noProof/>
        </w:rPr>
        <w:t xml:space="preserve">quota system and the company registry </w:t>
      </w:r>
      <w:r>
        <w:rPr>
          <w:noProof/>
        </w:rPr>
        <w:t>EU-wide. This</w:t>
      </w:r>
      <w:r w:rsidR="00082C86">
        <w:rPr>
          <w:noProof/>
        </w:rPr>
        <w:t xml:space="preserve"> is already a </w:t>
      </w:r>
      <w:r w:rsidR="00D566FD">
        <w:rPr>
          <w:noProof/>
        </w:rPr>
        <w:t>considerable</w:t>
      </w:r>
      <w:r w:rsidR="00082C86">
        <w:rPr>
          <w:noProof/>
        </w:rPr>
        <w:t xml:space="preserve"> task and a</w:t>
      </w:r>
      <w:r w:rsidR="00516A16">
        <w:rPr>
          <w:noProof/>
        </w:rPr>
        <w:t xml:space="preserve"> number of measures would </w:t>
      </w:r>
      <w:r>
        <w:rPr>
          <w:noProof/>
        </w:rPr>
        <w:t xml:space="preserve">increase </w:t>
      </w:r>
      <w:r w:rsidR="00082C86">
        <w:rPr>
          <w:noProof/>
        </w:rPr>
        <w:t xml:space="preserve">the </w:t>
      </w:r>
      <w:r w:rsidR="00516A16">
        <w:rPr>
          <w:noProof/>
        </w:rPr>
        <w:t>burden</w:t>
      </w:r>
      <w:r w:rsidR="00082C86">
        <w:rPr>
          <w:noProof/>
        </w:rPr>
        <w:t xml:space="preserve"> on the Commission</w:t>
      </w:r>
      <w:r>
        <w:rPr>
          <w:noProof/>
        </w:rPr>
        <w:t>,</w:t>
      </w:r>
      <w:r w:rsidR="00516A16">
        <w:rPr>
          <w:noProof/>
        </w:rPr>
        <w:t xml:space="preserve"> in particular the introduction of a quota allocation price</w:t>
      </w:r>
      <w:r>
        <w:rPr>
          <w:noProof/>
        </w:rPr>
        <w:t>, which</w:t>
      </w:r>
      <w:r w:rsidR="00516A16">
        <w:rPr>
          <w:noProof/>
        </w:rPr>
        <w:t xml:space="preserve"> would result in significant resource and budget implications (ca</w:t>
      </w:r>
      <w:r w:rsidR="00516A16" w:rsidRPr="00196706">
        <w:rPr>
          <w:noProof/>
        </w:rPr>
        <w:t xml:space="preserve">. 10 </w:t>
      </w:r>
      <w:r w:rsidR="004C7D42">
        <w:rPr>
          <w:noProof/>
        </w:rPr>
        <w:t xml:space="preserve">annual full-time equivalents (i.e. 2200 </w:t>
      </w:r>
      <w:r w:rsidR="005A0ADC">
        <w:rPr>
          <w:noProof/>
        </w:rPr>
        <w:t>person days</w:t>
      </w:r>
      <w:r w:rsidR="004C7D42">
        <w:rPr>
          <w:noProof/>
        </w:rPr>
        <w:t>)</w:t>
      </w:r>
      <w:r w:rsidR="00516A16" w:rsidRPr="00196706">
        <w:rPr>
          <w:noProof/>
        </w:rPr>
        <w:t xml:space="preserve"> plus IT costs</w:t>
      </w:r>
      <w:r w:rsidR="00196706" w:rsidRPr="00196706">
        <w:rPr>
          <w:noProof/>
        </w:rPr>
        <w:t>, in addition</w:t>
      </w:r>
      <w:r w:rsidR="00196706">
        <w:rPr>
          <w:noProof/>
        </w:rPr>
        <w:t xml:space="preserve"> to </w:t>
      </w:r>
      <w:r w:rsidR="004C7D42">
        <w:rPr>
          <w:noProof/>
        </w:rPr>
        <w:t xml:space="preserve">2200 person days </w:t>
      </w:r>
      <w:r w:rsidR="00196706">
        <w:rPr>
          <w:noProof/>
        </w:rPr>
        <w:t>one-off</w:t>
      </w:r>
      <w:r w:rsidR="004C7D42">
        <w:rPr>
          <w:noProof/>
        </w:rPr>
        <w:t xml:space="preserve"> staff and</w:t>
      </w:r>
      <w:r w:rsidR="00196706">
        <w:rPr>
          <w:noProof/>
        </w:rPr>
        <w:t xml:space="preserve"> IT costs</w:t>
      </w:r>
      <w:r w:rsidR="00516A16">
        <w:rPr>
          <w:noProof/>
        </w:rPr>
        <w:t>).</w:t>
      </w:r>
      <w:r w:rsidR="003C7378">
        <w:rPr>
          <w:noProof/>
        </w:rPr>
        <w:t xml:space="preserve"> </w:t>
      </w:r>
      <w:r w:rsidR="00082C86">
        <w:rPr>
          <w:noProof/>
        </w:rPr>
        <w:t xml:space="preserve">However the price will also generate a revenue and could be used to </w:t>
      </w:r>
      <w:r w:rsidR="003C7378">
        <w:rPr>
          <w:noProof/>
        </w:rPr>
        <w:t>outsource</w:t>
      </w:r>
      <w:r w:rsidR="00082C86">
        <w:rPr>
          <w:noProof/>
        </w:rPr>
        <w:t xml:space="preserve"> some of the activities </w:t>
      </w:r>
      <w:r w:rsidR="003C7378">
        <w:rPr>
          <w:noProof/>
        </w:rPr>
        <w:t>on a permanent basis, e.g. to an</w:t>
      </w:r>
      <w:r w:rsidR="00196706">
        <w:rPr>
          <w:noProof/>
        </w:rPr>
        <w:t xml:space="preserve"> agency</w:t>
      </w:r>
      <w:r w:rsidR="0069520C">
        <w:rPr>
          <w:noProof/>
        </w:rPr>
        <w:t xml:space="preserve"> such as </w:t>
      </w:r>
      <w:r w:rsidR="00CC03E3">
        <w:rPr>
          <w:noProof/>
        </w:rPr>
        <w:t>the European Chemicals Agency (</w:t>
      </w:r>
      <w:r w:rsidR="0069520C">
        <w:rPr>
          <w:noProof/>
        </w:rPr>
        <w:t>ECHA</w:t>
      </w:r>
      <w:r w:rsidR="00CC03E3">
        <w:rPr>
          <w:noProof/>
        </w:rPr>
        <w:t>)</w:t>
      </w:r>
      <w:r w:rsidR="003C7378">
        <w:rPr>
          <w:noProof/>
        </w:rPr>
        <w:t>. In addition,</w:t>
      </w:r>
      <w:r w:rsidR="00516A16">
        <w:rPr>
          <w:noProof/>
        </w:rPr>
        <w:t xml:space="preserve"> </w:t>
      </w:r>
      <w:r>
        <w:rPr>
          <w:noProof/>
        </w:rPr>
        <w:t xml:space="preserve">the </w:t>
      </w:r>
      <w:r w:rsidR="00473556">
        <w:rPr>
          <w:noProof/>
        </w:rPr>
        <w:t xml:space="preserve">implementation of </w:t>
      </w:r>
      <w:r w:rsidR="001C6A59">
        <w:rPr>
          <w:noProof/>
        </w:rPr>
        <w:t xml:space="preserve">a tighter phase-down including on production and a </w:t>
      </w:r>
      <w:r w:rsidR="00516A16">
        <w:rPr>
          <w:noProof/>
        </w:rPr>
        <w:t>more comprehensive and complex legislation on prohibitions</w:t>
      </w:r>
      <w:r>
        <w:rPr>
          <w:noProof/>
        </w:rPr>
        <w:t xml:space="preserve"> will als</w:t>
      </w:r>
      <w:r w:rsidR="00196706">
        <w:rPr>
          <w:noProof/>
        </w:rPr>
        <w:t>o increase administrative costs</w:t>
      </w:r>
      <w:r w:rsidR="003C7378">
        <w:rPr>
          <w:noProof/>
        </w:rPr>
        <w:t>.</w:t>
      </w:r>
      <w:r w:rsidR="00CC3EBB">
        <w:rPr>
          <w:noProof/>
        </w:rPr>
        <w:t xml:space="preserve"> Option 1 would increase the resource effort for the EC by </w:t>
      </w:r>
      <w:r w:rsidR="00BA7574">
        <w:rPr>
          <w:noProof/>
        </w:rPr>
        <w:t xml:space="preserve">only </w:t>
      </w:r>
      <w:r w:rsidR="001C6A59">
        <w:rPr>
          <w:noProof/>
        </w:rPr>
        <w:t xml:space="preserve">ca </w:t>
      </w:r>
      <w:r w:rsidR="00BA7574">
        <w:rPr>
          <w:noProof/>
        </w:rPr>
        <w:t>10</w:t>
      </w:r>
      <w:r w:rsidR="007604FE">
        <w:rPr>
          <w:noProof/>
        </w:rPr>
        <w:t>0</w:t>
      </w:r>
      <w:r w:rsidR="00CC3EBB">
        <w:rPr>
          <w:noProof/>
        </w:rPr>
        <w:t xml:space="preserve"> person days</w:t>
      </w:r>
      <w:r w:rsidR="00903D96">
        <w:rPr>
          <w:noProof/>
        </w:rPr>
        <w:t>, while Option</w:t>
      </w:r>
      <w:r w:rsidR="007604FE">
        <w:rPr>
          <w:noProof/>
        </w:rPr>
        <w:t xml:space="preserve">s 2 and 3 would require </w:t>
      </w:r>
      <w:r w:rsidR="00D708E4">
        <w:rPr>
          <w:noProof/>
        </w:rPr>
        <w:t>more than</w:t>
      </w:r>
      <w:r w:rsidR="00BA7574">
        <w:rPr>
          <w:noProof/>
        </w:rPr>
        <w:t xml:space="preserve"> 2</w:t>
      </w:r>
      <w:r w:rsidR="00D708E4">
        <w:rPr>
          <w:noProof/>
        </w:rPr>
        <w:t>,</w:t>
      </w:r>
      <w:r w:rsidR="00BA7574">
        <w:rPr>
          <w:noProof/>
        </w:rPr>
        <w:t>300</w:t>
      </w:r>
      <w:r w:rsidR="007604FE">
        <w:rPr>
          <w:noProof/>
        </w:rPr>
        <w:t xml:space="preserve"> </w:t>
      </w:r>
      <w:r w:rsidR="00903D96">
        <w:rPr>
          <w:noProof/>
        </w:rPr>
        <w:t>person days</w:t>
      </w:r>
      <w:r w:rsidR="00901047">
        <w:rPr>
          <w:noProof/>
        </w:rPr>
        <w:t xml:space="preserve"> in addition to </w:t>
      </w:r>
      <w:r w:rsidR="00D708E4">
        <w:rPr>
          <w:noProof/>
        </w:rPr>
        <w:t>similar one-off costs</w:t>
      </w:r>
      <w:r w:rsidR="007604FE">
        <w:rPr>
          <w:noProof/>
        </w:rPr>
        <w:t xml:space="preserve">, mainly due to </w:t>
      </w:r>
      <w:r w:rsidR="00BA7574">
        <w:rPr>
          <w:noProof/>
        </w:rPr>
        <w:t xml:space="preserve">introducing </w:t>
      </w:r>
      <w:r w:rsidR="007604FE">
        <w:rPr>
          <w:noProof/>
        </w:rPr>
        <w:t xml:space="preserve">the quota allocation </w:t>
      </w:r>
      <w:r w:rsidR="00DF528F">
        <w:rPr>
          <w:noProof/>
        </w:rPr>
        <w:t>price</w:t>
      </w:r>
      <w:r w:rsidR="00BA7574">
        <w:rPr>
          <w:noProof/>
        </w:rPr>
        <w:t xml:space="preserve"> (2200 person days by itself)</w:t>
      </w:r>
      <w:r w:rsidR="00903D96">
        <w:rPr>
          <w:noProof/>
        </w:rPr>
        <w:t>.</w:t>
      </w:r>
      <w:r w:rsidR="00901047">
        <w:rPr>
          <w:noProof/>
        </w:rPr>
        <w:t xml:space="preserve"> In addition, there are one-off costs </w:t>
      </w:r>
      <w:r w:rsidR="00BA7574">
        <w:rPr>
          <w:noProof/>
        </w:rPr>
        <w:t>of 12 (Option 1) and 2,215</w:t>
      </w:r>
      <w:r w:rsidR="007604FE">
        <w:rPr>
          <w:noProof/>
        </w:rPr>
        <w:t xml:space="preserve"> (Option 2 and 3) person days. These costs do not include efforts of further developing the CERTEX/EU Single Window for Environment.</w:t>
      </w:r>
    </w:p>
    <w:p w14:paraId="5A68D74C" w14:textId="36635BC2" w:rsidR="007E3ED5" w:rsidRPr="007E3ED5" w:rsidRDefault="003C7378" w:rsidP="00F04C99">
      <w:pPr>
        <w:spacing w:after="120"/>
        <w:rPr>
          <w:noProof/>
        </w:rPr>
      </w:pPr>
      <w:r>
        <w:rPr>
          <w:noProof/>
        </w:rPr>
        <w:t xml:space="preserve">The </w:t>
      </w:r>
      <w:r w:rsidR="00D6501F">
        <w:rPr>
          <w:noProof/>
        </w:rPr>
        <w:t>European Environmental Agency (</w:t>
      </w:r>
      <w:r>
        <w:rPr>
          <w:noProof/>
        </w:rPr>
        <w:t>EEA</w:t>
      </w:r>
      <w:r w:rsidR="00D6501F">
        <w:rPr>
          <w:noProof/>
        </w:rPr>
        <w:t>)</w:t>
      </w:r>
      <w:r w:rsidR="00CC3EBB">
        <w:rPr>
          <w:noProof/>
        </w:rPr>
        <w:t xml:space="preserve">, which </w:t>
      </w:r>
      <w:r w:rsidR="00CE74ED">
        <w:rPr>
          <w:noProof/>
        </w:rPr>
        <w:t xml:space="preserve">has been entrusted with </w:t>
      </w:r>
      <w:r w:rsidR="00CC3EBB">
        <w:rPr>
          <w:noProof/>
        </w:rPr>
        <w:t xml:space="preserve">collecting </w:t>
      </w:r>
      <w:r w:rsidR="006C40DC">
        <w:rPr>
          <w:noProof/>
        </w:rPr>
        <w:t xml:space="preserve">and analysing </w:t>
      </w:r>
      <w:r w:rsidR="00CE74ED">
        <w:rPr>
          <w:noProof/>
        </w:rPr>
        <w:t xml:space="preserve">the </w:t>
      </w:r>
      <w:r w:rsidR="00CC3EBB">
        <w:rPr>
          <w:noProof/>
        </w:rPr>
        <w:t xml:space="preserve">annual </w:t>
      </w:r>
      <w:r w:rsidR="00CE74ED">
        <w:rPr>
          <w:noProof/>
        </w:rPr>
        <w:t>reporting</w:t>
      </w:r>
      <w:r w:rsidR="00CC3EBB">
        <w:rPr>
          <w:noProof/>
        </w:rPr>
        <w:t xml:space="preserve"> data</w:t>
      </w:r>
      <w:r w:rsidR="00CE74ED">
        <w:rPr>
          <w:noProof/>
        </w:rPr>
        <w:t>,</w:t>
      </w:r>
      <w:r>
        <w:rPr>
          <w:noProof/>
        </w:rPr>
        <w:t xml:space="preserve"> would have additional costs due to slightly extended and/or modified reporting obligations, as well as enabling the electronic verification system. </w:t>
      </w:r>
      <w:r w:rsidR="007604FE">
        <w:rPr>
          <w:noProof/>
        </w:rPr>
        <w:t xml:space="preserve">Option 1 </w:t>
      </w:r>
      <w:r w:rsidR="00901047">
        <w:rPr>
          <w:noProof/>
        </w:rPr>
        <w:t>may result in slight overall savings for EEA, Option 2 would slightly increase the current effort (430 person days) by 10 person days, while Option 3 would increase</w:t>
      </w:r>
      <w:r w:rsidR="00F85E36">
        <w:rPr>
          <w:noProof/>
        </w:rPr>
        <w:t xml:space="preserve"> the effort significantly by 327</w:t>
      </w:r>
      <w:r w:rsidR="00901047">
        <w:rPr>
          <w:noProof/>
        </w:rPr>
        <w:t xml:space="preserve"> person days, mostly due to enabling the reporting on exports of equipment</w:t>
      </w:r>
      <w:r w:rsidR="00F85E36">
        <w:rPr>
          <w:noProof/>
        </w:rPr>
        <w:t>, switchgear</w:t>
      </w:r>
      <w:r w:rsidR="002452CB">
        <w:rPr>
          <w:noProof/>
        </w:rPr>
        <w:t xml:space="preserve"> and recycled gases</w:t>
      </w:r>
      <w:r w:rsidR="00901047">
        <w:rPr>
          <w:noProof/>
        </w:rPr>
        <w:t>. There are also one-off costs of 42, 142, and 292, respectively, for Options 1,</w:t>
      </w:r>
      <w:r w:rsidR="002452CB">
        <w:rPr>
          <w:noProof/>
        </w:rPr>
        <w:t xml:space="preserve"> </w:t>
      </w:r>
      <w:r w:rsidR="00901047">
        <w:rPr>
          <w:noProof/>
        </w:rPr>
        <w:t xml:space="preserve">2 and 3. </w:t>
      </w:r>
      <w:r w:rsidR="00CC3EBB">
        <w:rPr>
          <w:noProof/>
        </w:rPr>
        <w:t xml:space="preserve">Detailed </w:t>
      </w:r>
      <w:r w:rsidR="001C6A59">
        <w:rPr>
          <w:noProof/>
        </w:rPr>
        <w:t xml:space="preserve">costs </w:t>
      </w:r>
      <w:r w:rsidR="00CC3EBB">
        <w:rPr>
          <w:noProof/>
        </w:rPr>
        <w:t xml:space="preserve">are given </w:t>
      </w:r>
      <w:r w:rsidR="00903D96">
        <w:rPr>
          <w:noProof/>
        </w:rPr>
        <w:t>in Annex</w:t>
      </w:r>
      <w:r w:rsidR="00F85E36">
        <w:rPr>
          <w:noProof/>
        </w:rPr>
        <w:t xml:space="preserve"> </w:t>
      </w:r>
      <w:r w:rsidR="00C66A21">
        <w:rPr>
          <w:noProof/>
        </w:rPr>
        <w:t>A14.4.1</w:t>
      </w:r>
      <w:r w:rsidR="00903D96">
        <w:rPr>
          <w:noProof/>
        </w:rPr>
        <w:t>.</w:t>
      </w:r>
    </w:p>
    <w:p w14:paraId="03185E72" w14:textId="13327D09" w:rsidR="00516A16" w:rsidRPr="00B25274" w:rsidRDefault="3982CBDC" w:rsidP="001C6A59">
      <w:pPr>
        <w:pStyle w:val="Heading5"/>
        <w:ind w:left="0" w:firstLine="0"/>
        <w:rPr>
          <w:noProof/>
          <w:sz w:val="24"/>
          <w:szCs w:val="24"/>
        </w:rPr>
      </w:pPr>
      <w:r w:rsidRPr="3982CBDC">
        <w:rPr>
          <w:noProof/>
          <w:sz w:val="24"/>
          <w:szCs w:val="24"/>
        </w:rPr>
        <w:t>At national level</w:t>
      </w:r>
    </w:p>
    <w:p w14:paraId="35C9AB0B" w14:textId="22AA6556" w:rsidR="003C7378" w:rsidRDefault="3982CBDC" w:rsidP="001C14D7">
      <w:pPr>
        <w:spacing w:after="120"/>
        <w:rPr>
          <w:noProof/>
        </w:rPr>
      </w:pPr>
      <w:r>
        <w:rPr>
          <w:noProof/>
        </w:rPr>
        <w:t>Member States</w:t>
      </w:r>
      <w:r w:rsidR="000078DB">
        <w:rPr>
          <w:noProof/>
        </w:rPr>
        <w:t xml:space="preserve"> can expect higher</w:t>
      </w:r>
      <w:r>
        <w:rPr>
          <w:noProof/>
        </w:rPr>
        <w:t xml:space="preserve"> costs </w:t>
      </w:r>
      <w:r w:rsidR="001C14D7">
        <w:rPr>
          <w:noProof/>
        </w:rPr>
        <w:t>for enforcing</w:t>
      </w:r>
      <w:r>
        <w:rPr>
          <w:noProof/>
        </w:rPr>
        <w:t xml:space="preserve"> the quota system</w:t>
      </w:r>
      <w:r w:rsidR="001C6A59">
        <w:rPr>
          <w:noProof/>
        </w:rPr>
        <w:t xml:space="preserve">, </w:t>
      </w:r>
      <w:r w:rsidR="000078DB">
        <w:rPr>
          <w:noProof/>
        </w:rPr>
        <w:t xml:space="preserve">e.g. </w:t>
      </w:r>
      <w:r w:rsidR="001C14D7">
        <w:rPr>
          <w:noProof/>
        </w:rPr>
        <w:t>requirements for customs and importers</w:t>
      </w:r>
      <w:r w:rsidR="001C14D7">
        <w:rPr>
          <w:rStyle w:val="FootnoteReference"/>
          <w:noProof/>
        </w:rPr>
        <w:footnoteReference w:id="104"/>
      </w:r>
      <w:r>
        <w:rPr>
          <w:noProof/>
        </w:rPr>
        <w:t xml:space="preserve"> (all options</w:t>
      </w:r>
      <w:r w:rsidR="001C14D7">
        <w:rPr>
          <w:noProof/>
        </w:rPr>
        <w:t>) and</w:t>
      </w:r>
      <w:r w:rsidR="002A51DE">
        <w:rPr>
          <w:noProof/>
        </w:rPr>
        <w:t xml:space="preserve"> </w:t>
      </w:r>
      <w:r>
        <w:rPr>
          <w:noProof/>
        </w:rPr>
        <w:t>new prohibitions (</w:t>
      </w:r>
      <w:r w:rsidR="002A51DE">
        <w:rPr>
          <w:noProof/>
        </w:rPr>
        <w:t>mostly</w:t>
      </w:r>
      <w:r>
        <w:rPr>
          <w:noProof/>
        </w:rPr>
        <w:t xml:space="preserve"> Option 2 and 3);</w:t>
      </w:r>
      <w:r w:rsidR="001C14D7">
        <w:rPr>
          <w:noProof/>
        </w:rPr>
        <w:t xml:space="preserve"> for </w:t>
      </w:r>
      <w:r>
        <w:rPr>
          <w:noProof/>
        </w:rPr>
        <w:t xml:space="preserve">updating certification and training </w:t>
      </w:r>
      <w:r w:rsidR="002A51DE">
        <w:rPr>
          <w:noProof/>
        </w:rPr>
        <w:t xml:space="preserve">programmes </w:t>
      </w:r>
      <w:r>
        <w:rPr>
          <w:noProof/>
        </w:rPr>
        <w:t>(Option 2 and 3</w:t>
      </w:r>
      <w:r w:rsidR="001C14D7">
        <w:rPr>
          <w:noProof/>
        </w:rPr>
        <w:t>)</w:t>
      </w:r>
      <w:r w:rsidR="0057300B">
        <w:rPr>
          <w:noProof/>
        </w:rPr>
        <w:t xml:space="preserve"> </w:t>
      </w:r>
      <w:r w:rsidR="002A51DE">
        <w:rPr>
          <w:noProof/>
        </w:rPr>
        <w:t xml:space="preserve">and </w:t>
      </w:r>
      <w:r w:rsidR="000078DB">
        <w:rPr>
          <w:noProof/>
        </w:rPr>
        <w:t xml:space="preserve">for </w:t>
      </w:r>
      <w:r>
        <w:rPr>
          <w:noProof/>
        </w:rPr>
        <w:t>setting up nat</w:t>
      </w:r>
      <w:r w:rsidR="0057300B">
        <w:rPr>
          <w:noProof/>
        </w:rPr>
        <w:t xml:space="preserve">ional databases </w:t>
      </w:r>
      <w:r>
        <w:rPr>
          <w:noProof/>
        </w:rPr>
        <w:t>(Option 2</w:t>
      </w:r>
      <w:r w:rsidR="001C14D7">
        <w:rPr>
          <w:noProof/>
        </w:rPr>
        <w:t>:</w:t>
      </w:r>
      <w:r>
        <w:rPr>
          <w:noProof/>
        </w:rPr>
        <w:t xml:space="preserve"> encouraged and 3</w:t>
      </w:r>
      <w:r w:rsidR="001C14D7">
        <w:rPr>
          <w:noProof/>
        </w:rPr>
        <w:t>:</w:t>
      </w:r>
      <w:r>
        <w:rPr>
          <w:noProof/>
        </w:rPr>
        <w:t xml:space="preserve"> </w:t>
      </w:r>
      <w:r w:rsidR="0019357A">
        <w:rPr>
          <w:noProof/>
        </w:rPr>
        <w:t>required</w:t>
      </w:r>
      <w:r>
        <w:rPr>
          <w:noProof/>
        </w:rPr>
        <w:t xml:space="preserve">). </w:t>
      </w:r>
      <w:r w:rsidR="0019357A">
        <w:rPr>
          <w:noProof/>
        </w:rPr>
        <w:t xml:space="preserve">Further costs may </w:t>
      </w:r>
      <w:r w:rsidR="000078DB">
        <w:rPr>
          <w:noProof/>
        </w:rPr>
        <w:t>relate to other new measures</w:t>
      </w:r>
      <w:r w:rsidR="00C408BA">
        <w:rPr>
          <w:noProof/>
        </w:rPr>
        <w:t xml:space="preserve">, </w:t>
      </w:r>
      <w:r w:rsidR="001C14D7">
        <w:rPr>
          <w:noProof/>
        </w:rPr>
        <w:t xml:space="preserve">e.g. </w:t>
      </w:r>
      <w:r w:rsidR="0019357A">
        <w:rPr>
          <w:noProof/>
        </w:rPr>
        <w:t xml:space="preserve">the requirement </w:t>
      </w:r>
      <w:r w:rsidR="00C408BA">
        <w:rPr>
          <w:noProof/>
        </w:rPr>
        <w:t>to</w:t>
      </w:r>
      <w:r w:rsidR="0019357A">
        <w:rPr>
          <w:noProof/>
        </w:rPr>
        <w:t xml:space="preserve"> recover foams at end of life</w:t>
      </w:r>
      <w:r w:rsidR="000078DB">
        <w:rPr>
          <w:noProof/>
        </w:rPr>
        <w:t xml:space="preserve"> (all options)</w:t>
      </w:r>
      <w:r w:rsidR="0019357A">
        <w:rPr>
          <w:noProof/>
        </w:rPr>
        <w:t xml:space="preserve">. </w:t>
      </w:r>
      <w:r>
        <w:rPr>
          <w:noProof/>
        </w:rPr>
        <w:t xml:space="preserve">Cost savings are </w:t>
      </w:r>
      <w:r w:rsidR="001C14D7">
        <w:rPr>
          <w:noProof/>
        </w:rPr>
        <w:t xml:space="preserve">expected due to the alignment of </w:t>
      </w:r>
      <w:r>
        <w:rPr>
          <w:noProof/>
        </w:rPr>
        <w:t xml:space="preserve">reporting and verification thresholds </w:t>
      </w:r>
      <w:r w:rsidR="001C14D7">
        <w:rPr>
          <w:noProof/>
        </w:rPr>
        <w:t xml:space="preserve">and the </w:t>
      </w:r>
      <w:r>
        <w:rPr>
          <w:noProof/>
        </w:rPr>
        <w:t>obligation to submit nil reports</w:t>
      </w:r>
      <w:r w:rsidR="001C14D7">
        <w:rPr>
          <w:noProof/>
        </w:rPr>
        <w:t xml:space="preserve"> (all options).</w:t>
      </w:r>
      <w:r w:rsidR="0019357A">
        <w:rPr>
          <w:noProof/>
        </w:rPr>
        <w:t xml:space="preserve"> Overall, </w:t>
      </w:r>
      <w:r w:rsidR="00FC1A2A">
        <w:rPr>
          <w:noProof/>
        </w:rPr>
        <w:t xml:space="preserve">Option 1 will add </w:t>
      </w:r>
      <w:r w:rsidR="00C408BA">
        <w:rPr>
          <w:noProof/>
        </w:rPr>
        <w:t>few</w:t>
      </w:r>
      <w:r>
        <w:rPr>
          <w:noProof/>
        </w:rPr>
        <w:t xml:space="preserve"> costs, while the recurrent costs for Option 2 and particularly Option 3 are </w:t>
      </w:r>
      <w:r w:rsidR="00C408BA">
        <w:rPr>
          <w:noProof/>
        </w:rPr>
        <w:t>somewhat larger</w:t>
      </w:r>
      <w:r w:rsidR="00FC1A2A">
        <w:rPr>
          <w:noProof/>
        </w:rPr>
        <w:t xml:space="preserve"> (An average of </w:t>
      </w:r>
      <w:r w:rsidR="00C408BA">
        <w:rPr>
          <w:noProof/>
        </w:rPr>
        <w:t>310</w:t>
      </w:r>
      <w:r>
        <w:rPr>
          <w:noProof/>
        </w:rPr>
        <w:t xml:space="preserve"> </w:t>
      </w:r>
      <w:r w:rsidR="00FC1A2A">
        <w:rPr>
          <w:noProof/>
        </w:rPr>
        <w:t xml:space="preserve">(Option 2) and </w:t>
      </w:r>
      <w:r w:rsidR="00C408BA">
        <w:rPr>
          <w:noProof/>
        </w:rPr>
        <w:t>468</w:t>
      </w:r>
      <w:r>
        <w:rPr>
          <w:noProof/>
        </w:rPr>
        <w:t xml:space="preserve"> (Option 3) addition</w:t>
      </w:r>
      <w:r w:rsidR="00FC1A2A">
        <w:rPr>
          <w:noProof/>
        </w:rPr>
        <w:t xml:space="preserve">al person days per </w:t>
      </w:r>
      <w:r w:rsidR="00C408BA">
        <w:rPr>
          <w:noProof/>
        </w:rPr>
        <w:t xml:space="preserve">year and per </w:t>
      </w:r>
      <w:r w:rsidR="00FC1A2A">
        <w:rPr>
          <w:noProof/>
        </w:rPr>
        <w:t>Member State</w:t>
      </w:r>
      <w:r w:rsidR="001C6A59">
        <w:rPr>
          <w:noProof/>
        </w:rPr>
        <w:t>)</w:t>
      </w:r>
      <w:r>
        <w:rPr>
          <w:noProof/>
        </w:rPr>
        <w:t>. Option 3 also adds some upfront costs</w:t>
      </w:r>
      <w:r w:rsidR="002A51DE">
        <w:rPr>
          <w:noProof/>
        </w:rPr>
        <w:t xml:space="preserve">, see </w:t>
      </w:r>
      <w:r w:rsidR="000078DB">
        <w:rPr>
          <w:noProof/>
        </w:rPr>
        <w:t>Table 8 and</w:t>
      </w:r>
      <w:r w:rsidR="00C408BA">
        <w:rPr>
          <w:noProof/>
        </w:rPr>
        <w:t xml:space="preserve"> Annex </w:t>
      </w:r>
      <w:r w:rsidR="00C66A21">
        <w:rPr>
          <w:noProof/>
        </w:rPr>
        <w:t>A14.4.2</w:t>
      </w:r>
      <w:r w:rsidR="00C408BA">
        <w:rPr>
          <w:noProof/>
        </w:rPr>
        <w:t>.</w:t>
      </w:r>
    </w:p>
    <w:p w14:paraId="73A9A8AB" w14:textId="55D14889" w:rsidR="00530CC3" w:rsidRPr="001C6A59" w:rsidRDefault="00530CC3" w:rsidP="007604FE">
      <w:pPr>
        <w:pStyle w:val="Caption"/>
        <w:rPr>
          <w:rFonts w:asciiTheme="minorHAnsi" w:hAnsiTheme="minorHAnsi" w:cstheme="minorHAnsi"/>
          <w:noProof/>
        </w:rPr>
      </w:pPr>
      <w:bookmarkStart w:id="229" w:name="_Ref85728365"/>
      <w:r w:rsidRPr="001C6A59">
        <w:rPr>
          <w:rFonts w:asciiTheme="minorHAnsi" w:hAnsiTheme="minorHAnsi" w:cstheme="minorHAnsi"/>
          <w:b/>
          <w:bCs/>
          <w:noProof/>
        </w:rPr>
        <w:t xml:space="preserve">Table </w:t>
      </w:r>
      <w:r w:rsidR="008574E2" w:rsidRPr="001C6A59">
        <w:rPr>
          <w:rFonts w:asciiTheme="minorHAnsi" w:hAnsiTheme="minorHAnsi" w:cstheme="minorHAnsi"/>
          <w:noProof/>
        </w:rPr>
        <w:fldChar w:fldCharType="begin"/>
      </w:r>
      <w:r w:rsidR="008574E2" w:rsidRPr="001C6A59">
        <w:rPr>
          <w:rFonts w:asciiTheme="minorHAnsi" w:hAnsiTheme="minorHAnsi" w:cstheme="minorHAnsi"/>
          <w:b/>
          <w:noProof/>
        </w:rPr>
        <w:instrText xml:space="preserve"> SEQ Table \* ARABIC </w:instrText>
      </w:r>
      <w:r w:rsidR="008574E2" w:rsidRPr="001C6A59">
        <w:rPr>
          <w:rFonts w:asciiTheme="minorHAnsi" w:hAnsiTheme="minorHAnsi" w:cstheme="minorHAnsi"/>
          <w:b/>
          <w:noProof/>
        </w:rPr>
        <w:fldChar w:fldCharType="separate"/>
      </w:r>
      <w:r w:rsidR="00830261">
        <w:rPr>
          <w:rFonts w:asciiTheme="minorHAnsi" w:hAnsiTheme="minorHAnsi" w:cstheme="minorHAnsi"/>
          <w:b/>
          <w:noProof/>
        </w:rPr>
        <w:t>8</w:t>
      </w:r>
      <w:r w:rsidR="008574E2" w:rsidRPr="001C6A59">
        <w:rPr>
          <w:rFonts w:asciiTheme="minorHAnsi" w:hAnsiTheme="minorHAnsi" w:cstheme="minorHAnsi"/>
          <w:noProof/>
        </w:rPr>
        <w:fldChar w:fldCharType="end"/>
      </w:r>
      <w:r w:rsidRPr="001C6A59">
        <w:rPr>
          <w:rFonts w:asciiTheme="minorHAnsi" w:hAnsiTheme="minorHAnsi" w:cstheme="minorHAnsi"/>
          <w:noProof/>
        </w:rPr>
        <w:t xml:space="preserve">. </w:t>
      </w:r>
      <w:r w:rsidR="00516A16" w:rsidRPr="001C6A59">
        <w:rPr>
          <w:rFonts w:asciiTheme="minorHAnsi" w:hAnsiTheme="minorHAnsi" w:cstheme="minorHAnsi"/>
          <w:noProof/>
        </w:rPr>
        <w:t>Additional administrative costs expected for authorit</w:t>
      </w:r>
      <w:r w:rsidRPr="001C6A59">
        <w:rPr>
          <w:rFonts w:asciiTheme="minorHAnsi" w:hAnsiTheme="minorHAnsi" w:cstheme="minorHAnsi"/>
          <w:noProof/>
        </w:rPr>
        <w:t>i</w:t>
      </w:r>
      <w:r w:rsidR="00516A16" w:rsidRPr="001C6A59">
        <w:rPr>
          <w:rFonts w:asciiTheme="minorHAnsi" w:hAnsiTheme="minorHAnsi" w:cstheme="minorHAnsi"/>
          <w:noProof/>
        </w:rPr>
        <w:t xml:space="preserve">es as a result of the three policy options </w:t>
      </w:r>
      <w:r w:rsidR="007604FE" w:rsidRPr="001C6A59">
        <w:rPr>
          <w:rFonts w:asciiTheme="minorHAnsi" w:hAnsiTheme="minorHAnsi" w:cstheme="minorHAnsi"/>
          <w:noProof/>
        </w:rPr>
        <w:t xml:space="preserve">in person days </w:t>
      </w:r>
      <w:r w:rsidR="00516A16" w:rsidRPr="001C6A59">
        <w:rPr>
          <w:rFonts w:asciiTheme="minorHAnsi" w:hAnsiTheme="minorHAnsi" w:cstheme="minorHAnsi"/>
          <w:noProof/>
        </w:rPr>
        <w:t>(EC: European Commission, EEA: European Environmental Agency, MS: Member States</w:t>
      </w:r>
      <w:r w:rsidRPr="001C6A59">
        <w:rPr>
          <w:rFonts w:asciiTheme="minorHAnsi" w:hAnsiTheme="minorHAnsi" w:cstheme="minorHAnsi"/>
          <w:noProof/>
        </w:rPr>
        <w:t>)</w:t>
      </w:r>
      <w:bookmarkEnd w:id="229"/>
    </w:p>
    <w:tbl>
      <w:tblPr>
        <w:tblStyle w:val="Mainbidtables2"/>
        <w:tblW w:w="0" w:type="auto"/>
        <w:jc w:val="center"/>
        <w:tblLayout w:type="fixed"/>
        <w:tblLook w:val="04A0" w:firstRow="1" w:lastRow="0" w:firstColumn="1" w:lastColumn="0" w:noHBand="0" w:noVBand="1"/>
      </w:tblPr>
      <w:tblGrid>
        <w:gridCol w:w="1358"/>
        <w:gridCol w:w="2794"/>
        <w:gridCol w:w="15"/>
        <w:gridCol w:w="1268"/>
        <w:gridCol w:w="1269"/>
        <w:gridCol w:w="1269"/>
      </w:tblGrid>
      <w:tr w:rsidR="00BA23A3" w:rsidRPr="00516A16" w14:paraId="6EA2BFD9" w14:textId="77777777" w:rsidTr="3F3807E4">
        <w:trPr>
          <w:cnfStyle w:val="100000000000" w:firstRow="1" w:lastRow="0" w:firstColumn="0" w:lastColumn="0" w:oddVBand="0" w:evenVBand="0" w:oddHBand="0" w:evenHBand="0" w:firstRowFirstColumn="0" w:firstRowLastColumn="0" w:lastRowFirstColumn="0" w:lastRowLastColumn="0"/>
          <w:trHeight w:val="300"/>
          <w:jc w:val="center"/>
        </w:trPr>
        <w:tc>
          <w:tcPr>
            <w:tcW w:w="4167" w:type="dxa"/>
            <w:gridSpan w:val="3"/>
            <w:shd w:val="clear" w:color="auto" w:fill="D9D9D9" w:themeFill="background1" w:themeFillShade="D9"/>
            <w:noWrap/>
            <w:hideMark/>
          </w:tcPr>
          <w:p w14:paraId="7870BC3D" w14:textId="51217A49" w:rsidR="00BA23A3" w:rsidRPr="001C6A59" w:rsidRDefault="00BA23A3">
            <w:pPr>
              <w:rPr>
                <w:rFonts w:ascii="Arial" w:hAnsi="Arial" w:cs="Arial"/>
                <w:i/>
                <w:noProof/>
                <w:color w:val="auto"/>
                <w:sz w:val="20"/>
              </w:rPr>
            </w:pPr>
            <w:r w:rsidRPr="001C6A59">
              <w:rPr>
                <w:rFonts w:ascii="Arial" w:hAnsi="Arial" w:cs="Arial"/>
                <w:i/>
                <w:noProof/>
                <w:color w:val="auto"/>
                <w:sz w:val="20"/>
              </w:rPr>
              <w:t>Person days</w:t>
            </w:r>
          </w:p>
        </w:tc>
        <w:tc>
          <w:tcPr>
            <w:tcW w:w="1268" w:type="dxa"/>
            <w:shd w:val="clear" w:color="auto" w:fill="D9D9D9" w:themeFill="background1" w:themeFillShade="D9"/>
            <w:noWrap/>
            <w:hideMark/>
          </w:tcPr>
          <w:p w14:paraId="17F26700" w14:textId="77777777" w:rsidR="00BA23A3" w:rsidRPr="001C6A59" w:rsidRDefault="00BA23A3" w:rsidP="3982CBDC">
            <w:pPr>
              <w:ind w:left="0"/>
              <w:rPr>
                <w:rFonts w:ascii="Arial" w:hAnsi="Arial" w:cs="Arial"/>
                <w:b/>
                <w:bCs/>
                <w:noProof/>
                <w:color w:val="auto"/>
                <w:sz w:val="20"/>
              </w:rPr>
            </w:pPr>
            <w:r w:rsidRPr="001C6A59">
              <w:rPr>
                <w:rFonts w:ascii="Arial" w:hAnsi="Arial" w:cs="Arial"/>
                <w:b/>
                <w:bCs/>
                <w:noProof/>
                <w:color w:val="auto"/>
                <w:sz w:val="20"/>
              </w:rPr>
              <w:t>Option 1</w:t>
            </w:r>
          </w:p>
        </w:tc>
        <w:tc>
          <w:tcPr>
            <w:tcW w:w="1269" w:type="dxa"/>
            <w:shd w:val="clear" w:color="auto" w:fill="D9D9D9" w:themeFill="background1" w:themeFillShade="D9"/>
            <w:noWrap/>
            <w:hideMark/>
          </w:tcPr>
          <w:p w14:paraId="496621C6" w14:textId="77777777" w:rsidR="00BA23A3" w:rsidRPr="001C6A59" w:rsidRDefault="00BA23A3" w:rsidP="3982CBDC">
            <w:pPr>
              <w:ind w:left="0"/>
              <w:rPr>
                <w:rFonts w:ascii="Arial" w:hAnsi="Arial" w:cs="Arial"/>
                <w:b/>
                <w:bCs/>
                <w:noProof/>
                <w:color w:val="auto"/>
                <w:sz w:val="20"/>
              </w:rPr>
            </w:pPr>
            <w:r w:rsidRPr="001C6A59">
              <w:rPr>
                <w:rFonts w:ascii="Arial" w:hAnsi="Arial" w:cs="Arial"/>
                <w:b/>
                <w:bCs/>
                <w:noProof/>
                <w:color w:val="auto"/>
                <w:sz w:val="20"/>
              </w:rPr>
              <w:t>Option 2</w:t>
            </w:r>
          </w:p>
        </w:tc>
        <w:tc>
          <w:tcPr>
            <w:tcW w:w="1269" w:type="dxa"/>
            <w:shd w:val="clear" w:color="auto" w:fill="D9D9D9" w:themeFill="background1" w:themeFillShade="D9"/>
            <w:noWrap/>
            <w:hideMark/>
          </w:tcPr>
          <w:p w14:paraId="6E2A7A4D" w14:textId="77777777" w:rsidR="00BA23A3" w:rsidRPr="001C6A59" w:rsidRDefault="00BA23A3" w:rsidP="3982CBDC">
            <w:pPr>
              <w:ind w:left="0"/>
              <w:jc w:val="center"/>
              <w:rPr>
                <w:rFonts w:ascii="Arial" w:hAnsi="Arial" w:cs="Arial"/>
                <w:b/>
                <w:bCs/>
                <w:noProof/>
                <w:color w:val="auto"/>
                <w:sz w:val="20"/>
              </w:rPr>
            </w:pPr>
            <w:r w:rsidRPr="001C6A59">
              <w:rPr>
                <w:rFonts w:ascii="Arial" w:hAnsi="Arial" w:cs="Arial"/>
                <w:b/>
                <w:bCs/>
                <w:noProof/>
                <w:color w:val="auto"/>
                <w:sz w:val="20"/>
              </w:rPr>
              <w:t>Option 3</w:t>
            </w:r>
          </w:p>
        </w:tc>
      </w:tr>
      <w:tr w:rsidR="00516A16" w:rsidRPr="00516A16" w14:paraId="21AFC8D0" w14:textId="77777777" w:rsidTr="3F3807E4">
        <w:trPr>
          <w:cnfStyle w:val="000000100000" w:firstRow="0" w:lastRow="0" w:firstColumn="0" w:lastColumn="0" w:oddVBand="0" w:evenVBand="0" w:oddHBand="1" w:evenHBand="0" w:firstRowFirstColumn="0" w:firstRowLastColumn="0" w:lastRowFirstColumn="0" w:lastRowLastColumn="0"/>
          <w:trHeight w:val="283"/>
          <w:jc w:val="center"/>
        </w:trPr>
        <w:tc>
          <w:tcPr>
            <w:tcW w:w="1358" w:type="dxa"/>
            <w:noWrap/>
            <w:hideMark/>
          </w:tcPr>
          <w:p w14:paraId="74A6ECFA" w14:textId="77777777" w:rsidR="00516A16" w:rsidRPr="001C6A59" w:rsidRDefault="3982CBDC" w:rsidP="3982CBDC">
            <w:pPr>
              <w:ind w:left="0"/>
              <w:jc w:val="left"/>
              <w:rPr>
                <w:rFonts w:asciiTheme="minorHAnsi" w:hAnsiTheme="minorHAnsi" w:cstheme="minorHAnsi"/>
                <w:b/>
                <w:bCs/>
                <w:noProof/>
                <w:sz w:val="20"/>
              </w:rPr>
            </w:pPr>
            <w:r w:rsidRPr="001C6A59">
              <w:rPr>
                <w:rFonts w:asciiTheme="minorHAnsi" w:hAnsiTheme="minorHAnsi" w:cstheme="minorHAnsi"/>
                <w:b/>
                <w:bCs/>
                <w:noProof/>
                <w:sz w:val="20"/>
              </w:rPr>
              <w:t>EC</w:t>
            </w:r>
          </w:p>
        </w:tc>
        <w:tc>
          <w:tcPr>
            <w:tcW w:w="2794" w:type="dxa"/>
            <w:noWrap/>
            <w:hideMark/>
          </w:tcPr>
          <w:p w14:paraId="42DE2A7B" w14:textId="1396EBDB" w:rsidR="00516A16" w:rsidRPr="001C6A59" w:rsidRDefault="3982CBDC" w:rsidP="00BA23A3">
            <w:pPr>
              <w:jc w:val="left"/>
              <w:rPr>
                <w:rFonts w:asciiTheme="minorHAnsi" w:hAnsiTheme="minorHAnsi" w:cstheme="minorHAnsi"/>
                <w:noProof/>
                <w:sz w:val="20"/>
              </w:rPr>
            </w:pPr>
            <w:r w:rsidRPr="001C6A59">
              <w:rPr>
                <w:rFonts w:asciiTheme="minorHAnsi" w:hAnsiTheme="minorHAnsi" w:cstheme="minorHAnsi"/>
                <w:noProof/>
                <w:sz w:val="20"/>
              </w:rPr>
              <w:t>Upfront</w:t>
            </w:r>
            <w:r w:rsidR="00683DBB" w:rsidRPr="001C6A59">
              <w:rPr>
                <w:rFonts w:asciiTheme="minorHAnsi" w:hAnsiTheme="minorHAnsi" w:cstheme="minorHAnsi"/>
                <w:noProof/>
                <w:sz w:val="20"/>
              </w:rPr>
              <w:t xml:space="preserve"> (one-off)</w:t>
            </w:r>
          </w:p>
        </w:tc>
        <w:tc>
          <w:tcPr>
            <w:tcW w:w="1283" w:type="dxa"/>
            <w:gridSpan w:val="2"/>
            <w:noWrap/>
            <w:hideMark/>
          </w:tcPr>
          <w:p w14:paraId="60108DAB" w14:textId="71A4895E" w:rsidR="00516A16" w:rsidRPr="001C6A59" w:rsidRDefault="002F6827" w:rsidP="007604FE">
            <w:pPr>
              <w:ind w:left="0"/>
              <w:jc w:val="center"/>
              <w:rPr>
                <w:rFonts w:asciiTheme="minorHAnsi" w:hAnsiTheme="minorHAnsi" w:cstheme="minorHAnsi"/>
                <w:noProof/>
                <w:sz w:val="20"/>
              </w:rPr>
            </w:pPr>
            <w:r w:rsidRPr="001C6A59">
              <w:rPr>
                <w:rFonts w:asciiTheme="minorHAnsi" w:hAnsiTheme="minorHAnsi" w:cstheme="minorHAnsi"/>
                <w:noProof/>
                <w:sz w:val="20"/>
              </w:rPr>
              <w:t>10</w:t>
            </w:r>
          </w:p>
        </w:tc>
        <w:tc>
          <w:tcPr>
            <w:tcW w:w="1269" w:type="dxa"/>
            <w:noWrap/>
            <w:hideMark/>
          </w:tcPr>
          <w:p w14:paraId="7617C2EB" w14:textId="6305B472" w:rsidR="00516A16" w:rsidRPr="001C6A59" w:rsidRDefault="00E623EE" w:rsidP="007604FE">
            <w:pPr>
              <w:ind w:left="0"/>
              <w:jc w:val="center"/>
              <w:rPr>
                <w:rFonts w:asciiTheme="minorHAnsi" w:hAnsiTheme="minorHAnsi" w:cstheme="minorHAnsi"/>
                <w:noProof/>
                <w:sz w:val="20"/>
              </w:rPr>
            </w:pPr>
            <w:r w:rsidRPr="001C6A59">
              <w:rPr>
                <w:rFonts w:asciiTheme="minorHAnsi" w:hAnsiTheme="minorHAnsi" w:cstheme="minorHAnsi"/>
                <w:noProof/>
                <w:sz w:val="20"/>
              </w:rPr>
              <w:t>2,215</w:t>
            </w:r>
          </w:p>
        </w:tc>
        <w:tc>
          <w:tcPr>
            <w:tcW w:w="1269" w:type="dxa"/>
            <w:noWrap/>
            <w:hideMark/>
          </w:tcPr>
          <w:p w14:paraId="089D9D7F" w14:textId="76219569" w:rsidR="00516A16" w:rsidRPr="001C6A59" w:rsidRDefault="00E623EE" w:rsidP="007604FE">
            <w:pPr>
              <w:ind w:left="0"/>
              <w:jc w:val="center"/>
              <w:rPr>
                <w:rFonts w:asciiTheme="minorHAnsi" w:hAnsiTheme="minorHAnsi" w:cstheme="minorHAnsi"/>
                <w:noProof/>
                <w:sz w:val="20"/>
              </w:rPr>
            </w:pPr>
            <w:r w:rsidRPr="001C6A59">
              <w:rPr>
                <w:rFonts w:asciiTheme="minorHAnsi" w:hAnsiTheme="minorHAnsi" w:cstheme="minorHAnsi"/>
                <w:noProof/>
                <w:sz w:val="20"/>
              </w:rPr>
              <w:t>2,215</w:t>
            </w:r>
          </w:p>
        </w:tc>
      </w:tr>
      <w:tr w:rsidR="00516A16" w:rsidRPr="00516A16" w14:paraId="656D6E30" w14:textId="77777777" w:rsidTr="3F3807E4">
        <w:trPr>
          <w:cnfStyle w:val="000000010000" w:firstRow="0" w:lastRow="0" w:firstColumn="0" w:lastColumn="0" w:oddVBand="0" w:evenVBand="0" w:oddHBand="0" w:evenHBand="1" w:firstRowFirstColumn="0" w:firstRowLastColumn="0" w:lastRowFirstColumn="0" w:lastRowLastColumn="0"/>
          <w:trHeight w:val="283"/>
          <w:jc w:val="center"/>
        </w:trPr>
        <w:tc>
          <w:tcPr>
            <w:tcW w:w="1358" w:type="dxa"/>
            <w:noWrap/>
            <w:hideMark/>
          </w:tcPr>
          <w:p w14:paraId="6FB78576" w14:textId="77777777" w:rsidR="00516A16" w:rsidRPr="001C6A59" w:rsidRDefault="00516A16" w:rsidP="00516A16">
            <w:pPr>
              <w:jc w:val="left"/>
              <w:rPr>
                <w:rFonts w:asciiTheme="minorHAnsi" w:hAnsiTheme="minorHAnsi" w:cstheme="minorHAnsi"/>
                <w:b/>
                <w:noProof/>
                <w:sz w:val="20"/>
              </w:rPr>
            </w:pPr>
          </w:p>
        </w:tc>
        <w:tc>
          <w:tcPr>
            <w:tcW w:w="2794" w:type="dxa"/>
            <w:noWrap/>
            <w:hideMark/>
          </w:tcPr>
          <w:p w14:paraId="6E87FF05" w14:textId="2B807F34" w:rsidR="00516A16" w:rsidRPr="001C6A59" w:rsidRDefault="3982CBDC" w:rsidP="00BA23A3">
            <w:pPr>
              <w:jc w:val="left"/>
              <w:rPr>
                <w:rFonts w:asciiTheme="minorHAnsi" w:hAnsiTheme="minorHAnsi" w:cstheme="minorHAnsi"/>
                <w:noProof/>
                <w:sz w:val="20"/>
              </w:rPr>
            </w:pPr>
            <w:r w:rsidRPr="001C6A59">
              <w:rPr>
                <w:rFonts w:asciiTheme="minorHAnsi" w:hAnsiTheme="minorHAnsi" w:cstheme="minorHAnsi"/>
                <w:noProof/>
                <w:sz w:val="20"/>
              </w:rPr>
              <w:t>Ongoing</w:t>
            </w:r>
            <w:r w:rsidR="00BA23A3" w:rsidRPr="001C6A59">
              <w:rPr>
                <w:rFonts w:asciiTheme="minorHAnsi" w:hAnsiTheme="minorHAnsi" w:cstheme="minorHAnsi"/>
                <w:noProof/>
                <w:sz w:val="20"/>
              </w:rPr>
              <w:t xml:space="preserve"> (per year)</w:t>
            </w:r>
          </w:p>
        </w:tc>
        <w:tc>
          <w:tcPr>
            <w:tcW w:w="1283" w:type="dxa"/>
            <w:gridSpan w:val="2"/>
            <w:noWrap/>
            <w:hideMark/>
          </w:tcPr>
          <w:p w14:paraId="724F4618" w14:textId="7420EFD0" w:rsidR="00516A16" w:rsidRPr="001C6A59" w:rsidRDefault="002F6827" w:rsidP="007604FE">
            <w:pPr>
              <w:ind w:left="0"/>
              <w:jc w:val="center"/>
              <w:rPr>
                <w:rFonts w:asciiTheme="minorHAnsi" w:hAnsiTheme="minorHAnsi" w:cstheme="minorHAnsi"/>
                <w:noProof/>
                <w:sz w:val="20"/>
              </w:rPr>
            </w:pPr>
            <w:r w:rsidRPr="001C6A59">
              <w:rPr>
                <w:rFonts w:asciiTheme="minorHAnsi" w:hAnsiTheme="minorHAnsi" w:cstheme="minorHAnsi"/>
                <w:noProof/>
                <w:sz w:val="20"/>
              </w:rPr>
              <w:t>102</w:t>
            </w:r>
          </w:p>
        </w:tc>
        <w:tc>
          <w:tcPr>
            <w:tcW w:w="1269" w:type="dxa"/>
            <w:noWrap/>
            <w:hideMark/>
          </w:tcPr>
          <w:p w14:paraId="6640FA7B" w14:textId="6B422202" w:rsidR="00516A16" w:rsidRPr="001C6A59" w:rsidRDefault="00E623EE" w:rsidP="002F6827">
            <w:pPr>
              <w:ind w:left="0"/>
              <w:jc w:val="center"/>
              <w:rPr>
                <w:rFonts w:asciiTheme="minorHAnsi" w:hAnsiTheme="minorHAnsi" w:cstheme="minorHAnsi"/>
                <w:noProof/>
                <w:sz w:val="20"/>
              </w:rPr>
            </w:pPr>
            <w:r w:rsidRPr="001C6A59">
              <w:rPr>
                <w:rFonts w:asciiTheme="minorHAnsi" w:hAnsiTheme="minorHAnsi" w:cstheme="minorHAnsi"/>
                <w:noProof/>
                <w:sz w:val="20"/>
              </w:rPr>
              <w:t>2,</w:t>
            </w:r>
            <w:r w:rsidR="002F6827" w:rsidRPr="001C6A59">
              <w:rPr>
                <w:rFonts w:asciiTheme="minorHAnsi" w:hAnsiTheme="minorHAnsi" w:cstheme="minorHAnsi"/>
                <w:noProof/>
                <w:sz w:val="20"/>
              </w:rPr>
              <w:t>313</w:t>
            </w:r>
          </w:p>
        </w:tc>
        <w:tc>
          <w:tcPr>
            <w:tcW w:w="1269" w:type="dxa"/>
            <w:noWrap/>
            <w:hideMark/>
          </w:tcPr>
          <w:p w14:paraId="65D632F2" w14:textId="02D5E946" w:rsidR="00516A16" w:rsidRPr="001C6A59" w:rsidRDefault="002F6827" w:rsidP="007604FE">
            <w:pPr>
              <w:ind w:left="0"/>
              <w:jc w:val="center"/>
              <w:rPr>
                <w:rFonts w:asciiTheme="minorHAnsi" w:hAnsiTheme="minorHAnsi" w:cstheme="minorHAnsi"/>
                <w:noProof/>
                <w:sz w:val="20"/>
              </w:rPr>
            </w:pPr>
            <w:r w:rsidRPr="001C6A59">
              <w:rPr>
                <w:rFonts w:asciiTheme="minorHAnsi" w:hAnsiTheme="minorHAnsi" w:cstheme="minorHAnsi"/>
                <w:noProof/>
                <w:sz w:val="20"/>
              </w:rPr>
              <w:t>2,338</w:t>
            </w:r>
          </w:p>
        </w:tc>
      </w:tr>
      <w:tr w:rsidR="00516A16" w:rsidRPr="00516A16" w14:paraId="03EF3318" w14:textId="77777777" w:rsidTr="3F3807E4">
        <w:trPr>
          <w:cnfStyle w:val="000000100000" w:firstRow="0" w:lastRow="0" w:firstColumn="0" w:lastColumn="0" w:oddVBand="0" w:evenVBand="0" w:oddHBand="1" w:evenHBand="0" w:firstRowFirstColumn="0" w:firstRowLastColumn="0" w:lastRowFirstColumn="0" w:lastRowLastColumn="0"/>
          <w:trHeight w:val="283"/>
          <w:jc w:val="center"/>
        </w:trPr>
        <w:tc>
          <w:tcPr>
            <w:tcW w:w="1358" w:type="dxa"/>
            <w:noWrap/>
            <w:hideMark/>
          </w:tcPr>
          <w:p w14:paraId="32292671" w14:textId="77777777" w:rsidR="00516A16" w:rsidRPr="001C6A59" w:rsidRDefault="3982CBDC" w:rsidP="3982CBDC">
            <w:pPr>
              <w:ind w:left="0"/>
              <w:jc w:val="left"/>
              <w:rPr>
                <w:rFonts w:asciiTheme="minorHAnsi" w:hAnsiTheme="minorHAnsi" w:cstheme="minorHAnsi"/>
                <w:b/>
                <w:bCs/>
                <w:noProof/>
                <w:sz w:val="20"/>
              </w:rPr>
            </w:pPr>
            <w:r w:rsidRPr="001C6A59">
              <w:rPr>
                <w:rFonts w:asciiTheme="minorHAnsi" w:hAnsiTheme="minorHAnsi" w:cstheme="minorHAnsi"/>
                <w:b/>
                <w:bCs/>
                <w:noProof/>
                <w:sz w:val="20"/>
              </w:rPr>
              <w:t>EEA</w:t>
            </w:r>
          </w:p>
        </w:tc>
        <w:tc>
          <w:tcPr>
            <w:tcW w:w="2794" w:type="dxa"/>
            <w:noWrap/>
            <w:hideMark/>
          </w:tcPr>
          <w:p w14:paraId="6FB49251" w14:textId="59AC1ABB" w:rsidR="00516A16" w:rsidRPr="001C6A59" w:rsidRDefault="3982CBDC" w:rsidP="00BA23A3">
            <w:pPr>
              <w:jc w:val="left"/>
              <w:rPr>
                <w:rFonts w:asciiTheme="minorHAnsi" w:hAnsiTheme="minorHAnsi" w:cstheme="minorHAnsi"/>
                <w:noProof/>
                <w:sz w:val="20"/>
              </w:rPr>
            </w:pPr>
            <w:r w:rsidRPr="001C6A59">
              <w:rPr>
                <w:rFonts w:asciiTheme="minorHAnsi" w:hAnsiTheme="minorHAnsi" w:cstheme="minorHAnsi"/>
                <w:noProof/>
                <w:sz w:val="20"/>
              </w:rPr>
              <w:t>Upfront</w:t>
            </w:r>
            <w:r w:rsidR="00683DBB" w:rsidRPr="001C6A59">
              <w:rPr>
                <w:rFonts w:asciiTheme="minorHAnsi" w:hAnsiTheme="minorHAnsi" w:cstheme="minorHAnsi"/>
                <w:noProof/>
                <w:sz w:val="20"/>
              </w:rPr>
              <w:t xml:space="preserve"> (one-off)</w:t>
            </w:r>
          </w:p>
        </w:tc>
        <w:tc>
          <w:tcPr>
            <w:tcW w:w="1283" w:type="dxa"/>
            <w:gridSpan w:val="2"/>
            <w:noWrap/>
            <w:hideMark/>
          </w:tcPr>
          <w:p w14:paraId="7D5E2263" w14:textId="2196A1BE" w:rsidR="00516A16" w:rsidRPr="001C6A59" w:rsidRDefault="3982CBDC" w:rsidP="007604FE">
            <w:pPr>
              <w:ind w:left="0"/>
              <w:jc w:val="center"/>
              <w:rPr>
                <w:rFonts w:asciiTheme="minorHAnsi" w:hAnsiTheme="minorHAnsi" w:cstheme="minorHAnsi"/>
                <w:noProof/>
                <w:sz w:val="20"/>
              </w:rPr>
            </w:pPr>
            <w:r w:rsidRPr="001C6A59">
              <w:rPr>
                <w:rFonts w:asciiTheme="minorHAnsi" w:hAnsiTheme="minorHAnsi" w:cstheme="minorHAnsi"/>
                <w:noProof/>
                <w:sz w:val="20"/>
              </w:rPr>
              <w:t>42</w:t>
            </w:r>
          </w:p>
        </w:tc>
        <w:tc>
          <w:tcPr>
            <w:tcW w:w="1269" w:type="dxa"/>
            <w:noWrap/>
            <w:hideMark/>
          </w:tcPr>
          <w:p w14:paraId="1F5A1EA3" w14:textId="057C1B43" w:rsidR="00516A16" w:rsidRPr="001C6A59" w:rsidRDefault="3982CBDC" w:rsidP="00D83695">
            <w:pPr>
              <w:ind w:left="0"/>
              <w:jc w:val="center"/>
              <w:rPr>
                <w:rFonts w:asciiTheme="minorHAnsi" w:hAnsiTheme="minorHAnsi" w:cstheme="minorHAnsi"/>
                <w:noProof/>
                <w:sz w:val="20"/>
              </w:rPr>
            </w:pPr>
            <w:r w:rsidRPr="001C6A59">
              <w:rPr>
                <w:rFonts w:asciiTheme="minorHAnsi" w:hAnsiTheme="minorHAnsi" w:cstheme="minorHAnsi"/>
                <w:noProof/>
                <w:sz w:val="20"/>
              </w:rPr>
              <w:t>142</w:t>
            </w:r>
          </w:p>
        </w:tc>
        <w:tc>
          <w:tcPr>
            <w:tcW w:w="1269" w:type="dxa"/>
            <w:noWrap/>
            <w:hideMark/>
          </w:tcPr>
          <w:p w14:paraId="5F5611A1" w14:textId="595DA195" w:rsidR="00516A16" w:rsidRPr="001C6A59" w:rsidRDefault="3982CBDC" w:rsidP="00D83695">
            <w:pPr>
              <w:ind w:left="0"/>
              <w:jc w:val="center"/>
              <w:rPr>
                <w:rFonts w:asciiTheme="minorHAnsi" w:hAnsiTheme="minorHAnsi" w:cstheme="minorHAnsi"/>
                <w:noProof/>
                <w:sz w:val="20"/>
              </w:rPr>
            </w:pPr>
            <w:r w:rsidRPr="001C6A59">
              <w:rPr>
                <w:rFonts w:asciiTheme="minorHAnsi" w:hAnsiTheme="minorHAnsi" w:cstheme="minorHAnsi"/>
                <w:noProof/>
                <w:sz w:val="20"/>
              </w:rPr>
              <w:t>292</w:t>
            </w:r>
          </w:p>
        </w:tc>
      </w:tr>
      <w:tr w:rsidR="00516A16" w:rsidRPr="00516A16" w14:paraId="387FF7B3" w14:textId="77777777" w:rsidTr="3F3807E4">
        <w:trPr>
          <w:cnfStyle w:val="000000010000" w:firstRow="0" w:lastRow="0" w:firstColumn="0" w:lastColumn="0" w:oddVBand="0" w:evenVBand="0" w:oddHBand="0" w:evenHBand="1" w:firstRowFirstColumn="0" w:firstRowLastColumn="0" w:lastRowFirstColumn="0" w:lastRowLastColumn="0"/>
          <w:trHeight w:val="283"/>
          <w:jc w:val="center"/>
        </w:trPr>
        <w:tc>
          <w:tcPr>
            <w:tcW w:w="1358" w:type="dxa"/>
            <w:noWrap/>
            <w:hideMark/>
          </w:tcPr>
          <w:p w14:paraId="0A87DEE3" w14:textId="77777777" w:rsidR="00516A16" w:rsidRPr="001C6A59" w:rsidRDefault="00516A16" w:rsidP="00516A16">
            <w:pPr>
              <w:jc w:val="left"/>
              <w:rPr>
                <w:rFonts w:asciiTheme="minorHAnsi" w:hAnsiTheme="minorHAnsi" w:cstheme="minorHAnsi"/>
                <w:b/>
                <w:noProof/>
                <w:sz w:val="20"/>
              </w:rPr>
            </w:pPr>
          </w:p>
        </w:tc>
        <w:tc>
          <w:tcPr>
            <w:tcW w:w="2794" w:type="dxa"/>
            <w:noWrap/>
            <w:hideMark/>
          </w:tcPr>
          <w:p w14:paraId="197E62AA" w14:textId="1D22E151" w:rsidR="00516A16" w:rsidRPr="001C6A59" w:rsidRDefault="3982CBDC" w:rsidP="00BA23A3">
            <w:pPr>
              <w:jc w:val="left"/>
              <w:rPr>
                <w:rFonts w:asciiTheme="minorHAnsi" w:hAnsiTheme="minorHAnsi" w:cstheme="minorHAnsi"/>
                <w:noProof/>
                <w:sz w:val="20"/>
              </w:rPr>
            </w:pPr>
            <w:r w:rsidRPr="001C6A59">
              <w:rPr>
                <w:rFonts w:asciiTheme="minorHAnsi" w:hAnsiTheme="minorHAnsi" w:cstheme="minorHAnsi"/>
                <w:noProof/>
                <w:sz w:val="20"/>
              </w:rPr>
              <w:t>Ongoing</w:t>
            </w:r>
            <w:r w:rsidR="00BA23A3" w:rsidRPr="001C6A59">
              <w:rPr>
                <w:rFonts w:asciiTheme="minorHAnsi" w:hAnsiTheme="minorHAnsi" w:cstheme="minorHAnsi"/>
                <w:noProof/>
                <w:sz w:val="20"/>
              </w:rPr>
              <w:t xml:space="preserve"> (per year)</w:t>
            </w:r>
          </w:p>
        </w:tc>
        <w:tc>
          <w:tcPr>
            <w:tcW w:w="1283" w:type="dxa"/>
            <w:gridSpan w:val="2"/>
            <w:noWrap/>
            <w:hideMark/>
          </w:tcPr>
          <w:p w14:paraId="209BD014" w14:textId="0EE5DC47" w:rsidR="00516A16" w:rsidRPr="001C6A59" w:rsidRDefault="3982CBDC" w:rsidP="00D83695">
            <w:pPr>
              <w:ind w:left="0"/>
              <w:jc w:val="center"/>
              <w:rPr>
                <w:rFonts w:asciiTheme="minorHAnsi" w:hAnsiTheme="minorHAnsi" w:cstheme="minorHAnsi"/>
                <w:noProof/>
                <w:sz w:val="20"/>
              </w:rPr>
            </w:pPr>
            <w:r w:rsidRPr="001C6A59">
              <w:rPr>
                <w:rFonts w:asciiTheme="minorHAnsi" w:hAnsiTheme="minorHAnsi" w:cstheme="minorHAnsi"/>
                <w:noProof/>
                <w:sz w:val="20"/>
              </w:rPr>
              <w:t>-2</w:t>
            </w:r>
          </w:p>
        </w:tc>
        <w:tc>
          <w:tcPr>
            <w:tcW w:w="1269" w:type="dxa"/>
            <w:noWrap/>
            <w:hideMark/>
          </w:tcPr>
          <w:p w14:paraId="148A4B36" w14:textId="525553F9" w:rsidR="00516A16" w:rsidRPr="001C6A59" w:rsidRDefault="00197893" w:rsidP="00D83695">
            <w:pPr>
              <w:ind w:left="0"/>
              <w:jc w:val="center"/>
              <w:rPr>
                <w:rFonts w:asciiTheme="minorHAnsi" w:hAnsiTheme="minorHAnsi" w:cstheme="minorHAnsi"/>
                <w:noProof/>
                <w:sz w:val="20"/>
              </w:rPr>
            </w:pPr>
            <w:r w:rsidRPr="001C6A59">
              <w:rPr>
                <w:rFonts w:asciiTheme="minorHAnsi" w:hAnsiTheme="minorHAnsi" w:cstheme="minorHAnsi"/>
                <w:noProof/>
                <w:sz w:val="20"/>
              </w:rPr>
              <w:t>10</w:t>
            </w:r>
          </w:p>
        </w:tc>
        <w:tc>
          <w:tcPr>
            <w:tcW w:w="1269" w:type="dxa"/>
            <w:noWrap/>
            <w:hideMark/>
          </w:tcPr>
          <w:p w14:paraId="18741616" w14:textId="14D0C9F8" w:rsidR="00516A16" w:rsidRPr="001C6A59" w:rsidRDefault="00F85E36" w:rsidP="00D83695">
            <w:pPr>
              <w:ind w:left="0"/>
              <w:jc w:val="center"/>
              <w:rPr>
                <w:rFonts w:asciiTheme="minorHAnsi" w:hAnsiTheme="minorHAnsi" w:cstheme="minorHAnsi"/>
                <w:noProof/>
                <w:sz w:val="20"/>
              </w:rPr>
            </w:pPr>
            <w:r w:rsidRPr="001C6A59">
              <w:rPr>
                <w:rFonts w:asciiTheme="minorHAnsi" w:hAnsiTheme="minorHAnsi" w:cstheme="minorHAnsi"/>
                <w:noProof/>
                <w:sz w:val="20"/>
              </w:rPr>
              <w:t>327</w:t>
            </w:r>
          </w:p>
        </w:tc>
      </w:tr>
      <w:tr w:rsidR="00516A16" w:rsidRPr="00516A16" w14:paraId="66A7C6E8" w14:textId="77777777" w:rsidTr="3F3807E4">
        <w:trPr>
          <w:cnfStyle w:val="000000100000" w:firstRow="0" w:lastRow="0" w:firstColumn="0" w:lastColumn="0" w:oddVBand="0" w:evenVBand="0" w:oddHBand="1" w:evenHBand="0" w:firstRowFirstColumn="0" w:firstRowLastColumn="0" w:lastRowFirstColumn="0" w:lastRowLastColumn="0"/>
          <w:trHeight w:val="283"/>
          <w:jc w:val="center"/>
        </w:trPr>
        <w:tc>
          <w:tcPr>
            <w:tcW w:w="1358" w:type="dxa"/>
            <w:noWrap/>
            <w:hideMark/>
          </w:tcPr>
          <w:p w14:paraId="204E603A" w14:textId="70EF6F6E" w:rsidR="00516A16" w:rsidRPr="001C6A59" w:rsidRDefault="3982CBDC" w:rsidP="3982CBDC">
            <w:pPr>
              <w:ind w:left="0"/>
              <w:jc w:val="left"/>
              <w:rPr>
                <w:rFonts w:asciiTheme="minorHAnsi" w:hAnsiTheme="minorHAnsi" w:cstheme="minorHAnsi"/>
                <w:b/>
                <w:bCs/>
                <w:noProof/>
                <w:sz w:val="20"/>
              </w:rPr>
            </w:pPr>
            <w:r w:rsidRPr="001C6A59">
              <w:rPr>
                <w:rFonts w:asciiTheme="minorHAnsi" w:hAnsiTheme="minorHAnsi" w:cstheme="minorHAnsi"/>
                <w:b/>
                <w:bCs/>
                <w:noProof/>
                <w:sz w:val="20"/>
              </w:rPr>
              <w:t>MS (total)</w:t>
            </w:r>
          </w:p>
        </w:tc>
        <w:tc>
          <w:tcPr>
            <w:tcW w:w="2794" w:type="dxa"/>
            <w:noWrap/>
            <w:hideMark/>
          </w:tcPr>
          <w:p w14:paraId="79CE4E82" w14:textId="28847FD2" w:rsidR="00516A16" w:rsidRPr="001C6A59" w:rsidRDefault="3982CBDC" w:rsidP="00BA23A3">
            <w:pPr>
              <w:jc w:val="left"/>
              <w:rPr>
                <w:rFonts w:asciiTheme="minorHAnsi" w:hAnsiTheme="minorHAnsi" w:cstheme="minorHAnsi"/>
                <w:noProof/>
                <w:sz w:val="20"/>
              </w:rPr>
            </w:pPr>
            <w:r w:rsidRPr="001C6A59">
              <w:rPr>
                <w:rFonts w:asciiTheme="minorHAnsi" w:hAnsiTheme="minorHAnsi" w:cstheme="minorHAnsi"/>
                <w:noProof/>
                <w:sz w:val="20"/>
              </w:rPr>
              <w:t>Upfront</w:t>
            </w:r>
            <w:r w:rsidR="00683DBB" w:rsidRPr="001C6A59">
              <w:rPr>
                <w:rFonts w:asciiTheme="minorHAnsi" w:hAnsiTheme="minorHAnsi" w:cstheme="minorHAnsi"/>
                <w:noProof/>
                <w:sz w:val="20"/>
              </w:rPr>
              <w:t xml:space="preserve"> (one-off)</w:t>
            </w:r>
          </w:p>
        </w:tc>
        <w:tc>
          <w:tcPr>
            <w:tcW w:w="1283" w:type="dxa"/>
            <w:gridSpan w:val="2"/>
            <w:noWrap/>
            <w:hideMark/>
          </w:tcPr>
          <w:p w14:paraId="7AA6CF54" w14:textId="1CDD4FCB" w:rsidR="00516A16" w:rsidRPr="001C6A59" w:rsidRDefault="003578E0" w:rsidP="00D83695">
            <w:pPr>
              <w:ind w:left="0"/>
              <w:jc w:val="center"/>
              <w:rPr>
                <w:rFonts w:asciiTheme="minorHAnsi" w:hAnsiTheme="minorHAnsi" w:cstheme="minorHAnsi"/>
                <w:noProof/>
                <w:sz w:val="20"/>
              </w:rPr>
            </w:pPr>
            <w:r w:rsidRPr="001C6A59">
              <w:rPr>
                <w:rFonts w:asciiTheme="minorHAnsi" w:hAnsiTheme="minorHAnsi" w:cstheme="minorHAnsi"/>
                <w:noProof/>
                <w:sz w:val="20"/>
              </w:rPr>
              <w:t>246</w:t>
            </w:r>
          </w:p>
        </w:tc>
        <w:tc>
          <w:tcPr>
            <w:tcW w:w="1269" w:type="dxa"/>
            <w:noWrap/>
            <w:hideMark/>
          </w:tcPr>
          <w:p w14:paraId="6C6CBE54" w14:textId="14ACA5CF" w:rsidR="00516A16" w:rsidRPr="001C6A59" w:rsidRDefault="003578E0" w:rsidP="00D83695">
            <w:pPr>
              <w:ind w:left="0"/>
              <w:jc w:val="center"/>
              <w:rPr>
                <w:rFonts w:asciiTheme="minorHAnsi" w:hAnsiTheme="minorHAnsi" w:cstheme="minorHAnsi"/>
                <w:noProof/>
                <w:sz w:val="20"/>
              </w:rPr>
            </w:pPr>
            <w:r w:rsidRPr="001C6A59">
              <w:rPr>
                <w:rFonts w:asciiTheme="minorHAnsi" w:hAnsiTheme="minorHAnsi" w:cstheme="minorHAnsi"/>
                <w:noProof/>
                <w:sz w:val="20"/>
              </w:rPr>
              <w:t>246</w:t>
            </w:r>
          </w:p>
        </w:tc>
        <w:tc>
          <w:tcPr>
            <w:tcW w:w="1269" w:type="dxa"/>
            <w:noWrap/>
            <w:hideMark/>
          </w:tcPr>
          <w:p w14:paraId="22CE7D40" w14:textId="377C3CD0" w:rsidR="00516A16" w:rsidRPr="001C6A59" w:rsidRDefault="0057300B" w:rsidP="00D83695">
            <w:pPr>
              <w:ind w:left="0"/>
              <w:jc w:val="center"/>
              <w:rPr>
                <w:rFonts w:asciiTheme="minorHAnsi" w:hAnsiTheme="minorHAnsi" w:cstheme="minorHAnsi"/>
                <w:noProof/>
                <w:sz w:val="20"/>
              </w:rPr>
            </w:pPr>
            <w:r w:rsidRPr="001C6A59">
              <w:rPr>
                <w:rFonts w:asciiTheme="minorHAnsi" w:hAnsiTheme="minorHAnsi" w:cstheme="minorHAnsi"/>
                <w:noProof/>
                <w:sz w:val="20"/>
              </w:rPr>
              <w:t>9,</w:t>
            </w:r>
            <w:r w:rsidR="003578E0" w:rsidRPr="001C6A59">
              <w:rPr>
                <w:rFonts w:asciiTheme="minorHAnsi" w:hAnsiTheme="minorHAnsi" w:cstheme="minorHAnsi"/>
                <w:noProof/>
                <w:sz w:val="20"/>
              </w:rPr>
              <w:t>092</w:t>
            </w:r>
          </w:p>
        </w:tc>
      </w:tr>
      <w:tr w:rsidR="00516A16" w:rsidRPr="00516A16" w14:paraId="209CF3F5" w14:textId="77777777" w:rsidTr="3F3807E4">
        <w:trPr>
          <w:cnfStyle w:val="000000010000" w:firstRow="0" w:lastRow="0" w:firstColumn="0" w:lastColumn="0" w:oddVBand="0" w:evenVBand="0" w:oddHBand="0" w:evenHBand="1" w:firstRowFirstColumn="0" w:firstRowLastColumn="0" w:lastRowFirstColumn="0" w:lastRowLastColumn="0"/>
          <w:trHeight w:val="283"/>
          <w:jc w:val="center"/>
        </w:trPr>
        <w:tc>
          <w:tcPr>
            <w:tcW w:w="1358" w:type="dxa"/>
            <w:noWrap/>
            <w:hideMark/>
          </w:tcPr>
          <w:p w14:paraId="4D869722" w14:textId="77777777" w:rsidR="00516A16" w:rsidRPr="001C6A59" w:rsidRDefault="00516A16">
            <w:pPr>
              <w:rPr>
                <w:rFonts w:asciiTheme="minorHAnsi" w:hAnsiTheme="minorHAnsi" w:cstheme="minorHAnsi"/>
                <w:noProof/>
                <w:sz w:val="20"/>
              </w:rPr>
            </w:pPr>
          </w:p>
        </w:tc>
        <w:tc>
          <w:tcPr>
            <w:tcW w:w="2794" w:type="dxa"/>
            <w:noWrap/>
            <w:hideMark/>
          </w:tcPr>
          <w:p w14:paraId="3F60DFEC" w14:textId="61D9BCA9" w:rsidR="00516A16" w:rsidRPr="001C6A59" w:rsidRDefault="3982CBDC" w:rsidP="00BA23A3">
            <w:pPr>
              <w:jc w:val="left"/>
              <w:rPr>
                <w:rFonts w:asciiTheme="minorHAnsi" w:hAnsiTheme="minorHAnsi" w:cstheme="minorHAnsi"/>
                <w:noProof/>
                <w:sz w:val="20"/>
              </w:rPr>
            </w:pPr>
            <w:r w:rsidRPr="001C6A59">
              <w:rPr>
                <w:rFonts w:asciiTheme="minorHAnsi" w:hAnsiTheme="minorHAnsi" w:cstheme="minorHAnsi"/>
                <w:noProof/>
                <w:sz w:val="20"/>
              </w:rPr>
              <w:t>Ongoing</w:t>
            </w:r>
            <w:r w:rsidR="00BA23A3" w:rsidRPr="001C6A59">
              <w:rPr>
                <w:rFonts w:asciiTheme="minorHAnsi" w:hAnsiTheme="minorHAnsi" w:cstheme="minorHAnsi"/>
                <w:noProof/>
                <w:sz w:val="20"/>
              </w:rPr>
              <w:t xml:space="preserve"> (per year)</w:t>
            </w:r>
          </w:p>
        </w:tc>
        <w:tc>
          <w:tcPr>
            <w:tcW w:w="1283" w:type="dxa"/>
            <w:gridSpan w:val="2"/>
            <w:noWrap/>
            <w:hideMark/>
          </w:tcPr>
          <w:p w14:paraId="027B4225" w14:textId="3DC15755" w:rsidR="00516A16" w:rsidRPr="001C6A59" w:rsidRDefault="003578E0" w:rsidP="00D83695">
            <w:pPr>
              <w:ind w:left="0"/>
              <w:jc w:val="center"/>
              <w:rPr>
                <w:rFonts w:asciiTheme="minorHAnsi" w:hAnsiTheme="minorHAnsi" w:cstheme="minorHAnsi"/>
                <w:noProof/>
                <w:sz w:val="20"/>
              </w:rPr>
            </w:pPr>
            <w:r w:rsidRPr="001C6A59">
              <w:rPr>
                <w:rFonts w:asciiTheme="minorHAnsi" w:hAnsiTheme="minorHAnsi" w:cstheme="minorHAnsi"/>
                <w:noProof/>
                <w:sz w:val="20"/>
              </w:rPr>
              <w:t>3,101</w:t>
            </w:r>
          </w:p>
        </w:tc>
        <w:tc>
          <w:tcPr>
            <w:tcW w:w="1269" w:type="dxa"/>
            <w:noWrap/>
            <w:hideMark/>
          </w:tcPr>
          <w:p w14:paraId="4DA53E03" w14:textId="3272679A" w:rsidR="00516A16" w:rsidRPr="001C6A59" w:rsidRDefault="003578E0" w:rsidP="00D83695">
            <w:pPr>
              <w:ind w:left="0"/>
              <w:jc w:val="center"/>
              <w:rPr>
                <w:rFonts w:asciiTheme="minorHAnsi" w:hAnsiTheme="minorHAnsi" w:cstheme="minorHAnsi"/>
                <w:noProof/>
                <w:sz w:val="20"/>
              </w:rPr>
            </w:pPr>
            <w:r w:rsidRPr="001C6A59">
              <w:rPr>
                <w:rFonts w:asciiTheme="minorHAnsi" w:hAnsiTheme="minorHAnsi" w:cstheme="minorHAnsi"/>
                <w:noProof/>
                <w:sz w:val="20"/>
              </w:rPr>
              <w:t>8,364</w:t>
            </w:r>
          </w:p>
        </w:tc>
        <w:tc>
          <w:tcPr>
            <w:tcW w:w="1269" w:type="dxa"/>
            <w:noWrap/>
            <w:hideMark/>
          </w:tcPr>
          <w:p w14:paraId="5748D840" w14:textId="6F20F432" w:rsidR="00516A16" w:rsidRPr="001C6A59" w:rsidRDefault="003578E0" w:rsidP="00D83695">
            <w:pPr>
              <w:ind w:left="0"/>
              <w:jc w:val="center"/>
              <w:rPr>
                <w:rFonts w:asciiTheme="minorHAnsi" w:hAnsiTheme="minorHAnsi" w:cstheme="minorHAnsi"/>
                <w:noProof/>
                <w:sz w:val="20"/>
              </w:rPr>
            </w:pPr>
            <w:r w:rsidRPr="001C6A59">
              <w:rPr>
                <w:rFonts w:asciiTheme="minorHAnsi" w:hAnsiTheme="minorHAnsi" w:cstheme="minorHAnsi"/>
                <w:noProof/>
                <w:sz w:val="20"/>
              </w:rPr>
              <w:t>12,644</w:t>
            </w:r>
          </w:p>
        </w:tc>
      </w:tr>
    </w:tbl>
    <w:p w14:paraId="1A288515" w14:textId="58D093B9" w:rsidR="00516A16" w:rsidRPr="00516A16" w:rsidRDefault="00516A16" w:rsidP="001C6A59">
      <w:pPr>
        <w:spacing w:after="0"/>
        <w:rPr>
          <w:noProof/>
        </w:rPr>
      </w:pPr>
    </w:p>
    <w:p w14:paraId="1F862E74" w14:textId="2840575C" w:rsidR="002538CE" w:rsidRDefault="00E04F0C" w:rsidP="00E04F0C">
      <w:pPr>
        <w:pStyle w:val="Heading2"/>
        <w:rPr>
          <w:noProof/>
        </w:rPr>
      </w:pPr>
      <w:bookmarkStart w:id="230" w:name="_Toc88571923"/>
      <w:bookmarkStart w:id="231" w:name="_Ref94173046"/>
      <w:bookmarkStart w:id="232" w:name="_Toc94629516"/>
      <w:bookmarkStart w:id="233" w:name="_Toc98857760"/>
      <w:r w:rsidRPr="00E04F0C">
        <w:t>6.3.</w:t>
      </w:r>
      <w:r w:rsidRPr="00E04F0C">
        <w:tab/>
      </w:r>
      <w:r w:rsidR="3982CBDC">
        <w:rPr>
          <w:noProof/>
        </w:rPr>
        <w:t>Macroeconomic effects</w:t>
      </w:r>
      <w:bookmarkEnd w:id="230"/>
      <w:bookmarkEnd w:id="231"/>
      <w:bookmarkEnd w:id="232"/>
      <w:bookmarkEnd w:id="233"/>
    </w:p>
    <w:p w14:paraId="79B0D7FA" w14:textId="227EE813" w:rsidR="00D30AC5" w:rsidRDefault="00D30AC5" w:rsidP="00296777">
      <w:pPr>
        <w:spacing w:after="120"/>
        <w:rPr>
          <w:noProof/>
        </w:rPr>
      </w:pPr>
      <w:r w:rsidRPr="00D30AC5">
        <w:rPr>
          <w:noProof/>
        </w:rPr>
        <w:t>The effects of the three policy options on the EU economy were modelled using the JRC-GEM-E3 model. The policy scenarios were assessed in comparison to the EU reference scenario 2020</w:t>
      </w:r>
      <w:r w:rsidR="00FE322A">
        <w:rPr>
          <w:noProof/>
        </w:rPr>
        <w:t xml:space="preserve"> of Fit for 55</w:t>
      </w:r>
      <w:r w:rsidRPr="00D30AC5">
        <w:rPr>
          <w:noProof/>
          <w:vertAlign w:val="superscript"/>
        </w:rPr>
        <w:footnoteReference w:id="105"/>
      </w:r>
      <w:r w:rsidRPr="00D30AC5">
        <w:rPr>
          <w:noProof/>
        </w:rPr>
        <w:t xml:space="preserve">. </w:t>
      </w:r>
      <w:r w:rsidR="00FE322A">
        <w:rPr>
          <w:noProof/>
        </w:rPr>
        <w:t>As the latter includes the (unchanged) measures of the current F</w:t>
      </w:r>
      <w:r w:rsidR="00E241FB">
        <w:rPr>
          <w:noProof/>
        </w:rPr>
        <w:t>-</w:t>
      </w:r>
      <w:r w:rsidR="00FE322A">
        <w:rPr>
          <w:noProof/>
        </w:rPr>
        <w:t>gas Regulation, it is comparable to the baseline used in th</w:t>
      </w:r>
      <w:r w:rsidR="003A3767">
        <w:rPr>
          <w:noProof/>
        </w:rPr>
        <w:t>e current work</w:t>
      </w:r>
      <w:r w:rsidR="00FE322A">
        <w:rPr>
          <w:noProof/>
        </w:rPr>
        <w:t xml:space="preserve">. </w:t>
      </w:r>
      <w:r w:rsidR="003A3767">
        <w:rPr>
          <w:noProof/>
        </w:rPr>
        <w:t>In t</w:t>
      </w:r>
      <w:r w:rsidR="00FE322A" w:rsidRPr="00E54579">
        <w:rPr>
          <w:noProof/>
        </w:rPr>
        <w:t>he JRC-GEM-E3 model</w:t>
      </w:r>
      <w:r w:rsidR="003A3767">
        <w:rPr>
          <w:noProof/>
        </w:rPr>
        <w:t xml:space="preserve"> the analysis focuses on modelling </w:t>
      </w:r>
      <w:r w:rsidR="00FE322A" w:rsidRPr="00E54579">
        <w:rPr>
          <w:noProof/>
        </w:rPr>
        <w:t xml:space="preserve">the economic consequences </w:t>
      </w:r>
      <w:r w:rsidR="003A3767">
        <w:rPr>
          <w:noProof/>
        </w:rPr>
        <w:t>of</w:t>
      </w:r>
      <w:r w:rsidR="00F854AA">
        <w:rPr>
          <w:noProof/>
        </w:rPr>
        <w:t xml:space="preserve"> </w:t>
      </w:r>
      <w:r w:rsidR="00FE322A" w:rsidRPr="00E54579">
        <w:rPr>
          <w:noProof/>
        </w:rPr>
        <w:t>additional abatement cost, cost savings (e.g. from lower energy use or reduced equipment expenditure) and increased user cost (in end user cost due to the value of the HFC quota)</w:t>
      </w:r>
      <w:r w:rsidR="00FE322A">
        <w:rPr>
          <w:noProof/>
        </w:rPr>
        <w:t xml:space="preserve">. </w:t>
      </w:r>
      <w:r w:rsidRPr="00D30AC5">
        <w:rPr>
          <w:noProof/>
        </w:rPr>
        <w:t>A description of the model and of the setup of the scenarios are given in</w:t>
      </w:r>
      <w:r w:rsidR="003761F1">
        <w:rPr>
          <w:noProof/>
        </w:rPr>
        <w:t xml:space="preserve"> Annex </w:t>
      </w:r>
      <w:r w:rsidR="00C66A21">
        <w:rPr>
          <w:noProof/>
        </w:rPr>
        <w:t>A4.3</w:t>
      </w:r>
      <w:r w:rsidR="00FE322A">
        <w:rPr>
          <w:noProof/>
        </w:rPr>
        <w:t xml:space="preserve">. </w:t>
      </w:r>
    </w:p>
    <w:p w14:paraId="4BCA9557" w14:textId="41B5F269" w:rsidR="004560B1" w:rsidRPr="00D30AC5" w:rsidRDefault="004560B1" w:rsidP="00296777">
      <w:pPr>
        <w:spacing w:after="120"/>
        <w:rPr>
          <w:noProof/>
        </w:rPr>
      </w:pPr>
      <w:r w:rsidRPr="004560B1">
        <w:rPr>
          <w:b/>
          <w:bCs/>
          <w:noProof/>
        </w:rPr>
        <w:t xml:space="preserve">Overall the economic implications of the more ambitious options </w:t>
      </w:r>
      <w:r>
        <w:rPr>
          <w:b/>
          <w:bCs/>
          <w:noProof/>
        </w:rPr>
        <w:t xml:space="preserve">2 and 3 </w:t>
      </w:r>
      <w:r w:rsidRPr="004560B1">
        <w:rPr>
          <w:b/>
          <w:bCs/>
          <w:noProof/>
        </w:rPr>
        <w:t xml:space="preserve">are </w:t>
      </w:r>
      <w:r>
        <w:rPr>
          <w:b/>
          <w:bCs/>
          <w:noProof/>
        </w:rPr>
        <w:t xml:space="preserve">slightly </w:t>
      </w:r>
      <w:r w:rsidRPr="004560B1">
        <w:rPr>
          <w:b/>
          <w:bCs/>
          <w:noProof/>
        </w:rPr>
        <w:t>positive in the long run (2050)</w:t>
      </w:r>
      <w:r w:rsidRPr="004560B1">
        <w:rPr>
          <w:noProof/>
        </w:rPr>
        <w:t xml:space="preserve">. There are a number of industries that will profit, in particular linked to equipment manufacture and </w:t>
      </w:r>
      <w:r>
        <w:rPr>
          <w:noProof/>
        </w:rPr>
        <w:t xml:space="preserve">its </w:t>
      </w:r>
      <w:r w:rsidRPr="004560B1">
        <w:rPr>
          <w:noProof/>
        </w:rPr>
        <w:t>supplying industries.</w:t>
      </w:r>
      <w:r w:rsidR="00A30004">
        <w:rPr>
          <w:noProof/>
        </w:rPr>
        <w:t xml:space="preserve"> There may be some very small inhibitive effects until 2030 in Options 2 and 3.</w:t>
      </w:r>
    </w:p>
    <w:p w14:paraId="105A88BC" w14:textId="5ADE967E" w:rsidR="002519F3" w:rsidRDefault="00E04F0C" w:rsidP="00E04F0C">
      <w:pPr>
        <w:pStyle w:val="Heading3"/>
        <w:rPr>
          <w:noProof/>
        </w:rPr>
      </w:pPr>
      <w:bookmarkStart w:id="234" w:name="_Toc88571924"/>
      <w:bookmarkStart w:id="235" w:name="_Toc94629517"/>
      <w:bookmarkStart w:id="236" w:name="_Toc98857761"/>
      <w:r w:rsidRPr="00E04F0C">
        <w:t>6.3.1.</w:t>
      </w:r>
      <w:r w:rsidRPr="00E04F0C">
        <w:tab/>
      </w:r>
      <w:r w:rsidR="3982CBDC">
        <w:rPr>
          <w:noProof/>
        </w:rPr>
        <w:t>Effects on GDP</w:t>
      </w:r>
      <w:bookmarkEnd w:id="234"/>
      <w:bookmarkEnd w:id="235"/>
      <w:bookmarkEnd w:id="236"/>
    </w:p>
    <w:p w14:paraId="57DFF039" w14:textId="7AA740C1" w:rsidR="00485C1C" w:rsidRPr="00485C1C" w:rsidRDefault="003A3767" w:rsidP="00485C1C">
      <w:pPr>
        <w:spacing w:after="120"/>
        <w:rPr>
          <w:b/>
          <w:noProof/>
        </w:rPr>
      </w:pPr>
      <w:r>
        <w:rPr>
          <w:b/>
          <w:noProof/>
        </w:rPr>
        <w:t xml:space="preserve">Overall, the </w:t>
      </w:r>
      <w:r w:rsidR="00FE322A" w:rsidRPr="00784333">
        <w:rPr>
          <w:b/>
          <w:noProof/>
        </w:rPr>
        <w:t xml:space="preserve">GDP </w:t>
      </w:r>
      <w:r>
        <w:rPr>
          <w:b/>
          <w:noProof/>
        </w:rPr>
        <w:t>impacts are</w:t>
      </w:r>
      <w:r w:rsidR="00D30AC5" w:rsidRPr="00784333">
        <w:rPr>
          <w:b/>
          <w:noProof/>
        </w:rPr>
        <w:t xml:space="preserve"> </w:t>
      </w:r>
      <w:r w:rsidR="00FE322A" w:rsidRPr="00784333">
        <w:rPr>
          <w:b/>
          <w:noProof/>
        </w:rPr>
        <w:t xml:space="preserve">very </w:t>
      </w:r>
      <w:r w:rsidR="00D30AC5" w:rsidRPr="00784333">
        <w:rPr>
          <w:b/>
          <w:noProof/>
        </w:rPr>
        <w:t>small</w:t>
      </w:r>
      <w:r w:rsidR="000F061D" w:rsidRPr="000F061D">
        <w:rPr>
          <w:noProof/>
        </w:rPr>
        <w:t xml:space="preserve"> </w:t>
      </w:r>
      <w:r w:rsidR="000F061D" w:rsidRPr="000C77BE">
        <w:rPr>
          <w:noProof/>
        </w:rPr>
        <w:t xml:space="preserve">(see Annex </w:t>
      </w:r>
      <w:r w:rsidR="00C840E0">
        <w:rPr>
          <w:noProof/>
        </w:rPr>
        <w:t>A13</w:t>
      </w:r>
      <w:r w:rsidR="000F061D" w:rsidRPr="00485C1C">
        <w:rPr>
          <w:noProof/>
        </w:rPr>
        <w:t>)</w:t>
      </w:r>
      <w:r w:rsidR="00ED6C87" w:rsidRPr="00485C1C">
        <w:rPr>
          <w:noProof/>
        </w:rPr>
        <w:t>,</w:t>
      </w:r>
      <w:r w:rsidR="00485C1C">
        <w:rPr>
          <w:noProof/>
        </w:rPr>
        <w:t xml:space="preserve"> </w:t>
      </w:r>
      <w:r w:rsidR="00D30AC5" w:rsidRPr="00D30AC5">
        <w:rPr>
          <w:noProof/>
        </w:rPr>
        <w:t xml:space="preserve">as the changes included in the different options concern only limited areas of the </w:t>
      </w:r>
      <w:r>
        <w:rPr>
          <w:noProof/>
        </w:rPr>
        <w:t xml:space="preserve">EU </w:t>
      </w:r>
      <w:r w:rsidR="00D30AC5" w:rsidRPr="00D30AC5">
        <w:rPr>
          <w:noProof/>
        </w:rPr>
        <w:t>econom</w:t>
      </w:r>
      <w:r>
        <w:rPr>
          <w:noProof/>
        </w:rPr>
        <w:t>y</w:t>
      </w:r>
      <w:r w:rsidR="00ED6C87">
        <w:rPr>
          <w:noProof/>
        </w:rPr>
        <w:t xml:space="preserve">. </w:t>
      </w:r>
      <w:r w:rsidR="00ED6C87" w:rsidRPr="00485C1C">
        <w:rPr>
          <w:b/>
          <w:noProof/>
        </w:rPr>
        <w:t xml:space="preserve">For the more ambitious options (2 and 3), the GDP </w:t>
      </w:r>
      <w:r>
        <w:rPr>
          <w:b/>
          <w:noProof/>
        </w:rPr>
        <w:t xml:space="preserve">would </w:t>
      </w:r>
      <w:r w:rsidR="00EC617B">
        <w:rPr>
          <w:b/>
          <w:noProof/>
        </w:rPr>
        <w:t xml:space="preserve">slightly </w:t>
      </w:r>
      <w:r>
        <w:rPr>
          <w:b/>
          <w:noProof/>
        </w:rPr>
        <w:t>increase</w:t>
      </w:r>
      <w:r w:rsidR="00ED6C87" w:rsidRPr="00485C1C">
        <w:rPr>
          <w:b/>
          <w:noProof/>
        </w:rPr>
        <w:t xml:space="preserve"> in the long run</w:t>
      </w:r>
      <w:r w:rsidR="00ED6C87">
        <w:rPr>
          <w:b/>
          <w:noProof/>
        </w:rPr>
        <w:t xml:space="preserve"> </w:t>
      </w:r>
      <w:r w:rsidR="00ED6C87">
        <w:rPr>
          <w:noProof/>
        </w:rPr>
        <w:t>(0.005-0.006%)</w:t>
      </w:r>
      <w:r w:rsidR="001B332F">
        <w:rPr>
          <w:noProof/>
        </w:rPr>
        <w:t xml:space="preserve">, which </w:t>
      </w:r>
      <w:r w:rsidR="00FE322A">
        <w:rPr>
          <w:noProof/>
        </w:rPr>
        <w:t>reflect</w:t>
      </w:r>
      <w:r w:rsidR="001B332F">
        <w:rPr>
          <w:noProof/>
        </w:rPr>
        <w:t>s</w:t>
      </w:r>
      <w:r w:rsidR="00D30AC5" w:rsidRPr="00D30AC5">
        <w:rPr>
          <w:noProof/>
        </w:rPr>
        <w:t xml:space="preserve"> th</w:t>
      </w:r>
      <w:r w:rsidR="001B332F">
        <w:rPr>
          <w:noProof/>
        </w:rPr>
        <w:t>at</w:t>
      </w:r>
      <w:r w:rsidR="00D30AC5" w:rsidRPr="00D30AC5">
        <w:rPr>
          <w:noProof/>
        </w:rPr>
        <w:t xml:space="preserve"> cost </w:t>
      </w:r>
      <w:r w:rsidR="00FE322A" w:rsidRPr="00D30AC5">
        <w:rPr>
          <w:noProof/>
        </w:rPr>
        <w:t>savings</w:t>
      </w:r>
      <w:r w:rsidR="001B332F">
        <w:rPr>
          <w:noProof/>
        </w:rPr>
        <w:t xml:space="preserve"> </w:t>
      </w:r>
      <w:r w:rsidR="00EC617B">
        <w:rPr>
          <w:noProof/>
        </w:rPr>
        <w:t xml:space="preserve">(e.g. </w:t>
      </w:r>
      <w:r w:rsidR="000F061D">
        <w:rPr>
          <w:noProof/>
        </w:rPr>
        <w:t xml:space="preserve">from </w:t>
      </w:r>
      <w:r w:rsidR="00EC617B">
        <w:rPr>
          <w:noProof/>
        </w:rPr>
        <w:t>energy use</w:t>
      </w:r>
      <w:r w:rsidR="001B332F">
        <w:rPr>
          <w:noProof/>
        </w:rPr>
        <w:t>;</w:t>
      </w:r>
      <w:r w:rsidR="001B332F" w:rsidRPr="001B332F">
        <w:rPr>
          <w:noProof/>
        </w:rPr>
        <w:t xml:space="preserve"> </w:t>
      </w:r>
      <w:r w:rsidR="00F854AA">
        <w:rPr>
          <w:noProof/>
        </w:rPr>
        <w:t xml:space="preserve">see </w:t>
      </w:r>
      <w:r w:rsidR="001B332F">
        <w:rPr>
          <w:noProof/>
        </w:rPr>
        <w:t>section 6.2.1.1).</w:t>
      </w:r>
      <w:r w:rsidR="00EC617B">
        <w:rPr>
          <w:noProof/>
        </w:rPr>
        <w:t xml:space="preserve">) </w:t>
      </w:r>
      <w:r w:rsidR="00EC617B" w:rsidRPr="00684338">
        <w:rPr>
          <w:noProof/>
        </w:rPr>
        <w:t>lead to an increase in</w:t>
      </w:r>
      <w:r w:rsidR="00EC617B" w:rsidRPr="00D30AC5">
        <w:rPr>
          <w:noProof/>
        </w:rPr>
        <w:t xml:space="preserve"> GDP, as the same goods can be </w:t>
      </w:r>
      <w:r w:rsidR="00EC617B">
        <w:rPr>
          <w:noProof/>
        </w:rPr>
        <w:t>operated</w:t>
      </w:r>
      <w:r w:rsidR="00EC617B" w:rsidRPr="00D30AC5">
        <w:rPr>
          <w:noProof/>
        </w:rPr>
        <w:t xml:space="preserve"> with less input and thus less expenditure is needed for the same purchases. These savings can be used to purchase other goods and services, thus increasing GDP. </w:t>
      </w:r>
      <w:r w:rsidR="000F061D">
        <w:rPr>
          <w:noProof/>
        </w:rPr>
        <w:t>Conversely, option 1 shows very small positive effects until 2030 (0.002%) as there are less initial adjustment costs, but no positive effects in the longer timeframe (as e.g. energy savings are not achieved).</w:t>
      </w:r>
    </w:p>
    <w:p w14:paraId="31AE7F83" w14:textId="1842EF2F" w:rsidR="00D20072" w:rsidRPr="00D20072" w:rsidRDefault="00E04F0C" w:rsidP="00E04F0C">
      <w:pPr>
        <w:pStyle w:val="Heading3"/>
        <w:rPr>
          <w:noProof/>
          <w:vanish/>
        </w:rPr>
      </w:pPr>
      <w:bookmarkStart w:id="237" w:name="_Ref94104219"/>
      <w:r w:rsidRPr="00E04F0C">
        <w:t>4.</w:t>
      </w:r>
      <w:r w:rsidRPr="00E04F0C">
        <w:tab/>
      </w:r>
    </w:p>
    <w:p w14:paraId="5CFC8A22" w14:textId="77777777" w:rsidR="00D20072" w:rsidRPr="00D20072" w:rsidRDefault="00D20072" w:rsidP="00E04F0C">
      <w:pPr>
        <w:pStyle w:val="Heading3"/>
        <w:rPr>
          <w:noProof/>
          <w:vanish/>
        </w:rPr>
      </w:pPr>
    </w:p>
    <w:p w14:paraId="0897C079" w14:textId="77777777" w:rsidR="00D20072" w:rsidRPr="00D20072" w:rsidRDefault="00D20072" w:rsidP="00E04F0C">
      <w:pPr>
        <w:pStyle w:val="Heading3"/>
        <w:rPr>
          <w:noProof/>
          <w:vanish/>
        </w:rPr>
      </w:pPr>
    </w:p>
    <w:p w14:paraId="0E8FEF20" w14:textId="77777777" w:rsidR="00D20072" w:rsidRPr="00D20072" w:rsidRDefault="00D20072" w:rsidP="00E04F0C">
      <w:pPr>
        <w:pStyle w:val="Heading3"/>
        <w:rPr>
          <w:noProof/>
          <w:vanish/>
        </w:rPr>
      </w:pPr>
    </w:p>
    <w:p w14:paraId="0AEF95D0" w14:textId="77777777" w:rsidR="00D20072" w:rsidRPr="00D20072" w:rsidRDefault="00D20072" w:rsidP="00E04F0C">
      <w:pPr>
        <w:pStyle w:val="Heading3"/>
        <w:rPr>
          <w:noProof/>
          <w:vanish/>
        </w:rPr>
      </w:pPr>
    </w:p>
    <w:p w14:paraId="203805AB" w14:textId="77777777" w:rsidR="00D20072" w:rsidRPr="00D20072" w:rsidRDefault="00D20072" w:rsidP="00E04F0C">
      <w:pPr>
        <w:pStyle w:val="Heading3"/>
        <w:rPr>
          <w:noProof/>
          <w:vanish/>
        </w:rPr>
      </w:pPr>
    </w:p>
    <w:p w14:paraId="0CE63E0C" w14:textId="77777777" w:rsidR="00D20072" w:rsidRPr="00D20072" w:rsidRDefault="00D20072" w:rsidP="00E04F0C">
      <w:pPr>
        <w:pStyle w:val="Heading3"/>
        <w:rPr>
          <w:noProof/>
          <w:vanish/>
        </w:rPr>
      </w:pPr>
    </w:p>
    <w:p w14:paraId="6E10BA32" w14:textId="203E30E3" w:rsidR="007512C1" w:rsidRDefault="007512C1" w:rsidP="00E04F0C">
      <w:pPr>
        <w:pStyle w:val="Heading3"/>
        <w:rPr>
          <w:noProof/>
        </w:rPr>
      </w:pPr>
      <w:bookmarkStart w:id="238" w:name="_Toc94629518"/>
      <w:bookmarkStart w:id="239" w:name="_Toc98857762"/>
      <w:r>
        <w:rPr>
          <w:noProof/>
        </w:rPr>
        <w:t>Effects at sectoral level</w:t>
      </w:r>
      <w:bookmarkEnd w:id="237"/>
      <w:bookmarkEnd w:id="238"/>
      <w:bookmarkEnd w:id="239"/>
    </w:p>
    <w:p w14:paraId="263382D6" w14:textId="77777777" w:rsidR="00A30004" w:rsidRDefault="00A30004" w:rsidP="00322072">
      <w:pPr>
        <w:spacing w:after="120"/>
        <w:rPr>
          <w:noProof/>
        </w:rPr>
      </w:pPr>
      <w:r>
        <w:rPr>
          <w:noProof/>
        </w:rPr>
        <w:t>Different industries could be affected in different ways depending on their role in F-gases abatement. Some providing goods and services used for abatement would benefit while others may face reduced demand or increased costs from abatement efforts.</w:t>
      </w:r>
    </w:p>
    <w:p w14:paraId="1D9D5FE1" w14:textId="3899C06F" w:rsidR="008574E2" w:rsidRPr="00784333" w:rsidRDefault="007512C1" w:rsidP="000E046E">
      <w:pPr>
        <w:spacing w:after="120"/>
        <w:rPr>
          <w:noProof/>
        </w:rPr>
      </w:pPr>
      <w:r>
        <w:rPr>
          <w:noProof/>
        </w:rPr>
        <w:t xml:space="preserve">At sectoral level, changes are observed for the </w:t>
      </w:r>
      <w:r w:rsidRPr="3982CBDC">
        <w:rPr>
          <w:b/>
          <w:bCs/>
          <w:noProof/>
        </w:rPr>
        <w:t xml:space="preserve">electricity sector </w:t>
      </w:r>
      <w:r w:rsidR="00A30004">
        <w:rPr>
          <w:b/>
          <w:bCs/>
          <w:noProof/>
        </w:rPr>
        <w:t xml:space="preserve">and fossil fuel supply sectors </w:t>
      </w:r>
      <w:r w:rsidRPr="3982CBDC">
        <w:rPr>
          <w:b/>
          <w:bCs/>
          <w:noProof/>
        </w:rPr>
        <w:t xml:space="preserve">(output reductions). </w:t>
      </w:r>
      <w:r w:rsidRPr="00614B32">
        <w:rPr>
          <w:noProof/>
        </w:rPr>
        <w:t>Option 1</w:t>
      </w:r>
      <w:r>
        <w:rPr>
          <w:noProof/>
        </w:rPr>
        <w:t xml:space="preserve"> leads to higher </w:t>
      </w:r>
      <w:r w:rsidR="00F854AA">
        <w:rPr>
          <w:noProof/>
        </w:rPr>
        <w:t>electricity</w:t>
      </w:r>
      <w:r>
        <w:rPr>
          <w:noProof/>
        </w:rPr>
        <w:t xml:space="preserve"> use in 2030 (0.06%) and some savings by 2050 (-0.09%).</w:t>
      </w:r>
      <w:r w:rsidRPr="00C42566">
        <w:rPr>
          <w:noProof/>
        </w:rPr>
        <w:t xml:space="preserve"> These</w:t>
      </w:r>
      <w:r w:rsidRPr="3982CBDC">
        <w:rPr>
          <w:b/>
          <w:bCs/>
          <w:noProof/>
        </w:rPr>
        <w:t xml:space="preserve"> savings </w:t>
      </w:r>
      <w:r w:rsidRPr="005D4198">
        <w:rPr>
          <w:b/>
          <w:noProof/>
        </w:rPr>
        <w:t>are significantly larger for Options 2 and 3</w:t>
      </w:r>
      <w:r>
        <w:rPr>
          <w:noProof/>
        </w:rPr>
        <w:t xml:space="preserve"> (-0.07 and -0.14% in 2030, -0.35 and -0.37% in 2050, respectively). There is also a</w:t>
      </w:r>
      <w:r w:rsidR="00A30004">
        <w:rPr>
          <w:noProof/>
        </w:rPr>
        <w:t>n</w:t>
      </w:r>
      <w:r>
        <w:rPr>
          <w:noProof/>
        </w:rPr>
        <w:t xml:space="preserve"> </w:t>
      </w:r>
      <w:r w:rsidRPr="3982CBDC">
        <w:rPr>
          <w:b/>
          <w:bCs/>
          <w:noProof/>
        </w:rPr>
        <w:t xml:space="preserve">increase in </w:t>
      </w:r>
      <w:r>
        <w:rPr>
          <w:b/>
          <w:bCs/>
          <w:noProof/>
        </w:rPr>
        <w:t xml:space="preserve">output </w:t>
      </w:r>
      <w:r w:rsidR="00A30004">
        <w:rPr>
          <w:b/>
          <w:bCs/>
          <w:noProof/>
        </w:rPr>
        <w:t>for</w:t>
      </w:r>
      <w:r>
        <w:rPr>
          <w:b/>
          <w:bCs/>
          <w:noProof/>
        </w:rPr>
        <w:t xml:space="preserve"> </w:t>
      </w:r>
      <w:r w:rsidRPr="3982CBDC">
        <w:rPr>
          <w:b/>
          <w:bCs/>
          <w:noProof/>
        </w:rPr>
        <w:t xml:space="preserve">the equipment goods </w:t>
      </w:r>
      <w:r>
        <w:rPr>
          <w:noProof/>
        </w:rPr>
        <w:t xml:space="preserve">sector (e.g. production of cooling equipment including AC and heat pumps) for Options 2 and 3 </w:t>
      </w:r>
      <w:r w:rsidRPr="00513822">
        <w:rPr>
          <w:noProof/>
        </w:rPr>
        <w:t>(</w:t>
      </w:r>
      <w:r>
        <w:rPr>
          <w:noProof/>
        </w:rPr>
        <w:t>0.13 and 0.15</w:t>
      </w:r>
      <w:r w:rsidRPr="00513822">
        <w:rPr>
          <w:noProof/>
        </w:rPr>
        <w:t xml:space="preserve">% in 2030, </w:t>
      </w:r>
      <w:r>
        <w:rPr>
          <w:noProof/>
        </w:rPr>
        <w:t>0.19 and 0.20</w:t>
      </w:r>
      <w:r w:rsidRPr="00513822">
        <w:rPr>
          <w:noProof/>
        </w:rPr>
        <w:t>% in 2050, respectively).</w:t>
      </w:r>
      <w:r>
        <w:rPr>
          <w:noProof/>
        </w:rPr>
        <w:t xml:space="preserve"> </w:t>
      </w:r>
      <w:r w:rsidRPr="00614B32">
        <w:rPr>
          <w:noProof/>
        </w:rPr>
        <w:t>Option 1</w:t>
      </w:r>
      <w:r>
        <w:rPr>
          <w:noProof/>
        </w:rPr>
        <w:t xml:space="preserve"> leads to lower output from the equipment sector in 2030 (-0.14%), and a moderate increase by 2050 (0.09%) (see Annex A13). </w:t>
      </w:r>
      <w:r w:rsidRPr="3982CBDC">
        <w:rPr>
          <w:b/>
          <w:bCs/>
          <w:noProof/>
        </w:rPr>
        <w:t>Sectors that deliver input to equipment manufacture</w:t>
      </w:r>
      <w:r>
        <w:rPr>
          <w:noProof/>
        </w:rPr>
        <w:t xml:space="preserve"> </w:t>
      </w:r>
      <w:r w:rsidRPr="005D4198">
        <w:rPr>
          <w:b/>
          <w:noProof/>
        </w:rPr>
        <w:t>also show positive effects</w:t>
      </w:r>
      <w:r>
        <w:rPr>
          <w:noProof/>
        </w:rPr>
        <w:t xml:space="preserve"> for options 2 and 3, e.g. metal sectors, electric goods. There are </w:t>
      </w:r>
      <w:r w:rsidRPr="005D4198">
        <w:rPr>
          <w:b/>
          <w:noProof/>
        </w:rPr>
        <w:t>small positive effects also on</w:t>
      </w:r>
      <w:r>
        <w:rPr>
          <w:noProof/>
        </w:rPr>
        <w:t xml:space="preserve"> </w:t>
      </w:r>
      <w:r w:rsidRPr="005D4198">
        <w:rPr>
          <w:b/>
          <w:noProof/>
        </w:rPr>
        <w:t>chemical industry</w:t>
      </w:r>
      <w:r w:rsidR="00A30004">
        <w:rPr>
          <w:b/>
          <w:noProof/>
        </w:rPr>
        <w:t xml:space="preserve"> </w:t>
      </w:r>
      <w:r w:rsidR="00A30004" w:rsidRPr="00322072">
        <w:rPr>
          <w:noProof/>
        </w:rPr>
        <w:t>from an increase in demand</w:t>
      </w:r>
      <w:r>
        <w:rPr>
          <w:noProof/>
        </w:rPr>
        <w:t xml:space="preserve">. Conversely, there is a </w:t>
      </w:r>
      <w:r w:rsidRPr="005D4198">
        <w:rPr>
          <w:b/>
          <w:noProof/>
        </w:rPr>
        <w:t>small decline in the transport sectors</w:t>
      </w:r>
      <w:r w:rsidRPr="006641CE">
        <w:rPr>
          <w:noProof/>
        </w:rPr>
        <w:t xml:space="preserve"> </w:t>
      </w:r>
      <w:r w:rsidR="00A30004">
        <w:rPr>
          <w:noProof/>
        </w:rPr>
        <w:t xml:space="preserve">(commercial land transport and water transport) as these face a net cost from the policy </w:t>
      </w:r>
      <w:r>
        <w:rPr>
          <w:noProof/>
        </w:rPr>
        <w:t>in case of Option 2 and 3 (maximally -0.01 and -0.02%, respectively</w:t>
      </w:r>
      <w:r w:rsidR="00A30004">
        <w:rPr>
          <w:noProof/>
        </w:rPr>
        <w:t xml:space="preserve"> in 2030</w:t>
      </w:r>
      <w:r>
        <w:rPr>
          <w:noProof/>
        </w:rPr>
        <w:t>).</w:t>
      </w:r>
      <w:r w:rsidRPr="001C334C">
        <w:rPr>
          <w:noProof/>
        </w:rPr>
        <w:t xml:space="preserve"> </w:t>
      </w:r>
      <w:r>
        <w:rPr>
          <w:noProof/>
        </w:rPr>
        <w:t xml:space="preserve">The overall </w:t>
      </w:r>
      <w:r w:rsidRPr="005D4198">
        <w:rPr>
          <w:b/>
          <w:noProof/>
        </w:rPr>
        <w:t>service sector</w:t>
      </w:r>
      <w:r>
        <w:rPr>
          <w:noProof/>
        </w:rPr>
        <w:t xml:space="preserve"> in the model includes too many different activities to show any noticeable effect</w:t>
      </w:r>
      <w:r w:rsidR="00A30004">
        <w:rPr>
          <w:noProof/>
        </w:rPr>
        <w:t xml:space="preserve"> attributable</w:t>
      </w:r>
      <w:r>
        <w:rPr>
          <w:noProof/>
        </w:rPr>
        <w:t xml:space="preserve"> to the F-gas maintenance sector. </w:t>
      </w:r>
      <w:r w:rsidR="00A30004">
        <w:rPr>
          <w:noProof/>
        </w:rPr>
        <w:t>Other s</w:t>
      </w:r>
      <w:r>
        <w:rPr>
          <w:noProof/>
        </w:rPr>
        <w:t xml:space="preserve">ectors that are not directly affected show very small </w:t>
      </w:r>
      <w:r w:rsidR="00A30004">
        <w:rPr>
          <w:noProof/>
        </w:rPr>
        <w:t>impact</w:t>
      </w:r>
      <w:r>
        <w:rPr>
          <w:noProof/>
        </w:rPr>
        <w:t>s.</w:t>
      </w:r>
      <w:r w:rsidRPr="00614B32">
        <w:rPr>
          <w:noProof/>
        </w:rPr>
        <w:t xml:space="preserve"> </w:t>
      </w:r>
    </w:p>
    <w:p w14:paraId="315FFAFE" w14:textId="05513AA1" w:rsidR="008F225C" w:rsidRDefault="00E04F0C" w:rsidP="00E04F0C">
      <w:pPr>
        <w:pStyle w:val="Heading3"/>
        <w:rPr>
          <w:noProof/>
        </w:rPr>
      </w:pPr>
      <w:bookmarkStart w:id="240" w:name="_Toc88571925"/>
      <w:bookmarkStart w:id="241" w:name="_Toc94629519"/>
      <w:bookmarkStart w:id="242" w:name="_Toc98857763"/>
      <w:r w:rsidRPr="00E04F0C">
        <w:t>6.3.3.</w:t>
      </w:r>
      <w:r w:rsidRPr="00E04F0C">
        <w:tab/>
      </w:r>
      <w:r w:rsidR="3982CBDC">
        <w:rPr>
          <w:noProof/>
        </w:rPr>
        <w:t>Effects on consumption</w:t>
      </w:r>
      <w:r w:rsidR="003B5CBE">
        <w:rPr>
          <w:noProof/>
        </w:rPr>
        <w:t xml:space="preserve">, </w:t>
      </w:r>
      <w:r w:rsidR="3982CBDC">
        <w:rPr>
          <w:noProof/>
        </w:rPr>
        <w:t>investment</w:t>
      </w:r>
      <w:bookmarkEnd w:id="240"/>
      <w:r w:rsidR="003B5CBE">
        <w:rPr>
          <w:noProof/>
        </w:rPr>
        <w:t xml:space="preserve"> and innovation</w:t>
      </w:r>
      <w:bookmarkEnd w:id="241"/>
      <w:bookmarkEnd w:id="242"/>
    </w:p>
    <w:p w14:paraId="3A161952" w14:textId="07C8B305" w:rsidR="003B5CBE" w:rsidRDefault="007512C1" w:rsidP="003B5CBE">
      <w:pPr>
        <w:rPr>
          <w:noProof/>
        </w:rPr>
      </w:pPr>
      <w:r>
        <w:rPr>
          <w:noProof/>
        </w:rPr>
        <w:t>For Options 2 and 3 t</w:t>
      </w:r>
      <w:r w:rsidR="000F061D">
        <w:rPr>
          <w:noProof/>
        </w:rPr>
        <w:t xml:space="preserve">here may be some very small initial inhibitive effects </w:t>
      </w:r>
      <w:r>
        <w:rPr>
          <w:noProof/>
        </w:rPr>
        <w:t xml:space="preserve">on investment </w:t>
      </w:r>
      <w:r w:rsidR="000F061D">
        <w:rPr>
          <w:noProof/>
        </w:rPr>
        <w:t>until 2030</w:t>
      </w:r>
      <w:r>
        <w:rPr>
          <w:noProof/>
        </w:rPr>
        <w:t xml:space="preserve">, but </w:t>
      </w:r>
      <w:r w:rsidR="000F061D">
        <w:rPr>
          <w:noProof/>
        </w:rPr>
        <w:t xml:space="preserve">EU27 investment is changing </w:t>
      </w:r>
      <w:r w:rsidR="00B277AD" w:rsidRPr="0049626B">
        <w:rPr>
          <w:b/>
          <w:noProof/>
        </w:rPr>
        <w:t xml:space="preserve">positively </w:t>
      </w:r>
      <w:r w:rsidR="000F061D" w:rsidRPr="00A20E0E">
        <w:rPr>
          <w:b/>
          <w:noProof/>
        </w:rPr>
        <w:t>in respons</w:t>
      </w:r>
      <w:r w:rsidR="006F638F">
        <w:rPr>
          <w:b/>
          <w:noProof/>
        </w:rPr>
        <w:t xml:space="preserve">e to </w:t>
      </w:r>
      <w:r w:rsidR="003A3767">
        <w:rPr>
          <w:b/>
          <w:noProof/>
        </w:rPr>
        <w:t>the</w:t>
      </w:r>
      <w:r w:rsidR="006F638F">
        <w:rPr>
          <w:b/>
          <w:noProof/>
        </w:rPr>
        <w:t xml:space="preserve"> increased GDP</w:t>
      </w:r>
      <w:r w:rsidR="000F061D" w:rsidRPr="0049626B">
        <w:rPr>
          <w:b/>
          <w:noProof/>
        </w:rPr>
        <w:t xml:space="preserve"> in the long run</w:t>
      </w:r>
      <w:r w:rsidR="000F061D">
        <w:rPr>
          <w:noProof/>
        </w:rPr>
        <w:t>, by up to 0.002% (Option 2) and 0.003% (Option 3). Investments in the power sector decline due to lower demand for electricity, while there are increases in some other sectors (mainly equipment manufacturing) that benefit</w:t>
      </w:r>
      <w:r w:rsidR="00D911DF">
        <w:rPr>
          <w:noProof/>
        </w:rPr>
        <w:t xml:space="preserve"> from increased demand for replacing equipment</w:t>
      </w:r>
      <w:r>
        <w:rPr>
          <w:noProof/>
        </w:rPr>
        <w:t>. Sim</w:t>
      </w:r>
      <w:r w:rsidR="004560B1">
        <w:rPr>
          <w:noProof/>
        </w:rPr>
        <w:t>i</w:t>
      </w:r>
      <w:r>
        <w:rPr>
          <w:noProof/>
        </w:rPr>
        <w:t xml:space="preserve">larly, </w:t>
      </w:r>
      <w:r w:rsidR="008F225C" w:rsidRPr="0049626B">
        <w:rPr>
          <w:b/>
          <w:noProof/>
        </w:rPr>
        <w:t>Options 2 and 3 lead to higher consumption in the long run</w:t>
      </w:r>
      <w:r w:rsidR="008F225C">
        <w:rPr>
          <w:noProof/>
        </w:rPr>
        <w:t xml:space="preserve"> (2050: 0.00</w:t>
      </w:r>
      <w:r w:rsidR="00645832">
        <w:rPr>
          <w:noProof/>
        </w:rPr>
        <w:t>7</w:t>
      </w:r>
      <w:r w:rsidR="008F225C">
        <w:rPr>
          <w:noProof/>
        </w:rPr>
        <w:t xml:space="preserve"> to 0.009%</w:t>
      </w:r>
      <w:r w:rsidR="00645832">
        <w:rPr>
          <w:noProof/>
        </w:rPr>
        <w:t xml:space="preserve"> in 2050</w:t>
      </w:r>
      <w:r w:rsidR="008F225C">
        <w:rPr>
          <w:noProof/>
        </w:rPr>
        <w:t>), especially in the EU South (up to 0.01</w:t>
      </w:r>
      <w:r w:rsidR="00645832">
        <w:rPr>
          <w:noProof/>
        </w:rPr>
        <w:t>1</w:t>
      </w:r>
      <w:r w:rsidR="008F225C">
        <w:rPr>
          <w:noProof/>
        </w:rPr>
        <w:t>%)</w:t>
      </w:r>
      <w:r w:rsidR="000F061D">
        <w:rPr>
          <w:noProof/>
        </w:rPr>
        <w:t xml:space="preserve"> </w:t>
      </w:r>
      <w:r w:rsidR="000F061D" w:rsidRPr="0003717A">
        <w:rPr>
          <w:noProof/>
        </w:rPr>
        <w:t>(see Annex A13),</w:t>
      </w:r>
      <w:r w:rsidR="00236DCC">
        <w:rPr>
          <w:noProof/>
        </w:rPr>
        <w:t xml:space="preserve"> as savings from energy are invested in other goods and services</w:t>
      </w:r>
      <w:r w:rsidR="008F225C">
        <w:rPr>
          <w:noProof/>
        </w:rPr>
        <w:t xml:space="preserve">. These positive effects materialise </w:t>
      </w:r>
      <w:r w:rsidR="00916632">
        <w:rPr>
          <w:noProof/>
        </w:rPr>
        <w:t xml:space="preserve">after 2030, </w:t>
      </w:r>
      <w:r w:rsidR="003A3767" w:rsidRPr="003A3767">
        <w:rPr>
          <w:rFonts w:eastAsia="Calibri" w:cs="Times New Roman"/>
          <w:noProof/>
        </w:rPr>
        <w:t xml:space="preserve">when the cost savings from early abatement start bearing fruits. Consumption increases in appliances and equipment, which become cheaper to operate, while cost savings also lead to increases in household consumption of other services. </w:t>
      </w:r>
    </w:p>
    <w:p w14:paraId="232FDAA9" w14:textId="45E4C89B" w:rsidR="00960EA0" w:rsidRPr="00963729" w:rsidRDefault="003B5CBE" w:rsidP="00D76819">
      <w:pPr>
        <w:rPr>
          <w:noProof/>
        </w:rPr>
      </w:pPr>
      <w:r w:rsidRPr="003B5CBE">
        <w:rPr>
          <w:noProof/>
        </w:rPr>
        <w:t>The evaluation found that R&amp;D and innovation were positively affected by the quota system and the prohibitions, in particular in the refrigeration and air conditioning equipment manufacturing sector.</w:t>
      </w:r>
      <w:r w:rsidR="00206712">
        <w:rPr>
          <w:noProof/>
        </w:rPr>
        <w:t xml:space="preserve"> The quota system raises prices for HFC gases and therefore incentivises that end-user convert to lower GWP or non-F-gas technologies more quickly. Prohibitions provide end-points in certain sub-sectors and a clear signal as well as business opportunities for innovators and manufacturers of alternative equipment. </w:t>
      </w:r>
      <w:r w:rsidRPr="003B5CBE">
        <w:rPr>
          <w:noProof/>
        </w:rPr>
        <w:t xml:space="preserve">Stakeholders generally supported this finding. </w:t>
      </w:r>
      <w:r w:rsidRPr="003B5CBE">
        <w:rPr>
          <w:b/>
          <w:noProof/>
        </w:rPr>
        <w:t xml:space="preserve">Further incentives for investment in R&amp;D and innovation are to be expected in particular for Options 2 and 3 due to a steeper phase-down and more prohibitions, while little additional impact on R&amp;D and innovation is expected from Option 1. </w:t>
      </w:r>
      <w:r w:rsidRPr="003B5CBE">
        <w:rPr>
          <w:noProof/>
        </w:rPr>
        <w:t>This is supported by the JRC-GEM-E3 modelling results which point</w:t>
      </w:r>
      <w:r w:rsidR="00D76819">
        <w:rPr>
          <w:noProof/>
        </w:rPr>
        <w:t>s</w:t>
      </w:r>
      <w:r w:rsidRPr="003B5CBE">
        <w:rPr>
          <w:noProof/>
        </w:rPr>
        <w:t xml:space="preserve"> to additional investment in particular in the ‘other equipment goods sector’ in Option 2 and 3 (approximately +0.15% in 2030, and + 0.2% in 2050)</w:t>
      </w:r>
      <w:r>
        <w:rPr>
          <w:noProof/>
        </w:rPr>
        <w:t xml:space="preserve"> (see Annex A13)</w:t>
      </w:r>
      <w:r w:rsidRPr="003B5CBE">
        <w:rPr>
          <w:noProof/>
        </w:rPr>
        <w:t>.</w:t>
      </w:r>
    </w:p>
    <w:p w14:paraId="04F06152" w14:textId="6825C240" w:rsidR="004560B1" w:rsidRPr="008F4297" w:rsidRDefault="00E04F0C" w:rsidP="00E04F0C">
      <w:pPr>
        <w:pStyle w:val="Heading3"/>
        <w:rPr>
          <w:noProof/>
        </w:rPr>
      </w:pPr>
      <w:r w:rsidRPr="00E04F0C">
        <w:t>6.3.4.</w:t>
      </w:r>
      <w:r w:rsidRPr="00E04F0C">
        <w:tab/>
      </w:r>
      <w:r w:rsidR="3982CBDC">
        <w:rPr>
          <w:noProof/>
        </w:rPr>
        <w:t xml:space="preserve"> </w:t>
      </w:r>
      <w:bookmarkStart w:id="243" w:name="_Toc94629520"/>
      <w:bookmarkStart w:id="244" w:name="_Toc98857764"/>
      <w:bookmarkStart w:id="245" w:name="_Toc88571927"/>
      <w:r w:rsidR="004560B1">
        <w:rPr>
          <w:noProof/>
        </w:rPr>
        <w:t>Distribution of cost across EU regions</w:t>
      </w:r>
      <w:bookmarkEnd w:id="243"/>
      <w:bookmarkEnd w:id="244"/>
    </w:p>
    <w:p w14:paraId="65D75760" w14:textId="513E1D2F" w:rsidR="00B277AD" w:rsidRDefault="00B277AD" w:rsidP="00B277AD">
      <w:pPr>
        <w:spacing w:after="120"/>
        <w:rPr>
          <w:noProof/>
        </w:rPr>
      </w:pPr>
      <w:r w:rsidRPr="005D4198">
        <w:rPr>
          <w:b/>
          <w:noProof/>
        </w:rPr>
        <w:t>No strong regional differences between Northern and Southern European countries were found.</w:t>
      </w:r>
      <w:r>
        <w:rPr>
          <w:noProof/>
        </w:rPr>
        <w:t xml:space="preserve"> F-gas using equipment is not equally distributed over the EU, due to climatic differences</w:t>
      </w:r>
      <w:r w:rsidR="00957FB9">
        <w:rPr>
          <w:noProof/>
        </w:rPr>
        <w:t>, that fact that natural alternatives are already more frequently used in the North and differ</w:t>
      </w:r>
      <w:r w:rsidR="00C10AB1">
        <w:rPr>
          <w:noProof/>
        </w:rPr>
        <w:t>ent structure of the relevant sectors</w:t>
      </w:r>
      <w:r w:rsidR="00C10AB1">
        <w:rPr>
          <w:rStyle w:val="FootnoteReference"/>
          <w:noProof/>
        </w:rPr>
        <w:footnoteReference w:id="106"/>
      </w:r>
      <w:r>
        <w:rPr>
          <w:noProof/>
        </w:rPr>
        <w:t xml:space="preserve">. Hence, investments in replacement technologies and the types of equipment used </w:t>
      </w:r>
      <w:r w:rsidR="007B0E6B">
        <w:rPr>
          <w:noProof/>
        </w:rPr>
        <w:t>could be expected to</w:t>
      </w:r>
      <w:r>
        <w:rPr>
          <w:noProof/>
        </w:rPr>
        <w:t xml:space="preserve"> show some variations (see Annex A4.2.8). </w:t>
      </w:r>
      <w:r w:rsidR="007B0E6B">
        <w:rPr>
          <w:noProof/>
        </w:rPr>
        <w:t>An analysis of t</w:t>
      </w:r>
      <w:r>
        <w:rPr>
          <w:noProof/>
        </w:rPr>
        <w:t>hese</w:t>
      </w:r>
      <w:r w:rsidRPr="008F4297">
        <w:rPr>
          <w:noProof/>
        </w:rPr>
        <w:t xml:space="preserve"> patterns between northern and southern EU countries</w:t>
      </w:r>
      <w:r>
        <w:rPr>
          <w:noProof/>
        </w:rPr>
        <w:t xml:space="preserve"> as to their relevance on costs</w:t>
      </w:r>
      <w:r w:rsidR="007B0E6B">
        <w:rPr>
          <w:noProof/>
        </w:rPr>
        <w:t xml:space="preserve"> shows that, for</w:t>
      </w:r>
      <w:r w:rsidR="004560B1">
        <w:rPr>
          <w:noProof/>
        </w:rPr>
        <w:t xml:space="preserve"> </w:t>
      </w:r>
      <w:r>
        <w:rPr>
          <w:noProof/>
        </w:rPr>
        <w:t>Option 1</w:t>
      </w:r>
      <w:r w:rsidRPr="008F4297">
        <w:rPr>
          <w:noProof/>
        </w:rPr>
        <w:t xml:space="preserve">, the cost distribution is almost </w:t>
      </w:r>
      <w:r w:rsidR="007B0E6B">
        <w:rPr>
          <w:noProof/>
        </w:rPr>
        <w:t>proportional</w:t>
      </w:r>
      <w:r w:rsidRPr="008F4297">
        <w:rPr>
          <w:noProof/>
        </w:rPr>
        <w:t xml:space="preserve"> to </w:t>
      </w:r>
      <w:r>
        <w:rPr>
          <w:noProof/>
        </w:rPr>
        <w:t xml:space="preserve">the </w:t>
      </w:r>
      <w:r w:rsidRPr="008F4297">
        <w:rPr>
          <w:noProof/>
        </w:rPr>
        <w:t>population. In the more ambitious</w:t>
      </w:r>
      <w:r>
        <w:rPr>
          <w:noProof/>
        </w:rPr>
        <w:t xml:space="preserve"> Option 2 and 3, </w:t>
      </w:r>
      <w:r w:rsidRPr="005D4198">
        <w:rPr>
          <w:b/>
          <w:noProof/>
        </w:rPr>
        <w:t>costs rise more for the EU North</w:t>
      </w:r>
      <w:r w:rsidR="007B0E6B" w:rsidRPr="005D4198">
        <w:rPr>
          <w:b/>
          <w:noProof/>
        </w:rPr>
        <w:t xml:space="preserve"> relative to population</w:t>
      </w:r>
      <w:r w:rsidR="007B0E6B">
        <w:rPr>
          <w:noProof/>
        </w:rPr>
        <w:t>. These small differences are</w:t>
      </w:r>
      <w:r w:rsidRPr="008F4297">
        <w:rPr>
          <w:noProof/>
        </w:rPr>
        <w:t xml:space="preserve"> mostly due to </w:t>
      </w:r>
      <w:r>
        <w:rPr>
          <w:noProof/>
        </w:rPr>
        <w:t xml:space="preserve">a </w:t>
      </w:r>
      <w:r w:rsidRPr="008F4297">
        <w:rPr>
          <w:noProof/>
        </w:rPr>
        <w:t xml:space="preserve">shift away from HFC technologies </w:t>
      </w:r>
      <w:r>
        <w:rPr>
          <w:noProof/>
        </w:rPr>
        <w:t xml:space="preserve">in </w:t>
      </w:r>
      <w:r w:rsidRPr="008F4297">
        <w:rPr>
          <w:noProof/>
        </w:rPr>
        <w:t xml:space="preserve">small stationary AC systems </w:t>
      </w:r>
      <w:r w:rsidR="007B0E6B">
        <w:rPr>
          <w:noProof/>
        </w:rPr>
        <w:t xml:space="preserve">that are prevalent </w:t>
      </w:r>
      <w:r>
        <w:rPr>
          <w:noProof/>
        </w:rPr>
        <w:t>in the South, resulting i</w:t>
      </w:r>
      <w:r w:rsidRPr="008F4297">
        <w:rPr>
          <w:noProof/>
        </w:rPr>
        <w:t>n cost savings for operators in comparison to the baseline, both for the HFC charge and re-fill and for other technical cost.</w:t>
      </w:r>
      <w:r>
        <w:rPr>
          <w:noProof/>
        </w:rPr>
        <w:t xml:space="preserve"> </w:t>
      </w:r>
      <w:r w:rsidRPr="00E3148F">
        <w:rPr>
          <w:noProof/>
        </w:rPr>
        <w:t>Regional patterns were also assessed for the macroeconomic indicators GDP, consumption, investment and employment</w:t>
      </w:r>
      <w:r w:rsidRPr="3982CBDC">
        <w:rPr>
          <w:noProof/>
        </w:rPr>
        <w:t>.</w:t>
      </w:r>
      <w:r w:rsidRPr="004057B7">
        <w:rPr>
          <w:noProof/>
        </w:rPr>
        <w:t xml:space="preserve"> As overall effects for those indicators were found to be very small, no stron</w:t>
      </w:r>
      <w:r>
        <w:rPr>
          <w:noProof/>
        </w:rPr>
        <w:t xml:space="preserve">g regional patterns </w:t>
      </w:r>
      <w:r w:rsidR="007B0E6B">
        <w:rPr>
          <w:noProof/>
        </w:rPr>
        <w:t>could be established</w:t>
      </w:r>
      <w:r>
        <w:rPr>
          <w:noProof/>
        </w:rPr>
        <w:t xml:space="preserve">. </w:t>
      </w:r>
      <w:r w:rsidR="00C10AB1" w:rsidRPr="00C10AB1">
        <w:rPr>
          <w:noProof/>
        </w:rPr>
        <w:t xml:space="preserve">Regional patterns were also assessed </w:t>
      </w:r>
      <w:r w:rsidR="00EC040D">
        <w:rPr>
          <w:noProof/>
        </w:rPr>
        <w:t xml:space="preserve">with GEM-E3 </w:t>
      </w:r>
      <w:r w:rsidR="00C10AB1" w:rsidRPr="00C10AB1">
        <w:rPr>
          <w:noProof/>
        </w:rPr>
        <w:t>for the macroeconomic indicators GDP, consumption, investment and employment</w:t>
      </w:r>
      <w:r w:rsidR="00C10AB1">
        <w:rPr>
          <w:noProof/>
        </w:rPr>
        <w:t xml:space="preserve"> and </w:t>
      </w:r>
      <w:r w:rsidR="00C10AB1" w:rsidRPr="00C10AB1">
        <w:rPr>
          <w:noProof/>
        </w:rPr>
        <w:t xml:space="preserve">overall effects for those indicators were found to be </w:t>
      </w:r>
      <w:r w:rsidR="00C10AB1">
        <w:rPr>
          <w:noProof/>
        </w:rPr>
        <w:t xml:space="preserve">also </w:t>
      </w:r>
      <w:r w:rsidR="00C10AB1" w:rsidRPr="00C10AB1">
        <w:rPr>
          <w:noProof/>
        </w:rPr>
        <w:t>very small (&lt; 0.01% changes in comparison to baseline developments</w:t>
      </w:r>
      <w:r w:rsidR="00C10AB1">
        <w:rPr>
          <w:noProof/>
        </w:rPr>
        <w:t>)</w:t>
      </w:r>
      <w:r w:rsidR="00C10AB1" w:rsidRPr="00C10AB1">
        <w:rPr>
          <w:noProof/>
        </w:rPr>
        <w:t>.</w:t>
      </w:r>
    </w:p>
    <w:p w14:paraId="5F545CE9" w14:textId="6A6CA22E" w:rsidR="004560B1" w:rsidRPr="00185CB0" w:rsidRDefault="004560B1" w:rsidP="005D4198">
      <w:pPr>
        <w:spacing w:after="120"/>
        <w:jc w:val="center"/>
        <w:rPr>
          <w:noProof/>
          <w:color w:val="0070C0"/>
        </w:rPr>
      </w:pPr>
      <w:r w:rsidRPr="00185CB0">
        <w:rPr>
          <w:noProof/>
          <w:color w:val="0070C0"/>
          <w:lang w:eastAsia="en-GB"/>
        </w:rPr>
        <w:drawing>
          <wp:inline distT="0" distB="0" distL="0" distR="0" wp14:anchorId="1B1F5C10" wp14:editId="1D1B8A89">
            <wp:extent cx="4021015" cy="2270780"/>
            <wp:effectExtent l="0" t="0" r="0" b="0"/>
            <wp:docPr id="5"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23132" cy="2271976"/>
                    </a:xfrm>
                    <a:prstGeom prst="rect">
                      <a:avLst/>
                    </a:prstGeom>
                    <a:noFill/>
                    <a:ln>
                      <a:noFill/>
                    </a:ln>
                  </pic:spPr>
                </pic:pic>
              </a:graphicData>
            </a:graphic>
          </wp:inline>
        </w:drawing>
      </w:r>
    </w:p>
    <w:p w14:paraId="6ECAF395" w14:textId="77777777" w:rsidR="002F1F54" w:rsidRDefault="004560B1" w:rsidP="004560B1">
      <w:pPr>
        <w:spacing w:after="0"/>
        <w:rPr>
          <w:rFonts w:asciiTheme="minorHAnsi" w:hAnsiTheme="minorHAnsi"/>
          <w:noProof/>
          <w:color w:val="0070C0"/>
          <w:sz w:val="20"/>
          <w:szCs w:val="20"/>
        </w:rPr>
      </w:pPr>
      <w:r w:rsidRPr="3982CBDC">
        <w:rPr>
          <w:rFonts w:asciiTheme="minorHAnsi" w:hAnsiTheme="minorHAnsi"/>
          <w:b/>
          <w:bCs/>
          <w:noProof/>
          <w:color w:val="0070C0"/>
          <w:sz w:val="20"/>
          <w:szCs w:val="20"/>
        </w:rPr>
        <w:t xml:space="preserve">Figure </w:t>
      </w:r>
      <w:r w:rsidRPr="3982CBDC">
        <w:rPr>
          <w:noProof/>
        </w:rPr>
        <w:fldChar w:fldCharType="begin"/>
      </w:r>
      <w:r w:rsidRPr="00185CB0">
        <w:rPr>
          <w:rFonts w:asciiTheme="minorHAnsi" w:hAnsiTheme="minorHAnsi" w:cstheme="minorHAnsi"/>
          <w:b/>
          <w:noProof/>
          <w:color w:val="0070C0"/>
          <w:sz w:val="20"/>
          <w:szCs w:val="20"/>
        </w:rPr>
        <w:instrText xml:space="preserve"> SEQ Figure \* ARABIC </w:instrText>
      </w:r>
      <w:r w:rsidRPr="3982CBDC">
        <w:rPr>
          <w:rFonts w:asciiTheme="minorHAnsi" w:hAnsiTheme="minorHAnsi" w:cstheme="minorHAnsi"/>
          <w:b/>
          <w:noProof/>
          <w:color w:val="0070C0"/>
          <w:sz w:val="20"/>
          <w:szCs w:val="20"/>
        </w:rPr>
        <w:fldChar w:fldCharType="separate"/>
      </w:r>
      <w:r>
        <w:rPr>
          <w:rFonts w:asciiTheme="minorHAnsi" w:hAnsiTheme="minorHAnsi" w:cstheme="minorHAnsi"/>
          <w:b/>
          <w:noProof/>
          <w:color w:val="0070C0"/>
          <w:sz w:val="20"/>
          <w:szCs w:val="20"/>
        </w:rPr>
        <w:t>6</w:t>
      </w:r>
      <w:r w:rsidRPr="3982CBDC">
        <w:rPr>
          <w:noProof/>
        </w:rPr>
        <w:fldChar w:fldCharType="end"/>
      </w:r>
      <w:r w:rsidRPr="3982CBDC">
        <w:rPr>
          <w:rFonts w:asciiTheme="minorHAnsi" w:hAnsiTheme="minorHAnsi"/>
          <w:noProof/>
          <w:color w:val="0070C0"/>
          <w:sz w:val="20"/>
          <w:szCs w:val="20"/>
        </w:rPr>
        <w:t xml:space="preserve">: Regional distribution of EU F-gas using industries' 2024-2036 compliance cost </w:t>
      </w:r>
    </w:p>
    <w:p w14:paraId="582CD18B" w14:textId="09820DCF" w:rsidR="004560B1" w:rsidRPr="002F1F54" w:rsidRDefault="004560B1" w:rsidP="004560B1">
      <w:pPr>
        <w:spacing w:after="0"/>
        <w:rPr>
          <w:rFonts w:asciiTheme="minorHAnsi" w:hAnsiTheme="minorHAnsi"/>
          <w:noProof/>
          <w:color w:val="0070C0"/>
          <w:sz w:val="20"/>
          <w:szCs w:val="20"/>
        </w:rPr>
      </w:pPr>
      <w:r w:rsidRPr="0085241A">
        <w:rPr>
          <w:rFonts w:asciiTheme="minorHAnsi" w:hAnsiTheme="minorHAnsi"/>
          <w:b/>
          <w:noProof/>
          <w:sz w:val="20"/>
        </w:rPr>
        <w:t>Note:</w:t>
      </w:r>
      <w:r w:rsidRPr="00FD6A9C">
        <w:rPr>
          <w:rFonts w:asciiTheme="minorHAnsi" w:hAnsiTheme="minorHAnsi" w:cstheme="minorHAnsi"/>
          <w:b/>
          <w:bCs/>
          <w:noProof/>
          <w:sz w:val="20"/>
          <w:szCs w:val="20"/>
        </w:rPr>
        <w:t xml:space="preserve"> </w:t>
      </w:r>
      <w:r w:rsidRPr="00FD6A9C">
        <w:rPr>
          <w:rFonts w:asciiTheme="minorHAnsi" w:hAnsiTheme="minorHAnsi" w:cstheme="minorHAnsi"/>
          <w:noProof/>
          <w:sz w:val="20"/>
          <w:szCs w:val="20"/>
        </w:rPr>
        <w:t>EU South:</w:t>
      </w:r>
      <w:r w:rsidRPr="00FD6A9C">
        <w:rPr>
          <w:rFonts w:asciiTheme="minorHAnsi" w:hAnsiTheme="minorHAnsi" w:cstheme="minorHAnsi"/>
          <w:b/>
          <w:bCs/>
          <w:noProof/>
          <w:sz w:val="20"/>
          <w:szCs w:val="20"/>
        </w:rPr>
        <w:t xml:space="preserve"> </w:t>
      </w:r>
      <w:r w:rsidRPr="00FD6A9C">
        <w:rPr>
          <w:rFonts w:asciiTheme="minorHAnsi" w:hAnsiTheme="minorHAnsi" w:cstheme="minorHAnsi"/>
          <w:noProof/>
          <w:sz w:val="20"/>
          <w:szCs w:val="20"/>
        </w:rPr>
        <w:t>Bulgaria, Croatia, Cyprus, France (25% of FR population), Greece, Italy, Malta, Portugal, Romania, Spain; EU North: other EU27 MS, including 75% of the French population.</w:t>
      </w:r>
    </w:p>
    <w:p w14:paraId="4A6FB5DC" w14:textId="77777777" w:rsidR="004560B1" w:rsidRPr="00FD6A9C" w:rsidRDefault="004560B1" w:rsidP="004560B1">
      <w:pPr>
        <w:spacing w:after="0"/>
        <w:rPr>
          <w:rFonts w:asciiTheme="minorHAnsi" w:hAnsiTheme="minorHAnsi" w:cstheme="minorHAnsi"/>
          <w:b/>
          <w:bCs/>
          <w:noProof/>
          <w:sz w:val="20"/>
          <w:szCs w:val="20"/>
        </w:rPr>
      </w:pPr>
      <w:r w:rsidRPr="00FD6A9C">
        <w:rPr>
          <w:rFonts w:asciiTheme="minorHAnsi" w:hAnsiTheme="minorHAnsi" w:cstheme="minorHAnsi"/>
          <w:noProof/>
          <w:sz w:val="20"/>
          <w:szCs w:val="20"/>
        </w:rPr>
        <w:t>“MP alignment” is Option 1, “proportionate action” is Option 2, “maximum feasibility” is Option 3</w:t>
      </w:r>
    </w:p>
    <w:p w14:paraId="619E00FD" w14:textId="77777777" w:rsidR="00D60662" w:rsidRPr="00D60662" w:rsidRDefault="004560B1" w:rsidP="00D60662">
      <w:pPr>
        <w:rPr>
          <w:rFonts w:asciiTheme="minorHAnsi" w:hAnsiTheme="minorHAnsi" w:cstheme="minorHAnsi"/>
          <w:noProof/>
          <w:sz w:val="20"/>
          <w:szCs w:val="20"/>
        </w:rPr>
      </w:pPr>
      <w:r w:rsidRPr="00D60662">
        <w:rPr>
          <w:rFonts w:asciiTheme="minorHAnsi" w:hAnsiTheme="minorHAnsi" w:cstheme="minorHAnsi"/>
          <w:b/>
          <w:noProof/>
          <w:sz w:val="20"/>
          <w:szCs w:val="20"/>
        </w:rPr>
        <w:t>Source:</w:t>
      </w:r>
      <w:r w:rsidR="005D4198" w:rsidRPr="00D60662">
        <w:rPr>
          <w:rFonts w:asciiTheme="minorHAnsi" w:hAnsiTheme="minorHAnsi" w:cstheme="minorHAnsi"/>
          <w:noProof/>
          <w:sz w:val="20"/>
          <w:szCs w:val="20"/>
        </w:rPr>
        <w:t xml:space="preserve"> AnaFgas cost modelling</w:t>
      </w:r>
    </w:p>
    <w:p w14:paraId="4FAB6F6F" w14:textId="0087787B" w:rsidR="009E363C" w:rsidRDefault="00E04F0C" w:rsidP="00E04F0C">
      <w:pPr>
        <w:pStyle w:val="Heading3"/>
        <w:rPr>
          <w:noProof/>
        </w:rPr>
      </w:pPr>
      <w:bookmarkStart w:id="246" w:name="_Toc94629521"/>
      <w:bookmarkStart w:id="247" w:name="_Toc98857765"/>
      <w:r w:rsidRPr="00E04F0C">
        <w:t>6.3.5.</w:t>
      </w:r>
      <w:r w:rsidRPr="00E04F0C">
        <w:tab/>
      </w:r>
      <w:r w:rsidR="3982CBDC">
        <w:rPr>
          <w:noProof/>
        </w:rPr>
        <w:t>Impact on consumer prices</w:t>
      </w:r>
      <w:bookmarkEnd w:id="245"/>
      <w:bookmarkEnd w:id="246"/>
      <w:bookmarkEnd w:id="247"/>
      <w:r w:rsidR="3982CBDC">
        <w:rPr>
          <w:noProof/>
        </w:rPr>
        <w:t xml:space="preserve"> </w:t>
      </w:r>
    </w:p>
    <w:p w14:paraId="467B53E9" w14:textId="77AD6265" w:rsidR="00314C05" w:rsidRPr="00314C05" w:rsidRDefault="00580A18" w:rsidP="00314C05">
      <w:pPr>
        <w:spacing w:after="120"/>
        <w:rPr>
          <w:noProof/>
          <w:lang w:val="en-US"/>
        </w:rPr>
      </w:pPr>
      <w:r w:rsidRPr="005D4198">
        <w:rPr>
          <w:b/>
          <w:noProof/>
          <w:lang w:val="en-US"/>
        </w:rPr>
        <w:t xml:space="preserve">Private consumers are </w:t>
      </w:r>
      <w:r w:rsidRPr="00580A18">
        <w:rPr>
          <w:b/>
          <w:noProof/>
          <w:lang w:val="en-US"/>
        </w:rPr>
        <w:t xml:space="preserve">not expected </w:t>
      </w:r>
      <w:r>
        <w:rPr>
          <w:b/>
          <w:noProof/>
          <w:lang w:val="en-US"/>
        </w:rPr>
        <w:t>to bear any significant</w:t>
      </w:r>
      <w:r w:rsidRPr="005D4198">
        <w:rPr>
          <w:b/>
          <w:noProof/>
          <w:lang w:val="en-US"/>
        </w:rPr>
        <w:t xml:space="preserve"> costs.</w:t>
      </w:r>
      <w:r>
        <w:rPr>
          <w:noProof/>
          <w:lang w:val="en-US"/>
        </w:rPr>
        <w:t xml:space="preserve"> Private consumers are endusers (i.e. equipment operators) only i</w:t>
      </w:r>
      <w:r w:rsidR="009E363C">
        <w:rPr>
          <w:noProof/>
          <w:lang w:val="en-US"/>
        </w:rPr>
        <w:t>n a few sub-sectors</w:t>
      </w:r>
      <w:r w:rsidR="009E363C" w:rsidDel="00580A18">
        <w:rPr>
          <w:noProof/>
          <w:lang w:val="en-US"/>
        </w:rPr>
        <w:t xml:space="preserve"> </w:t>
      </w:r>
      <w:r w:rsidR="009E363C">
        <w:rPr>
          <w:noProof/>
          <w:lang w:val="en-US"/>
        </w:rPr>
        <w:t xml:space="preserve">(e.g. </w:t>
      </w:r>
      <w:r w:rsidR="00614B32">
        <w:rPr>
          <w:noProof/>
          <w:lang w:val="en-US"/>
        </w:rPr>
        <w:t>small</w:t>
      </w:r>
      <w:r w:rsidR="009E363C">
        <w:rPr>
          <w:noProof/>
          <w:lang w:val="en-US"/>
        </w:rPr>
        <w:t xml:space="preserve"> AC units</w:t>
      </w:r>
      <w:r w:rsidR="00675138">
        <w:rPr>
          <w:noProof/>
          <w:lang w:val="en-US"/>
        </w:rPr>
        <w:t>, AC in passenger cars</w:t>
      </w:r>
      <w:r w:rsidR="00675138" w:rsidRPr="00614B32">
        <w:rPr>
          <w:rStyle w:val="FootnoteReference"/>
          <w:noProof/>
          <w:lang w:val="en-US"/>
        </w:rPr>
        <w:footnoteReference w:id="107"/>
      </w:r>
      <w:r w:rsidR="00675138">
        <w:rPr>
          <w:noProof/>
          <w:lang w:val="en-US"/>
        </w:rPr>
        <w:t xml:space="preserve"> or</w:t>
      </w:r>
      <w:r w:rsidR="0091620B">
        <w:rPr>
          <w:noProof/>
          <w:lang w:val="en-US"/>
        </w:rPr>
        <w:t xml:space="preserve"> MDIs</w:t>
      </w:r>
      <w:r w:rsidR="00614B32">
        <w:rPr>
          <w:noProof/>
          <w:lang w:val="en-US"/>
        </w:rPr>
        <w:t>)</w:t>
      </w:r>
      <w:r w:rsidR="009E363C">
        <w:rPr>
          <w:noProof/>
          <w:lang w:val="en-US"/>
        </w:rPr>
        <w:t xml:space="preserve">. </w:t>
      </w:r>
      <w:r w:rsidR="00314C05" w:rsidRPr="00314C05">
        <w:rPr>
          <w:noProof/>
          <w:lang w:val="en-US"/>
        </w:rPr>
        <w:t xml:space="preserve">Users of small AC (e.g. heat pumps, single-split) benefit from energy efficiency savings, which lead to cost savings already in the 2024-2036 timeframe (Table 39 in Annex A12.3). </w:t>
      </w:r>
      <w:r w:rsidR="00314C05">
        <w:rPr>
          <w:noProof/>
          <w:lang w:val="en-US"/>
        </w:rPr>
        <w:t xml:space="preserve">Owners of older cars </w:t>
      </w:r>
      <w:r w:rsidR="00314C05" w:rsidRPr="00314C05">
        <w:rPr>
          <w:noProof/>
          <w:lang w:val="en-US"/>
        </w:rPr>
        <w:t xml:space="preserve">will have to pay more for the HFC gas if the AC system needs refilling. </w:t>
      </w:r>
      <w:r w:rsidR="0091620B">
        <w:rPr>
          <w:noProof/>
          <w:lang w:val="en-US"/>
        </w:rPr>
        <w:t>The relative cost increase</w:t>
      </w:r>
      <w:r w:rsidR="007105CD">
        <w:rPr>
          <w:noProof/>
          <w:lang w:val="en-US"/>
        </w:rPr>
        <w:t>s</w:t>
      </w:r>
      <w:r w:rsidR="0091620B">
        <w:rPr>
          <w:noProof/>
          <w:lang w:val="en-US"/>
        </w:rPr>
        <w:t xml:space="preserve"> for </w:t>
      </w:r>
      <w:r w:rsidR="003A7D88">
        <w:rPr>
          <w:noProof/>
          <w:lang w:val="en-US"/>
        </w:rPr>
        <w:t xml:space="preserve">these </w:t>
      </w:r>
      <w:r w:rsidR="007105CD">
        <w:rPr>
          <w:noProof/>
          <w:lang w:val="en-US"/>
        </w:rPr>
        <w:t xml:space="preserve">sectors </w:t>
      </w:r>
      <w:r w:rsidR="00614B32">
        <w:rPr>
          <w:noProof/>
          <w:lang w:val="en-US"/>
        </w:rPr>
        <w:t>are</w:t>
      </w:r>
      <w:r w:rsidR="003A7D88">
        <w:rPr>
          <w:noProof/>
          <w:lang w:val="en-US"/>
        </w:rPr>
        <w:t xml:space="preserve"> </w:t>
      </w:r>
      <w:r w:rsidR="0091620B">
        <w:rPr>
          <w:noProof/>
          <w:lang w:val="en-US"/>
        </w:rPr>
        <w:t xml:space="preserve">very small and </w:t>
      </w:r>
      <w:r w:rsidR="003A7D88">
        <w:rPr>
          <w:noProof/>
          <w:lang w:val="en-US"/>
        </w:rPr>
        <w:t xml:space="preserve">thus </w:t>
      </w:r>
      <w:r w:rsidR="000E046E">
        <w:rPr>
          <w:noProof/>
          <w:lang w:val="en-US"/>
        </w:rPr>
        <w:t xml:space="preserve">are </w:t>
      </w:r>
      <w:r w:rsidR="003A7D88">
        <w:rPr>
          <w:noProof/>
          <w:lang w:val="en-US"/>
        </w:rPr>
        <w:t>not expected to impact on consumer prices</w:t>
      </w:r>
      <w:r w:rsidR="00614B32">
        <w:rPr>
          <w:noProof/>
          <w:lang w:val="en-US"/>
        </w:rPr>
        <w:t xml:space="preserve"> significantly</w:t>
      </w:r>
      <w:r w:rsidR="003A7D88">
        <w:rPr>
          <w:noProof/>
          <w:lang w:val="en-US"/>
        </w:rPr>
        <w:t xml:space="preserve">. </w:t>
      </w:r>
      <w:r w:rsidR="00314C05" w:rsidRPr="00314C05">
        <w:rPr>
          <w:noProof/>
          <w:lang w:val="en-US"/>
        </w:rPr>
        <w:t>Patients using MDIs for asthma and other conditions will practicably not be affected as the propellant gas costs is a very small fraction of the total price of inhaler and the medicinal agent (&lt;0.05% of tot</w:t>
      </w:r>
      <w:r w:rsidR="007F5681">
        <w:rPr>
          <w:noProof/>
          <w:lang w:val="en-US"/>
        </w:rPr>
        <w:t>al</w:t>
      </w:r>
      <w:r w:rsidR="00314C05" w:rsidRPr="00314C05">
        <w:rPr>
          <w:noProof/>
          <w:lang w:val="en-US"/>
        </w:rPr>
        <w:t xml:space="preserve"> costs).</w:t>
      </w:r>
      <w:r w:rsidR="00314C05">
        <w:rPr>
          <w:noProof/>
          <w:lang w:val="en-US"/>
        </w:rPr>
        <w:t xml:space="preserve"> T</w:t>
      </w:r>
      <w:r w:rsidR="0091620B" w:rsidRPr="00614B32">
        <w:rPr>
          <w:noProof/>
          <w:lang w:val="en-US"/>
        </w:rPr>
        <w:t xml:space="preserve">he JRC-GEM-E3 model confirmed that consumption price increases for the ‘medical care and health’ sector </w:t>
      </w:r>
      <w:r w:rsidR="00EC1BA2">
        <w:rPr>
          <w:noProof/>
          <w:lang w:val="en-US"/>
        </w:rPr>
        <w:t xml:space="preserve">overall </w:t>
      </w:r>
      <w:r w:rsidR="00614B32">
        <w:rPr>
          <w:noProof/>
          <w:lang w:val="en-US"/>
        </w:rPr>
        <w:t>are only</w:t>
      </w:r>
      <w:r w:rsidR="0091620B" w:rsidRPr="00614B32">
        <w:rPr>
          <w:noProof/>
          <w:lang w:val="en-US"/>
        </w:rPr>
        <w:t xml:space="preserve"> about 0.04% - 0.05% for 2030 and about 0.03% for 2050, compared to the baseline</w:t>
      </w:r>
      <w:r w:rsidR="00675138">
        <w:rPr>
          <w:noProof/>
          <w:lang w:val="en-US"/>
        </w:rPr>
        <w:t>.</w:t>
      </w:r>
      <w:r w:rsidR="00675138" w:rsidRPr="00675138">
        <w:rPr>
          <w:noProof/>
          <w:lang w:val="en-US"/>
        </w:rPr>
        <w:t xml:space="preserve"> </w:t>
      </w:r>
      <w:r w:rsidR="00C03F7C">
        <w:rPr>
          <w:noProof/>
          <w:lang w:val="en-US"/>
        </w:rPr>
        <w:t>Finally, e</w:t>
      </w:r>
      <w:r w:rsidR="00C03F7C" w:rsidRPr="00C03F7C">
        <w:rPr>
          <w:noProof/>
          <w:lang w:val="en-US"/>
        </w:rPr>
        <w:t>lectricity network operators warned that higher prices due to replacing SF</w:t>
      </w:r>
      <w:r w:rsidR="00C03F7C" w:rsidRPr="00C03F7C">
        <w:rPr>
          <w:noProof/>
          <w:vertAlign w:val="subscript"/>
          <w:lang w:val="en-US"/>
        </w:rPr>
        <w:t>6</w:t>
      </w:r>
      <w:r w:rsidR="00C03F7C" w:rsidRPr="00C03F7C">
        <w:rPr>
          <w:noProof/>
          <w:lang w:val="en-US"/>
        </w:rPr>
        <w:t xml:space="preserve"> switchgear would be passed on to customers through higher network tariffs.</w:t>
      </w:r>
    </w:p>
    <w:p w14:paraId="4978994A" w14:textId="2F9762DA" w:rsidR="009E363C" w:rsidRPr="00B37327" w:rsidRDefault="3982CBDC" w:rsidP="3982CBDC">
      <w:pPr>
        <w:spacing w:after="120"/>
        <w:rPr>
          <w:noProof/>
          <w:lang w:val="en-US"/>
        </w:rPr>
      </w:pPr>
      <w:r w:rsidRPr="3982CBDC">
        <w:rPr>
          <w:noProof/>
          <w:lang w:val="en-US"/>
        </w:rPr>
        <w:t xml:space="preserve">In most other cases, </w:t>
      </w:r>
      <w:r w:rsidR="00A721BE">
        <w:rPr>
          <w:noProof/>
          <w:lang w:val="en-US"/>
        </w:rPr>
        <w:t xml:space="preserve">private </w:t>
      </w:r>
      <w:r w:rsidRPr="3982CBDC">
        <w:rPr>
          <w:noProof/>
          <w:lang w:val="en-US"/>
        </w:rPr>
        <w:t>consumers are not affected directly</w:t>
      </w:r>
      <w:r w:rsidR="000E046E">
        <w:rPr>
          <w:noProof/>
          <w:lang w:val="en-US"/>
        </w:rPr>
        <w:t>,</w:t>
      </w:r>
      <w:r w:rsidRPr="3982CBDC">
        <w:rPr>
          <w:noProof/>
          <w:lang w:val="en-US"/>
        </w:rPr>
        <w:t xml:space="preserve"> because the opera</w:t>
      </w:r>
      <w:r w:rsidR="000E046E">
        <w:rPr>
          <w:noProof/>
          <w:lang w:val="en-US"/>
        </w:rPr>
        <w:t>tors of equipment are companies</w:t>
      </w:r>
      <w:r w:rsidRPr="3982CBDC">
        <w:rPr>
          <w:noProof/>
          <w:lang w:val="en-US"/>
        </w:rPr>
        <w:t xml:space="preserve"> which use such equipment in order to provide other goods or services to consumers, e.g. refrigeration in food retail, air-conditioned office space or transport or IT services relying on fire-protected servers.</w:t>
      </w:r>
      <w:r w:rsidR="002A51DE">
        <w:rPr>
          <w:noProof/>
          <w:lang w:val="en-US"/>
        </w:rPr>
        <w:t xml:space="preserve"> </w:t>
      </w:r>
      <w:r w:rsidR="007105CD">
        <w:rPr>
          <w:noProof/>
          <w:lang w:val="en-US"/>
        </w:rPr>
        <w:t xml:space="preserve">Whether or not </w:t>
      </w:r>
      <w:r w:rsidR="003A7D88">
        <w:rPr>
          <w:noProof/>
          <w:lang w:val="en-US"/>
        </w:rPr>
        <w:t xml:space="preserve">cost </w:t>
      </w:r>
      <w:r w:rsidR="00936AEF">
        <w:rPr>
          <w:noProof/>
          <w:lang w:val="en-US"/>
        </w:rPr>
        <w:t>change</w:t>
      </w:r>
      <w:r w:rsidR="007105CD">
        <w:rPr>
          <w:noProof/>
          <w:lang w:val="en-US"/>
        </w:rPr>
        <w:t xml:space="preserve">s for companies will have any </w:t>
      </w:r>
      <w:r w:rsidR="00936AEF">
        <w:rPr>
          <w:noProof/>
          <w:lang w:val="en-US"/>
        </w:rPr>
        <w:t xml:space="preserve">significant </w:t>
      </w:r>
      <w:r w:rsidR="007105CD">
        <w:rPr>
          <w:noProof/>
          <w:lang w:val="en-US"/>
        </w:rPr>
        <w:t xml:space="preserve">effect on consumer prices </w:t>
      </w:r>
      <w:r w:rsidR="001C334C">
        <w:rPr>
          <w:noProof/>
          <w:lang w:val="en-US"/>
        </w:rPr>
        <w:t xml:space="preserve">of the good or service they provide </w:t>
      </w:r>
      <w:r w:rsidR="007105CD">
        <w:rPr>
          <w:noProof/>
          <w:lang w:val="en-US"/>
        </w:rPr>
        <w:t xml:space="preserve">will depend on the </w:t>
      </w:r>
      <w:r w:rsidR="009A6A0D">
        <w:rPr>
          <w:noProof/>
          <w:lang w:val="en-US"/>
        </w:rPr>
        <w:t xml:space="preserve">relative </w:t>
      </w:r>
      <w:r w:rsidR="001C334C">
        <w:rPr>
          <w:noProof/>
          <w:lang w:val="en-US"/>
        </w:rPr>
        <w:t xml:space="preserve">change </w:t>
      </w:r>
      <w:r w:rsidR="009A6A0D">
        <w:rPr>
          <w:noProof/>
          <w:lang w:val="en-US"/>
        </w:rPr>
        <w:t xml:space="preserve">compared to other costs </w:t>
      </w:r>
      <w:r w:rsidR="007105CD">
        <w:rPr>
          <w:noProof/>
          <w:lang w:val="en-US"/>
        </w:rPr>
        <w:t xml:space="preserve">and the </w:t>
      </w:r>
      <w:r w:rsidR="00936AEF">
        <w:rPr>
          <w:noProof/>
          <w:lang w:val="en-US"/>
        </w:rPr>
        <w:t xml:space="preserve">ability to set </w:t>
      </w:r>
      <w:r w:rsidR="001C334C">
        <w:rPr>
          <w:noProof/>
          <w:lang w:val="en-US"/>
        </w:rPr>
        <w:t xml:space="preserve">higher </w:t>
      </w:r>
      <w:r w:rsidR="00936AEF">
        <w:rPr>
          <w:noProof/>
          <w:lang w:val="en-US"/>
        </w:rPr>
        <w:t>prices</w:t>
      </w:r>
      <w:r w:rsidR="007105CD">
        <w:rPr>
          <w:noProof/>
          <w:lang w:val="en-US"/>
        </w:rPr>
        <w:t xml:space="preserve"> for the consumer good</w:t>
      </w:r>
      <w:r w:rsidR="00936AEF">
        <w:rPr>
          <w:noProof/>
          <w:lang w:val="en-US"/>
        </w:rPr>
        <w:t xml:space="preserve">. </w:t>
      </w:r>
      <w:r w:rsidR="007105CD">
        <w:rPr>
          <w:noProof/>
          <w:lang w:val="en-US"/>
        </w:rPr>
        <w:t>In cases where there are costs</w:t>
      </w:r>
      <w:r w:rsidR="00C82319">
        <w:rPr>
          <w:noProof/>
          <w:lang w:val="en-US"/>
        </w:rPr>
        <w:t>,</w:t>
      </w:r>
      <w:r w:rsidR="007105CD">
        <w:rPr>
          <w:noProof/>
          <w:lang w:val="en-US"/>
        </w:rPr>
        <w:t xml:space="preserve"> they </w:t>
      </w:r>
      <w:r w:rsidR="00C82319">
        <w:rPr>
          <w:noProof/>
          <w:lang w:val="en-US"/>
        </w:rPr>
        <w:t xml:space="preserve">will be </w:t>
      </w:r>
      <w:r w:rsidR="007105CD">
        <w:rPr>
          <w:noProof/>
          <w:lang w:val="en-US"/>
        </w:rPr>
        <w:t>low</w:t>
      </w:r>
      <w:r w:rsidR="00F61F0B">
        <w:rPr>
          <w:noProof/>
          <w:lang w:val="en-US"/>
        </w:rPr>
        <w:t xml:space="preserve"> compared to the total costs related to the </w:t>
      </w:r>
      <w:r w:rsidR="00C82319">
        <w:rPr>
          <w:noProof/>
          <w:lang w:val="en-US"/>
        </w:rPr>
        <w:t xml:space="preserve">consumer </w:t>
      </w:r>
      <w:r w:rsidR="00F61F0B">
        <w:rPr>
          <w:noProof/>
          <w:lang w:val="en-US"/>
        </w:rPr>
        <w:t xml:space="preserve">good or service. Moreover, </w:t>
      </w:r>
      <w:r w:rsidR="009A6A0D">
        <w:rPr>
          <w:noProof/>
          <w:lang w:val="en-US"/>
        </w:rPr>
        <w:t xml:space="preserve">in many cases these low </w:t>
      </w:r>
      <w:r w:rsidR="00F61F0B">
        <w:rPr>
          <w:noProof/>
          <w:lang w:val="en-US"/>
        </w:rPr>
        <w:t xml:space="preserve">costs can be </w:t>
      </w:r>
      <w:r w:rsidR="00A90F74">
        <w:rPr>
          <w:noProof/>
          <w:lang w:val="en-US"/>
        </w:rPr>
        <w:t>distributed over</w:t>
      </w:r>
      <w:r w:rsidR="007105CD">
        <w:rPr>
          <w:noProof/>
          <w:lang w:val="en-US"/>
        </w:rPr>
        <w:t xml:space="preserve"> many different</w:t>
      </w:r>
      <w:r w:rsidR="00F61F0B">
        <w:rPr>
          <w:noProof/>
          <w:lang w:val="en-US"/>
        </w:rPr>
        <w:t xml:space="preserve"> goods. For instance, </w:t>
      </w:r>
      <w:r w:rsidR="009E363C" w:rsidRPr="00FE275C">
        <w:rPr>
          <w:noProof/>
          <w:lang w:val="en-US"/>
        </w:rPr>
        <w:t>additional costs for refrigeration or air conditioning on ships are small compared to other operative costs</w:t>
      </w:r>
      <w:r w:rsidR="00F61F0B">
        <w:rPr>
          <w:noProof/>
          <w:lang w:val="en-US"/>
        </w:rPr>
        <w:t xml:space="preserve"> on the ship</w:t>
      </w:r>
      <w:r w:rsidR="009A6A0D">
        <w:rPr>
          <w:noProof/>
          <w:lang w:val="en-US"/>
        </w:rPr>
        <w:t xml:space="preserve"> and can be dispersed on the many products transported over the life time of the equipment</w:t>
      </w:r>
      <w:r w:rsidR="009E363C" w:rsidRPr="00FE275C">
        <w:rPr>
          <w:noProof/>
          <w:lang w:val="en-US"/>
        </w:rPr>
        <w:t xml:space="preserve">. </w:t>
      </w:r>
      <w:r w:rsidR="00C82319" w:rsidRPr="00153C0F">
        <w:rPr>
          <w:noProof/>
          <w:lang w:val="en-US"/>
        </w:rPr>
        <w:t xml:space="preserve">For those </w:t>
      </w:r>
      <w:r w:rsidR="00C82319">
        <w:rPr>
          <w:noProof/>
          <w:lang w:val="en-US"/>
        </w:rPr>
        <w:t xml:space="preserve">applications </w:t>
      </w:r>
      <w:r w:rsidR="00C82319" w:rsidRPr="00153C0F">
        <w:rPr>
          <w:noProof/>
          <w:lang w:val="en-US"/>
        </w:rPr>
        <w:t xml:space="preserve">that exhibit negative </w:t>
      </w:r>
      <w:r w:rsidR="00C82319">
        <w:rPr>
          <w:noProof/>
          <w:lang w:val="en-US"/>
        </w:rPr>
        <w:t xml:space="preserve">adjustment </w:t>
      </w:r>
      <w:r w:rsidR="00C82319" w:rsidRPr="00153C0F">
        <w:rPr>
          <w:noProof/>
          <w:lang w:val="en-US"/>
        </w:rPr>
        <w:t>costs</w:t>
      </w:r>
      <w:r w:rsidR="00185CB0">
        <w:rPr>
          <w:noProof/>
          <w:lang w:val="en-US"/>
        </w:rPr>
        <w:t xml:space="preserve"> (e.g. commercial refrigeration, split air conditioning, see Annex </w:t>
      </w:r>
      <w:r w:rsidR="00C66A21">
        <w:rPr>
          <w:noProof/>
          <w:lang w:val="en-US"/>
        </w:rPr>
        <w:t>A12</w:t>
      </w:r>
      <w:r w:rsidR="00185CB0">
        <w:rPr>
          <w:noProof/>
          <w:lang w:val="en-US"/>
        </w:rPr>
        <w:t>)</w:t>
      </w:r>
      <w:r w:rsidR="00675138">
        <w:rPr>
          <w:noProof/>
          <w:lang w:val="en-US"/>
        </w:rPr>
        <w:t>,</w:t>
      </w:r>
      <w:r w:rsidR="00C82319" w:rsidRPr="00153C0F">
        <w:rPr>
          <w:noProof/>
          <w:lang w:val="en-US"/>
        </w:rPr>
        <w:t xml:space="preserve"> no </w:t>
      </w:r>
      <w:r w:rsidR="00C82319">
        <w:rPr>
          <w:noProof/>
          <w:lang w:val="en-US"/>
        </w:rPr>
        <w:t xml:space="preserve">price </w:t>
      </w:r>
      <w:r w:rsidR="00675138">
        <w:rPr>
          <w:noProof/>
          <w:lang w:val="en-US"/>
        </w:rPr>
        <w:t xml:space="preserve">effects </w:t>
      </w:r>
      <w:r w:rsidR="00C82319">
        <w:rPr>
          <w:noProof/>
          <w:lang w:val="en-US"/>
        </w:rPr>
        <w:t>are expected on the relevant consumer goods</w:t>
      </w:r>
      <w:r w:rsidR="00675138">
        <w:rPr>
          <w:noProof/>
          <w:lang w:val="en-US"/>
        </w:rPr>
        <w:t xml:space="preserve">. </w:t>
      </w:r>
      <w:r w:rsidR="0091620B" w:rsidRPr="00A721BE">
        <w:rPr>
          <w:b/>
          <w:noProof/>
          <w:lang w:val="en-US"/>
        </w:rPr>
        <w:t>Thus non</w:t>
      </w:r>
      <w:r w:rsidR="00530CC3" w:rsidRPr="00A721BE">
        <w:rPr>
          <w:b/>
          <w:noProof/>
          <w:lang w:val="en-US"/>
        </w:rPr>
        <w:t>e</w:t>
      </w:r>
      <w:r w:rsidR="0091620B" w:rsidRPr="00A721BE">
        <w:rPr>
          <w:b/>
          <w:noProof/>
          <w:lang w:val="en-US"/>
        </w:rPr>
        <w:t xml:space="preserve"> of the options are expected to impact on</w:t>
      </w:r>
      <w:r w:rsidR="0091620B">
        <w:rPr>
          <w:noProof/>
          <w:lang w:val="en-US"/>
        </w:rPr>
        <w:t xml:space="preserve"> </w:t>
      </w:r>
      <w:r w:rsidR="009E363C" w:rsidRPr="3982CBDC">
        <w:rPr>
          <w:b/>
          <w:bCs/>
          <w:noProof/>
          <w:lang w:val="en-US"/>
        </w:rPr>
        <w:t xml:space="preserve">consumer prices </w:t>
      </w:r>
      <w:r w:rsidR="000E046E">
        <w:rPr>
          <w:b/>
          <w:bCs/>
          <w:noProof/>
          <w:lang w:val="en-US"/>
        </w:rPr>
        <w:t>in a</w:t>
      </w:r>
      <w:r w:rsidR="0091620B" w:rsidRPr="3982CBDC">
        <w:rPr>
          <w:b/>
          <w:bCs/>
          <w:noProof/>
          <w:lang w:val="en-US"/>
        </w:rPr>
        <w:t xml:space="preserve"> </w:t>
      </w:r>
      <w:r w:rsidR="009E363C" w:rsidRPr="3982CBDC">
        <w:rPr>
          <w:b/>
          <w:bCs/>
          <w:noProof/>
          <w:lang w:val="en-US"/>
        </w:rPr>
        <w:t>significant</w:t>
      </w:r>
      <w:r w:rsidR="009E363C" w:rsidRPr="00FE275C">
        <w:rPr>
          <w:noProof/>
          <w:lang w:val="en-US"/>
        </w:rPr>
        <w:t xml:space="preserve"> </w:t>
      </w:r>
      <w:r w:rsidR="0091620B" w:rsidRPr="3982CBDC">
        <w:rPr>
          <w:b/>
          <w:bCs/>
          <w:noProof/>
          <w:lang w:val="en-US"/>
        </w:rPr>
        <w:t>way</w:t>
      </w:r>
      <w:r w:rsidR="009E363C" w:rsidRPr="00FE275C">
        <w:rPr>
          <w:noProof/>
          <w:lang w:val="en-US"/>
        </w:rPr>
        <w:t>.</w:t>
      </w:r>
      <w:r w:rsidR="0091620B" w:rsidRPr="000E046E">
        <w:rPr>
          <w:noProof/>
          <w:lang w:val="en-US"/>
        </w:rPr>
        <w:t xml:space="preserve"> </w:t>
      </w:r>
    </w:p>
    <w:p w14:paraId="03C4A07B" w14:textId="0E1CC392" w:rsidR="00A721BE" w:rsidRPr="00E61F49" w:rsidRDefault="00E04F0C" w:rsidP="00E04F0C">
      <w:pPr>
        <w:pStyle w:val="Heading3"/>
        <w:rPr>
          <w:noProof/>
        </w:rPr>
      </w:pPr>
      <w:bookmarkStart w:id="248" w:name="_Toc94629522"/>
      <w:bookmarkStart w:id="249" w:name="_Toc98857766"/>
      <w:bookmarkStart w:id="250" w:name="_Toc79653496"/>
      <w:r w:rsidRPr="00E04F0C">
        <w:t>6.3.6.</w:t>
      </w:r>
      <w:r w:rsidRPr="00E04F0C">
        <w:tab/>
      </w:r>
      <w:r w:rsidR="00A721BE">
        <w:rPr>
          <w:noProof/>
        </w:rPr>
        <w:t>Distribution of cost across business size</w:t>
      </w:r>
      <w:bookmarkEnd w:id="248"/>
      <w:bookmarkEnd w:id="249"/>
    </w:p>
    <w:p w14:paraId="16C1D35D" w14:textId="74C682BA" w:rsidR="001106A8" w:rsidRPr="00AE0F66" w:rsidRDefault="00CE6E9A" w:rsidP="00190CF4">
      <w:pPr>
        <w:spacing w:after="120"/>
        <w:rPr>
          <w:noProof/>
        </w:rPr>
      </w:pPr>
      <w:r>
        <w:rPr>
          <w:rFonts w:eastAsia="Times New Roman" w:cs="Times New Roman"/>
          <w:b/>
          <w:noProof/>
        </w:rPr>
        <w:t>The impacts on SMEs should be mode</w:t>
      </w:r>
      <w:r w:rsidR="0020429D">
        <w:rPr>
          <w:rFonts w:eastAsia="Times New Roman" w:cs="Times New Roman"/>
          <w:b/>
          <w:noProof/>
        </w:rPr>
        <w:t>rate</w:t>
      </w:r>
      <w:r w:rsidR="00A721BE" w:rsidRPr="00A721BE">
        <w:rPr>
          <w:rFonts w:eastAsia="Times New Roman" w:cs="Times New Roman"/>
          <w:b/>
          <w:noProof/>
        </w:rPr>
        <w:t>.</w:t>
      </w:r>
      <w:r w:rsidR="00A721BE">
        <w:rPr>
          <w:rFonts w:eastAsia="Times New Roman" w:cs="Times New Roman"/>
          <w:noProof/>
        </w:rPr>
        <w:t xml:space="preserve"> </w:t>
      </w:r>
      <w:r w:rsidR="00D60662">
        <w:rPr>
          <w:rFonts w:eastAsia="Times New Roman" w:cs="Times New Roman"/>
          <w:noProof/>
        </w:rPr>
        <w:t xml:space="preserve">In the public consultation, </w:t>
      </w:r>
      <w:r w:rsidR="0020429D">
        <w:rPr>
          <w:rFonts w:eastAsia="Times New Roman" w:cs="Times New Roman"/>
          <w:noProof/>
        </w:rPr>
        <w:t>37% expected only a slight burden or no burden at all for SMEs, while a similar number (</w:t>
      </w:r>
      <w:r w:rsidR="00D60662">
        <w:rPr>
          <w:rFonts w:eastAsia="Times New Roman" w:cs="Times New Roman"/>
          <w:noProof/>
        </w:rPr>
        <w:t>38%</w:t>
      </w:r>
      <w:r w:rsidR="0020429D">
        <w:rPr>
          <w:rFonts w:eastAsia="Times New Roman" w:cs="Times New Roman"/>
          <w:noProof/>
        </w:rPr>
        <w:t>)</w:t>
      </w:r>
      <w:r w:rsidR="00D60662">
        <w:rPr>
          <w:rFonts w:eastAsia="Times New Roman" w:cs="Times New Roman"/>
          <w:noProof/>
        </w:rPr>
        <w:t xml:space="preserve"> of industry stakeholders</w:t>
      </w:r>
      <w:r w:rsidR="00D60662">
        <w:rPr>
          <w:rStyle w:val="FootnoteReference"/>
          <w:rFonts w:eastAsia="Times New Roman" w:cs="Times New Roman"/>
          <w:noProof/>
        </w:rPr>
        <w:footnoteReference w:id="108"/>
      </w:r>
      <w:r w:rsidR="00D60662">
        <w:rPr>
          <w:rFonts w:eastAsia="Times New Roman" w:cs="Times New Roman"/>
          <w:noProof/>
        </w:rPr>
        <w:t xml:space="preserve"> expected a significant burden </w:t>
      </w:r>
      <w:r w:rsidR="00AE0F66">
        <w:rPr>
          <w:rFonts w:eastAsia="Times New Roman" w:cs="Times New Roman"/>
          <w:noProof/>
        </w:rPr>
        <w:t>as a result of</w:t>
      </w:r>
      <w:r w:rsidR="00D60662">
        <w:rPr>
          <w:rFonts w:eastAsia="Times New Roman" w:cs="Times New Roman"/>
          <w:noProof/>
        </w:rPr>
        <w:t xml:space="preserve"> the policy options of the review</w:t>
      </w:r>
      <w:r w:rsidR="00342E9B">
        <w:rPr>
          <w:rFonts w:eastAsia="Times New Roman" w:cs="Times New Roman"/>
          <w:noProof/>
        </w:rPr>
        <w:t>.</w:t>
      </w:r>
      <w:r w:rsidR="00D60662">
        <w:rPr>
          <w:rStyle w:val="FootnoteReference"/>
          <w:rFonts w:eastAsia="Times New Roman" w:cs="Times New Roman"/>
          <w:noProof/>
        </w:rPr>
        <w:footnoteReference w:id="109"/>
      </w:r>
      <w:r w:rsidR="00D60662">
        <w:rPr>
          <w:rFonts w:eastAsia="Times New Roman" w:cs="Times New Roman"/>
          <w:noProof/>
        </w:rPr>
        <w:t xml:space="preserve"> </w:t>
      </w:r>
      <w:r w:rsidR="00A721BE">
        <w:rPr>
          <w:rFonts w:eastAsia="Times New Roman" w:cs="Times New Roman"/>
          <w:noProof/>
        </w:rPr>
        <w:t>A</w:t>
      </w:r>
      <w:r w:rsidR="00A721BE" w:rsidRPr="3982CBDC">
        <w:rPr>
          <w:rFonts w:eastAsia="Times New Roman" w:cs="Times New Roman"/>
          <w:noProof/>
        </w:rPr>
        <w:t xml:space="preserve"> high share of SMEs is found among equipment importers and the service companies</w:t>
      </w:r>
      <w:r w:rsidR="00A721BE">
        <w:rPr>
          <w:rFonts w:eastAsia="Times New Roman" w:cs="Times New Roman"/>
          <w:noProof/>
        </w:rPr>
        <w:t xml:space="preserve">. </w:t>
      </w:r>
      <w:r w:rsidR="00A721BE" w:rsidRPr="3982CBDC">
        <w:rPr>
          <w:rFonts w:eastAsia="Times New Roman" w:cs="Times New Roman"/>
          <w:noProof/>
        </w:rPr>
        <w:t xml:space="preserve">Equipment importers face essentially the same HFC price premiums </w:t>
      </w:r>
      <w:r w:rsidR="00A721BE">
        <w:rPr>
          <w:rFonts w:eastAsia="Times New Roman" w:cs="Times New Roman"/>
          <w:noProof/>
        </w:rPr>
        <w:t xml:space="preserve">when they </w:t>
      </w:r>
      <w:r w:rsidR="00A721BE" w:rsidRPr="3982CBDC">
        <w:rPr>
          <w:rFonts w:eastAsia="Times New Roman" w:cs="Times New Roman"/>
          <w:noProof/>
        </w:rPr>
        <w:t xml:space="preserve">acquire quota authorisations </w:t>
      </w:r>
      <w:r w:rsidR="00A721BE">
        <w:rPr>
          <w:rFonts w:eastAsia="Times New Roman" w:cs="Times New Roman"/>
          <w:noProof/>
        </w:rPr>
        <w:t xml:space="preserve">to import </w:t>
      </w:r>
      <w:r w:rsidR="00A721BE" w:rsidRPr="3982CBDC">
        <w:rPr>
          <w:rFonts w:eastAsia="Times New Roman" w:cs="Times New Roman"/>
          <w:noProof/>
        </w:rPr>
        <w:t>as the EU manufacturers</w:t>
      </w:r>
      <w:r w:rsidR="00A721BE">
        <w:rPr>
          <w:rFonts w:eastAsia="Times New Roman" w:cs="Times New Roman"/>
          <w:noProof/>
        </w:rPr>
        <w:t xml:space="preserve"> that buy HFCs at high prices in the EU</w:t>
      </w:r>
      <w:r w:rsidR="00A721BE" w:rsidRPr="00031865">
        <w:rPr>
          <w:noProof/>
          <w:vertAlign w:val="superscript"/>
        </w:rPr>
        <w:footnoteReference w:id="110"/>
      </w:r>
      <w:r w:rsidR="00A721BE" w:rsidRPr="3982CBDC">
        <w:rPr>
          <w:rFonts w:eastAsia="Times New Roman" w:cs="Times New Roman"/>
          <w:noProof/>
        </w:rPr>
        <w:t xml:space="preserve">. </w:t>
      </w:r>
      <w:r w:rsidR="00D60662">
        <w:rPr>
          <w:rFonts w:eastAsia="Times New Roman" w:cs="Times New Roman"/>
          <w:noProof/>
        </w:rPr>
        <w:t>Pr</w:t>
      </w:r>
      <w:r w:rsidR="00AE0F66">
        <w:rPr>
          <w:rFonts w:eastAsia="Times New Roman" w:cs="Times New Roman"/>
          <w:noProof/>
        </w:rPr>
        <w:t>ice pr</w:t>
      </w:r>
      <w:r w:rsidR="00D60662">
        <w:rPr>
          <w:rFonts w:eastAsia="Times New Roman" w:cs="Times New Roman"/>
          <w:noProof/>
        </w:rPr>
        <w:t>emiums increase from Option 1 to 3 (see 6.2.1.2). S</w:t>
      </w:r>
      <w:r w:rsidR="00A721BE" w:rsidRPr="3982CBDC">
        <w:rPr>
          <w:rFonts w:eastAsia="Times New Roman" w:cs="Times New Roman"/>
          <w:noProof/>
        </w:rPr>
        <w:t xml:space="preserve">ervice companies profit from </w:t>
      </w:r>
      <w:r w:rsidR="00A721BE">
        <w:rPr>
          <w:rFonts w:eastAsia="Times New Roman" w:cs="Times New Roman"/>
          <w:noProof/>
        </w:rPr>
        <w:t xml:space="preserve">higher </w:t>
      </w:r>
      <w:r w:rsidR="00A721BE" w:rsidRPr="3982CBDC">
        <w:rPr>
          <w:rFonts w:eastAsia="Times New Roman" w:cs="Times New Roman"/>
          <w:noProof/>
        </w:rPr>
        <w:t>HFC prices</w:t>
      </w:r>
      <w:r w:rsidR="00A721BE">
        <w:rPr>
          <w:rFonts w:eastAsia="Times New Roman" w:cs="Times New Roman"/>
          <w:noProof/>
        </w:rPr>
        <w:t xml:space="preserve"> as they can pass them on (and more) to their customers. </w:t>
      </w:r>
      <w:r w:rsidR="00D60662">
        <w:rPr>
          <w:rFonts w:eastAsia="Times New Roman" w:cs="Times New Roman"/>
          <w:noProof/>
        </w:rPr>
        <w:t>On the other hand, s</w:t>
      </w:r>
      <w:r w:rsidR="00A721BE">
        <w:rPr>
          <w:rFonts w:eastAsia="Times New Roman" w:cs="Times New Roman"/>
          <w:noProof/>
        </w:rPr>
        <w:t>ervice companies will bear some costs linked to training needs (see 6.2.2.1</w:t>
      </w:r>
      <w:r w:rsidR="00DE7089">
        <w:rPr>
          <w:rFonts w:eastAsia="Times New Roman" w:cs="Times New Roman"/>
          <w:noProof/>
        </w:rPr>
        <w:t>), while</w:t>
      </w:r>
      <w:r w:rsidR="00A721BE">
        <w:rPr>
          <w:rFonts w:eastAsia="Times New Roman" w:cs="Times New Roman"/>
          <w:noProof/>
        </w:rPr>
        <w:t xml:space="preserve"> the acquiring of new skills also offers business opportunities. </w:t>
      </w:r>
      <w:r w:rsidR="00342E9B">
        <w:rPr>
          <w:rFonts w:eastAsia="Times New Roman" w:cs="Times New Roman"/>
          <w:noProof/>
        </w:rPr>
        <w:t>SMEs are also found among</w:t>
      </w:r>
      <w:r w:rsidR="00342E9B" w:rsidRPr="3982CBDC" w:rsidDel="00A721BE">
        <w:rPr>
          <w:rFonts w:eastAsia="Times New Roman" w:cs="Times New Roman"/>
          <w:noProof/>
        </w:rPr>
        <w:t xml:space="preserve"> </w:t>
      </w:r>
      <w:r w:rsidR="00342E9B" w:rsidRPr="3982CBDC">
        <w:rPr>
          <w:rFonts w:eastAsia="Times New Roman" w:cs="Times New Roman"/>
          <w:noProof/>
        </w:rPr>
        <w:t>equipment operators</w:t>
      </w:r>
      <w:r w:rsidR="00342E9B">
        <w:rPr>
          <w:rFonts w:eastAsia="Times New Roman" w:cs="Times New Roman"/>
          <w:noProof/>
        </w:rPr>
        <w:t xml:space="preserve">, where adjustment costs </w:t>
      </w:r>
      <w:r w:rsidR="00342E9B" w:rsidRPr="3982CBDC">
        <w:rPr>
          <w:rFonts w:eastAsia="Times New Roman" w:cs="Times New Roman"/>
          <w:noProof/>
        </w:rPr>
        <w:t xml:space="preserve">expressed in </w:t>
      </w:r>
      <w:r w:rsidR="00342E9B">
        <w:rPr>
          <w:rFonts w:eastAsia="Times New Roman" w:cs="Times New Roman"/>
          <w:noProof/>
        </w:rPr>
        <w:t>relation to baseline expenses are</w:t>
      </w:r>
      <w:r w:rsidR="00342E9B" w:rsidRPr="3982CBDC">
        <w:rPr>
          <w:rFonts w:eastAsia="Times New Roman" w:cs="Times New Roman"/>
          <w:noProof/>
        </w:rPr>
        <w:t xml:space="preserve"> very low (Annex </w:t>
      </w:r>
      <w:r w:rsidR="00342E9B">
        <w:rPr>
          <w:rFonts w:eastAsia="Times New Roman" w:cs="Times New Roman"/>
          <w:noProof/>
          <w:szCs w:val="20"/>
        </w:rPr>
        <w:t>A12</w:t>
      </w:r>
      <w:r w:rsidR="00342E9B" w:rsidRPr="3982CBDC">
        <w:rPr>
          <w:rFonts w:eastAsia="Times New Roman" w:cs="Times New Roman"/>
          <w:noProof/>
        </w:rPr>
        <w:t>).</w:t>
      </w:r>
      <w:r w:rsidR="00342E9B">
        <w:rPr>
          <w:rFonts w:eastAsia="Times New Roman" w:cs="Times New Roman"/>
          <w:noProof/>
        </w:rPr>
        <w:t xml:space="preserve"> </w:t>
      </w:r>
      <w:r w:rsidR="00AE0F66">
        <w:rPr>
          <w:rFonts w:eastAsia="Times New Roman" w:cs="Times New Roman"/>
          <w:noProof/>
        </w:rPr>
        <w:t xml:space="preserve">Accordingly, industry </w:t>
      </w:r>
      <w:r w:rsidR="00AE0F66" w:rsidRPr="00CE6E9A">
        <w:rPr>
          <w:noProof/>
        </w:rPr>
        <w:t>stakeholders expected</w:t>
      </w:r>
      <w:r w:rsidR="00342E9B">
        <w:rPr>
          <w:noProof/>
        </w:rPr>
        <w:t>, related to SMEs,</w:t>
      </w:r>
      <w:r w:rsidR="00AE0F66" w:rsidRPr="00CE6E9A">
        <w:rPr>
          <w:noProof/>
        </w:rPr>
        <w:t xml:space="preserve"> higher staff and training costs due to the need for skilled personnel</w:t>
      </w:r>
      <w:r w:rsidR="00AE0F66">
        <w:rPr>
          <w:noProof/>
        </w:rPr>
        <w:t xml:space="preserve"> and </w:t>
      </w:r>
      <w:r w:rsidR="00DE7089">
        <w:rPr>
          <w:noProof/>
        </w:rPr>
        <w:t xml:space="preserve">some feared </w:t>
      </w:r>
      <w:r w:rsidR="00AE0F66">
        <w:rPr>
          <w:noProof/>
        </w:rPr>
        <w:t>a possible disruption of investment plans</w:t>
      </w:r>
      <w:r w:rsidR="00342E9B">
        <w:rPr>
          <w:noProof/>
        </w:rPr>
        <w:t xml:space="preserve"> for smaller end-users</w:t>
      </w:r>
      <w:r w:rsidR="00AE0F66" w:rsidRPr="00CE6E9A">
        <w:rPr>
          <w:noProof/>
        </w:rPr>
        <w:t xml:space="preserve">, while others </w:t>
      </w:r>
      <w:r w:rsidR="00AE0F66">
        <w:rPr>
          <w:noProof/>
        </w:rPr>
        <w:t xml:space="preserve">saw </w:t>
      </w:r>
      <w:r w:rsidR="00AE0F66" w:rsidRPr="00CE6E9A">
        <w:rPr>
          <w:noProof/>
        </w:rPr>
        <w:t xml:space="preserve">increased business opportunities for providers of green technologies. </w:t>
      </w:r>
      <w:bookmarkEnd w:id="250"/>
    </w:p>
    <w:p w14:paraId="270B0CAB" w14:textId="51ADA842" w:rsidR="009556D7" w:rsidRDefault="00E04F0C" w:rsidP="00E04F0C">
      <w:pPr>
        <w:pStyle w:val="Heading3"/>
        <w:rPr>
          <w:noProof/>
        </w:rPr>
      </w:pPr>
      <w:bookmarkStart w:id="251" w:name="_Toc79653498"/>
      <w:bookmarkStart w:id="252" w:name="_Ref80193743"/>
      <w:bookmarkStart w:id="253" w:name="_Toc88571931"/>
      <w:bookmarkStart w:id="254" w:name="_Toc94629523"/>
      <w:bookmarkStart w:id="255" w:name="_Toc98857767"/>
      <w:r w:rsidRPr="00E04F0C">
        <w:t>6.3.7.</w:t>
      </w:r>
      <w:r w:rsidRPr="00E04F0C">
        <w:tab/>
      </w:r>
      <w:r w:rsidR="3982CBDC">
        <w:rPr>
          <w:noProof/>
        </w:rPr>
        <w:t>Impact on competitiveness</w:t>
      </w:r>
      <w:bookmarkEnd w:id="251"/>
      <w:bookmarkEnd w:id="252"/>
      <w:bookmarkEnd w:id="253"/>
      <w:bookmarkEnd w:id="254"/>
      <w:bookmarkEnd w:id="255"/>
    </w:p>
    <w:p w14:paraId="6DF1BF08" w14:textId="11144527" w:rsidR="009556D7" w:rsidRPr="004D46CC" w:rsidRDefault="00E04F0C" w:rsidP="00E04F0C">
      <w:pPr>
        <w:pStyle w:val="Heading4"/>
        <w:rPr>
          <w:noProof/>
        </w:rPr>
      </w:pPr>
      <w:r w:rsidRPr="00E04F0C">
        <w:t>6.3.7.1.</w:t>
      </w:r>
      <w:r w:rsidRPr="00E04F0C">
        <w:tab/>
      </w:r>
      <w:r w:rsidR="00422E01">
        <w:rPr>
          <w:noProof/>
        </w:rPr>
        <w:t xml:space="preserve"> </w:t>
      </w:r>
      <w:r w:rsidR="3982CBDC">
        <w:rPr>
          <w:noProof/>
        </w:rPr>
        <w:t>Competitiveness of fluorinated gas producers</w:t>
      </w:r>
    </w:p>
    <w:p w14:paraId="540B967A" w14:textId="31C7111D" w:rsidR="009556D7" w:rsidRPr="00A41B24" w:rsidRDefault="000469C2" w:rsidP="004D46CC">
      <w:pPr>
        <w:spacing w:after="120"/>
        <w:rPr>
          <w:noProof/>
        </w:rPr>
      </w:pPr>
      <w:r w:rsidRPr="000469C2">
        <w:rPr>
          <w:b/>
          <w:noProof/>
        </w:rPr>
        <w:t>EU producers and importers are not expected to suffer competitiveness losses.</w:t>
      </w:r>
      <w:r>
        <w:rPr>
          <w:noProof/>
        </w:rPr>
        <w:t xml:space="preserve"> </w:t>
      </w:r>
      <w:r w:rsidR="3982CBDC">
        <w:rPr>
          <w:noProof/>
        </w:rPr>
        <w:t>As regards the production of HFCs, the production levels in tCO2e must be phased down due to the Protocol and the inclusion of a separate HFC production phase-down is designed to ensure that producers will be at least as well off as under a scenario where the Montreal Protocol production phase-downs are implemented at national level (by Germany and France)</w:t>
      </w:r>
      <w:r>
        <w:rPr>
          <w:noProof/>
        </w:rPr>
        <w:t xml:space="preserve"> (</w:t>
      </w:r>
      <w:r w:rsidR="00190CF4">
        <w:rPr>
          <w:noProof/>
        </w:rPr>
        <w:t xml:space="preserve">See Annex </w:t>
      </w:r>
      <w:r w:rsidR="00C66A21">
        <w:rPr>
          <w:noProof/>
        </w:rPr>
        <w:t>A8</w:t>
      </w:r>
      <w:r>
        <w:rPr>
          <w:noProof/>
        </w:rPr>
        <w:t>)</w:t>
      </w:r>
      <w:r w:rsidR="00190CF4">
        <w:rPr>
          <w:noProof/>
        </w:rPr>
        <w:t>.</w:t>
      </w:r>
      <w:r>
        <w:rPr>
          <w:noProof/>
        </w:rPr>
        <w:t xml:space="preserve"> Furthermore, producers and importers profit from the quota system, as free quotas and scarcity of HFC gas on the EU market allow to charge higher prices for the gas (see e.g. Annex A4.2.10).</w:t>
      </w:r>
    </w:p>
    <w:p w14:paraId="5B98BB6F" w14:textId="0D6C5C0E" w:rsidR="009556D7" w:rsidRPr="00664B55" w:rsidRDefault="00E04F0C" w:rsidP="00E04F0C">
      <w:pPr>
        <w:pStyle w:val="Heading4"/>
        <w:rPr>
          <w:noProof/>
        </w:rPr>
      </w:pPr>
      <w:r w:rsidRPr="00E04F0C">
        <w:t>6.3.7.2.</w:t>
      </w:r>
      <w:r w:rsidRPr="00E04F0C">
        <w:tab/>
      </w:r>
      <w:r w:rsidR="00422E01">
        <w:rPr>
          <w:noProof/>
        </w:rPr>
        <w:t xml:space="preserve"> </w:t>
      </w:r>
      <w:r w:rsidR="3982CBDC">
        <w:rPr>
          <w:noProof/>
        </w:rPr>
        <w:t>Competitiveness of businesses active in the manufacture and maintenance of equipment using F-gases or alternatives</w:t>
      </w:r>
    </w:p>
    <w:p w14:paraId="0D5B677F" w14:textId="6E066628" w:rsidR="0099051F" w:rsidRDefault="00DE27A9" w:rsidP="00381466">
      <w:pPr>
        <w:spacing w:after="120"/>
        <w:rPr>
          <w:noProof/>
        </w:rPr>
      </w:pPr>
      <w:r w:rsidRPr="005D4198">
        <w:rPr>
          <w:b/>
          <w:noProof/>
        </w:rPr>
        <w:t>There may be positive effects for</w:t>
      </w:r>
      <w:r w:rsidRPr="00DE27A9">
        <w:rPr>
          <w:b/>
          <w:noProof/>
        </w:rPr>
        <w:t xml:space="preserve"> competitiveness of </w:t>
      </w:r>
      <w:r>
        <w:rPr>
          <w:b/>
          <w:noProof/>
        </w:rPr>
        <w:t>equipment</w:t>
      </w:r>
      <w:r w:rsidRPr="00DE27A9">
        <w:rPr>
          <w:b/>
          <w:noProof/>
        </w:rPr>
        <w:t xml:space="preserve"> manufacturers under the </w:t>
      </w:r>
      <w:r w:rsidRPr="005D4198">
        <w:rPr>
          <w:b/>
          <w:i/>
          <w:iCs/>
          <w:noProof/>
        </w:rPr>
        <w:t>higher ambition</w:t>
      </w:r>
      <w:r w:rsidRPr="00DE27A9">
        <w:rPr>
          <w:b/>
          <w:noProof/>
        </w:rPr>
        <w:t xml:space="preserve"> policy options in the future.</w:t>
      </w:r>
      <w:r>
        <w:rPr>
          <w:noProof/>
        </w:rPr>
        <w:t xml:space="preserve"> </w:t>
      </w:r>
      <w:r w:rsidR="004D46CC">
        <w:rPr>
          <w:noProof/>
        </w:rPr>
        <w:t>The Kigali Amendment</w:t>
      </w:r>
      <w:r w:rsidR="00C82319" w:rsidRPr="00664B55">
        <w:rPr>
          <w:noProof/>
        </w:rPr>
        <w:t xml:space="preserve"> will lead to a world-wide increase in demand in </w:t>
      </w:r>
      <w:r w:rsidR="004D46CC">
        <w:rPr>
          <w:noProof/>
        </w:rPr>
        <w:t>climate-</w:t>
      </w:r>
      <w:r w:rsidR="00C82319">
        <w:rPr>
          <w:noProof/>
        </w:rPr>
        <w:t xml:space="preserve">friendly </w:t>
      </w:r>
      <w:r w:rsidR="00C82319" w:rsidRPr="00664B55">
        <w:rPr>
          <w:noProof/>
        </w:rPr>
        <w:t xml:space="preserve">technologies. </w:t>
      </w:r>
      <w:r w:rsidR="009D5BCB" w:rsidRPr="00664B55">
        <w:rPr>
          <w:noProof/>
        </w:rPr>
        <w:t>Options 2 and 3</w:t>
      </w:r>
      <w:r w:rsidR="009556D7" w:rsidRPr="00664B55">
        <w:rPr>
          <w:noProof/>
        </w:rPr>
        <w:t xml:space="preserve"> </w:t>
      </w:r>
      <w:r w:rsidR="00D74AC9">
        <w:rPr>
          <w:noProof/>
        </w:rPr>
        <w:t xml:space="preserve">will </w:t>
      </w:r>
      <w:r w:rsidR="009556D7" w:rsidRPr="00664B55">
        <w:rPr>
          <w:noProof/>
        </w:rPr>
        <w:t xml:space="preserve">incentivise R&amp;D and innovation related </w:t>
      </w:r>
      <w:r w:rsidR="00664B55">
        <w:rPr>
          <w:noProof/>
        </w:rPr>
        <w:t xml:space="preserve">to equipment operating with low </w:t>
      </w:r>
      <w:r w:rsidR="009556D7" w:rsidRPr="00664B55">
        <w:rPr>
          <w:noProof/>
        </w:rPr>
        <w:t>GWP alternatives</w:t>
      </w:r>
      <w:r w:rsidR="00D74AC9">
        <w:rPr>
          <w:noProof/>
        </w:rPr>
        <w:t xml:space="preserve"> more than Option 1 and hence more likely </w:t>
      </w:r>
      <w:r w:rsidR="009556D7" w:rsidRPr="00664B55">
        <w:rPr>
          <w:noProof/>
        </w:rPr>
        <w:t>increase export opportunities</w:t>
      </w:r>
      <w:r w:rsidR="00EE6BFE">
        <w:rPr>
          <w:noProof/>
        </w:rPr>
        <w:t>.</w:t>
      </w:r>
      <w:r w:rsidR="004D46CC" w:rsidDel="00DE27A9">
        <w:rPr>
          <w:noProof/>
        </w:rPr>
        <w:t xml:space="preserve"> </w:t>
      </w:r>
      <w:r w:rsidR="00EE6BFE">
        <w:rPr>
          <w:noProof/>
        </w:rPr>
        <w:t>W</w:t>
      </w:r>
      <w:r w:rsidR="00050B8B">
        <w:rPr>
          <w:noProof/>
        </w:rPr>
        <w:t>hile some</w:t>
      </w:r>
      <w:r w:rsidR="00EE6BFE">
        <w:rPr>
          <w:noProof/>
        </w:rPr>
        <w:t xml:space="preserve"> </w:t>
      </w:r>
      <w:r w:rsidR="00050B8B">
        <w:rPr>
          <w:noProof/>
        </w:rPr>
        <w:t xml:space="preserve">industry </w:t>
      </w:r>
      <w:r w:rsidR="00EE6BFE">
        <w:rPr>
          <w:noProof/>
        </w:rPr>
        <w:t>stakeholders expected an increase in R&amp;D</w:t>
      </w:r>
      <w:r w:rsidR="00D73AC8">
        <w:rPr>
          <w:noProof/>
        </w:rPr>
        <w:t xml:space="preserve"> (39 respondents)</w:t>
      </w:r>
      <w:r w:rsidR="00EE6BFE">
        <w:rPr>
          <w:noProof/>
        </w:rPr>
        <w:t xml:space="preserve"> and higher competitiveness, including in the field of alternative technologies</w:t>
      </w:r>
      <w:r w:rsidR="00EE6BFE" w:rsidRPr="00EE6BFE">
        <w:rPr>
          <w:noProof/>
        </w:rPr>
        <w:t xml:space="preserve"> </w:t>
      </w:r>
      <w:r w:rsidR="00EE6BFE">
        <w:rPr>
          <w:noProof/>
        </w:rPr>
        <w:t>to SF</w:t>
      </w:r>
      <w:r w:rsidR="00EE6BFE">
        <w:rPr>
          <w:noProof/>
          <w:vertAlign w:val="subscript"/>
        </w:rPr>
        <w:t>6</w:t>
      </w:r>
      <w:r w:rsidR="00D73AC8">
        <w:rPr>
          <w:noProof/>
          <w:vertAlign w:val="subscript"/>
        </w:rPr>
        <w:t xml:space="preserve"> </w:t>
      </w:r>
      <w:r w:rsidR="00D73AC8">
        <w:rPr>
          <w:noProof/>
        </w:rPr>
        <w:t>(17 respondents)</w:t>
      </w:r>
      <w:r w:rsidR="00EE6BFE">
        <w:rPr>
          <w:noProof/>
        </w:rPr>
        <w:t>,</w:t>
      </w:r>
      <w:r w:rsidR="00050B8B">
        <w:rPr>
          <w:noProof/>
        </w:rPr>
        <w:t xml:space="preserve"> other industry</w:t>
      </w:r>
      <w:r w:rsidR="00664B55">
        <w:rPr>
          <w:noProof/>
        </w:rPr>
        <w:t xml:space="preserve"> stakeholders fear</w:t>
      </w:r>
      <w:r w:rsidR="00EE6BFE">
        <w:rPr>
          <w:noProof/>
        </w:rPr>
        <w:t>ed</w:t>
      </w:r>
      <w:r w:rsidR="00664B55">
        <w:rPr>
          <w:noProof/>
        </w:rPr>
        <w:t xml:space="preserve"> that the </w:t>
      </w:r>
      <w:r w:rsidR="00FB67D7">
        <w:rPr>
          <w:noProof/>
        </w:rPr>
        <w:t>competitiveness</w:t>
      </w:r>
      <w:r w:rsidR="00664B55">
        <w:rPr>
          <w:noProof/>
        </w:rPr>
        <w:t xml:space="preserve"> of expo</w:t>
      </w:r>
      <w:r w:rsidR="00EE6BFE">
        <w:rPr>
          <w:noProof/>
        </w:rPr>
        <w:t>rt-oriented EU business may</w:t>
      </w:r>
      <w:r w:rsidR="00664B55">
        <w:rPr>
          <w:noProof/>
        </w:rPr>
        <w:t xml:space="preserve"> be negatively affected by higher HFC prices. </w:t>
      </w:r>
      <w:r w:rsidR="009556D7">
        <w:rPr>
          <w:noProof/>
        </w:rPr>
        <w:t xml:space="preserve">JRC-GEM-E3 modelling results show that in monetary units </w:t>
      </w:r>
      <w:r w:rsidR="00664B55">
        <w:rPr>
          <w:noProof/>
        </w:rPr>
        <w:t xml:space="preserve">the </w:t>
      </w:r>
      <w:r w:rsidR="009556D7">
        <w:rPr>
          <w:noProof/>
        </w:rPr>
        <w:t xml:space="preserve">gains in output </w:t>
      </w:r>
      <w:r>
        <w:rPr>
          <w:noProof/>
        </w:rPr>
        <w:t xml:space="preserve">of the “other equipment goods” sector </w:t>
      </w:r>
      <w:r w:rsidR="009556D7">
        <w:rPr>
          <w:noProof/>
        </w:rPr>
        <w:t xml:space="preserve">to be expected under </w:t>
      </w:r>
      <w:r w:rsidR="00664B55">
        <w:rPr>
          <w:noProof/>
        </w:rPr>
        <w:t>Options 2 and 3</w:t>
      </w:r>
      <w:r w:rsidR="009556D7">
        <w:rPr>
          <w:noProof/>
        </w:rPr>
        <w:t xml:space="preserve"> are by far larger than the losses in exports.</w:t>
      </w:r>
      <w:bookmarkStart w:id="256" w:name="_Toc72507481"/>
      <w:bookmarkStart w:id="257" w:name="_Toc72507693"/>
      <w:bookmarkStart w:id="258" w:name="_Toc75264812"/>
      <w:bookmarkStart w:id="259" w:name="_Toc72507482"/>
      <w:bookmarkStart w:id="260" w:name="_Toc72507694"/>
      <w:bookmarkStart w:id="261" w:name="_Toc75264813"/>
      <w:bookmarkStart w:id="262" w:name="_Toc72507483"/>
      <w:bookmarkStart w:id="263" w:name="_Toc72507695"/>
      <w:bookmarkStart w:id="264" w:name="_Toc75264814"/>
      <w:bookmarkStart w:id="265" w:name="_Toc75773826"/>
      <w:bookmarkStart w:id="266" w:name="_Toc75773901"/>
      <w:bookmarkStart w:id="267" w:name="_Toc75774480"/>
      <w:bookmarkStart w:id="268" w:name="_Toc75775025"/>
      <w:bookmarkStart w:id="269" w:name="_Toc75776148"/>
      <w:bookmarkStart w:id="270" w:name="_Toc75776237"/>
      <w:bookmarkStart w:id="271" w:name="_Toc75776559"/>
      <w:bookmarkStart w:id="272" w:name="_Toc75789716"/>
      <w:bookmarkStart w:id="273" w:name="_Toc75850356"/>
      <w:bookmarkStart w:id="274" w:name="_Toc75850444"/>
      <w:bookmarkStart w:id="275" w:name="_Toc75850585"/>
      <w:bookmarkStart w:id="276" w:name="_Toc75850823"/>
      <w:bookmarkStart w:id="277" w:name="_Toc75888540"/>
      <w:bookmarkStart w:id="278" w:name="_Toc75954052"/>
      <w:bookmarkStart w:id="279" w:name="_Toc75972429"/>
      <w:bookmarkStart w:id="280" w:name="_Toc75976278"/>
      <w:bookmarkStart w:id="281" w:name="_Toc75984820"/>
      <w:bookmarkStart w:id="282" w:name="_Toc77004226"/>
      <w:bookmarkStart w:id="283" w:name="_Toc77004300"/>
      <w:bookmarkStart w:id="284" w:name="_Toc77004375"/>
      <w:bookmarkStart w:id="285" w:name="_Toc77004449"/>
      <w:bookmarkStart w:id="286" w:name="_Toc77004524"/>
      <w:bookmarkStart w:id="287" w:name="_Toc77004679"/>
      <w:bookmarkStart w:id="288" w:name="_Toc77004754"/>
      <w:bookmarkStart w:id="289" w:name="_Toc77005547"/>
      <w:bookmarkStart w:id="290" w:name="_Toc77007036"/>
      <w:bookmarkStart w:id="291" w:name="_Toc77012238"/>
      <w:bookmarkStart w:id="292" w:name="_Toc77012321"/>
      <w:bookmarkStart w:id="293" w:name="_Toc77012403"/>
      <w:bookmarkStart w:id="294" w:name="_Toc77012484"/>
      <w:bookmarkStart w:id="295" w:name="_Toc77012566"/>
      <w:bookmarkStart w:id="296" w:name="_Toc77012775"/>
      <w:bookmarkStart w:id="297" w:name="_Toc77077509"/>
      <w:bookmarkStart w:id="298" w:name="_Toc77094548"/>
      <w:bookmarkStart w:id="299" w:name="_Toc77094760"/>
      <w:bookmarkStart w:id="300" w:name="_Toc77094908"/>
      <w:bookmarkStart w:id="301" w:name="_Toc77095320"/>
      <w:bookmarkStart w:id="302" w:name="_Toc77095421"/>
      <w:bookmarkStart w:id="303" w:name="_Toc77095648"/>
      <w:bookmarkStart w:id="304" w:name="_Toc77097002"/>
      <w:bookmarkStart w:id="305" w:name="_Toc77097073"/>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r w:rsidR="00FB67D7">
        <w:rPr>
          <w:noProof/>
        </w:rPr>
        <w:t xml:space="preserve"> Moreover, as mentioned above</w:t>
      </w:r>
      <w:r w:rsidR="004D46CC">
        <w:rPr>
          <w:noProof/>
        </w:rPr>
        <w:t>,</w:t>
      </w:r>
      <w:r w:rsidR="00190CF4">
        <w:rPr>
          <w:noProof/>
        </w:rPr>
        <w:t xml:space="preserve"> EU companies will more and more produce climate-friendly technologies </w:t>
      </w:r>
      <w:r>
        <w:rPr>
          <w:noProof/>
        </w:rPr>
        <w:t xml:space="preserve">also for export, as </w:t>
      </w:r>
      <w:r w:rsidR="00190CF4">
        <w:rPr>
          <w:noProof/>
        </w:rPr>
        <w:t>the global market will be</w:t>
      </w:r>
      <w:r w:rsidR="00FB67D7">
        <w:rPr>
          <w:noProof/>
        </w:rPr>
        <w:t xml:space="preserve"> </w:t>
      </w:r>
      <w:r>
        <w:rPr>
          <w:noProof/>
        </w:rPr>
        <w:t>moving in that direction</w:t>
      </w:r>
      <w:r w:rsidR="00190CF4">
        <w:rPr>
          <w:noProof/>
        </w:rPr>
        <w:t>.</w:t>
      </w:r>
      <w:r w:rsidR="00CE24E4">
        <w:rPr>
          <w:noProof/>
        </w:rPr>
        <w:t xml:space="preserve"> </w:t>
      </w:r>
    </w:p>
    <w:p w14:paraId="60C2CDC3" w14:textId="68A7EE42" w:rsidR="00274417" w:rsidRPr="008F4297" w:rsidRDefault="00E04F0C" w:rsidP="00E04F0C">
      <w:pPr>
        <w:pStyle w:val="Heading3"/>
        <w:rPr>
          <w:noProof/>
        </w:rPr>
      </w:pPr>
      <w:bookmarkStart w:id="306" w:name="_Toc94629524"/>
      <w:bookmarkStart w:id="307" w:name="_Toc98857768"/>
      <w:r w:rsidRPr="00E04F0C">
        <w:t>6.3.8.</w:t>
      </w:r>
      <w:r w:rsidRPr="00E04F0C">
        <w:tab/>
      </w:r>
      <w:r w:rsidR="00274417">
        <w:rPr>
          <w:noProof/>
        </w:rPr>
        <w:t>Impact on trade flows (imports and export)</w:t>
      </w:r>
      <w:bookmarkEnd w:id="306"/>
      <w:bookmarkEnd w:id="307"/>
    </w:p>
    <w:p w14:paraId="333B1676" w14:textId="0CBB11E0" w:rsidR="0043134F" w:rsidRPr="00E61F49" w:rsidRDefault="00A370E2" w:rsidP="0043134F">
      <w:pPr>
        <w:spacing w:after="120"/>
        <w:rPr>
          <w:rStyle w:val="Heading5Char"/>
          <w:rFonts w:ascii="Times New Roman" w:eastAsiaTheme="minorEastAsia" w:hAnsi="Times New Roman" w:cstheme="minorBidi"/>
          <w:noProof/>
          <w:color w:val="auto"/>
          <w:sz w:val="24"/>
          <w:szCs w:val="24"/>
          <w:lang w:val="en-US"/>
        </w:rPr>
      </w:pPr>
      <w:r w:rsidRPr="00A370E2">
        <w:rPr>
          <w:b/>
          <w:noProof/>
        </w:rPr>
        <w:t xml:space="preserve">As regards HFC </w:t>
      </w:r>
      <w:r w:rsidRPr="00EA4139">
        <w:rPr>
          <w:b/>
          <w:i/>
          <w:noProof/>
        </w:rPr>
        <w:t>bulk gases</w:t>
      </w:r>
      <w:r w:rsidRPr="00A370E2">
        <w:rPr>
          <w:b/>
          <w:noProof/>
        </w:rPr>
        <w:t xml:space="preserve">, </w:t>
      </w:r>
      <w:r w:rsidRPr="00A20E0E">
        <w:rPr>
          <w:b/>
          <w:noProof/>
        </w:rPr>
        <w:t>f</w:t>
      </w:r>
      <w:r w:rsidR="00A20E0E">
        <w:rPr>
          <w:b/>
          <w:noProof/>
        </w:rPr>
        <w:t>uture</w:t>
      </w:r>
      <w:r w:rsidRPr="00A370E2">
        <w:rPr>
          <w:b/>
          <w:noProof/>
        </w:rPr>
        <w:t xml:space="preserve"> exports </w:t>
      </w:r>
      <w:r w:rsidR="00274417" w:rsidRPr="00A370E2">
        <w:rPr>
          <w:b/>
          <w:noProof/>
        </w:rPr>
        <w:t>will go down</w:t>
      </w:r>
      <w:r w:rsidR="00274417">
        <w:rPr>
          <w:noProof/>
        </w:rPr>
        <w:t xml:space="preserve"> as EU production (and consumption) will have to decline compared to 2011-2013 levels as internationally agreed. This is therefore the case for all </w:t>
      </w:r>
      <w:r w:rsidR="0043134F">
        <w:rPr>
          <w:noProof/>
        </w:rPr>
        <w:t>three</w:t>
      </w:r>
      <w:r w:rsidR="00274417">
        <w:rPr>
          <w:noProof/>
        </w:rPr>
        <w:t xml:space="preserve"> options</w:t>
      </w:r>
      <w:r w:rsidR="003F31D3">
        <w:rPr>
          <w:noProof/>
        </w:rPr>
        <w:t xml:space="preserve"> as they all intend to ensure</w:t>
      </w:r>
      <w:r w:rsidR="00274417">
        <w:rPr>
          <w:noProof/>
        </w:rPr>
        <w:t xml:space="preserve"> compliance with Protocol rules. </w:t>
      </w:r>
      <w:r w:rsidR="0043134F" w:rsidRPr="00A370E2">
        <w:rPr>
          <w:b/>
          <w:noProof/>
        </w:rPr>
        <w:t xml:space="preserve">This </w:t>
      </w:r>
      <w:r w:rsidR="00EA4139">
        <w:rPr>
          <w:b/>
          <w:noProof/>
        </w:rPr>
        <w:t>does not apply to</w:t>
      </w:r>
      <w:r w:rsidR="0043134F" w:rsidRPr="00A370E2">
        <w:rPr>
          <w:b/>
          <w:noProof/>
        </w:rPr>
        <w:t xml:space="preserve"> SF</w:t>
      </w:r>
      <w:r w:rsidR="0043134F" w:rsidRPr="00A370E2">
        <w:rPr>
          <w:b/>
          <w:noProof/>
          <w:vertAlign w:val="subscript"/>
        </w:rPr>
        <w:t>6</w:t>
      </w:r>
      <w:r w:rsidR="0043134F" w:rsidRPr="00A370E2">
        <w:rPr>
          <w:b/>
          <w:noProof/>
        </w:rPr>
        <w:t xml:space="preserve"> gas </w:t>
      </w:r>
      <w:r w:rsidR="00EA4139">
        <w:rPr>
          <w:b/>
          <w:noProof/>
        </w:rPr>
        <w:t>(or</w:t>
      </w:r>
      <w:r w:rsidR="0043134F" w:rsidRPr="00A370E2">
        <w:rPr>
          <w:b/>
          <w:noProof/>
        </w:rPr>
        <w:t xml:space="preserve"> SF</w:t>
      </w:r>
      <w:r w:rsidR="0043134F" w:rsidRPr="00D865E0">
        <w:rPr>
          <w:b/>
          <w:noProof/>
          <w:vertAlign w:val="subscript"/>
        </w:rPr>
        <w:t xml:space="preserve">6 </w:t>
      </w:r>
      <w:r w:rsidR="0043134F" w:rsidRPr="00A370E2">
        <w:rPr>
          <w:b/>
          <w:noProof/>
        </w:rPr>
        <w:t>equipment</w:t>
      </w:r>
      <w:r w:rsidR="00EA4139">
        <w:rPr>
          <w:b/>
          <w:noProof/>
        </w:rPr>
        <w:t>)</w:t>
      </w:r>
      <w:r w:rsidR="0043134F">
        <w:rPr>
          <w:rStyle w:val="FootnoteReference"/>
          <w:noProof/>
        </w:rPr>
        <w:footnoteReference w:id="111"/>
      </w:r>
      <w:r w:rsidR="0043134F">
        <w:rPr>
          <w:noProof/>
        </w:rPr>
        <w:t xml:space="preserve"> exports, as no restrictions on exports of this gas apply in any of the three policy options.</w:t>
      </w:r>
      <w:r w:rsidR="00272EA4">
        <w:rPr>
          <w:noProof/>
        </w:rPr>
        <w:t xml:space="preserve"> European companies are </w:t>
      </w:r>
      <w:r w:rsidR="003F31D3">
        <w:rPr>
          <w:noProof/>
        </w:rPr>
        <w:t xml:space="preserve">also </w:t>
      </w:r>
      <w:r w:rsidR="00272EA4">
        <w:rPr>
          <w:noProof/>
        </w:rPr>
        <w:t>world leaders for the alternative equipment replacing SF</w:t>
      </w:r>
      <w:r w:rsidR="00272EA4">
        <w:rPr>
          <w:noProof/>
          <w:vertAlign w:val="subscript"/>
        </w:rPr>
        <w:t>6</w:t>
      </w:r>
      <w:r w:rsidR="00272EA4">
        <w:rPr>
          <w:noProof/>
        </w:rPr>
        <w:t xml:space="preserve">. </w:t>
      </w:r>
    </w:p>
    <w:p w14:paraId="15350816" w14:textId="0BA126B2" w:rsidR="00272EA4" w:rsidRDefault="00272EA4" w:rsidP="00272EA4">
      <w:pPr>
        <w:spacing w:after="120"/>
        <w:rPr>
          <w:noProof/>
          <w:lang w:val="en-US"/>
        </w:rPr>
      </w:pPr>
      <w:r>
        <w:rPr>
          <w:noProof/>
        </w:rPr>
        <w:t>For</w:t>
      </w:r>
      <w:r w:rsidR="00274417">
        <w:rPr>
          <w:noProof/>
        </w:rPr>
        <w:t xml:space="preserve"> </w:t>
      </w:r>
      <w:r w:rsidR="00274417" w:rsidRPr="3982CBDC">
        <w:rPr>
          <w:noProof/>
          <w:lang w:val="en-US"/>
        </w:rPr>
        <w:t>products and equipment containing HFCs</w:t>
      </w:r>
      <w:r>
        <w:rPr>
          <w:noProof/>
          <w:lang w:val="en-US"/>
        </w:rPr>
        <w:t>, manufacturing costs</w:t>
      </w:r>
      <w:r w:rsidR="00274417" w:rsidRPr="3982CBDC">
        <w:rPr>
          <w:noProof/>
          <w:lang w:val="en-US"/>
        </w:rPr>
        <w:t xml:space="preserve"> will increase due to higher HFC prices</w:t>
      </w:r>
      <w:r w:rsidR="0043134F">
        <w:rPr>
          <w:noProof/>
          <w:lang w:val="en-US"/>
        </w:rPr>
        <w:t xml:space="preserve"> </w:t>
      </w:r>
      <w:r w:rsidR="0020429D">
        <w:rPr>
          <w:noProof/>
          <w:lang w:val="en-US"/>
        </w:rPr>
        <w:t xml:space="preserve">depending on </w:t>
      </w:r>
      <w:r w:rsidR="0043134F">
        <w:rPr>
          <w:noProof/>
          <w:lang w:val="en-US"/>
        </w:rPr>
        <w:t>the ambition level</w:t>
      </w:r>
      <w:r>
        <w:rPr>
          <w:noProof/>
          <w:lang w:val="en-US"/>
        </w:rPr>
        <w:t xml:space="preserve"> of the policy options</w:t>
      </w:r>
      <w:r w:rsidR="00274417" w:rsidRPr="3982CBDC">
        <w:rPr>
          <w:noProof/>
          <w:lang w:val="en-US"/>
        </w:rPr>
        <w:t>. From an isolated perspective those additional costs may reduce exports</w:t>
      </w:r>
      <w:r>
        <w:rPr>
          <w:noProof/>
          <w:lang w:val="en-US"/>
        </w:rPr>
        <w:t>,</w:t>
      </w:r>
      <w:r w:rsidR="00274417" w:rsidRPr="3982CBDC">
        <w:rPr>
          <w:noProof/>
          <w:lang w:val="en-US"/>
        </w:rPr>
        <w:t xml:space="preserve"> </w:t>
      </w:r>
      <w:r>
        <w:rPr>
          <w:noProof/>
          <w:lang w:val="en-US"/>
        </w:rPr>
        <w:t>as outside markets are not as advanced as the EU as pointed out by some industry associations. However, a</w:t>
      </w:r>
      <w:r w:rsidR="00274417" w:rsidRPr="3982CBDC">
        <w:rPr>
          <w:noProof/>
          <w:lang w:val="en-US"/>
        </w:rPr>
        <w:t xml:space="preserve">s all countries will have to comply with their declining HFC consumption limits under the Montreal Protocol, </w:t>
      </w:r>
      <w:r w:rsidR="00274417" w:rsidRPr="0043134F">
        <w:rPr>
          <w:b/>
          <w:noProof/>
          <w:lang w:val="en-US"/>
        </w:rPr>
        <w:t xml:space="preserve">there will be a growing demand for climate-friendly equipment, which should consequently affect exports </w:t>
      </w:r>
      <w:r w:rsidR="00A370E2">
        <w:rPr>
          <w:b/>
          <w:noProof/>
          <w:lang w:val="en-US"/>
        </w:rPr>
        <w:t xml:space="preserve">of </w:t>
      </w:r>
      <w:r>
        <w:rPr>
          <w:b/>
          <w:noProof/>
          <w:lang w:val="en-US"/>
        </w:rPr>
        <w:t xml:space="preserve">such </w:t>
      </w:r>
      <w:r w:rsidR="00A370E2">
        <w:rPr>
          <w:b/>
          <w:noProof/>
          <w:lang w:val="en-US"/>
        </w:rPr>
        <w:t>equipment</w:t>
      </w:r>
      <w:r w:rsidR="00A370E2" w:rsidRPr="00F854AA">
        <w:rPr>
          <w:b/>
          <w:noProof/>
          <w:lang w:val="en-IE"/>
        </w:rPr>
        <w:t xml:space="preserve"> </w:t>
      </w:r>
      <w:r w:rsidR="00274417" w:rsidRPr="00F854AA">
        <w:rPr>
          <w:b/>
          <w:noProof/>
          <w:lang w:val="en-IE"/>
        </w:rPr>
        <w:t>favo</w:t>
      </w:r>
      <w:r w:rsidR="00021819" w:rsidRPr="00F854AA">
        <w:rPr>
          <w:b/>
          <w:noProof/>
          <w:lang w:val="en-IE"/>
        </w:rPr>
        <w:t>u</w:t>
      </w:r>
      <w:r w:rsidR="00274417" w:rsidRPr="00F854AA">
        <w:rPr>
          <w:b/>
          <w:noProof/>
          <w:lang w:val="en-IE"/>
        </w:rPr>
        <w:t>rably</w:t>
      </w:r>
      <w:r w:rsidR="00274417" w:rsidRPr="0043134F">
        <w:rPr>
          <w:b/>
          <w:noProof/>
          <w:lang w:val="en-US"/>
        </w:rPr>
        <w:t xml:space="preserve"> in the long run</w:t>
      </w:r>
      <w:r w:rsidR="00274417" w:rsidRPr="3982CBDC">
        <w:rPr>
          <w:noProof/>
          <w:lang w:val="en-US"/>
        </w:rPr>
        <w:t xml:space="preserve">. </w:t>
      </w:r>
    </w:p>
    <w:p w14:paraId="080FDC37" w14:textId="48D1D5B8" w:rsidR="00272EA4" w:rsidRDefault="00A370E2" w:rsidP="00272EA4">
      <w:pPr>
        <w:spacing w:after="120"/>
        <w:rPr>
          <w:noProof/>
        </w:rPr>
      </w:pPr>
      <w:r w:rsidRPr="00A370E2">
        <w:rPr>
          <w:b/>
          <w:noProof/>
        </w:rPr>
        <w:t>Imports will increase</w:t>
      </w:r>
      <w:r w:rsidR="00272EA4">
        <w:rPr>
          <w:b/>
          <w:noProof/>
        </w:rPr>
        <w:t xml:space="preserve"> on balance</w:t>
      </w:r>
      <w:r w:rsidRPr="00A370E2">
        <w:rPr>
          <w:b/>
          <w:noProof/>
        </w:rPr>
        <w:t>.</w:t>
      </w:r>
      <w:r>
        <w:rPr>
          <w:noProof/>
        </w:rPr>
        <w:t xml:space="preserve"> </w:t>
      </w:r>
      <w:r w:rsidR="00272EA4">
        <w:rPr>
          <w:noProof/>
        </w:rPr>
        <w:t>While i</w:t>
      </w:r>
      <w:r w:rsidR="00274417" w:rsidRPr="00A370E2">
        <w:rPr>
          <w:noProof/>
        </w:rPr>
        <w:t xml:space="preserve">mports of </w:t>
      </w:r>
      <w:r w:rsidR="00274417" w:rsidRPr="00272EA4">
        <w:rPr>
          <w:i/>
          <w:noProof/>
        </w:rPr>
        <w:t xml:space="preserve">bulk </w:t>
      </w:r>
      <w:r w:rsidR="0043134F" w:rsidRPr="00A370E2">
        <w:rPr>
          <w:noProof/>
        </w:rPr>
        <w:t>F-</w:t>
      </w:r>
      <w:r w:rsidR="00272EA4">
        <w:rPr>
          <w:noProof/>
        </w:rPr>
        <w:t xml:space="preserve">gases will continue to fall, </w:t>
      </w:r>
      <w:r w:rsidR="00274417" w:rsidRPr="00A370E2">
        <w:rPr>
          <w:noProof/>
        </w:rPr>
        <w:t xml:space="preserve">their economic value will go up </w:t>
      </w:r>
      <w:r w:rsidR="00274417">
        <w:rPr>
          <w:noProof/>
        </w:rPr>
        <w:t>as the replacement H(C)FOs are considerably more expensive than HFC</w:t>
      </w:r>
      <w:r w:rsidR="00272EA4">
        <w:rPr>
          <w:noProof/>
        </w:rPr>
        <w:t>s</w:t>
      </w:r>
      <w:r w:rsidR="00274417">
        <w:rPr>
          <w:noProof/>
        </w:rPr>
        <w:t xml:space="preserve">. </w:t>
      </w:r>
      <w:r w:rsidRPr="00A370E2">
        <w:rPr>
          <w:noProof/>
        </w:rPr>
        <w:t xml:space="preserve">Imports related to equipment will likely increase. </w:t>
      </w:r>
      <w:r>
        <w:rPr>
          <w:noProof/>
        </w:rPr>
        <w:t>The main drivers are an additional demand for such equipment and its supplying sectors, both of which are more significant for Options 2 and 3. A</w:t>
      </w:r>
      <w:r w:rsidR="00274417">
        <w:rPr>
          <w:noProof/>
        </w:rPr>
        <w:t>ccording to the JRC-GEM-E3 results, the increased value of imports in the ‘other equipment goods’ sector (comprising cooling equipment) is far more relevant than the import trends for bulk fluorinated gases</w:t>
      </w:r>
      <w:r>
        <w:rPr>
          <w:noProof/>
        </w:rPr>
        <w:t>, as</w:t>
      </w:r>
      <w:r w:rsidR="00A20E0E">
        <w:rPr>
          <w:noProof/>
        </w:rPr>
        <w:t xml:space="preserve"> </w:t>
      </w:r>
      <w:r>
        <w:rPr>
          <w:noProof/>
        </w:rPr>
        <w:t>t</w:t>
      </w:r>
      <w:r w:rsidR="00274417">
        <w:rPr>
          <w:noProof/>
        </w:rPr>
        <w:t xml:space="preserve">he import share of the higher EU demand for such equipment under Options 2 and 3 is worth about four times the increased value of bulk </w:t>
      </w:r>
      <w:r w:rsidR="00272EA4">
        <w:rPr>
          <w:noProof/>
        </w:rPr>
        <w:t xml:space="preserve">fluorinated gas imports. </w:t>
      </w:r>
    </w:p>
    <w:p w14:paraId="069E2245" w14:textId="04EBE474" w:rsidR="00F9321D" w:rsidRDefault="00E04F0C" w:rsidP="00E04F0C">
      <w:pPr>
        <w:pStyle w:val="Heading2"/>
        <w:rPr>
          <w:noProof/>
        </w:rPr>
      </w:pPr>
      <w:bookmarkStart w:id="308" w:name="_Toc88571932"/>
      <w:bookmarkStart w:id="309" w:name="_Toc94629525"/>
      <w:bookmarkStart w:id="310" w:name="_Toc98857769"/>
      <w:r w:rsidRPr="00E04F0C">
        <w:t>6.4.</w:t>
      </w:r>
      <w:r w:rsidRPr="00E04F0C">
        <w:tab/>
      </w:r>
      <w:r w:rsidR="3982CBDC">
        <w:rPr>
          <w:noProof/>
        </w:rPr>
        <w:t>Social effects</w:t>
      </w:r>
      <w:bookmarkEnd w:id="308"/>
      <w:bookmarkEnd w:id="309"/>
      <w:bookmarkEnd w:id="310"/>
    </w:p>
    <w:p w14:paraId="7B956E34" w14:textId="42BDC2ED" w:rsidR="006E112C" w:rsidRDefault="00E04F0C" w:rsidP="00E04F0C">
      <w:pPr>
        <w:pStyle w:val="Heading3"/>
        <w:rPr>
          <w:noProof/>
        </w:rPr>
      </w:pPr>
      <w:bookmarkStart w:id="311" w:name="_Toc88571933"/>
      <w:bookmarkStart w:id="312" w:name="_Toc94629526"/>
      <w:bookmarkStart w:id="313" w:name="_Toc98857770"/>
      <w:r w:rsidRPr="00E04F0C">
        <w:t>6.4.1.</w:t>
      </w:r>
      <w:r w:rsidRPr="00E04F0C">
        <w:tab/>
      </w:r>
      <w:r w:rsidR="3982CBDC">
        <w:rPr>
          <w:noProof/>
        </w:rPr>
        <w:t>Effects on employment</w:t>
      </w:r>
      <w:bookmarkEnd w:id="311"/>
      <w:bookmarkEnd w:id="312"/>
      <w:bookmarkEnd w:id="313"/>
    </w:p>
    <w:p w14:paraId="2EB1C97C" w14:textId="47AD504C" w:rsidR="006E112C" w:rsidRPr="007F2DBB" w:rsidRDefault="3982CBDC" w:rsidP="006E112C">
      <w:pPr>
        <w:rPr>
          <w:noProof/>
        </w:rPr>
      </w:pPr>
      <w:r w:rsidRPr="00D20072">
        <w:rPr>
          <w:b/>
          <w:noProof/>
        </w:rPr>
        <w:t>Employment effects</w:t>
      </w:r>
      <w:r w:rsidR="00A30004">
        <w:rPr>
          <w:b/>
          <w:noProof/>
        </w:rPr>
        <w:t>, like GDP,</w:t>
      </w:r>
      <w:r w:rsidRPr="00D20072">
        <w:rPr>
          <w:b/>
          <w:noProof/>
        </w:rPr>
        <w:t xml:space="preserve"> are very small</w:t>
      </w:r>
      <w:r w:rsidR="00021819" w:rsidRPr="00D20072">
        <w:rPr>
          <w:b/>
          <w:noProof/>
        </w:rPr>
        <w:t xml:space="preserve"> but positive in the long run </w:t>
      </w:r>
      <w:r w:rsidR="0020429D">
        <w:rPr>
          <w:b/>
          <w:noProof/>
        </w:rPr>
        <w:t>depending</w:t>
      </w:r>
      <w:r w:rsidR="0020429D" w:rsidRPr="00D20072">
        <w:rPr>
          <w:b/>
          <w:noProof/>
        </w:rPr>
        <w:t xml:space="preserve"> </w:t>
      </w:r>
      <w:r w:rsidR="00021819" w:rsidRPr="00D20072">
        <w:rPr>
          <w:b/>
          <w:noProof/>
        </w:rPr>
        <w:t>on the ambition level of the option</w:t>
      </w:r>
      <w:r w:rsidRPr="00D20072">
        <w:rPr>
          <w:b/>
          <w:noProof/>
        </w:rPr>
        <w:t>.</w:t>
      </w:r>
      <w:r>
        <w:rPr>
          <w:noProof/>
        </w:rPr>
        <w:t xml:space="preserve"> By 2030, there is essentially no noticeable effect at EU level. </w:t>
      </w:r>
      <w:r w:rsidRPr="3982CBDC">
        <w:rPr>
          <w:b/>
          <w:bCs/>
          <w:noProof/>
        </w:rPr>
        <w:t xml:space="preserve">By 2050, all options have positive effects, which is higher for Option 2 </w:t>
      </w:r>
      <w:r>
        <w:rPr>
          <w:noProof/>
        </w:rPr>
        <w:t>(a gain of ca. 6800 jobs)</w:t>
      </w:r>
      <w:r w:rsidRPr="3982CBDC">
        <w:rPr>
          <w:b/>
          <w:bCs/>
          <w:noProof/>
        </w:rPr>
        <w:t xml:space="preserve"> and 3 </w:t>
      </w:r>
      <w:r>
        <w:rPr>
          <w:noProof/>
        </w:rPr>
        <w:t>(gain of ca. 8500 jobs)</w:t>
      </w:r>
      <w:r w:rsidRPr="3982CBDC">
        <w:rPr>
          <w:b/>
          <w:bCs/>
          <w:noProof/>
        </w:rPr>
        <w:t xml:space="preserve"> and in the EU South</w:t>
      </w:r>
      <w:r>
        <w:rPr>
          <w:noProof/>
        </w:rPr>
        <w:t>. Most of these jobs gains are related to the equipment goods sector</w:t>
      </w:r>
      <w:r w:rsidR="00381466">
        <w:rPr>
          <w:noProof/>
        </w:rPr>
        <w:t xml:space="preserve"> and related industries</w:t>
      </w:r>
      <w:r>
        <w:rPr>
          <w:noProof/>
        </w:rPr>
        <w:t xml:space="preserve">. </w:t>
      </w:r>
    </w:p>
    <w:p w14:paraId="758B78FA" w14:textId="77777777" w:rsidR="006E112C" w:rsidRPr="007F2DBB" w:rsidRDefault="006E112C" w:rsidP="00D20072">
      <w:pPr>
        <w:jc w:val="center"/>
        <w:rPr>
          <w:noProof/>
        </w:rPr>
      </w:pPr>
      <w:r w:rsidRPr="007F2DBB">
        <w:rPr>
          <w:noProof/>
          <w:lang w:eastAsia="en-GB"/>
        </w:rPr>
        <w:drawing>
          <wp:inline distT="0" distB="0" distL="0" distR="0" wp14:anchorId="507974C5" wp14:editId="5E817FE2">
            <wp:extent cx="4580890" cy="2760345"/>
            <wp:effectExtent l="0" t="0" r="0" b="1905"/>
            <wp:docPr id="25"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80890" cy="2760345"/>
                    </a:xfrm>
                    <a:prstGeom prst="rect">
                      <a:avLst/>
                    </a:prstGeom>
                    <a:noFill/>
                    <a:ln>
                      <a:noFill/>
                    </a:ln>
                  </pic:spPr>
                </pic:pic>
              </a:graphicData>
            </a:graphic>
          </wp:inline>
        </w:drawing>
      </w:r>
    </w:p>
    <w:p w14:paraId="02AD1459" w14:textId="7866FCC1" w:rsidR="00664B55" w:rsidRPr="004D46CC" w:rsidRDefault="00664B55" w:rsidP="3982CBDC">
      <w:pPr>
        <w:spacing w:after="0"/>
        <w:rPr>
          <w:rFonts w:asciiTheme="minorHAnsi" w:hAnsiTheme="minorHAnsi"/>
          <w:noProof/>
          <w:color w:val="0070C0"/>
          <w:sz w:val="20"/>
          <w:szCs w:val="20"/>
        </w:rPr>
      </w:pPr>
      <w:bookmarkStart w:id="314" w:name="_Toc81166431"/>
      <w:r w:rsidRPr="3982CBDC">
        <w:rPr>
          <w:rFonts w:asciiTheme="minorHAnsi" w:hAnsiTheme="minorHAnsi"/>
          <w:b/>
          <w:bCs/>
          <w:noProof/>
          <w:color w:val="0070C0"/>
          <w:sz w:val="20"/>
          <w:szCs w:val="20"/>
        </w:rPr>
        <w:t xml:space="preserve">Figure </w:t>
      </w:r>
      <w:r w:rsidRPr="3982CBDC">
        <w:rPr>
          <w:noProof/>
        </w:rPr>
        <w:fldChar w:fldCharType="begin"/>
      </w:r>
      <w:r w:rsidRPr="004D46CC">
        <w:rPr>
          <w:rFonts w:asciiTheme="minorHAnsi" w:hAnsiTheme="minorHAnsi" w:cstheme="minorHAnsi"/>
          <w:b/>
          <w:noProof/>
          <w:color w:val="0070C0"/>
          <w:sz w:val="20"/>
          <w:szCs w:val="20"/>
        </w:rPr>
        <w:instrText xml:space="preserve"> SEQ Figure \* ARABIC \n </w:instrText>
      </w:r>
      <w:r w:rsidRPr="3982CBDC">
        <w:rPr>
          <w:rFonts w:asciiTheme="minorHAnsi" w:hAnsiTheme="minorHAnsi" w:cstheme="minorHAnsi"/>
          <w:b/>
          <w:noProof/>
          <w:color w:val="0070C0"/>
          <w:sz w:val="20"/>
          <w:szCs w:val="20"/>
        </w:rPr>
        <w:fldChar w:fldCharType="separate"/>
      </w:r>
      <w:r w:rsidR="009B41B7">
        <w:rPr>
          <w:rFonts w:asciiTheme="minorHAnsi" w:hAnsiTheme="minorHAnsi" w:cstheme="minorHAnsi"/>
          <w:b/>
          <w:noProof/>
          <w:color w:val="0070C0"/>
          <w:sz w:val="20"/>
          <w:szCs w:val="20"/>
        </w:rPr>
        <w:t>5</w:t>
      </w:r>
      <w:r w:rsidRPr="3982CBDC">
        <w:rPr>
          <w:noProof/>
        </w:rPr>
        <w:fldChar w:fldCharType="end"/>
      </w:r>
      <w:r w:rsidRPr="3982CBDC">
        <w:rPr>
          <w:rFonts w:asciiTheme="minorHAnsi" w:hAnsiTheme="minorHAnsi"/>
          <w:noProof/>
          <w:color w:val="0070C0"/>
          <w:sz w:val="20"/>
          <w:szCs w:val="20"/>
        </w:rPr>
        <w:t>: Employment effects</w:t>
      </w:r>
      <w:bookmarkEnd w:id="314"/>
      <w:r w:rsidRPr="3982CBDC">
        <w:rPr>
          <w:rFonts w:asciiTheme="minorHAnsi" w:hAnsiTheme="minorHAnsi"/>
          <w:noProof/>
          <w:color w:val="0070C0"/>
          <w:sz w:val="20"/>
          <w:szCs w:val="20"/>
        </w:rPr>
        <w:t xml:space="preserve"> </w:t>
      </w:r>
    </w:p>
    <w:p w14:paraId="44F241D2" w14:textId="5EEE5B15" w:rsidR="006E112C" w:rsidRPr="00974052" w:rsidRDefault="3982CBDC" w:rsidP="00A41B24">
      <w:pPr>
        <w:spacing w:after="0"/>
        <w:rPr>
          <w:rFonts w:ascii="Calibri" w:hAnsi="Calibri" w:cs="Calibri"/>
          <w:b/>
          <w:bCs/>
          <w:noProof/>
          <w:sz w:val="20"/>
          <w:szCs w:val="20"/>
        </w:rPr>
      </w:pPr>
      <w:r w:rsidRPr="0085241A">
        <w:rPr>
          <w:rFonts w:ascii="Calibri" w:hAnsi="Calibri"/>
          <w:b/>
          <w:noProof/>
          <w:sz w:val="20"/>
        </w:rPr>
        <w:t>Note:</w:t>
      </w:r>
      <w:r w:rsidRPr="3982CBDC">
        <w:rPr>
          <w:rFonts w:ascii="Calibri" w:hAnsi="Calibri" w:cs="Calibri"/>
          <w:b/>
          <w:bCs/>
          <w:noProof/>
          <w:sz w:val="20"/>
          <w:szCs w:val="20"/>
        </w:rPr>
        <w:t xml:space="preserve"> </w:t>
      </w:r>
      <w:r w:rsidRPr="3982CBDC">
        <w:rPr>
          <w:rFonts w:ascii="Calibri" w:hAnsi="Calibri" w:cs="Calibri"/>
          <w:noProof/>
          <w:sz w:val="20"/>
          <w:szCs w:val="20"/>
        </w:rPr>
        <w:t>EU South:</w:t>
      </w:r>
      <w:r w:rsidRPr="3982CBDC">
        <w:rPr>
          <w:rFonts w:ascii="Calibri" w:hAnsi="Calibri" w:cs="Calibri"/>
          <w:b/>
          <w:bCs/>
          <w:noProof/>
          <w:sz w:val="20"/>
          <w:szCs w:val="20"/>
        </w:rPr>
        <w:t xml:space="preserve"> </w:t>
      </w:r>
      <w:r w:rsidRPr="3982CBDC">
        <w:rPr>
          <w:rFonts w:ascii="Calibri" w:hAnsi="Calibri" w:cs="Calibri"/>
          <w:noProof/>
          <w:sz w:val="20"/>
          <w:szCs w:val="20"/>
        </w:rPr>
        <w:t>Bulgaria, Croatia, Cyprus, France (25% of model results for France), Greece, Italy, Malta, Portugal, Romania, Spain; EU North: other EU27 MS, including 75% of model results for France.</w:t>
      </w:r>
    </w:p>
    <w:p w14:paraId="5AFCCE2B" w14:textId="77777777" w:rsidR="00677A64" w:rsidRDefault="00677A64" w:rsidP="3982CBDC">
      <w:pPr>
        <w:spacing w:after="0"/>
        <w:rPr>
          <w:rFonts w:asciiTheme="minorHAnsi" w:hAnsiTheme="minorHAnsi"/>
          <w:noProof/>
          <w:sz w:val="20"/>
          <w:szCs w:val="20"/>
        </w:rPr>
      </w:pPr>
      <w:r w:rsidRPr="3982CBDC">
        <w:rPr>
          <w:rFonts w:asciiTheme="minorHAnsi" w:hAnsiTheme="minorHAnsi"/>
          <w:noProof/>
          <w:sz w:val="20"/>
          <w:szCs w:val="20"/>
        </w:rPr>
        <w:t>“MP alignment” is Option 1, “proportionate action” is Option 2, “maximum feasibility” is Option 3</w:t>
      </w:r>
    </w:p>
    <w:p w14:paraId="40102768" w14:textId="78A8077C" w:rsidR="00E12321" w:rsidRPr="00677A64" w:rsidRDefault="3982CBDC" w:rsidP="00381466">
      <w:pPr>
        <w:spacing w:after="0"/>
        <w:rPr>
          <w:rFonts w:ascii="Calibri" w:hAnsi="Calibri" w:cs="Calibri"/>
          <w:i/>
          <w:noProof/>
          <w:sz w:val="20"/>
          <w:szCs w:val="20"/>
        </w:rPr>
      </w:pPr>
      <w:r w:rsidRPr="0085241A">
        <w:rPr>
          <w:rFonts w:ascii="Calibri" w:hAnsi="Calibri"/>
          <w:b/>
          <w:i/>
          <w:noProof/>
          <w:sz w:val="20"/>
        </w:rPr>
        <w:t>Source:</w:t>
      </w:r>
      <w:r w:rsidRPr="00381466">
        <w:rPr>
          <w:rFonts w:ascii="Calibri" w:hAnsi="Calibri" w:cs="Calibri"/>
          <w:i/>
          <w:noProof/>
          <w:sz w:val="20"/>
          <w:szCs w:val="20"/>
        </w:rPr>
        <w:t xml:space="preserve"> JRC-GEM-E3 modelling</w:t>
      </w:r>
    </w:p>
    <w:p w14:paraId="450FD07F" w14:textId="1D14D1B5" w:rsidR="00A14107" w:rsidRPr="006C1A6B" w:rsidRDefault="00E04F0C" w:rsidP="00E04F0C">
      <w:pPr>
        <w:pStyle w:val="Heading1"/>
        <w:rPr>
          <w:noProof/>
        </w:rPr>
      </w:pPr>
      <w:bookmarkStart w:id="315" w:name="_Toc88571934"/>
      <w:bookmarkStart w:id="316" w:name="_Toc94629527"/>
      <w:bookmarkStart w:id="317" w:name="_Toc98857771"/>
      <w:bookmarkEnd w:id="198"/>
      <w:bookmarkEnd w:id="199"/>
      <w:bookmarkEnd w:id="200"/>
      <w:bookmarkEnd w:id="201"/>
      <w:bookmarkEnd w:id="202"/>
      <w:r w:rsidRPr="00E04F0C">
        <w:t>7.</w:t>
      </w:r>
      <w:r w:rsidRPr="00E04F0C">
        <w:tab/>
      </w:r>
      <w:r w:rsidR="3982CBDC">
        <w:rPr>
          <w:noProof/>
        </w:rPr>
        <w:t>How do the options compare?</w:t>
      </w:r>
      <w:bookmarkEnd w:id="315"/>
      <w:bookmarkEnd w:id="316"/>
      <w:bookmarkEnd w:id="317"/>
    </w:p>
    <w:p w14:paraId="6AAC9D1F" w14:textId="5975576F" w:rsidR="00EF5EA2" w:rsidRDefault="00D71CDA" w:rsidP="00BF5B28">
      <w:pPr>
        <w:spacing w:after="120"/>
        <w:rPr>
          <w:rFonts w:eastAsia="Times New Roman" w:cs="Times New Roman"/>
          <w:noProof/>
        </w:rPr>
      </w:pPr>
      <w:r w:rsidRPr="00D71CDA">
        <w:rPr>
          <w:rFonts w:eastAsia="Times New Roman" w:cs="Times New Roman"/>
          <w:noProof/>
        </w:rPr>
        <w:fldChar w:fldCharType="begin"/>
      </w:r>
      <w:r w:rsidRPr="00D71CDA">
        <w:rPr>
          <w:rFonts w:eastAsia="Times New Roman" w:cs="Times New Roman"/>
          <w:noProof/>
        </w:rPr>
        <w:instrText xml:space="preserve"> REF _Ref88826573 \h  \* MERGEFORMAT </w:instrText>
      </w:r>
      <w:r w:rsidRPr="00D71CDA">
        <w:rPr>
          <w:rFonts w:eastAsia="Times New Roman" w:cs="Times New Roman"/>
          <w:noProof/>
        </w:rPr>
      </w:r>
      <w:r w:rsidRPr="00D71CDA">
        <w:rPr>
          <w:rFonts w:eastAsia="Times New Roman" w:cs="Times New Roman"/>
          <w:noProof/>
        </w:rPr>
        <w:fldChar w:fldCharType="separate"/>
      </w:r>
      <w:r w:rsidR="00C66A21" w:rsidRPr="00C66A21">
        <w:rPr>
          <w:rFonts w:cs="Times New Roman"/>
          <w:noProof/>
        </w:rPr>
        <w:t>Table</w:t>
      </w:r>
      <w:r w:rsidR="00C66A21" w:rsidRPr="00C66A21">
        <w:rPr>
          <w:rFonts w:asciiTheme="minorHAnsi" w:hAnsiTheme="minorHAnsi"/>
          <w:noProof/>
        </w:rPr>
        <w:t xml:space="preserve"> </w:t>
      </w:r>
      <w:r w:rsidR="00C66A21" w:rsidRPr="00C66A21">
        <w:rPr>
          <w:rFonts w:asciiTheme="minorHAnsi" w:hAnsiTheme="minorHAnsi" w:cstheme="minorHAnsi"/>
          <w:noProof/>
        </w:rPr>
        <w:t>9</w:t>
      </w:r>
      <w:r w:rsidRPr="00D71CDA">
        <w:rPr>
          <w:rFonts w:eastAsia="Times New Roman" w:cs="Times New Roman"/>
          <w:noProof/>
        </w:rPr>
        <w:fldChar w:fldCharType="end"/>
      </w:r>
      <w:r>
        <w:rPr>
          <w:rFonts w:eastAsia="Times New Roman" w:cs="Times New Roman"/>
          <w:noProof/>
        </w:rPr>
        <w:t xml:space="preserve"> </w:t>
      </w:r>
      <w:r w:rsidR="00A14107" w:rsidRPr="3982CBDC">
        <w:rPr>
          <w:rFonts w:eastAsia="Times New Roman" w:cs="Times New Roman"/>
          <w:noProof/>
        </w:rPr>
        <w:t>provides an</w:t>
      </w:r>
      <w:r w:rsidR="00B14E24" w:rsidRPr="3982CBDC">
        <w:rPr>
          <w:rFonts w:eastAsia="Times New Roman" w:cs="Times New Roman"/>
          <w:noProof/>
        </w:rPr>
        <w:t xml:space="preserve"> overview of the </w:t>
      </w:r>
      <w:r w:rsidR="005607A2" w:rsidRPr="3982CBDC">
        <w:rPr>
          <w:rFonts w:eastAsia="Times New Roman" w:cs="Times New Roman"/>
          <w:noProof/>
        </w:rPr>
        <w:t xml:space="preserve">main </w:t>
      </w:r>
      <w:r w:rsidR="00B14E24" w:rsidRPr="3982CBDC">
        <w:rPr>
          <w:rFonts w:eastAsia="Times New Roman" w:cs="Times New Roman"/>
          <w:noProof/>
        </w:rPr>
        <w:t xml:space="preserve">impacts of </w:t>
      </w:r>
      <w:r w:rsidR="00A14107" w:rsidRPr="3982CBDC">
        <w:rPr>
          <w:rFonts w:eastAsia="Times New Roman" w:cs="Times New Roman"/>
          <w:noProof/>
        </w:rPr>
        <w:t xml:space="preserve">the three policy options. </w:t>
      </w:r>
      <w:r w:rsidR="00821A2C">
        <w:rPr>
          <w:rFonts w:eastAsia="Times New Roman" w:cs="Times New Roman"/>
          <w:noProof/>
        </w:rPr>
        <w:t xml:space="preserve">Option 1 effectively ensures compliance with the Protocol and </w:t>
      </w:r>
      <w:r w:rsidR="00B642EA">
        <w:rPr>
          <w:rFonts w:eastAsia="Times New Roman" w:cs="Times New Roman"/>
          <w:noProof/>
        </w:rPr>
        <w:t xml:space="preserve">improves, to some degree, </w:t>
      </w:r>
      <w:r w:rsidR="00821A2C">
        <w:rPr>
          <w:rFonts w:eastAsia="Times New Roman" w:cs="Times New Roman"/>
          <w:noProof/>
        </w:rPr>
        <w:t>implementation</w:t>
      </w:r>
      <w:r w:rsidR="00B642EA">
        <w:rPr>
          <w:rFonts w:eastAsia="Times New Roman" w:cs="Times New Roman"/>
          <w:noProof/>
        </w:rPr>
        <w:t>, enforcement and monitoring.</w:t>
      </w:r>
      <w:r w:rsidR="00821A2C">
        <w:rPr>
          <w:rFonts w:eastAsia="Times New Roman" w:cs="Times New Roman"/>
          <w:noProof/>
        </w:rPr>
        <w:t xml:space="preserve"> </w:t>
      </w:r>
      <w:r w:rsidR="00B642EA">
        <w:rPr>
          <w:rFonts w:eastAsia="Times New Roman" w:cs="Times New Roman"/>
          <w:noProof/>
        </w:rPr>
        <w:t xml:space="preserve">However, </w:t>
      </w:r>
      <w:r w:rsidR="005F3D1A">
        <w:rPr>
          <w:rFonts w:eastAsia="Times New Roman" w:cs="Times New Roman"/>
          <w:noProof/>
        </w:rPr>
        <w:t>since</w:t>
      </w:r>
      <w:r w:rsidR="00807E9D">
        <w:rPr>
          <w:rFonts w:eastAsia="Times New Roman" w:cs="Times New Roman"/>
          <w:noProof/>
        </w:rPr>
        <w:t xml:space="preserve"> it turns</w:t>
      </w:r>
      <w:r w:rsidR="009E2248">
        <w:rPr>
          <w:rFonts w:eastAsia="Times New Roman" w:cs="Times New Roman"/>
          <w:noProof/>
        </w:rPr>
        <w:t xml:space="preserve"> out that </w:t>
      </w:r>
      <w:r w:rsidR="00530BC9" w:rsidRPr="00807E9D">
        <w:rPr>
          <w:rFonts w:eastAsia="Times New Roman" w:cs="Times New Roman"/>
          <w:noProof/>
        </w:rPr>
        <w:t>Option 1</w:t>
      </w:r>
      <w:r w:rsidR="00530BC9">
        <w:rPr>
          <w:rFonts w:eastAsia="Times New Roman" w:cs="Times New Roman"/>
          <w:noProof/>
        </w:rPr>
        <w:t xml:space="preserve"> </w:t>
      </w:r>
      <w:r w:rsidR="00B642EA">
        <w:rPr>
          <w:rFonts w:eastAsia="Times New Roman" w:cs="Times New Roman"/>
          <w:noProof/>
        </w:rPr>
        <w:t xml:space="preserve">results in higher </w:t>
      </w:r>
      <w:r w:rsidR="00807E9D">
        <w:rPr>
          <w:rFonts w:eastAsia="Times New Roman" w:cs="Times New Roman"/>
          <w:noProof/>
        </w:rPr>
        <w:t>cumulative</w:t>
      </w:r>
      <w:r w:rsidR="00B642EA">
        <w:rPr>
          <w:rFonts w:eastAsia="Times New Roman" w:cs="Times New Roman"/>
          <w:noProof/>
        </w:rPr>
        <w:t xml:space="preserve"> emissions </w:t>
      </w:r>
      <w:r w:rsidR="00807E9D">
        <w:rPr>
          <w:rFonts w:eastAsia="Times New Roman" w:cs="Times New Roman"/>
          <w:noProof/>
        </w:rPr>
        <w:t>over the period until</w:t>
      </w:r>
      <w:r w:rsidR="005C7DC0">
        <w:rPr>
          <w:rFonts w:eastAsia="Times New Roman" w:cs="Times New Roman"/>
          <w:noProof/>
        </w:rPr>
        <w:t xml:space="preserve"> 2050 </w:t>
      </w:r>
      <w:r w:rsidR="00530BC9">
        <w:rPr>
          <w:rFonts w:eastAsia="Times New Roman" w:cs="Times New Roman"/>
          <w:noProof/>
        </w:rPr>
        <w:t xml:space="preserve">compared to the baseline </w:t>
      </w:r>
      <w:r w:rsidR="005C7DC0">
        <w:rPr>
          <w:rFonts w:eastAsia="Times New Roman" w:cs="Times New Roman"/>
          <w:noProof/>
        </w:rPr>
        <w:t>(</w:t>
      </w:r>
      <w:r w:rsidR="005C7DC0" w:rsidRPr="00BF5B28">
        <w:rPr>
          <w:rFonts w:eastAsia="Times New Roman" w:cs="Times New Roman"/>
          <w:noProof/>
          <w:szCs w:val="24"/>
        </w:rPr>
        <w:fldChar w:fldCharType="begin"/>
      </w:r>
      <w:r w:rsidR="005C7DC0" w:rsidRPr="005D4198">
        <w:rPr>
          <w:rFonts w:eastAsia="Times New Roman" w:cs="Times New Roman"/>
          <w:noProof/>
          <w:szCs w:val="24"/>
        </w:rPr>
        <w:instrText xml:space="preserve"> REF _Ref94166009 \h  \* MERGEFORMAT </w:instrText>
      </w:r>
      <w:r w:rsidR="005C7DC0" w:rsidRPr="00BF5B28">
        <w:rPr>
          <w:rFonts w:eastAsia="Times New Roman" w:cs="Times New Roman"/>
          <w:noProof/>
          <w:szCs w:val="24"/>
        </w:rPr>
      </w:r>
      <w:r w:rsidR="005C7DC0" w:rsidRPr="00BF5B28">
        <w:rPr>
          <w:rFonts w:eastAsia="Times New Roman" w:cs="Times New Roman"/>
          <w:noProof/>
          <w:szCs w:val="24"/>
        </w:rPr>
        <w:fldChar w:fldCharType="separate"/>
      </w:r>
      <w:r w:rsidR="005C7DC0" w:rsidRPr="005D4198">
        <w:rPr>
          <w:rFonts w:cs="Times New Roman"/>
          <w:bCs/>
          <w:noProof/>
          <w:szCs w:val="24"/>
        </w:rPr>
        <w:t xml:space="preserve">Figure </w:t>
      </w:r>
      <w:r w:rsidR="005C7DC0" w:rsidRPr="005D4198">
        <w:rPr>
          <w:rFonts w:cs="Times New Roman"/>
          <w:noProof/>
          <w:szCs w:val="24"/>
        </w:rPr>
        <w:t>6</w:t>
      </w:r>
      <w:r w:rsidR="005C7DC0" w:rsidRPr="00BF5B28">
        <w:rPr>
          <w:rFonts w:eastAsia="Times New Roman" w:cs="Times New Roman"/>
          <w:noProof/>
          <w:szCs w:val="24"/>
        </w:rPr>
        <w:fldChar w:fldCharType="end"/>
      </w:r>
      <w:r w:rsidR="005C7DC0" w:rsidRPr="005C7DC0">
        <w:rPr>
          <w:rFonts w:eastAsia="Times New Roman" w:cs="Times New Roman"/>
          <w:noProof/>
        </w:rPr>
        <w:t>)</w:t>
      </w:r>
      <w:r w:rsidR="00BF5B28">
        <w:rPr>
          <w:rFonts w:eastAsia="Times New Roman" w:cs="Times New Roman"/>
          <w:noProof/>
        </w:rPr>
        <w:t>,</w:t>
      </w:r>
      <w:r w:rsidR="00B642EA">
        <w:rPr>
          <w:rFonts w:eastAsia="Times New Roman" w:cs="Times New Roman"/>
          <w:noProof/>
        </w:rPr>
        <w:t xml:space="preserve"> and even though </w:t>
      </w:r>
      <w:r w:rsidR="00807E9D">
        <w:rPr>
          <w:rFonts w:eastAsia="Times New Roman" w:cs="Times New Roman"/>
          <w:noProof/>
        </w:rPr>
        <w:t xml:space="preserve">its </w:t>
      </w:r>
      <w:r w:rsidR="00B642EA">
        <w:rPr>
          <w:rFonts w:eastAsia="Times New Roman" w:cs="Times New Roman"/>
          <w:noProof/>
        </w:rPr>
        <w:t xml:space="preserve">emission levels in </w:t>
      </w:r>
      <w:r w:rsidR="005F3D1A">
        <w:rPr>
          <w:rFonts w:eastAsia="Times New Roman" w:cs="Times New Roman"/>
          <w:noProof/>
        </w:rPr>
        <w:t xml:space="preserve">the year </w:t>
      </w:r>
      <w:r w:rsidR="00B642EA">
        <w:rPr>
          <w:rFonts w:eastAsia="Times New Roman" w:cs="Times New Roman"/>
          <w:noProof/>
        </w:rPr>
        <w:t>2050 are lower than the baseline,</w:t>
      </w:r>
      <w:r w:rsidR="005C7DC0">
        <w:rPr>
          <w:rFonts w:eastAsia="Times New Roman" w:cs="Times New Roman"/>
          <w:noProof/>
        </w:rPr>
        <w:t xml:space="preserve"> </w:t>
      </w:r>
      <w:r w:rsidR="009E2248">
        <w:rPr>
          <w:rFonts w:eastAsia="Times New Roman" w:cs="Times New Roman"/>
          <w:noProof/>
        </w:rPr>
        <w:t>th</w:t>
      </w:r>
      <w:r w:rsidR="001E25BB">
        <w:rPr>
          <w:rFonts w:eastAsia="Times New Roman" w:cs="Times New Roman"/>
          <w:noProof/>
        </w:rPr>
        <w:t xml:space="preserve">us </w:t>
      </w:r>
      <w:r w:rsidR="001E25BB" w:rsidRPr="00FC200F">
        <w:rPr>
          <w:rFonts w:eastAsia="Times New Roman" w:cs="Times New Roman"/>
          <w:b/>
          <w:noProof/>
        </w:rPr>
        <w:t>Option 1</w:t>
      </w:r>
      <w:r w:rsidR="009E2248">
        <w:rPr>
          <w:rFonts w:eastAsia="Times New Roman" w:cs="Times New Roman"/>
          <w:noProof/>
        </w:rPr>
        <w:t xml:space="preserve"> </w:t>
      </w:r>
      <w:r w:rsidR="00807E9D">
        <w:rPr>
          <w:rFonts w:eastAsia="Times New Roman" w:cs="Times New Roman"/>
          <w:b/>
          <w:noProof/>
        </w:rPr>
        <w:t xml:space="preserve">is </w:t>
      </w:r>
      <w:r w:rsidR="00807E9D" w:rsidRPr="00FC200F">
        <w:rPr>
          <w:rFonts w:eastAsia="Times New Roman" w:cs="Times New Roman"/>
          <w:b/>
          <w:i/>
          <w:noProof/>
        </w:rPr>
        <w:t>not considered to be</w:t>
      </w:r>
      <w:r w:rsidR="009E2248" w:rsidRPr="00FC200F">
        <w:rPr>
          <w:rFonts w:eastAsia="Times New Roman" w:cs="Times New Roman"/>
          <w:b/>
          <w:i/>
          <w:noProof/>
        </w:rPr>
        <w:t xml:space="preserve"> s</w:t>
      </w:r>
      <w:r w:rsidR="000669F1" w:rsidRPr="00FC200F">
        <w:rPr>
          <w:rFonts w:eastAsia="Times New Roman" w:cs="Times New Roman"/>
          <w:b/>
          <w:i/>
          <w:noProof/>
        </w:rPr>
        <w:t xml:space="preserve">ufficiently </w:t>
      </w:r>
      <w:r w:rsidR="00EF5EA2" w:rsidRPr="00FC200F">
        <w:rPr>
          <w:rFonts w:eastAsia="Times New Roman" w:cs="Times New Roman"/>
          <w:b/>
          <w:i/>
          <w:noProof/>
        </w:rPr>
        <w:t>coherent</w:t>
      </w:r>
      <w:r w:rsidR="00EF5EA2" w:rsidRPr="005D4198">
        <w:rPr>
          <w:rFonts w:eastAsia="Times New Roman" w:cs="Times New Roman"/>
          <w:b/>
          <w:noProof/>
        </w:rPr>
        <w:t xml:space="preserve"> with </w:t>
      </w:r>
      <w:r w:rsidR="00530BC9" w:rsidRPr="005D4198">
        <w:rPr>
          <w:rFonts w:eastAsia="Times New Roman" w:cs="Times New Roman"/>
          <w:b/>
          <w:noProof/>
        </w:rPr>
        <w:t>th</w:t>
      </w:r>
      <w:r w:rsidR="00130D67" w:rsidRPr="005D4198">
        <w:rPr>
          <w:rFonts w:eastAsia="Times New Roman" w:cs="Times New Roman"/>
          <w:b/>
          <w:noProof/>
        </w:rPr>
        <w:t>e European Climate Law</w:t>
      </w:r>
      <w:r w:rsidR="00572522">
        <w:rPr>
          <w:rFonts w:eastAsia="Times New Roman" w:cs="Times New Roman"/>
          <w:noProof/>
        </w:rPr>
        <w:t xml:space="preserve">. </w:t>
      </w:r>
      <w:r w:rsidR="00B235D5">
        <w:rPr>
          <w:rFonts w:eastAsia="Times New Roman" w:cs="Times New Roman"/>
          <w:noProof/>
        </w:rPr>
        <w:t>Even if</w:t>
      </w:r>
      <w:r w:rsidR="009E2248">
        <w:rPr>
          <w:rFonts w:eastAsia="Times New Roman" w:cs="Times New Roman"/>
          <w:noProof/>
        </w:rPr>
        <w:t xml:space="preserve"> </w:t>
      </w:r>
      <w:r w:rsidR="00BF5B28">
        <w:rPr>
          <w:rFonts w:eastAsia="Times New Roman" w:cs="Times New Roman"/>
          <w:noProof/>
        </w:rPr>
        <w:t xml:space="preserve">Option 1 </w:t>
      </w:r>
      <w:r w:rsidR="002E52B8">
        <w:rPr>
          <w:rFonts w:eastAsia="Times New Roman" w:cs="Times New Roman"/>
          <w:noProof/>
        </w:rPr>
        <w:t>were</w:t>
      </w:r>
      <w:r w:rsidR="00B235D5">
        <w:rPr>
          <w:rFonts w:eastAsia="Times New Roman" w:cs="Times New Roman"/>
          <w:noProof/>
        </w:rPr>
        <w:t xml:space="preserve"> adjusted to </w:t>
      </w:r>
      <w:r w:rsidR="009E2248">
        <w:rPr>
          <w:rFonts w:eastAsia="Times New Roman" w:cs="Times New Roman"/>
          <w:noProof/>
        </w:rPr>
        <w:t xml:space="preserve">generate </w:t>
      </w:r>
      <w:r w:rsidR="00B235D5">
        <w:rPr>
          <w:rFonts w:eastAsia="Times New Roman" w:cs="Times New Roman"/>
          <w:noProof/>
        </w:rPr>
        <w:t xml:space="preserve">at least </w:t>
      </w:r>
      <w:r w:rsidR="009E2248">
        <w:rPr>
          <w:rFonts w:eastAsia="Times New Roman" w:cs="Times New Roman"/>
          <w:noProof/>
        </w:rPr>
        <w:t xml:space="preserve">the </w:t>
      </w:r>
      <w:r w:rsidR="00B235D5">
        <w:rPr>
          <w:rFonts w:eastAsia="Times New Roman" w:cs="Times New Roman"/>
          <w:noProof/>
        </w:rPr>
        <w:t>same leve</w:t>
      </w:r>
      <w:r w:rsidR="009E2248">
        <w:rPr>
          <w:rFonts w:eastAsia="Times New Roman" w:cs="Times New Roman"/>
          <w:noProof/>
        </w:rPr>
        <w:t xml:space="preserve">l of </w:t>
      </w:r>
      <w:r w:rsidR="00807E9D">
        <w:rPr>
          <w:rFonts w:eastAsia="Times New Roman" w:cs="Times New Roman"/>
          <w:noProof/>
        </w:rPr>
        <w:t xml:space="preserve">cumulative </w:t>
      </w:r>
      <w:r w:rsidR="009E2248">
        <w:rPr>
          <w:rFonts w:eastAsia="Times New Roman" w:cs="Times New Roman"/>
          <w:noProof/>
        </w:rPr>
        <w:t xml:space="preserve">emission reductions </w:t>
      </w:r>
      <w:r w:rsidR="00B235D5">
        <w:rPr>
          <w:rFonts w:eastAsia="Times New Roman" w:cs="Times New Roman"/>
          <w:noProof/>
        </w:rPr>
        <w:t xml:space="preserve">as the baseline (e.g. a slightly steeper phase-down going beyond what </w:t>
      </w:r>
      <w:r w:rsidR="009E2248">
        <w:rPr>
          <w:rFonts w:eastAsia="Times New Roman" w:cs="Times New Roman"/>
          <w:noProof/>
        </w:rPr>
        <w:t xml:space="preserve">would safeguard compliance with the </w:t>
      </w:r>
      <w:r w:rsidR="00B235D5">
        <w:rPr>
          <w:rFonts w:eastAsia="Times New Roman" w:cs="Times New Roman"/>
          <w:noProof/>
        </w:rPr>
        <w:t>Protocol</w:t>
      </w:r>
      <w:r w:rsidR="009E2248">
        <w:rPr>
          <w:rFonts w:eastAsia="Times New Roman" w:cs="Times New Roman"/>
          <w:noProof/>
        </w:rPr>
        <w:t>)</w:t>
      </w:r>
      <w:r w:rsidR="00807E9D">
        <w:rPr>
          <w:rFonts w:eastAsia="Times New Roman" w:cs="Times New Roman"/>
          <w:noProof/>
        </w:rPr>
        <w:t>,</w:t>
      </w:r>
      <w:r w:rsidR="00B235D5">
        <w:rPr>
          <w:rFonts w:eastAsia="Times New Roman" w:cs="Times New Roman"/>
          <w:noProof/>
        </w:rPr>
        <w:t xml:space="preserve"> </w:t>
      </w:r>
      <w:r w:rsidR="009E2248">
        <w:rPr>
          <w:rFonts w:eastAsia="Times New Roman" w:cs="Times New Roman"/>
          <w:noProof/>
        </w:rPr>
        <w:t>the op</w:t>
      </w:r>
      <w:r w:rsidR="002E52B8">
        <w:rPr>
          <w:rFonts w:eastAsia="Times New Roman" w:cs="Times New Roman"/>
          <w:noProof/>
        </w:rPr>
        <w:t xml:space="preserve">tion would </w:t>
      </w:r>
      <w:r w:rsidR="00E512B9">
        <w:rPr>
          <w:rFonts w:eastAsia="Times New Roman" w:cs="Times New Roman"/>
          <w:noProof/>
        </w:rPr>
        <w:t xml:space="preserve">be a missed opportunity </w:t>
      </w:r>
      <w:r w:rsidR="009E2248">
        <w:rPr>
          <w:rFonts w:eastAsia="Times New Roman" w:cs="Times New Roman"/>
          <w:noProof/>
        </w:rPr>
        <w:t xml:space="preserve">considering </w:t>
      </w:r>
      <w:r w:rsidR="00AB7EC3">
        <w:rPr>
          <w:rFonts w:eastAsia="Times New Roman" w:cs="Times New Roman"/>
          <w:noProof/>
        </w:rPr>
        <w:t xml:space="preserve">that it would not at all contribute to </w:t>
      </w:r>
      <w:r w:rsidR="009E2248">
        <w:rPr>
          <w:rFonts w:eastAsia="Times New Roman" w:cs="Times New Roman"/>
          <w:noProof/>
        </w:rPr>
        <w:t xml:space="preserve">the </w:t>
      </w:r>
      <w:r w:rsidR="00EA18ED">
        <w:rPr>
          <w:rFonts w:eastAsia="Times New Roman" w:cs="Times New Roman"/>
          <w:noProof/>
        </w:rPr>
        <w:t xml:space="preserve">first </w:t>
      </w:r>
      <w:r w:rsidR="009F219B">
        <w:rPr>
          <w:rFonts w:eastAsia="Times New Roman" w:cs="Times New Roman"/>
          <w:noProof/>
        </w:rPr>
        <w:t xml:space="preserve">review </w:t>
      </w:r>
      <w:r w:rsidR="00EA18ED">
        <w:rPr>
          <w:rFonts w:eastAsia="Times New Roman" w:cs="Times New Roman"/>
          <w:noProof/>
        </w:rPr>
        <w:t xml:space="preserve">objective </w:t>
      </w:r>
      <w:r w:rsidR="00AB7EC3">
        <w:rPr>
          <w:rFonts w:eastAsia="Times New Roman" w:cs="Times New Roman"/>
          <w:noProof/>
        </w:rPr>
        <w:t>to</w:t>
      </w:r>
      <w:r w:rsidR="009F219B">
        <w:rPr>
          <w:rFonts w:eastAsia="Times New Roman" w:cs="Times New Roman"/>
          <w:noProof/>
        </w:rPr>
        <w:t xml:space="preserve"> achieve more emission savings </w:t>
      </w:r>
      <w:r w:rsidR="00AB7EC3">
        <w:rPr>
          <w:rFonts w:eastAsia="Times New Roman" w:cs="Times New Roman"/>
          <w:noProof/>
        </w:rPr>
        <w:t>while noting</w:t>
      </w:r>
      <w:r w:rsidR="009F219B">
        <w:rPr>
          <w:rFonts w:eastAsia="Times New Roman" w:cs="Times New Roman"/>
          <w:noProof/>
        </w:rPr>
        <w:t xml:space="preserve"> that there is a high </w:t>
      </w:r>
      <w:r w:rsidR="00BF5B28">
        <w:rPr>
          <w:rFonts w:eastAsia="Times New Roman" w:cs="Times New Roman"/>
          <w:noProof/>
        </w:rPr>
        <w:t xml:space="preserve">potential to </w:t>
      </w:r>
      <w:r w:rsidR="001E25BB">
        <w:rPr>
          <w:rFonts w:eastAsia="Times New Roman" w:cs="Times New Roman"/>
          <w:noProof/>
        </w:rPr>
        <w:t xml:space="preserve">further </w:t>
      </w:r>
      <w:r w:rsidR="00BF5B28">
        <w:rPr>
          <w:rFonts w:eastAsia="Times New Roman" w:cs="Times New Roman"/>
          <w:noProof/>
        </w:rPr>
        <w:t xml:space="preserve">reduce emissions </w:t>
      </w:r>
      <w:r w:rsidR="001E25BB">
        <w:rPr>
          <w:rFonts w:eastAsia="Times New Roman" w:cs="Times New Roman"/>
          <w:noProof/>
        </w:rPr>
        <w:t xml:space="preserve">as </w:t>
      </w:r>
      <w:r w:rsidR="00BF5B28">
        <w:rPr>
          <w:rFonts w:eastAsia="Times New Roman" w:cs="Times New Roman"/>
          <w:noProof/>
        </w:rPr>
        <w:t>demonstrated by</w:t>
      </w:r>
      <w:r w:rsidR="009E2248">
        <w:rPr>
          <w:rFonts w:eastAsia="Times New Roman" w:cs="Times New Roman"/>
          <w:noProof/>
        </w:rPr>
        <w:t xml:space="preserve"> Option</w:t>
      </w:r>
      <w:r w:rsidR="00BF5B28">
        <w:rPr>
          <w:rFonts w:eastAsia="Times New Roman" w:cs="Times New Roman"/>
          <w:noProof/>
        </w:rPr>
        <w:t>s</w:t>
      </w:r>
      <w:r w:rsidR="009E2248">
        <w:rPr>
          <w:rFonts w:eastAsia="Times New Roman" w:cs="Times New Roman"/>
          <w:noProof/>
        </w:rPr>
        <w:t xml:space="preserve"> 2 and 3</w:t>
      </w:r>
      <w:r w:rsidR="00B235D5">
        <w:rPr>
          <w:rFonts w:eastAsia="Times New Roman" w:cs="Times New Roman"/>
          <w:noProof/>
        </w:rPr>
        <w:t xml:space="preserve">. </w:t>
      </w:r>
      <w:r w:rsidR="001E25BB">
        <w:rPr>
          <w:rFonts w:eastAsia="Times New Roman" w:cs="Times New Roman"/>
          <w:noProof/>
        </w:rPr>
        <w:t>In other words, t</w:t>
      </w:r>
      <w:r w:rsidR="0061149E">
        <w:rPr>
          <w:rFonts w:eastAsia="Times New Roman" w:cs="Times New Roman"/>
          <w:noProof/>
        </w:rPr>
        <w:t xml:space="preserve">aking </w:t>
      </w:r>
      <w:r w:rsidR="009F219B">
        <w:rPr>
          <w:rFonts w:eastAsia="Times New Roman" w:cs="Times New Roman"/>
          <w:noProof/>
        </w:rPr>
        <w:t>Option 1</w:t>
      </w:r>
      <w:r w:rsidR="0061149E">
        <w:rPr>
          <w:rFonts w:eastAsia="Times New Roman" w:cs="Times New Roman"/>
          <w:noProof/>
        </w:rPr>
        <w:t xml:space="preserve"> would mean that the necessary emission savings to achieve at least 55% reductions by 2030 and climate neutrality in 2050 would be considerably more difficult and costly to achieve at the Member State level (as they have to fulfil their GHG targets under the Effort Sharing Regulation)</w:t>
      </w:r>
      <w:r w:rsidR="00622A75">
        <w:rPr>
          <w:rFonts w:eastAsia="Times New Roman" w:cs="Times New Roman"/>
          <w:noProof/>
        </w:rPr>
        <w:t>, either by taking less effective, disparate measures in the F-gas sector and/or by taking additional, thus more costly, measures in other sectors to compensate for any EU action on F-gases that was feasible</w:t>
      </w:r>
      <w:r w:rsidR="00FC200F">
        <w:rPr>
          <w:rFonts w:eastAsia="Times New Roman" w:cs="Times New Roman"/>
          <w:noProof/>
        </w:rPr>
        <w:t xml:space="preserve"> and</w:t>
      </w:r>
      <w:r w:rsidR="00622A75">
        <w:rPr>
          <w:rFonts w:eastAsia="Times New Roman" w:cs="Times New Roman"/>
          <w:noProof/>
        </w:rPr>
        <w:t xml:space="preserve"> cost-effective but not taken under this option.</w:t>
      </w:r>
    </w:p>
    <w:p w14:paraId="4ADB0D2F" w14:textId="77E1E8A3" w:rsidR="00807E9D" w:rsidRDefault="00530BC9" w:rsidP="001E4DC1">
      <w:pPr>
        <w:spacing w:after="120"/>
        <w:rPr>
          <w:rFonts w:eastAsia="Times New Roman" w:cs="Times New Roman"/>
          <w:noProof/>
        </w:rPr>
      </w:pPr>
      <w:r w:rsidRPr="00530BC9">
        <w:rPr>
          <w:rFonts w:eastAsia="Times New Roman" w:cs="Times New Roman"/>
          <w:noProof/>
        </w:rPr>
        <w:t xml:space="preserve">Option 2 and 3 are rather similar in terms of </w:t>
      </w:r>
      <w:r w:rsidR="00632786">
        <w:rPr>
          <w:rFonts w:eastAsia="Times New Roman" w:cs="Times New Roman"/>
          <w:noProof/>
        </w:rPr>
        <w:t xml:space="preserve">cumulative </w:t>
      </w:r>
      <w:r w:rsidRPr="00530BC9">
        <w:rPr>
          <w:rFonts w:eastAsia="Times New Roman" w:cs="Times New Roman"/>
          <w:noProof/>
        </w:rPr>
        <w:t>emission</w:t>
      </w:r>
      <w:r w:rsidR="00632786">
        <w:rPr>
          <w:rFonts w:eastAsia="Times New Roman" w:cs="Times New Roman"/>
          <w:noProof/>
        </w:rPr>
        <w:t>s</w:t>
      </w:r>
      <w:r w:rsidRPr="00530BC9">
        <w:rPr>
          <w:rFonts w:eastAsia="Times New Roman" w:cs="Times New Roman"/>
          <w:noProof/>
        </w:rPr>
        <w:t xml:space="preserve"> saved (diff</w:t>
      </w:r>
      <w:r w:rsidR="00572522">
        <w:rPr>
          <w:rFonts w:eastAsia="Times New Roman" w:cs="Times New Roman"/>
          <w:noProof/>
        </w:rPr>
        <w:t>erence of 27 MtCO2e</w:t>
      </w:r>
      <w:r w:rsidR="00632786">
        <w:rPr>
          <w:rFonts w:eastAsia="Times New Roman" w:cs="Times New Roman"/>
          <w:noProof/>
        </w:rPr>
        <w:t>)</w:t>
      </w:r>
      <w:r w:rsidR="00572522">
        <w:rPr>
          <w:rFonts w:eastAsia="Times New Roman" w:cs="Times New Roman"/>
          <w:noProof/>
        </w:rPr>
        <w:t xml:space="preserve"> </w:t>
      </w:r>
      <w:r w:rsidRPr="00530BC9">
        <w:rPr>
          <w:rFonts w:eastAsia="Times New Roman" w:cs="Times New Roman"/>
          <w:noProof/>
        </w:rPr>
        <w:t>until 2050</w:t>
      </w:r>
      <w:r w:rsidR="00CE1B64">
        <w:rPr>
          <w:rFonts w:eastAsia="Times New Roman" w:cs="Times New Roman"/>
          <w:noProof/>
        </w:rPr>
        <w:t xml:space="preserve"> (</w:t>
      </w:r>
      <w:r w:rsidR="00CE1B64" w:rsidRPr="005C7DC0">
        <w:rPr>
          <w:rFonts w:eastAsia="Times New Roman" w:cs="Times New Roman"/>
          <w:noProof/>
        </w:rPr>
        <w:fldChar w:fldCharType="begin"/>
      </w:r>
      <w:r w:rsidR="00CE1B64" w:rsidRPr="005C7DC0">
        <w:rPr>
          <w:rFonts w:eastAsia="Times New Roman" w:cs="Times New Roman"/>
          <w:noProof/>
        </w:rPr>
        <w:instrText xml:space="preserve"> REF _Ref94166009 \h  \* MERGEFORMAT </w:instrText>
      </w:r>
      <w:r w:rsidR="00CE1B64" w:rsidRPr="005C7DC0">
        <w:rPr>
          <w:rFonts w:eastAsia="Times New Roman" w:cs="Times New Roman"/>
          <w:noProof/>
        </w:rPr>
      </w:r>
      <w:r w:rsidR="00CE1B64" w:rsidRPr="005C7DC0">
        <w:rPr>
          <w:rFonts w:eastAsia="Times New Roman" w:cs="Times New Roman"/>
          <w:noProof/>
        </w:rPr>
        <w:fldChar w:fldCharType="separate"/>
      </w:r>
      <w:r w:rsidR="00CE1B64" w:rsidRPr="005C7DC0">
        <w:rPr>
          <w:rFonts w:eastAsia="Times New Roman" w:cs="Times New Roman"/>
          <w:bCs/>
          <w:noProof/>
        </w:rPr>
        <w:t xml:space="preserve">Figure </w:t>
      </w:r>
      <w:r w:rsidR="00CE1B64" w:rsidRPr="005C7DC0">
        <w:rPr>
          <w:rFonts w:eastAsia="Times New Roman" w:cs="Times New Roman"/>
          <w:noProof/>
        </w:rPr>
        <w:t>6</w:t>
      </w:r>
      <w:r w:rsidR="00CE1B64" w:rsidRPr="005C7DC0">
        <w:rPr>
          <w:rFonts w:eastAsia="Times New Roman" w:cs="Times New Roman"/>
          <w:noProof/>
        </w:rPr>
        <w:fldChar w:fldCharType="end"/>
      </w:r>
      <w:r w:rsidR="00CE1B64">
        <w:rPr>
          <w:rFonts w:eastAsia="Times New Roman" w:cs="Times New Roman"/>
          <w:noProof/>
        </w:rPr>
        <w:t>)</w:t>
      </w:r>
      <w:r w:rsidR="00572522">
        <w:rPr>
          <w:rFonts w:eastAsia="Times New Roman" w:cs="Times New Roman"/>
          <w:noProof/>
        </w:rPr>
        <w:t xml:space="preserve">, </w:t>
      </w:r>
      <w:r w:rsidR="00850B66">
        <w:rPr>
          <w:rFonts w:eastAsia="Times New Roman" w:cs="Times New Roman"/>
          <w:noProof/>
        </w:rPr>
        <w:t xml:space="preserve">achieving reductions of 16% and more compared to </w:t>
      </w:r>
      <w:r w:rsidR="00CE1B64">
        <w:rPr>
          <w:rFonts w:eastAsia="Times New Roman" w:cs="Times New Roman"/>
          <w:noProof/>
        </w:rPr>
        <w:t xml:space="preserve">the </w:t>
      </w:r>
      <w:r w:rsidR="00850B66">
        <w:rPr>
          <w:rFonts w:eastAsia="Times New Roman" w:cs="Times New Roman"/>
          <w:noProof/>
        </w:rPr>
        <w:t xml:space="preserve">baseline in 2030 and halving them by 2050 compared to </w:t>
      </w:r>
      <w:r w:rsidR="00CE1B64">
        <w:rPr>
          <w:rFonts w:eastAsia="Times New Roman" w:cs="Times New Roman"/>
          <w:noProof/>
        </w:rPr>
        <w:t xml:space="preserve">the </w:t>
      </w:r>
      <w:r w:rsidR="00525A6C">
        <w:rPr>
          <w:rFonts w:eastAsia="Times New Roman" w:cs="Times New Roman"/>
          <w:noProof/>
        </w:rPr>
        <w:t>baseline</w:t>
      </w:r>
      <w:r w:rsidR="005C7DC0">
        <w:rPr>
          <w:rFonts w:eastAsia="Times New Roman" w:cs="Times New Roman"/>
          <w:noProof/>
        </w:rPr>
        <w:t xml:space="preserve"> </w:t>
      </w:r>
      <w:r w:rsidR="005C7DC0" w:rsidRPr="005C7DC0">
        <w:rPr>
          <w:rFonts w:eastAsia="Times New Roman" w:cs="Times New Roman"/>
          <w:noProof/>
        </w:rPr>
        <w:t>(</w:t>
      </w:r>
      <w:r w:rsidR="00CE1B64" w:rsidRPr="00CE1B64">
        <w:rPr>
          <w:rFonts w:eastAsia="Times New Roman" w:cs="Times New Roman"/>
          <w:noProof/>
        </w:rPr>
        <w:fldChar w:fldCharType="begin"/>
      </w:r>
      <w:r w:rsidR="00CE1B64" w:rsidRPr="00CE1B64">
        <w:rPr>
          <w:rFonts w:eastAsia="Times New Roman" w:cs="Times New Roman"/>
          <w:noProof/>
        </w:rPr>
        <w:instrText xml:space="preserve"> REF _Ref88826573 \h  \* MERGEFORMAT </w:instrText>
      </w:r>
      <w:r w:rsidR="00CE1B64" w:rsidRPr="00CE1B64">
        <w:rPr>
          <w:rFonts w:eastAsia="Times New Roman" w:cs="Times New Roman"/>
          <w:noProof/>
        </w:rPr>
      </w:r>
      <w:r w:rsidR="00CE1B64" w:rsidRPr="00CE1B64">
        <w:rPr>
          <w:rFonts w:eastAsia="Times New Roman" w:cs="Times New Roman"/>
          <w:noProof/>
        </w:rPr>
        <w:fldChar w:fldCharType="separate"/>
      </w:r>
      <w:r w:rsidR="00CE1B64" w:rsidRPr="00CE1B64">
        <w:rPr>
          <w:rFonts w:cs="Times New Roman"/>
          <w:noProof/>
        </w:rPr>
        <w:t>Table 9</w:t>
      </w:r>
      <w:r w:rsidR="00CE1B64" w:rsidRPr="00CE1B64">
        <w:rPr>
          <w:rFonts w:eastAsia="Times New Roman" w:cs="Times New Roman"/>
          <w:noProof/>
        </w:rPr>
        <w:fldChar w:fldCharType="end"/>
      </w:r>
      <w:r w:rsidR="005C7DC0" w:rsidRPr="005C7DC0">
        <w:rPr>
          <w:rFonts w:eastAsia="Times New Roman" w:cs="Times New Roman"/>
          <w:noProof/>
        </w:rPr>
        <w:t>)</w:t>
      </w:r>
      <w:r w:rsidR="00EF5EA2">
        <w:rPr>
          <w:rFonts w:eastAsia="Times New Roman" w:cs="Times New Roman"/>
          <w:noProof/>
        </w:rPr>
        <w:t>, with Option 3 representing the savings that are technically feasible with today’s technologies</w:t>
      </w:r>
      <w:r w:rsidR="005C7DC0">
        <w:rPr>
          <w:rFonts w:eastAsia="Times New Roman" w:cs="Times New Roman"/>
          <w:noProof/>
        </w:rPr>
        <w:t>.</w:t>
      </w:r>
      <w:r w:rsidR="00C57819">
        <w:rPr>
          <w:rFonts w:eastAsia="Times New Roman" w:cs="Times New Roman"/>
          <w:noProof/>
        </w:rPr>
        <w:t xml:space="preserve"> </w:t>
      </w:r>
      <w:r w:rsidR="00A7107B">
        <w:rPr>
          <w:rFonts w:eastAsia="Times New Roman" w:cs="Times New Roman"/>
          <w:noProof/>
        </w:rPr>
        <w:t xml:space="preserve">While both options are effective and coherent with the objectives of the European Green Deal, </w:t>
      </w:r>
      <w:r w:rsidR="00A7107B">
        <w:rPr>
          <w:rFonts w:eastAsia="Times New Roman" w:cs="Times New Roman"/>
          <w:b/>
          <w:noProof/>
        </w:rPr>
        <w:t>t</w:t>
      </w:r>
      <w:r w:rsidR="00EF5EA2" w:rsidRPr="00BF5B28">
        <w:rPr>
          <w:rFonts w:eastAsia="Times New Roman" w:cs="Times New Roman"/>
          <w:b/>
          <w:noProof/>
        </w:rPr>
        <w:t>he relatively small emission gains o</w:t>
      </w:r>
      <w:r w:rsidR="006A49F5">
        <w:rPr>
          <w:rFonts w:eastAsia="Times New Roman" w:cs="Times New Roman"/>
          <w:b/>
          <w:noProof/>
        </w:rPr>
        <w:t>f Option 3 compared to Option 2</w:t>
      </w:r>
      <w:r w:rsidR="00F3008F">
        <w:rPr>
          <w:rFonts w:eastAsia="Times New Roman" w:cs="Times New Roman"/>
          <w:b/>
          <w:noProof/>
        </w:rPr>
        <w:t xml:space="preserve"> come at significantly</w:t>
      </w:r>
      <w:r w:rsidR="00EF5EA2">
        <w:rPr>
          <w:rFonts w:eastAsia="Times New Roman" w:cs="Times New Roman"/>
          <w:b/>
          <w:noProof/>
        </w:rPr>
        <w:t xml:space="preserve"> </w:t>
      </w:r>
      <w:r w:rsidR="00EF5EA2" w:rsidRPr="00BF5B28">
        <w:rPr>
          <w:rFonts w:eastAsia="Times New Roman" w:cs="Times New Roman"/>
          <w:b/>
          <w:noProof/>
        </w:rPr>
        <w:t>high</w:t>
      </w:r>
      <w:r w:rsidR="00F3008F">
        <w:rPr>
          <w:rFonts w:eastAsia="Times New Roman" w:cs="Times New Roman"/>
          <w:b/>
          <w:noProof/>
        </w:rPr>
        <w:t>er</w:t>
      </w:r>
      <w:r w:rsidR="003F0098" w:rsidRPr="003F0098">
        <w:rPr>
          <w:rFonts w:eastAsia="Times New Roman" w:cs="Times New Roman"/>
          <w:b/>
          <w:noProof/>
        </w:rPr>
        <w:t xml:space="preserve"> </w:t>
      </w:r>
      <w:r w:rsidR="00811D7F">
        <w:rPr>
          <w:rFonts w:eastAsia="Times New Roman" w:cs="Times New Roman"/>
          <w:b/>
          <w:noProof/>
        </w:rPr>
        <w:t xml:space="preserve">additional </w:t>
      </w:r>
      <w:r w:rsidR="003F0098" w:rsidRPr="003F0098">
        <w:rPr>
          <w:rFonts w:eastAsia="Times New Roman" w:cs="Times New Roman"/>
          <w:b/>
          <w:noProof/>
        </w:rPr>
        <w:t>costs</w:t>
      </w:r>
      <w:r w:rsidR="00811D7F">
        <w:rPr>
          <w:rFonts w:eastAsia="Times New Roman" w:cs="Times New Roman"/>
          <w:b/>
          <w:noProof/>
        </w:rPr>
        <w:t>,</w:t>
      </w:r>
      <w:r w:rsidR="003F0098" w:rsidRPr="003F0098">
        <w:rPr>
          <w:rFonts w:eastAsia="Times New Roman" w:cs="Times New Roman"/>
          <w:b/>
          <w:noProof/>
        </w:rPr>
        <w:t xml:space="preserve"> which do not appear to be justified</w:t>
      </w:r>
      <w:r w:rsidR="00F3008F">
        <w:rPr>
          <w:rFonts w:eastAsia="Times New Roman" w:cs="Times New Roman"/>
          <w:b/>
          <w:noProof/>
        </w:rPr>
        <w:t xml:space="preserve"> by the limited additional savings</w:t>
      </w:r>
      <w:r w:rsidR="003F0098">
        <w:rPr>
          <w:rFonts w:eastAsia="Times New Roman" w:cs="Times New Roman"/>
          <w:b/>
          <w:noProof/>
        </w:rPr>
        <w:t xml:space="preserve">. </w:t>
      </w:r>
      <w:r w:rsidR="003F0098" w:rsidRPr="005D4198">
        <w:rPr>
          <w:rFonts w:eastAsia="Times New Roman" w:cs="Times New Roman"/>
          <w:noProof/>
        </w:rPr>
        <w:t xml:space="preserve">The annual </w:t>
      </w:r>
      <w:r w:rsidR="006A49F5">
        <w:rPr>
          <w:rFonts w:eastAsia="Times New Roman" w:cs="Times New Roman"/>
          <w:noProof/>
        </w:rPr>
        <w:t xml:space="preserve">technological adjustment </w:t>
      </w:r>
      <w:r w:rsidR="003F0098" w:rsidRPr="005D4198">
        <w:rPr>
          <w:rFonts w:eastAsia="Times New Roman" w:cs="Times New Roman"/>
          <w:noProof/>
        </w:rPr>
        <w:t>cost</w:t>
      </w:r>
      <w:r w:rsidR="006A49F5">
        <w:rPr>
          <w:rFonts w:eastAsia="Times New Roman" w:cs="Times New Roman"/>
          <w:noProof/>
        </w:rPr>
        <w:t>s per year in the period</w:t>
      </w:r>
      <w:r w:rsidR="003F0098" w:rsidRPr="005D4198">
        <w:rPr>
          <w:rFonts w:eastAsia="Times New Roman" w:cs="Times New Roman"/>
          <w:noProof/>
        </w:rPr>
        <w:t xml:space="preserve"> 2024</w:t>
      </w:r>
      <w:r w:rsidR="003F0098">
        <w:rPr>
          <w:rFonts w:eastAsia="Times New Roman" w:cs="Times New Roman"/>
          <w:noProof/>
        </w:rPr>
        <w:t xml:space="preserve"> -</w:t>
      </w:r>
      <w:r w:rsidR="003F0098" w:rsidRPr="005D4198">
        <w:rPr>
          <w:rFonts w:eastAsia="Times New Roman" w:cs="Times New Roman"/>
          <w:noProof/>
        </w:rPr>
        <w:t xml:space="preserve"> 2036 are 10 times higher i</w:t>
      </w:r>
      <w:r w:rsidR="003F0098" w:rsidRPr="003F0098">
        <w:rPr>
          <w:rFonts w:eastAsia="Times New Roman" w:cs="Times New Roman"/>
          <w:noProof/>
        </w:rPr>
        <w:t xml:space="preserve">n </w:t>
      </w:r>
      <w:r w:rsidR="003F0098">
        <w:rPr>
          <w:rFonts w:eastAsia="Times New Roman" w:cs="Times New Roman"/>
          <w:noProof/>
        </w:rPr>
        <w:t>O</w:t>
      </w:r>
      <w:r w:rsidR="003F0098" w:rsidRPr="005D4198">
        <w:rPr>
          <w:rFonts w:eastAsia="Times New Roman" w:cs="Times New Roman"/>
          <w:noProof/>
        </w:rPr>
        <w:t>ption 3 (</w:t>
      </w:r>
      <w:r w:rsidR="003F0098">
        <w:rPr>
          <w:rFonts w:eastAsia="Times New Roman" w:cs="Times New Roman"/>
          <w:noProof/>
        </w:rPr>
        <w:t>€</w:t>
      </w:r>
      <w:r w:rsidR="006A49F5">
        <w:rPr>
          <w:rFonts w:eastAsia="Times New Roman" w:cs="Times New Roman"/>
          <w:noProof/>
        </w:rPr>
        <w:t>113 m</w:t>
      </w:r>
      <w:r w:rsidR="003F0098" w:rsidRPr="005D4198">
        <w:rPr>
          <w:rFonts w:eastAsia="Times New Roman" w:cs="Times New Roman"/>
          <w:noProof/>
        </w:rPr>
        <w:t xml:space="preserve">illion compared to </w:t>
      </w:r>
      <w:r w:rsidR="003F0098">
        <w:rPr>
          <w:rFonts w:eastAsia="Times New Roman" w:cs="Times New Roman"/>
          <w:noProof/>
        </w:rPr>
        <w:t>€</w:t>
      </w:r>
      <w:r w:rsidR="006A49F5">
        <w:rPr>
          <w:rFonts w:eastAsia="Times New Roman" w:cs="Times New Roman"/>
          <w:noProof/>
        </w:rPr>
        <w:t>12 m</w:t>
      </w:r>
      <w:r w:rsidR="003F0098" w:rsidRPr="005D4198">
        <w:rPr>
          <w:rFonts w:eastAsia="Times New Roman" w:cs="Times New Roman"/>
          <w:noProof/>
        </w:rPr>
        <w:t>illion</w:t>
      </w:r>
      <w:r w:rsidR="003F0098">
        <w:rPr>
          <w:rFonts w:eastAsia="Times New Roman" w:cs="Times New Roman"/>
          <w:noProof/>
        </w:rPr>
        <w:t xml:space="preserve"> in Option 2</w:t>
      </w:r>
      <w:r w:rsidR="003F0098" w:rsidRPr="005D4198">
        <w:rPr>
          <w:rFonts w:eastAsia="Times New Roman" w:cs="Times New Roman"/>
          <w:noProof/>
        </w:rPr>
        <w:t>)</w:t>
      </w:r>
      <w:r w:rsidR="003F0098">
        <w:rPr>
          <w:rFonts w:eastAsia="Times New Roman" w:cs="Times New Roman"/>
          <w:noProof/>
        </w:rPr>
        <w:t xml:space="preserve"> and </w:t>
      </w:r>
      <w:r w:rsidR="003F0098" w:rsidRPr="005D4198">
        <w:rPr>
          <w:rFonts w:eastAsia="Times New Roman" w:cs="Times New Roman"/>
          <w:noProof/>
        </w:rPr>
        <w:t>the</w:t>
      </w:r>
      <w:r w:rsidR="00EF5EA2" w:rsidRPr="003F0098">
        <w:rPr>
          <w:rFonts w:eastAsia="Times New Roman" w:cs="Times New Roman"/>
          <w:noProof/>
        </w:rPr>
        <w:t xml:space="preserve"> </w:t>
      </w:r>
      <w:r w:rsidR="003F0098">
        <w:rPr>
          <w:rFonts w:eastAsia="Times New Roman" w:cs="Times New Roman"/>
          <w:noProof/>
        </w:rPr>
        <w:t xml:space="preserve">highest </w:t>
      </w:r>
      <w:r w:rsidR="00EF5EA2" w:rsidRPr="003F0098">
        <w:rPr>
          <w:rFonts w:eastAsia="Times New Roman" w:cs="Times New Roman"/>
          <w:noProof/>
        </w:rPr>
        <w:t xml:space="preserve">marginal </w:t>
      </w:r>
      <w:r w:rsidR="00124791" w:rsidRPr="003F0098">
        <w:rPr>
          <w:rFonts w:eastAsia="Times New Roman" w:cs="Times New Roman"/>
          <w:noProof/>
        </w:rPr>
        <w:t xml:space="preserve">abatement costs </w:t>
      </w:r>
      <w:r w:rsidR="003F0098">
        <w:rPr>
          <w:rFonts w:eastAsia="Times New Roman" w:cs="Times New Roman"/>
          <w:noProof/>
        </w:rPr>
        <w:t xml:space="preserve">in the </w:t>
      </w:r>
      <w:r w:rsidR="005C7DC0" w:rsidRPr="003F0098">
        <w:rPr>
          <w:rFonts w:eastAsia="Times New Roman" w:cs="Times New Roman"/>
          <w:noProof/>
        </w:rPr>
        <w:t>few</w:t>
      </w:r>
      <w:r w:rsidR="00C57819" w:rsidRPr="003F0098">
        <w:rPr>
          <w:rFonts w:eastAsia="Times New Roman" w:cs="Times New Roman"/>
          <w:noProof/>
        </w:rPr>
        <w:t xml:space="preserve"> </w:t>
      </w:r>
      <w:r w:rsidR="003F0098">
        <w:rPr>
          <w:rFonts w:eastAsia="Times New Roman" w:cs="Times New Roman"/>
          <w:noProof/>
        </w:rPr>
        <w:t xml:space="preserve">additional </w:t>
      </w:r>
      <w:r w:rsidR="00C57819" w:rsidRPr="003F0098">
        <w:rPr>
          <w:rFonts w:eastAsia="Times New Roman" w:cs="Times New Roman"/>
          <w:noProof/>
        </w:rPr>
        <w:t>sub-sectors concerned</w:t>
      </w:r>
      <w:r w:rsidR="003F0098">
        <w:rPr>
          <w:rFonts w:eastAsia="Times New Roman" w:cs="Times New Roman"/>
          <w:noProof/>
        </w:rPr>
        <w:t xml:space="preserve"> </w:t>
      </w:r>
      <w:r w:rsidR="00124791" w:rsidRPr="003F0098">
        <w:rPr>
          <w:rFonts w:eastAsia="Times New Roman" w:cs="Times New Roman"/>
          <w:noProof/>
        </w:rPr>
        <w:t>(</w:t>
      </w:r>
      <w:r w:rsidR="00EF5EA2" w:rsidRPr="003F0098">
        <w:rPr>
          <w:rFonts w:eastAsia="Times New Roman" w:cs="Times New Roman"/>
          <w:noProof/>
        </w:rPr>
        <w:t xml:space="preserve">e.g. </w:t>
      </w:r>
      <w:r w:rsidR="0037511B" w:rsidRPr="003F0098">
        <w:rPr>
          <w:rFonts w:eastAsia="Times New Roman" w:cs="Times New Roman"/>
          <w:noProof/>
        </w:rPr>
        <w:t xml:space="preserve">switchgear, AC in buses, metros and </w:t>
      </w:r>
      <w:r w:rsidR="00EF5EA2" w:rsidRPr="003F0098">
        <w:rPr>
          <w:rFonts w:eastAsia="Times New Roman" w:cs="Times New Roman"/>
          <w:noProof/>
        </w:rPr>
        <w:t>trains</w:t>
      </w:r>
      <w:r w:rsidR="003F0098">
        <w:rPr>
          <w:rFonts w:eastAsia="Times New Roman" w:cs="Times New Roman"/>
          <w:noProof/>
        </w:rPr>
        <w:t xml:space="preserve">) </w:t>
      </w:r>
      <w:r w:rsidR="003F0098" w:rsidRPr="003F0098">
        <w:rPr>
          <w:rFonts w:eastAsia="Times New Roman" w:cs="Times New Roman"/>
          <w:noProof/>
        </w:rPr>
        <w:t xml:space="preserve">will be </w:t>
      </w:r>
      <w:r w:rsidR="003F0098">
        <w:rPr>
          <w:rFonts w:eastAsia="Times New Roman" w:cs="Times New Roman"/>
          <w:noProof/>
        </w:rPr>
        <w:t>six times higher in Option 3 (</w:t>
      </w:r>
      <w:r w:rsidR="00EF5EA2" w:rsidRPr="003F0098">
        <w:rPr>
          <w:rFonts w:eastAsia="Times New Roman" w:cs="Times New Roman"/>
          <w:noProof/>
        </w:rPr>
        <w:t xml:space="preserve">cost </w:t>
      </w:r>
      <w:r w:rsidR="003F0098">
        <w:rPr>
          <w:rFonts w:eastAsia="Times New Roman" w:cs="Times New Roman"/>
          <w:noProof/>
        </w:rPr>
        <w:t xml:space="preserve">up to </w:t>
      </w:r>
      <w:r w:rsidR="00EF5EA2" w:rsidRPr="003F0098">
        <w:rPr>
          <w:rFonts w:eastAsia="Times New Roman" w:cs="Times New Roman"/>
          <w:noProof/>
        </w:rPr>
        <w:t xml:space="preserve">of </w:t>
      </w:r>
      <w:r w:rsidR="00124791" w:rsidRPr="003F0098">
        <w:rPr>
          <w:rFonts w:eastAsia="Times New Roman" w:cs="Times New Roman"/>
          <w:noProof/>
        </w:rPr>
        <w:t>2,111 €/t CO2e abated</w:t>
      </w:r>
      <w:r w:rsidR="003F0098">
        <w:rPr>
          <w:rFonts w:eastAsia="Times New Roman" w:cs="Times New Roman"/>
          <w:noProof/>
        </w:rPr>
        <w:t xml:space="preserve"> compare</w:t>
      </w:r>
      <w:r w:rsidR="006A49F5">
        <w:rPr>
          <w:rFonts w:eastAsia="Times New Roman" w:cs="Times New Roman"/>
          <w:noProof/>
        </w:rPr>
        <w:t>d</w:t>
      </w:r>
      <w:r w:rsidR="003F0098">
        <w:rPr>
          <w:rFonts w:eastAsia="Times New Roman" w:cs="Times New Roman"/>
          <w:noProof/>
        </w:rPr>
        <w:t xml:space="preserve"> to </w:t>
      </w:r>
      <w:r w:rsidR="00124791" w:rsidRPr="00530BC9">
        <w:rPr>
          <w:rFonts w:eastAsia="Times New Roman" w:cs="Times New Roman"/>
          <w:noProof/>
        </w:rPr>
        <w:t xml:space="preserve">maximally </w:t>
      </w:r>
      <w:r w:rsidR="00124791">
        <w:rPr>
          <w:rFonts w:eastAsia="Times New Roman" w:cs="Times New Roman"/>
          <w:noProof/>
        </w:rPr>
        <w:t>336</w:t>
      </w:r>
      <w:r w:rsidR="00124791" w:rsidRPr="00530BC9">
        <w:rPr>
          <w:rFonts w:eastAsia="Times New Roman" w:cs="Times New Roman"/>
          <w:noProof/>
        </w:rPr>
        <w:t xml:space="preserve"> €/tCO2e abated</w:t>
      </w:r>
      <w:r w:rsidR="003F0098">
        <w:rPr>
          <w:rFonts w:eastAsia="Times New Roman" w:cs="Times New Roman"/>
          <w:noProof/>
        </w:rPr>
        <w:t xml:space="preserve"> </w:t>
      </w:r>
      <w:r w:rsidR="00F3008F">
        <w:rPr>
          <w:rFonts w:eastAsia="Times New Roman" w:cs="Times New Roman"/>
          <w:noProof/>
        </w:rPr>
        <w:t xml:space="preserve">by 2050 </w:t>
      </w:r>
      <w:r w:rsidR="003F0098">
        <w:rPr>
          <w:rFonts w:eastAsia="Times New Roman" w:cs="Times New Roman"/>
          <w:noProof/>
        </w:rPr>
        <w:t>in Option 2</w:t>
      </w:r>
      <w:r w:rsidR="00124791" w:rsidRPr="00530BC9">
        <w:rPr>
          <w:rFonts w:eastAsia="Times New Roman" w:cs="Times New Roman"/>
          <w:noProof/>
        </w:rPr>
        <w:t xml:space="preserve">). Moreover, by reducing supply under the HFC </w:t>
      </w:r>
      <w:r w:rsidR="00124791">
        <w:rPr>
          <w:rFonts w:eastAsia="Times New Roman" w:cs="Times New Roman"/>
          <w:noProof/>
        </w:rPr>
        <w:t>quota system</w:t>
      </w:r>
      <w:r w:rsidR="00124791" w:rsidRPr="00530BC9">
        <w:rPr>
          <w:rFonts w:eastAsia="Times New Roman" w:cs="Times New Roman"/>
          <w:noProof/>
        </w:rPr>
        <w:t xml:space="preserve"> to the extent that no HFCs are available for a few difficult sub-sectors with very high abatement costs, the risk of HFC shortage would increase </w:t>
      </w:r>
      <w:r w:rsidR="00F3008F">
        <w:rPr>
          <w:rFonts w:eastAsia="Times New Roman" w:cs="Times New Roman"/>
          <w:noProof/>
        </w:rPr>
        <w:t>with significantly higher</w:t>
      </w:r>
      <w:r w:rsidR="00124791" w:rsidRPr="00530BC9">
        <w:rPr>
          <w:rFonts w:eastAsia="Times New Roman" w:cs="Times New Roman"/>
          <w:noProof/>
        </w:rPr>
        <w:t xml:space="preserve"> HFC prices </w:t>
      </w:r>
      <w:r w:rsidR="00F3008F">
        <w:rPr>
          <w:rFonts w:eastAsia="Times New Roman" w:cs="Times New Roman"/>
          <w:noProof/>
        </w:rPr>
        <w:t xml:space="preserve">and thus </w:t>
      </w:r>
      <w:r w:rsidR="00124791" w:rsidRPr="00530BC9">
        <w:rPr>
          <w:rFonts w:eastAsia="Times New Roman" w:cs="Times New Roman"/>
          <w:noProof/>
        </w:rPr>
        <w:t xml:space="preserve">increase costs for </w:t>
      </w:r>
      <w:r w:rsidR="00124791" w:rsidRPr="001E4DC1">
        <w:rPr>
          <w:rFonts w:eastAsia="Times New Roman" w:cs="Times New Roman"/>
          <w:bCs/>
          <w:noProof/>
        </w:rPr>
        <w:t>all</w:t>
      </w:r>
      <w:r w:rsidR="00124791" w:rsidRPr="001E4DC1">
        <w:rPr>
          <w:rFonts w:eastAsia="Times New Roman" w:cs="Times New Roman"/>
          <w:noProof/>
        </w:rPr>
        <w:t xml:space="preserve"> </w:t>
      </w:r>
      <w:r w:rsidR="00124791">
        <w:rPr>
          <w:rFonts w:eastAsia="Times New Roman" w:cs="Times New Roman"/>
          <w:noProof/>
        </w:rPr>
        <w:t>end</w:t>
      </w:r>
      <w:r w:rsidR="00130D67">
        <w:rPr>
          <w:rFonts w:eastAsia="Times New Roman" w:cs="Times New Roman"/>
          <w:noProof/>
        </w:rPr>
        <w:t>-</w:t>
      </w:r>
      <w:r w:rsidR="00124791">
        <w:rPr>
          <w:rFonts w:eastAsia="Times New Roman" w:cs="Times New Roman"/>
          <w:noProof/>
        </w:rPr>
        <w:t>users</w:t>
      </w:r>
      <w:r w:rsidR="00124791" w:rsidRPr="00530BC9">
        <w:rPr>
          <w:rFonts w:eastAsia="Times New Roman" w:cs="Times New Roman"/>
          <w:noProof/>
        </w:rPr>
        <w:t xml:space="preserve"> that are still relying on HFCs. </w:t>
      </w:r>
      <w:r w:rsidR="00E6507D">
        <w:rPr>
          <w:rFonts w:eastAsia="Times New Roman" w:cs="Times New Roman"/>
          <w:noProof/>
        </w:rPr>
        <w:t>However, Option 3 (as well as Option 2) also delivers cost savings in the long run (and small employment benefits), in particular benefitting the sector of equipment manufacturing and its supply industry, while the impacts of Option 1 are rather neutral compared to the baseline.</w:t>
      </w:r>
    </w:p>
    <w:p w14:paraId="7F41169E" w14:textId="6E59FC3F" w:rsidR="003F0098" w:rsidRDefault="00807E9D" w:rsidP="001E4DC1">
      <w:pPr>
        <w:spacing w:after="120"/>
        <w:rPr>
          <w:rFonts w:eastAsia="Times New Roman" w:cs="Times New Roman"/>
          <w:noProof/>
        </w:rPr>
      </w:pPr>
      <w:r>
        <w:rPr>
          <w:rFonts w:eastAsia="Times New Roman" w:cs="Times New Roman"/>
          <w:noProof/>
        </w:rPr>
        <w:t>Both Option 2 and 3 provide effective responses to the issues of implementation, enforcement and monitoring. However</w:t>
      </w:r>
      <w:r w:rsidR="00124791" w:rsidRPr="00530BC9">
        <w:rPr>
          <w:rFonts w:eastAsia="Times New Roman" w:cs="Times New Roman"/>
          <w:noProof/>
        </w:rPr>
        <w:t xml:space="preserve">, </w:t>
      </w:r>
      <w:r w:rsidR="00C57819">
        <w:rPr>
          <w:rFonts w:eastAsia="Times New Roman" w:cs="Times New Roman"/>
          <w:noProof/>
        </w:rPr>
        <w:t xml:space="preserve">the additional </w:t>
      </w:r>
      <w:r w:rsidR="00124791" w:rsidRPr="00530BC9">
        <w:rPr>
          <w:rFonts w:eastAsia="Times New Roman" w:cs="Times New Roman"/>
          <w:noProof/>
        </w:rPr>
        <w:t xml:space="preserve">implementing measures </w:t>
      </w:r>
      <w:r>
        <w:rPr>
          <w:rFonts w:eastAsia="Times New Roman" w:cs="Times New Roman"/>
          <w:noProof/>
        </w:rPr>
        <w:t xml:space="preserve">included </w:t>
      </w:r>
      <w:r w:rsidR="00C57819">
        <w:rPr>
          <w:rFonts w:eastAsia="Times New Roman" w:cs="Times New Roman"/>
          <w:noProof/>
        </w:rPr>
        <w:t xml:space="preserve">in Option 3 would add to the </w:t>
      </w:r>
      <w:r w:rsidR="00124791" w:rsidRPr="00530BC9">
        <w:rPr>
          <w:rFonts w:eastAsia="Times New Roman" w:cs="Times New Roman"/>
          <w:noProof/>
        </w:rPr>
        <w:t xml:space="preserve">additional administrative burden </w:t>
      </w:r>
      <w:r w:rsidR="0037511B">
        <w:rPr>
          <w:rFonts w:eastAsia="Times New Roman" w:cs="Times New Roman"/>
          <w:noProof/>
        </w:rPr>
        <w:t xml:space="preserve">and costs </w:t>
      </w:r>
      <w:r w:rsidR="00124791" w:rsidRPr="00530BC9">
        <w:rPr>
          <w:rFonts w:eastAsia="Times New Roman" w:cs="Times New Roman"/>
          <w:noProof/>
        </w:rPr>
        <w:t xml:space="preserve">for stakeholders and authorities. </w:t>
      </w:r>
    </w:p>
    <w:p w14:paraId="10552062" w14:textId="36A37945" w:rsidR="00530BC9" w:rsidRPr="008B1D9D" w:rsidRDefault="001E4DC1" w:rsidP="00124791">
      <w:pPr>
        <w:rPr>
          <w:rFonts w:eastAsia="Times New Roman" w:cs="Times New Roman"/>
          <w:noProof/>
        </w:rPr>
      </w:pPr>
      <w:r>
        <w:rPr>
          <w:rFonts w:eastAsia="Times New Roman" w:cs="Times New Roman"/>
          <w:noProof/>
        </w:rPr>
        <w:t>For these reasons</w:t>
      </w:r>
      <w:r w:rsidR="00B235D5">
        <w:rPr>
          <w:rFonts w:eastAsia="Times New Roman" w:cs="Times New Roman"/>
          <w:noProof/>
        </w:rPr>
        <w:t xml:space="preserve"> </w:t>
      </w:r>
      <w:r w:rsidR="00124791" w:rsidRPr="00530BC9">
        <w:rPr>
          <w:rFonts w:eastAsia="Times New Roman" w:cs="Times New Roman"/>
          <w:noProof/>
        </w:rPr>
        <w:t xml:space="preserve">it appears </w:t>
      </w:r>
      <w:r w:rsidR="00C740D0">
        <w:rPr>
          <w:rFonts w:eastAsia="Times New Roman" w:cs="Times New Roman"/>
          <w:noProof/>
        </w:rPr>
        <w:t xml:space="preserve">that </w:t>
      </w:r>
      <w:r w:rsidR="00C740D0" w:rsidRPr="001E4DC1">
        <w:rPr>
          <w:rFonts w:eastAsia="Times New Roman" w:cs="Times New Roman"/>
          <w:b/>
          <w:noProof/>
        </w:rPr>
        <w:t xml:space="preserve">Option 2 is having the </w:t>
      </w:r>
      <w:r w:rsidR="00124791" w:rsidRPr="001E4DC1">
        <w:rPr>
          <w:rFonts w:eastAsia="Times New Roman" w:cs="Times New Roman"/>
          <w:b/>
          <w:noProof/>
        </w:rPr>
        <w:t xml:space="preserve">most appropriate </w:t>
      </w:r>
      <w:r w:rsidR="00C740D0" w:rsidRPr="001E4DC1">
        <w:rPr>
          <w:rFonts w:eastAsia="Times New Roman" w:cs="Times New Roman"/>
          <w:b/>
          <w:noProof/>
        </w:rPr>
        <w:t>cost-benefit balance</w:t>
      </w:r>
      <w:r w:rsidR="005C7DC0" w:rsidRPr="001E4DC1">
        <w:rPr>
          <w:rFonts w:eastAsia="Times New Roman" w:cs="Times New Roman"/>
          <w:b/>
          <w:noProof/>
        </w:rPr>
        <w:t xml:space="preserve">, achieving a </w:t>
      </w:r>
      <w:r w:rsidR="0037511B" w:rsidRPr="001E4DC1">
        <w:rPr>
          <w:rFonts w:eastAsia="Times New Roman" w:cs="Times New Roman"/>
          <w:b/>
          <w:noProof/>
        </w:rPr>
        <w:t xml:space="preserve">very </w:t>
      </w:r>
      <w:r w:rsidR="005C7DC0" w:rsidRPr="001E4DC1">
        <w:rPr>
          <w:rFonts w:eastAsia="Times New Roman" w:cs="Times New Roman"/>
          <w:b/>
          <w:noProof/>
        </w:rPr>
        <w:t>substantial amount of additional emissions at a modest price tag and avoiding</w:t>
      </w:r>
      <w:r w:rsidR="003F0ABA">
        <w:rPr>
          <w:rFonts w:eastAsia="Times New Roman" w:cs="Times New Roman"/>
          <w:b/>
          <w:noProof/>
        </w:rPr>
        <w:t xml:space="preserve"> undue</w:t>
      </w:r>
      <w:r w:rsidR="005C7DC0" w:rsidRPr="001E4DC1">
        <w:rPr>
          <w:rFonts w:eastAsia="Times New Roman" w:cs="Times New Roman"/>
          <w:b/>
          <w:noProof/>
        </w:rPr>
        <w:t xml:space="preserve"> hardship for any affected sectors. </w:t>
      </w:r>
      <w:r w:rsidR="0037511B" w:rsidRPr="001E4DC1">
        <w:rPr>
          <w:rFonts w:eastAsia="Times New Roman" w:cs="Times New Roman"/>
          <w:b/>
          <w:noProof/>
        </w:rPr>
        <w:t>It is therefore most coherent with the objectives of the Green Deal.</w:t>
      </w:r>
      <w:r w:rsidR="00811D7F">
        <w:rPr>
          <w:rFonts w:eastAsia="Times New Roman" w:cs="Times New Roman"/>
          <w:b/>
          <w:noProof/>
        </w:rPr>
        <w:t xml:space="preserve"> </w:t>
      </w:r>
      <w:r w:rsidR="00811D7F">
        <w:rPr>
          <w:rFonts w:eastAsia="Times New Roman" w:cs="Times New Roman"/>
          <w:noProof/>
        </w:rPr>
        <w:t xml:space="preserve">Furthermore, it is likely that even stricter F-gas policies can be introduced </w:t>
      </w:r>
      <w:r w:rsidR="005F3D1A">
        <w:rPr>
          <w:rFonts w:eastAsia="Times New Roman" w:cs="Times New Roman"/>
          <w:noProof/>
        </w:rPr>
        <w:t>later (before</w:t>
      </w:r>
      <w:r>
        <w:rPr>
          <w:rFonts w:eastAsia="Times New Roman" w:cs="Times New Roman"/>
          <w:noProof/>
        </w:rPr>
        <w:t xml:space="preserve"> 2050</w:t>
      </w:r>
      <w:r w:rsidR="005F3D1A">
        <w:rPr>
          <w:rFonts w:eastAsia="Times New Roman" w:cs="Times New Roman"/>
          <w:noProof/>
        </w:rPr>
        <w:t>)</w:t>
      </w:r>
      <w:r>
        <w:rPr>
          <w:rFonts w:eastAsia="Times New Roman" w:cs="Times New Roman"/>
          <w:noProof/>
        </w:rPr>
        <w:t xml:space="preserve"> </w:t>
      </w:r>
      <w:r w:rsidR="00811D7F">
        <w:rPr>
          <w:rFonts w:eastAsia="Times New Roman" w:cs="Times New Roman"/>
          <w:noProof/>
        </w:rPr>
        <w:t xml:space="preserve">at lower costs than today in light of new </w:t>
      </w:r>
      <w:r>
        <w:rPr>
          <w:rFonts w:eastAsia="Times New Roman" w:cs="Times New Roman"/>
          <w:noProof/>
        </w:rPr>
        <w:t xml:space="preserve">future </w:t>
      </w:r>
      <w:r w:rsidR="00811D7F">
        <w:rPr>
          <w:rFonts w:eastAsia="Times New Roman" w:cs="Times New Roman"/>
          <w:noProof/>
        </w:rPr>
        <w:t xml:space="preserve">technological developments. </w:t>
      </w:r>
    </w:p>
    <w:p w14:paraId="11DC5109" w14:textId="0BA5AF8C" w:rsidR="000559A6" w:rsidRDefault="00B967F9" w:rsidP="000F75D6">
      <w:pPr>
        <w:jc w:val="center"/>
        <w:rPr>
          <w:rFonts w:eastAsia="Times New Roman" w:cs="Times New Roman"/>
          <w:noProof/>
        </w:rPr>
      </w:pPr>
      <w:r>
        <w:rPr>
          <w:rFonts w:eastAsia="Times New Roman" w:cs="Times New Roman"/>
          <w:noProof/>
          <w:lang w:eastAsia="en-GB"/>
        </w:rPr>
        <w:drawing>
          <wp:inline distT="0" distB="0" distL="0" distR="0" wp14:anchorId="7E1D8FA0" wp14:editId="636743EC">
            <wp:extent cx="4584700" cy="27559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40539CD" w14:textId="62719C2B" w:rsidR="00807E9D" w:rsidRDefault="000559A6" w:rsidP="00322072">
      <w:pPr>
        <w:spacing w:after="0" w:line="240" w:lineRule="auto"/>
        <w:rPr>
          <w:rFonts w:asciiTheme="minorHAnsi" w:hAnsiTheme="minorHAnsi"/>
          <w:noProof/>
          <w:color w:val="0070C0"/>
          <w:sz w:val="20"/>
          <w:szCs w:val="20"/>
        </w:rPr>
      </w:pPr>
      <w:bookmarkStart w:id="318" w:name="_Ref94166009"/>
      <w:bookmarkStart w:id="319" w:name="_Ref94711488"/>
      <w:r w:rsidRPr="3982CBDC">
        <w:rPr>
          <w:rFonts w:asciiTheme="minorHAnsi" w:hAnsiTheme="minorHAnsi"/>
          <w:b/>
          <w:bCs/>
          <w:noProof/>
          <w:color w:val="0070C0"/>
          <w:sz w:val="20"/>
          <w:szCs w:val="20"/>
        </w:rPr>
        <w:t xml:space="preserve">Figure </w:t>
      </w:r>
      <w:r w:rsidRPr="3982CBDC">
        <w:rPr>
          <w:noProof/>
        </w:rPr>
        <w:fldChar w:fldCharType="begin"/>
      </w:r>
      <w:r w:rsidRPr="004D46CC">
        <w:rPr>
          <w:rFonts w:asciiTheme="minorHAnsi" w:hAnsiTheme="minorHAnsi" w:cstheme="minorHAnsi"/>
          <w:b/>
          <w:noProof/>
          <w:color w:val="0070C0"/>
          <w:sz w:val="20"/>
          <w:szCs w:val="20"/>
        </w:rPr>
        <w:instrText xml:space="preserve"> SEQ Figure \* ARABIC \n </w:instrText>
      </w:r>
      <w:r w:rsidRPr="3982CBDC">
        <w:rPr>
          <w:rFonts w:asciiTheme="minorHAnsi" w:hAnsiTheme="minorHAnsi" w:cstheme="minorHAnsi"/>
          <w:b/>
          <w:noProof/>
          <w:color w:val="0070C0"/>
          <w:sz w:val="20"/>
          <w:szCs w:val="20"/>
        </w:rPr>
        <w:fldChar w:fldCharType="separate"/>
      </w:r>
      <w:r w:rsidR="00DA332E">
        <w:rPr>
          <w:rFonts w:asciiTheme="minorHAnsi" w:hAnsiTheme="minorHAnsi" w:cstheme="minorHAnsi"/>
          <w:b/>
          <w:noProof/>
          <w:color w:val="0070C0"/>
          <w:sz w:val="20"/>
          <w:szCs w:val="20"/>
        </w:rPr>
        <w:t>6</w:t>
      </w:r>
      <w:r w:rsidRPr="3982CBDC">
        <w:rPr>
          <w:noProof/>
        </w:rPr>
        <w:fldChar w:fldCharType="end"/>
      </w:r>
      <w:bookmarkEnd w:id="318"/>
      <w:r>
        <w:rPr>
          <w:rFonts w:asciiTheme="minorHAnsi" w:hAnsiTheme="minorHAnsi"/>
          <w:noProof/>
          <w:color w:val="0070C0"/>
          <w:sz w:val="20"/>
          <w:szCs w:val="20"/>
        </w:rPr>
        <w:t xml:space="preserve">: </w:t>
      </w:r>
      <w:r w:rsidR="00B967F9">
        <w:rPr>
          <w:rFonts w:asciiTheme="minorHAnsi" w:hAnsiTheme="minorHAnsi"/>
          <w:noProof/>
          <w:color w:val="0070C0"/>
          <w:sz w:val="20"/>
          <w:szCs w:val="20"/>
        </w:rPr>
        <w:t xml:space="preserve">Total </w:t>
      </w:r>
      <w:r w:rsidR="00F76AF3">
        <w:rPr>
          <w:rFonts w:asciiTheme="minorHAnsi" w:hAnsiTheme="minorHAnsi"/>
          <w:noProof/>
          <w:color w:val="0070C0"/>
          <w:sz w:val="20"/>
          <w:szCs w:val="20"/>
        </w:rPr>
        <w:t xml:space="preserve">additional </w:t>
      </w:r>
      <w:r w:rsidR="00B967F9">
        <w:rPr>
          <w:rFonts w:asciiTheme="minorHAnsi" w:hAnsiTheme="minorHAnsi"/>
          <w:noProof/>
          <w:color w:val="0070C0"/>
          <w:sz w:val="20"/>
          <w:szCs w:val="20"/>
        </w:rPr>
        <w:t>e</w:t>
      </w:r>
      <w:r>
        <w:rPr>
          <w:rFonts w:asciiTheme="minorHAnsi" w:hAnsiTheme="minorHAnsi"/>
          <w:noProof/>
          <w:color w:val="0070C0"/>
          <w:sz w:val="20"/>
          <w:szCs w:val="20"/>
        </w:rPr>
        <w:t xml:space="preserve">mission savings </w:t>
      </w:r>
      <w:r w:rsidR="00DA332E">
        <w:rPr>
          <w:rFonts w:asciiTheme="minorHAnsi" w:hAnsiTheme="minorHAnsi"/>
          <w:noProof/>
          <w:color w:val="0070C0"/>
          <w:sz w:val="20"/>
          <w:szCs w:val="20"/>
        </w:rPr>
        <w:t>vs.</w:t>
      </w:r>
      <w:r w:rsidR="00F76AF3">
        <w:rPr>
          <w:rFonts w:asciiTheme="minorHAnsi" w:hAnsiTheme="minorHAnsi"/>
          <w:noProof/>
          <w:color w:val="0070C0"/>
          <w:sz w:val="20"/>
          <w:szCs w:val="20"/>
        </w:rPr>
        <w:t xml:space="preserve"> the baseline </w:t>
      </w:r>
      <w:r w:rsidR="00DB1B5A">
        <w:rPr>
          <w:rFonts w:asciiTheme="minorHAnsi" w:hAnsiTheme="minorHAnsi"/>
          <w:noProof/>
          <w:color w:val="0070C0"/>
          <w:sz w:val="20"/>
          <w:szCs w:val="20"/>
        </w:rPr>
        <w:t xml:space="preserve">(cumulative) </w:t>
      </w:r>
      <w:r>
        <w:rPr>
          <w:rFonts w:asciiTheme="minorHAnsi" w:hAnsiTheme="minorHAnsi"/>
          <w:noProof/>
          <w:color w:val="0070C0"/>
          <w:sz w:val="20"/>
          <w:szCs w:val="20"/>
        </w:rPr>
        <w:t>achieved by the three options</w:t>
      </w:r>
      <w:r w:rsidR="00B967F9">
        <w:rPr>
          <w:rFonts w:asciiTheme="minorHAnsi" w:hAnsiTheme="minorHAnsi"/>
          <w:noProof/>
          <w:color w:val="0070C0"/>
          <w:sz w:val="20"/>
          <w:szCs w:val="20"/>
        </w:rPr>
        <w:t xml:space="preserve"> </w:t>
      </w:r>
      <w:r w:rsidR="00807E9D">
        <w:rPr>
          <w:rFonts w:asciiTheme="minorHAnsi" w:hAnsiTheme="minorHAnsi"/>
          <w:noProof/>
          <w:color w:val="0070C0"/>
          <w:sz w:val="20"/>
          <w:szCs w:val="20"/>
        </w:rPr>
        <w:t xml:space="preserve">in the period </w:t>
      </w:r>
      <w:r w:rsidR="00B967F9">
        <w:rPr>
          <w:rFonts w:asciiTheme="minorHAnsi" w:hAnsiTheme="minorHAnsi"/>
          <w:noProof/>
          <w:color w:val="0070C0"/>
          <w:sz w:val="20"/>
          <w:szCs w:val="20"/>
        </w:rPr>
        <w:t>until 2050</w:t>
      </w:r>
      <w:r>
        <w:rPr>
          <w:rFonts w:asciiTheme="minorHAnsi" w:hAnsiTheme="minorHAnsi"/>
          <w:noProof/>
          <w:color w:val="0070C0"/>
          <w:sz w:val="20"/>
          <w:szCs w:val="20"/>
        </w:rPr>
        <w:t>.</w:t>
      </w:r>
      <w:bookmarkEnd w:id="319"/>
      <w:r>
        <w:rPr>
          <w:rFonts w:asciiTheme="minorHAnsi" w:hAnsiTheme="minorHAnsi"/>
          <w:noProof/>
          <w:color w:val="0070C0"/>
          <w:sz w:val="20"/>
          <w:szCs w:val="20"/>
        </w:rPr>
        <w:t xml:space="preserve"> </w:t>
      </w:r>
    </w:p>
    <w:p w14:paraId="69B4D970" w14:textId="3FE735BC" w:rsidR="000559A6" w:rsidRPr="00807E9D" w:rsidRDefault="000559A6" w:rsidP="00322072">
      <w:pPr>
        <w:spacing w:after="0" w:line="240" w:lineRule="auto"/>
        <w:rPr>
          <w:rFonts w:asciiTheme="minorHAnsi" w:hAnsiTheme="minorHAnsi"/>
          <w:noProof/>
          <w:sz w:val="20"/>
          <w:szCs w:val="20"/>
        </w:rPr>
      </w:pPr>
      <w:r w:rsidRPr="00807E9D">
        <w:rPr>
          <w:rFonts w:asciiTheme="minorHAnsi" w:hAnsiTheme="minorHAnsi"/>
          <w:noProof/>
          <w:sz w:val="20"/>
          <w:szCs w:val="20"/>
        </w:rPr>
        <w:t>N.B. Not counted are any emission savings from b</w:t>
      </w:r>
      <w:r w:rsidR="00B967F9" w:rsidRPr="00807E9D">
        <w:rPr>
          <w:rFonts w:asciiTheme="minorHAnsi" w:hAnsiTheme="minorHAnsi"/>
          <w:noProof/>
          <w:sz w:val="20"/>
          <w:szCs w:val="20"/>
        </w:rPr>
        <w:t xml:space="preserve">etter implementation, </w:t>
      </w:r>
      <w:r w:rsidRPr="00807E9D">
        <w:rPr>
          <w:rFonts w:asciiTheme="minorHAnsi" w:hAnsiTheme="minorHAnsi"/>
          <w:noProof/>
          <w:sz w:val="20"/>
          <w:szCs w:val="20"/>
        </w:rPr>
        <w:t>enforcement</w:t>
      </w:r>
      <w:r w:rsidR="00F76AF3" w:rsidRPr="00807E9D">
        <w:rPr>
          <w:rFonts w:asciiTheme="minorHAnsi" w:hAnsiTheme="minorHAnsi"/>
          <w:noProof/>
          <w:sz w:val="20"/>
          <w:szCs w:val="20"/>
        </w:rPr>
        <w:t>,</w:t>
      </w:r>
      <w:r w:rsidR="00B967F9" w:rsidRPr="00807E9D">
        <w:rPr>
          <w:rFonts w:asciiTheme="minorHAnsi" w:hAnsiTheme="minorHAnsi"/>
          <w:noProof/>
          <w:sz w:val="20"/>
          <w:szCs w:val="20"/>
        </w:rPr>
        <w:t xml:space="preserve"> moni</w:t>
      </w:r>
      <w:r w:rsidR="00F76AF3" w:rsidRPr="00807E9D">
        <w:rPr>
          <w:rFonts w:asciiTheme="minorHAnsi" w:hAnsiTheme="minorHAnsi"/>
          <w:noProof/>
          <w:sz w:val="20"/>
          <w:szCs w:val="20"/>
        </w:rPr>
        <w:t>toring and clarification improvements</w:t>
      </w:r>
      <w:r w:rsidRPr="00807E9D">
        <w:rPr>
          <w:rFonts w:asciiTheme="minorHAnsi" w:hAnsiTheme="minorHAnsi"/>
          <w:noProof/>
          <w:sz w:val="20"/>
          <w:szCs w:val="20"/>
        </w:rPr>
        <w:t xml:space="preserve">.   </w:t>
      </w:r>
    </w:p>
    <w:p w14:paraId="1D6732DD" w14:textId="77777777" w:rsidR="000559A6" w:rsidRPr="008B1D9D" w:rsidRDefault="000559A6" w:rsidP="002F1F54">
      <w:pPr>
        <w:spacing w:after="0"/>
        <w:rPr>
          <w:rFonts w:eastAsia="Times New Roman" w:cs="Times New Roman"/>
          <w:noProof/>
        </w:rPr>
      </w:pPr>
    </w:p>
    <w:p w14:paraId="1B32CE14" w14:textId="53F5E99A" w:rsidR="00A14107" w:rsidRPr="00B14E24" w:rsidRDefault="0081406E" w:rsidP="3982CBDC">
      <w:pPr>
        <w:pStyle w:val="Caption"/>
        <w:rPr>
          <w:rFonts w:asciiTheme="minorHAnsi" w:hAnsiTheme="minorHAnsi" w:cstheme="minorBidi"/>
          <w:noProof/>
        </w:rPr>
      </w:pPr>
      <w:bookmarkStart w:id="320" w:name="_Ref88826573"/>
      <w:bookmarkStart w:id="321" w:name="_Ref88826561"/>
      <w:r w:rsidRPr="004A331B">
        <w:rPr>
          <w:rFonts w:asciiTheme="minorHAnsi" w:hAnsiTheme="minorHAnsi" w:cstheme="minorBidi"/>
          <w:b/>
          <w:noProof/>
        </w:rPr>
        <w:t xml:space="preserve">Table </w:t>
      </w:r>
      <w:r w:rsidRPr="004A331B">
        <w:rPr>
          <w:b/>
          <w:noProof/>
        </w:rPr>
        <w:fldChar w:fldCharType="begin"/>
      </w:r>
      <w:r w:rsidRPr="004A331B">
        <w:rPr>
          <w:rFonts w:asciiTheme="minorHAnsi" w:hAnsiTheme="minorHAnsi" w:cstheme="minorHAnsi"/>
          <w:b/>
          <w:noProof/>
        </w:rPr>
        <w:instrText xml:space="preserve"> SEQ Table \* ARABIC </w:instrText>
      </w:r>
      <w:r w:rsidRPr="004A331B">
        <w:rPr>
          <w:rFonts w:asciiTheme="minorHAnsi" w:hAnsiTheme="minorHAnsi" w:cstheme="minorHAnsi"/>
          <w:b/>
          <w:noProof/>
        </w:rPr>
        <w:fldChar w:fldCharType="separate"/>
      </w:r>
      <w:r w:rsidR="00830261">
        <w:rPr>
          <w:rFonts w:asciiTheme="minorHAnsi" w:hAnsiTheme="minorHAnsi" w:cstheme="minorHAnsi"/>
          <w:b/>
          <w:noProof/>
        </w:rPr>
        <w:t>9</w:t>
      </w:r>
      <w:r w:rsidRPr="004A331B">
        <w:rPr>
          <w:b/>
          <w:noProof/>
        </w:rPr>
        <w:fldChar w:fldCharType="end"/>
      </w:r>
      <w:bookmarkEnd w:id="320"/>
      <w:r w:rsidRPr="004A331B">
        <w:rPr>
          <w:rFonts w:asciiTheme="minorHAnsi" w:hAnsiTheme="minorHAnsi" w:cstheme="minorBidi"/>
          <w:b/>
          <w:noProof/>
        </w:rPr>
        <w:t>.</w:t>
      </w:r>
      <w:r w:rsidRPr="3982CBDC">
        <w:rPr>
          <w:rFonts w:asciiTheme="minorHAnsi" w:hAnsiTheme="minorHAnsi" w:cstheme="minorBidi"/>
          <w:noProof/>
        </w:rPr>
        <w:t xml:space="preserve"> </w:t>
      </w:r>
      <w:bookmarkStart w:id="322" w:name="_Ref85794696"/>
      <w:r w:rsidR="00A14107" w:rsidRPr="3982CBDC">
        <w:rPr>
          <w:rFonts w:asciiTheme="minorHAnsi" w:hAnsiTheme="minorHAnsi" w:cstheme="minorBidi"/>
          <w:noProof/>
          <w:color w:val="0070C0"/>
        </w:rPr>
        <w:t>Comparison of the impacts of the options</w:t>
      </w:r>
      <w:bookmarkEnd w:id="321"/>
      <w:bookmarkEnd w:id="322"/>
      <w:r w:rsidR="00A14107" w:rsidRPr="3982CBDC">
        <w:rPr>
          <w:rFonts w:asciiTheme="minorHAnsi" w:hAnsiTheme="minorHAnsi" w:cstheme="minorBidi"/>
          <w:noProof/>
          <w:color w:val="0070C0"/>
        </w:rPr>
        <w:t xml:space="preserve"> </w:t>
      </w:r>
    </w:p>
    <w:tbl>
      <w:tblPr>
        <w:tblStyle w:val="TableGrid1212"/>
        <w:tblW w:w="4875" w:type="pct"/>
        <w:tblLayout w:type="fixed"/>
        <w:tblLook w:val="04A0" w:firstRow="1" w:lastRow="0" w:firstColumn="1" w:lastColumn="0" w:noHBand="0" w:noVBand="1"/>
      </w:tblPr>
      <w:tblGrid>
        <w:gridCol w:w="4936"/>
        <w:gridCol w:w="1406"/>
        <w:gridCol w:w="1335"/>
        <w:gridCol w:w="1334"/>
      </w:tblGrid>
      <w:tr w:rsidR="00A14107" w:rsidRPr="00A14107" w14:paraId="1FA470E1" w14:textId="77777777" w:rsidTr="00322072">
        <w:trPr>
          <w:cnfStyle w:val="100000000000" w:firstRow="1" w:lastRow="0" w:firstColumn="0" w:lastColumn="0" w:oddVBand="0" w:evenVBand="0" w:oddHBand="0" w:evenHBand="0" w:firstRowFirstColumn="0" w:firstRowLastColumn="0" w:lastRowFirstColumn="0" w:lastRowLastColumn="0"/>
          <w:trHeight w:val="402"/>
        </w:trPr>
        <w:tc>
          <w:tcPr>
            <w:tcW w:w="0" w:type="pct"/>
            <w:noWrap/>
            <w:hideMark/>
          </w:tcPr>
          <w:p w14:paraId="5772E275" w14:textId="7B4A53DD" w:rsidR="00A14107" w:rsidRPr="00553392" w:rsidRDefault="3982CBDC" w:rsidP="00322072">
            <w:pPr>
              <w:spacing w:before="0"/>
              <w:rPr>
                <w:rFonts w:asciiTheme="minorHAnsi" w:hAnsiTheme="minorHAnsi" w:cstheme="minorBidi"/>
                <w:b/>
                <w:bCs/>
                <w:noProof/>
                <w:sz w:val="20"/>
              </w:rPr>
            </w:pPr>
            <w:r w:rsidRPr="00553392">
              <w:rPr>
                <w:rFonts w:asciiTheme="minorHAnsi" w:hAnsiTheme="minorHAnsi" w:cstheme="minorBidi"/>
                <w:b/>
                <w:bCs/>
                <w:noProof/>
                <w:color w:val="0070C0"/>
                <w:sz w:val="20"/>
              </w:rPr>
              <w:t xml:space="preserve">                                         </w:t>
            </w:r>
          </w:p>
        </w:tc>
        <w:tc>
          <w:tcPr>
            <w:tcW w:w="0" w:type="pct"/>
          </w:tcPr>
          <w:p w14:paraId="6D667945" w14:textId="77777777" w:rsidR="00A14107" w:rsidRPr="00553392" w:rsidRDefault="3F3807E4" w:rsidP="00322072">
            <w:pPr>
              <w:spacing w:before="0"/>
              <w:jc w:val="center"/>
              <w:rPr>
                <w:rFonts w:asciiTheme="minorHAnsi" w:hAnsiTheme="minorHAnsi" w:cstheme="minorBidi"/>
                <w:b/>
                <w:bCs/>
                <w:noProof/>
                <w:color w:val="FFFFFF" w:themeColor="background1"/>
                <w:sz w:val="20"/>
              </w:rPr>
            </w:pPr>
            <w:r w:rsidRPr="3F3807E4">
              <w:rPr>
                <w:rFonts w:asciiTheme="minorHAnsi" w:hAnsiTheme="minorHAnsi" w:cstheme="minorBidi"/>
                <w:b/>
                <w:bCs/>
                <w:noProof/>
                <w:color w:val="FFFFFF" w:themeColor="background1"/>
                <w:sz w:val="20"/>
              </w:rPr>
              <w:t>Option 1</w:t>
            </w:r>
          </w:p>
        </w:tc>
        <w:tc>
          <w:tcPr>
            <w:tcW w:w="0" w:type="pct"/>
          </w:tcPr>
          <w:p w14:paraId="0F4732F2" w14:textId="77777777" w:rsidR="00A14107" w:rsidRPr="00553392" w:rsidRDefault="3F3807E4" w:rsidP="00322072">
            <w:pPr>
              <w:spacing w:before="0"/>
              <w:jc w:val="center"/>
              <w:rPr>
                <w:rFonts w:asciiTheme="minorHAnsi" w:hAnsiTheme="minorHAnsi" w:cstheme="minorBidi"/>
                <w:b/>
                <w:bCs/>
                <w:noProof/>
                <w:color w:val="FFFFFF" w:themeColor="background1"/>
                <w:sz w:val="20"/>
              </w:rPr>
            </w:pPr>
            <w:r w:rsidRPr="3F3807E4">
              <w:rPr>
                <w:rFonts w:asciiTheme="minorHAnsi" w:hAnsiTheme="minorHAnsi" w:cstheme="minorBidi"/>
                <w:b/>
                <w:bCs/>
                <w:noProof/>
                <w:color w:val="FFFFFF" w:themeColor="background1"/>
                <w:sz w:val="20"/>
              </w:rPr>
              <w:t>Option 2</w:t>
            </w:r>
          </w:p>
        </w:tc>
        <w:tc>
          <w:tcPr>
            <w:tcW w:w="0" w:type="pct"/>
          </w:tcPr>
          <w:p w14:paraId="397A3087" w14:textId="77777777" w:rsidR="00A14107" w:rsidRPr="00553392" w:rsidRDefault="3982CBDC" w:rsidP="00322072">
            <w:pPr>
              <w:spacing w:before="0"/>
              <w:jc w:val="center"/>
              <w:rPr>
                <w:rFonts w:asciiTheme="minorHAnsi" w:hAnsiTheme="minorHAnsi" w:cstheme="minorBidi"/>
                <w:b/>
                <w:bCs/>
                <w:noProof/>
                <w:sz w:val="20"/>
              </w:rPr>
            </w:pPr>
            <w:r w:rsidRPr="00553392">
              <w:rPr>
                <w:rFonts w:asciiTheme="minorHAnsi" w:hAnsiTheme="minorHAnsi" w:cstheme="minorBidi"/>
                <w:b/>
                <w:bCs/>
                <w:noProof/>
                <w:sz w:val="20"/>
              </w:rPr>
              <w:t>Option 3</w:t>
            </w:r>
          </w:p>
        </w:tc>
      </w:tr>
      <w:tr w:rsidR="00A14107" w:rsidRPr="00A14107" w14:paraId="2EA7A283" w14:textId="77777777" w:rsidTr="009C5C85">
        <w:trPr>
          <w:cnfStyle w:val="000000100000" w:firstRow="0" w:lastRow="0" w:firstColumn="0" w:lastColumn="0" w:oddVBand="0" w:evenVBand="0" w:oddHBand="1" w:evenHBand="0" w:firstRowFirstColumn="0" w:firstRowLastColumn="0" w:lastRowFirstColumn="0" w:lastRowLastColumn="0"/>
          <w:trHeight w:val="340"/>
        </w:trPr>
        <w:tc>
          <w:tcPr>
            <w:tcW w:w="2739" w:type="pct"/>
            <w:tcBorders>
              <w:bottom w:val="single" w:sz="4" w:space="0" w:color="auto"/>
            </w:tcBorders>
            <w:vAlign w:val="top"/>
            <w:hideMark/>
          </w:tcPr>
          <w:p w14:paraId="3F40AE61" w14:textId="4E13C14E" w:rsidR="00661121" w:rsidRDefault="00DB1B5A" w:rsidP="009C5C85">
            <w:pPr>
              <w:jc w:val="center"/>
              <w:rPr>
                <w:rFonts w:asciiTheme="minorHAnsi" w:hAnsiTheme="minorHAnsi" w:cstheme="minorBidi"/>
                <w:b/>
                <w:bCs/>
                <w:noProof/>
                <w:sz w:val="20"/>
              </w:rPr>
            </w:pPr>
            <w:r w:rsidRPr="00DB1B5A">
              <w:rPr>
                <w:rFonts w:asciiTheme="minorHAnsi" w:hAnsiTheme="minorHAnsi" w:cstheme="minorBidi"/>
                <w:b/>
                <w:bCs/>
                <w:noProof/>
                <w:sz w:val="20"/>
              </w:rPr>
              <w:t>Achieved E</w:t>
            </w:r>
            <w:r w:rsidR="3982CBDC" w:rsidRPr="00DB1B5A">
              <w:rPr>
                <w:rFonts w:asciiTheme="minorHAnsi" w:hAnsiTheme="minorHAnsi" w:cstheme="minorBidi"/>
                <w:b/>
                <w:bCs/>
                <w:noProof/>
                <w:sz w:val="20"/>
              </w:rPr>
              <w:t>mission reductions</w:t>
            </w:r>
            <w:r w:rsidRPr="00DB1B5A">
              <w:rPr>
                <w:rFonts w:asciiTheme="minorHAnsi" w:hAnsiTheme="minorHAnsi" w:cstheme="minorBidi"/>
                <w:b/>
                <w:bCs/>
                <w:noProof/>
                <w:sz w:val="20"/>
              </w:rPr>
              <w:t xml:space="preserve"> vs. Baseline (annual)</w:t>
            </w:r>
            <w:r>
              <w:rPr>
                <w:rStyle w:val="FootnoteReference"/>
                <w:rFonts w:asciiTheme="minorHAnsi" w:hAnsiTheme="minorHAnsi" w:cstheme="minorBidi"/>
                <w:b/>
                <w:bCs/>
                <w:noProof/>
                <w:sz w:val="20"/>
              </w:rPr>
              <w:footnoteReference w:id="112"/>
            </w:r>
            <w:r w:rsidRPr="00DB1B5A">
              <w:rPr>
                <w:rFonts w:asciiTheme="minorHAnsi" w:hAnsiTheme="minorHAnsi" w:cstheme="minorBidi"/>
                <w:b/>
                <w:bCs/>
                <w:noProof/>
                <w:sz w:val="20"/>
              </w:rPr>
              <w:t xml:space="preserve">                    </w:t>
            </w:r>
            <w:r>
              <w:rPr>
                <w:rFonts w:asciiTheme="minorHAnsi" w:hAnsiTheme="minorHAnsi" w:cstheme="minorBidi"/>
                <w:b/>
                <w:bCs/>
                <w:noProof/>
                <w:sz w:val="20"/>
              </w:rPr>
              <w:t>In 203</w:t>
            </w:r>
            <w:r w:rsidRPr="00DB1B5A">
              <w:rPr>
                <w:rFonts w:asciiTheme="minorHAnsi" w:hAnsiTheme="minorHAnsi" w:cstheme="minorBidi"/>
                <w:b/>
                <w:bCs/>
                <w:noProof/>
                <w:sz w:val="20"/>
              </w:rPr>
              <w:t>0</w:t>
            </w:r>
            <w:r w:rsidR="00661121">
              <w:rPr>
                <w:rFonts w:asciiTheme="minorHAnsi" w:hAnsiTheme="minorHAnsi" w:cstheme="minorBidi"/>
                <w:b/>
                <w:bCs/>
                <w:noProof/>
                <w:sz w:val="20"/>
              </w:rPr>
              <w:t xml:space="preserve"> </w:t>
            </w:r>
            <w:r w:rsidR="00661121" w:rsidRPr="009C5C85">
              <w:rPr>
                <w:rFonts w:asciiTheme="minorHAnsi" w:hAnsiTheme="minorHAnsi" w:cstheme="minorBidi"/>
                <w:bCs/>
                <w:noProof/>
                <w:sz w:val="20"/>
              </w:rPr>
              <w:t>[MtCO2e] ([change as % of baseline])</w:t>
            </w:r>
          </w:p>
          <w:p w14:paraId="028B264F" w14:textId="56426331" w:rsidR="00A14107" w:rsidRPr="00DB1B5A" w:rsidRDefault="00DB1B5A" w:rsidP="009C5C85">
            <w:pPr>
              <w:jc w:val="center"/>
              <w:rPr>
                <w:rFonts w:asciiTheme="minorHAnsi" w:hAnsiTheme="minorHAnsi" w:cstheme="minorBidi"/>
                <w:b/>
                <w:bCs/>
                <w:noProof/>
                <w:sz w:val="20"/>
              </w:rPr>
            </w:pPr>
            <w:r>
              <w:rPr>
                <w:rFonts w:asciiTheme="minorHAnsi" w:hAnsiTheme="minorHAnsi" w:cstheme="minorBidi"/>
                <w:b/>
                <w:bCs/>
                <w:noProof/>
                <w:sz w:val="20"/>
              </w:rPr>
              <w:t>In 205</w:t>
            </w:r>
            <w:r w:rsidRPr="00DB1B5A">
              <w:rPr>
                <w:rFonts w:asciiTheme="minorHAnsi" w:hAnsiTheme="minorHAnsi" w:cstheme="minorBidi"/>
                <w:b/>
                <w:bCs/>
                <w:noProof/>
                <w:sz w:val="20"/>
              </w:rPr>
              <w:t>0</w:t>
            </w:r>
            <w:r w:rsidR="00661121">
              <w:rPr>
                <w:rFonts w:asciiTheme="minorHAnsi" w:hAnsiTheme="minorHAnsi" w:cstheme="minorBidi"/>
                <w:b/>
                <w:bCs/>
                <w:noProof/>
                <w:sz w:val="20"/>
              </w:rPr>
              <w:t xml:space="preserve"> </w:t>
            </w:r>
            <w:r w:rsidR="00661121" w:rsidRPr="009C5C85">
              <w:rPr>
                <w:rFonts w:asciiTheme="minorHAnsi" w:hAnsiTheme="minorHAnsi" w:cstheme="minorBidi"/>
                <w:bCs/>
                <w:noProof/>
                <w:sz w:val="20"/>
              </w:rPr>
              <w:t>[MtCO2e] ([change as % of baseline])</w:t>
            </w:r>
          </w:p>
        </w:tc>
        <w:tc>
          <w:tcPr>
            <w:tcW w:w="780" w:type="pct"/>
            <w:tcBorders>
              <w:bottom w:val="single" w:sz="4" w:space="0" w:color="auto"/>
            </w:tcBorders>
            <w:shd w:val="clear" w:color="auto" w:fill="FFC000"/>
          </w:tcPr>
          <w:p w14:paraId="3BE08880" w14:textId="77777777" w:rsidR="00E44278" w:rsidRDefault="00E44278" w:rsidP="009C5C85">
            <w:pPr>
              <w:jc w:val="center"/>
              <w:rPr>
                <w:rFonts w:asciiTheme="minorHAnsi" w:hAnsiTheme="minorHAnsi" w:cstheme="minorBidi"/>
                <w:b/>
                <w:bCs/>
                <w:noProof/>
                <w:sz w:val="20"/>
              </w:rPr>
            </w:pPr>
          </w:p>
          <w:p w14:paraId="0CFF8A70" w14:textId="5F64DF8A" w:rsidR="00DB1B5A" w:rsidRDefault="00661121" w:rsidP="009C5C85">
            <w:pPr>
              <w:jc w:val="center"/>
              <w:rPr>
                <w:rFonts w:asciiTheme="minorHAnsi" w:hAnsiTheme="minorHAnsi" w:cstheme="minorBidi"/>
                <w:b/>
                <w:bCs/>
                <w:noProof/>
                <w:sz w:val="20"/>
              </w:rPr>
            </w:pPr>
            <w:r>
              <w:rPr>
                <w:rFonts w:asciiTheme="minorHAnsi" w:hAnsiTheme="minorHAnsi" w:cstheme="minorBidi"/>
                <w:b/>
                <w:bCs/>
                <w:noProof/>
                <w:sz w:val="20"/>
              </w:rPr>
              <w:t>+2 (+5%)</w:t>
            </w:r>
          </w:p>
          <w:p w14:paraId="2F494B83" w14:textId="00F554E0" w:rsidR="00A14107" w:rsidRPr="009C5C85" w:rsidRDefault="00661121" w:rsidP="009C5C85">
            <w:pPr>
              <w:jc w:val="center"/>
              <w:rPr>
                <w:rFonts w:asciiTheme="minorHAnsi" w:hAnsiTheme="minorHAnsi" w:cstheme="minorBidi"/>
                <w:b/>
                <w:bCs/>
                <w:noProof/>
                <w:sz w:val="20"/>
              </w:rPr>
            </w:pPr>
            <w:r>
              <w:rPr>
                <w:rFonts w:asciiTheme="minorHAnsi" w:hAnsiTheme="minorHAnsi" w:cstheme="minorBidi"/>
                <w:b/>
                <w:bCs/>
                <w:noProof/>
                <w:sz w:val="20"/>
              </w:rPr>
              <w:t>-2 (-7%)</w:t>
            </w:r>
          </w:p>
        </w:tc>
        <w:tc>
          <w:tcPr>
            <w:tcW w:w="741" w:type="pct"/>
            <w:tcBorders>
              <w:bottom w:val="single" w:sz="4" w:space="0" w:color="auto"/>
            </w:tcBorders>
            <w:shd w:val="clear" w:color="auto" w:fill="92D050"/>
          </w:tcPr>
          <w:p w14:paraId="61EDE2A7" w14:textId="77777777" w:rsidR="00E44278" w:rsidRDefault="00E44278" w:rsidP="00661121">
            <w:pPr>
              <w:jc w:val="center"/>
              <w:rPr>
                <w:rFonts w:asciiTheme="minorHAnsi" w:hAnsiTheme="minorHAnsi" w:cstheme="minorBidi"/>
                <w:b/>
                <w:bCs/>
                <w:noProof/>
                <w:sz w:val="20"/>
              </w:rPr>
            </w:pPr>
          </w:p>
          <w:p w14:paraId="69EF6A0C" w14:textId="27E04619" w:rsidR="00661121" w:rsidRDefault="00661121" w:rsidP="00661121">
            <w:pPr>
              <w:jc w:val="center"/>
              <w:rPr>
                <w:rFonts w:asciiTheme="minorHAnsi" w:hAnsiTheme="minorHAnsi" w:cstheme="minorBidi"/>
                <w:b/>
                <w:bCs/>
                <w:noProof/>
                <w:sz w:val="20"/>
              </w:rPr>
            </w:pPr>
            <w:r>
              <w:rPr>
                <w:rFonts w:asciiTheme="minorHAnsi" w:hAnsiTheme="minorHAnsi" w:cstheme="minorBidi"/>
                <w:b/>
                <w:bCs/>
                <w:noProof/>
                <w:sz w:val="20"/>
              </w:rPr>
              <w:t>-7 (-16%)</w:t>
            </w:r>
          </w:p>
          <w:p w14:paraId="29E2BDE1" w14:textId="3640EB0F" w:rsidR="00A14107" w:rsidRPr="00553392" w:rsidDel="00561C77" w:rsidRDefault="00661121" w:rsidP="00661121">
            <w:pPr>
              <w:jc w:val="center"/>
              <w:rPr>
                <w:rFonts w:asciiTheme="minorHAnsi" w:hAnsiTheme="minorHAnsi" w:cstheme="minorBidi"/>
                <w:b/>
                <w:bCs/>
                <w:noProof/>
                <w:sz w:val="20"/>
              </w:rPr>
            </w:pPr>
            <w:r>
              <w:rPr>
                <w:rFonts w:asciiTheme="minorHAnsi" w:hAnsiTheme="minorHAnsi" w:cstheme="minorBidi"/>
                <w:b/>
                <w:bCs/>
                <w:noProof/>
                <w:sz w:val="20"/>
              </w:rPr>
              <w:t>-13 (-48%)</w:t>
            </w:r>
          </w:p>
        </w:tc>
        <w:tc>
          <w:tcPr>
            <w:tcW w:w="740" w:type="pct"/>
            <w:tcBorders>
              <w:bottom w:val="single" w:sz="4" w:space="0" w:color="auto"/>
            </w:tcBorders>
            <w:shd w:val="clear" w:color="auto" w:fill="92D050"/>
          </w:tcPr>
          <w:p w14:paraId="31BFD4B6" w14:textId="77777777" w:rsidR="00E44278" w:rsidRDefault="00E44278" w:rsidP="00DB1B5A">
            <w:pPr>
              <w:jc w:val="center"/>
              <w:rPr>
                <w:rFonts w:asciiTheme="minorHAnsi" w:hAnsiTheme="minorHAnsi" w:cstheme="minorBidi"/>
                <w:b/>
                <w:bCs/>
                <w:noProof/>
                <w:sz w:val="20"/>
              </w:rPr>
            </w:pPr>
          </w:p>
          <w:p w14:paraId="34BEF827" w14:textId="2FE6510B" w:rsidR="00661121" w:rsidRDefault="00661121" w:rsidP="00DB1B5A">
            <w:pPr>
              <w:jc w:val="center"/>
              <w:rPr>
                <w:rFonts w:asciiTheme="minorHAnsi" w:hAnsiTheme="minorHAnsi" w:cstheme="minorBidi"/>
                <w:b/>
                <w:bCs/>
                <w:noProof/>
                <w:sz w:val="20"/>
              </w:rPr>
            </w:pPr>
            <w:r>
              <w:rPr>
                <w:rFonts w:asciiTheme="minorHAnsi" w:hAnsiTheme="minorHAnsi" w:cstheme="minorBidi"/>
                <w:b/>
                <w:bCs/>
                <w:noProof/>
                <w:sz w:val="20"/>
              </w:rPr>
              <w:t>-8 (-18%)</w:t>
            </w:r>
          </w:p>
          <w:p w14:paraId="7A9B30AF" w14:textId="2AD861D2" w:rsidR="00A14107" w:rsidRPr="00553392" w:rsidRDefault="00661121" w:rsidP="00DB1B5A">
            <w:pPr>
              <w:jc w:val="center"/>
              <w:rPr>
                <w:rFonts w:asciiTheme="minorHAnsi" w:hAnsiTheme="minorHAnsi" w:cstheme="minorBidi"/>
                <w:b/>
                <w:bCs/>
                <w:noProof/>
                <w:sz w:val="20"/>
              </w:rPr>
            </w:pPr>
            <w:r>
              <w:rPr>
                <w:rFonts w:asciiTheme="minorHAnsi" w:hAnsiTheme="minorHAnsi" w:cstheme="minorBidi"/>
                <w:b/>
                <w:bCs/>
                <w:noProof/>
                <w:sz w:val="20"/>
              </w:rPr>
              <w:t>-14 (-52%)</w:t>
            </w:r>
          </w:p>
        </w:tc>
      </w:tr>
      <w:tr w:rsidR="00807E9D" w:rsidRPr="00A14107" w14:paraId="66C50BB3" w14:textId="77777777" w:rsidTr="00807E9D">
        <w:trPr>
          <w:cnfStyle w:val="000000010000" w:firstRow="0" w:lastRow="0" w:firstColumn="0" w:lastColumn="0" w:oddVBand="0" w:evenVBand="0" w:oddHBand="0" w:evenHBand="1" w:firstRowFirstColumn="0" w:firstRowLastColumn="0" w:lastRowFirstColumn="0" w:lastRowLastColumn="0"/>
          <w:trHeight w:val="340"/>
        </w:trPr>
        <w:tc>
          <w:tcPr>
            <w:tcW w:w="2739" w:type="pct"/>
            <w:tcBorders>
              <w:top w:val="single" w:sz="4" w:space="0" w:color="auto"/>
              <w:bottom w:val="single" w:sz="4" w:space="0" w:color="auto"/>
            </w:tcBorders>
          </w:tcPr>
          <w:p w14:paraId="708FA3E5" w14:textId="242C7659" w:rsidR="00807E9D" w:rsidRDefault="00807E9D" w:rsidP="00322072">
            <w:pPr>
              <w:spacing w:before="0"/>
              <w:rPr>
                <w:rFonts w:asciiTheme="minorHAnsi" w:hAnsiTheme="minorHAnsi"/>
                <w:b/>
                <w:bCs/>
                <w:noProof/>
                <w:sz w:val="20"/>
              </w:rPr>
            </w:pPr>
            <w:r>
              <w:rPr>
                <w:rFonts w:asciiTheme="minorHAnsi" w:hAnsiTheme="minorHAnsi"/>
                <w:b/>
                <w:bCs/>
                <w:noProof/>
                <w:sz w:val="20"/>
              </w:rPr>
              <w:t>Effectiveness on Protocol compliance, implementation, enforcement and monitoring</w:t>
            </w:r>
          </w:p>
        </w:tc>
        <w:tc>
          <w:tcPr>
            <w:tcW w:w="780" w:type="pct"/>
            <w:tcBorders>
              <w:top w:val="single" w:sz="4" w:space="0" w:color="auto"/>
              <w:bottom w:val="single" w:sz="4" w:space="0" w:color="auto"/>
            </w:tcBorders>
            <w:shd w:val="clear" w:color="auto" w:fill="92D050"/>
          </w:tcPr>
          <w:p w14:paraId="518F840C" w14:textId="1A468361" w:rsidR="00807E9D" w:rsidRDefault="00807E9D" w:rsidP="3982CBDC">
            <w:pPr>
              <w:jc w:val="center"/>
              <w:rPr>
                <w:rFonts w:asciiTheme="minorHAnsi" w:hAnsiTheme="minorHAnsi"/>
                <w:b/>
                <w:bCs/>
                <w:noProof/>
                <w:sz w:val="20"/>
              </w:rPr>
            </w:pPr>
            <w:r>
              <w:rPr>
                <w:rFonts w:asciiTheme="minorHAnsi" w:hAnsiTheme="minorHAnsi"/>
                <w:b/>
                <w:bCs/>
                <w:noProof/>
                <w:sz w:val="20"/>
              </w:rPr>
              <w:t>+</w:t>
            </w:r>
          </w:p>
        </w:tc>
        <w:tc>
          <w:tcPr>
            <w:tcW w:w="741" w:type="pct"/>
            <w:tcBorders>
              <w:top w:val="single" w:sz="4" w:space="0" w:color="auto"/>
              <w:bottom w:val="single" w:sz="4" w:space="0" w:color="auto"/>
            </w:tcBorders>
            <w:shd w:val="clear" w:color="auto" w:fill="92D050"/>
          </w:tcPr>
          <w:p w14:paraId="09C9A3F1" w14:textId="10A991C2" w:rsidR="00807E9D" w:rsidRPr="00807E9D" w:rsidRDefault="00807E9D" w:rsidP="3982CBDC">
            <w:pPr>
              <w:jc w:val="center"/>
              <w:rPr>
                <w:rFonts w:asciiTheme="minorHAnsi" w:hAnsiTheme="minorHAnsi"/>
                <w:b/>
                <w:bCs/>
                <w:noProof/>
                <w:color w:val="92D050"/>
                <w:sz w:val="20"/>
                <w:highlight w:val="yellow"/>
              </w:rPr>
            </w:pPr>
            <w:r w:rsidRPr="00807E9D">
              <w:rPr>
                <w:rFonts w:asciiTheme="minorHAnsi" w:hAnsiTheme="minorHAnsi"/>
                <w:b/>
                <w:bCs/>
                <w:noProof/>
                <w:color w:val="000000" w:themeColor="text1"/>
                <w:sz w:val="20"/>
              </w:rPr>
              <w:t>++</w:t>
            </w:r>
          </w:p>
        </w:tc>
        <w:tc>
          <w:tcPr>
            <w:tcW w:w="740" w:type="pct"/>
            <w:tcBorders>
              <w:top w:val="single" w:sz="4" w:space="0" w:color="auto"/>
              <w:bottom w:val="single" w:sz="4" w:space="0" w:color="auto"/>
            </w:tcBorders>
            <w:shd w:val="clear" w:color="auto" w:fill="92D050"/>
          </w:tcPr>
          <w:p w14:paraId="17A31764" w14:textId="3DAC1253" w:rsidR="00807E9D" w:rsidRDefault="00807E9D" w:rsidP="3982CBDC">
            <w:pPr>
              <w:jc w:val="center"/>
              <w:rPr>
                <w:rFonts w:asciiTheme="minorHAnsi" w:hAnsiTheme="minorHAnsi"/>
                <w:b/>
                <w:bCs/>
                <w:noProof/>
                <w:sz w:val="20"/>
              </w:rPr>
            </w:pPr>
            <w:r>
              <w:rPr>
                <w:rFonts w:asciiTheme="minorHAnsi" w:hAnsiTheme="minorHAnsi"/>
                <w:b/>
                <w:bCs/>
                <w:noProof/>
                <w:sz w:val="20"/>
              </w:rPr>
              <w:t>+++</w:t>
            </w:r>
          </w:p>
        </w:tc>
      </w:tr>
      <w:tr w:rsidR="000414F3" w:rsidRPr="00A14107" w14:paraId="6CFF4995" w14:textId="77777777" w:rsidTr="005D4198">
        <w:trPr>
          <w:cnfStyle w:val="000000100000" w:firstRow="0" w:lastRow="0" w:firstColumn="0" w:lastColumn="0" w:oddVBand="0" w:evenVBand="0" w:oddHBand="1" w:evenHBand="0" w:firstRowFirstColumn="0" w:firstRowLastColumn="0" w:lastRowFirstColumn="0" w:lastRowLastColumn="0"/>
          <w:trHeight w:val="340"/>
        </w:trPr>
        <w:tc>
          <w:tcPr>
            <w:tcW w:w="2739" w:type="pct"/>
            <w:tcBorders>
              <w:top w:val="single" w:sz="4" w:space="0" w:color="auto"/>
              <w:bottom w:val="single" w:sz="4" w:space="0" w:color="auto"/>
            </w:tcBorders>
          </w:tcPr>
          <w:p w14:paraId="75308B36" w14:textId="20380F86" w:rsidR="000414F3" w:rsidRPr="00553392" w:rsidRDefault="002D1BEC" w:rsidP="3982CBDC">
            <w:pPr>
              <w:rPr>
                <w:rFonts w:asciiTheme="minorHAnsi" w:hAnsiTheme="minorHAnsi"/>
                <w:b/>
                <w:bCs/>
                <w:noProof/>
                <w:sz w:val="20"/>
              </w:rPr>
            </w:pPr>
            <w:r>
              <w:rPr>
                <w:rFonts w:asciiTheme="minorHAnsi" w:hAnsiTheme="minorHAnsi"/>
                <w:b/>
                <w:bCs/>
                <w:noProof/>
                <w:sz w:val="20"/>
              </w:rPr>
              <w:t>2024-36</w:t>
            </w:r>
            <w:r w:rsidR="000414F3">
              <w:rPr>
                <w:rFonts w:asciiTheme="minorHAnsi" w:hAnsiTheme="minorHAnsi"/>
                <w:b/>
                <w:bCs/>
                <w:noProof/>
                <w:sz w:val="20"/>
              </w:rPr>
              <w:t xml:space="preserve"> Technological Adjustment costs</w:t>
            </w:r>
            <w:r w:rsidR="00C469DD">
              <w:rPr>
                <w:rFonts w:asciiTheme="minorHAnsi" w:hAnsiTheme="minorHAnsi"/>
                <w:b/>
                <w:bCs/>
                <w:noProof/>
                <w:sz w:val="20"/>
              </w:rPr>
              <w:t xml:space="preserve"> </w:t>
            </w:r>
            <w:r w:rsidR="00C469DD" w:rsidRPr="00C469DD">
              <w:rPr>
                <w:rFonts w:asciiTheme="minorHAnsi" w:hAnsiTheme="minorHAnsi"/>
                <w:bCs/>
                <w:noProof/>
                <w:sz w:val="20"/>
              </w:rPr>
              <w:t>[Mio €/year]</w:t>
            </w:r>
          </w:p>
        </w:tc>
        <w:tc>
          <w:tcPr>
            <w:tcW w:w="780" w:type="pct"/>
            <w:tcBorders>
              <w:top w:val="single" w:sz="4" w:space="0" w:color="auto"/>
              <w:bottom w:val="single" w:sz="4" w:space="0" w:color="auto"/>
            </w:tcBorders>
            <w:shd w:val="clear" w:color="auto" w:fill="FFFFFF" w:themeFill="background1"/>
          </w:tcPr>
          <w:p w14:paraId="62598BBA" w14:textId="366CE45F" w:rsidR="002D1BEC" w:rsidRPr="00553392" w:rsidRDefault="000414F3" w:rsidP="00807E9D">
            <w:pPr>
              <w:jc w:val="center"/>
              <w:rPr>
                <w:rFonts w:asciiTheme="minorHAnsi" w:hAnsiTheme="minorHAnsi"/>
                <w:b/>
                <w:bCs/>
                <w:noProof/>
                <w:sz w:val="20"/>
              </w:rPr>
            </w:pPr>
            <w:r>
              <w:rPr>
                <w:rFonts w:asciiTheme="minorHAnsi" w:hAnsiTheme="minorHAnsi"/>
                <w:b/>
                <w:bCs/>
                <w:noProof/>
                <w:sz w:val="20"/>
              </w:rPr>
              <w:t>2</w:t>
            </w:r>
            <w:r w:rsidR="002D1BEC">
              <w:rPr>
                <w:rFonts w:asciiTheme="minorHAnsi" w:hAnsiTheme="minorHAnsi"/>
                <w:b/>
                <w:bCs/>
                <w:noProof/>
                <w:sz w:val="20"/>
              </w:rPr>
              <w:t xml:space="preserve"> </w:t>
            </w:r>
          </w:p>
        </w:tc>
        <w:tc>
          <w:tcPr>
            <w:tcW w:w="741" w:type="pct"/>
            <w:tcBorders>
              <w:top w:val="single" w:sz="4" w:space="0" w:color="auto"/>
              <w:bottom w:val="single" w:sz="4" w:space="0" w:color="auto"/>
            </w:tcBorders>
            <w:shd w:val="clear" w:color="auto" w:fill="FFFF00"/>
          </w:tcPr>
          <w:p w14:paraId="20525B2E" w14:textId="53FFF3B8" w:rsidR="002D1BEC" w:rsidRPr="006A49F5" w:rsidRDefault="00807E9D" w:rsidP="00807E9D">
            <w:pPr>
              <w:jc w:val="center"/>
              <w:rPr>
                <w:rFonts w:asciiTheme="minorHAnsi" w:hAnsiTheme="minorHAnsi"/>
                <w:b/>
                <w:bCs/>
                <w:noProof/>
                <w:sz w:val="20"/>
                <w:highlight w:val="yellow"/>
              </w:rPr>
            </w:pPr>
            <w:r>
              <w:rPr>
                <w:rFonts w:asciiTheme="minorHAnsi" w:hAnsiTheme="minorHAnsi"/>
                <w:b/>
                <w:bCs/>
                <w:noProof/>
                <w:sz w:val="20"/>
                <w:highlight w:val="yellow"/>
              </w:rPr>
              <w:t>12</w:t>
            </w:r>
          </w:p>
        </w:tc>
        <w:tc>
          <w:tcPr>
            <w:tcW w:w="740" w:type="pct"/>
            <w:tcBorders>
              <w:top w:val="single" w:sz="4" w:space="0" w:color="auto"/>
              <w:bottom w:val="single" w:sz="4" w:space="0" w:color="auto"/>
            </w:tcBorders>
            <w:shd w:val="clear" w:color="auto" w:fill="FFC000"/>
          </w:tcPr>
          <w:p w14:paraId="1280A9D0" w14:textId="7AF7F89A" w:rsidR="002D1BEC" w:rsidRPr="00553392" w:rsidRDefault="00807E9D" w:rsidP="00807E9D">
            <w:pPr>
              <w:jc w:val="center"/>
              <w:rPr>
                <w:rFonts w:asciiTheme="minorHAnsi" w:hAnsiTheme="minorHAnsi"/>
                <w:b/>
                <w:bCs/>
                <w:noProof/>
                <w:sz w:val="20"/>
              </w:rPr>
            </w:pPr>
            <w:r>
              <w:rPr>
                <w:rFonts w:asciiTheme="minorHAnsi" w:hAnsiTheme="minorHAnsi"/>
                <w:b/>
                <w:bCs/>
                <w:noProof/>
                <w:sz w:val="20"/>
              </w:rPr>
              <w:t>113</w:t>
            </w:r>
          </w:p>
        </w:tc>
      </w:tr>
      <w:tr w:rsidR="00B14E24" w:rsidRPr="00A14107" w14:paraId="43278F01" w14:textId="77777777" w:rsidTr="005D4198">
        <w:trPr>
          <w:cnfStyle w:val="000000010000" w:firstRow="0" w:lastRow="0" w:firstColumn="0" w:lastColumn="0" w:oddVBand="0" w:evenVBand="0" w:oddHBand="0" w:evenHBand="1" w:firstRowFirstColumn="0" w:firstRowLastColumn="0" w:lastRowFirstColumn="0" w:lastRowLastColumn="0"/>
          <w:trHeight w:val="340"/>
        </w:trPr>
        <w:tc>
          <w:tcPr>
            <w:tcW w:w="2739" w:type="pct"/>
            <w:tcBorders>
              <w:top w:val="single" w:sz="4" w:space="0" w:color="auto"/>
              <w:bottom w:val="single" w:sz="4" w:space="0" w:color="auto"/>
            </w:tcBorders>
          </w:tcPr>
          <w:p w14:paraId="11DB2858" w14:textId="6EE1E22E" w:rsidR="00B14E24" w:rsidRPr="00553392" w:rsidRDefault="00841DEC" w:rsidP="3982CBDC">
            <w:pPr>
              <w:rPr>
                <w:rFonts w:asciiTheme="minorHAnsi" w:hAnsiTheme="minorHAnsi" w:cstheme="minorBidi"/>
                <w:b/>
                <w:bCs/>
                <w:noProof/>
                <w:sz w:val="20"/>
              </w:rPr>
            </w:pPr>
            <w:r w:rsidRPr="00553392">
              <w:rPr>
                <w:rFonts w:asciiTheme="minorHAnsi" w:hAnsiTheme="minorHAnsi" w:cstheme="minorBidi"/>
                <w:b/>
                <w:bCs/>
                <w:noProof/>
                <w:sz w:val="20"/>
              </w:rPr>
              <w:t>20</w:t>
            </w:r>
            <w:r w:rsidR="002D1BEC">
              <w:rPr>
                <w:rFonts w:asciiTheme="minorHAnsi" w:hAnsiTheme="minorHAnsi" w:cstheme="minorBidi"/>
                <w:b/>
                <w:bCs/>
                <w:noProof/>
                <w:sz w:val="20"/>
              </w:rPr>
              <w:t>24-36</w:t>
            </w:r>
            <w:r w:rsidRPr="00553392">
              <w:rPr>
                <w:rFonts w:asciiTheme="minorHAnsi" w:hAnsiTheme="minorHAnsi" w:cstheme="minorBidi"/>
                <w:b/>
                <w:bCs/>
                <w:noProof/>
                <w:sz w:val="20"/>
              </w:rPr>
              <w:t xml:space="preserve"> </w:t>
            </w:r>
            <w:r w:rsidR="3982CBDC" w:rsidRPr="00553392">
              <w:rPr>
                <w:rFonts w:asciiTheme="minorHAnsi" w:hAnsiTheme="minorHAnsi" w:cstheme="minorBidi"/>
                <w:b/>
                <w:bCs/>
                <w:noProof/>
                <w:sz w:val="20"/>
              </w:rPr>
              <w:t>Total Adjustment costs (includes distributional costs due to HFC price premium)</w:t>
            </w:r>
            <w:r w:rsidR="00C469DD">
              <w:rPr>
                <w:rFonts w:asciiTheme="minorHAnsi" w:hAnsiTheme="minorHAnsi" w:cstheme="minorBidi"/>
                <w:b/>
                <w:bCs/>
                <w:noProof/>
                <w:sz w:val="20"/>
              </w:rPr>
              <w:t xml:space="preserve"> </w:t>
            </w:r>
            <w:r w:rsidR="00C469DD" w:rsidRPr="00C469DD">
              <w:rPr>
                <w:rFonts w:asciiTheme="minorHAnsi" w:hAnsiTheme="minorHAnsi" w:cstheme="minorBidi"/>
                <w:bCs/>
                <w:noProof/>
                <w:sz w:val="20"/>
              </w:rPr>
              <w:t>[Mio €/year]</w:t>
            </w:r>
          </w:p>
        </w:tc>
        <w:tc>
          <w:tcPr>
            <w:tcW w:w="780" w:type="pct"/>
            <w:tcBorders>
              <w:top w:val="single" w:sz="4" w:space="0" w:color="auto"/>
              <w:bottom w:val="single" w:sz="4" w:space="0" w:color="auto"/>
            </w:tcBorders>
            <w:shd w:val="clear" w:color="auto" w:fill="FFFF00"/>
          </w:tcPr>
          <w:p w14:paraId="1FA7635B" w14:textId="3741FCE4" w:rsidR="00B14E24" w:rsidRPr="00553392" w:rsidRDefault="00807E9D" w:rsidP="00807E9D">
            <w:pPr>
              <w:jc w:val="center"/>
              <w:rPr>
                <w:rFonts w:asciiTheme="minorHAnsi" w:hAnsiTheme="minorHAnsi" w:cstheme="minorBidi"/>
                <w:b/>
                <w:bCs/>
                <w:noProof/>
                <w:sz w:val="20"/>
              </w:rPr>
            </w:pPr>
            <w:r>
              <w:rPr>
                <w:rFonts w:asciiTheme="minorHAnsi" w:hAnsiTheme="minorHAnsi" w:cstheme="minorBidi"/>
                <w:b/>
                <w:bCs/>
                <w:noProof/>
                <w:sz w:val="20"/>
              </w:rPr>
              <w:t>212</w:t>
            </w:r>
          </w:p>
        </w:tc>
        <w:tc>
          <w:tcPr>
            <w:tcW w:w="741" w:type="pct"/>
            <w:tcBorders>
              <w:top w:val="single" w:sz="4" w:space="0" w:color="auto"/>
              <w:bottom w:val="single" w:sz="4" w:space="0" w:color="auto"/>
            </w:tcBorders>
            <w:shd w:val="clear" w:color="auto" w:fill="FFC000"/>
          </w:tcPr>
          <w:p w14:paraId="739B540D" w14:textId="70A9E84F" w:rsidR="00B14E24" w:rsidRPr="00553392" w:rsidRDefault="00807E9D" w:rsidP="00807E9D">
            <w:pPr>
              <w:jc w:val="center"/>
              <w:rPr>
                <w:rFonts w:asciiTheme="minorHAnsi" w:hAnsiTheme="minorHAnsi" w:cstheme="minorBidi"/>
                <w:b/>
                <w:bCs/>
                <w:noProof/>
                <w:sz w:val="20"/>
              </w:rPr>
            </w:pPr>
            <w:r>
              <w:rPr>
                <w:rFonts w:asciiTheme="minorHAnsi" w:hAnsiTheme="minorHAnsi" w:cstheme="minorBidi"/>
                <w:b/>
                <w:bCs/>
                <w:noProof/>
                <w:sz w:val="20"/>
              </w:rPr>
              <w:t>421</w:t>
            </w:r>
          </w:p>
        </w:tc>
        <w:tc>
          <w:tcPr>
            <w:tcW w:w="740" w:type="pct"/>
            <w:tcBorders>
              <w:top w:val="single" w:sz="4" w:space="0" w:color="auto"/>
              <w:bottom w:val="single" w:sz="4" w:space="0" w:color="auto"/>
            </w:tcBorders>
            <w:shd w:val="clear" w:color="auto" w:fill="FFC000"/>
          </w:tcPr>
          <w:p w14:paraId="28F46731" w14:textId="23A3F4FB" w:rsidR="00B14E24" w:rsidRPr="00807E9D" w:rsidRDefault="00807E9D" w:rsidP="00807E9D">
            <w:pPr>
              <w:jc w:val="center"/>
              <w:rPr>
                <w:rFonts w:asciiTheme="minorHAnsi" w:hAnsiTheme="minorHAnsi" w:cstheme="minorBidi"/>
                <w:b/>
                <w:bCs/>
                <w:noProof/>
                <w:sz w:val="20"/>
              </w:rPr>
            </w:pPr>
            <w:r>
              <w:rPr>
                <w:rFonts w:asciiTheme="minorHAnsi" w:hAnsiTheme="minorHAnsi" w:cstheme="minorBidi"/>
                <w:b/>
                <w:bCs/>
                <w:noProof/>
                <w:sz w:val="20"/>
              </w:rPr>
              <w:t>557</w:t>
            </w:r>
          </w:p>
        </w:tc>
      </w:tr>
      <w:tr w:rsidR="00B14E24" w:rsidRPr="00A14107" w14:paraId="58F24BF1" w14:textId="77777777" w:rsidTr="005D4198">
        <w:trPr>
          <w:cnfStyle w:val="000000100000" w:firstRow="0" w:lastRow="0" w:firstColumn="0" w:lastColumn="0" w:oddVBand="0" w:evenVBand="0" w:oddHBand="1" w:evenHBand="0" w:firstRowFirstColumn="0" w:firstRowLastColumn="0" w:lastRowFirstColumn="0" w:lastRowLastColumn="0"/>
          <w:trHeight w:val="340"/>
        </w:trPr>
        <w:tc>
          <w:tcPr>
            <w:tcW w:w="2739" w:type="pct"/>
            <w:tcBorders>
              <w:top w:val="single" w:sz="4" w:space="0" w:color="auto"/>
              <w:bottom w:val="single" w:sz="4" w:space="0" w:color="auto"/>
            </w:tcBorders>
          </w:tcPr>
          <w:p w14:paraId="4FD07296" w14:textId="50AA1BF9" w:rsidR="00B14E24" w:rsidRPr="00553392" w:rsidRDefault="00841DEC" w:rsidP="00F24D0C">
            <w:pPr>
              <w:rPr>
                <w:rFonts w:asciiTheme="minorHAnsi" w:hAnsiTheme="minorHAnsi" w:cstheme="minorBidi"/>
                <w:b/>
                <w:bCs/>
                <w:noProof/>
                <w:sz w:val="20"/>
              </w:rPr>
            </w:pPr>
            <w:r w:rsidRPr="00553392">
              <w:rPr>
                <w:rFonts w:asciiTheme="minorHAnsi" w:hAnsiTheme="minorHAnsi" w:cstheme="minorBidi"/>
                <w:b/>
                <w:bCs/>
                <w:noProof/>
                <w:sz w:val="20"/>
              </w:rPr>
              <w:t>20</w:t>
            </w:r>
            <w:r w:rsidR="002D1BEC">
              <w:rPr>
                <w:rFonts w:asciiTheme="minorHAnsi" w:hAnsiTheme="minorHAnsi" w:cstheme="minorBidi"/>
                <w:b/>
                <w:bCs/>
                <w:noProof/>
                <w:sz w:val="20"/>
              </w:rPr>
              <w:t>24-36</w:t>
            </w:r>
            <w:r w:rsidRPr="00553392">
              <w:rPr>
                <w:rFonts w:asciiTheme="minorHAnsi" w:hAnsiTheme="minorHAnsi" w:cstheme="minorBidi"/>
                <w:b/>
                <w:bCs/>
                <w:noProof/>
                <w:sz w:val="20"/>
              </w:rPr>
              <w:t xml:space="preserve"> </w:t>
            </w:r>
            <w:r w:rsidR="3982CBDC" w:rsidRPr="00553392">
              <w:rPr>
                <w:rFonts w:asciiTheme="minorHAnsi" w:hAnsiTheme="minorHAnsi" w:cstheme="minorBidi"/>
                <w:b/>
                <w:bCs/>
                <w:noProof/>
                <w:sz w:val="20"/>
              </w:rPr>
              <w:t>Emission reduction costs</w:t>
            </w:r>
            <w:r w:rsidR="00896A28">
              <w:rPr>
                <w:rFonts w:asciiTheme="minorHAnsi" w:hAnsiTheme="minorHAnsi" w:cstheme="minorBidi"/>
                <w:b/>
                <w:bCs/>
                <w:noProof/>
                <w:sz w:val="20"/>
              </w:rPr>
              <w:t>, (all sectors</w:t>
            </w:r>
            <w:r w:rsidR="00F24D0C">
              <w:rPr>
                <w:rFonts w:asciiTheme="minorHAnsi" w:hAnsiTheme="minorHAnsi" w:cstheme="minorBidi"/>
                <w:b/>
                <w:bCs/>
                <w:noProof/>
                <w:sz w:val="20"/>
              </w:rPr>
              <w:t>,</w:t>
            </w:r>
            <w:r w:rsidR="00896A28">
              <w:rPr>
                <w:rFonts w:asciiTheme="minorHAnsi" w:hAnsiTheme="minorHAnsi" w:cstheme="minorBidi"/>
                <w:b/>
                <w:bCs/>
                <w:noProof/>
                <w:sz w:val="20"/>
              </w:rPr>
              <w:t xml:space="preserve"> </w:t>
            </w:r>
            <w:r w:rsidR="3982CBDC" w:rsidRPr="00553392">
              <w:rPr>
                <w:rFonts w:asciiTheme="minorHAnsi" w:hAnsiTheme="minorHAnsi" w:cstheme="minorBidi"/>
                <w:b/>
                <w:bCs/>
                <w:noProof/>
                <w:sz w:val="20"/>
              </w:rPr>
              <w:t>based on technological adjustment)</w:t>
            </w:r>
            <w:r w:rsidR="00C469DD" w:rsidRPr="00C469DD">
              <w:rPr>
                <w:rFonts w:asciiTheme="minorHAnsi" w:eastAsiaTheme="minorHAnsi" w:hAnsiTheme="minorHAnsi" w:cstheme="minorBidi"/>
                <w:b/>
                <w:bCs/>
                <w:noProof/>
                <w:sz w:val="20"/>
                <w:szCs w:val="22"/>
                <w:lang w:eastAsia="en-US"/>
              </w:rPr>
              <w:t xml:space="preserve"> </w:t>
            </w:r>
            <w:r w:rsidR="00C469DD" w:rsidRPr="00C469DD">
              <w:rPr>
                <w:rFonts w:asciiTheme="minorHAnsi" w:eastAsiaTheme="minorHAnsi" w:hAnsiTheme="minorHAnsi" w:cstheme="minorBidi"/>
                <w:bCs/>
                <w:noProof/>
                <w:sz w:val="20"/>
                <w:szCs w:val="22"/>
                <w:lang w:eastAsia="en-US"/>
              </w:rPr>
              <w:t>[</w:t>
            </w:r>
            <w:r w:rsidR="00C469DD" w:rsidRPr="00C469DD">
              <w:rPr>
                <w:rFonts w:asciiTheme="minorHAnsi" w:hAnsiTheme="minorHAnsi" w:cstheme="minorBidi"/>
                <w:bCs/>
                <w:noProof/>
                <w:sz w:val="20"/>
              </w:rPr>
              <w:t>€/tCO2e]</w:t>
            </w:r>
          </w:p>
        </w:tc>
        <w:tc>
          <w:tcPr>
            <w:tcW w:w="780" w:type="pct"/>
            <w:tcBorders>
              <w:top w:val="single" w:sz="4" w:space="0" w:color="auto"/>
              <w:bottom w:val="single" w:sz="4" w:space="0" w:color="auto"/>
            </w:tcBorders>
            <w:shd w:val="clear" w:color="auto" w:fill="FFFFFF" w:themeFill="background1"/>
          </w:tcPr>
          <w:p w14:paraId="0AC8D63D" w14:textId="3EB25697" w:rsidR="00B14E24" w:rsidRPr="00807E9D" w:rsidRDefault="00473DEB" w:rsidP="00807E9D">
            <w:pPr>
              <w:jc w:val="center"/>
              <w:rPr>
                <w:rFonts w:asciiTheme="minorHAnsi" w:hAnsiTheme="minorHAnsi" w:cstheme="minorBidi"/>
                <w:b/>
                <w:bCs/>
                <w:noProof/>
                <w:sz w:val="20"/>
              </w:rPr>
            </w:pPr>
            <w:r w:rsidRPr="00553392">
              <w:rPr>
                <w:rFonts w:asciiTheme="minorHAnsi" w:hAnsiTheme="minorHAnsi" w:cstheme="minorBidi"/>
                <w:b/>
                <w:bCs/>
                <w:noProof/>
                <w:sz w:val="20"/>
              </w:rPr>
              <w:t>N/A</w:t>
            </w:r>
          </w:p>
        </w:tc>
        <w:tc>
          <w:tcPr>
            <w:tcW w:w="741" w:type="pct"/>
            <w:tcBorders>
              <w:top w:val="single" w:sz="4" w:space="0" w:color="auto"/>
              <w:bottom w:val="single" w:sz="4" w:space="0" w:color="auto"/>
            </w:tcBorders>
            <w:shd w:val="clear" w:color="auto" w:fill="92D050"/>
          </w:tcPr>
          <w:p w14:paraId="55CF8B4B" w14:textId="5AAC1415" w:rsidR="00B14E24" w:rsidRPr="00553392" w:rsidRDefault="000414F3" w:rsidP="00C469DD">
            <w:pPr>
              <w:jc w:val="center"/>
              <w:rPr>
                <w:rFonts w:asciiTheme="minorHAnsi" w:hAnsiTheme="minorHAnsi" w:cstheme="minorBidi"/>
                <w:b/>
                <w:bCs/>
                <w:noProof/>
                <w:sz w:val="20"/>
              </w:rPr>
            </w:pPr>
            <w:r>
              <w:rPr>
                <w:rFonts w:asciiTheme="minorHAnsi" w:hAnsiTheme="minorHAnsi" w:cstheme="minorBidi"/>
                <w:b/>
                <w:bCs/>
                <w:noProof/>
                <w:sz w:val="20"/>
              </w:rPr>
              <w:t>-36</w:t>
            </w:r>
          </w:p>
        </w:tc>
        <w:tc>
          <w:tcPr>
            <w:tcW w:w="740" w:type="pct"/>
            <w:tcBorders>
              <w:top w:val="single" w:sz="4" w:space="0" w:color="auto"/>
              <w:bottom w:val="single" w:sz="4" w:space="0" w:color="auto"/>
            </w:tcBorders>
            <w:shd w:val="clear" w:color="auto" w:fill="92D050"/>
          </w:tcPr>
          <w:p w14:paraId="161FB1BD" w14:textId="5C1F7175" w:rsidR="00B14E24" w:rsidRPr="00553392" w:rsidRDefault="000414F3" w:rsidP="00C469DD">
            <w:pPr>
              <w:jc w:val="center"/>
              <w:rPr>
                <w:rFonts w:asciiTheme="minorHAnsi" w:hAnsiTheme="minorHAnsi" w:cstheme="minorBidi"/>
                <w:b/>
                <w:bCs/>
                <w:noProof/>
                <w:sz w:val="20"/>
              </w:rPr>
            </w:pPr>
            <w:r>
              <w:rPr>
                <w:rFonts w:asciiTheme="minorHAnsi" w:hAnsiTheme="minorHAnsi" w:cstheme="minorBidi"/>
                <w:b/>
                <w:bCs/>
                <w:noProof/>
                <w:sz w:val="20"/>
              </w:rPr>
              <w:t>-23</w:t>
            </w:r>
          </w:p>
        </w:tc>
      </w:tr>
      <w:tr w:rsidR="00C469DD" w:rsidRPr="00A14107" w14:paraId="128B129F" w14:textId="77777777" w:rsidTr="006A49F5">
        <w:trPr>
          <w:cnfStyle w:val="000000010000" w:firstRow="0" w:lastRow="0" w:firstColumn="0" w:lastColumn="0" w:oddVBand="0" w:evenVBand="0" w:oddHBand="0" w:evenHBand="1" w:firstRowFirstColumn="0" w:firstRowLastColumn="0" w:lastRowFirstColumn="0" w:lastRowLastColumn="0"/>
          <w:trHeight w:val="340"/>
        </w:trPr>
        <w:tc>
          <w:tcPr>
            <w:tcW w:w="2739" w:type="pct"/>
            <w:tcBorders>
              <w:top w:val="single" w:sz="4" w:space="0" w:color="auto"/>
              <w:bottom w:val="single" w:sz="4" w:space="0" w:color="auto"/>
            </w:tcBorders>
            <w:shd w:val="clear" w:color="auto" w:fill="DEEAF6"/>
          </w:tcPr>
          <w:p w14:paraId="25A947DE" w14:textId="138740A5" w:rsidR="00C469DD" w:rsidRPr="00553392" w:rsidRDefault="00C469DD" w:rsidP="00C469DD">
            <w:pPr>
              <w:rPr>
                <w:rFonts w:asciiTheme="minorHAnsi" w:hAnsiTheme="minorHAnsi"/>
                <w:b/>
                <w:bCs/>
                <w:noProof/>
                <w:sz w:val="20"/>
              </w:rPr>
            </w:pPr>
            <w:r>
              <w:rPr>
                <w:rFonts w:asciiTheme="minorHAnsi" w:hAnsiTheme="minorHAnsi"/>
                <w:b/>
                <w:bCs/>
                <w:noProof/>
                <w:sz w:val="20"/>
              </w:rPr>
              <w:t>Highest marginal abatement costs in sub-sectors (2050)</w:t>
            </w:r>
            <w:r w:rsidR="00896A28">
              <w:rPr>
                <w:rFonts w:asciiTheme="minorHAnsi" w:hAnsiTheme="minorHAnsi"/>
                <w:b/>
                <w:bCs/>
                <w:noProof/>
                <w:sz w:val="20"/>
              </w:rPr>
              <w:t xml:space="preserve"> </w:t>
            </w:r>
            <w:r w:rsidR="00896A28" w:rsidRPr="00C469DD">
              <w:rPr>
                <w:rFonts w:asciiTheme="minorHAnsi" w:eastAsiaTheme="minorHAnsi" w:hAnsiTheme="minorHAnsi" w:cstheme="minorBidi"/>
                <w:bCs/>
                <w:noProof/>
                <w:sz w:val="20"/>
                <w:szCs w:val="22"/>
                <w:lang w:eastAsia="en-US"/>
              </w:rPr>
              <w:t>[</w:t>
            </w:r>
            <w:r w:rsidR="00896A28" w:rsidRPr="00C469DD">
              <w:rPr>
                <w:rFonts w:asciiTheme="minorHAnsi" w:hAnsiTheme="minorHAnsi" w:cstheme="minorBidi"/>
                <w:bCs/>
                <w:noProof/>
                <w:sz w:val="20"/>
              </w:rPr>
              <w:t>€/tCO2e]</w:t>
            </w:r>
          </w:p>
        </w:tc>
        <w:tc>
          <w:tcPr>
            <w:tcW w:w="780" w:type="pct"/>
            <w:tcBorders>
              <w:top w:val="single" w:sz="4" w:space="0" w:color="auto"/>
              <w:bottom w:val="single" w:sz="4" w:space="0" w:color="auto"/>
            </w:tcBorders>
            <w:shd w:val="clear" w:color="auto" w:fill="92D050"/>
          </w:tcPr>
          <w:p w14:paraId="6A36E36B" w14:textId="7F0B2EBC" w:rsidR="00C469DD" w:rsidRDefault="00C469DD" w:rsidP="00C469DD">
            <w:pPr>
              <w:jc w:val="center"/>
              <w:rPr>
                <w:rFonts w:asciiTheme="minorHAnsi" w:hAnsiTheme="minorHAnsi"/>
                <w:b/>
                <w:bCs/>
                <w:noProof/>
                <w:sz w:val="20"/>
              </w:rPr>
            </w:pPr>
            <w:r>
              <w:rPr>
                <w:rFonts w:asciiTheme="minorHAnsi" w:hAnsiTheme="minorHAnsi"/>
                <w:b/>
                <w:bCs/>
                <w:noProof/>
                <w:sz w:val="20"/>
              </w:rPr>
              <w:t>-48</w:t>
            </w:r>
          </w:p>
        </w:tc>
        <w:tc>
          <w:tcPr>
            <w:tcW w:w="741" w:type="pct"/>
            <w:tcBorders>
              <w:top w:val="single" w:sz="4" w:space="0" w:color="auto"/>
              <w:bottom w:val="single" w:sz="4" w:space="0" w:color="auto"/>
            </w:tcBorders>
            <w:shd w:val="clear" w:color="auto" w:fill="FFFF00"/>
          </w:tcPr>
          <w:p w14:paraId="56BF5C8E" w14:textId="05D33A1E" w:rsidR="00C469DD" w:rsidRDefault="005A19FF" w:rsidP="00C469DD">
            <w:pPr>
              <w:jc w:val="center"/>
              <w:rPr>
                <w:rFonts w:asciiTheme="minorHAnsi" w:hAnsiTheme="minorHAnsi"/>
                <w:b/>
                <w:bCs/>
                <w:noProof/>
                <w:sz w:val="20"/>
              </w:rPr>
            </w:pPr>
            <w:r>
              <w:rPr>
                <w:rFonts w:asciiTheme="minorHAnsi" w:hAnsiTheme="minorHAnsi"/>
                <w:b/>
                <w:bCs/>
                <w:noProof/>
                <w:sz w:val="20"/>
              </w:rPr>
              <w:t>336</w:t>
            </w:r>
          </w:p>
        </w:tc>
        <w:tc>
          <w:tcPr>
            <w:tcW w:w="740" w:type="pct"/>
            <w:tcBorders>
              <w:top w:val="single" w:sz="4" w:space="0" w:color="auto"/>
              <w:bottom w:val="single" w:sz="4" w:space="0" w:color="auto"/>
            </w:tcBorders>
            <w:shd w:val="clear" w:color="auto" w:fill="FFC000"/>
          </w:tcPr>
          <w:p w14:paraId="064EA7E1" w14:textId="32EBA035" w:rsidR="00C469DD" w:rsidRDefault="005A19FF" w:rsidP="00C469DD">
            <w:pPr>
              <w:jc w:val="center"/>
              <w:rPr>
                <w:rFonts w:asciiTheme="minorHAnsi" w:hAnsiTheme="minorHAnsi"/>
                <w:b/>
                <w:bCs/>
                <w:noProof/>
                <w:sz w:val="20"/>
              </w:rPr>
            </w:pPr>
            <w:r>
              <w:rPr>
                <w:rFonts w:asciiTheme="minorHAnsi" w:hAnsiTheme="minorHAnsi"/>
                <w:b/>
                <w:bCs/>
                <w:noProof/>
                <w:sz w:val="20"/>
              </w:rPr>
              <w:t>2,111</w:t>
            </w:r>
          </w:p>
        </w:tc>
      </w:tr>
      <w:tr w:rsidR="00C469DD" w:rsidRPr="00A14107" w14:paraId="36B04830" w14:textId="77777777" w:rsidTr="00322072">
        <w:trPr>
          <w:cnfStyle w:val="000000100000" w:firstRow="0" w:lastRow="0" w:firstColumn="0" w:lastColumn="0" w:oddVBand="0" w:evenVBand="0" w:oddHBand="1" w:evenHBand="0" w:firstRowFirstColumn="0" w:firstRowLastColumn="0" w:lastRowFirstColumn="0" w:lastRowLastColumn="0"/>
          <w:trHeight w:val="475"/>
        </w:trPr>
        <w:tc>
          <w:tcPr>
            <w:tcW w:w="0" w:type="pct"/>
            <w:tcBorders>
              <w:top w:val="single" w:sz="4" w:space="0" w:color="auto"/>
              <w:bottom w:val="single" w:sz="4" w:space="0" w:color="auto"/>
            </w:tcBorders>
            <w:shd w:val="clear" w:color="auto" w:fill="DEEAF6"/>
          </w:tcPr>
          <w:p w14:paraId="5C7CDF4D" w14:textId="7C70E9A3" w:rsidR="00521CBF" w:rsidRPr="000F1FF1" w:rsidRDefault="000F1FF1" w:rsidP="000F1FF1">
            <w:pPr>
              <w:spacing w:before="0"/>
              <w:rPr>
                <w:rFonts w:asciiTheme="minorHAnsi" w:hAnsiTheme="minorHAnsi"/>
                <w:noProof/>
                <w:sz w:val="20"/>
              </w:rPr>
            </w:pPr>
            <w:r>
              <w:rPr>
                <w:rFonts w:asciiTheme="minorHAnsi" w:hAnsiTheme="minorHAnsi" w:cstheme="minorBidi"/>
                <w:b/>
                <w:bCs/>
                <w:noProof/>
                <w:sz w:val="20"/>
              </w:rPr>
              <w:t>Net a</w:t>
            </w:r>
            <w:r w:rsidR="00C469DD" w:rsidRPr="00553392">
              <w:rPr>
                <w:rFonts w:asciiTheme="minorHAnsi" w:hAnsiTheme="minorHAnsi" w:cstheme="minorBidi"/>
                <w:b/>
                <w:bCs/>
                <w:noProof/>
                <w:sz w:val="20"/>
              </w:rPr>
              <w:t>dministrative costs</w:t>
            </w:r>
            <w:r w:rsidR="00C469DD" w:rsidRPr="00553392">
              <w:rPr>
                <w:rFonts w:asciiTheme="minorHAnsi" w:hAnsiTheme="minorHAnsi" w:cstheme="minorBidi"/>
                <w:noProof/>
                <w:sz w:val="20"/>
              </w:rPr>
              <w:t xml:space="preserve"> </w:t>
            </w:r>
            <w:r w:rsidR="00C469DD" w:rsidRPr="00553392">
              <w:rPr>
                <w:rFonts w:asciiTheme="minorHAnsi" w:hAnsiTheme="minorHAnsi" w:cstheme="minorBidi"/>
                <w:b/>
                <w:noProof/>
                <w:sz w:val="20"/>
              </w:rPr>
              <w:t>for undertakings</w:t>
            </w:r>
            <w:r w:rsidR="00C469DD">
              <w:rPr>
                <w:rFonts w:asciiTheme="minorHAnsi" w:hAnsiTheme="minorHAnsi" w:cstheme="minorBidi"/>
                <w:b/>
                <w:noProof/>
                <w:sz w:val="20"/>
              </w:rPr>
              <w:t xml:space="preserve"> </w:t>
            </w:r>
            <w:r w:rsidR="00C469DD">
              <w:rPr>
                <w:rFonts w:asciiTheme="minorHAnsi" w:hAnsiTheme="minorHAnsi"/>
                <w:noProof/>
                <w:sz w:val="20"/>
              </w:rPr>
              <w:t>[</w:t>
            </w:r>
            <w:r w:rsidR="00C469DD" w:rsidRPr="006A49F5">
              <w:rPr>
                <w:rFonts w:asciiTheme="minorHAnsi" w:hAnsiTheme="minorHAnsi"/>
                <w:noProof/>
                <w:sz w:val="20"/>
              </w:rPr>
              <w:t>MIO €/year</w:t>
            </w:r>
            <w:r w:rsidR="00C469DD">
              <w:rPr>
                <w:rFonts w:asciiTheme="minorHAnsi" w:hAnsiTheme="minorHAnsi"/>
                <w:noProof/>
                <w:sz w:val="20"/>
              </w:rPr>
              <w:t>]</w:t>
            </w:r>
          </w:p>
        </w:tc>
        <w:tc>
          <w:tcPr>
            <w:tcW w:w="0" w:type="pct"/>
            <w:tcBorders>
              <w:top w:val="single" w:sz="4" w:space="0" w:color="auto"/>
              <w:bottom w:val="single" w:sz="4" w:space="0" w:color="auto"/>
            </w:tcBorders>
            <w:shd w:val="clear" w:color="auto" w:fill="92D050"/>
          </w:tcPr>
          <w:p w14:paraId="3D8F64CA" w14:textId="66927CD5" w:rsidR="00C469DD" w:rsidRPr="00807E9D" w:rsidRDefault="00C469DD" w:rsidP="00322072">
            <w:pPr>
              <w:spacing w:before="0"/>
              <w:jc w:val="center"/>
              <w:rPr>
                <w:rFonts w:asciiTheme="minorHAnsi" w:hAnsiTheme="minorHAnsi" w:cstheme="minorBidi"/>
                <w:b/>
                <w:bCs/>
                <w:noProof/>
                <w:sz w:val="20"/>
              </w:rPr>
            </w:pPr>
            <w:r>
              <w:rPr>
                <w:rFonts w:asciiTheme="minorHAnsi" w:hAnsiTheme="minorHAnsi" w:cstheme="minorBidi"/>
                <w:b/>
                <w:bCs/>
                <w:noProof/>
                <w:sz w:val="20"/>
              </w:rPr>
              <w:t>-1</w:t>
            </w:r>
            <w:r w:rsidR="002E3860">
              <w:rPr>
                <w:rFonts w:asciiTheme="minorHAnsi" w:hAnsiTheme="minorHAnsi" w:cstheme="minorBidi"/>
                <w:b/>
                <w:bCs/>
                <w:noProof/>
                <w:sz w:val="20"/>
              </w:rPr>
              <w:t>.</w:t>
            </w:r>
            <w:r>
              <w:rPr>
                <w:rFonts w:asciiTheme="minorHAnsi" w:hAnsiTheme="minorHAnsi" w:cstheme="minorBidi"/>
                <w:b/>
                <w:bCs/>
                <w:noProof/>
                <w:sz w:val="20"/>
              </w:rPr>
              <w:t>8</w:t>
            </w:r>
          </w:p>
        </w:tc>
        <w:tc>
          <w:tcPr>
            <w:tcW w:w="0" w:type="pct"/>
            <w:tcBorders>
              <w:top w:val="single" w:sz="4" w:space="0" w:color="auto"/>
              <w:bottom w:val="single" w:sz="4" w:space="0" w:color="auto"/>
            </w:tcBorders>
            <w:shd w:val="clear" w:color="auto" w:fill="FFFF00"/>
          </w:tcPr>
          <w:p w14:paraId="2D54F863" w14:textId="064A3ED7" w:rsidR="00C469DD" w:rsidRDefault="00C469DD" w:rsidP="00322072">
            <w:pPr>
              <w:spacing w:before="0"/>
              <w:jc w:val="center"/>
              <w:rPr>
                <w:rFonts w:asciiTheme="minorHAnsi" w:hAnsiTheme="minorHAnsi" w:cstheme="minorBidi"/>
                <w:b/>
                <w:bCs/>
                <w:noProof/>
                <w:sz w:val="20"/>
              </w:rPr>
            </w:pPr>
            <w:r>
              <w:rPr>
                <w:rFonts w:asciiTheme="minorHAnsi" w:hAnsiTheme="minorHAnsi" w:cstheme="minorBidi"/>
                <w:b/>
                <w:bCs/>
                <w:noProof/>
                <w:sz w:val="20"/>
              </w:rPr>
              <w:t>7</w:t>
            </w:r>
            <w:r w:rsidR="002E3860">
              <w:rPr>
                <w:rFonts w:asciiTheme="minorHAnsi" w:hAnsiTheme="minorHAnsi" w:cstheme="minorBidi"/>
                <w:b/>
                <w:bCs/>
                <w:noProof/>
                <w:sz w:val="20"/>
              </w:rPr>
              <w:t>.</w:t>
            </w:r>
            <w:r>
              <w:rPr>
                <w:rFonts w:asciiTheme="minorHAnsi" w:hAnsiTheme="minorHAnsi" w:cstheme="minorBidi"/>
                <w:b/>
                <w:bCs/>
                <w:noProof/>
                <w:sz w:val="20"/>
              </w:rPr>
              <w:t>6</w:t>
            </w:r>
          </w:p>
          <w:p w14:paraId="411A6EBA" w14:textId="0BAD2BBF" w:rsidR="00C469DD" w:rsidRPr="003B0981" w:rsidRDefault="00C469DD" w:rsidP="00322072">
            <w:pPr>
              <w:spacing w:before="0"/>
              <w:jc w:val="center"/>
              <w:rPr>
                <w:rFonts w:asciiTheme="minorHAnsi" w:hAnsiTheme="minorHAnsi"/>
                <w:bCs/>
                <w:noProof/>
                <w:sz w:val="16"/>
                <w:szCs w:val="16"/>
              </w:rPr>
            </w:pPr>
            <w:r w:rsidRPr="003B0981">
              <w:rPr>
                <w:rFonts w:asciiTheme="minorHAnsi" w:hAnsiTheme="minorHAnsi" w:cstheme="minorBidi"/>
                <w:bCs/>
                <w:noProof/>
                <w:sz w:val="16"/>
                <w:szCs w:val="16"/>
              </w:rPr>
              <w:t xml:space="preserve">+ </w:t>
            </w:r>
            <w:r w:rsidRPr="003B0981">
              <w:rPr>
                <w:rFonts w:asciiTheme="minorHAnsi" w:hAnsiTheme="minorHAnsi"/>
                <w:bCs/>
                <w:noProof/>
                <w:sz w:val="16"/>
                <w:szCs w:val="16"/>
              </w:rPr>
              <w:t xml:space="preserve">3 </w:t>
            </w:r>
            <w:r w:rsidRPr="003B0981">
              <w:rPr>
                <w:rFonts w:asciiTheme="minorHAnsi" w:hAnsiTheme="minorHAnsi"/>
                <w:bCs/>
                <w:i/>
                <w:noProof/>
                <w:sz w:val="16"/>
                <w:szCs w:val="16"/>
              </w:rPr>
              <w:t>one-off</w:t>
            </w:r>
          </w:p>
        </w:tc>
        <w:tc>
          <w:tcPr>
            <w:tcW w:w="0" w:type="pct"/>
            <w:tcBorders>
              <w:top w:val="single" w:sz="4" w:space="0" w:color="auto"/>
              <w:bottom w:val="single" w:sz="4" w:space="0" w:color="auto"/>
            </w:tcBorders>
            <w:shd w:val="clear" w:color="auto" w:fill="FFC000"/>
          </w:tcPr>
          <w:p w14:paraId="23E1504F" w14:textId="17F223DE" w:rsidR="00C469DD" w:rsidRDefault="00C469DD" w:rsidP="00322072">
            <w:pPr>
              <w:spacing w:before="0"/>
              <w:jc w:val="center"/>
              <w:rPr>
                <w:rFonts w:asciiTheme="minorHAnsi" w:hAnsiTheme="minorHAnsi" w:cstheme="minorBidi"/>
                <w:b/>
                <w:bCs/>
                <w:noProof/>
                <w:sz w:val="20"/>
              </w:rPr>
            </w:pPr>
            <w:r>
              <w:rPr>
                <w:rFonts w:asciiTheme="minorHAnsi" w:hAnsiTheme="minorHAnsi" w:cstheme="minorBidi"/>
                <w:b/>
                <w:bCs/>
                <w:noProof/>
                <w:sz w:val="20"/>
              </w:rPr>
              <w:t>9</w:t>
            </w:r>
            <w:r w:rsidR="002E3860">
              <w:rPr>
                <w:rFonts w:asciiTheme="minorHAnsi" w:hAnsiTheme="minorHAnsi" w:cstheme="minorBidi"/>
                <w:b/>
                <w:bCs/>
                <w:noProof/>
                <w:sz w:val="20"/>
              </w:rPr>
              <w:t>.</w:t>
            </w:r>
            <w:r>
              <w:rPr>
                <w:rFonts w:asciiTheme="minorHAnsi" w:hAnsiTheme="minorHAnsi" w:cstheme="minorBidi"/>
                <w:b/>
                <w:bCs/>
                <w:noProof/>
                <w:sz w:val="20"/>
              </w:rPr>
              <w:t>4</w:t>
            </w:r>
          </w:p>
          <w:p w14:paraId="2E16AB24" w14:textId="78A72EE9" w:rsidR="00C469DD" w:rsidRPr="003B0981" w:rsidRDefault="00C469DD" w:rsidP="00322072">
            <w:pPr>
              <w:spacing w:before="0"/>
              <w:jc w:val="center"/>
              <w:rPr>
                <w:rFonts w:asciiTheme="minorHAnsi" w:hAnsiTheme="minorHAnsi"/>
                <w:bCs/>
                <w:noProof/>
                <w:sz w:val="16"/>
                <w:szCs w:val="16"/>
              </w:rPr>
            </w:pPr>
            <w:r w:rsidRPr="003B0981">
              <w:rPr>
                <w:rFonts w:asciiTheme="minorHAnsi" w:hAnsiTheme="minorHAnsi" w:cstheme="minorBidi"/>
                <w:bCs/>
                <w:noProof/>
                <w:sz w:val="16"/>
                <w:szCs w:val="16"/>
              </w:rPr>
              <w:t xml:space="preserve">+ </w:t>
            </w:r>
            <w:r w:rsidRPr="003B0981">
              <w:rPr>
                <w:rFonts w:asciiTheme="minorHAnsi" w:hAnsiTheme="minorHAnsi"/>
                <w:bCs/>
                <w:noProof/>
                <w:sz w:val="16"/>
                <w:szCs w:val="16"/>
              </w:rPr>
              <w:t xml:space="preserve">21 </w:t>
            </w:r>
            <w:r w:rsidRPr="003B0981">
              <w:rPr>
                <w:rFonts w:asciiTheme="minorHAnsi" w:hAnsiTheme="minorHAnsi"/>
                <w:bCs/>
                <w:i/>
                <w:noProof/>
                <w:sz w:val="16"/>
                <w:szCs w:val="16"/>
              </w:rPr>
              <w:t>one-off</w:t>
            </w:r>
          </w:p>
        </w:tc>
      </w:tr>
      <w:tr w:rsidR="00C469DD" w:rsidRPr="00A14107" w14:paraId="1D20BF86" w14:textId="77777777" w:rsidTr="005A19FF">
        <w:trPr>
          <w:cnfStyle w:val="000000010000" w:firstRow="0" w:lastRow="0" w:firstColumn="0" w:lastColumn="0" w:oddVBand="0" w:evenVBand="0" w:oddHBand="0" w:evenHBand="1" w:firstRowFirstColumn="0" w:firstRowLastColumn="0" w:lastRowFirstColumn="0" w:lastRowLastColumn="0"/>
          <w:trHeight w:val="340"/>
        </w:trPr>
        <w:tc>
          <w:tcPr>
            <w:tcW w:w="2739" w:type="pct"/>
            <w:tcBorders>
              <w:top w:val="single" w:sz="4" w:space="0" w:color="auto"/>
              <w:bottom w:val="single" w:sz="4" w:space="0" w:color="auto"/>
            </w:tcBorders>
          </w:tcPr>
          <w:p w14:paraId="5E63A45D" w14:textId="222DA070" w:rsidR="00C469DD" w:rsidRPr="00553392" w:rsidRDefault="00C469DD" w:rsidP="00C469DD">
            <w:pPr>
              <w:rPr>
                <w:rFonts w:asciiTheme="minorHAnsi" w:hAnsiTheme="minorHAnsi"/>
                <w:b/>
                <w:bCs/>
                <w:noProof/>
                <w:sz w:val="20"/>
              </w:rPr>
            </w:pPr>
            <w:r w:rsidRPr="00553392">
              <w:rPr>
                <w:rFonts w:asciiTheme="minorHAnsi" w:hAnsiTheme="minorHAnsi"/>
                <w:b/>
                <w:bCs/>
                <w:noProof/>
                <w:sz w:val="20"/>
              </w:rPr>
              <w:t>Administrative costs for authorities</w:t>
            </w:r>
            <w:r>
              <w:rPr>
                <w:rFonts w:asciiTheme="minorHAnsi" w:hAnsiTheme="minorHAnsi"/>
                <w:b/>
                <w:bCs/>
                <w:noProof/>
                <w:sz w:val="20"/>
              </w:rPr>
              <w:t xml:space="preserve"> </w:t>
            </w:r>
            <w:r>
              <w:rPr>
                <w:rFonts w:asciiTheme="minorHAnsi" w:hAnsiTheme="minorHAnsi"/>
                <w:bCs/>
                <w:noProof/>
                <w:sz w:val="20"/>
              </w:rPr>
              <w:t>[</w:t>
            </w:r>
            <w:r w:rsidRPr="006A49F5">
              <w:rPr>
                <w:rFonts w:asciiTheme="minorHAnsi" w:hAnsiTheme="minorHAnsi"/>
                <w:bCs/>
                <w:noProof/>
                <w:sz w:val="20"/>
              </w:rPr>
              <w:t>person days/year</w:t>
            </w:r>
            <w:r>
              <w:rPr>
                <w:rFonts w:asciiTheme="minorHAnsi" w:hAnsiTheme="minorHAnsi"/>
                <w:bCs/>
                <w:noProof/>
                <w:sz w:val="20"/>
              </w:rPr>
              <w:t>]</w:t>
            </w:r>
          </w:p>
        </w:tc>
        <w:tc>
          <w:tcPr>
            <w:tcW w:w="780" w:type="pct"/>
            <w:tcBorders>
              <w:top w:val="single" w:sz="4" w:space="0" w:color="auto"/>
              <w:bottom w:val="single" w:sz="4" w:space="0" w:color="auto"/>
            </w:tcBorders>
            <w:shd w:val="clear" w:color="auto" w:fill="FFFF00"/>
          </w:tcPr>
          <w:p w14:paraId="1E19B2D2" w14:textId="1066E228" w:rsidR="00C469DD" w:rsidRDefault="00C469DD" w:rsidP="00C469DD">
            <w:pPr>
              <w:jc w:val="center"/>
              <w:rPr>
                <w:rFonts w:asciiTheme="minorHAnsi" w:hAnsiTheme="minorHAnsi"/>
                <w:b/>
                <w:bCs/>
                <w:noProof/>
                <w:sz w:val="20"/>
              </w:rPr>
            </w:pPr>
            <w:r>
              <w:rPr>
                <w:rFonts w:asciiTheme="minorHAnsi" w:hAnsiTheme="minorHAnsi"/>
                <w:b/>
                <w:bCs/>
                <w:noProof/>
                <w:sz w:val="20"/>
              </w:rPr>
              <w:t>3,200</w:t>
            </w:r>
          </w:p>
          <w:p w14:paraId="2FA55D8D" w14:textId="430F444F" w:rsidR="00C469DD" w:rsidRPr="003B0981" w:rsidRDefault="00C469DD" w:rsidP="00C469DD">
            <w:pPr>
              <w:jc w:val="center"/>
              <w:rPr>
                <w:rFonts w:asciiTheme="minorHAnsi" w:hAnsiTheme="minorHAnsi"/>
                <w:b/>
                <w:bCs/>
                <w:noProof/>
                <w:sz w:val="16"/>
                <w:szCs w:val="16"/>
              </w:rPr>
            </w:pPr>
            <w:r w:rsidRPr="003B0981">
              <w:rPr>
                <w:rFonts w:asciiTheme="minorHAnsi" w:hAnsiTheme="minorHAnsi"/>
                <w:bCs/>
                <w:noProof/>
                <w:sz w:val="16"/>
                <w:szCs w:val="16"/>
              </w:rPr>
              <w:t>+300</w:t>
            </w:r>
            <w:r w:rsidRPr="003B0981">
              <w:rPr>
                <w:rFonts w:asciiTheme="minorHAnsi" w:hAnsiTheme="minorHAnsi"/>
                <w:b/>
                <w:bCs/>
                <w:noProof/>
                <w:sz w:val="16"/>
                <w:szCs w:val="16"/>
              </w:rPr>
              <w:t xml:space="preserve"> </w:t>
            </w:r>
            <w:r w:rsidRPr="003B0981">
              <w:rPr>
                <w:rFonts w:asciiTheme="minorHAnsi" w:hAnsiTheme="minorHAnsi"/>
                <w:bCs/>
                <w:i/>
                <w:noProof/>
                <w:sz w:val="16"/>
                <w:szCs w:val="16"/>
              </w:rPr>
              <w:t>one-off</w:t>
            </w:r>
          </w:p>
        </w:tc>
        <w:tc>
          <w:tcPr>
            <w:tcW w:w="741" w:type="pct"/>
            <w:tcBorders>
              <w:top w:val="single" w:sz="4" w:space="0" w:color="auto"/>
              <w:bottom w:val="single" w:sz="4" w:space="0" w:color="auto"/>
            </w:tcBorders>
            <w:shd w:val="clear" w:color="auto" w:fill="FFFF00"/>
          </w:tcPr>
          <w:p w14:paraId="27A55AEB" w14:textId="6CFB8D35" w:rsidR="00C469DD" w:rsidRDefault="00C469DD" w:rsidP="00C469DD">
            <w:pPr>
              <w:jc w:val="center"/>
              <w:rPr>
                <w:rFonts w:asciiTheme="minorHAnsi" w:hAnsiTheme="minorHAnsi"/>
                <w:b/>
                <w:bCs/>
                <w:noProof/>
                <w:sz w:val="20"/>
              </w:rPr>
            </w:pPr>
            <w:r>
              <w:rPr>
                <w:rFonts w:asciiTheme="minorHAnsi" w:hAnsiTheme="minorHAnsi"/>
                <w:b/>
                <w:bCs/>
                <w:noProof/>
                <w:sz w:val="20"/>
              </w:rPr>
              <w:t>10,700</w:t>
            </w:r>
          </w:p>
          <w:p w14:paraId="7602B4EC" w14:textId="111B20AC" w:rsidR="00C469DD" w:rsidRPr="003B0981" w:rsidRDefault="00C469DD" w:rsidP="00C469DD">
            <w:pPr>
              <w:jc w:val="center"/>
              <w:rPr>
                <w:rFonts w:asciiTheme="minorHAnsi" w:hAnsiTheme="minorHAnsi"/>
                <w:b/>
                <w:bCs/>
                <w:noProof/>
                <w:sz w:val="16"/>
                <w:szCs w:val="16"/>
              </w:rPr>
            </w:pPr>
            <w:r w:rsidRPr="003B0981">
              <w:rPr>
                <w:rFonts w:asciiTheme="minorHAnsi" w:hAnsiTheme="minorHAnsi"/>
                <w:bCs/>
                <w:noProof/>
                <w:sz w:val="16"/>
                <w:szCs w:val="16"/>
              </w:rPr>
              <w:t>+2,600</w:t>
            </w:r>
            <w:r w:rsidRPr="003B0981">
              <w:rPr>
                <w:rFonts w:asciiTheme="minorHAnsi" w:hAnsiTheme="minorHAnsi"/>
                <w:b/>
                <w:bCs/>
                <w:noProof/>
                <w:sz w:val="16"/>
                <w:szCs w:val="16"/>
              </w:rPr>
              <w:t xml:space="preserve"> </w:t>
            </w:r>
            <w:r w:rsidRPr="003B0981">
              <w:rPr>
                <w:rFonts w:asciiTheme="minorHAnsi" w:hAnsiTheme="minorHAnsi"/>
                <w:bCs/>
                <w:i/>
                <w:noProof/>
                <w:sz w:val="16"/>
                <w:szCs w:val="16"/>
              </w:rPr>
              <w:t>one-off</w:t>
            </w:r>
          </w:p>
        </w:tc>
        <w:tc>
          <w:tcPr>
            <w:tcW w:w="740" w:type="pct"/>
            <w:tcBorders>
              <w:top w:val="single" w:sz="4" w:space="0" w:color="auto"/>
              <w:bottom w:val="single" w:sz="4" w:space="0" w:color="auto"/>
            </w:tcBorders>
            <w:shd w:val="clear" w:color="auto" w:fill="FFC000"/>
          </w:tcPr>
          <w:p w14:paraId="0FA122FD" w14:textId="2D09E908" w:rsidR="00C469DD" w:rsidRDefault="00C469DD" w:rsidP="00C469DD">
            <w:pPr>
              <w:jc w:val="center"/>
              <w:rPr>
                <w:rFonts w:asciiTheme="minorHAnsi" w:hAnsiTheme="minorHAnsi"/>
                <w:b/>
                <w:bCs/>
                <w:noProof/>
                <w:sz w:val="20"/>
              </w:rPr>
            </w:pPr>
            <w:r>
              <w:rPr>
                <w:rFonts w:asciiTheme="minorHAnsi" w:hAnsiTheme="minorHAnsi"/>
                <w:b/>
                <w:bCs/>
                <w:noProof/>
                <w:sz w:val="20"/>
              </w:rPr>
              <w:t>15,300</w:t>
            </w:r>
          </w:p>
          <w:p w14:paraId="60E3C59B" w14:textId="20F94649" w:rsidR="00C469DD" w:rsidRPr="003B0981" w:rsidRDefault="00C469DD" w:rsidP="00C469DD">
            <w:pPr>
              <w:jc w:val="center"/>
              <w:rPr>
                <w:rFonts w:asciiTheme="minorHAnsi" w:hAnsiTheme="minorHAnsi"/>
                <w:b/>
                <w:bCs/>
                <w:noProof/>
                <w:sz w:val="16"/>
                <w:szCs w:val="16"/>
              </w:rPr>
            </w:pPr>
            <w:r w:rsidRPr="003B0981">
              <w:rPr>
                <w:rFonts w:asciiTheme="minorHAnsi" w:hAnsiTheme="minorHAnsi"/>
                <w:bCs/>
                <w:noProof/>
                <w:sz w:val="16"/>
                <w:szCs w:val="16"/>
              </w:rPr>
              <w:t>+11,600</w:t>
            </w:r>
            <w:r w:rsidRPr="003B0981">
              <w:rPr>
                <w:rFonts w:asciiTheme="minorHAnsi" w:hAnsiTheme="minorHAnsi"/>
                <w:b/>
                <w:bCs/>
                <w:noProof/>
                <w:sz w:val="16"/>
                <w:szCs w:val="16"/>
              </w:rPr>
              <w:t xml:space="preserve"> </w:t>
            </w:r>
            <w:r w:rsidRPr="003B0981">
              <w:rPr>
                <w:rFonts w:asciiTheme="minorHAnsi" w:hAnsiTheme="minorHAnsi"/>
                <w:bCs/>
                <w:i/>
                <w:noProof/>
                <w:sz w:val="16"/>
                <w:szCs w:val="16"/>
              </w:rPr>
              <w:t>one-off</w:t>
            </w:r>
          </w:p>
        </w:tc>
      </w:tr>
      <w:tr w:rsidR="00C469DD" w:rsidRPr="00A14107" w14:paraId="486FC006" w14:textId="77777777" w:rsidTr="006A49F5">
        <w:trPr>
          <w:cnfStyle w:val="000000100000" w:firstRow="0" w:lastRow="0" w:firstColumn="0" w:lastColumn="0" w:oddVBand="0" w:evenVBand="0" w:oddHBand="1" w:evenHBand="0" w:firstRowFirstColumn="0" w:firstRowLastColumn="0" w:lastRowFirstColumn="0" w:lastRowLastColumn="0"/>
          <w:trHeight w:val="340"/>
        </w:trPr>
        <w:tc>
          <w:tcPr>
            <w:tcW w:w="2739" w:type="pct"/>
            <w:tcBorders>
              <w:top w:val="single" w:sz="4" w:space="0" w:color="auto"/>
              <w:bottom w:val="single" w:sz="4" w:space="0" w:color="auto"/>
            </w:tcBorders>
          </w:tcPr>
          <w:p w14:paraId="1DF4AD5C" w14:textId="0BCC964D" w:rsidR="00C469DD" w:rsidRPr="00553392" w:rsidRDefault="00C469DD" w:rsidP="00322072">
            <w:pPr>
              <w:spacing w:before="0"/>
              <w:rPr>
                <w:rFonts w:asciiTheme="minorHAnsi" w:hAnsiTheme="minorHAnsi" w:cstheme="minorBidi"/>
                <w:b/>
                <w:bCs/>
                <w:noProof/>
                <w:sz w:val="20"/>
              </w:rPr>
            </w:pPr>
            <w:r w:rsidRPr="00553392">
              <w:rPr>
                <w:rFonts w:asciiTheme="minorHAnsi" w:hAnsiTheme="minorHAnsi" w:cstheme="minorBidi"/>
                <w:b/>
                <w:bCs/>
                <w:noProof/>
                <w:sz w:val="20"/>
              </w:rPr>
              <w:t>Long-term macro-economic effects (GDP, consumption, investment, innovation)</w:t>
            </w:r>
          </w:p>
        </w:tc>
        <w:tc>
          <w:tcPr>
            <w:tcW w:w="780" w:type="pct"/>
            <w:tcBorders>
              <w:top w:val="single" w:sz="4" w:space="0" w:color="auto"/>
              <w:bottom w:val="single" w:sz="4" w:space="0" w:color="auto"/>
            </w:tcBorders>
            <w:shd w:val="clear" w:color="auto" w:fill="FFFFFF" w:themeFill="background1"/>
          </w:tcPr>
          <w:p w14:paraId="4EAB6449" w14:textId="307F9AAB" w:rsidR="00C469DD" w:rsidRPr="00553392" w:rsidRDefault="00C469DD" w:rsidP="00C469DD">
            <w:pPr>
              <w:jc w:val="center"/>
              <w:rPr>
                <w:rFonts w:asciiTheme="minorHAnsi" w:hAnsiTheme="minorHAnsi" w:cstheme="minorBidi"/>
                <w:b/>
                <w:bCs/>
                <w:noProof/>
                <w:sz w:val="20"/>
              </w:rPr>
            </w:pPr>
            <w:r>
              <w:rPr>
                <w:rFonts w:asciiTheme="minorHAnsi" w:hAnsiTheme="minorHAnsi" w:cstheme="minorBidi"/>
                <w:b/>
                <w:bCs/>
                <w:noProof/>
                <w:sz w:val="20"/>
              </w:rPr>
              <w:t>+/-</w:t>
            </w:r>
          </w:p>
        </w:tc>
        <w:tc>
          <w:tcPr>
            <w:tcW w:w="741" w:type="pct"/>
            <w:tcBorders>
              <w:top w:val="single" w:sz="4" w:space="0" w:color="auto"/>
              <w:bottom w:val="single" w:sz="4" w:space="0" w:color="auto"/>
            </w:tcBorders>
            <w:shd w:val="clear" w:color="auto" w:fill="92D050"/>
          </w:tcPr>
          <w:p w14:paraId="20331166" w14:textId="1894C9F8" w:rsidR="00C469DD" w:rsidRPr="00553392" w:rsidRDefault="00C469DD" w:rsidP="00C469DD">
            <w:pPr>
              <w:jc w:val="center"/>
              <w:rPr>
                <w:rFonts w:asciiTheme="minorHAnsi" w:hAnsiTheme="minorHAnsi" w:cstheme="minorBidi"/>
                <w:b/>
                <w:bCs/>
                <w:noProof/>
                <w:sz w:val="20"/>
              </w:rPr>
            </w:pPr>
            <w:r w:rsidRPr="00553392">
              <w:rPr>
                <w:rFonts w:asciiTheme="minorHAnsi" w:hAnsiTheme="minorHAnsi" w:cstheme="minorBidi"/>
                <w:b/>
                <w:bCs/>
                <w:noProof/>
                <w:sz w:val="20"/>
              </w:rPr>
              <w:t>+</w:t>
            </w:r>
          </w:p>
        </w:tc>
        <w:tc>
          <w:tcPr>
            <w:tcW w:w="740" w:type="pct"/>
            <w:tcBorders>
              <w:top w:val="single" w:sz="4" w:space="0" w:color="auto"/>
              <w:bottom w:val="single" w:sz="4" w:space="0" w:color="auto"/>
            </w:tcBorders>
            <w:shd w:val="clear" w:color="auto" w:fill="92D050"/>
          </w:tcPr>
          <w:p w14:paraId="622F3777" w14:textId="5B89EAD5" w:rsidR="00C469DD" w:rsidRPr="00553392" w:rsidRDefault="00C469DD" w:rsidP="00C469DD">
            <w:pPr>
              <w:jc w:val="center"/>
              <w:rPr>
                <w:rFonts w:asciiTheme="minorHAnsi" w:hAnsiTheme="minorHAnsi" w:cstheme="minorBidi"/>
                <w:b/>
                <w:bCs/>
                <w:noProof/>
                <w:sz w:val="20"/>
              </w:rPr>
            </w:pPr>
            <w:r w:rsidRPr="00553392">
              <w:rPr>
                <w:rFonts w:asciiTheme="minorHAnsi" w:hAnsiTheme="minorHAnsi" w:cstheme="minorBidi"/>
                <w:b/>
                <w:bCs/>
                <w:noProof/>
                <w:sz w:val="20"/>
              </w:rPr>
              <w:t>+</w:t>
            </w:r>
          </w:p>
        </w:tc>
      </w:tr>
      <w:tr w:rsidR="00C469DD" w:rsidRPr="00A14107" w14:paraId="4B81BC6F" w14:textId="77777777" w:rsidTr="007D573C">
        <w:trPr>
          <w:cnfStyle w:val="000000010000" w:firstRow="0" w:lastRow="0" w:firstColumn="0" w:lastColumn="0" w:oddVBand="0" w:evenVBand="0" w:oddHBand="0" w:evenHBand="1" w:firstRowFirstColumn="0" w:firstRowLastColumn="0" w:lastRowFirstColumn="0" w:lastRowLastColumn="0"/>
          <w:trHeight w:val="340"/>
        </w:trPr>
        <w:tc>
          <w:tcPr>
            <w:tcW w:w="2739" w:type="pct"/>
            <w:tcBorders>
              <w:top w:val="single" w:sz="4" w:space="0" w:color="auto"/>
              <w:bottom w:val="single" w:sz="4" w:space="0" w:color="auto"/>
            </w:tcBorders>
            <w:hideMark/>
          </w:tcPr>
          <w:p w14:paraId="23DF74E7" w14:textId="5996692A" w:rsidR="00C469DD" w:rsidRPr="00553392" w:rsidRDefault="00C469DD" w:rsidP="00C469DD">
            <w:pPr>
              <w:rPr>
                <w:rFonts w:asciiTheme="minorHAnsi" w:hAnsiTheme="minorHAnsi" w:cstheme="minorBidi"/>
                <w:noProof/>
                <w:sz w:val="20"/>
              </w:rPr>
            </w:pPr>
            <w:r>
              <w:rPr>
                <w:rFonts w:asciiTheme="minorHAnsi" w:hAnsiTheme="minorHAnsi" w:cstheme="minorBidi"/>
                <w:b/>
                <w:bCs/>
                <w:noProof/>
                <w:sz w:val="20"/>
              </w:rPr>
              <w:t>Long-term effects on employment</w:t>
            </w:r>
          </w:p>
        </w:tc>
        <w:tc>
          <w:tcPr>
            <w:tcW w:w="780" w:type="pct"/>
            <w:tcBorders>
              <w:top w:val="single" w:sz="4" w:space="0" w:color="auto"/>
              <w:bottom w:val="single" w:sz="4" w:space="0" w:color="auto"/>
            </w:tcBorders>
            <w:shd w:val="clear" w:color="auto" w:fill="92D050"/>
          </w:tcPr>
          <w:p w14:paraId="4E94922A" w14:textId="2F100E68" w:rsidR="00C469DD" w:rsidRPr="00553392" w:rsidRDefault="007D573C" w:rsidP="00C469DD">
            <w:pPr>
              <w:jc w:val="center"/>
              <w:rPr>
                <w:rFonts w:asciiTheme="minorHAnsi" w:hAnsiTheme="minorHAnsi" w:cstheme="minorBidi"/>
                <w:b/>
                <w:bCs/>
                <w:noProof/>
                <w:sz w:val="20"/>
              </w:rPr>
            </w:pPr>
            <w:r>
              <w:rPr>
                <w:rFonts w:asciiTheme="minorHAnsi" w:hAnsiTheme="minorHAnsi" w:cstheme="minorBidi"/>
                <w:b/>
                <w:bCs/>
                <w:noProof/>
                <w:sz w:val="20"/>
              </w:rPr>
              <w:t>+</w:t>
            </w:r>
            <w:r>
              <w:rPr>
                <w:rFonts w:asciiTheme="minorHAnsi" w:hAnsiTheme="minorHAnsi" w:cstheme="minorBidi"/>
                <w:b/>
                <w:bCs/>
                <w:noProof/>
                <w:sz w:val="20"/>
                <w:vertAlign w:val="superscript"/>
              </w:rPr>
              <w:t>*</w:t>
            </w:r>
          </w:p>
        </w:tc>
        <w:tc>
          <w:tcPr>
            <w:tcW w:w="741" w:type="pct"/>
            <w:tcBorders>
              <w:top w:val="single" w:sz="4" w:space="0" w:color="auto"/>
              <w:bottom w:val="single" w:sz="4" w:space="0" w:color="auto"/>
            </w:tcBorders>
            <w:shd w:val="clear" w:color="auto" w:fill="92D050"/>
          </w:tcPr>
          <w:p w14:paraId="34B843B4" w14:textId="72B60CCC" w:rsidR="00C469DD" w:rsidRPr="00553392" w:rsidRDefault="007D573C" w:rsidP="00C469DD">
            <w:pPr>
              <w:jc w:val="center"/>
              <w:rPr>
                <w:rFonts w:asciiTheme="minorHAnsi" w:hAnsiTheme="minorHAnsi" w:cstheme="minorBidi"/>
                <w:b/>
                <w:bCs/>
                <w:noProof/>
                <w:sz w:val="20"/>
              </w:rPr>
            </w:pPr>
            <w:r>
              <w:rPr>
                <w:rFonts w:asciiTheme="minorHAnsi" w:hAnsiTheme="minorHAnsi" w:cstheme="minorBidi"/>
                <w:b/>
                <w:bCs/>
                <w:noProof/>
                <w:sz w:val="20"/>
              </w:rPr>
              <w:t>+</w:t>
            </w:r>
          </w:p>
        </w:tc>
        <w:tc>
          <w:tcPr>
            <w:tcW w:w="740" w:type="pct"/>
            <w:tcBorders>
              <w:top w:val="single" w:sz="4" w:space="0" w:color="auto"/>
              <w:bottom w:val="single" w:sz="4" w:space="0" w:color="auto"/>
            </w:tcBorders>
            <w:shd w:val="clear" w:color="auto" w:fill="92D050"/>
          </w:tcPr>
          <w:p w14:paraId="1C0A2031" w14:textId="55BFCA1E" w:rsidR="00C469DD" w:rsidRPr="00553392" w:rsidRDefault="007D573C" w:rsidP="00C469DD">
            <w:pPr>
              <w:jc w:val="center"/>
              <w:rPr>
                <w:rFonts w:asciiTheme="minorHAnsi" w:hAnsiTheme="minorHAnsi" w:cstheme="minorBidi"/>
                <w:b/>
                <w:bCs/>
                <w:noProof/>
                <w:sz w:val="20"/>
              </w:rPr>
            </w:pPr>
            <w:r>
              <w:rPr>
                <w:rFonts w:asciiTheme="minorHAnsi" w:hAnsiTheme="minorHAnsi" w:cstheme="minorBidi"/>
                <w:b/>
                <w:bCs/>
                <w:noProof/>
                <w:sz w:val="20"/>
              </w:rPr>
              <w:t>+</w:t>
            </w:r>
          </w:p>
        </w:tc>
      </w:tr>
      <w:tr w:rsidR="00C469DD" w:rsidRPr="00A14107" w14:paraId="1BB4200E" w14:textId="77777777" w:rsidTr="007D573C">
        <w:trPr>
          <w:cnfStyle w:val="000000100000" w:firstRow="0" w:lastRow="0" w:firstColumn="0" w:lastColumn="0" w:oddVBand="0" w:evenVBand="0" w:oddHBand="1" w:evenHBand="0" w:firstRowFirstColumn="0" w:firstRowLastColumn="0" w:lastRowFirstColumn="0" w:lastRowLastColumn="0"/>
          <w:trHeight w:val="340"/>
        </w:trPr>
        <w:tc>
          <w:tcPr>
            <w:tcW w:w="2739" w:type="pct"/>
            <w:tcBorders>
              <w:top w:val="single" w:sz="4" w:space="0" w:color="auto"/>
              <w:bottom w:val="single" w:sz="4" w:space="0" w:color="auto"/>
            </w:tcBorders>
          </w:tcPr>
          <w:p w14:paraId="168C4340" w14:textId="108D3759" w:rsidR="00C469DD" w:rsidRDefault="00C469DD" w:rsidP="00C469DD">
            <w:pPr>
              <w:rPr>
                <w:rFonts w:asciiTheme="minorHAnsi" w:hAnsiTheme="minorHAnsi"/>
                <w:b/>
                <w:bCs/>
                <w:noProof/>
                <w:sz w:val="20"/>
              </w:rPr>
            </w:pPr>
            <w:r>
              <w:rPr>
                <w:rFonts w:asciiTheme="minorHAnsi" w:hAnsiTheme="minorHAnsi"/>
                <w:b/>
                <w:bCs/>
                <w:noProof/>
                <w:sz w:val="20"/>
              </w:rPr>
              <w:t>Long-term effects on the equipment sector and its supply industry</w:t>
            </w:r>
          </w:p>
        </w:tc>
        <w:tc>
          <w:tcPr>
            <w:tcW w:w="780" w:type="pct"/>
            <w:tcBorders>
              <w:top w:val="single" w:sz="4" w:space="0" w:color="auto"/>
              <w:bottom w:val="single" w:sz="4" w:space="0" w:color="auto"/>
            </w:tcBorders>
            <w:shd w:val="clear" w:color="auto" w:fill="92D050"/>
          </w:tcPr>
          <w:p w14:paraId="1DFCB7D5" w14:textId="6096CB01" w:rsidR="00C469DD" w:rsidRPr="00553392" w:rsidRDefault="00C469DD" w:rsidP="00C469DD">
            <w:pPr>
              <w:jc w:val="center"/>
              <w:rPr>
                <w:rFonts w:asciiTheme="minorHAnsi" w:hAnsiTheme="minorHAnsi"/>
                <w:b/>
                <w:bCs/>
                <w:noProof/>
                <w:sz w:val="20"/>
              </w:rPr>
            </w:pPr>
            <w:r>
              <w:rPr>
                <w:rFonts w:asciiTheme="minorHAnsi" w:hAnsiTheme="minorHAnsi"/>
                <w:b/>
                <w:bCs/>
                <w:noProof/>
                <w:sz w:val="20"/>
              </w:rPr>
              <w:t>+</w:t>
            </w:r>
            <w:r w:rsidR="007D573C">
              <w:rPr>
                <w:rFonts w:asciiTheme="minorHAnsi" w:hAnsiTheme="minorHAnsi"/>
                <w:b/>
                <w:bCs/>
                <w:noProof/>
                <w:sz w:val="20"/>
                <w:vertAlign w:val="superscript"/>
              </w:rPr>
              <w:t>*</w:t>
            </w:r>
          </w:p>
        </w:tc>
        <w:tc>
          <w:tcPr>
            <w:tcW w:w="741" w:type="pct"/>
            <w:tcBorders>
              <w:top w:val="single" w:sz="4" w:space="0" w:color="auto"/>
              <w:bottom w:val="single" w:sz="4" w:space="0" w:color="auto"/>
            </w:tcBorders>
            <w:shd w:val="clear" w:color="auto" w:fill="92D050"/>
          </w:tcPr>
          <w:p w14:paraId="03252818" w14:textId="30D6E451" w:rsidR="00C469DD" w:rsidRPr="00553392" w:rsidRDefault="007D573C" w:rsidP="00C469DD">
            <w:pPr>
              <w:jc w:val="center"/>
              <w:rPr>
                <w:rFonts w:asciiTheme="minorHAnsi" w:hAnsiTheme="minorHAnsi"/>
                <w:b/>
                <w:bCs/>
                <w:noProof/>
                <w:sz w:val="20"/>
              </w:rPr>
            </w:pPr>
            <w:r>
              <w:rPr>
                <w:rFonts w:asciiTheme="minorHAnsi" w:hAnsiTheme="minorHAnsi"/>
                <w:b/>
                <w:bCs/>
                <w:noProof/>
                <w:sz w:val="20"/>
              </w:rPr>
              <w:t>+</w:t>
            </w:r>
            <w:r w:rsidR="006165C7">
              <w:rPr>
                <w:rFonts w:asciiTheme="minorHAnsi" w:hAnsiTheme="minorHAnsi"/>
                <w:b/>
                <w:bCs/>
                <w:noProof/>
                <w:sz w:val="20"/>
              </w:rPr>
              <w:t>+</w:t>
            </w:r>
          </w:p>
        </w:tc>
        <w:tc>
          <w:tcPr>
            <w:tcW w:w="740" w:type="pct"/>
            <w:tcBorders>
              <w:top w:val="single" w:sz="4" w:space="0" w:color="auto"/>
              <w:bottom w:val="single" w:sz="4" w:space="0" w:color="auto"/>
            </w:tcBorders>
            <w:shd w:val="clear" w:color="auto" w:fill="92D050"/>
          </w:tcPr>
          <w:p w14:paraId="437FDFA9" w14:textId="3FD3F58A" w:rsidR="00C469DD" w:rsidRPr="00553392" w:rsidRDefault="00C469DD" w:rsidP="00C469DD">
            <w:pPr>
              <w:jc w:val="center"/>
              <w:rPr>
                <w:rFonts w:asciiTheme="minorHAnsi" w:hAnsiTheme="minorHAnsi"/>
                <w:b/>
                <w:bCs/>
                <w:noProof/>
                <w:sz w:val="20"/>
              </w:rPr>
            </w:pPr>
            <w:r>
              <w:rPr>
                <w:rFonts w:asciiTheme="minorHAnsi" w:hAnsiTheme="minorHAnsi"/>
                <w:b/>
                <w:bCs/>
                <w:noProof/>
                <w:sz w:val="20"/>
              </w:rPr>
              <w:t>+</w:t>
            </w:r>
            <w:r w:rsidR="006165C7">
              <w:rPr>
                <w:rFonts w:asciiTheme="minorHAnsi" w:hAnsiTheme="minorHAnsi"/>
                <w:b/>
                <w:bCs/>
                <w:noProof/>
                <w:sz w:val="20"/>
              </w:rPr>
              <w:t>+</w:t>
            </w:r>
          </w:p>
        </w:tc>
      </w:tr>
    </w:tbl>
    <w:p w14:paraId="4B26D6D9" w14:textId="7DEEB68B" w:rsidR="00A14107" w:rsidRDefault="005A19FF" w:rsidP="000F1FF1">
      <w:pPr>
        <w:spacing w:after="0" w:line="240" w:lineRule="auto"/>
        <w:rPr>
          <w:rFonts w:asciiTheme="minorHAnsi" w:hAnsiTheme="minorHAnsi"/>
          <w:noProof/>
          <w:sz w:val="20"/>
          <w:szCs w:val="20"/>
        </w:rPr>
      </w:pPr>
      <w:r>
        <w:rPr>
          <w:rFonts w:asciiTheme="minorHAnsi" w:hAnsiTheme="minorHAnsi"/>
          <w:noProof/>
          <w:sz w:val="20"/>
          <w:szCs w:val="20"/>
        </w:rPr>
        <w:t>+++/++/+ positive,</w:t>
      </w:r>
      <w:r w:rsidR="3982CBDC" w:rsidRPr="3982CBDC">
        <w:rPr>
          <w:rFonts w:asciiTheme="minorHAnsi" w:hAnsiTheme="minorHAnsi"/>
          <w:noProof/>
          <w:sz w:val="20"/>
          <w:szCs w:val="20"/>
        </w:rPr>
        <w:t xml:space="preserve"> </w:t>
      </w:r>
      <w:r w:rsidR="002D1BEC">
        <w:rPr>
          <w:rFonts w:asciiTheme="minorHAnsi" w:hAnsiTheme="minorHAnsi"/>
          <w:noProof/>
          <w:sz w:val="20"/>
          <w:szCs w:val="20"/>
        </w:rPr>
        <w:t>+/-</w:t>
      </w:r>
      <w:r w:rsidR="00841DEC">
        <w:rPr>
          <w:rFonts w:asciiTheme="minorHAnsi" w:hAnsiTheme="minorHAnsi"/>
          <w:noProof/>
          <w:sz w:val="20"/>
          <w:szCs w:val="20"/>
        </w:rPr>
        <w:t xml:space="preserve"> neutral, -/--/--- negative; N/A not applicab</w:t>
      </w:r>
      <w:r w:rsidR="00124791">
        <w:rPr>
          <w:rFonts w:asciiTheme="minorHAnsi" w:hAnsiTheme="minorHAnsi"/>
          <w:noProof/>
          <w:sz w:val="20"/>
          <w:szCs w:val="20"/>
        </w:rPr>
        <w:t>le (since no emission savings vs</w:t>
      </w:r>
      <w:r w:rsidR="00841DEC">
        <w:rPr>
          <w:rFonts w:asciiTheme="minorHAnsi" w:hAnsiTheme="minorHAnsi"/>
          <w:noProof/>
          <w:sz w:val="20"/>
          <w:szCs w:val="20"/>
        </w:rPr>
        <w:t xml:space="preserve"> baseline)</w:t>
      </w:r>
    </w:p>
    <w:p w14:paraId="49DDFA6A" w14:textId="3F6CF90A" w:rsidR="007D573C" w:rsidRDefault="007D573C" w:rsidP="000F1FF1">
      <w:pPr>
        <w:spacing w:after="0" w:line="240" w:lineRule="auto"/>
        <w:rPr>
          <w:rFonts w:asciiTheme="minorHAnsi" w:hAnsiTheme="minorHAnsi"/>
          <w:noProof/>
          <w:sz w:val="20"/>
          <w:szCs w:val="20"/>
        </w:rPr>
      </w:pPr>
      <w:r>
        <w:rPr>
          <w:rFonts w:asciiTheme="minorHAnsi" w:hAnsiTheme="minorHAnsi"/>
          <w:noProof/>
          <w:sz w:val="20"/>
          <w:szCs w:val="20"/>
        </w:rPr>
        <w:t>*these long-term effects are very small</w:t>
      </w:r>
    </w:p>
    <w:p w14:paraId="2C0D2B95" w14:textId="774494FE" w:rsidR="00A14107" w:rsidRPr="006C1A6B" w:rsidRDefault="00E04F0C" w:rsidP="00E04F0C">
      <w:pPr>
        <w:pStyle w:val="Heading1"/>
        <w:rPr>
          <w:noProof/>
        </w:rPr>
      </w:pPr>
      <w:bookmarkStart w:id="323" w:name="_Toc71559428"/>
      <w:bookmarkStart w:id="324" w:name="_Toc71707057"/>
      <w:bookmarkStart w:id="325" w:name="_Toc71708243"/>
      <w:bookmarkStart w:id="326" w:name="_Toc71710975"/>
      <w:bookmarkStart w:id="327" w:name="_Toc72399385"/>
      <w:bookmarkStart w:id="328" w:name="_Toc88571935"/>
      <w:bookmarkStart w:id="329" w:name="_Toc94629528"/>
      <w:bookmarkStart w:id="330" w:name="_Toc98857772"/>
      <w:r w:rsidRPr="00E04F0C">
        <w:t>8.</w:t>
      </w:r>
      <w:r w:rsidRPr="00E04F0C">
        <w:tab/>
      </w:r>
      <w:r w:rsidR="3982CBDC">
        <w:rPr>
          <w:noProof/>
        </w:rPr>
        <w:t>Preferred option</w:t>
      </w:r>
      <w:bookmarkEnd w:id="323"/>
      <w:bookmarkEnd w:id="324"/>
      <w:bookmarkEnd w:id="325"/>
      <w:bookmarkEnd w:id="326"/>
      <w:bookmarkEnd w:id="327"/>
      <w:bookmarkEnd w:id="328"/>
      <w:bookmarkEnd w:id="329"/>
      <w:bookmarkEnd w:id="330"/>
    </w:p>
    <w:p w14:paraId="2CB42848" w14:textId="6B8F0D15" w:rsidR="000B63D5" w:rsidRDefault="3982CBDC" w:rsidP="3982CBDC">
      <w:pPr>
        <w:spacing w:after="120"/>
        <w:rPr>
          <w:rFonts w:eastAsia="Times New Roman" w:cs="Times New Roman"/>
          <w:noProof/>
        </w:rPr>
      </w:pPr>
      <w:r w:rsidRPr="00944196">
        <w:rPr>
          <w:rFonts w:cs="Times New Roman"/>
          <w:bCs/>
          <w:noProof/>
        </w:rPr>
        <w:t>The preferred Option 2</w:t>
      </w:r>
      <w:r w:rsidR="00124225">
        <w:rPr>
          <w:rFonts w:cs="Times New Roman"/>
          <w:noProof/>
        </w:rPr>
        <w:t xml:space="preserve"> will ascertain a significant amount of additional savings</w:t>
      </w:r>
      <w:r w:rsidR="002B28E2">
        <w:rPr>
          <w:rFonts w:cs="Times New Roman"/>
          <w:noProof/>
        </w:rPr>
        <w:t xml:space="preserve"> </w:t>
      </w:r>
      <w:r w:rsidR="00F854AA">
        <w:rPr>
          <w:rFonts w:cs="Times New Roman"/>
          <w:noProof/>
        </w:rPr>
        <w:t>while stimulating</w:t>
      </w:r>
      <w:r w:rsidR="002B28E2">
        <w:rPr>
          <w:rFonts w:cs="Times New Roman"/>
          <w:noProof/>
        </w:rPr>
        <w:t xml:space="preserve"> green technologies and setting the scene for a better application of the rules</w:t>
      </w:r>
      <w:r w:rsidR="00944196">
        <w:rPr>
          <w:rFonts w:cs="Times New Roman"/>
          <w:noProof/>
        </w:rPr>
        <w:t xml:space="preserve"> and monitoring</w:t>
      </w:r>
      <w:r w:rsidR="00AE1BB5">
        <w:rPr>
          <w:rFonts w:cs="Times New Roman"/>
          <w:noProof/>
        </w:rPr>
        <w:t xml:space="preserve">. </w:t>
      </w:r>
      <w:r w:rsidR="242421DD" w:rsidRPr="1CE7CFA7">
        <w:rPr>
          <w:rFonts w:eastAsia="Times New Roman" w:cs="Times New Roman"/>
          <w:noProof/>
        </w:rPr>
        <w:t xml:space="preserve">In the </w:t>
      </w:r>
      <w:r w:rsidR="242421DD" w:rsidRPr="005F3D1A">
        <w:rPr>
          <w:rFonts w:eastAsia="Times New Roman" w:cs="Times New Roman"/>
          <w:b/>
          <w:noProof/>
        </w:rPr>
        <w:t xml:space="preserve">2030 context, </w:t>
      </w:r>
      <w:r w:rsidR="00C740D0" w:rsidRPr="005F3D1A">
        <w:rPr>
          <w:rFonts w:eastAsia="Times New Roman" w:cs="Times New Roman"/>
          <w:b/>
          <w:noProof/>
        </w:rPr>
        <w:t>saving</w:t>
      </w:r>
      <w:r w:rsidR="00944196" w:rsidRPr="005F3D1A">
        <w:rPr>
          <w:rFonts w:eastAsia="Times New Roman" w:cs="Times New Roman"/>
          <w:b/>
          <w:noProof/>
        </w:rPr>
        <w:t>s</w:t>
      </w:r>
      <w:r w:rsidR="00C740D0" w:rsidRPr="005F3D1A">
        <w:rPr>
          <w:rFonts w:eastAsia="Times New Roman" w:cs="Times New Roman"/>
          <w:b/>
          <w:noProof/>
        </w:rPr>
        <w:t xml:space="preserve"> of cumulatively 40 MtCO2e between 2024 and 2030</w:t>
      </w:r>
      <w:r w:rsidR="00C740D0">
        <w:rPr>
          <w:rFonts w:eastAsia="Times New Roman" w:cs="Times New Roman"/>
          <w:noProof/>
        </w:rPr>
        <w:t xml:space="preserve"> </w:t>
      </w:r>
      <w:r w:rsidR="4B313F96" w:rsidRPr="1CE7CFA7">
        <w:rPr>
          <w:rFonts w:eastAsia="Times New Roman" w:cs="Times New Roman"/>
          <w:noProof/>
        </w:rPr>
        <w:t xml:space="preserve">will </w:t>
      </w:r>
      <w:r w:rsidR="33997574" w:rsidRPr="1CE7CFA7">
        <w:rPr>
          <w:rFonts w:eastAsia="Times New Roman" w:cs="Times New Roman"/>
          <w:noProof/>
        </w:rPr>
        <w:t xml:space="preserve">complement the efforts taken in Member States </w:t>
      </w:r>
      <w:r w:rsidR="00944196">
        <w:rPr>
          <w:rFonts w:eastAsia="Times New Roman" w:cs="Times New Roman"/>
          <w:noProof/>
        </w:rPr>
        <w:t>to reach their targets under the ESR</w:t>
      </w:r>
      <w:r w:rsidR="00C740D0">
        <w:rPr>
          <w:rFonts w:eastAsia="Times New Roman" w:cs="Times New Roman"/>
          <w:noProof/>
        </w:rPr>
        <w:t xml:space="preserve"> </w:t>
      </w:r>
      <w:r w:rsidR="07AB51AB" w:rsidRPr="1CE7CFA7">
        <w:rPr>
          <w:rFonts w:eastAsia="Times New Roman" w:cs="Times New Roman"/>
          <w:noProof/>
        </w:rPr>
        <w:t>in a cost-effective way</w:t>
      </w:r>
      <w:r w:rsidR="54CB34FD" w:rsidRPr="1CE7CFA7">
        <w:rPr>
          <w:rFonts w:eastAsia="Times New Roman" w:cs="Times New Roman"/>
          <w:noProof/>
        </w:rPr>
        <w:t>. Th</w:t>
      </w:r>
      <w:r w:rsidR="00C740D0">
        <w:rPr>
          <w:rFonts w:eastAsia="Times New Roman" w:cs="Times New Roman"/>
          <w:noProof/>
        </w:rPr>
        <w:t xml:space="preserve">ese savings will </w:t>
      </w:r>
      <w:r w:rsidR="54CB34FD" w:rsidRPr="1CE7CFA7">
        <w:rPr>
          <w:rFonts w:eastAsia="Times New Roman" w:cs="Times New Roman"/>
          <w:noProof/>
        </w:rPr>
        <w:t>come</w:t>
      </w:r>
      <w:r w:rsidR="242421DD" w:rsidRPr="1CE7CFA7">
        <w:rPr>
          <w:rFonts w:eastAsia="Times New Roman" w:cs="Times New Roman"/>
          <w:noProof/>
        </w:rPr>
        <w:t xml:space="preserve"> </w:t>
      </w:r>
      <w:r w:rsidR="00944196">
        <w:rPr>
          <w:rFonts w:eastAsia="Times New Roman" w:cs="Times New Roman"/>
          <w:noProof/>
        </w:rPr>
        <w:t>on top of</w:t>
      </w:r>
      <w:r w:rsidR="7970CE2B" w:rsidRPr="1CE7CFA7">
        <w:rPr>
          <w:rFonts w:eastAsia="Times New Roman" w:cs="Times New Roman"/>
          <w:noProof/>
        </w:rPr>
        <w:t xml:space="preserve"> the 430 MtCO2e </w:t>
      </w:r>
      <w:r w:rsidR="00944196">
        <w:rPr>
          <w:rFonts w:eastAsia="Times New Roman" w:cs="Times New Roman"/>
          <w:noProof/>
        </w:rPr>
        <w:t xml:space="preserve">estimated to </w:t>
      </w:r>
      <w:r w:rsidR="7970CE2B" w:rsidRPr="1CE7CFA7">
        <w:rPr>
          <w:rFonts w:eastAsia="Times New Roman" w:cs="Times New Roman"/>
          <w:noProof/>
        </w:rPr>
        <w:t>re</w:t>
      </w:r>
      <w:r w:rsidR="00944196">
        <w:rPr>
          <w:rFonts w:eastAsia="Times New Roman" w:cs="Times New Roman"/>
          <w:noProof/>
        </w:rPr>
        <w:t>sult</w:t>
      </w:r>
      <w:r w:rsidR="37EEC0D1" w:rsidRPr="1CE7CFA7">
        <w:rPr>
          <w:rFonts w:eastAsia="Times New Roman" w:cs="Times New Roman"/>
          <w:noProof/>
        </w:rPr>
        <w:t xml:space="preserve"> from the </w:t>
      </w:r>
      <w:r w:rsidR="7970CE2B" w:rsidRPr="1CE7CFA7">
        <w:rPr>
          <w:rFonts w:eastAsia="Times New Roman" w:cs="Times New Roman"/>
          <w:noProof/>
        </w:rPr>
        <w:t>current Regulation</w:t>
      </w:r>
      <w:r w:rsidR="00944196">
        <w:rPr>
          <w:rFonts w:eastAsia="Times New Roman" w:cs="Times New Roman"/>
          <w:noProof/>
        </w:rPr>
        <w:t xml:space="preserve"> (baseline vs counterfactual</w:t>
      </w:r>
      <w:r w:rsidR="00E26FAF">
        <w:rPr>
          <w:rFonts w:eastAsia="Times New Roman" w:cs="Times New Roman"/>
          <w:noProof/>
        </w:rPr>
        <w:t xml:space="preserve"> until 2030</w:t>
      </w:r>
      <w:r w:rsidR="00944196">
        <w:rPr>
          <w:rFonts w:eastAsia="Times New Roman" w:cs="Times New Roman"/>
          <w:noProof/>
        </w:rPr>
        <w:t>, see</w:t>
      </w:r>
      <w:r w:rsidR="00E26FAF">
        <w:rPr>
          <w:rFonts w:eastAsia="Times New Roman" w:cs="Times New Roman"/>
          <w:noProof/>
        </w:rPr>
        <w:t xml:space="preserve"> A5.6.2.1.1</w:t>
      </w:r>
      <w:r w:rsidR="00944196">
        <w:rPr>
          <w:rFonts w:eastAsia="Times New Roman" w:cs="Times New Roman"/>
          <w:noProof/>
        </w:rPr>
        <w:t>)</w:t>
      </w:r>
      <w:r w:rsidR="7E87554B" w:rsidRPr="1CE7CFA7">
        <w:rPr>
          <w:rFonts w:eastAsia="Times New Roman" w:cs="Times New Roman"/>
          <w:noProof/>
        </w:rPr>
        <w:t>.</w:t>
      </w:r>
      <w:r w:rsidR="7970CE2B" w:rsidRPr="1CE7CFA7">
        <w:rPr>
          <w:rFonts w:eastAsia="Times New Roman" w:cs="Times New Roman"/>
          <w:noProof/>
        </w:rPr>
        <w:t xml:space="preserve"> </w:t>
      </w:r>
      <w:r w:rsidR="7726A4B6" w:rsidRPr="002E3860">
        <w:rPr>
          <w:rFonts w:eastAsia="Times New Roman" w:cs="Times New Roman"/>
          <w:b/>
          <w:noProof/>
        </w:rPr>
        <w:t xml:space="preserve">By 2050 the </w:t>
      </w:r>
      <w:r w:rsidR="00E26FAF" w:rsidRPr="002E3860">
        <w:rPr>
          <w:rFonts w:eastAsia="Times New Roman" w:cs="Times New Roman"/>
          <w:b/>
          <w:noProof/>
        </w:rPr>
        <w:t xml:space="preserve">additional </w:t>
      </w:r>
      <w:r w:rsidR="7726A4B6" w:rsidRPr="002E3860">
        <w:rPr>
          <w:rFonts w:eastAsia="Times New Roman" w:cs="Times New Roman"/>
          <w:b/>
          <w:noProof/>
        </w:rPr>
        <w:t xml:space="preserve">savings </w:t>
      </w:r>
      <w:r w:rsidR="00E26FAF" w:rsidRPr="002E3860">
        <w:rPr>
          <w:rFonts w:eastAsia="Times New Roman" w:cs="Times New Roman"/>
          <w:b/>
          <w:noProof/>
        </w:rPr>
        <w:t xml:space="preserve">of Option 2 </w:t>
      </w:r>
      <w:r w:rsidR="7726A4B6" w:rsidRPr="002E3860">
        <w:rPr>
          <w:rFonts w:eastAsia="Times New Roman" w:cs="Times New Roman"/>
          <w:b/>
          <w:noProof/>
        </w:rPr>
        <w:t>will be ca. 310 MtCO2e</w:t>
      </w:r>
      <w:r w:rsidR="7726A4B6" w:rsidRPr="09830E29">
        <w:rPr>
          <w:rFonts w:eastAsia="Times New Roman" w:cs="Times New Roman"/>
          <w:noProof/>
        </w:rPr>
        <w:t>.</w:t>
      </w:r>
      <w:r w:rsidR="6C1FCC88" w:rsidRPr="09830E29">
        <w:rPr>
          <w:rFonts w:eastAsia="Times New Roman" w:cs="Times New Roman"/>
          <w:noProof/>
        </w:rPr>
        <w:t xml:space="preserve"> </w:t>
      </w:r>
      <w:r w:rsidR="203898C6" w:rsidRPr="589F7AD4">
        <w:rPr>
          <w:rFonts w:eastAsia="Times New Roman" w:cs="Times New Roman"/>
          <w:noProof/>
        </w:rPr>
        <w:t xml:space="preserve">This </w:t>
      </w:r>
      <w:r w:rsidR="00C740D0">
        <w:rPr>
          <w:rFonts w:eastAsia="Times New Roman" w:cs="Times New Roman"/>
          <w:noProof/>
        </w:rPr>
        <w:t xml:space="preserve">means that </w:t>
      </w:r>
      <w:r w:rsidR="00E26FAF">
        <w:rPr>
          <w:rFonts w:eastAsia="Times New Roman" w:cs="Times New Roman"/>
          <w:noProof/>
        </w:rPr>
        <w:t xml:space="preserve">the residual </w:t>
      </w:r>
      <w:r w:rsidR="00C740D0">
        <w:rPr>
          <w:rFonts w:eastAsia="Times New Roman" w:cs="Times New Roman"/>
          <w:noProof/>
        </w:rPr>
        <w:t xml:space="preserve">annual </w:t>
      </w:r>
      <w:r w:rsidR="00C740D0" w:rsidRPr="002E3860">
        <w:rPr>
          <w:rFonts w:eastAsia="Times New Roman" w:cs="Times New Roman"/>
          <w:b/>
          <w:noProof/>
        </w:rPr>
        <w:t xml:space="preserve">F-gas emissions </w:t>
      </w:r>
      <w:r w:rsidR="002E3860" w:rsidRPr="002E3860">
        <w:rPr>
          <w:rFonts w:eastAsia="Times New Roman" w:cs="Times New Roman"/>
          <w:b/>
          <w:noProof/>
        </w:rPr>
        <w:t>in 2050</w:t>
      </w:r>
      <w:r w:rsidR="00C740D0" w:rsidRPr="002E3860">
        <w:rPr>
          <w:rFonts w:eastAsia="Times New Roman" w:cs="Times New Roman"/>
          <w:b/>
          <w:noProof/>
        </w:rPr>
        <w:t xml:space="preserve"> are estimated to be </w:t>
      </w:r>
      <w:r w:rsidR="00E26FAF" w:rsidRPr="002E3860">
        <w:rPr>
          <w:rFonts w:eastAsia="Times New Roman" w:cs="Times New Roman"/>
          <w:b/>
          <w:noProof/>
        </w:rPr>
        <w:t>only 1</w:t>
      </w:r>
      <w:r w:rsidR="00ED6AA4">
        <w:rPr>
          <w:rFonts w:eastAsia="Times New Roman" w:cs="Times New Roman"/>
          <w:b/>
          <w:noProof/>
        </w:rPr>
        <w:t>4</w:t>
      </w:r>
      <w:r w:rsidR="00C740D0" w:rsidRPr="002E3860">
        <w:rPr>
          <w:rFonts w:eastAsia="Times New Roman" w:cs="Times New Roman"/>
          <w:b/>
          <w:noProof/>
        </w:rPr>
        <w:t xml:space="preserve"> MtCO2e</w:t>
      </w:r>
      <w:r w:rsidR="00E26FAF">
        <w:rPr>
          <w:rFonts w:eastAsia="Times New Roman" w:cs="Times New Roman"/>
          <w:noProof/>
        </w:rPr>
        <w:t xml:space="preserve"> (see Annex A11.1.3)</w:t>
      </w:r>
      <w:r w:rsidR="23703988" w:rsidRPr="00E26FAF">
        <w:rPr>
          <w:rFonts w:eastAsia="Times New Roman" w:cs="Times New Roman"/>
          <w:noProof/>
        </w:rPr>
        <w:t>.</w:t>
      </w:r>
      <w:r w:rsidR="23703988" w:rsidRPr="589F7AD4">
        <w:rPr>
          <w:rFonts w:eastAsia="Times New Roman" w:cs="Times New Roman"/>
          <w:noProof/>
        </w:rPr>
        <w:t xml:space="preserve"> </w:t>
      </w:r>
      <w:r w:rsidR="00C740D0">
        <w:rPr>
          <w:rFonts w:eastAsia="Times New Roman" w:cs="Times New Roman"/>
          <w:noProof/>
        </w:rPr>
        <w:t xml:space="preserve">Option 2 </w:t>
      </w:r>
      <w:r w:rsidR="23703988" w:rsidRPr="589F7AD4">
        <w:rPr>
          <w:rFonts w:eastAsia="Times New Roman" w:cs="Times New Roman"/>
          <w:noProof/>
        </w:rPr>
        <w:t xml:space="preserve">is </w:t>
      </w:r>
      <w:r w:rsidR="00ED6AA4">
        <w:rPr>
          <w:rFonts w:eastAsia="Times New Roman" w:cs="Times New Roman"/>
          <w:noProof/>
        </w:rPr>
        <w:t xml:space="preserve">thus </w:t>
      </w:r>
      <w:r w:rsidR="23703988" w:rsidRPr="589F7AD4">
        <w:rPr>
          <w:rFonts w:eastAsia="Times New Roman" w:cs="Times New Roman"/>
          <w:noProof/>
        </w:rPr>
        <w:t xml:space="preserve">considered to be compatible with </w:t>
      </w:r>
      <w:r w:rsidR="00C740D0">
        <w:rPr>
          <w:rFonts w:eastAsia="Times New Roman" w:cs="Times New Roman"/>
          <w:noProof/>
        </w:rPr>
        <w:t>reaching net climate neutrality by 2050</w:t>
      </w:r>
      <w:r w:rsidR="00ED6AA4">
        <w:rPr>
          <w:rFonts w:eastAsia="Times New Roman" w:cs="Times New Roman"/>
          <w:noProof/>
        </w:rPr>
        <w:t xml:space="preserve">, reducing the need for </w:t>
      </w:r>
      <w:r w:rsidR="1A7164B0" w:rsidRPr="0D7FF422">
        <w:rPr>
          <w:rFonts w:eastAsia="Times New Roman" w:cs="Times New Roman"/>
          <w:noProof/>
        </w:rPr>
        <w:t>carbon-removal policies</w:t>
      </w:r>
      <w:r w:rsidR="002B28E2">
        <w:rPr>
          <w:rFonts w:eastAsia="Times New Roman" w:cs="Times New Roman"/>
          <w:noProof/>
        </w:rPr>
        <w:t xml:space="preserve"> to compensate for emissions that cannot be avoided in 2050 to achieve net climate neutrality</w:t>
      </w:r>
      <w:r w:rsidR="1A7164B0" w:rsidRPr="0D7FF422">
        <w:rPr>
          <w:rFonts w:eastAsia="Times New Roman" w:cs="Times New Roman"/>
          <w:noProof/>
        </w:rPr>
        <w:t>.</w:t>
      </w:r>
      <w:r w:rsidR="242421DD" w:rsidRPr="1CE7CFA7">
        <w:rPr>
          <w:rFonts w:eastAsia="Times New Roman" w:cs="Times New Roman"/>
          <w:noProof/>
        </w:rPr>
        <w:t xml:space="preserve"> </w:t>
      </w:r>
    </w:p>
    <w:p w14:paraId="449826E6" w14:textId="144AD2FB" w:rsidR="00E73E85" w:rsidRDefault="00AE1BB5" w:rsidP="00AF4318">
      <w:pPr>
        <w:spacing w:after="120"/>
        <w:rPr>
          <w:rFonts w:eastAsia="Times New Roman" w:cs="Times New Roman"/>
          <w:noProof/>
          <w:szCs w:val="24"/>
        </w:rPr>
      </w:pPr>
      <w:r>
        <w:rPr>
          <w:rFonts w:cs="Times New Roman"/>
          <w:noProof/>
        </w:rPr>
        <w:t xml:space="preserve">The Option will also fully align </w:t>
      </w:r>
      <w:r w:rsidR="00206845">
        <w:rPr>
          <w:rFonts w:cs="Times New Roman"/>
          <w:noProof/>
        </w:rPr>
        <w:t xml:space="preserve">the EU </w:t>
      </w:r>
      <w:r>
        <w:rPr>
          <w:rFonts w:cs="Times New Roman"/>
          <w:noProof/>
        </w:rPr>
        <w:t xml:space="preserve">with international rules and ensure better control at a moderate increase in admin burden for industry and authorities. </w:t>
      </w:r>
      <w:r w:rsidR="00124791">
        <w:rPr>
          <w:rFonts w:cs="Times New Roman"/>
          <w:noProof/>
        </w:rPr>
        <w:t xml:space="preserve">The changes to the rules should allow for an effective enforcement, tackling the identified existing challenges, in particular those linked to illegal trade. </w:t>
      </w:r>
      <w:r>
        <w:rPr>
          <w:rFonts w:cs="Times New Roman"/>
          <w:noProof/>
        </w:rPr>
        <w:t>The efficiency of the monitoring rules will be improved at the sam</w:t>
      </w:r>
      <w:r w:rsidR="00206845">
        <w:rPr>
          <w:rFonts w:cs="Times New Roman"/>
          <w:noProof/>
        </w:rPr>
        <w:t xml:space="preserve">e time as extending the rules to cover new </w:t>
      </w:r>
      <w:r>
        <w:rPr>
          <w:rFonts w:cs="Times New Roman"/>
          <w:noProof/>
        </w:rPr>
        <w:t>aspects</w:t>
      </w:r>
      <w:r w:rsidR="00206845">
        <w:rPr>
          <w:rFonts w:cs="Times New Roman"/>
          <w:noProof/>
        </w:rPr>
        <w:t xml:space="preserve"> that have become relevant</w:t>
      </w:r>
      <w:r>
        <w:rPr>
          <w:rFonts w:cs="Times New Roman"/>
          <w:noProof/>
        </w:rPr>
        <w:t xml:space="preserve">. </w:t>
      </w:r>
      <w:r w:rsidR="002B28E2">
        <w:rPr>
          <w:rFonts w:cs="Times New Roman"/>
          <w:noProof/>
        </w:rPr>
        <w:t>The necessary technological adjustment leads to cost savings overall and in many sub-sectors, due to lower energy costs for the users.</w:t>
      </w:r>
      <w:r w:rsidR="000B63D5">
        <w:rPr>
          <w:rFonts w:cs="Times New Roman"/>
          <w:noProof/>
        </w:rPr>
        <w:t xml:space="preserve"> However, there are some costs for end-users that are not switching to alternatives as a result of higher prices of HFCs under a reinforced quota system.</w:t>
      </w:r>
      <w:r w:rsidR="002B28E2">
        <w:rPr>
          <w:rFonts w:cs="Times New Roman"/>
          <w:noProof/>
        </w:rPr>
        <w:t xml:space="preserve"> </w:t>
      </w:r>
      <w:r w:rsidR="000B63D5">
        <w:rPr>
          <w:rFonts w:cs="Times New Roman"/>
          <w:noProof/>
        </w:rPr>
        <w:t>Nonetheless, i</w:t>
      </w:r>
      <w:r w:rsidR="002B28E2">
        <w:rPr>
          <w:rFonts w:cs="Times New Roman"/>
          <w:noProof/>
        </w:rPr>
        <w:t xml:space="preserve">n the longer run some sectors of the economy will profit from the technology conversion, leading to higher output, </w:t>
      </w:r>
      <w:r w:rsidR="000B63D5">
        <w:rPr>
          <w:rFonts w:cs="Times New Roman"/>
          <w:noProof/>
        </w:rPr>
        <w:t>innovation</w:t>
      </w:r>
      <w:r w:rsidR="002B28E2">
        <w:rPr>
          <w:rFonts w:cs="Times New Roman"/>
          <w:noProof/>
        </w:rPr>
        <w:t xml:space="preserve"> and employment. </w:t>
      </w:r>
      <w:r w:rsidR="00B42D02">
        <w:rPr>
          <w:rFonts w:cs="Times New Roman"/>
          <w:noProof/>
        </w:rPr>
        <w:t xml:space="preserve">As confirmed by stakeholders the types of measures in Option 2 have EU added value. Consequently, the </w:t>
      </w:r>
      <w:r w:rsidR="00D3042F">
        <w:rPr>
          <w:rFonts w:cs="Times New Roman"/>
          <w:noProof/>
        </w:rPr>
        <w:t xml:space="preserve">level of benefits achieved could not have been achieved as cost efficiently for industry and Member States by introducing </w:t>
      </w:r>
      <w:r w:rsidR="00D3042F" w:rsidRPr="353B927E">
        <w:rPr>
          <w:rFonts w:eastAsia="Times New Roman" w:cs="Times New Roman"/>
          <w:noProof/>
          <w:szCs w:val="24"/>
        </w:rPr>
        <w:t xml:space="preserve">27 different </w:t>
      </w:r>
      <w:r w:rsidR="00D3042F">
        <w:rPr>
          <w:rFonts w:eastAsia="Times New Roman" w:cs="Times New Roman"/>
          <w:noProof/>
          <w:szCs w:val="24"/>
        </w:rPr>
        <w:t xml:space="preserve">additional F-gas </w:t>
      </w:r>
      <w:r w:rsidR="00D3042F" w:rsidRPr="353B927E">
        <w:rPr>
          <w:rFonts w:eastAsia="Times New Roman" w:cs="Times New Roman"/>
          <w:noProof/>
          <w:szCs w:val="24"/>
        </w:rPr>
        <w:t>policies</w:t>
      </w:r>
      <w:r w:rsidR="00D3042F">
        <w:rPr>
          <w:rFonts w:eastAsia="Times New Roman" w:cs="Times New Roman"/>
          <w:noProof/>
          <w:szCs w:val="24"/>
        </w:rPr>
        <w:t xml:space="preserve"> in Member States</w:t>
      </w:r>
      <w:r w:rsidR="00B42D02">
        <w:rPr>
          <w:rFonts w:eastAsia="Times New Roman" w:cs="Times New Roman"/>
          <w:noProof/>
          <w:szCs w:val="24"/>
        </w:rPr>
        <w:t>.</w:t>
      </w:r>
      <w:r w:rsidR="00FC200F">
        <w:rPr>
          <w:rFonts w:eastAsia="Times New Roman" w:cs="Times New Roman"/>
          <w:noProof/>
          <w:szCs w:val="24"/>
        </w:rPr>
        <w:t xml:space="preserve"> </w:t>
      </w:r>
      <w:r w:rsidR="00AF4318">
        <w:rPr>
          <w:rFonts w:eastAsia="Times New Roman" w:cs="Times New Roman"/>
          <w:noProof/>
          <w:szCs w:val="24"/>
        </w:rPr>
        <w:t xml:space="preserve">The administrative costs at the level of the individual measures retained in the preferred option are given in </w:t>
      </w:r>
      <w:r w:rsidR="00AF4318" w:rsidRPr="00AF4318">
        <w:rPr>
          <w:rFonts w:eastAsia="Times New Roman" w:cs="Times New Roman"/>
          <w:noProof/>
          <w:szCs w:val="24"/>
        </w:rPr>
        <w:fldChar w:fldCharType="begin"/>
      </w:r>
      <w:r w:rsidR="00AF4318" w:rsidRPr="00AF4318">
        <w:rPr>
          <w:rFonts w:eastAsia="Times New Roman" w:cs="Times New Roman"/>
          <w:noProof/>
          <w:szCs w:val="24"/>
        </w:rPr>
        <w:instrText xml:space="preserve"> REF _Ref96950529 \h  \* MERGEFORMAT </w:instrText>
      </w:r>
      <w:r w:rsidR="00AF4318" w:rsidRPr="00AF4318">
        <w:rPr>
          <w:rFonts w:eastAsia="Times New Roman" w:cs="Times New Roman"/>
          <w:noProof/>
          <w:szCs w:val="24"/>
        </w:rPr>
      </w:r>
      <w:r w:rsidR="00AF4318" w:rsidRPr="00AF4318">
        <w:rPr>
          <w:rFonts w:eastAsia="Times New Roman" w:cs="Times New Roman"/>
          <w:noProof/>
          <w:szCs w:val="24"/>
        </w:rPr>
        <w:fldChar w:fldCharType="separate"/>
      </w:r>
      <w:r w:rsidR="00AF4318" w:rsidRPr="00AF4318">
        <w:rPr>
          <w:rFonts w:cs="Times New Roman"/>
          <w:noProof/>
        </w:rPr>
        <w:t>Table 11</w:t>
      </w:r>
      <w:r w:rsidR="00AF4318" w:rsidRPr="00AF4318">
        <w:rPr>
          <w:rFonts w:eastAsia="Times New Roman" w:cs="Times New Roman"/>
          <w:noProof/>
          <w:szCs w:val="24"/>
        </w:rPr>
        <w:fldChar w:fldCharType="end"/>
      </w:r>
      <w:r w:rsidR="006B5CC1">
        <w:rPr>
          <w:rFonts w:eastAsia="Times New Roman" w:cs="Times New Roman"/>
          <w:noProof/>
          <w:szCs w:val="24"/>
        </w:rPr>
        <w:t xml:space="preserve"> and Annex A3</w:t>
      </w:r>
      <w:r w:rsidR="00AF4318" w:rsidRPr="00AF4318">
        <w:rPr>
          <w:rFonts w:eastAsia="Times New Roman" w:cs="Times New Roman"/>
          <w:noProof/>
          <w:szCs w:val="24"/>
        </w:rPr>
        <w:t>.</w:t>
      </w:r>
    </w:p>
    <w:p w14:paraId="4AA65046" w14:textId="77777777" w:rsidR="00AF4318" w:rsidRPr="00652C88" w:rsidRDefault="00AF4318" w:rsidP="00AF4318">
      <w:pPr>
        <w:spacing w:after="120"/>
        <w:rPr>
          <w:rFonts w:eastAsia="Times New Roman" w:cs="Times New Roman"/>
          <w:noProof/>
          <w:szCs w:val="24"/>
        </w:rPr>
        <w:sectPr w:rsidR="00AF4318" w:rsidRPr="00652C88" w:rsidSect="00497C18">
          <w:headerReference w:type="even" r:id="rId39"/>
          <w:headerReference w:type="default" r:id="rId40"/>
          <w:footerReference w:type="even" r:id="rId41"/>
          <w:footerReference w:type="default" r:id="rId42"/>
          <w:headerReference w:type="first" r:id="rId43"/>
          <w:footerReference w:type="first" r:id="rId44"/>
          <w:pgSz w:w="11906" w:h="16838"/>
          <w:pgMar w:top="1440" w:right="1440" w:bottom="1440" w:left="1440" w:header="708" w:footer="708" w:gutter="0"/>
          <w:pgNumType w:start="1"/>
          <w:cols w:space="708"/>
          <w:docGrid w:linePitch="360"/>
        </w:sectPr>
      </w:pPr>
    </w:p>
    <w:p w14:paraId="5F4498D7" w14:textId="27B77D0C" w:rsidR="00CB6D8C" w:rsidRPr="00CB6D8C" w:rsidRDefault="00E61C70" w:rsidP="00CB6D8C">
      <w:pPr>
        <w:pStyle w:val="Caption"/>
        <w:rPr>
          <w:rFonts w:asciiTheme="minorHAnsi" w:hAnsiTheme="minorHAnsi" w:cstheme="minorHAnsi"/>
          <w:noProof/>
        </w:rPr>
      </w:pPr>
      <w:r w:rsidRPr="00E61C70">
        <w:rPr>
          <w:rFonts w:asciiTheme="minorHAnsi" w:hAnsiTheme="minorHAnsi" w:cstheme="minorHAnsi"/>
          <w:b/>
          <w:noProof/>
        </w:rPr>
        <w:t xml:space="preserve">Table </w:t>
      </w:r>
      <w:r w:rsidRPr="00E61C70">
        <w:rPr>
          <w:rFonts w:asciiTheme="minorHAnsi" w:hAnsiTheme="minorHAnsi" w:cstheme="minorHAnsi"/>
          <w:b/>
          <w:noProof/>
        </w:rPr>
        <w:fldChar w:fldCharType="begin"/>
      </w:r>
      <w:r w:rsidRPr="00E61C70">
        <w:rPr>
          <w:rFonts w:asciiTheme="minorHAnsi" w:hAnsiTheme="minorHAnsi" w:cstheme="minorHAnsi"/>
          <w:b/>
          <w:noProof/>
        </w:rPr>
        <w:instrText xml:space="preserve"> SEQ Table \* ARABIC </w:instrText>
      </w:r>
      <w:r w:rsidRPr="00E61C70">
        <w:rPr>
          <w:rFonts w:asciiTheme="minorHAnsi" w:hAnsiTheme="minorHAnsi" w:cstheme="minorHAnsi"/>
          <w:b/>
          <w:noProof/>
        </w:rPr>
        <w:fldChar w:fldCharType="separate"/>
      </w:r>
      <w:r w:rsidR="00830261">
        <w:rPr>
          <w:rFonts w:asciiTheme="minorHAnsi" w:hAnsiTheme="minorHAnsi" w:cstheme="minorHAnsi"/>
          <w:b/>
          <w:noProof/>
        </w:rPr>
        <w:t>10</w:t>
      </w:r>
      <w:r w:rsidRPr="00E61C70">
        <w:rPr>
          <w:rFonts w:asciiTheme="minorHAnsi" w:hAnsiTheme="minorHAnsi" w:cstheme="minorHAnsi"/>
          <w:b/>
          <w:noProof/>
        </w:rPr>
        <w:fldChar w:fldCharType="end"/>
      </w:r>
      <w:r w:rsidRPr="00E61C70">
        <w:rPr>
          <w:rFonts w:asciiTheme="minorHAnsi" w:hAnsiTheme="minorHAnsi" w:cstheme="minorHAnsi"/>
          <w:b/>
          <w:noProof/>
        </w:rPr>
        <w:t>.</w:t>
      </w:r>
      <w:r w:rsidRPr="00E61C70">
        <w:rPr>
          <w:rFonts w:asciiTheme="minorHAnsi" w:hAnsiTheme="minorHAnsi" w:cstheme="minorHAnsi"/>
          <w:noProof/>
        </w:rPr>
        <w:t xml:space="preserve"> Detailed impacts of the preferred Option 2.</w:t>
      </w:r>
    </w:p>
    <w:tbl>
      <w:tblPr>
        <w:tblStyle w:val="Mainbidtables111"/>
        <w:tblW w:w="14567" w:type="dxa"/>
        <w:tblLayout w:type="fixed"/>
        <w:tblLook w:val="04A0" w:firstRow="1" w:lastRow="0" w:firstColumn="1" w:lastColumn="0" w:noHBand="0" w:noVBand="1"/>
      </w:tblPr>
      <w:tblGrid>
        <w:gridCol w:w="390"/>
        <w:gridCol w:w="1845"/>
        <w:gridCol w:w="3827"/>
        <w:gridCol w:w="2835"/>
        <w:gridCol w:w="1559"/>
        <w:gridCol w:w="1843"/>
        <w:gridCol w:w="1134"/>
        <w:gridCol w:w="1134"/>
      </w:tblGrid>
      <w:tr w:rsidR="00A96CD6" w:rsidRPr="002D7B40" w14:paraId="14CFD141" w14:textId="77777777" w:rsidTr="005D4198">
        <w:trPr>
          <w:cnfStyle w:val="100000000000" w:firstRow="1" w:lastRow="0" w:firstColumn="0" w:lastColumn="0" w:oddVBand="0" w:evenVBand="0" w:oddHBand="0" w:evenHBand="0" w:firstRowFirstColumn="0" w:firstRowLastColumn="0" w:lastRowFirstColumn="0" w:lastRowLastColumn="0"/>
          <w:cantSplit/>
          <w:trHeight w:hRule="exact" w:val="680"/>
        </w:trPr>
        <w:tc>
          <w:tcPr>
            <w:tcW w:w="2235" w:type="dxa"/>
            <w:gridSpan w:val="2"/>
            <w:tcBorders>
              <w:bottom w:val="single" w:sz="4" w:space="0" w:color="auto"/>
            </w:tcBorders>
            <w:noWrap/>
            <w:vAlign w:val="top"/>
            <w:hideMark/>
          </w:tcPr>
          <w:p w14:paraId="6B9A345F" w14:textId="4714763C" w:rsidR="00E23E0E" w:rsidRPr="005D4198" w:rsidRDefault="00E73E85" w:rsidP="00A96CD6">
            <w:pPr>
              <w:jc w:val="center"/>
              <w:rPr>
                <w:rFonts w:ascii="Calibri" w:hAnsi="Calibri" w:cs="Calibri"/>
                <w:b/>
                <w:noProof/>
                <w:sz w:val="16"/>
                <w:szCs w:val="16"/>
              </w:rPr>
            </w:pPr>
            <w:r w:rsidRPr="002D7B40">
              <w:rPr>
                <w:rFonts w:ascii="Calibri" w:hAnsi="Calibri" w:cs="Calibri"/>
                <w:b/>
                <w:noProof/>
                <w:sz w:val="16"/>
                <w:szCs w:val="16"/>
              </w:rPr>
              <w:t>Measures</w:t>
            </w:r>
          </w:p>
        </w:tc>
        <w:tc>
          <w:tcPr>
            <w:tcW w:w="3827" w:type="dxa"/>
            <w:noWrap/>
            <w:vAlign w:val="top"/>
            <w:hideMark/>
          </w:tcPr>
          <w:p w14:paraId="15D81ADF" w14:textId="4E55B3DF" w:rsidR="00E73E85" w:rsidRPr="002D7B40" w:rsidRDefault="00E73E85" w:rsidP="00A96CD6">
            <w:pPr>
              <w:jc w:val="center"/>
              <w:rPr>
                <w:rFonts w:ascii="Calibri" w:hAnsi="Calibri" w:cs="Calibri"/>
                <w:b/>
                <w:noProof/>
                <w:sz w:val="16"/>
                <w:szCs w:val="16"/>
              </w:rPr>
            </w:pPr>
            <w:r w:rsidRPr="002D7B40">
              <w:rPr>
                <w:rFonts w:ascii="Calibri" w:hAnsi="Calibri" w:cs="Calibri"/>
                <w:b/>
                <w:noProof/>
                <w:sz w:val="16"/>
                <w:szCs w:val="16"/>
              </w:rPr>
              <w:t>Environment</w:t>
            </w:r>
          </w:p>
        </w:tc>
        <w:tc>
          <w:tcPr>
            <w:tcW w:w="6237" w:type="dxa"/>
            <w:gridSpan w:val="3"/>
            <w:tcBorders>
              <w:bottom w:val="single" w:sz="4" w:space="0" w:color="F2DBDB" w:themeColor="accent2" w:themeTint="33"/>
            </w:tcBorders>
            <w:noWrap/>
            <w:vAlign w:val="top"/>
            <w:hideMark/>
          </w:tcPr>
          <w:p w14:paraId="3134C92E" w14:textId="77777777" w:rsidR="005D4198" w:rsidRDefault="00E73E85" w:rsidP="005D4198">
            <w:pPr>
              <w:jc w:val="left"/>
              <w:rPr>
                <w:rFonts w:ascii="Calibri" w:hAnsi="Calibri" w:cs="Calibri"/>
                <w:noProof/>
                <w:sz w:val="16"/>
                <w:szCs w:val="16"/>
              </w:rPr>
            </w:pPr>
            <w:r w:rsidRPr="002D7B40">
              <w:rPr>
                <w:rFonts w:ascii="Calibri" w:hAnsi="Calibri" w:cs="Calibri"/>
                <w:b/>
                <w:noProof/>
                <w:sz w:val="16"/>
                <w:szCs w:val="16"/>
              </w:rPr>
              <w:t>Economic impacts</w:t>
            </w:r>
            <w:r w:rsidRPr="002D7B40">
              <w:rPr>
                <w:rFonts w:ascii="Calibri" w:hAnsi="Calibri" w:cs="Calibri"/>
                <w:noProof/>
                <w:sz w:val="16"/>
                <w:szCs w:val="16"/>
              </w:rPr>
              <w:t xml:space="preserve"> – cost increases or savings</w:t>
            </w:r>
          </w:p>
          <w:p w14:paraId="1E8BA851" w14:textId="452B825B" w:rsidR="00E73E85" w:rsidRPr="002D7B40" w:rsidRDefault="00E73E85" w:rsidP="005D4198">
            <w:pPr>
              <w:jc w:val="left"/>
              <w:rPr>
                <w:rFonts w:ascii="Calibri" w:hAnsi="Calibri" w:cs="Calibri"/>
                <w:noProof/>
                <w:sz w:val="16"/>
                <w:szCs w:val="16"/>
              </w:rPr>
            </w:pPr>
            <w:r>
              <w:rPr>
                <w:rFonts w:ascii="Calibri" w:hAnsi="Calibri" w:cs="Calibri"/>
                <w:noProof/>
                <w:sz w:val="16"/>
                <w:szCs w:val="16"/>
              </w:rPr>
              <w:t>(per year unless stated otherwise)</w:t>
            </w:r>
          </w:p>
        </w:tc>
        <w:tc>
          <w:tcPr>
            <w:tcW w:w="1134" w:type="dxa"/>
            <w:vAlign w:val="top"/>
            <w:hideMark/>
          </w:tcPr>
          <w:p w14:paraId="74BBF140" w14:textId="0C1529F0" w:rsidR="00A96CD6" w:rsidRPr="00886422" w:rsidRDefault="00E73E85" w:rsidP="000F75D6">
            <w:pPr>
              <w:rPr>
                <w:rFonts w:asciiTheme="minorHAnsi" w:hAnsiTheme="minorHAnsi" w:cstheme="minorHAnsi"/>
                <w:noProof/>
                <w:color w:val="000000" w:themeColor="text1"/>
                <w:sz w:val="16"/>
                <w:szCs w:val="16"/>
              </w:rPr>
            </w:pPr>
            <w:r>
              <w:rPr>
                <w:rFonts w:ascii="Calibri" w:hAnsi="Calibri" w:cs="Calibri"/>
                <w:b/>
                <w:noProof/>
                <w:sz w:val="16"/>
                <w:szCs w:val="16"/>
              </w:rPr>
              <w:t>Macro</w:t>
            </w:r>
            <w:r w:rsidR="00957843">
              <w:rPr>
                <w:rFonts w:ascii="Calibri" w:hAnsi="Calibri" w:cs="Calibri"/>
                <w:b/>
                <w:noProof/>
                <w:sz w:val="16"/>
                <w:szCs w:val="16"/>
              </w:rPr>
              <w:t>-</w:t>
            </w:r>
            <w:r>
              <w:rPr>
                <w:rFonts w:ascii="Calibri" w:hAnsi="Calibri" w:cs="Calibri"/>
                <w:b/>
                <w:noProof/>
                <w:sz w:val="16"/>
                <w:szCs w:val="16"/>
              </w:rPr>
              <w:t>economic effects</w:t>
            </w:r>
          </w:p>
        </w:tc>
        <w:tc>
          <w:tcPr>
            <w:tcW w:w="1134" w:type="dxa"/>
            <w:vAlign w:val="top"/>
          </w:tcPr>
          <w:p w14:paraId="6EC4F3F4" w14:textId="3935725D" w:rsidR="00E73E85" w:rsidRPr="002D7B40" w:rsidRDefault="00E73E85" w:rsidP="00A96CD6">
            <w:pPr>
              <w:spacing w:before="0"/>
              <w:jc w:val="center"/>
              <w:rPr>
                <w:rFonts w:ascii="Calibri" w:hAnsi="Calibri" w:cs="Calibri"/>
                <w:b/>
                <w:noProof/>
                <w:sz w:val="16"/>
                <w:szCs w:val="16"/>
              </w:rPr>
            </w:pPr>
            <w:r w:rsidRPr="002D7B40">
              <w:rPr>
                <w:rFonts w:ascii="Calibri" w:hAnsi="Calibri" w:cs="Calibri"/>
                <w:noProof/>
                <w:sz w:val="16"/>
                <w:szCs w:val="16"/>
              </w:rPr>
              <w:br/>
            </w:r>
            <w:r w:rsidR="006165C7">
              <w:rPr>
                <w:rFonts w:ascii="Calibri" w:hAnsi="Calibri" w:cs="Calibri"/>
                <w:b/>
                <w:noProof/>
                <w:sz w:val="16"/>
                <w:szCs w:val="16"/>
              </w:rPr>
              <w:t>S</w:t>
            </w:r>
            <w:r w:rsidRPr="002D7B40">
              <w:rPr>
                <w:rFonts w:ascii="Calibri" w:hAnsi="Calibri" w:cs="Calibri"/>
                <w:b/>
                <w:noProof/>
                <w:sz w:val="16"/>
                <w:szCs w:val="16"/>
              </w:rPr>
              <w:t>ocial</w:t>
            </w:r>
            <w:r w:rsidR="006165C7">
              <w:rPr>
                <w:rFonts w:ascii="Calibri" w:hAnsi="Calibri" w:cs="Calibri"/>
                <w:b/>
                <w:noProof/>
                <w:sz w:val="16"/>
                <w:szCs w:val="16"/>
              </w:rPr>
              <w:t xml:space="preserve"> effects</w:t>
            </w:r>
          </w:p>
        </w:tc>
      </w:tr>
      <w:tr w:rsidR="00E23E0E" w:rsidRPr="002D7B40" w14:paraId="02EB09E9" w14:textId="77777777" w:rsidTr="00F979DD">
        <w:trPr>
          <w:cnfStyle w:val="000000100000" w:firstRow="0" w:lastRow="0" w:firstColumn="0" w:lastColumn="0" w:oddVBand="0" w:evenVBand="0" w:oddHBand="1" w:evenHBand="0" w:firstRowFirstColumn="0" w:firstRowLastColumn="0" w:lastRowFirstColumn="0" w:lastRowLastColumn="0"/>
          <w:trHeight w:val="70"/>
        </w:trPr>
        <w:tc>
          <w:tcPr>
            <w:tcW w:w="2235" w:type="dxa"/>
            <w:gridSpan w:val="2"/>
            <w:tcBorders>
              <w:top w:val="single" w:sz="4" w:space="0" w:color="auto"/>
            </w:tcBorders>
            <w:noWrap/>
          </w:tcPr>
          <w:p w14:paraId="7DC5699A" w14:textId="77777777" w:rsidR="00E73E85" w:rsidRPr="002D7B40" w:rsidRDefault="00E73E85" w:rsidP="00025717">
            <w:pPr>
              <w:jc w:val="center"/>
              <w:rPr>
                <w:rFonts w:ascii="Calibri" w:hAnsi="Calibri" w:cs="Calibri"/>
                <w:b/>
                <w:noProof/>
                <w:sz w:val="16"/>
                <w:szCs w:val="16"/>
              </w:rPr>
            </w:pPr>
          </w:p>
        </w:tc>
        <w:tc>
          <w:tcPr>
            <w:tcW w:w="3827" w:type="dxa"/>
            <w:noWrap/>
          </w:tcPr>
          <w:p w14:paraId="197135B4" w14:textId="77777777" w:rsidR="00E73E85" w:rsidRPr="002D7B40" w:rsidRDefault="00E73E85" w:rsidP="00025717">
            <w:pPr>
              <w:jc w:val="center"/>
              <w:rPr>
                <w:rFonts w:ascii="Calibri" w:hAnsi="Calibri" w:cs="Calibri"/>
                <w:b/>
                <w:noProof/>
                <w:sz w:val="16"/>
                <w:szCs w:val="16"/>
              </w:rPr>
            </w:pPr>
          </w:p>
        </w:tc>
        <w:tc>
          <w:tcPr>
            <w:tcW w:w="2835" w:type="dxa"/>
            <w:tcBorders>
              <w:top w:val="single" w:sz="4" w:space="0" w:color="F2DBDB" w:themeColor="accent2" w:themeTint="33"/>
              <w:right w:val="single" w:sz="4" w:space="0" w:color="F2DBDB" w:themeColor="accent2" w:themeTint="33"/>
            </w:tcBorders>
            <w:noWrap/>
          </w:tcPr>
          <w:p w14:paraId="2725FE81" w14:textId="0011456B" w:rsidR="00E73E85" w:rsidRPr="004A476A" w:rsidRDefault="00E73E85" w:rsidP="00070D5C">
            <w:pPr>
              <w:jc w:val="center"/>
              <w:rPr>
                <w:rFonts w:ascii="Calibri" w:hAnsi="Calibri" w:cs="Calibri"/>
                <w:b/>
                <w:noProof/>
                <w:sz w:val="16"/>
                <w:szCs w:val="16"/>
              </w:rPr>
            </w:pPr>
            <w:r w:rsidRPr="005D4198">
              <w:rPr>
                <w:rFonts w:ascii="Calibri" w:hAnsi="Calibri" w:cs="Calibri"/>
                <w:b/>
                <w:noProof/>
                <w:sz w:val="16"/>
                <w:szCs w:val="16"/>
              </w:rPr>
              <w:t>Business</w:t>
            </w:r>
          </w:p>
        </w:tc>
        <w:tc>
          <w:tcPr>
            <w:tcW w:w="1559" w:type="dxa"/>
            <w:tcBorders>
              <w:top w:val="single" w:sz="4" w:space="0" w:color="F2DBDB" w:themeColor="accent2" w:themeTint="33"/>
              <w:left w:val="single" w:sz="4" w:space="0" w:color="F2DBDB" w:themeColor="accent2" w:themeTint="33"/>
              <w:right w:val="single" w:sz="4" w:space="0" w:color="F2DBDB" w:themeColor="accent2" w:themeTint="33"/>
            </w:tcBorders>
          </w:tcPr>
          <w:p w14:paraId="26EB2F62" w14:textId="29D8C5EC" w:rsidR="00E73E85" w:rsidRPr="004A476A" w:rsidRDefault="00E73E85" w:rsidP="00070D5C">
            <w:pPr>
              <w:jc w:val="center"/>
              <w:rPr>
                <w:rFonts w:ascii="Calibri" w:hAnsi="Calibri" w:cs="Calibri"/>
                <w:b/>
                <w:noProof/>
                <w:sz w:val="16"/>
                <w:szCs w:val="16"/>
              </w:rPr>
            </w:pPr>
            <w:r w:rsidRPr="005D4198">
              <w:rPr>
                <w:rFonts w:ascii="Calibri" w:hAnsi="Calibri" w:cs="Calibri"/>
                <w:b/>
                <w:noProof/>
                <w:sz w:val="16"/>
                <w:szCs w:val="16"/>
              </w:rPr>
              <w:t>Member States</w:t>
            </w:r>
          </w:p>
        </w:tc>
        <w:tc>
          <w:tcPr>
            <w:tcW w:w="1843" w:type="dxa"/>
            <w:tcBorders>
              <w:top w:val="single" w:sz="4" w:space="0" w:color="F2DBDB" w:themeColor="accent2" w:themeTint="33"/>
              <w:left w:val="single" w:sz="4" w:space="0" w:color="F2DBDB" w:themeColor="accent2" w:themeTint="33"/>
            </w:tcBorders>
          </w:tcPr>
          <w:p w14:paraId="1785D9A7" w14:textId="5085FB7C" w:rsidR="00E73E85" w:rsidRPr="004A476A" w:rsidRDefault="00E73E85" w:rsidP="00070D5C">
            <w:pPr>
              <w:jc w:val="center"/>
              <w:rPr>
                <w:rFonts w:ascii="Calibri" w:hAnsi="Calibri" w:cs="Calibri"/>
                <w:b/>
                <w:noProof/>
                <w:sz w:val="16"/>
                <w:szCs w:val="16"/>
              </w:rPr>
            </w:pPr>
            <w:r w:rsidRPr="005D4198">
              <w:rPr>
                <w:rFonts w:ascii="Calibri" w:hAnsi="Calibri" w:cs="Calibri"/>
                <w:b/>
                <w:noProof/>
                <w:sz w:val="16"/>
                <w:szCs w:val="16"/>
              </w:rPr>
              <w:t>EC/EEA</w:t>
            </w:r>
          </w:p>
        </w:tc>
        <w:tc>
          <w:tcPr>
            <w:tcW w:w="1134" w:type="dxa"/>
          </w:tcPr>
          <w:p w14:paraId="434773EC" w14:textId="77777777" w:rsidR="00E73E85" w:rsidRPr="002D7B40" w:rsidRDefault="00E73E85" w:rsidP="00E62BD3">
            <w:pPr>
              <w:jc w:val="center"/>
              <w:rPr>
                <w:rFonts w:ascii="Calibri" w:hAnsi="Calibri" w:cs="Calibri"/>
                <w:b/>
                <w:noProof/>
                <w:sz w:val="16"/>
                <w:szCs w:val="16"/>
              </w:rPr>
            </w:pPr>
          </w:p>
        </w:tc>
        <w:tc>
          <w:tcPr>
            <w:tcW w:w="1134" w:type="dxa"/>
          </w:tcPr>
          <w:p w14:paraId="77A1529B" w14:textId="07E3A541" w:rsidR="00E73E85" w:rsidRPr="002D7B40" w:rsidRDefault="00E73E85" w:rsidP="00E62BD3">
            <w:pPr>
              <w:spacing w:before="0"/>
              <w:jc w:val="center"/>
              <w:rPr>
                <w:rFonts w:ascii="Calibri" w:hAnsi="Calibri" w:cs="Calibri"/>
                <w:b/>
                <w:noProof/>
                <w:sz w:val="16"/>
                <w:szCs w:val="16"/>
              </w:rPr>
            </w:pPr>
          </w:p>
        </w:tc>
      </w:tr>
      <w:tr w:rsidR="0052717A" w:rsidRPr="00A14107" w14:paraId="6B6454AE" w14:textId="77777777" w:rsidTr="00556316">
        <w:trPr>
          <w:cnfStyle w:val="000000010000" w:firstRow="0" w:lastRow="0" w:firstColumn="0" w:lastColumn="0" w:oddVBand="0" w:evenVBand="0" w:oddHBand="0" w:evenHBand="1" w:firstRowFirstColumn="0" w:firstRowLastColumn="0" w:lastRowFirstColumn="0" w:lastRowLastColumn="0"/>
          <w:trHeight w:val="1154"/>
        </w:trPr>
        <w:tc>
          <w:tcPr>
            <w:tcW w:w="390" w:type="dxa"/>
            <w:vMerge w:val="restart"/>
            <w:shd w:val="clear" w:color="auto" w:fill="FFFFFF" w:themeFill="background1"/>
            <w:noWrap/>
          </w:tcPr>
          <w:p w14:paraId="7CEEE3CD" w14:textId="77777777" w:rsidR="00E73E85" w:rsidRPr="00A14107" w:rsidRDefault="00E73E85" w:rsidP="00E62BD3">
            <w:pPr>
              <w:spacing w:before="0"/>
              <w:rPr>
                <w:rFonts w:cstheme="minorHAnsi"/>
                <w:noProof/>
                <w:color w:val="000000" w:themeColor="text1"/>
                <w:sz w:val="16"/>
                <w:szCs w:val="16"/>
              </w:rPr>
            </w:pPr>
            <w:r>
              <w:rPr>
                <w:rFonts w:asciiTheme="minorHAnsi" w:hAnsiTheme="minorHAnsi" w:cstheme="minorHAnsi"/>
                <w:noProof/>
                <w:color w:val="000000" w:themeColor="text1"/>
                <w:sz w:val="16"/>
                <w:szCs w:val="16"/>
              </w:rPr>
              <w:t>A</w:t>
            </w:r>
          </w:p>
        </w:tc>
        <w:tc>
          <w:tcPr>
            <w:tcW w:w="1845" w:type="dxa"/>
            <w:vMerge w:val="restart"/>
            <w:tcBorders>
              <w:top w:val="single" w:sz="4" w:space="0" w:color="auto"/>
              <w:left w:val="single" w:sz="4" w:space="0" w:color="auto"/>
              <w:right w:val="single" w:sz="4" w:space="0" w:color="auto"/>
            </w:tcBorders>
            <w:noWrap/>
          </w:tcPr>
          <w:p w14:paraId="3E2E710A" w14:textId="77777777" w:rsidR="00E73E85" w:rsidRDefault="00E73E85" w:rsidP="00E62BD3">
            <w:pPr>
              <w:spacing w:before="0"/>
              <w:jc w:val="left"/>
              <w:rPr>
                <w:rFonts w:asciiTheme="minorHAnsi" w:hAnsiTheme="minorHAnsi" w:cstheme="minorHAnsi"/>
                <w:b/>
                <w:noProof/>
                <w:color w:val="000000" w:themeColor="text1"/>
                <w:sz w:val="16"/>
                <w:szCs w:val="16"/>
              </w:rPr>
            </w:pPr>
            <w:r>
              <w:rPr>
                <w:rFonts w:asciiTheme="minorHAnsi" w:hAnsiTheme="minorHAnsi" w:cstheme="minorHAnsi"/>
                <w:b/>
                <w:noProof/>
                <w:color w:val="000000" w:themeColor="text1"/>
                <w:sz w:val="16"/>
                <w:szCs w:val="16"/>
              </w:rPr>
              <w:t>RAISING AMBITION:</w:t>
            </w:r>
          </w:p>
          <w:p w14:paraId="73A63C8F" w14:textId="6F7A341F" w:rsidR="00E73E85" w:rsidRPr="00886422" w:rsidRDefault="00E73E85" w:rsidP="00E62BD3">
            <w:pPr>
              <w:spacing w:before="0"/>
              <w:jc w:val="left"/>
              <w:rPr>
                <w:rFonts w:asciiTheme="minorHAnsi" w:hAnsiTheme="minorHAnsi" w:cstheme="minorHAnsi"/>
                <w:b/>
                <w:noProof/>
                <w:color w:val="000000" w:themeColor="text1"/>
                <w:sz w:val="16"/>
                <w:szCs w:val="16"/>
              </w:rPr>
            </w:pPr>
            <w:r w:rsidRPr="00886422">
              <w:rPr>
                <w:rFonts w:asciiTheme="minorHAnsi" w:hAnsiTheme="minorHAnsi" w:cstheme="minorHAnsi"/>
                <w:b/>
                <w:noProof/>
                <w:color w:val="000000" w:themeColor="text1"/>
                <w:sz w:val="16"/>
                <w:szCs w:val="16"/>
              </w:rPr>
              <w:t xml:space="preserve">Phase-down, Prohibitions, </w:t>
            </w:r>
          </w:p>
          <w:p w14:paraId="4B6E3B5A" w14:textId="77777777" w:rsidR="00E73E85" w:rsidRPr="00886422" w:rsidRDefault="00E73E85" w:rsidP="00E62BD3">
            <w:pPr>
              <w:spacing w:before="0"/>
              <w:jc w:val="left"/>
              <w:rPr>
                <w:rFonts w:asciiTheme="minorHAnsi" w:hAnsiTheme="minorHAnsi" w:cstheme="minorHAnsi"/>
                <w:noProof/>
                <w:color w:val="000000" w:themeColor="text1"/>
                <w:sz w:val="16"/>
                <w:szCs w:val="16"/>
              </w:rPr>
            </w:pPr>
            <w:r w:rsidRPr="00886422">
              <w:rPr>
                <w:rFonts w:asciiTheme="minorHAnsi" w:hAnsiTheme="minorHAnsi" w:cstheme="minorHAnsi"/>
                <w:b/>
                <w:noProof/>
                <w:color w:val="000000" w:themeColor="text1"/>
                <w:sz w:val="16"/>
                <w:szCs w:val="16"/>
              </w:rPr>
              <w:t>Emission prevention Recovery obligations</w:t>
            </w:r>
            <w:r w:rsidRPr="00886422">
              <w:rPr>
                <w:rFonts w:asciiTheme="minorHAnsi" w:hAnsiTheme="minorHAnsi" w:cstheme="minorHAnsi"/>
                <w:noProof/>
                <w:color w:val="000000" w:themeColor="text1"/>
                <w:sz w:val="16"/>
                <w:szCs w:val="16"/>
              </w:rPr>
              <w:t xml:space="preserve"> </w:t>
            </w:r>
          </w:p>
          <w:p w14:paraId="5EE7B9D8" w14:textId="77777777" w:rsidR="00E73E85" w:rsidRPr="00886422" w:rsidRDefault="00E73E85" w:rsidP="00E62BD3">
            <w:pPr>
              <w:spacing w:before="0"/>
              <w:rPr>
                <w:rFonts w:asciiTheme="minorHAnsi" w:hAnsiTheme="minorHAnsi" w:cstheme="minorHAnsi"/>
                <w:noProof/>
                <w:color w:val="000000" w:themeColor="text1"/>
                <w:sz w:val="16"/>
                <w:szCs w:val="16"/>
              </w:rPr>
            </w:pPr>
          </w:p>
        </w:tc>
        <w:tc>
          <w:tcPr>
            <w:tcW w:w="3827" w:type="dxa"/>
            <w:vMerge w:val="restart"/>
            <w:tcBorders>
              <w:top w:val="single" w:sz="4" w:space="0" w:color="auto"/>
              <w:left w:val="single" w:sz="4" w:space="0" w:color="auto"/>
              <w:right w:val="single" w:sz="4" w:space="0" w:color="auto"/>
            </w:tcBorders>
            <w:shd w:val="clear" w:color="auto" w:fill="00B050"/>
            <w:noWrap/>
            <w:vAlign w:val="top"/>
          </w:tcPr>
          <w:p w14:paraId="7AD17E9D" w14:textId="73122016" w:rsidR="00E73E85" w:rsidRPr="00886422" w:rsidRDefault="00E73E85" w:rsidP="00D4166B">
            <w:pPr>
              <w:spacing w:before="0"/>
              <w:jc w:val="center"/>
              <w:rPr>
                <w:rFonts w:asciiTheme="minorHAnsi" w:hAnsiTheme="minorHAnsi" w:cstheme="minorHAnsi"/>
                <w:b/>
                <w:noProof/>
                <w:color w:val="000000" w:themeColor="text1"/>
                <w:sz w:val="16"/>
                <w:szCs w:val="16"/>
              </w:rPr>
            </w:pPr>
            <w:r w:rsidRPr="00886422">
              <w:rPr>
                <w:rFonts w:asciiTheme="minorHAnsi" w:hAnsiTheme="minorHAnsi" w:cstheme="minorHAnsi"/>
                <w:b/>
                <w:noProof/>
                <w:color w:val="000000" w:themeColor="text1"/>
                <w:sz w:val="16"/>
                <w:szCs w:val="16"/>
              </w:rPr>
              <w:t>++</w:t>
            </w:r>
            <w:r>
              <w:rPr>
                <w:rFonts w:asciiTheme="minorHAnsi" w:hAnsiTheme="minorHAnsi" w:cstheme="minorHAnsi"/>
                <w:b/>
                <w:noProof/>
                <w:color w:val="000000" w:themeColor="text1"/>
                <w:sz w:val="16"/>
                <w:szCs w:val="16"/>
              </w:rPr>
              <w:t>(+</w:t>
            </w:r>
            <w:r w:rsidRPr="00886422">
              <w:rPr>
                <w:rFonts w:asciiTheme="minorHAnsi" w:hAnsiTheme="minorHAnsi" w:cstheme="minorHAnsi"/>
                <w:b/>
                <w:noProof/>
                <w:color w:val="000000" w:themeColor="text1"/>
                <w:sz w:val="16"/>
                <w:szCs w:val="16"/>
              </w:rPr>
              <w:t>)</w:t>
            </w:r>
          </w:p>
          <w:p w14:paraId="115720A9" w14:textId="51E1D453" w:rsidR="00E73E85" w:rsidRPr="00886422" w:rsidRDefault="00E73E85" w:rsidP="005D4198">
            <w:pPr>
              <w:jc w:val="center"/>
              <w:rPr>
                <w:rFonts w:asciiTheme="minorHAnsi" w:hAnsiTheme="minorHAnsi" w:cstheme="minorHAnsi"/>
                <w:noProof/>
                <w:color w:val="000000" w:themeColor="text1"/>
                <w:sz w:val="16"/>
                <w:szCs w:val="16"/>
              </w:rPr>
            </w:pPr>
            <w:r w:rsidRPr="00886422">
              <w:rPr>
                <w:rFonts w:asciiTheme="minorHAnsi" w:hAnsiTheme="minorHAnsi" w:cstheme="minorHAnsi"/>
                <w:noProof/>
                <w:color w:val="000000" w:themeColor="text1"/>
                <w:sz w:val="16"/>
                <w:szCs w:val="16"/>
              </w:rPr>
              <w:t xml:space="preserve">From phase-down &amp; prohibitions: Savings of </w:t>
            </w:r>
            <w:r w:rsidR="002E3860">
              <w:rPr>
                <w:rFonts w:asciiTheme="minorHAnsi" w:hAnsiTheme="minorHAnsi" w:cstheme="minorHAnsi"/>
                <w:noProof/>
                <w:color w:val="000000" w:themeColor="text1"/>
                <w:sz w:val="16"/>
                <w:szCs w:val="16"/>
              </w:rPr>
              <w:t xml:space="preserve">                </w:t>
            </w:r>
            <w:r w:rsidRPr="00886422">
              <w:rPr>
                <w:rFonts w:asciiTheme="minorHAnsi" w:hAnsiTheme="minorHAnsi" w:cstheme="minorHAnsi"/>
                <w:noProof/>
                <w:color w:val="000000" w:themeColor="text1"/>
                <w:sz w:val="16"/>
                <w:szCs w:val="16"/>
              </w:rPr>
              <w:t>27 MtCO2e by 2030;</w:t>
            </w:r>
          </w:p>
          <w:p w14:paraId="13AC4C5E" w14:textId="358A2FC3" w:rsidR="00E73E85" w:rsidRPr="00886422" w:rsidRDefault="00E73E85" w:rsidP="005D4198">
            <w:pPr>
              <w:spacing w:before="0"/>
              <w:jc w:val="center"/>
              <w:rPr>
                <w:rFonts w:asciiTheme="minorHAnsi" w:hAnsiTheme="minorHAnsi" w:cstheme="minorHAnsi"/>
                <w:noProof/>
                <w:color w:val="000000" w:themeColor="text1"/>
                <w:sz w:val="16"/>
                <w:szCs w:val="16"/>
              </w:rPr>
            </w:pPr>
            <w:r w:rsidRPr="00886422">
              <w:rPr>
                <w:rFonts w:asciiTheme="minorHAnsi" w:hAnsiTheme="minorHAnsi" w:cstheme="minorHAnsi"/>
                <w:noProof/>
                <w:color w:val="000000" w:themeColor="text1"/>
                <w:sz w:val="16"/>
                <w:szCs w:val="16"/>
              </w:rPr>
              <w:t>253 MtCO2e by 2050</w:t>
            </w:r>
          </w:p>
          <w:p w14:paraId="3C9E96E6" w14:textId="0578D963" w:rsidR="00E73E85" w:rsidRPr="00886422" w:rsidRDefault="00E73E85" w:rsidP="005D4198">
            <w:pPr>
              <w:jc w:val="center"/>
              <w:rPr>
                <w:rFonts w:asciiTheme="minorHAnsi" w:hAnsiTheme="minorHAnsi" w:cstheme="minorHAnsi"/>
                <w:noProof/>
                <w:color w:val="000000" w:themeColor="text1"/>
                <w:sz w:val="16"/>
                <w:szCs w:val="16"/>
              </w:rPr>
            </w:pPr>
            <w:r>
              <w:rPr>
                <w:rFonts w:asciiTheme="minorHAnsi" w:hAnsiTheme="minorHAnsi" w:cstheme="minorHAnsi"/>
                <w:noProof/>
                <w:color w:val="000000" w:themeColor="text1"/>
                <w:sz w:val="16"/>
                <w:szCs w:val="16"/>
              </w:rPr>
              <w:t xml:space="preserve">In addition: At least 55 MtCO2e savings by 2050 from expanded  </w:t>
            </w:r>
            <w:r w:rsidRPr="00886422">
              <w:rPr>
                <w:rFonts w:asciiTheme="minorHAnsi" w:hAnsiTheme="minorHAnsi" w:cstheme="minorHAnsi"/>
                <w:noProof/>
                <w:color w:val="000000" w:themeColor="text1"/>
                <w:sz w:val="16"/>
                <w:szCs w:val="16"/>
              </w:rPr>
              <w:t>emission prevention measure</w:t>
            </w:r>
            <w:r>
              <w:rPr>
                <w:rFonts w:asciiTheme="minorHAnsi" w:hAnsiTheme="minorHAnsi" w:cstheme="minorHAnsi"/>
                <w:noProof/>
                <w:color w:val="000000" w:themeColor="text1"/>
                <w:sz w:val="16"/>
                <w:szCs w:val="16"/>
              </w:rPr>
              <w:t>s and foam collection (13</w:t>
            </w:r>
            <w:r w:rsidRPr="00886422">
              <w:rPr>
                <w:rFonts w:asciiTheme="minorHAnsi" w:hAnsiTheme="minorHAnsi" w:cstheme="minorHAnsi"/>
                <w:noProof/>
                <w:color w:val="000000" w:themeColor="text1"/>
                <w:sz w:val="16"/>
                <w:szCs w:val="16"/>
              </w:rPr>
              <w:t xml:space="preserve"> MtCO2e by 2030)</w:t>
            </w:r>
          </w:p>
          <w:p w14:paraId="1FA654DB" w14:textId="438DFF0E" w:rsidR="00E73E85" w:rsidRPr="00886422" w:rsidRDefault="00E73E85" w:rsidP="005D4198">
            <w:pPr>
              <w:spacing w:before="0"/>
              <w:jc w:val="center"/>
              <w:rPr>
                <w:rFonts w:asciiTheme="minorHAnsi" w:hAnsiTheme="minorHAnsi" w:cstheme="minorHAnsi"/>
                <w:noProof/>
                <w:color w:val="000000" w:themeColor="text1"/>
                <w:sz w:val="16"/>
                <w:szCs w:val="16"/>
              </w:rPr>
            </w:pPr>
            <w:r w:rsidRPr="00886422">
              <w:rPr>
                <w:rFonts w:asciiTheme="minorHAnsi" w:hAnsiTheme="minorHAnsi" w:cstheme="minorHAnsi"/>
                <w:noProof/>
                <w:color w:val="000000" w:themeColor="text1"/>
                <w:sz w:val="16"/>
                <w:szCs w:val="16"/>
              </w:rPr>
              <w:t>Some energy savings</w:t>
            </w:r>
          </w:p>
        </w:tc>
        <w:tc>
          <w:tcPr>
            <w:tcW w:w="2835" w:type="dxa"/>
            <w:tcBorders>
              <w:top w:val="single" w:sz="4" w:space="0" w:color="auto"/>
              <w:left w:val="single" w:sz="4" w:space="0" w:color="auto"/>
              <w:bottom w:val="single" w:sz="4" w:space="0" w:color="00B050"/>
              <w:right w:val="single" w:sz="4" w:space="0" w:color="auto"/>
            </w:tcBorders>
            <w:shd w:val="clear" w:color="auto" w:fill="00B050"/>
          </w:tcPr>
          <w:p w14:paraId="0FC8DABC" w14:textId="4167C1ED" w:rsidR="00E73E85" w:rsidRPr="00BA2D24" w:rsidRDefault="00E73E85" w:rsidP="00BA2D24">
            <w:pPr>
              <w:spacing w:before="0"/>
              <w:jc w:val="center"/>
              <w:rPr>
                <w:rFonts w:asciiTheme="minorHAnsi" w:hAnsiTheme="minorHAnsi" w:cstheme="minorHAnsi"/>
                <w:b/>
                <w:noProof/>
                <w:color w:val="000000" w:themeColor="text1"/>
                <w:sz w:val="16"/>
                <w:szCs w:val="16"/>
              </w:rPr>
            </w:pPr>
            <w:r w:rsidRPr="00886422">
              <w:rPr>
                <w:rFonts w:asciiTheme="minorHAnsi" w:hAnsiTheme="minorHAnsi" w:cstheme="minorHAnsi"/>
                <w:b/>
                <w:noProof/>
                <w:color w:val="000000" w:themeColor="text1"/>
                <w:sz w:val="16"/>
                <w:szCs w:val="16"/>
              </w:rPr>
              <w:t>(+)</w:t>
            </w:r>
            <w:r>
              <w:rPr>
                <w:rFonts w:asciiTheme="minorHAnsi" w:hAnsiTheme="minorHAnsi" w:cstheme="minorHAnsi"/>
                <w:b/>
                <w:noProof/>
                <w:color w:val="000000" w:themeColor="text1"/>
                <w:sz w:val="16"/>
                <w:szCs w:val="16"/>
              </w:rPr>
              <w:t xml:space="preserve"> </w:t>
            </w:r>
            <w:r>
              <w:rPr>
                <w:rFonts w:asciiTheme="minorHAnsi" w:hAnsiTheme="minorHAnsi" w:cstheme="minorHAnsi"/>
                <w:noProof/>
                <w:color w:val="000000" w:themeColor="text1"/>
                <w:sz w:val="16"/>
                <w:szCs w:val="16"/>
              </w:rPr>
              <w:t>Abatement</w:t>
            </w:r>
            <w:r w:rsidRPr="00886422">
              <w:rPr>
                <w:rFonts w:asciiTheme="minorHAnsi" w:hAnsiTheme="minorHAnsi" w:cstheme="minorHAnsi"/>
                <w:noProof/>
                <w:color w:val="000000" w:themeColor="text1"/>
                <w:sz w:val="16"/>
                <w:szCs w:val="16"/>
              </w:rPr>
              <w:t xml:space="preserve">: </w:t>
            </w:r>
          </w:p>
          <w:p w14:paraId="277C2003" w14:textId="76D198E1" w:rsidR="00E73E85" w:rsidRPr="00886422" w:rsidRDefault="00E73E85" w:rsidP="00290FE5">
            <w:pPr>
              <w:spacing w:before="0"/>
              <w:jc w:val="center"/>
              <w:rPr>
                <w:rFonts w:asciiTheme="minorHAnsi" w:hAnsiTheme="minorHAnsi" w:cstheme="minorHAnsi"/>
                <w:noProof/>
                <w:color w:val="000000" w:themeColor="text1"/>
                <w:sz w:val="16"/>
                <w:szCs w:val="16"/>
              </w:rPr>
            </w:pPr>
            <w:r>
              <w:rPr>
                <w:rFonts w:asciiTheme="minorHAnsi" w:hAnsiTheme="minorHAnsi" w:cstheme="minorHAnsi"/>
                <w:noProof/>
                <w:color w:val="000000" w:themeColor="text1"/>
                <w:sz w:val="16"/>
                <w:szCs w:val="16"/>
              </w:rPr>
              <w:t xml:space="preserve">Overall </w:t>
            </w:r>
            <w:r w:rsidR="0030662A">
              <w:rPr>
                <w:rFonts w:asciiTheme="minorHAnsi" w:hAnsiTheme="minorHAnsi" w:cstheme="minorHAnsi"/>
                <w:noProof/>
                <w:color w:val="000000" w:themeColor="text1"/>
                <w:sz w:val="16"/>
                <w:szCs w:val="16"/>
              </w:rPr>
              <w:t>€-36</w:t>
            </w:r>
            <w:r w:rsidRPr="00886422">
              <w:rPr>
                <w:rFonts w:asciiTheme="minorHAnsi" w:hAnsiTheme="minorHAnsi" w:cstheme="minorHAnsi"/>
                <w:noProof/>
                <w:color w:val="000000" w:themeColor="text1"/>
                <w:sz w:val="16"/>
                <w:szCs w:val="16"/>
              </w:rPr>
              <w:t xml:space="preserve">/tCO2e technology change cost savings (2024-2036 average); </w:t>
            </w:r>
          </w:p>
        </w:tc>
        <w:tc>
          <w:tcPr>
            <w:tcW w:w="1559" w:type="dxa"/>
            <w:vMerge w:val="restart"/>
            <w:tcBorders>
              <w:top w:val="single" w:sz="4" w:space="0" w:color="auto"/>
              <w:left w:val="single" w:sz="4" w:space="0" w:color="auto"/>
              <w:right w:val="single" w:sz="4" w:space="0" w:color="auto"/>
            </w:tcBorders>
            <w:shd w:val="clear" w:color="auto" w:fill="D99594" w:themeFill="accent2" w:themeFillTint="99"/>
            <w:noWrap/>
            <w:vAlign w:val="top"/>
          </w:tcPr>
          <w:p w14:paraId="5FE4D207" w14:textId="77777777" w:rsidR="00E73E85" w:rsidRPr="00886422" w:rsidRDefault="00E73E85" w:rsidP="00D4166B">
            <w:pPr>
              <w:spacing w:before="0"/>
              <w:jc w:val="center"/>
              <w:rPr>
                <w:rFonts w:asciiTheme="minorHAnsi" w:hAnsiTheme="minorHAnsi" w:cstheme="minorHAnsi"/>
                <w:noProof/>
                <w:color w:val="000000" w:themeColor="text1"/>
                <w:sz w:val="16"/>
                <w:szCs w:val="16"/>
              </w:rPr>
            </w:pPr>
          </w:p>
          <w:p w14:paraId="685A468F" w14:textId="101D7302" w:rsidR="00E73E85" w:rsidRPr="00886422" w:rsidRDefault="00E73E85" w:rsidP="00D4166B">
            <w:pPr>
              <w:spacing w:before="0"/>
              <w:jc w:val="center"/>
              <w:rPr>
                <w:rFonts w:asciiTheme="minorHAnsi" w:hAnsiTheme="minorHAnsi" w:cstheme="minorHAnsi"/>
                <w:b/>
                <w:noProof/>
                <w:color w:val="000000" w:themeColor="text1"/>
                <w:sz w:val="16"/>
                <w:szCs w:val="16"/>
              </w:rPr>
            </w:pPr>
            <w:r w:rsidRPr="00886422">
              <w:rPr>
                <w:rFonts w:asciiTheme="minorHAnsi" w:hAnsiTheme="minorHAnsi" w:cstheme="minorHAnsi"/>
                <w:b/>
                <w:noProof/>
                <w:color w:val="000000" w:themeColor="text1"/>
                <w:sz w:val="16"/>
                <w:szCs w:val="16"/>
              </w:rPr>
              <w:t>(-</w:t>
            </w:r>
            <w:r>
              <w:rPr>
                <w:rFonts w:asciiTheme="minorHAnsi" w:hAnsiTheme="minorHAnsi" w:cstheme="minorHAnsi"/>
                <w:b/>
                <w:noProof/>
                <w:color w:val="000000" w:themeColor="text1"/>
                <w:sz w:val="16"/>
                <w:szCs w:val="16"/>
              </w:rPr>
              <w:t>-</w:t>
            </w:r>
            <w:r w:rsidRPr="00886422">
              <w:rPr>
                <w:rFonts w:asciiTheme="minorHAnsi" w:hAnsiTheme="minorHAnsi" w:cstheme="minorHAnsi"/>
                <w:b/>
                <w:noProof/>
                <w:color w:val="000000" w:themeColor="text1"/>
                <w:sz w:val="16"/>
                <w:szCs w:val="16"/>
              </w:rPr>
              <w:t>)</w:t>
            </w:r>
          </w:p>
          <w:p w14:paraId="445C5F7C" w14:textId="32FE8CCB" w:rsidR="00E73E85" w:rsidRPr="00886422" w:rsidRDefault="00E73E85" w:rsidP="00D4166B">
            <w:pPr>
              <w:spacing w:before="0"/>
              <w:jc w:val="center"/>
              <w:rPr>
                <w:rFonts w:asciiTheme="minorHAnsi" w:hAnsiTheme="minorHAnsi" w:cstheme="minorHAnsi"/>
                <w:noProof/>
                <w:color w:val="000000" w:themeColor="text1"/>
                <w:sz w:val="16"/>
                <w:szCs w:val="16"/>
              </w:rPr>
            </w:pPr>
            <w:r w:rsidRPr="00886422">
              <w:rPr>
                <w:rFonts w:asciiTheme="minorHAnsi" w:hAnsiTheme="minorHAnsi" w:cstheme="minorHAnsi"/>
                <w:noProof/>
                <w:color w:val="000000" w:themeColor="text1"/>
                <w:sz w:val="16"/>
                <w:szCs w:val="16"/>
              </w:rPr>
              <w:t xml:space="preserve">Admin: 4,850 additional </w:t>
            </w:r>
            <w:r>
              <w:rPr>
                <w:rFonts w:asciiTheme="minorHAnsi" w:hAnsiTheme="minorHAnsi" w:cstheme="minorHAnsi"/>
                <w:noProof/>
                <w:color w:val="000000" w:themeColor="text1"/>
                <w:sz w:val="16"/>
                <w:szCs w:val="16"/>
              </w:rPr>
              <w:t>days</w:t>
            </w:r>
          </w:p>
          <w:p w14:paraId="14F3E8BB" w14:textId="77777777" w:rsidR="00E73E85" w:rsidRPr="00886422" w:rsidRDefault="00E73E85" w:rsidP="00D4166B">
            <w:pPr>
              <w:spacing w:before="0"/>
              <w:jc w:val="center"/>
              <w:rPr>
                <w:rFonts w:asciiTheme="minorHAnsi" w:hAnsiTheme="minorHAnsi" w:cstheme="minorHAnsi"/>
                <w:noProof/>
                <w:color w:val="000000" w:themeColor="text1"/>
                <w:sz w:val="16"/>
                <w:szCs w:val="16"/>
              </w:rPr>
            </w:pPr>
          </w:p>
          <w:p w14:paraId="600BDA51" w14:textId="77777777" w:rsidR="00E73E85" w:rsidRPr="00886422" w:rsidRDefault="00E73E85" w:rsidP="00F979DD">
            <w:pPr>
              <w:spacing w:before="0"/>
              <w:jc w:val="center"/>
              <w:rPr>
                <w:rFonts w:asciiTheme="minorHAnsi" w:hAnsiTheme="minorHAnsi" w:cstheme="minorHAnsi"/>
                <w:noProof/>
                <w:color w:val="000000" w:themeColor="text1"/>
                <w:sz w:val="16"/>
                <w:szCs w:val="16"/>
              </w:rPr>
            </w:pPr>
            <w:r w:rsidRPr="00886422">
              <w:rPr>
                <w:rFonts w:asciiTheme="minorHAnsi" w:hAnsiTheme="minorHAnsi" w:cstheme="minorHAnsi"/>
                <w:noProof/>
                <w:color w:val="000000" w:themeColor="text1"/>
                <w:sz w:val="16"/>
                <w:szCs w:val="16"/>
              </w:rPr>
              <w:t>Plus increased inspection/</w:t>
            </w:r>
          </w:p>
          <w:p w14:paraId="6A51CAFE" w14:textId="0D60B2E3" w:rsidR="00E73E85" w:rsidRPr="00886422" w:rsidRDefault="00E73E85" w:rsidP="00F979DD">
            <w:pPr>
              <w:spacing w:before="0"/>
              <w:jc w:val="center"/>
              <w:rPr>
                <w:rFonts w:asciiTheme="minorHAnsi" w:hAnsiTheme="minorHAnsi" w:cstheme="minorHAnsi"/>
                <w:noProof/>
                <w:color w:val="000000" w:themeColor="text1"/>
                <w:sz w:val="16"/>
                <w:szCs w:val="16"/>
              </w:rPr>
            </w:pPr>
            <w:r w:rsidRPr="00886422">
              <w:rPr>
                <w:rFonts w:asciiTheme="minorHAnsi" w:hAnsiTheme="minorHAnsi" w:cstheme="minorHAnsi"/>
                <w:noProof/>
                <w:color w:val="000000" w:themeColor="text1"/>
                <w:sz w:val="16"/>
                <w:szCs w:val="16"/>
              </w:rPr>
              <w:t>enforcement efforts needed</w:t>
            </w:r>
          </w:p>
        </w:tc>
        <w:tc>
          <w:tcPr>
            <w:tcW w:w="1843" w:type="dxa"/>
            <w:vMerge w:val="restart"/>
            <w:tcBorders>
              <w:top w:val="single" w:sz="4" w:space="0" w:color="auto"/>
              <w:left w:val="single" w:sz="4" w:space="0" w:color="auto"/>
            </w:tcBorders>
            <w:shd w:val="clear" w:color="auto" w:fill="F2DBDB" w:themeFill="accent2" w:themeFillTint="33"/>
            <w:noWrap/>
            <w:vAlign w:val="top"/>
          </w:tcPr>
          <w:p w14:paraId="5EE55374" w14:textId="0261FE18" w:rsidR="00E73E85" w:rsidRPr="00886422" w:rsidRDefault="00E73E85" w:rsidP="00F979DD">
            <w:pPr>
              <w:spacing w:before="0"/>
              <w:jc w:val="center"/>
              <w:rPr>
                <w:rFonts w:asciiTheme="minorHAnsi" w:hAnsiTheme="minorHAnsi" w:cstheme="minorHAnsi"/>
                <w:b/>
                <w:noProof/>
                <w:color w:val="000000" w:themeColor="text1"/>
                <w:sz w:val="16"/>
                <w:szCs w:val="16"/>
              </w:rPr>
            </w:pPr>
            <w:r w:rsidRPr="00886422">
              <w:rPr>
                <w:rFonts w:asciiTheme="minorHAnsi" w:hAnsiTheme="minorHAnsi" w:cstheme="minorHAnsi"/>
                <w:b/>
                <w:noProof/>
                <w:color w:val="000000" w:themeColor="text1"/>
                <w:sz w:val="16"/>
                <w:szCs w:val="16"/>
              </w:rPr>
              <w:t>(-)</w:t>
            </w:r>
          </w:p>
          <w:p w14:paraId="1EBF7989" w14:textId="05E922AA" w:rsidR="00E73E85" w:rsidRPr="00886422" w:rsidRDefault="00E73E85" w:rsidP="005D4198">
            <w:pPr>
              <w:spacing w:before="0"/>
              <w:jc w:val="center"/>
              <w:rPr>
                <w:rFonts w:asciiTheme="minorHAnsi" w:hAnsiTheme="minorHAnsi" w:cstheme="minorHAnsi"/>
                <w:noProof/>
                <w:color w:val="000000" w:themeColor="text1"/>
                <w:sz w:val="16"/>
                <w:szCs w:val="16"/>
              </w:rPr>
            </w:pPr>
            <w:r>
              <w:rPr>
                <w:rFonts w:asciiTheme="minorHAnsi" w:hAnsiTheme="minorHAnsi" w:cstheme="minorHAnsi"/>
                <w:noProof/>
                <w:color w:val="000000" w:themeColor="text1"/>
                <w:sz w:val="16"/>
                <w:szCs w:val="16"/>
              </w:rPr>
              <w:t>Admin: 73 days</w:t>
            </w:r>
          </w:p>
        </w:tc>
        <w:tc>
          <w:tcPr>
            <w:tcW w:w="1134" w:type="dxa"/>
            <w:vMerge w:val="restart"/>
            <w:shd w:val="clear" w:color="auto" w:fill="EAF1DD" w:themeFill="accent3" w:themeFillTint="33"/>
            <w:noWrap/>
            <w:vAlign w:val="top"/>
          </w:tcPr>
          <w:p w14:paraId="72B0BBCF" w14:textId="77777777" w:rsidR="00E73E85" w:rsidRPr="00556316" w:rsidRDefault="00E73E85" w:rsidP="006165C7">
            <w:pPr>
              <w:spacing w:before="0" w:after="60"/>
              <w:jc w:val="center"/>
              <w:rPr>
                <w:rFonts w:asciiTheme="minorHAnsi" w:hAnsiTheme="minorHAnsi" w:cstheme="minorHAnsi"/>
                <w:noProof/>
                <w:color w:val="000000" w:themeColor="text1"/>
                <w:sz w:val="16"/>
                <w:szCs w:val="16"/>
              </w:rPr>
            </w:pPr>
            <w:r w:rsidRPr="00556316">
              <w:rPr>
                <w:rFonts w:asciiTheme="minorHAnsi" w:hAnsiTheme="minorHAnsi" w:cstheme="minorHAnsi"/>
                <w:noProof/>
                <w:color w:val="000000" w:themeColor="text1"/>
                <w:sz w:val="16"/>
                <w:szCs w:val="16"/>
              </w:rPr>
              <w:t>Long term:</w:t>
            </w:r>
          </w:p>
          <w:p w14:paraId="0121F6A7" w14:textId="3BA7507B" w:rsidR="00E73E85" w:rsidRPr="00556316" w:rsidRDefault="006165C7" w:rsidP="00D4166B">
            <w:pPr>
              <w:spacing w:before="0"/>
              <w:jc w:val="center"/>
              <w:rPr>
                <w:rFonts w:asciiTheme="minorHAnsi" w:hAnsiTheme="minorHAnsi" w:cstheme="minorHAnsi"/>
                <w:noProof/>
                <w:color w:val="000000" w:themeColor="text1"/>
                <w:sz w:val="16"/>
                <w:szCs w:val="16"/>
              </w:rPr>
            </w:pPr>
            <w:r>
              <w:rPr>
                <w:rFonts w:asciiTheme="minorHAnsi" w:hAnsiTheme="minorHAnsi" w:cstheme="minorHAnsi"/>
                <w:b/>
                <w:noProof/>
                <w:color w:val="000000" w:themeColor="text1"/>
                <w:sz w:val="16"/>
                <w:szCs w:val="16"/>
              </w:rPr>
              <w:t xml:space="preserve">(+) </w:t>
            </w:r>
            <w:r w:rsidR="00E73E85" w:rsidRPr="00556316">
              <w:rPr>
                <w:rFonts w:asciiTheme="minorHAnsi" w:hAnsiTheme="minorHAnsi" w:cstheme="minorHAnsi"/>
                <w:noProof/>
                <w:color w:val="000000" w:themeColor="text1"/>
                <w:sz w:val="16"/>
                <w:szCs w:val="16"/>
              </w:rPr>
              <w:t>GDP/output/</w:t>
            </w:r>
          </w:p>
          <w:p w14:paraId="0F00214A" w14:textId="578DE06D" w:rsidR="00E73E85" w:rsidRPr="00556316" w:rsidRDefault="00E73E85" w:rsidP="00F979DD">
            <w:pPr>
              <w:spacing w:before="0"/>
              <w:jc w:val="center"/>
              <w:rPr>
                <w:rFonts w:asciiTheme="minorHAnsi" w:hAnsiTheme="minorHAnsi" w:cstheme="minorHAnsi"/>
                <w:noProof/>
                <w:color w:val="000000" w:themeColor="text1"/>
                <w:sz w:val="16"/>
                <w:szCs w:val="16"/>
              </w:rPr>
            </w:pPr>
            <w:r w:rsidRPr="00556316">
              <w:rPr>
                <w:rFonts w:asciiTheme="minorHAnsi" w:hAnsiTheme="minorHAnsi" w:cstheme="minorHAnsi"/>
                <w:noProof/>
                <w:color w:val="000000" w:themeColor="text1"/>
                <w:sz w:val="16"/>
                <w:szCs w:val="16"/>
              </w:rPr>
              <w:t>consumption</w:t>
            </w:r>
          </w:p>
          <w:p w14:paraId="36C87BE8" w14:textId="7DDED62B" w:rsidR="006165C7" w:rsidRDefault="00E73E85" w:rsidP="006165C7">
            <w:pPr>
              <w:jc w:val="center"/>
              <w:rPr>
                <w:rFonts w:asciiTheme="minorHAnsi" w:hAnsiTheme="minorHAnsi" w:cstheme="minorHAnsi"/>
                <w:noProof/>
                <w:color w:val="000000" w:themeColor="text1"/>
                <w:sz w:val="16"/>
                <w:szCs w:val="16"/>
              </w:rPr>
            </w:pPr>
            <w:r w:rsidRPr="00556316">
              <w:rPr>
                <w:rFonts w:asciiTheme="minorHAnsi" w:hAnsiTheme="minorHAnsi" w:cstheme="minorHAnsi"/>
                <w:b/>
                <w:noProof/>
                <w:color w:val="000000" w:themeColor="text1"/>
                <w:sz w:val="16"/>
                <w:szCs w:val="16"/>
              </w:rPr>
              <w:t xml:space="preserve">(+) </w:t>
            </w:r>
            <w:r w:rsidRPr="00556316">
              <w:rPr>
                <w:rFonts w:asciiTheme="minorHAnsi" w:hAnsiTheme="minorHAnsi" w:cstheme="minorHAnsi"/>
                <w:noProof/>
                <w:color w:val="000000" w:themeColor="text1"/>
                <w:sz w:val="16"/>
                <w:szCs w:val="16"/>
              </w:rPr>
              <w:t>R&amp;D</w:t>
            </w:r>
            <w:r w:rsidR="006165C7">
              <w:rPr>
                <w:rFonts w:asciiTheme="minorHAnsi" w:hAnsiTheme="minorHAnsi" w:cstheme="minorHAnsi"/>
                <w:noProof/>
                <w:color w:val="000000" w:themeColor="text1"/>
                <w:sz w:val="16"/>
                <w:szCs w:val="16"/>
              </w:rPr>
              <w:t>, innovation</w:t>
            </w:r>
          </w:p>
          <w:p w14:paraId="037049CB" w14:textId="5B4378B1" w:rsidR="00E73E85" w:rsidRPr="00556316" w:rsidRDefault="006165C7" w:rsidP="006165C7">
            <w:pPr>
              <w:jc w:val="center"/>
              <w:rPr>
                <w:rFonts w:asciiTheme="minorHAnsi" w:hAnsiTheme="minorHAnsi" w:cstheme="minorHAnsi"/>
                <w:noProof/>
                <w:color w:val="000000" w:themeColor="text1"/>
                <w:sz w:val="16"/>
                <w:szCs w:val="16"/>
              </w:rPr>
            </w:pPr>
            <w:r w:rsidRPr="006165C7">
              <w:rPr>
                <w:rFonts w:asciiTheme="minorHAnsi" w:hAnsiTheme="minorHAnsi" w:cstheme="minorHAnsi"/>
                <w:b/>
                <w:noProof/>
                <w:color w:val="000000" w:themeColor="text1"/>
                <w:sz w:val="16"/>
                <w:szCs w:val="16"/>
              </w:rPr>
              <w:t>(+</w:t>
            </w:r>
            <w:r>
              <w:rPr>
                <w:rFonts w:asciiTheme="minorHAnsi" w:hAnsiTheme="minorHAnsi" w:cstheme="minorHAnsi"/>
                <w:b/>
                <w:noProof/>
                <w:color w:val="000000" w:themeColor="text1"/>
                <w:sz w:val="16"/>
                <w:szCs w:val="16"/>
              </w:rPr>
              <w:t>+</w:t>
            </w:r>
            <w:r w:rsidRPr="006165C7">
              <w:rPr>
                <w:rFonts w:asciiTheme="minorHAnsi" w:hAnsiTheme="minorHAnsi" w:cstheme="minorHAnsi"/>
                <w:b/>
                <w:noProof/>
                <w:color w:val="000000" w:themeColor="text1"/>
                <w:sz w:val="16"/>
                <w:szCs w:val="16"/>
              </w:rPr>
              <w:t>)</w:t>
            </w:r>
            <w:r>
              <w:rPr>
                <w:rFonts w:asciiTheme="minorHAnsi" w:hAnsiTheme="minorHAnsi" w:cstheme="minorHAnsi"/>
                <w:b/>
                <w:noProof/>
                <w:color w:val="000000" w:themeColor="text1"/>
                <w:sz w:val="16"/>
                <w:szCs w:val="16"/>
              </w:rPr>
              <w:t xml:space="preserve"> </w:t>
            </w:r>
            <w:r>
              <w:rPr>
                <w:rFonts w:asciiTheme="minorHAnsi" w:hAnsiTheme="minorHAnsi" w:cstheme="minorHAnsi"/>
                <w:noProof/>
                <w:color w:val="000000" w:themeColor="text1"/>
                <w:sz w:val="16"/>
                <w:szCs w:val="16"/>
              </w:rPr>
              <w:t>E</w:t>
            </w:r>
            <w:r w:rsidRPr="006165C7">
              <w:rPr>
                <w:rFonts w:asciiTheme="minorHAnsi" w:hAnsiTheme="minorHAnsi" w:cstheme="minorHAnsi"/>
                <w:noProof/>
                <w:color w:val="000000" w:themeColor="text1"/>
                <w:sz w:val="16"/>
                <w:szCs w:val="16"/>
              </w:rPr>
              <w:t>quipment manufacture for domestic market and supplying industries</w:t>
            </w:r>
          </w:p>
        </w:tc>
        <w:tc>
          <w:tcPr>
            <w:tcW w:w="1134" w:type="dxa"/>
            <w:vMerge w:val="restart"/>
          </w:tcPr>
          <w:p w14:paraId="2ED98F89" w14:textId="70516636" w:rsidR="00E73E85" w:rsidRPr="00886422" w:rsidRDefault="00062546" w:rsidP="00E62BD3">
            <w:pPr>
              <w:spacing w:before="0"/>
              <w:jc w:val="center"/>
              <w:rPr>
                <w:rFonts w:asciiTheme="minorHAnsi" w:hAnsiTheme="minorHAnsi" w:cstheme="minorHAnsi"/>
                <w:noProof/>
                <w:color w:val="000000" w:themeColor="text1"/>
                <w:sz w:val="16"/>
                <w:szCs w:val="16"/>
              </w:rPr>
            </w:pPr>
            <w:r w:rsidRPr="00886422">
              <w:rPr>
                <w:rFonts w:asciiTheme="minorHAnsi" w:hAnsiTheme="minorHAnsi" w:cstheme="minorHAnsi"/>
                <w:b/>
                <w:noProof/>
                <w:color w:val="000000" w:themeColor="text1"/>
                <w:sz w:val="16"/>
                <w:szCs w:val="16"/>
              </w:rPr>
              <w:t>(+)</w:t>
            </w:r>
            <w:r w:rsidRPr="00886422">
              <w:rPr>
                <w:rFonts w:asciiTheme="minorHAnsi" w:hAnsiTheme="minorHAnsi" w:cstheme="minorHAnsi"/>
                <w:noProof/>
                <w:color w:val="000000" w:themeColor="text1"/>
                <w:sz w:val="16"/>
                <w:szCs w:val="16"/>
              </w:rPr>
              <w:t xml:space="preserve"> Employment</w:t>
            </w:r>
          </w:p>
        </w:tc>
      </w:tr>
      <w:tr w:rsidR="0052717A" w:rsidRPr="00A14107" w14:paraId="57C4CC66" w14:textId="77777777" w:rsidTr="00556316">
        <w:trPr>
          <w:cnfStyle w:val="000000100000" w:firstRow="0" w:lastRow="0" w:firstColumn="0" w:lastColumn="0" w:oddVBand="0" w:evenVBand="0" w:oddHBand="1" w:evenHBand="0" w:firstRowFirstColumn="0" w:firstRowLastColumn="0" w:lastRowFirstColumn="0" w:lastRowLastColumn="0"/>
          <w:trHeight w:val="702"/>
        </w:trPr>
        <w:tc>
          <w:tcPr>
            <w:tcW w:w="390" w:type="dxa"/>
            <w:vMerge/>
            <w:shd w:val="clear" w:color="auto" w:fill="FFFFFF" w:themeFill="background1"/>
            <w:noWrap/>
          </w:tcPr>
          <w:p w14:paraId="182E0331" w14:textId="77777777" w:rsidR="00E73E85" w:rsidRDefault="00E73E85" w:rsidP="00E62BD3">
            <w:pPr>
              <w:rPr>
                <w:rFonts w:asciiTheme="minorHAnsi" w:hAnsiTheme="minorHAnsi" w:cstheme="minorHAnsi"/>
                <w:noProof/>
                <w:color w:val="000000" w:themeColor="text1"/>
                <w:sz w:val="16"/>
                <w:szCs w:val="16"/>
              </w:rPr>
            </w:pPr>
          </w:p>
        </w:tc>
        <w:tc>
          <w:tcPr>
            <w:tcW w:w="1845" w:type="dxa"/>
            <w:vMerge/>
            <w:tcBorders>
              <w:left w:val="single" w:sz="4" w:space="0" w:color="auto"/>
              <w:right w:val="single" w:sz="4" w:space="0" w:color="auto"/>
            </w:tcBorders>
            <w:noWrap/>
          </w:tcPr>
          <w:p w14:paraId="383D21D4" w14:textId="77777777" w:rsidR="00E73E85" w:rsidRPr="00886422" w:rsidRDefault="00E73E85" w:rsidP="00E62BD3">
            <w:pPr>
              <w:jc w:val="left"/>
              <w:rPr>
                <w:rFonts w:asciiTheme="minorHAnsi" w:hAnsiTheme="minorHAnsi" w:cstheme="minorHAnsi"/>
                <w:b/>
                <w:noProof/>
                <w:color w:val="000000" w:themeColor="text1"/>
                <w:sz w:val="16"/>
                <w:szCs w:val="16"/>
              </w:rPr>
            </w:pPr>
          </w:p>
        </w:tc>
        <w:tc>
          <w:tcPr>
            <w:tcW w:w="3827" w:type="dxa"/>
            <w:vMerge/>
            <w:tcBorders>
              <w:top w:val="single" w:sz="4" w:space="0" w:color="auto"/>
              <w:left w:val="single" w:sz="4" w:space="0" w:color="auto"/>
              <w:right w:val="single" w:sz="4" w:space="0" w:color="auto"/>
            </w:tcBorders>
            <w:shd w:val="clear" w:color="auto" w:fill="00B050"/>
            <w:noWrap/>
          </w:tcPr>
          <w:p w14:paraId="1C47903E" w14:textId="77777777" w:rsidR="00E73E85" w:rsidRPr="00886422" w:rsidRDefault="00E73E85" w:rsidP="00E62BD3">
            <w:pPr>
              <w:jc w:val="center"/>
              <w:rPr>
                <w:rFonts w:asciiTheme="minorHAnsi" w:hAnsiTheme="minorHAnsi" w:cstheme="minorHAnsi"/>
                <w:b/>
                <w:noProof/>
                <w:color w:val="000000" w:themeColor="text1"/>
                <w:sz w:val="16"/>
                <w:szCs w:val="16"/>
              </w:rPr>
            </w:pPr>
          </w:p>
        </w:tc>
        <w:tc>
          <w:tcPr>
            <w:tcW w:w="2835" w:type="dxa"/>
            <w:tcBorders>
              <w:top w:val="single" w:sz="4" w:space="0" w:color="00B050"/>
              <w:left w:val="single" w:sz="4" w:space="0" w:color="auto"/>
              <w:bottom w:val="nil"/>
              <w:right w:val="single" w:sz="4" w:space="0" w:color="auto"/>
            </w:tcBorders>
            <w:shd w:val="clear" w:color="auto" w:fill="F2DBDB" w:themeFill="accent2" w:themeFillTint="33"/>
          </w:tcPr>
          <w:p w14:paraId="00756648" w14:textId="1A008754" w:rsidR="00E73E85" w:rsidRPr="00BA2D24" w:rsidRDefault="00E73E85" w:rsidP="00BA2D24">
            <w:pPr>
              <w:spacing w:before="0"/>
              <w:jc w:val="center"/>
              <w:rPr>
                <w:rFonts w:asciiTheme="minorHAnsi" w:hAnsiTheme="minorHAnsi" w:cstheme="minorHAnsi"/>
                <w:b/>
                <w:noProof/>
                <w:color w:val="000000" w:themeColor="text1"/>
                <w:sz w:val="16"/>
                <w:szCs w:val="16"/>
                <w:shd w:val="clear" w:color="auto" w:fill="F2DBDB" w:themeFill="accent2" w:themeFillTint="33"/>
              </w:rPr>
            </w:pPr>
            <w:r>
              <w:rPr>
                <w:rFonts w:asciiTheme="minorHAnsi" w:hAnsiTheme="minorHAnsi" w:cstheme="minorHAnsi"/>
                <w:b/>
                <w:noProof/>
                <w:color w:val="000000" w:themeColor="text1"/>
                <w:sz w:val="16"/>
                <w:szCs w:val="16"/>
                <w:shd w:val="clear" w:color="auto" w:fill="F2DBDB" w:themeFill="accent2" w:themeFillTint="33"/>
              </w:rPr>
              <w:t xml:space="preserve">(-) </w:t>
            </w:r>
            <w:r>
              <w:rPr>
                <w:rFonts w:asciiTheme="minorHAnsi" w:hAnsiTheme="minorHAnsi" w:cstheme="minorHAnsi"/>
                <w:noProof/>
                <w:color w:val="000000" w:themeColor="text1"/>
                <w:sz w:val="16"/>
                <w:szCs w:val="16"/>
                <w:shd w:val="clear" w:color="auto" w:fill="F2DBDB" w:themeFill="accent2" w:themeFillTint="33"/>
              </w:rPr>
              <w:t>C</w:t>
            </w:r>
            <w:r w:rsidR="0030662A">
              <w:rPr>
                <w:rFonts w:asciiTheme="minorHAnsi" w:hAnsiTheme="minorHAnsi" w:cstheme="minorHAnsi"/>
                <w:noProof/>
                <w:color w:val="000000" w:themeColor="text1"/>
                <w:sz w:val="16"/>
                <w:szCs w:val="16"/>
                <w:shd w:val="clear" w:color="auto" w:fill="F2DBDB" w:themeFill="accent2" w:themeFillTint="33"/>
              </w:rPr>
              <w:t>onversion costs up to 336</w:t>
            </w:r>
            <w:r w:rsidRPr="00886422">
              <w:rPr>
                <w:rFonts w:asciiTheme="minorHAnsi" w:hAnsiTheme="minorHAnsi" w:cstheme="minorHAnsi"/>
                <w:noProof/>
                <w:color w:val="000000" w:themeColor="text1"/>
                <w:sz w:val="16"/>
                <w:szCs w:val="16"/>
                <w:shd w:val="clear" w:color="auto" w:fill="F2DBDB" w:themeFill="accent2" w:themeFillTint="33"/>
              </w:rPr>
              <w:t xml:space="preserve"> €/tCO2e</w:t>
            </w:r>
            <w:r w:rsidR="0030662A">
              <w:rPr>
                <w:rFonts w:asciiTheme="minorHAnsi" w:hAnsiTheme="minorHAnsi" w:cstheme="minorHAnsi"/>
                <w:noProof/>
                <w:color w:val="000000" w:themeColor="text1"/>
                <w:sz w:val="16"/>
                <w:szCs w:val="16"/>
                <w:shd w:val="clear" w:color="auto" w:fill="F2DBDB" w:themeFill="accent2" w:themeFillTint="33"/>
              </w:rPr>
              <w:t xml:space="preserve"> (2050)</w:t>
            </w:r>
            <w:r w:rsidRPr="00886422">
              <w:rPr>
                <w:rFonts w:asciiTheme="minorHAnsi" w:hAnsiTheme="minorHAnsi" w:cstheme="minorHAnsi"/>
                <w:noProof/>
                <w:color w:val="000000" w:themeColor="text1"/>
                <w:sz w:val="16"/>
                <w:szCs w:val="16"/>
                <w:shd w:val="clear" w:color="auto" w:fill="F2DBDB" w:themeFill="accent2" w:themeFillTint="33"/>
              </w:rPr>
              <w:t xml:space="preserve"> in some sub-sectors (some mobile AC,  switchgear);</w:t>
            </w:r>
          </w:p>
        </w:tc>
        <w:tc>
          <w:tcPr>
            <w:tcW w:w="1559" w:type="dxa"/>
            <w:vMerge/>
            <w:tcBorders>
              <w:left w:val="single" w:sz="4" w:space="0" w:color="auto"/>
              <w:right w:val="single" w:sz="4" w:space="0" w:color="auto"/>
            </w:tcBorders>
            <w:shd w:val="clear" w:color="auto" w:fill="D99594" w:themeFill="accent2" w:themeFillTint="99"/>
            <w:noWrap/>
          </w:tcPr>
          <w:p w14:paraId="32E17DC5" w14:textId="77777777" w:rsidR="00E73E85" w:rsidRPr="00886422" w:rsidRDefault="00E73E85" w:rsidP="00E62BD3">
            <w:pPr>
              <w:jc w:val="center"/>
              <w:rPr>
                <w:rFonts w:asciiTheme="minorHAnsi" w:hAnsiTheme="minorHAnsi" w:cstheme="minorHAnsi"/>
                <w:noProof/>
                <w:color w:val="000000" w:themeColor="text1"/>
                <w:sz w:val="16"/>
                <w:szCs w:val="16"/>
              </w:rPr>
            </w:pPr>
          </w:p>
        </w:tc>
        <w:tc>
          <w:tcPr>
            <w:tcW w:w="1843" w:type="dxa"/>
            <w:vMerge/>
            <w:tcBorders>
              <w:left w:val="single" w:sz="4" w:space="0" w:color="auto"/>
            </w:tcBorders>
            <w:shd w:val="clear" w:color="auto" w:fill="F2DBDB" w:themeFill="accent2" w:themeFillTint="33"/>
            <w:noWrap/>
          </w:tcPr>
          <w:p w14:paraId="0FA2CF74" w14:textId="77777777" w:rsidR="00E73E85" w:rsidRPr="00886422" w:rsidRDefault="00E73E85" w:rsidP="00E62BD3">
            <w:pPr>
              <w:jc w:val="center"/>
              <w:rPr>
                <w:rFonts w:asciiTheme="minorHAnsi" w:hAnsiTheme="minorHAnsi" w:cstheme="minorHAnsi"/>
                <w:b/>
                <w:noProof/>
                <w:color w:val="000000" w:themeColor="text1"/>
                <w:sz w:val="16"/>
                <w:szCs w:val="16"/>
              </w:rPr>
            </w:pPr>
          </w:p>
        </w:tc>
        <w:tc>
          <w:tcPr>
            <w:tcW w:w="1134" w:type="dxa"/>
            <w:vMerge/>
            <w:shd w:val="clear" w:color="auto" w:fill="EAF1DD" w:themeFill="accent3" w:themeFillTint="33"/>
            <w:noWrap/>
          </w:tcPr>
          <w:p w14:paraId="2D753EE4" w14:textId="77777777" w:rsidR="00E73E85" w:rsidRPr="00886422" w:rsidRDefault="00E73E85" w:rsidP="00E62BD3">
            <w:pPr>
              <w:jc w:val="center"/>
              <w:rPr>
                <w:rFonts w:asciiTheme="minorHAnsi" w:hAnsiTheme="minorHAnsi" w:cstheme="minorHAnsi"/>
                <w:b/>
                <w:noProof/>
                <w:color w:val="000000" w:themeColor="text1"/>
                <w:sz w:val="16"/>
                <w:szCs w:val="16"/>
              </w:rPr>
            </w:pPr>
          </w:p>
        </w:tc>
        <w:tc>
          <w:tcPr>
            <w:tcW w:w="1134" w:type="dxa"/>
            <w:vMerge/>
          </w:tcPr>
          <w:p w14:paraId="73FD4ECC" w14:textId="7308A37F" w:rsidR="00E73E85" w:rsidRPr="00886422" w:rsidRDefault="00E73E85" w:rsidP="00E62BD3">
            <w:pPr>
              <w:spacing w:before="0"/>
              <w:jc w:val="center"/>
              <w:rPr>
                <w:rFonts w:asciiTheme="minorHAnsi" w:hAnsiTheme="minorHAnsi" w:cstheme="minorHAnsi"/>
                <w:b/>
                <w:noProof/>
                <w:color w:val="000000" w:themeColor="text1"/>
                <w:sz w:val="16"/>
                <w:szCs w:val="16"/>
              </w:rPr>
            </w:pPr>
          </w:p>
        </w:tc>
      </w:tr>
      <w:tr w:rsidR="0052717A" w:rsidRPr="00A14107" w14:paraId="3F2CC11E" w14:textId="77777777" w:rsidTr="00556316">
        <w:trPr>
          <w:cnfStyle w:val="000000010000" w:firstRow="0" w:lastRow="0" w:firstColumn="0" w:lastColumn="0" w:oddVBand="0" w:evenVBand="0" w:oddHBand="0" w:evenHBand="1" w:firstRowFirstColumn="0" w:firstRowLastColumn="0" w:lastRowFirstColumn="0" w:lastRowLastColumn="0"/>
          <w:trHeight w:val="255"/>
        </w:trPr>
        <w:tc>
          <w:tcPr>
            <w:tcW w:w="390" w:type="dxa"/>
            <w:vMerge/>
            <w:shd w:val="clear" w:color="auto" w:fill="FFFFFF" w:themeFill="background1"/>
            <w:noWrap/>
          </w:tcPr>
          <w:p w14:paraId="03119638" w14:textId="77777777" w:rsidR="00E73E85" w:rsidRDefault="00E73E85" w:rsidP="00E62BD3">
            <w:pPr>
              <w:rPr>
                <w:rFonts w:asciiTheme="minorHAnsi" w:hAnsiTheme="minorHAnsi" w:cstheme="minorHAnsi"/>
                <w:noProof/>
                <w:color w:val="000000" w:themeColor="text1"/>
                <w:sz w:val="16"/>
                <w:szCs w:val="16"/>
              </w:rPr>
            </w:pPr>
          </w:p>
        </w:tc>
        <w:tc>
          <w:tcPr>
            <w:tcW w:w="1845" w:type="dxa"/>
            <w:vMerge/>
            <w:tcBorders>
              <w:left w:val="single" w:sz="4" w:space="0" w:color="auto"/>
              <w:right w:val="single" w:sz="4" w:space="0" w:color="auto"/>
            </w:tcBorders>
            <w:noWrap/>
          </w:tcPr>
          <w:p w14:paraId="54BC9153" w14:textId="77777777" w:rsidR="00E73E85" w:rsidRPr="00886422" w:rsidRDefault="00E73E85" w:rsidP="00E62BD3">
            <w:pPr>
              <w:jc w:val="left"/>
              <w:rPr>
                <w:rFonts w:asciiTheme="minorHAnsi" w:hAnsiTheme="minorHAnsi" w:cstheme="minorHAnsi"/>
                <w:b/>
                <w:noProof/>
                <w:color w:val="000000" w:themeColor="text1"/>
                <w:sz w:val="16"/>
                <w:szCs w:val="16"/>
              </w:rPr>
            </w:pPr>
          </w:p>
        </w:tc>
        <w:tc>
          <w:tcPr>
            <w:tcW w:w="3827" w:type="dxa"/>
            <w:vMerge/>
            <w:tcBorders>
              <w:left w:val="single" w:sz="4" w:space="0" w:color="auto"/>
              <w:bottom w:val="single" w:sz="4" w:space="0" w:color="00B050"/>
              <w:right w:val="single" w:sz="4" w:space="0" w:color="auto"/>
            </w:tcBorders>
            <w:shd w:val="clear" w:color="auto" w:fill="00B050"/>
            <w:noWrap/>
          </w:tcPr>
          <w:p w14:paraId="611FF2B9" w14:textId="77777777" w:rsidR="00E73E85" w:rsidRPr="00886422" w:rsidRDefault="00E73E85" w:rsidP="00E62BD3">
            <w:pPr>
              <w:jc w:val="center"/>
              <w:rPr>
                <w:rFonts w:asciiTheme="minorHAnsi" w:hAnsiTheme="minorHAnsi" w:cstheme="minorHAnsi"/>
                <w:b/>
                <w:noProof/>
                <w:color w:val="000000" w:themeColor="text1"/>
                <w:sz w:val="16"/>
                <w:szCs w:val="16"/>
              </w:rPr>
            </w:pPr>
          </w:p>
        </w:tc>
        <w:tc>
          <w:tcPr>
            <w:tcW w:w="2835" w:type="dxa"/>
            <w:vMerge w:val="restart"/>
            <w:tcBorders>
              <w:top w:val="single" w:sz="4" w:space="0" w:color="F2DBDB" w:themeColor="accent2" w:themeTint="33"/>
              <w:left w:val="single" w:sz="4" w:space="0" w:color="auto"/>
              <w:right w:val="single" w:sz="4" w:space="0" w:color="auto"/>
            </w:tcBorders>
            <w:shd w:val="clear" w:color="auto" w:fill="F2DBDB" w:themeFill="accent2" w:themeFillTint="33"/>
            <w:vAlign w:val="top"/>
          </w:tcPr>
          <w:p w14:paraId="3DCEBABB" w14:textId="053A15AB" w:rsidR="00E73E85" w:rsidRPr="00886422" w:rsidRDefault="00E73E85" w:rsidP="0030662A">
            <w:pPr>
              <w:spacing w:before="0" w:after="60"/>
              <w:jc w:val="center"/>
              <w:rPr>
                <w:rFonts w:asciiTheme="minorHAnsi" w:hAnsiTheme="minorHAnsi" w:cstheme="minorHAnsi"/>
                <w:noProof/>
                <w:color w:val="000000" w:themeColor="text1"/>
                <w:sz w:val="16"/>
                <w:szCs w:val="16"/>
              </w:rPr>
            </w:pPr>
            <w:r>
              <w:rPr>
                <w:rFonts w:asciiTheme="minorHAnsi" w:hAnsiTheme="minorHAnsi" w:cstheme="minorHAnsi"/>
                <w:noProof/>
                <w:color w:val="000000" w:themeColor="text1"/>
                <w:sz w:val="16"/>
                <w:szCs w:val="16"/>
              </w:rPr>
              <w:t>C</w:t>
            </w:r>
            <w:r w:rsidRPr="00886422">
              <w:rPr>
                <w:rFonts w:asciiTheme="minorHAnsi" w:hAnsiTheme="minorHAnsi" w:cstheme="minorHAnsi"/>
                <w:noProof/>
                <w:color w:val="000000" w:themeColor="text1"/>
                <w:sz w:val="16"/>
                <w:szCs w:val="16"/>
              </w:rPr>
              <w:t xml:space="preserve">osts for HFC equipment users due to rising HFC gas </w:t>
            </w:r>
            <w:r w:rsidR="0030662A">
              <w:rPr>
                <w:rFonts w:asciiTheme="minorHAnsi" w:hAnsiTheme="minorHAnsi" w:cstheme="minorHAnsi"/>
                <w:noProof/>
                <w:color w:val="000000" w:themeColor="text1"/>
                <w:sz w:val="16"/>
                <w:szCs w:val="16"/>
              </w:rPr>
              <w:t>prices</w:t>
            </w:r>
            <w:r w:rsidRPr="00886422">
              <w:rPr>
                <w:rFonts w:asciiTheme="minorHAnsi" w:hAnsiTheme="minorHAnsi" w:cstheme="minorHAnsi"/>
                <w:noProof/>
                <w:color w:val="000000" w:themeColor="text1"/>
                <w:sz w:val="16"/>
                <w:szCs w:val="16"/>
              </w:rPr>
              <w:t>;</w:t>
            </w:r>
          </w:p>
          <w:p w14:paraId="32909F70" w14:textId="54AB5000" w:rsidR="00E73E85" w:rsidRPr="00886422" w:rsidRDefault="00E73E85" w:rsidP="00D70A31">
            <w:pPr>
              <w:spacing w:before="0"/>
              <w:jc w:val="center"/>
              <w:rPr>
                <w:rFonts w:asciiTheme="minorHAnsi" w:hAnsiTheme="minorHAnsi" w:cstheme="minorHAnsi"/>
                <w:noProof/>
                <w:color w:val="000000" w:themeColor="text1"/>
                <w:sz w:val="16"/>
                <w:szCs w:val="16"/>
              </w:rPr>
            </w:pPr>
            <w:r>
              <w:rPr>
                <w:rFonts w:asciiTheme="minorHAnsi" w:hAnsiTheme="minorHAnsi" w:cstheme="minorHAnsi"/>
                <w:noProof/>
                <w:color w:val="000000" w:themeColor="text1"/>
                <w:sz w:val="16"/>
                <w:szCs w:val="16"/>
              </w:rPr>
              <w:t>A</w:t>
            </w:r>
            <w:r w:rsidRPr="00886422">
              <w:rPr>
                <w:rFonts w:asciiTheme="minorHAnsi" w:hAnsiTheme="minorHAnsi" w:cstheme="minorHAnsi"/>
                <w:noProof/>
                <w:color w:val="000000" w:themeColor="text1"/>
                <w:sz w:val="16"/>
                <w:szCs w:val="16"/>
              </w:rPr>
              <w:t xml:space="preserve">dmin costs of €4.4 MIO plus </w:t>
            </w:r>
            <w:r>
              <w:rPr>
                <w:rFonts w:asciiTheme="minorHAnsi" w:hAnsiTheme="minorHAnsi" w:cstheme="minorHAnsi"/>
                <w:noProof/>
                <w:color w:val="000000" w:themeColor="text1"/>
                <w:sz w:val="16"/>
                <w:szCs w:val="16"/>
              </w:rPr>
              <w:t xml:space="preserve">one-off </w:t>
            </w:r>
            <w:r w:rsidRPr="00886422">
              <w:rPr>
                <w:rFonts w:asciiTheme="minorHAnsi" w:hAnsiTheme="minorHAnsi" w:cstheme="minorHAnsi"/>
                <w:noProof/>
                <w:color w:val="000000" w:themeColor="text1"/>
                <w:sz w:val="16"/>
                <w:szCs w:val="16"/>
              </w:rPr>
              <w:t xml:space="preserve">€3 MIO </w:t>
            </w:r>
          </w:p>
        </w:tc>
        <w:tc>
          <w:tcPr>
            <w:tcW w:w="1559" w:type="dxa"/>
            <w:vMerge/>
            <w:tcBorders>
              <w:left w:val="single" w:sz="4" w:space="0" w:color="auto"/>
              <w:right w:val="single" w:sz="4" w:space="0" w:color="auto"/>
            </w:tcBorders>
            <w:shd w:val="clear" w:color="auto" w:fill="D99594" w:themeFill="accent2" w:themeFillTint="99"/>
            <w:noWrap/>
          </w:tcPr>
          <w:p w14:paraId="71416047" w14:textId="77777777" w:rsidR="00E73E85" w:rsidRPr="00886422" w:rsidRDefault="00E73E85" w:rsidP="00E62BD3">
            <w:pPr>
              <w:jc w:val="center"/>
              <w:rPr>
                <w:rFonts w:asciiTheme="minorHAnsi" w:hAnsiTheme="minorHAnsi" w:cstheme="minorHAnsi"/>
                <w:noProof/>
                <w:color w:val="000000" w:themeColor="text1"/>
                <w:sz w:val="16"/>
                <w:szCs w:val="16"/>
              </w:rPr>
            </w:pPr>
          </w:p>
        </w:tc>
        <w:tc>
          <w:tcPr>
            <w:tcW w:w="1843" w:type="dxa"/>
            <w:vMerge/>
            <w:tcBorders>
              <w:left w:val="single" w:sz="4" w:space="0" w:color="auto"/>
            </w:tcBorders>
            <w:shd w:val="clear" w:color="auto" w:fill="F2DBDB" w:themeFill="accent2" w:themeFillTint="33"/>
            <w:noWrap/>
          </w:tcPr>
          <w:p w14:paraId="741786C4" w14:textId="77777777" w:rsidR="00E73E85" w:rsidRPr="00886422" w:rsidRDefault="00E73E85" w:rsidP="00E62BD3">
            <w:pPr>
              <w:rPr>
                <w:rFonts w:asciiTheme="minorHAnsi" w:hAnsiTheme="minorHAnsi" w:cstheme="minorHAnsi"/>
                <w:noProof/>
                <w:color w:val="000000" w:themeColor="text1"/>
                <w:sz w:val="16"/>
                <w:szCs w:val="16"/>
              </w:rPr>
            </w:pPr>
          </w:p>
        </w:tc>
        <w:tc>
          <w:tcPr>
            <w:tcW w:w="1134" w:type="dxa"/>
            <w:vMerge/>
            <w:shd w:val="clear" w:color="auto" w:fill="EAF1DD" w:themeFill="accent3" w:themeFillTint="33"/>
            <w:noWrap/>
          </w:tcPr>
          <w:p w14:paraId="27EFAC23" w14:textId="77777777" w:rsidR="00E73E85" w:rsidRPr="00886422" w:rsidRDefault="00E73E85" w:rsidP="00E62BD3">
            <w:pPr>
              <w:jc w:val="center"/>
              <w:rPr>
                <w:rFonts w:asciiTheme="minorHAnsi" w:hAnsiTheme="minorHAnsi" w:cstheme="minorHAnsi"/>
                <w:b/>
                <w:noProof/>
                <w:color w:val="000000" w:themeColor="text1"/>
                <w:sz w:val="16"/>
                <w:szCs w:val="16"/>
              </w:rPr>
            </w:pPr>
          </w:p>
        </w:tc>
        <w:tc>
          <w:tcPr>
            <w:tcW w:w="1134" w:type="dxa"/>
            <w:vMerge/>
          </w:tcPr>
          <w:p w14:paraId="4599FA86" w14:textId="0C9AC120" w:rsidR="00E73E85" w:rsidRPr="00886422" w:rsidRDefault="00E73E85" w:rsidP="00E62BD3">
            <w:pPr>
              <w:spacing w:before="0"/>
              <w:jc w:val="center"/>
              <w:rPr>
                <w:rFonts w:asciiTheme="minorHAnsi" w:hAnsiTheme="minorHAnsi" w:cstheme="minorHAnsi"/>
                <w:b/>
                <w:noProof/>
                <w:color w:val="000000" w:themeColor="text1"/>
                <w:sz w:val="16"/>
                <w:szCs w:val="16"/>
              </w:rPr>
            </w:pPr>
          </w:p>
        </w:tc>
      </w:tr>
      <w:tr w:rsidR="00EE2E63" w:rsidRPr="00A14107" w14:paraId="338B4F3F" w14:textId="77777777" w:rsidTr="006165C7">
        <w:trPr>
          <w:cnfStyle w:val="000000100000" w:firstRow="0" w:lastRow="0" w:firstColumn="0" w:lastColumn="0" w:oddVBand="0" w:evenVBand="0" w:oddHBand="1" w:evenHBand="0" w:firstRowFirstColumn="0" w:firstRowLastColumn="0" w:lastRowFirstColumn="0" w:lastRowLastColumn="0"/>
          <w:trHeight w:val="648"/>
        </w:trPr>
        <w:tc>
          <w:tcPr>
            <w:tcW w:w="390" w:type="dxa"/>
            <w:vMerge/>
            <w:shd w:val="clear" w:color="auto" w:fill="FFFFFF" w:themeFill="background1"/>
            <w:noWrap/>
          </w:tcPr>
          <w:p w14:paraId="5BA8A74D" w14:textId="77777777" w:rsidR="00E73E85" w:rsidRDefault="00E73E85" w:rsidP="00E62BD3">
            <w:pPr>
              <w:rPr>
                <w:rFonts w:asciiTheme="minorHAnsi" w:hAnsiTheme="minorHAnsi" w:cstheme="minorHAnsi"/>
                <w:noProof/>
                <w:color w:val="000000" w:themeColor="text1"/>
                <w:sz w:val="16"/>
                <w:szCs w:val="16"/>
              </w:rPr>
            </w:pPr>
          </w:p>
        </w:tc>
        <w:tc>
          <w:tcPr>
            <w:tcW w:w="1845" w:type="dxa"/>
            <w:vMerge/>
            <w:tcBorders>
              <w:left w:val="single" w:sz="4" w:space="0" w:color="auto"/>
              <w:bottom w:val="single" w:sz="4" w:space="0" w:color="auto"/>
              <w:right w:val="single" w:sz="4" w:space="0" w:color="auto"/>
            </w:tcBorders>
            <w:noWrap/>
          </w:tcPr>
          <w:p w14:paraId="70272C8E" w14:textId="77777777" w:rsidR="00E73E85" w:rsidRPr="00886422" w:rsidRDefault="00E73E85" w:rsidP="00E62BD3">
            <w:pPr>
              <w:jc w:val="left"/>
              <w:rPr>
                <w:rFonts w:asciiTheme="minorHAnsi" w:hAnsiTheme="minorHAnsi" w:cstheme="minorHAnsi"/>
                <w:b/>
                <w:noProof/>
                <w:color w:val="000000" w:themeColor="text1"/>
                <w:sz w:val="16"/>
                <w:szCs w:val="16"/>
              </w:rPr>
            </w:pPr>
          </w:p>
        </w:tc>
        <w:tc>
          <w:tcPr>
            <w:tcW w:w="3827" w:type="dxa"/>
            <w:tcBorders>
              <w:top w:val="single" w:sz="4" w:space="0" w:color="00B050"/>
              <w:left w:val="single" w:sz="4" w:space="0" w:color="auto"/>
              <w:bottom w:val="single" w:sz="4" w:space="0" w:color="auto"/>
              <w:right w:val="single" w:sz="4" w:space="0" w:color="auto"/>
            </w:tcBorders>
            <w:shd w:val="clear" w:color="auto" w:fill="F2DBDB" w:themeFill="accent2" w:themeFillTint="33"/>
            <w:noWrap/>
            <w:vAlign w:val="top"/>
          </w:tcPr>
          <w:p w14:paraId="31AF8435" w14:textId="751204B1" w:rsidR="00E73E85" w:rsidRPr="00004EA0" w:rsidRDefault="00E73E85" w:rsidP="00D4166B">
            <w:pPr>
              <w:shd w:val="clear" w:color="auto" w:fill="F2DBDB" w:themeFill="accent2" w:themeFillTint="33"/>
              <w:spacing w:before="0"/>
              <w:jc w:val="center"/>
              <w:rPr>
                <w:rFonts w:asciiTheme="minorHAnsi" w:hAnsiTheme="minorHAnsi" w:cstheme="minorHAnsi"/>
                <w:b/>
                <w:noProof/>
                <w:color w:val="000000" w:themeColor="text1"/>
                <w:sz w:val="16"/>
                <w:szCs w:val="16"/>
              </w:rPr>
            </w:pPr>
            <w:r w:rsidRPr="00004EA0">
              <w:rPr>
                <w:rFonts w:asciiTheme="minorHAnsi" w:hAnsiTheme="minorHAnsi" w:cstheme="minorHAnsi"/>
                <w:b/>
                <w:noProof/>
                <w:color w:val="000000" w:themeColor="text1"/>
                <w:sz w:val="16"/>
                <w:szCs w:val="16"/>
              </w:rPr>
              <w:t>(-)</w:t>
            </w:r>
          </w:p>
          <w:p w14:paraId="29E53FE5" w14:textId="2D3C28D5" w:rsidR="00E73E85" w:rsidRPr="00004EA0" w:rsidRDefault="00E73E85" w:rsidP="005D4198">
            <w:pPr>
              <w:shd w:val="clear" w:color="auto" w:fill="F2DBDB" w:themeFill="accent2" w:themeFillTint="33"/>
              <w:spacing w:before="0"/>
              <w:jc w:val="center"/>
              <w:rPr>
                <w:rFonts w:asciiTheme="minorHAnsi" w:hAnsiTheme="minorHAnsi" w:cstheme="minorHAnsi"/>
                <w:noProof/>
                <w:color w:val="000000" w:themeColor="text1"/>
                <w:sz w:val="16"/>
                <w:szCs w:val="16"/>
              </w:rPr>
            </w:pPr>
            <w:r>
              <w:rPr>
                <w:rFonts w:asciiTheme="minorHAnsi" w:hAnsiTheme="minorHAnsi" w:cstheme="minorHAnsi"/>
                <w:noProof/>
                <w:color w:val="000000" w:themeColor="text1"/>
                <w:sz w:val="16"/>
                <w:szCs w:val="16"/>
              </w:rPr>
              <w:t>Scientific discussion on potential increases of persistent breakdown products of synthetic refrigerants</w:t>
            </w:r>
          </w:p>
        </w:tc>
        <w:tc>
          <w:tcPr>
            <w:tcW w:w="2835" w:type="dxa"/>
            <w:vMerge/>
            <w:tcBorders>
              <w:left w:val="single" w:sz="4" w:space="0" w:color="auto"/>
              <w:bottom w:val="single" w:sz="4" w:space="0" w:color="auto"/>
              <w:right w:val="single" w:sz="4" w:space="0" w:color="auto"/>
            </w:tcBorders>
            <w:shd w:val="clear" w:color="auto" w:fill="F2DBDB" w:themeFill="accent2" w:themeFillTint="33"/>
            <w:vAlign w:val="top"/>
          </w:tcPr>
          <w:p w14:paraId="5AD0F4DA" w14:textId="77777777" w:rsidR="00E73E85" w:rsidRPr="00886422" w:rsidRDefault="00E73E85" w:rsidP="00290FE5">
            <w:pPr>
              <w:jc w:val="center"/>
              <w:rPr>
                <w:rFonts w:asciiTheme="minorHAnsi" w:hAnsiTheme="minorHAnsi" w:cstheme="minorHAnsi"/>
                <w:noProof/>
                <w:color w:val="000000" w:themeColor="text1"/>
                <w:sz w:val="16"/>
                <w:szCs w:val="16"/>
              </w:rPr>
            </w:pPr>
          </w:p>
        </w:tc>
        <w:tc>
          <w:tcPr>
            <w:tcW w:w="1559" w:type="dxa"/>
            <w:vMerge/>
            <w:tcBorders>
              <w:left w:val="single" w:sz="4" w:space="0" w:color="auto"/>
              <w:bottom w:val="single" w:sz="4" w:space="0" w:color="auto"/>
              <w:right w:val="single" w:sz="4" w:space="0" w:color="auto"/>
            </w:tcBorders>
            <w:shd w:val="clear" w:color="auto" w:fill="D99594" w:themeFill="accent2" w:themeFillTint="99"/>
            <w:noWrap/>
          </w:tcPr>
          <w:p w14:paraId="1D4E4609" w14:textId="77777777" w:rsidR="00E73E85" w:rsidRPr="00886422" w:rsidRDefault="00E73E85" w:rsidP="00E62BD3">
            <w:pPr>
              <w:jc w:val="center"/>
              <w:rPr>
                <w:rFonts w:asciiTheme="minorHAnsi" w:hAnsiTheme="minorHAnsi" w:cstheme="minorHAnsi"/>
                <w:noProof/>
                <w:color w:val="000000" w:themeColor="text1"/>
                <w:sz w:val="16"/>
                <w:szCs w:val="16"/>
              </w:rPr>
            </w:pPr>
          </w:p>
        </w:tc>
        <w:tc>
          <w:tcPr>
            <w:tcW w:w="1843" w:type="dxa"/>
            <w:vMerge/>
            <w:tcBorders>
              <w:left w:val="single" w:sz="4" w:space="0" w:color="auto"/>
              <w:bottom w:val="single" w:sz="4" w:space="0" w:color="auto"/>
            </w:tcBorders>
            <w:shd w:val="clear" w:color="auto" w:fill="F2DBDB" w:themeFill="accent2" w:themeFillTint="33"/>
            <w:noWrap/>
          </w:tcPr>
          <w:p w14:paraId="5EE17DE4" w14:textId="77777777" w:rsidR="00E73E85" w:rsidRPr="00886422" w:rsidRDefault="00E73E85" w:rsidP="00E62BD3">
            <w:pPr>
              <w:rPr>
                <w:rFonts w:asciiTheme="minorHAnsi" w:hAnsiTheme="minorHAnsi" w:cstheme="minorHAnsi"/>
                <w:noProof/>
                <w:color w:val="000000" w:themeColor="text1"/>
                <w:sz w:val="16"/>
                <w:szCs w:val="16"/>
              </w:rPr>
            </w:pPr>
          </w:p>
        </w:tc>
        <w:tc>
          <w:tcPr>
            <w:tcW w:w="1134" w:type="dxa"/>
            <w:vMerge/>
            <w:shd w:val="clear" w:color="auto" w:fill="EAF1DD" w:themeFill="accent3" w:themeFillTint="33"/>
            <w:noWrap/>
          </w:tcPr>
          <w:p w14:paraId="62A26305" w14:textId="77777777" w:rsidR="00E73E85" w:rsidRPr="00886422" w:rsidRDefault="00E73E85" w:rsidP="00E62BD3">
            <w:pPr>
              <w:jc w:val="center"/>
              <w:rPr>
                <w:rFonts w:asciiTheme="minorHAnsi" w:hAnsiTheme="minorHAnsi" w:cstheme="minorHAnsi"/>
                <w:b/>
                <w:noProof/>
                <w:color w:val="000000" w:themeColor="text1"/>
                <w:sz w:val="16"/>
                <w:szCs w:val="16"/>
                <w:shd w:val="clear" w:color="auto" w:fill="C2D69B" w:themeFill="accent3" w:themeFillTint="99"/>
              </w:rPr>
            </w:pPr>
          </w:p>
        </w:tc>
        <w:tc>
          <w:tcPr>
            <w:tcW w:w="1134" w:type="dxa"/>
            <w:vMerge/>
          </w:tcPr>
          <w:p w14:paraId="0BA77DA1" w14:textId="633E2871" w:rsidR="00E73E85" w:rsidRPr="00886422" w:rsidRDefault="00E73E85" w:rsidP="00E62BD3">
            <w:pPr>
              <w:spacing w:before="0"/>
              <w:jc w:val="center"/>
              <w:rPr>
                <w:rFonts w:asciiTheme="minorHAnsi" w:hAnsiTheme="minorHAnsi" w:cstheme="minorHAnsi"/>
                <w:b/>
                <w:noProof/>
                <w:color w:val="000000" w:themeColor="text1"/>
                <w:sz w:val="16"/>
                <w:szCs w:val="16"/>
                <w:shd w:val="clear" w:color="auto" w:fill="C2D69B" w:themeFill="accent3" w:themeFillTint="99"/>
              </w:rPr>
            </w:pPr>
          </w:p>
        </w:tc>
      </w:tr>
      <w:tr w:rsidR="0052717A" w:rsidRPr="00A14107" w14:paraId="0AA726F6" w14:textId="77777777" w:rsidTr="00E11927">
        <w:trPr>
          <w:cnfStyle w:val="000000010000" w:firstRow="0" w:lastRow="0" w:firstColumn="0" w:lastColumn="0" w:oddVBand="0" w:evenVBand="0" w:oddHBand="0" w:evenHBand="1" w:firstRowFirstColumn="0" w:firstRowLastColumn="0" w:lastRowFirstColumn="0" w:lastRowLastColumn="0"/>
          <w:trHeight w:val="563"/>
        </w:trPr>
        <w:tc>
          <w:tcPr>
            <w:tcW w:w="390" w:type="dxa"/>
            <w:vMerge w:val="restart"/>
            <w:shd w:val="clear" w:color="auto" w:fill="FFFFFF" w:themeFill="background1"/>
            <w:noWrap/>
          </w:tcPr>
          <w:p w14:paraId="32F97EF4" w14:textId="77777777" w:rsidR="00E73E85" w:rsidRPr="00A14107" w:rsidRDefault="00E73E85" w:rsidP="00E62BD3">
            <w:pPr>
              <w:spacing w:before="0"/>
              <w:rPr>
                <w:rFonts w:asciiTheme="minorHAnsi" w:hAnsiTheme="minorHAnsi" w:cstheme="minorHAnsi"/>
                <w:noProof/>
                <w:color w:val="000000" w:themeColor="text1"/>
                <w:sz w:val="16"/>
                <w:szCs w:val="16"/>
              </w:rPr>
            </w:pPr>
            <w:r>
              <w:rPr>
                <w:rFonts w:asciiTheme="minorHAnsi" w:hAnsiTheme="minorHAnsi" w:cstheme="minorHAnsi"/>
                <w:noProof/>
                <w:color w:val="000000" w:themeColor="text1"/>
                <w:sz w:val="16"/>
                <w:szCs w:val="16"/>
              </w:rPr>
              <w:t>B</w:t>
            </w:r>
          </w:p>
        </w:tc>
        <w:tc>
          <w:tcPr>
            <w:tcW w:w="1845" w:type="dxa"/>
            <w:vMerge w:val="restart"/>
            <w:tcBorders>
              <w:top w:val="single" w:sz="4" w:space="0" w:color="auto"/>
              <w:left w:val="single" w:sz="4" w:space="0" w:color="auto"/>
              <w:right w:val="single" w:sz="4" w:space="0" w:color="auto"/>
            </w:tcBorders>
            <w:shd w:val="clear" w:color="auto" w:fill="FFFFFF" w:themeFill="background1"/>
            <w:noWrap/>
          </w:tcPr>
          <w:p w14:paraId="4A79C6CE" w14:textId="7FE7032A" w:rsidR="00E73E85" w:rsidRDefault="00E73E85" w:rsidP="00E62BD3">
            <w:pPr>
              <w:spacing w:before="0"/>
              <w:rPr>
                <w:rFonts w:asciiTheme="minorHAnsi" w:hAnsiTheme="minorHAnsi" w:cstheme="minorHAnsi"/>
                <w:b/>
                <w:noProof/>
                <w:color w:val="000000" w:themeColor="text1"/>
                <w:sz w:val="16"/>
                <w:szCs w:val="16"/>
              </w:rPr>
            </w:pPr>
            <w:r>
              <w:rPr>
                <w:rFonts w:asciiTheme="minorHAnsi" w:hAnsiTheme="minorHAnsi" w:cstheme="minorHAnsi"/>
                <w:b/>
                <w:noProof/>
                <w:color w:val="000000" w:themeColor="text1"/>
                <w:sz w:val="16"/>
                <w:szCs w:val="16"/>
              </w:rPr>
              <w:t>PROTOCOL ALIGNMENT:</w:t>
            </w:r>
          </w:p>
          <w:p w14:paraId="2888356D" w14:textId="351E5E1F" w:rsidR="00E73E85" w:rsidRDefault="00E73E85" w:rsidP="00E62BD3">
            <w:pPr>
              <w:spacing w:before="0"/>
              <w:rPr>
                <w:rFonts w:asciiTheme="minorHAnsi" w:hAnsiTheme="minorHAnsi" w:cstheme="minorHAnsi"/>
                <w:b/>
                <w:noProof/>
                <w:color w:val="000000" w:themeColor="text1"/>
                <w:sz w:val="16"/>
                <w:szCs w:val="16"/>
              </w:rPr>
            </w:pPr>
            <w:r>
              <w:rPr>
                <w:rFonts w:asciiTheme="minorHAnsi" w:hAnsiTheme="minorHAnsi" w:cstheme="minorHAnsi"/>
                <w:b/>
                <w:noProof/>
                <w:color w:val="000000" w:themeColor="text1"/>
                <w:sz w:val="16"/>
                <w:szCs w:val="16"/>
              </w:rPr>
              <w:t xml:space="preserve">MDIs in phase-down, </w:t>
            </w:r>
          </w:p>
          <w:p w14:paraId="0B60819A" w14:textId="77777777" w:rsidR="00E73E85" w:rsidRDefault="00E73E85" w:rsidP="00D70A31">
            <w:pPr>
              <w:spacing w:before="0"/>
              <w:rPr>
                <w:rFonts w:asciiTheme="minorHAnsi" w:hAnsiTheme="minorHAnsi" w:cstheme="minorHAnsi"/>
                <w:b/>
                <w:noProof/>
                <w:color w:val="000000" w:themeColor="text1"/>
                <w:sz w:val="16"/>
                <w:szCs w:val="16"/>
              </w:rPr>
            </w:pPr>
            <w:r>
              <w:rPr>
                <w:rFonts w:asciiTheme="minorHAnsi" w:hAnsiTheme="minorHAnsi" w:cstheme="minorHAnsi"/>
                <w:b/>
                <w:noProof/>
                <w:color w:val="000000" w:themeColor="text1"/>
                <w:sz w:val="16"/>
                <w:szCs w:val="16"/>
              </w:rPr>
              <w:t>R</w:t>
            </w:r>
            <w:r w:rsidRPr="00F56A72">
              <w:rPr>
                <w:rFonts w:asciiTheme="minorHAnsi" w:hAnsiTheme="minorHAnsi" w:cstheme="minorHAnsi"/>
                <w:b/>
                <w:noProof/>
                <w:color w:val="000000" w:themeColor="text1"/>
                <w:sz w:val="16"/>
                <w:szCs w:val="16"/>
              </w:rPr>
              <w:t>emoval of thresholds</w:t>
            </w:r>
            <w:r>
              <w:rPr>
                <w:rFonts w:asciiTheme="minorHAnsi" w:hAnsiTheme="minorHAnsi" w:cstheme="minorHAnsi"/>
                <w:b/>
                <w:noProof/>
                <w:color w:val="000000" w:themeColor="text1"/>
                <w:sz w:val="16"/>
                <w:szCs w:val="16"/>
              </w:rPr>
              <w:t xml:space="preserve">, Production quota, </w:t>
            </w:r>
          </w:p>
          <w:p w14:paraId="3579B93C" w14:textId="1202AAD6" w:rsidR="00E73E85" w:rsidRPr="00004EA0" w:rsidRDefault="00E73E85" w:rsidP="00D70A31">
            <w:pPr>
              <w:spacing w:before="0"/>
              <w:rPr>
                <w:rFonts w:asciiTheme="minorHAnsi" w:hAnsiTheme="minorHAnsi" w:cstheme="minorHAnsi"/>
                <w:b/>
                <w:noProof/>
                <w:color w:val="000000" w:themeColor="text1"/>
                <w:sz w:val="16"/>
                <w:szCs w:val="16"/>
              </w:rPr>
            </w:pPr>
            <w:r>
              <w:rPr>
                <w:rFonts w:asciiTheme="minorHAnsi" w:hAnsiTheme="minorHAnsi" w:cstheme="minorHAnsi"/>
                <w:b/>
                <w:noProof/>
                <w:color w:val="000000" w:themeColor="text1"/>
                <w:sz w:val="16"/>
                <w:szCs w:val="16"/>
              </w:rPr>
              <w:t>No non-Party trade</w:t>
            </w:r>
          </w:p>
        </w:tc>
        <w:tc>
          <w:tcPr>
            <w:tcW w:w="3827" w:type="dxa"/>
            <w:vMerge w:val="restart"/>
            <w:tcBorders>
              <w:top w:val="single" w:sz="4" w:space="0" w:color="auto"/>
              <w:left w:val="single" w:sz="4" w:space="0" w:color="auto"/>
              <w:right w:val="single" w:sz="4" w:space="0" w:color="auto"/>
            </w:tcBorders>
            <w:shd w:val="clear" w:color="auto" w:fill="auto"/>
            <w:noWrap/>
            <w:vAlign w:val="top"/>
          </w:tcPr>
          <w:p w14:paraId="24C0F25D" w14:textId="77777777" w:rsidR="00F979DD" w:rsidRDefault="00F979DD" w:rsidP="00F979DD">
            <w:pPr>
              <w:spacing w:before="0"/>
              <w:jc w:val="center"/>
              <w:rPr>
                <w:rFonts w:asciiTheme="minorHAnsi" w:hAnsiTheme="minorHAnsi" w:cstheme="minorHAnsi"/>
                <w:noProof/>
                <w:color w:val="000000" w:themeColor="text1"/>
                <w:sz w:val="16"/>
                <w:szCs w:val="16"/>
              </w:rPr>
            </w:pPr>
          </w:p>
          <w:p w14:paraId="243688B4" w14:textId="77777777" w:rsidR="00F979DD" w:rsidRDefault="00F979DD" w:rsidP="00F979DD">
            <w:pPr>
              <w:spacing w:before="0"/>
              <w:jc w:val="center"/>
              <w:rPr>
                <w:rFonts w:asciiTheme="minorHAnsi" w:hAnsiTheme="minorHAnsi" w:cstheme="minorHAnsi"/>
                <w:noProof/>
                <w:color w:val="000000" w:themeColor="text1"/>
                <w:sz w:val="16"/>
                <w:szCs w:val="16"/>
              </w:rPr>
            </w:pPr>
          </w:p>
          <w:p w14:paraId="19C3F363" w14:textId="5A59058B" w:rsidR="00E73E85" w:rsidRPr="00A14107" w:rsidRDefault="00E73E85" w:rsidP="00F979DD">
            <w:pPr>
              <w:spacing w:before="0"/>
              <w:jc w:val="center"/>
              <w:rPr>
                <w:rFonts w:asciiTheme="minorHAnsi" w:hAnsiTheme="minorHAnsi" w:cstheme="minorHAnsi"/>
                <w:noProof/>
                <w:color w:val="000000" w:themeColor="text1"/>
                <w:sz w:val="16"/>
                <w:szCs w:val="16"/>
              </w:rPr>
            </w:pPr>
            <w:r w:rsidRPr="00A84215">
              <w:rPr>
                <w:rFonts w:asciiTheme="minorHAnsi" w:hAnsiTheme="minorHAnsi" w:cstheme="minorHAnsi"/>
                <w:noProof/>
                <w:color w:val="000000" w:themeColor="text1"/>
                <w:sz w:val="16"/>
                <w:szCs w:val="16"/>
              </w:rPr>
              <w:t>Included in</w:t>
            </w:r>
            <w:r>
              <w:rPr>
                <w:rFonts w:asciiTheme="minorHAnsi" w:hAnsiTheme="minorHAnsi" w:cstheme="minorHAnsi"/>
                <w:noProof/>
                <w:color w:val="000000" w:themeColor="text1"/>
                <w:sz w:val="16"/>
                <w:szCs w:val="16"/>
              </w:rPr>
              <w:t xml:space="preserve"> phase-down/prohibition</w:t>
            </w:r>
            <w:r w:rsidRPr="00A84215">
              <w:rPr>
                <w:rFonts w:asciiTheme="minorHAnsi" w:hAnsiTheme="minorHAnsi" w:cstheme="minorHAnsi"/>
                <w:noProof/>
                <w:color w:val="000000" w:themeColor="text1"/>
                <w:sz w:val="16"/>
                <w:szCs w:val="16"/>
              </w:rPr>
              <w:t xml:space="preserve"> effects above</w:t>
            </w:r>
          </w:p>
        </w:tc>
        <w:tc>
          <w:tcPr>
            <w:tcW w:w="2835" w:type="dxa"/>
            <w:tcBorders>
              <w:top w:val="single" w:sz="4" w:space="0" w:color="auto"/>
              <w:left w:val="single" w:sz="4" w:space="0" w:color="auto"/>
              <w:bottom w:val="single" w:sz="4" w:space="0" w:color="F2DBDB" w:themeColor="accent2" w:themeTint="33"/>
              <w:right w:val="single" w:sz="4" w:space="0" w:color="auto"/>
            </w:tcBorders>
            <w:shd w:val="clear" w:color="auto" w:fill="FFFFFF" w:themeFill="background1"/>
            <w:vAlign w:val="top"/>
          </w:tcPr>
          <w:p w14:paraId="62CEE685" w14:textId="09906A0A" w:rsidR="00E73E85" w:rsidRPr="00BA2D24" w:rsidRDefault="00E73E85" w:rsidP="00F979DD">
            <w:pPr>
              <w:spacing w:before="0"/>
              <w:jc w:val="center"/>
              <w:rPr>
                <w:rFonts w:asciiTheme="minorHAnsi" w:hAnsiTheme="minorHAnsi" w:cstheme="minorHAnsi"/>
                <w:b/>
                <w:noProof/>
                <w:color w:val="000000" w:themeColor="text1"/>
                <w:sz w:val="16"/>
                <w:szCs w:val="16"/>
              </w:rPr>
            </w:pPr>
            <w:r w:rsidRPr="00A14107">
              <w:rPr>
                <w:rFonts w:asciiTheme="minorHAnsi" w:hAnsiTheme="minorHAnsi" w:cstheme="minorHAnsi"/>
                <w:b/>
                <w:noProof/>
                <w:color w:val="000000" w:themeColor="text1"/>
                <w:sz w:val="16"/>
                <w:szCs w:val="16"/>
              </w:rPr>
              <w:t>(0/-)</w:t>
            </w:r>
            <w:r>
              <w:rPr>
                <w:rFonts w:asciiTheme="minorHAnsi" w:hAnsiTheme="minorHAnsi" w:cstheme="minorHAnsi"/>
                <w:b/>
                <w:noProof/>
                <w:color w:val="000000" w:themeColor="text1"/>
                <w:sz w:val="16"/>
                <w:szCs w:val="16"/>
              </w:rPr>
              <w:t xml:space="preserve"> </w:t>
            </w:r>
            <w:r w:rsidRPr="00BA2D24">
              <w:rPr>
                <w:rFonts w:asciiTheme="minorHAnsi" w:hAnsiTheme="minorHAnsi" w:cstheme="minorHAnsi"/>
                <w:noProof/>
                <w:color w:val="000000" w:themeColor="text1"/>
                <w:sz w:val="16"/>
                <w:szCs w:val="16"/>
              </w:rPr>
              <w:t>Cost increases on MDIs minimal (</w:t>
            </w:r>
            <w:r>
              <w:rPr>
                <w:rFonts w:asciiTheme="minorHAnsi" w:hAnsiTheme="minorHAnsi" w:cstheme="minorHAnsi"/>
                <w:noProof/>
                <w:color w:val="000000" w:themeColor="text1"/>
                <w:sz w:val="16"/>
                <w:szCs w:val="16"/>
              </w:rPr>
              <w:t>&lt;</w:t>
            </w:r>
            <w:r w:rsidRPr="00BA2D24">
              <w:rPr>
                <w:rFonts w:asciiTheme="minorHAnsi" w:hAnsiTheme="minorHAnsi" w:cstheme="minorHAnsi"/>
                <w:noProof/>
                <w:color w:val="000000" w:themeColor="text1"/>
                <w:sz w:val="16"/>
                <w:szCs w:val="16"/>
              </w:rPr>
              <w:t>1%)</w:t>
            </w:r>
          </w:p>
          <w:p w14:paraId="40026AB3" w14:textId="71AB14C4" w:rsidR="00E73E85" w:rsidRPr="00A14107" w:rsidRDefault="00E73E85" w:rsidP="00F979DD">
            <w:pPr>
              <w:spacing w:before="0"/>
              <w:jc w:val="center"/>
              <w:rPr>
                <w:rFonts w:asciiTheme="minorHAnsi" w:hAnsiTheme="minorHAnsi" w:cstheme="minorHAnsi"/>
                <w:noProof/>
                <w:color w:val="000000" w:themeColor="text1"/>
                <w:sz w:val="16"/>
                <w:szCs w:val="16"/>
              </w:rPr>
            </w:pPr>
            <w:r>
              <w:rPr>
                <w:rFonts w:asciiTheme="minorHAnsi" w:hAnsiTheme="minorHAnsi" w:cstheme="minorHAnsi"/>
                <w:noProof/>
                <w:color w:val="000000" w:themeColor="text1"/>
                <w:sz w:val="16"/>
                <w:szCs w:val="16"/>
              </w:rPr>
              <w:t>Admin costs: €0.02 MIO</w:t>
            </w:r>
          </w:p>
        </w:tc>
        <w:tc>
          <w:tcPr>
            <w:tcW w:w="1559" w:type="dxa"/>
            <w:vMerge w:val="restart"/>
            <w:tcBorders>
              <w:top w:val="single" w:sz="4" w:space="0" w:color="auto"/>
              <w:left w:val="single" w:sz="4" w:space="0" w:color="auto"/>
              <w:right w:val="single" w:sz="4" w:space="0" w:color="auto"/>
            </w:tcBorders>
            <w:shd w:val="clear" w:color="auto" w:fill="F2DBDB" w:themeFill="accent2" w:themeFillTint="33"/>
            <w:noWrap/>
            <w:vAlign w:val="top"/>
          </w:tcPr>
          <w:p w14:paraId="4127EBE2" w14:textId="77777777" w:rsidR="00F979DD" w:rsidRDefault="00F979DD" w:rsidP="00F979DD">
            <w:pPr>
              <w:spacing w:before="0"/>
              <w:jc w:val="center"/>
              <w:rPr>
                <w:rFonts w:asciiTheme="minorHAnsi" w:hAnsiTheme="minorHAnsi" w:cstheme="minorHAnsi"/>
                <w:b/>
                <w:noProof/>
                <w:color w:val="000000" w:themeColor="text1"/>
                <w:sz w:val="16"/>
                <w:szCs w:val="16"/>
              </w:rPr>
            </w:pPr>
          </w:p>
          <w:p w14:paraId="37C43E74" w14:textId="59A8F0BA" w:rsidR="00E73E85" w:rsidRPr="00A14107" w:rsidRDefault="00E73E85" w:rsidP="00F979DD">
            <w:pPr>
              <w:spacing w:before="0"/>
              <w:jc w:val="center"/>
              <w:rPr>
                <w:rFonts w:asciiTheme="minorHAnsi" w:hAnsiTheme="minorHAnsi" w:cstheme="minorHAnsi"/>
                <w:b/>
                <w:noProof/>
                <w:color w:val="000000" w:themeColor="text1"/>
                <w:sz w:val="16"/>
                <w:szCs w:val="16"/>
              </w:rPr>
            </w:pPr>
            <w:r w:rsidRPr="00A14107">
              <w:rPr>
                <w:rFonts w:asciiTheme="minorHAnsi" w:hAnsiTheme="minorHAnsi" w:cstheme="minorHAnsi"/>
                <w:b/>
                <w:noProof/>
                <w:color w:val="000000" w:themeColor="text1"/>
                <w:sz w:val="16"/>
                <w:szCs w:val="16"/>
              </w:rPr>
              <w:t>(-)</w:t>
            </w:r>
          </w:p>
          <w:p w14:paraId="7E9CB16B" w14:textId="50BC515E" w:rsidR="00E73E85" w:rsidRPr="00A14107" w:rsidRDefault="00E73E85" w:rsidP="00F979DD">
            <w:pPr>
              <w:spacing w:before="0"/>
              <w:jc w:val="center"/>
              <w:rPr>
                <w:rFonts w:asciiTheme="minorHAnsi" w:hAnsiTheme="minorHAnsi" w:cstheme="minorHAnsi"/>
                <w:noProof/>
                <w:color w:val="000000" w:themeColor="text1"/>
                <w:sz w:val="16"/>
                <w:szCs w:val="16"/>
              </w:rPr>
            </w:pPr>
            <w:r>
              <w:rPr>
                <w:rFonts w:asciiTheme="minorHAnsi" w:hAnsiTheme="minorHAnsi" w:cstheme="minorHAnsi"/>
                <w:noProof/>
                <w:color w:val="000000" w:themeColor="text1"/>
                <w:sz w:val="16"/>
                <w:szCs w:val="16"/>
              </w:rPr>
              <w:t>Admin: 239 days</w:t>
            </w:r>
          </w:p>
        </w:tc>
        <w:tc>
          <w:tcPr>
            <w:tcW w:w="1843" w:type="dxa"/>
            <w:vMerge w:val="restart"/>
            <w:tcBorders>
              <w:top w:val="single" w:sz="4" w:space="0" w:color="auto"/>
              <w:left w:val="single" w:sz="4" w:space="0" w:color="auto"/>
            </w:tcBorders>
            <w:shd w:val="clear" w:color="auto" w:fill="F2DBDB" w:themeFill="accent2" w:themeFillTint="33"/>
            <w:noWrap/>
          </w:tcPr>
          <w:p w14:paraId="5C4F486F" w14:textId="5C52D79D" w:rsidR="00E73E85" w:rsidRPr="00960DCF" w:rsidRDefault="00E73E85" w:rsidP="00E62BD3">
            <w:pPr>
              <w:spacing w:before="0"/>
              <w:jc w:val="center"/>
              <w:rPr>
                <w:rFonts w:asciiTheme="minorHAnsi" w:hAnsiTheme="minorHAnsi" w:cstheme="minorHAnsi"/>
                <w:b/>
                <w:noProof/>
                <w:color w:val="000000" w:themeColor="text1"/>
                <w:sz w:val="16"/>
                <w:szCs w:val="16"/>
              </w:rPr>
            </w:pPr>
            <w:r>
              <w:rPr>
                <w:rFonts w:asciiTheme="minorHAnsi" w:hAnsiTheme="minorHAnsi" w:cstheme="minorHAnsi"/>
                <w:b/>
                <w:noProof/>
                <w:color w:val="000000" w:themeColor="text1"/>
                <w:sz w:val="16"/>
                <w:szCs w:val="16"/>
              </w:rPr>
              <w:t>(</w:t>
            </w:r>
            <w:r w:rsidRPr="00960DCF">
              <w:rPr>
                <w:rFonts w:asciiTheme="minorHAnsi" w:hAnsiTheme="minorHAnsi" w:cstheme="minorHAnsi"/>
                <w:b/>
                <w:noProof/>
                <w:color w:val="000000" w:themeColor="text1"/>
                <w:sz w:val="16"/>
                <w:szCs w:val="16"/>
              </w:rPr>
              <w:t>-)</w:t>
            </w:r>
          </w:p>
          <w:p w14:paraId="689AC02F" w14:textId="44A99C6A" w:rsidR="00E73E85" w:rsidRPr="00A14107" w:rsidRDefault="00E73E85" w:rsidP="00E62BD3">
            <w:pPr>
              <w:spacing w:before="0"/>
              <w:rPr>
                <w:rFonts w:asciiTheme="minorHAnsi" w:hAnsiTheme="minorHAnsi" w:cstheme="minorHAnsi"/>
                <w:noProof/>
                <w:color w:val="000000" w:themeColor="text1"/>
                <w:sz w:val="16"/>
                <w:szCs w:val="16"/>
              </w:rPr>
            </w:pPr>
            <w:r>
              <w:rPr>
                <w:rFonts w:asciiTheme="minorHAnsi" w:hAnsiTheme="minorHAnsi" w:cstheme="minorHAnsi"/>
                <w:noProof/>
                <w:color w:val="000000" w:themeColor="text1"/>
                <w:sz w:val="16"/>
                <w:szCs w:val="16"/>
              </w:rPr>
              <w:t>Admin: 48 days plus 31 days upfront</w:t>
            </w:r>
          </w:p>
        </w:tc>
        <w:tc>
          <w:tcPr>
            <w:tcW w:w="1134" w:type="dxa"/>
            <w:vMerge w:val="restart"/>
            <w:noWrap/>
          </w:tcPr>
          <w:p w14:paraId="58748073" w14:textId="77777777" w:rsidR="00E73E85" w:rsidRPr="00A14107" w:rsidRDefault="00E73E85" w:rsidP="00E62BD3">
            <w:pPr>
              <w:jc w:val="center"/>
              <w:rPr>
                <w:rFonts w:asciiTheme="minorHAnsi" w:hAnsiTheme="minorHAnsi" w:cstheme="minorHAnsi"/>
                <w:noProof/>
                <w:color w:val="000000" w:themeColor="text1"/>
                <w:sz w:val="16"/>
                <w:szCs w:val="16"/>
              </w:rPr>
            </w:pPr>
          </w:p>
        </w:tc>
        <w:tc>
          <w:tcPr>
            <w:tcW w:w="1134" w:type="dxa"/>
            <w:vMerge w:val="restart"/>
          </w:tcPr>
          <w:p w14:paraId="13CBC091" w14:textId="123A0F95" w:rsidR="00E73E85" w:rsidRPr="00A14107" w:rsidRDefault="00E73E85" w:rsidP="00E62BD3">
            <w:pPr>
              <w:spacing w:before="0"/>
              <w:jc w:val="center"/>
              <w:rPr>
                <w:rFonts w:asciiTheme="minorHAnsi" w:hAnsiTheme="minorHAnsi" w:cstheme="minorHAnsi"/>
                <w:noProof/>
                <w:color w:val="000000" w:themeColor="text1"/>
                <w:sz w:val="16"/>
                <w:szCs w:val="16"/>
              </w:rPr>
            </w:pPr>
          </w:p>
        </w:tc>
      </w:tr>
      <w:tr w:rsidR="0052717A" w:rsidRPr="00A14107" w14:paraId="4F78E6A9" w14:textId="77777777" w:rsidTr="006165C7">
        <w:trPr>
          <w:cnfStyle w:val="000000100000" w:firstRow="0" w:lastRow="0" w:firstColumn="0" w:lastColumn="0" w:oddVBand="0" w:evenVBand="0" w:oddHBand="1" w:evenHBand="0" w:firstRowFirstColumn="0" w:firstRowLastColumn="0" w:lastRowFirstColumn="0" w:lastRowLastColumn="0"/>
          <w:trHeight w:val="603"/>
        </w:trPr>
        <w:tc>
          <w:tcPr>
            <w:tcW w:w="390" w:type="dxa"/>
            <w:vMerge/>
            <w:shd w:val="clear" w:color="auto" w:fill="FFFFFF" w:themeFill="background1"/>
            <w:noWrap/>
          </w:tcPr>
          <w:p w14:paraId="54A0ED08" w14:textId="77777777" w:rsidR="00E73E85" w:rsidRDefault="00E73E85" w:rsidP="00E62BD3">
            <w:pPr>
              <w:rPr>
                <w:rFonts w:asciiTheme="minorHAnsi" w:hAnsiTheme="minorHAnsi" w:cstheme="minorHAnsi"/>
                <w:noProof/>
                <w:color w:val="000000" w:themeColor="text1"/>
                <w:sz w:val="16"/>
                <w:szCs w:val="16"/>
              </w:rPr>
            </w:pPr>
          </w:p>
        </w:tc>
        <w:tc>
          <w:tcPr>
            <w:tcW w:w="1845" w:type="dxa"/>
            <w:vMerge/>
            <w:tcBorders>
              <w:left w:val="single" w:sz="4" w:space="0" w:color="auto"/>
              <w:bottom w:val="single" w:sz="4" w:space="0" w:color="auto"/>
              <w:right w:val="single" w:sz="4" w:space="0" w:color="auto"/>
            </w:tcBorders>
            <w:shd w:val="clear" w:color="auto" w:fill="FFFFFF" w:themeFill="background1"/>
            <w:noWrap/>
          </w:tcPr>
          <w:p w14:paraId="3CB22525" w14:textId="77777777" w:rsidR="00E73E85" w:rsidRDefault="00E73E85" w:rsidP="00E62BD3">
            <w:pPr>
              <w:rPr>
                <w:rFonts w:asciiTheme="minorHAnsi" w:hAnsiTheme="minorHAnsi" w:cstheme="minorHAnsi"/>
                <w:b/>
                <w:noProof/>
                <w:color w:val="000000" w:themeColor="text1"/>
                <w:sz w:val="16"/>
                <w:szCs w:val="16"/>
              </w:rPr>
            </w:pPr>
          </w:p>
        </w:tc>
        <w:tc>
          <w:tcPr>
            <w:tcW w:w="3827" w:type="dxa"/>
            <w:vMerge/>
            <w:tcBorders>
              <w:left w:val="single" w:sz="4" w:space="0" w:color="auto"/>
              <w:bottom w:val="single" w:sz="4" w:space="0" w:color="auto"/>
              <w:right w:val="single" w:sz="4" w:space="0" w:color="auto"/>
            </w:tcBorders>
            <w:shd w:val="clear" w:color="auto" w:fill="auto"/>
            <w:noWrap/>
          </w:tcPr>
          <w:p w14:paraId="1947E319" w14:textId="77777777" w:rsidR="00E73E85" w:rsidRPr="00A84215" w:rsidRDefault="00E73E85" w:rsidP="00E62BD3">
            <w:pPr>
              <w:jc w:val="center"/>
              <w:rPr>
                <w:rFonts w:asciiTheme="minorHAnsi" w:hAnsiTheme="minorHAnsi" w:cstheme="minorHAnsi"/>
                <w:noProof/>
                <w:color w:val="000000" w:themeColor="text1"/>
                <w:sz w:val="16"/>
                <w:szCs w:val="16"/>
              </w:rPr>
            </w:pPr>
          </w:p>
        </w:tc>
        <w:tc>
          <w:tcPr>
            <w:tcW w:w="2835" w:type="dxa"/>
            <w:tcBorders>
              <w:top w:val="single" w:sz="4" w:space="0" w:color="F2DBDB" w:themeColor="accent2" w:themeTint="33"/>
              <w:left w:val="single" w:sz="4" w:space="0" w:color="auto"/>
              <w:bottom w:val="single" w:sz="4" w:space="0" w:color="auto"/>
              <w:right w:val="single" w:sz="4" w:space="0" w:color="auto"/>
            </w:tcBorders>
            <w:shd w:val="clear" w:color="auto" w:fill="F2DBDB" w:themeFill="accent2" w:themeFillTint="33"/>
          </w:tcPr>
          <w:p w14:paraId="75DFE3B6" w14:textId="374121D5" w:rsidR="00E73E85" w:rsidRPr="00D960A9" w:rsidRDefault="00E73E85" w:rsidP="00D70A31">
            <w:pPr>
              <w:spacing w:before="0"/>
              <w:jc w:val="center"/>
              <w:rPr>
                <w:rFonts w:asciiTheme="minorHAnsi" w:hAnsiTheme="minorHAnsi" w:cstheme="minorHAnsi"/>
                <w:b/>
                <w:noProof/>
                <w:color w:val="000000" w:themeColor="text1"/>
                <w:sz w:val="16"/>
                <w:szCs w:val="16"/>
              </w:rPr>
            </w:pPr>
            <w:r>
              <w:rPr>
                <w:rFonts w:asciiTheme="minorHAnsi" w:hAnsiTheme="minorHAnsi" w:cstheme="minorHAnsi"/>
                <w:noProof/>
                <w:color w:val="000000" w:themeColor="text1"/>
                <w:sz w:val="16"/>
                <w:szCs w:val="16"/>
                <w:shd w:val="clear" w:color="auto" w:fill="F2DBDB" w:themeFill="accent2" w:themeFillTint="33"/>
              </w:rPr>
              <w:t>P</w:t>
            </w:r>
            <w:r w:rsidRPr="00D960A9">
              <w:rPr>
                <w:rFonts w:asciiTheme="minorHAnsi" w:hAnsiTheme="minorHAnsi" w:cstheme="minorHAnsi"/>
                <w:noProof/>
                <w:color w:val="000000" w:themeColor="text1"/>
                <w:sz w:val="16"/>
                <w:szCs w:val="16"/>
                <w:shd w:val="clear" w:color="auto" w:fill="F2DBDB" w:themeFill="accent2" w:themeFillTint="33"/>
              </w:rPr>
              <w:t>ossible cost for production reduction (international obligation)</w:t>
            </w:r>
          </w:p>
        </w:tc>
        <w:tc>
          <w:tcPr>
            <w:tcW w:w="1559" w:type="dxa"/>
            <w:vMerge/>
            <w:tcBorders>
              <w:left w:val="single" w:sz="4" w:space="0" w:color="auto"/>
              <w:bottom w:val="single" w:sz="4" w:space="0" w:color="auto"/>
              <w:right w:val="single" w:sz="4" w:space="0" w:color="auto"/>
            </w:tcBorders>
            <w:shd w:val="clear" w:color="auto" w:fill="F2DBDB" w:themeFill="accent2" w:themeFillTint="33"/>
            <w:noWrap/>
          </w:tcPr>
          <w:p w14:paraId="292FAEB6" w14:textId="77777777" w:rsidR="00E73E85" w:rsidRPr="00A14107" w:rsidRDefault="00E73E85" w:rsidP="00E62BD3">
            <w:pPr>
              <w:jc w:val="center"/>
              <w:rPr>
                <w:rFonts w:asciiTheme="minorHAnsi" w:hAnsiTheme="minorHAnsi" w:cstheme="minorHAnsi"/>
                <w:b/>
                <w:noProof/>
                <w:color w:val="000000" w:themeColor="text1"/>
                <w:sz w:val="16"/>
                <w:szCs w:val="16"/>
              </w:rPr>
            </w:pPr>
          </w:p>
        </w:tc>
        <w:tc>
          <w:tcPr>
            <w:tcW w:w="1843" w:type="dxa"/>
            <w:vMerge/>
            <w:tcBorders>
              <w:left w:val="single" w:sz="4" w:space="0" w:color="auto"/>
              <w:bottom w:val="single" w:sz="4" w:space="0" w:color="auto"/>
            </w:tcBorders>
            <w:shd w:val="clear" w:color="auto" w:fill="F2DBDB" w:themeFill="accent2" w:themeFillTint="33"/>
            <w:noWrap/>
          </w:tcPr>
          <w:p w14:paraId="254E3DAE" w14:textId="77777777" w:rsidR="00E73E85" w:rsidRPr="00960DCF" w:rsidRDefault="00E73E85" w:rsidP="00E62BD3">
            <w:pPr>
              <w:jc w:val="center"/>
              <w:rPr>
                <w:rFonts w:asciiTheme="minorHAnsi" w:hAnsiTheme="minorHAnsi" w:cstheme="minorHAnsi"/>
                <w:b/>
                <w:noProof/>
                <w:color w:val="000000" w:themeColor="text1"/>
                <w:sz w:val="16"/>
                <w:szCs w:val="16"/>
              </w:rPr>
            </w:pPr>
          </w:p>
        </w:tc>
        <w:tc>
          <w:tcPr>
            <w:tcW w:w="1134" w:type="dxa"/>
            <w:vMerge/>
            <w:noWrap/>
          </w:tcPr>
          <w:p w14:paraId="6C795270" w14:textId="77777777" w:rsidR="00E73E85" w:rsidRPr="00A14107" w:rsidRDefault="00E73E85" w:rsidP="00E62BD3">
            <w:pPr>
              <w:jc w:val="center"/>
              <w:rPr>
                <w:rFonts w:asciiTheme="minorHAnsi" w:hAnsiTheme="minorHAnsi" w:cstheme="minorHAnsi"/>
                <w:noProof/>
                <w:color w:val="000000" w:themeColor="text1"/>
                <w:sz w:val="16"/>
                <w:szCs w:val="16"/>
              </w:rPr>
            </w:pPr>
          </w:p>
        </w:tc>
        <w:tc>
          <w:tcPr>
            <w:tcW w:w="1134" w:type="dxa"/>
            <w:vMerge/>
          </w:tcPr>
          <w:p w14:paraId="45A11394" w14:textId="1AA95046" w:rsidR="00E73E85" w:rsidRPr="00A14107" w:rsidRDefault="00E73E85" w:rsidP="00E62BD3">
            <w:pPr>
              <w:spacing w:before="0"/>
              <w:jc w:val="center"/>
              <w:rPr>
                <w:rFonts w:asciiTheme="minorHAnsi" w:hAnsiTheme="minorHAnsi" w:cstheme="minorHAnsi"/>
                <w:noProof/>
                <w:color w:val="000000" w:themeColor="text1"/>
                <w:sz w:val="16"/>
                <w:szCs w:val="16"/>
              </w:rPr>
            </w:pPr>
          </w:p>
        </w:tc>
      </w:tr>
      <w:tr w:rsidR="00E23E0E" w:rsidRPr="00A14107" w14:paraId="64CB6E02" w14:textId="77777777" w:rsidTr="00F979DD">
        <w:trPr>
          <w:cnfStyle w:val="000000010000" w:firstRow="0" w:lastRow="0" w:firstColumn="0" w:lastColumn="0" w:oddVBand="0" w:evenVBand="0" w:oddHBand="0" w:evenHBand="1" w:firstRowFirstColumn="0" w:firstRowLastColumn="0" w:lastRowFirstColumn="0" w:lastRowLastColumn="0"/>
          <w:trHeight w:val="243"/>
        </w:trPr>
        <w:tc>
          <w:tcPr>
            <w:tcW w:w="390" w:type="dxa"/>
            <w:shd w:val="clear" w:color="auto" w:fill="FFFFFF" w:themeFill="background1"/>
            <w:noWrap/>
          </w:tcPr>
          <w:p w14:paraId="498E6C41" w14:textId="77777777" w:rsidR="00E73E85" w:rsidRPr="00A14107" w:rsidRDefault="00E73E85" w:rsidP="00E62BD3">
            <w:pPr>
              <w:spacing w:before="0"/>
              <w:rPr>
                <w:rFonts w:asciiTheme="minorHAnsi" w:hAnsiTheme="minorHAnsi" w:cstheme="minorHAnsi"/>
                <w:noProof/>
                <w:color w:val="000000" w:themeColor="text1"/>
                <w:sz w:val="16"/>
                <w:szCs w:val="16"/>
              </w:rPr>
            </w:pPr>
            <w:r>
              <w:rPr>
                <w:rFonts w:asciiTheme="minorHAnsi" w:hAnsiTheme="minorHAnsi" w:cstheme="minorHAnsi"/>
                <w:noProof/>
                <w:color w:val="000000" w:themeColor="text1"/>
                <w:sz w:val="16"/>
                <w:szCs w:val="16"/>
              </w:rPr>
              <w:t>C</w:t>
            </w:r>
          </w:p>
        </w:tc>
        <w:tc>
          <w:tcPr>
            <w:tcW w:w="1845" w:type="dxa"/>
            <w:tcBorders>
              <w:top w:val="single" w:sz="4" w:space="0" w:color="auto"/>
              <w:bottom w:val="single" w:sz="4" w:space="0" w:color="auto"/>
            </w:tcBorders>
            <w:shd w:val="clear" w:color="auto" w:fill="FFFFFF" w:themeFill="background1"/>
            <w:noWrap/>
          </w:tcPr>
          <w:p w14:paraId="45D17129" w14:textId="4D595462" w:rsidR="00E73E85" w:rsidRDefault="00E73E85" w:rsidP="00E62BD3">
            <w:pPr>
              <w:spacing w:before="0"/>
              <w:rPr>
                <w:rFonts w:asciiTheme="minorHAnsi" w:hAnsiTheme="minorHAnsi" w:cstheme="minorHAnsi"/>
                <w:b/>
                <w:noProof/>
                <w:color w:val="000000" w:themeColor="text1"/>
                <w:sz w:val="16"/>
                <w:szCs w:val="16"/>
              </w:rPr>
            </w:pPr>
            <w:r>
              <w:rPr>
                <w:rFonts w:asciiTheme="minorHAnsi" w:hAnsiTheme="minorHAnsi" w:cstheme="minorHAnsi"/>
                <w:b/>
                <w:noProof/>
                <w:color w:val="000000" w:themeColor="text1"/>
                <w:sz w:val="16"/>
                <w:szCs w:val="16"/>
              </w:rPr>
              <w:t>BETTER CONTROL:</w:t>
            </w:r>
          </w:p>
          <w:p w14:paraId="77DBDEFD" w14:textId="6C48F44F" w:rsidR="00E73E85" w:rsidRPr="00A14107" w:rsidRDefault="00E73E85" w:rsidP="00E62BD3">
            <w:pPr>
              <w:spacing w:before="0"/>
              <w:rPr>
                <w:rFonts w:asciiTheme="minorHAnsi" w:hAnsiTheme="minorHAnsi" w:cstheme="minorHAnsi"/>
                <w:noProof/>
                <w:color w:val="000000" w:themeColor="text1"/>
                <w:sz w:val="16"/>
                <w:szCs w:val="16"/>
              </w:rPr>
            </w:pPr>
            <w:r>
              <w:rPr>
                <w:rFonts w:asciiTheme="minorHAnsi" w:hAnsiTheme="minorHAnsi" w:cstheme="minorHAnsi"/>
                <w:b/>
                <w:noProof/>
                <w:color w:val="000000" w:themeColor="text1"/>
                <w:sz w:val="16"/>
                <w:szCs w:val="16"/>
              </w:rPr>
              <w:t>More c</w:t>
            </w:r>
            <w:r w:rsidRPr="00F56A72">
              <w:rPr>
                <w:rFonts w:asciiTheme="minorHAnsi" w:hAnsiTheme="minorHAnsi" w:cstheme="minorHAnsi"/>
                <w:b/>
                <w:noProof/>
                <w:color w:val="000000" w:themeColor="text1"/>
                <w:sz w:val="16"/>
                <w:szCs w:val="16"/>
              </w:rPr>
              <w:t>ertification</w:t>
            </w:r>
            <w:r>
              <w:rPr>
                <w:rFonts w:asciiTheme="minorHAnsi" w:hAnsiTheme="minorHAnsi" w:cstheme="minorHAnsi"/>
                <w:b/>
                <w:noProof/>
                <w:color w:val="000000" w:themeColor="text1"/>
                <w:sz w:val="16"/>
                <w:szCs w:val="16"/>
              </w:rPr>
              <w:t xml:space="preserve"> and more extensive control provisions</w:t>
            </w:r>
          </w:p>
        </w:tc>
        <w:tc>
          <w:tcPr>
            <w:tcW w:w="3827" w:type="dxa"/>
            <w:tcBorders>
              <w:top w:val="single" w:sz="4" w:space="0" w:color="auto"/>
              <w:bottom w:val="single" w:sz="4" w:space="0" w:color="auto"/>
            </w:tcBorders>
            <w:shd w:val="clear" w:color="auto" w:fill="C2D69B" w:themeFill="accent3" w:themeFillTint="99"/>
            <w:noWrap/>
          </w:tcPr>
          <w:p w14:paraId="490686E5" w14:textId="2818D6FD" w:rsidR="00E73E85" w:rsidRPr="00A14107" w:rsidRDefault="00E73E85" w:rsidP="00E62BD3">
            <w:pPr>
              <w:spacing w:before="0"/>
              <w:jc w:val="center"/>
              <w:rPr>
                <w:rFonts w:asciiTheme="minorHAnsi" w:hAnsiTheme="minorHAnsi" w:cstheme="minorHAnsi"/>
                <w:b/>
                <w:noProof/>
                <w:color w:val="000000" w:themeColor="text1"/>
                <w:sz w:val="16"/>
                <w:szCs w:val="16"/>
              </w:rPr>
            </w:pPr>
            <w:r>
              <w:rPr>
                <w:rFonts w:asciiTheme="minorHAnsi" w:hAnsiTheme="minorHAnsi" w:cstheme="minorHAnsi"/>
                <w:b/>
                <w:noProof/>
                <w:color w:val="000000" w:themeColor="text1"/>
                <w:sz w:val="16"/>
                <w:szCs w:val="16"/>
              </w:rPr>
              <w:t>(</w:t>
            </w:r>
            <w:r w:rsidRPr="00A14107">
              <w:rPr>
                <w:rFonts w:asciiTheme="minorHAnsi" w:hAnsiTheme="minorHAnsi" w:cstheme="minorHAnsi"/>
                <w:b/>
                <w:noProof/>
                <w:color w:val="000000" w:themeColor="text1"/>
                <w:sz w:val="16"/>
                <w:szCs w:val="16"/>
              </w:rPr>
              <w:t>+</w:t>
            </w:r>
            <w:r>
              <w:rPr>
                <w:rFonts w:asciiTheme="minorHAnsi" w:hAnsiTheme="minorHAnsi" w:cstheme="minorHAnsi"/>
                <w:b/>
                <w:noProof/>
                <w:color w:val="000000" w:themeColor="text1"/>
                <w:sz w:val="16"/>
                <w:szCs w:val="16"/>
              </w:rPr>
              <w:t>+</w:t>
            </w:r>
            <w:r w:rsidRPr="00A14107">
              <w:rPr>
                <w:rFonts w:asciiTheme="minorHAnsi" w:hAnsiTheme="minorHAnsi" w:cstheme="minorHAnsi"/>
                <w:b/>
                <w:noProof/>
                <w:color w:val="000000" w:themeColor="text1"/>
                <w:sz w:val="16"/>
                <w:szCs w:val="16"/>
              </w:rPr>
              <w:t>)</w:t>
            </w:r>
          </w:p>
          <w:p w14:paraId="1A71EA1E" w14:textId="01C31068" w:rsidR="00E73E85" w:rsidRDefault="00E73E85" w:rsidP="00E62BD3">
            <w:pPr>
              <w:spacing w:before="0"/>
              <w:jc w:val="center"/>
              <w:rPr>
                <w:rFonts w:asciiTheme="minorHAnsi" w:hAnsiTheme="minorHAnsi" w:cstheme="minorHAnsi"/>
                <w:noProof/>
                <w:color w:val="000000" w:themeColor="text1"/>
                <w:sz w:val="16"/>
                <w:szCs w:val="16"/>
              </w:rPr>
            </w:pPr>
            <w:r>
              <w:rPr>
                <w:rFonts w:asciiTheme="minorHAnsi" w:hAnsiTheme="minorHAnsi" w:cstheme="minorHAnsi"/>
                <w:noProof/>
                <w:color w:val="000000" w:themeColor="text1"/>
                <w:sz w:val="16"/>
                <w:szCs w:val="16"/>
              </w:rPr>
              <w:t>reduced illegal trade;</w:t>
            </w:r>
          </w:p>
          <w:p w14:paraId="1F2F3C18" w14:textId="04200BDB" w:rsidR="00E73E85" w:rsidRPr="00A14107" w:rsidRDefault="00E73E85" w:rsidP="00E62BD3">
            <w:pPr>
              <w:spacing w:before="0"/>
              <w:jc w:val="center"/>
              <w:rPr>
                <w:rFonts w:asciiTheme="minorHAnsi" w:hAnsiTheme="minorHAnsi" w:cstheme="minorHAnsi"/>
                <w:noProof/>
                <w:color w:val="000000" w:themeColor="text1"/>
                <w:sz w:val="16"/>
                <w:szCs w:val="16"/>
              </w:rPr>
            </w:pPr>
            <w:r>
              <w:rPr>
                <w:rFonts w:asciiTheme="minorHAnsi" w:hAnsiTheme="minorHAnsi" w:cstheme="minorHAnsi"/>
                <w:noProof/>
                <w:color w:val="000000" w:themeColor="text1"/>
                <w:sz w:val="16"/>
                <w:szCs w:val="16"/>
              </w:rPr>
              <w:t>more competence on using alternatives</w:t>
            </w:r>
          </w:p>
        </w:tc>
        <w:tc>
          <w:tcPr>
            <w:tcW w:w="2835" w:type="dxa"/>
            <w:tcBorders>
              <w:top w:val="single" w:sz="4" w:space="0" w:color="auto"/>
              <w:bottom w:val="single" w:sz="4" w:space="0" w:color="auto"/>
            </w:tcBorders>
            <w:shd w:val="clear" w:color="auto" w:fill="D99594" w:themeFill="accent2" w:themeFillTint="99"/>
          </w:tcPr>
          <w:p w14:paraId="72212B39" w14:textId="0C4261E7" w:rsidR="00E73E85" w:rsidRPr="00A14107" w:rsidRDefault="00E73E85" w:rsidP="00E62BD3">
            <w:pPr>
              <w:spacing w:before="0"/>
              <w:jc w:val="center"/>
              <w:rPr>
                <w:rFonts w:asciiTheme="minorHAnsi" w:hAnsiTheme="minorHAnsi" w:cstheme="minorHAnsi"/>
                <w:b/>
                <w:noProof/>
                <w:sz w:val="16"/>
                <w:szCs w:val="16"/>
              </w:rPr>
            </w:pPr>
            <w:r>
              <w:rPr>
                <w:rFonts w:asciiTheme="minorHAnsi" w:hAnsiTheme="minorHAnsi" w:cstheme="minorHAnsi"/>
                <w:b/>
                <w:noProof/>
                <w:sz w:val="16"/>
                <w:szCs w:val="16"/>
              </w:rPr>
              <w:t>(--</w:t>
            </w:r>
            <w:r w:rsidRPr="00A14107">
              <w:rPr>
                <w:rFonts w:asciiTheme="minorHAnsi" w:hAnsiTheme="minorHAnsi" w:cstheme="minorHAnsi"/>
                <w:b/>
                <w:noProof/>
                <w:sz w:val="16"/>
                <w:szCs w:val="16"/>
              </w:rPr>
              <w:t xml:space="preserve">) </w:t>
            </w:r>
          </w:p>
          <w:p w14:paraId="7D8426FC" w14:textId="0B73E49E" w:rsidR="00E73E85" w:rsidRDefault="006165C7" w:rsidP="00E62BD3">
            <w:pPr>
              <w:spacing w:before="0"/>
              <w:jc w:val="center"/>
              <w:rPr>
                <w:rFonts w:asciiTheme="minorHAnsi" w:hAnsiTheme="minorHAnsi" w:cstheme="minorHAnsi"/>
                <w:noProof/>
                <w:sz w:val="16"/>
                <w:szCs w:val="16"/>
              </w:rPr>
            </w:pPr>
            <w:r>
              <w:rPr>
                <w:rFonts w:asciiTheme="minorHAnsi" w:hAnsiTheme="minorHAnsi" w:cstheme="minorHAnsi"/>
                <w:noProof/>
                <w:sz w:val="16"/>
                <w:szCs w:val="16"/>
              </w:rPr>
              <w:t>Admin: €5,7</w:t>
            </w:r>
            <w:r w:rsidR="00E73E85">
              <w:rPr>
                <w:rFonts w:asciiTheme="minorHAnsi" w:hAnsiTheme="minorHAnsi" w:cstheme="minorHAnsi"/>
                <w:noProof/>
                <w:sz w:val="16"/>
                <w:szCs w:val="16"/>
              </w:rPr>
              <w:t xml:space="preserve"> MIO;</w:t>
            </w:r>
          </w:p>
          <w:p w14:paraId="51D8865C" w14:textId="7B7C1912" w:rsidR="00E73E85" w:rsidRPr="00A14107" w:rsidRDefault="00141061" w:rsidP="00E62BD3">
            <w:pPr>
              <w:spacing w:before="0"/>
              <w:jc w:val="center"/>
              <w:rPr>
                <w:rFonts w:asciiTheme="minorHAnsi" w:hAnsiTheme="minorHAnsi" w:cstheme="minorHAnsi"/>
                <w:noProof/>
                <w:sz w:val="16"/>
                <w:szCs w:val="16"/>
              </w:rPr>
            </w:pPr>
            <w:r>
              <w:rPr>
                <w:rFonts w:asciiTheme="minorHAnsi" w:hAnsiTheme="minorHAnsi" w:cstheme="minorHAnsi"/>
                <w:noProof/>
                <w:sz w:val="16"/>
                <w:szCs w:val="16"/>
              </w:rPr>
              <w:t>€125</w:t>
            </w:r>
            <w:r w:rsidR="00E73E85" w:rsidRPr="004520A3">
              <w:rPr>
                <w:rFonts w:asciiTheme="minorHAnsi" w:hAnsiTheme="minorHAnsi" w:cstheme="minorHAnsi"/>
                <w:noProof/>
                <w:sz w:val="16"/>
                <w:szCs w:val="16"/>
              </w:rPr>
              <w:t xml:space="preserve"> Mio €/year </w:t>
            </w:r>
            <w:r w:rsidR="00E73E85">
              <w:rPr>
                <w:rFonts w:asciiTheme="minorHAnsi" w:hAnsiTheme="minorHAnsi" w:cstheme="minorHAnsi"/>
                <w:noProof/>
                <w:sz w:val="16"/>
                <w:szCs w:val="16"/>
              </w:rPr>
              <w:t xml:space="preserve">distributional profits </w:t>
            </w:r>
            <w:r w:rsidR="00E73E85" w:rsidRPr="004520A3">
              <w:rPr>
                <w:rFonts w:asciiTheme="minorHAnsi" w:hAnsiTheme="minorHAnsi" w:cstheme="minorHAnsi"/>
                <w:noProof/>
                <w:sz w:val="16"/>
                <w:szCs w:val="16"/>
              </w:rPr>
              <w:t>collected from quota holders</w:t>
            </w:r>
            <w:r>
              <w:rPr>
                <w:rFonts w:asciiTheme="minorHAnsi" w:hAnsiTheme="minorHAnsi" w:cstheme="minorHAnsi"/>
                <w:noProof/>
                <w:sz w:val="16"/>
                <w:szCs w:val="16"/>
              </w:rPr>
              <w:t xml:space="preserve"> by allocation price</w:t>
            </w:r>
            <w:r w:rsidR="00E73E85" w:rsidRPr="004520A3">
              <w:rPr>
                <w:rFonts w:asciiTheme="minorHAnsi" w:hAnsiTheme="minorHAnsi" w:cstheme="minorHAnsi"/>
                <w:noProof/>
                <w:sz w:val="16"/>
                <w:szCs w:val="16"/>
              </w:rPr>
              <w:t xml:space="preserve"> (initially)</w:t>
            </w:r>
          </w:p>
        </w:tc>
        <w:tc>
          <w:tcPr>
            <w:tcW w:w="1559" w:type="dxa"/>
            <w:tcBorders>
              <w:top w:val="single" w:sz="4" w:space="0" w:color="auto"/>
              <w:bottom w:val="single" w:sz="4" w:space="0" w:color="auto"/>
            </w:tcBorders>
            <w:shd w:val="clear" w:color="auto" w:fill="F2DBDB" w:themeFill="accent2" w:themeFillTint="33"/>
            <w:noWrap/>
          </w:tcPr>
          <w:p w14:paraId="7AA75827" w14:textId="33AE7504" w:rsidR="00E73E85" w:rsidRPr="00A14107" w:rsidRDefault="00E73E85" w:rsidP="00E62BD3">
            <w:pPr>
              <w:spacing w:before="0"/>
              <w:jc w:val="center"/>
              <w:rPr>
                <w:rFonts w:asciiTheme="minorHAnsi" w:hAnsiTheme="minorHAnsi" w:cstheme="minorHAnsi"/>
                <w:b/>
                <w:noProof/>
                <w:color w:val="000000" w:themeColor="text1"/>
                <w:sz w:val="16"/>
                <w:szCs w:val="16"/>
              </w:rPr>
            </w:pPr>
            <w:r w:rsidRPr="00A14107">
              <w:rPr>
                <w:rFonts w:asciiTheme="minorHAnsi" w:hAnsiTheme="minorHAnsi" w:cstheme="minorHAnsi"/>
                <w:b/>
                <w:noProof/>
                <w:color w:val="000000" w:themeColor="text1"/>
                <w:sz w:val="16"/>
                <w:szCs w:val="16"/>
              </w:rPr>
              <w:t>(-</w:t>
            </w:r>
            <w:r>
              <w:rPr>
                <w:rFonts w:asciiTheme="minorHAnsi" w:hAnsiTheme="minorHAnsi" w:cstheme="minorHAnsi"/>
                <w:b/>
                <w:noProof/>
                <w:color w:val="000000" w:themeColor="text1"/>
                <w:sz w:val="16"/>
                <w:szCs w:val="16"/>
              </w:rPr>
              <w:t>-</w:t>
            </w:r>
            <w:r w:rsidRPr="00A14107">
              <w:rPr>
                <w:rFonts w:asciiTheme="minorHAnsi" w:hAnsiTheme="minorHAnsi" w:cstheme="minorHAnsi"/>
                <w:b/>
                <w:noProof/>
                <w:color w:val="000000" w:themeColor="text1"/>
                <w:sz w:val="16"/>
                <w:szCs w:val="16"/>
              </w:rPr>
              <w:t>)</w:t>
            </w:r>
          </w:p>
          <w:p w14:paraId="5E031F1A" w14:textId="331AC24C" w:rsidR="00E73E85" w:rsidRDefault="00E73E85" w:rsidP="007508FD">
            <w:pPr>
              <w:spacing w:before="0"/>
              <w:jc w:val="center"/>
              <w:rPr>
                <w:rFonts w:asciiTheme="minorHAnsi" w:hAnsiTheme="minorHAnsi" w:cstheme="minorHAnsi"/>
                <w:noProof/>
                <w:color w:val="000000" w:themeColor="text1"/>
                <w:sz w:val="16"/>
                <w:szCs w:val="16"/>
              </w:rPr>
            </w:pPr>
            <w:r>
              <w:rPr>
                <w:rFonts w:asciiTheme="minorHAnsi" w:hAnsiTheme="minorHAnsi" w:cstheme="minorHAnsi"/>
                <w:noProof/>
                <w:color w:val="000000" w:themeColor="text1"/>
                <w:sz w:val="16"/>
                <w:szCs w:val="16"/>
              </w:rPr>
              <w:t>A</w:t>
            </w:r>
            <w:r w:rsidR="00957843">
              <w:rPr>
                <w:rFonts w:asciiTheme="minorHAnsi" w:hAnsiTheme="minorHAnsi" w:cstheme="minorHAnsi"/>
                <w:noProof/>
                <w:color w:val="000000" w:themeColor="text1"/>
                <w:sz w:val="16"/>
                <w:szCs w:val="16"/>
              </w:rPr>
              <w:t>dmin: 6,055</w:t>
            </w:r>
            <w:r>
              <w:rPr>
                <w:rFonts w:asciiTheme="minorHAnsi" w:hAnsiTheme="minorHAnsi" w:cstheme="minorHAnsi"/>
                <w:noProof/>
                <w:color w:val="000000" w:themeColor="text1"/>
                <w:sz w:val="16"/>
                <w:szCs w:val="16"/>
              </w:rPr>
              <w:t xml:space="preserve"> days; 246 days upfront</w:t>
            </w:r>
          </w:p>
          <w:p w14:paraId="0F0C8DC8" w14:textId="77777777" w:rsidR="00E73E85" w:rsidRDefault="00E73E85" w:rsidP="007508FD">
            <w:pPr>
              <w:spacing w:before="0"/>
              <w:jc w:val="center"/>
              <w:rPr>
                <w:rFonts w:asciiTheme="minorHAnsi" w:hAnsiTheme="minorHAnsi" w:cstheme="minorHAnsi"/>
                <w:noProof/>
                <w:color w:val="000000" w:themeColor="text1"/>
                <w:sz w:val="16"/>
                <w:szCs w:val="16"/>
              </w:rPr>
            </w:pPr>
          </w:p>
          <w:p w14:paraId="00EDBD1E" w14:textId="56009502" w:rsidR="00E73E85" w:rsidRPr="00A14107" w:rsidRDefault="00E73E85" w:rsidP="008D2337">
            <w:pPr>
              <w:spacing w:before="0"/>
              <w:jc w:val="center"/>
              <w:rPr>
                <w:rFonts w:asciiTheme="minorHAnsi" w:hAnsiTheme="minorHAnsi" w:cstheme="minorHAnsi"/>
                <w:noProof/>
                <w:color w:val="000000" w:themeColor="text1"/>
                <w:sz w:val="16"/>
                <w:szCs w:val="16"/>
              </w:rPr>
            </w:pPr>
            <w:r>
              <w:rPr>
                <w:rFonts w:asciiTheme="minorHAnsi" w:hAnsiTheme="minorHAnsi" w:cstheme="minorHAnsi"/>
                <w:noProof/>
                <w:color w:val="000000" w:themeColor="text1"/>
                <w:sz w:val="16"/>
                <w:szCs w:val="16"/>
              </w:rPr>
              <w:t>MS benefit from quota price revenue</w:t>
            </w:r>
          </w:p>
        </w:tc>
        <w:tc>
          <w:tcPr>
            <w:tcW w:w="1843" w:type="dxa"/>
            <w:tcBorders>
              <w:top w:val="single" w:sz="4" w:space="0" w:color="auto"/>
              <w:bottom w:val="single" w:sz="4" w:space="0" w:color="auto"/>
            </w:tcBorders>
            <w:shd w:val="clear" w:color="auto" w:fill="F2DBDB" w:themeFill="accent2" w:themeFillTint="33"/>
            <w:noWrap/>
          </w:tcPr>
          <w:p w14:paraId="3B7CDF92" w14:textId="77777777" w:rsidR="00E73E85" w:rsidRPr="00A14107" w:rsidRDefault="00E73E85" w:rsidP="00E62BD3">
            <w:pPr>
              <w:spacing w:before="0"/>
              <w:jc w:val="center"/>
              <w:rPr>
                <w:rFonts w:asciiTheme="minorHAnsi" w:hAnsiTheme="minorHAnsi" w:cstheme="minorHAnsi"/>
                <w:b/>
                <w:noProof/>
                <w:color w:val="000000" w:themeColor="text1"/>
                <w:sz w:val="16"/>
                <w:szCs w:val="16"/>
              </w:rPr>
            </w:pPr>
            <w:r w:rsidRPr="00A14107">
              <w:rPr>
                <w:rFonts w:asciiTheme="minorHAnsi" w:hAnsiTheme="minorHAnsi" w:cstheme="minorHAnsi"/>
                <w:b/>
                <w:noProof/>
                <w:color w:val="000000" w:themeColor="text1"/>
                <w:sz w:val="16"/>
                <w:szCs w:val="16"/>
              </w:rPr>
              <w:t>(-</w:t>
            </w:r>
            <w:r>
              <w:rPr>
                <w:rFonts w:asciiTheme="minorHAnsi" w:hAnsiTheme="minorHAnsi" w:cstheme="minorHAnsi"/>
                <w:b/>
                <w:noProof/>
                <w:color w:val="000000" w:themeColor="text1"/>
                <w:sz w:val="16"/>
                <w:szCs w:val="16"/>
              </w:rPr>
              <w:t>-</w:t>
            </w:r>
            <w:r w:rsidRPr="00A14107">
              <w:rPr>
                <w:rFonts w:asciiTheme="minorHAnsi" w:hAnsiTheme="minorHAnsi" w:cstheme="minorHAnsi"/>
                <w:b/>
                <w:noProof/>
                <w:color w:val="000000" w:themeColor="text1"/>
                <w:sz w:val="16"/>
                <w:szCs w:val="16"/>
              </w:rPr>
              <w:t>)</w:t>
            </w:r>
          </w:p>
          <w:p w14:paraId="4099BC4E" w14:textId="77777777" w:rsidR="00E73E85" w:rsidRDefault="00E73E85" w:rsidP="00E62BD3">
            <w:pPr>
              <w:spacing w:before="0"/>
              <w:jc w:val="center"/>
              <w:rPr>
                <w:rFonts w:asciiTheme="minorHAnsi" w:hAnsiTheme="minorHAnsi" w:cstheme="minorHAnsi"/>
                <w:noProof/>
                <w:color w:val="000000" w:themeColor="text1"/>
                <w:sz w:val="16"/>
                <w:szCs w:val="16"/>
              </w:rPr>
            </w:pPr>
            <w:r>
              <w:rPr>
                <w:rFonts w:asciiTheme="minorHAnsi" w:hAnsiTheme="minorHAnsi" w:cstheme="minorHAnsi"/>
                <w:noProof/>
                <w:color w:val="000000" w:themeColor="text1"/>
                <w:sz w:val="16"/>
                <w:szCs w:val="16"/>
              </w:rPr>
              <w:t>Admin:</w:t>
            </w:r>
          </w:p>
          <w:p w14:paraId="3C6272E5" w14:textId="52468171" w:rsidR="00E73E85" w:rsidRDefault="00E11927" w:rsidP="00E62BD3">
            <w:pPr>
              <w:spacing w:before="0"/>
              <w:jc w:val="center"/>
              <w:rPr>
                <w:rFonts w:asciiTheme="minorHAnsi" w:hAnsiTheme="minorHAnsi" w:cstheme="minorHAnsi"/>
                <w:noProof/>
                <w:color w:val="000000" w:themeColor="text1"/>
                <w:sz w:val="16"/>
                <w:szCs w:val="16"/>
              </w:rPr>
            </w:pPr>
            <w:r>
              <w:rPr>
                <w:rFonts w:asciiTheme="minorHAnsi" w:hAnsiTheme="minorHAnsi" w:cstheme="minorHAnsi"/>
                <w:noProof/>
                <w:color w:val="000000" w:themeColor="text1"/>
                <w:sz w:val="16"/>
                <w:szCs w:val="16"/>
              </w:rPr>
              <w:t>2,248</w:t>
            </w:r>
            <w:r w:rsidR="00E73E85">
              <w:rPr>
                <w:rFonts w:asciiTheme="minorHAnsi" w:hAnsiTheme="minorHAnsi" w:cstheme="minorHAnsi"/>
                <w:noProof/>
                <w:color w:val="000000" w:themeColor="text1"/>
                <w:sz w:val="16"/>
                <w:szCs w:val="16"/>
              </w:rPr>
              <w:t xml:space="preserve"> days; 2,200 days upfront.</w:t>
            </w:r>
          </w:p>
          <w:p w14:paraId="64D9E097" w14:textId="74EE726B" w:rsidR="00E73E85" w:rsidRPr="00A14107" w:rsidRDefault="00E73E85" w:rsidP="008D2337">
            <w:pPr>
              <w:spacing w:before="0"/>
              <w:jc w:val="center"/>
              <w:rPr>
                <w:rFonts w:asciiTheme="minorHAnsi" w:hAnsiTheme="minorHAnsi" w:cstheme="minorHAnsi"/>
                <w:noProof/>
                <w:color w:val="000000" w:themeColor="text1"/>
                <w:sz w:val="16"/>
                <w:szCs w:val="16"/>
              </w:rPr>
            </w:pPr>
            <w:r>
              <w:rPr>
                <w:rFonts w:asciiTheme="minorHAnsi" w:hAnsiTheme="minorHAnsi" w:cstheme="minorHAnsi"/>
                <w:noProof/>
                <w:color w:val="000000" w:themeColor="text1"/>
                <w:sz w:val="16"/>
                <w:szCs w:val="16"/>
              </w:rPr>
              <w:t>Costs partly covered by quota price revenue</w:t>
            </w:r>
          </w:p>
        </w:tc>
        <w:tc>
          <w:tcPr>
            <w:tcW w:w="1134" w:type="dxa"/>
            <w:noWrap/>
          </w:tcPr>
          <w:p w14:paraId="7DFABD34" w14:textId="77777777" w:rsidR="00E73E85" w:rsidRPr="00A14107" w:rsidRDefault="00E73E85" w:rsidP="00E62BD3">
            <w:pPr>
              <w:jc w:val="center"/>
              <w:rPr>
                <w:rFonts w:asciiTheme="minorHAnsi" w:hAnsiTheme="minorHAnsi" w:cstheme="minorHAnsi"/>
                <w:noProof/>
                <w:color w:val="000000" w:themeColor="text1"/>
                <w:sz w:val="16"/>
                <w:szCs w:val="16"/>
              </w:rPr>
            </w:pPr>
          </w:p>
        </w:tc>
        <w:tc>
          <w:tcPr>
            <w:tcW w:w="1134" w:type="dxa"/>
          </w:tcPr>
          <w:p w14:paraId="1589DC0C" w14:textId="646B286D" w:rsidR="00E73E85" w:rsidRPr="00A14107" w:rsidRDefault="00E73E85" w:rsidP="00E62BD3">
            <w:pPr>
              <w:spacing w:before="0"/>
              <w:jc w:val="center"/>
              <w:rPr>
                <w:rFonts w:asciiTheme="minorHAnsi" w:hAnsiTheme="minorHAnsi" w:cstheme="minorHAnsi"/>
                <w:noProof/>
                <w:color w:val="000000" w:themeColor="text1"/>
                <w:sz w:val="16"/>
                <w:szCs w:val="16"/>
              </w:rPr>
            </w:pPr>
          </w:p>
        </w:tc>
      </w:tr>
      <w:tr w:rsidR="0052717A" w:rsidRPr="00A14107" w14:paraId="6716E54B" w14:textId="77777777" w:rsidTr="005D4198">
        <w:trPr>
          <w:cnfStyle w:val="000000100000" w:firstRow="0" w:lastRow="0" w:firstColumn="0" w:lastColumn="0" w:oddVBand="0" w:evenVBand="0" w:oddHBand="1" w:evenHBand="0" w:firstRowFirstColumn="0" w:firstRowLastColumn="0" w:lastRowFirstColumn="0" w:lastRowLastColumn="0"/>
          <w:trHeight w:val="391"/>
        </w:trPr>
        <w:tc>
          <w:tcPr>
            <w:tcW w:w="390" w:type="dxa"/>
            <w:vMerge w:val="restart"/>
            <w:shd w:val="clear" w:color="auto" w:fill="FFFFFF" w:themeFill="background1"/>
            <w:noWrap/>
          </w:tcPr>
          <w:p w14:paraId="6B481EA9" w14:textId="77777777" w:rsidR="00E73E85" w:rsidRPr="00A14107" w:rsidRDefault="00E73E85" w:rsidP="00E62BD3">
            <w:pPr>
              <w:spacing w:before="0"/>
              <w:rPr>
                <w:rFonts w:asciiTheme="minorHAnsi" w:hAnsiTheme="minorHAnsi" w:cstheme="minorHAnsi"/>
                <w:noProof/>
                <w:color w:val="000000" w:themeColor="text1"/>
                <w:sz w:val="16"/>
                <w:szCs w:val="16"/>
              </w:rPr>
            </w:pPr>
            <w:r>
              <w:rPr>
                <w:rFonts w:asciiTheme="minorHAnsi" w:hAnsiTheme="minorHAnsi" w:cstheme="minorHAnsi"/>
                <w:noProof/>
                <w:color w:val="000000" w:themeColor="text1"/>
                <w:sz w:val="16"/>
                <w:szCs w:val="16"/>
              </w:rPr>
              <w:t>D</w:t>
            </w:r>
          </w:p>
        </w:tc>
        <w:tc>
          <w:tcPr>
            <w:tcW w:w="1845" w:type="dxa"/>
            <w:vMerge w:val="restart"/>
            <w:tcBorders>
              <w:top w:val="single" w:sz="4" w:space="0" w:color="auto"/>
            </w:tcBorders>
            <w:shd w:val="clear" w:color="auto" w:fill="FFFFFF" w:themeFill="background1"/>
            <w:noWrap/>
            <w:vAlign w:val="top"/>
          </w:tcPr>
          <w:p w14:paraId="1572DE2A" w14:textId="6CF78E7F" w:rsidR="00E73E85" w:rsidRDefault="00E73E85" w:rsidP="005D4198">
            <w:pPr>
              <w:spacing w:before="0"/>
              <w:jc w:val="left"/>
              <w:rPr>
                <w:rFonts w:asciiTheme="minorHAnsi" w:hAnsiTheme="minorHAnsi" w:cstheme="minorHAnsi"/>
                <w:b/>
                <w:noProof/>
                <w:color w:val="000000" w:themeColor="text1"/>
                <w:sz w:val="16"/>
                <w:szCs w:val="16"/>
              </w:rPr>
            </w:pPr>
            <w:r>
              <w:rPr>
                <w:rFonts w:asciiTheme="minorHAnsi" w:hAnsiTheme="minorHAnsi" w:cstheme="minorHAnsi"/>
                <w:b/>
                <w:noProof/>
                <w:color w:val="000000" w:themeColor="text1"/>
                <w:sz w:val="16"/>
                <w:szCs w:val="16"/>
              </w:rPr>
              <w:t>MONITORING:</w:t>
            </w:r>
          </w:p>
          <w:p w14:paraId="036C9CD0" w14:textId="226AAE02" w:rsidR="00E73E85" w:rsidRPr="00480B86" w:rsidRDefault="00E73E85" w:rsidP="005D4198">
            <w:pPr>
              <w:spacing w:before="0"/>
              <w:jc w:val="left"/>
              <w:rPr>
                <w:rFonts w:asciiTheme="minorHAnsi" w:hAnsiTheme="minorHAnsi" w:cstheme="minorHAnsi"/>
                <w:b/>
                <w:noProof/>
                <w:color w:val="000000" w:themeColor="text1"/>
                <w:sz w:val="16"/>
                <w:szCs w:val="16"/>
              </w:rPr>
            </w:pPr>
            <w:r>
              <w:rPr>
                <w:rFonts w:asciiTheme="minorHAnsi" w:hAnsiTheme="minorHAnsi" w:cstheme="minorHAnsi"/>
                <w:b/>
                <w:noProof/>
                <w:color w:val="000000" w:themeColor="text1"/>
                <w:sz w:val="16"/>
                <w:szCs w:val="16"/>
              </w:rPr>
              <w:t xml:space="preserve">new substances, </w:t>
            </w:r>
            <w:r w:rsidR="00F979DD">
              <w:rPr>
                <w:rFonts w:asciiTheme="minorHAnsi" w:hAnsiTheme="minorHAnsi" w:cstheme="minorHAnsi"/>
                <w:b/>
                <w:noProof/>
                <w:color w:val="000000" w:themeColor="text1"/>
                <w:sz w:val="16"/>
                <w:szCs w:val="16"/>
              </w:rPr>
              <w:t xml:space="preserve">reporting </w:t>
            </w:r>
            <w:r>
              <w:rPr>
                <w:rFonts w:asciiTheme="minorHAnsi" w:hAnsiTheme="minorHAnsi" w:cstheme="minorHAnsi"/>
                <w:b/>
                <w:noProof/>
                <w:color w:val="000000" w:themeColor="text1"/>
                <w:sz w:val="16"/>
                <w:szCs w:val="16"/>
              </w:rPr>
              <w:t>&amp; verification, encourage emission</w:t>
            </w:r>
            <w:r w:rsidR="00F979DD">
              <w:rPr>
                <w:rFonts w:asciiTheme="minorHAnsi" w:hAnsiTheme="minorHAnsi" w:cstheme="minorHAnsi"/>
                <w:b/>
                <w:noProof/>
                <w:color w:val="000000" w:themeColor="text1"/>
                <w:sz w:val="16"/>
                <w:szCs w:val="16"/>
              </w:rPr>
              <w:t xml:space="preserve"> DB</w:t>
            </w:r>
          </w:p>
        </w:tc>
        <w:tc>
          <w:tcPr>
            <w:tcW w:w="3827" w:type="dxa"/>
            <w:vMerge w:val="restart"/>
            <w:tcBorders>
              <w:top w:val="single" w:sz="4" w:space="0" w:color="auto"/>
            </w:tcBorders>
            <w:shd w:val="clear" w:color="auto" w:fill="EAF1DD" w:themeFill="accent3" w:themeFillTint="33"/>
            <w:noWrap/>
            <w:vAlign w:val="top"/>
          </w:tcPr>
          <w:p w14:paraId="78C897D9" w14:textId="79A40FD8" w:rsidR="00E73E85" w:rsidRPr="00A14107" w:rsidRDefault="00E73E85" w:rsidP="00F979DD">
            <w:pPr>
              <w:spacing w:before="0"/>
              <w:jc w:val="center"/>
              <w:rPr>
                <w:rFonts w:asciiTheme="minorHAnsi" w:hAnsiTheme="minorHAnsi" w:cstheme="minorHAnsi"/>
                <w:noProof/>
                <w:color w:val="000000" w:themeColor="text1"/>
                <w:sz w:val="16"/>
                <w:szCs w:val="16"/>
              </w:rPr>
            </w:pPr>
            <w:r w:rsidRPr="00A14107">
              <w:rPr>
                <w:rFonts w:asciiTheme="minorHAnsi" w:hAnsiTheme="minorHAnsi" w:cstheme="minorHAnsi"/>
                <w:noProof/>
                <w:color w:val="000000" w:themeColor="text1"/>
                <w:sz w:val="16"/>
                <w:szCs w:val="16"/>
              </w:rPr>
              <w:t>(+)</w:t>
            </w:r>
          </w:p>
          <w:p w14:paraId="42765A31" w14:textId="12843B15" w:rsidR="00E73E85" w:rsidRPr="00A14107" w:rsidRDefault="00E73E85" w:rsidP="005D4198">
            <w:pPr>
              <w:spacing w:before="0"/>
              <w:jc w:val="center"/>
              <w:rPr>
                <w:rFonts w:asciiTheme="minorHAnsi" w:hAnsiTheme="minorHAnsi" w:cstheme="minorHAnsi"/>
                <w:noProof/>
                <w:color w:val="000000"/>
                <w:sz w:val="16"/>
                <w:szCs w:val="16"/>
              </w:rPr>
            </w:pPr>
            <w:r w:rsidRPr="006E3724">
              <w:rPr>
                <w:rFonts w:asciiTheme="minorHAnsi" w:hAnsiTheme="minorHAnsi" w:cstheme="minorHAnsi"/>
                <w:noProof/>
                <w:color w:val="000000" w:themeColor="text1"/>
                <w:sz w:val="16"/>
                <w:szCs w:val="16"/>
                <w:shd w:val="clear" w:color="auto" w:fill="EAF1DD" w:themeFill="accent3" w:themeFillTint="33"/>
              </w:rPr>
              <w:t>Better knowledge on potential emissions; better compliance checking</w:t>
            </w:r>
          </w:p>
        </w:tc>
        <w:tc>
          <w:tcPr>
            <w:tcW w:w="2835" w:type="dxa"/>
            <w:vMerge w:val="restart"/>
            <w:tcBorders>
              <w:top w:val="single" w:sz="4" w:space="0" w:color="auto"/>
            </w:tcBorders>
            <w:shd w:val="clear" w:color="auto" w:fill="EAF1DD" w:themeFill="accent3" w:themeFillTint="33"/>
            <w:vAlign w:val="top"/>
          </w:tcPr>
          <w:p w14:paraId="6E5CE3C5" w14:textId="3C95053A" w:rsidR="00E73E85" w:rsidRDefault="00E73E85" w:rsidP="00F979DD">
            <w:pPr>
              <w:spacing w:before="0"/>
              <w:jc w:val="center"/>
              <w:rPr>
                <w:rFonts w:asciiTheme="minorHAnsi" w:hAnsiTheme="minorHAnsi" w:cstheme="minorHAnsi"/>
                <w:noProof/>
                <w:sz w:val="16"/>
                <w:szCs w:val="16"/>
              </w:rPr>
            </w:pPr>
            <w:r>
              <w:rPr>
                <w:rFonts w:asciiTheme="minorHAnsi" w:hAnsiTheme="minorHAnsi" w:cstheme="minorHAnsi"/>
                <w:noProof/>
                <w:sz w:val="16"/>
                <w:szCs w:val="16"/>
              </w:rPr>
              <w:t>(+)</w:t>
            </w:r>
          </w:p>
          <w:p w14:paraId="516ED51A" w14:textId="7FF7166F" w:rsidR="00E73E85" w:rsidRDefault="00E73E85" w:rsidP="00F979DD">
            <w:pPr>
              <w:spacing w:before="0"/>
              <w:jc w:val="center"/>
              <w:rPr>
                <w:rFonts w:asciiTheme="minorHAnsi" w:hAnsiTheme="minorHAnsi" w:cstheme="minorHAnsi"/>
                <w:noProof/>
                <w:sz w:val="16"/>
                <w:szCs w:val="16"/>
              </w:rPr>
            </w:pPr>
            <w:r>
              <w:rPr>
                <w:rFonts w:asciiTheme="minorHAnsi" w:hAnsiTheme="minorHAnsi" w:cstheme="minorHAnsi"/>
                <w:noProof/>
                <w:sz w:val="16"/>
                <w:szCs w:val="16"/>
              </w:rPr>
              <w:t>Admin savings of</w:t>
            </w:r>
          </w:p>
          <w:p w14:paraId="23F23557" w14:textId="54C3A655" w:rsidR="00E73E85" w:rsidRPr="006066A8" w:rsidRDefault="00E73E85" w:rsidP="00F979DD">
            <w:pPr>
              <w:spacing w:before="0"/>
              <w:jc w:val="center"/>
              <w:rPr>
                <w:rFonts w:asciiTheme="minorHAnsi" w:hAnsiTheme="minorHAnsi" w:cstheme="minorHAnsi"/>
                <w:noProof/>
                <w:sz w:val="16"/>
                <w:szCs w:val="16"/>
                <w:highlight w:val="yellow"/>
              </w:rPr>
            </w:pPr>
            <w:r w:rsidRPr="006066A8">
              <w:rPr>
                <w:rFonts w:asciiTheme="minorHAnsi" w:hAnsiTheme="minorHAnsi" w:cstheme="minorHAnsi"/>
                <w:noProof/>
                <w:sz w:val="16"/>
                <w:szCs w:val="16"/>
              </w:rPr>
              <w:t>-</w:t>
            </w:r>
            <w:r>
              <w:rPr>
                <w:rFonts w:asciiTheme="minorHAnsi" w:hAnsiTheme="minorHAnsi" w:cstheme="minorHAnsi"/>
                <w:noProof/>
                <w:sz w:val="16"/>
                <w:szCs w:val="16"/>
              </w:rPr>
              <w:t>€2.5 MIO</w:t>
            </w:r>
          </w:p>
        </w:tc>
        <w:tc>
          <w:tcPr>
            <w:tcW w:w="1559" w:type="dxa"/>
            <w:vMerge w:val="restart"/>
            <w:tcBorders>
              <w:top w:val="single" w:sz="4" w:space="0" w:color="auto"/>
            </w:tcBorders>
            <w:shd w:val="clear" w:color="auto" w:fill="EAF1DD" w:themeFill="accent3" w:themeFillTint="33"/>
            <w:noWrap/>
            <w:vAlign w:val="top"/>
          </w:tcPr>
          <w:p w14:paraId="17E122A4" w14:textId="467D645C" w:rsidR="00E73E85" w:rsidRDefault="00E73E85" w:rsidP="00F979DD">
            <w:pPr>
              <w:spacing w:before="0"/>
              <w:jc w:val="center"/>
              <w:rPr>
                <w:rFonts w:asciiTheme="minorHAnsi" w:hAnsiTheme="minorHAnsi" w:cstheme="minorHAnsi"/>
                <w:noProof/>
                <w:color w:val="000000" w:themeColor="text1"/>
                <w:sz w:val="16"/>
                <w:szCs w:val="16"/>
              </w:rPr>
            </w:pPr>
            <w:r>
              <w:rPr>
                <w:rFonts w:asciiTheme="minorHAnsi" w:hAnsiTheme="minorHAnsi" w:cstheme="minorHAnsi"/>
                <w:noProof/>
                <w:color w:val="000000" w:themeColor="text1"/>
                <w:sz w:val="16"/>
                <w:szCs w:val="16"/>
              </w:rPr>
              <w:t>(+)</w:t>
            </w:r>
          </w:p>
          <w:p w14:paraId="1DF51DDA" w14:textId="03E04FBA" w:rsidR="00E73E85" w:rsidRDefault="00E73E85" w:rsidP="00F979DD">
            <w:pPr>
              <w:spacing w:before="0"/>
              <w:jc w:val="center"/>
              <w:rPr>
                <w:rFonts w:asciiTheme="minorHAnsi" w:hAnsiTheme="minorHAnsi" w:cstheme="minorHAnsi"/>
                <w:noProof/>
                <w:color w:val="000000" w:themeColor="text1"/>
                <w:sz w:val="16"/>
                <w:szCs w:val="16"/>
              </w:rPr>
            </w:pPr>
            <w:r>
              <w:rPr>
                <w:rFonts w:asciiTheme="minorHAnsi" w:hAnsiTheme="minorHAnsi" w:cstheme="minorHAnsi"/>
                <w:noProof/>
                <w:color w:val="000000" w:themeColor="text1"/>
                <w:sz w:val="16"/>
                <w:szCs w:val="16"/>
              </w:rPr>
              <w:t>Admin savings of</w:t>
            </w:r>
          </w:p>
          <w:p w14:paraId="5F870677" w14:textId="1A8E924B" w:rsidR="00E73E85" w:rsidRPr="006066A8" w:rsidRDefault="00E73E85" w:rsidP="00F979DD">
            <w:pPr>
              <w:spacing w:before="0"/>
              <w:jc w:val="center"/>
              <w:rPr>
                <w:rFonts w:asciiTheme="minorHAnsi" w:hAnsiTheme="minorHAnsi" w:cstheme="minorHAnsi"/>
                <w:noProof/>
                <w:color w:val="000000" w:themeColor="text1"/>
                <w:sz w:val="16"/>
                <w:szCs w:val="16"/>
                <w:highlight w:val="yellow"/>
              </w:rPr>
            </w:pPr>
            <w:r w:rsidRPr="006066A8">
              <w:rPr>
                <w:rFonts w:asciiTheme="minorHAnsi" w:hAnsiTheme="minorHAnsi" w:cstheme="minorHAnsi"/>
                <w:noProof/>
                <w:color w:val="000000" w:themeColor="text1"/>
                <w:sz w:val="16"/>
                <w:szCs w:val="16"/>
              </w:rPr>
              <w:t>-2</w:t>
            </w:r>
            <w:r>
              <w:rPr>
                <w:rFonts w:asciiTheme="minorHAnsi" w:hAnsiTheme="minorHAnsi" w:cstheme="minorHAnsi"/>
                <w:noProof/>
                <w:color w:val="000000" w:themeColor="text1"/>
                <w:sz w:val="16"/>
                <w:szCs w:val="16"/>
              </w:rPr>
              <w:t>,78</w:t>
            </w:r>
            <w:r w:rsidRPr="006066A8">
              <w:rPr>
                <w:rFonts w:asciiTheme="minorHAnsi" w:hAnsiTheme="minorHAnsi" w:cstheme="minorHAnsi"/>
                <w:noProof/>
                <w:color w:val="000000" w:themeColor="text1"/>
                <w:sz w:val="16"/>
                <w:szCs w:val="16"/>
              </w:rPr>
              <w:t>0 days/year</w:t>
            </w:r>
          </w:p>
        </w:tc>
        <w:tc>
          <w:tcPr>
            <w:tcW w:w="1843" w:type="dxa"/>
            <w:tcBorders>
              <w:top w:val="single" w:sz="4" w:space="0" w:color="auto"/>
              <w:bottom w:val="single" w:sz="4" w:space="0" w:color="F2DBDB" w:themeColor="accent2" w:themeTint="33"/>
            </w:tcBorders>
            <w:shd w:val="clear" w:color="auto" w:fill="EAF1DD" w:themeFill="accent3" w:themeFillTint="33"/>
            <w:noWrap/>
            <w:vAlign w:val="top"/>
          </w:tcPr>
          <w:p w14:paraId="50AD3623" w14:textId="27B01D42" w:rsidR="00E73E85" w:rsidRDefault="00E73E85" w:rsidP="00F979DD">
            <w:pPr>
              <w:spacing w:before="0"/>
              <w:jc w:val="center"/>
              <w:rPr>
                <w:rFonts w:asciiTheme="minorHAnsi" w:hAnsiTheme="minorHAnsi" w:cstheme="minorHAnsi"/>
                <w:noProof/>
                <w:color w:val="000000" w:themeColor="text1"/>
                <w:sz w:val="16"/>
                <w:szCs w:val="16"/>
              </w:rPr>
            </w:pPr>
            <w:r>
              <w:rPr>
                <w:rFonts w:asciiTheme="minorHAnsi" w:hAnsiTheme="minorHAnsi" w:cstheme="minorHAnsi"/>
                <w:noProof/>
                <w:color w:val="000000" w:themeColor="text1"/>
                <w:sz w:val="16"/>
                <w:szCs w:val="16"/>
              </w:rPr>
              <w:t>(+)</w:t>
            </w:r>
          </w:p>
          <w:p w14:paraId="5A0FEE01" w14:textId="07D590CC" w:rsidR="00E73E85" w:rsidRPr="00905949" w:rsidRDefault="00E73E85" w:rsidP="005D4198">
            <w:pPr>
              <w:spacing w:before="0"/>
              <w:jc w:val="center"/>
              <w:rPr>
                <w:rFonts w:asciiTheme="minorHAnsi" w:hAnsiTheme="minorHAnsi" w:cstheme="minorHAnsi"/>
                <w:noProof/>
                <w:color w:val="000000" w:themeColor="text1"/>
                <w:sz w:val="16"/>
                <w:szCs w:val="16"/>
                <w:highlight w:val="yellow"/>
              </w:rPr>
            </w:pPr>
            <w:r>
              <w:rPr>
                <w:rFonts w:asciiTheme="minorHAnsi" w:hAnsiTheme="minorHAnsi" w:cstheme="minorHAnsi"/>
                <w:noProof/>
                <w:color w:val="000000" w:themeColor="text1"/>
                <w:sz w:val="16"/>
                <w:szCs w:val="16"/>
                <w:shd w:val="clear" w:color="auto" w:fill="EAF1DD" w:themeFill="accent3" w:themeFillTint="33"/>
              </w:rPr>
              <w:t xml:space="preserve">Admin savings </w:t>
            </w:r>
            <w:r w:rsidRPr="001F6792">
              <w:rPr>
                <w:rFonts w:asciiTheme="minorHAnsi" w:hAnsiTheme="minorHAnsi" w:cstheme="minorHAnsi"/>
                <w:noProof/>
                <w:color w:val="000000" w:themeColor="text1"/>
                <w:sz w:val="16"/>
                <w:szCs w:val="16"/>
                <w:shd w:val="clear" w:color="auto" w:fill="EAF1DD" w:themeFill="accent3" w:themeFillTint="33"/>
              </w:rPr>
              <w:t>46 days</w:t>
            </w:r>
            <w:r>
              <w:rPr>
                <w:rFonts w:asciiTheme="minorHAnsi" w:hAnsiTheme="minorHAnsi" w:cstheme="minorHAnsi"/>
                <w:noProof/>
                <w:color w:val="000000" w:themeColor="text1"/>
                <w:sz w:val="16"/>
                <w:szCs w:val="16"/>
              </w:rPr>
              <w:t xml:space="preserve"> </w:t>
            </w:r>
          </w:p>
        </w:tc>
        <w:tc>
          <w:tcPr>
            <w:tcW w:w="1134" w:type="dxa"/>
            <w:vMerge w:val="restart"/>
            <w:noWrap/>
          </w:tcPr>
          <w:p w14:paraId="21FB3B53" w14:textId="77777777" w:rsidR="00E73E85" w:rsidRPr="00A14107" w:rsidRDefault="00E73E85" w:rsidP="00E62BD3">
            <w:pPr>
              <w:jc w:val="center"/>
              <w:rPr>
                <w:rFonts w:asciiTheme="minorHAnsi" w:hAnsiTheme="minorHAnsi" w:cstheme="minorHAnsi"/>
                <w:noProof/>
                <w:color w:val="000000" w:themeColor="text1"/>
                <w:sz w:val="16"/>
                <w:szCs w:val="16"/>
              </w:rPr>
            </w:pPr>
          </w:p>
        </w:tc>
        <w:tc>
          <w:tcPr>
            <w:tcW w:w="1134" w:type="dxa"/>
            <w:vMerge w:val="restart"/>
          </w:tcPr>
          <w:p w14:paraId="302A6FFC" w14:textId="72CC4836" w:rsidR="00E73E85" w:rsidRPr="00A14107" w:rsidRDefault="00E73E85" w:rsidP="00E62BD3">
            <w:pPr>
              <w:spacing w:before="0"/>
              <w:jc w:val="center"/>
              <w:rPr>
                <w:rFonts w:asciiTheme="minorHAnsi" w:hAnsiTheme="minorHAnsi" w:cstheme="minorHAnsi"/>
                <w:noProof/>
                <w:color w:val="000000" w:themeColor="text1"/>
                <w:sz w:val="16"/>
                <w:szCs w:val="16"/>
              </w:rPr>
            </w:pPr>
          </w:p>
        </w:tc>
      </w:tr>
      <w:tr w:rsidR="0052717A" w:rsidRPr="00A14107" w14:paraId="42CFE238" w14:textId="77777777" w:rsidTr="005D4198">
        <w:trPr>
          <w:cnfStyle w:val="000000010000" w:firstRow="0" w:lastRow="0" w:firstColumn="0" w:lastColumn="0" w:oddVBand="0" w:evenVBand="0" w:oddHBand="0" w:evenHBand="1" w:firstRowFirstColumn="0" w:firstRowLastColumn="0" w:lastRowFirstColumn="0" w:lastRowLastColumn="0"/>
          <w:trHeight w:val="410"/>
        </w:trPr>
        <w:tc>
          <w:tcPr>
            <w:tcW w:w="390" w:type="dxa"/>
            <w:vMerge/>
            <w:shd w:val="clear" w:color="auto" w:fill="FFFFFF" w:themeFill="background1"/>
            <w:noWrap/>
          </w:tcPr>
          <w:p w14:paraId="447B3849" w14:textId="77777777" w:rsidR="00E73E85" w:rsidRDefault="00E73E85" w:rsidP="00E62BD3">
            <w:pPr>
              <w:rPr>
                <w:rFonts w:asciiTheme="minorHAnsi" w:hAnsiTheme="minorHAnsi" w:cstheme="minorHAnsi"/>
                <w:noProof/>
                <w:color w:val="000000" w:themeColor="text1"/>
                <w:sz w:val="16"/>
                <w:szCs w:val="16"/>
              </w:rPr>
            </w:pPr>
          </w:p>
        </w:tc>
        <w:tc>
          <w:tcPr>
            <w:tcW w:w="1845" w:type="dxa"/>
            <w:vMerge/>
            <w:tcBorders>
              <w:bottom w:val="single" w:sz="4" w:space="0" w:color="auto"/>
            </w:tcBorders>
            <w:shd w:val="clear" w:color="auto" w:fill="FFFFFF" w:themeFill="background1"/>
            <w:noWrap/>
          </w:tcPr>
          <w:p w14:paraId="462B2A87" w14:textId="77777777" w:rsidR="00E73E85" w:rsidRDefault="00E73E85" w:rsidP="00E62BD3">
            <w:pPr>
              <w:rPr>
                <w:rFonts w:asciiTheme="minorHAnsi" w:hAnsiTheme="minorHAnsi" w:cstheme="minorHAnsi"/>
                <w:b/>
                <w:noProof/>
                <w:color w:val="000000" w:themeColor="text1"/>
                <w:sz w:val="16"/>
                <w:szCs w:val="16"/>
              </w:rPr>
            </w:pPr>
          </w:p>
        </w:tc>
        <w:tc>
          <w:tcPr>
            <w:tcW w:w="3827" w:type="dxa"/>
            <w:vMerge/>
            <w:tcBorders>
              <w:bottom w:val="single" w:sz="4" w:space="0" w:color="auto"/>
            </w:tcBorders>
            <w:shd w:val="clear" w:color="auto" w:fill="EAF1DD" w:themeFill="accent3" w:themeFillTint="33"/>
            <w:noWrap/>
          </w:tcPr>
          <w:p w14:paraId="010B4700" w14:textId="77777777" w:rsidR="00E73E85" w:rsidRPr="00A14107" w:rsidRDefault="00E73E85" w:rsidP="00E62BD3">
            <w:pPr>
              <w:jc w:val="center"/>
              <w:rPr>
                <w:rFonts w:asciiTheme="minorHAnsi" w:hAnsiTheme="minorHAnsi" w:cstheme="minorHAnsi"/>
                <w:noProof/>
                <w:color w:val="000000" w:themeColor="text1"/>
                <w:sz w:val="16"/>
                <w:szCs w:val="16"/>
              </w:rPr>
            </w:pPr>
          </w:p>
        </w:tc>
        <w:tc>
          <w:tcPr>
            <w:tcW w:w="2835" w:type="dxa"/>
            <w:vMerge/>
            <w:tcBorders>
              <w:bottom w:val="single" w:sz="4" w:space="0" w:color="auto"/>
            </w:tcBorders>
            <w:shd w:val="clear" w:color="auto" w:fill="EAF1DD" w:themeFill="accent3" w:themeFillTint="33"/>
          </w:tcPr>
          <w:p w14:paraId="28AF8931" w14:textId="77777777" w:rsidR="00E73E85" w:rsidRDefault="00E73E85" w:rsidP="00E62BD3">
            <w:pPr>
              <w:jc w:val="center"/>
              <w:rPr>
                <w:rFonts w:asciiTheme="minorHAnsi" w:hAnsiTheme="minorHAnsi" w:cstheme="minorHAnsi"/>
                <w:noProof/>
                <w:sz w:val="16"/>
                <w:szCs w:val="16"/>
              </w:rPr>
            </w:pPr>
          </w:p>
        </w:tc>
        <w:tc>
          <w:tcPr>
            <w:tcW w:w="1559" w:type="dxa"/>
            <w:vMerge/>
            <w:tcBorders>
              <w:bottom w:val="single" w:sz="4" w:space="0" w:color="auto"/>
            </w:tcBorders>
            <w:shd w:val="clear" w:color="auto" w:fill="EAF1DD" w:themeFill="accent3" w:themeFillTint="33"/>
            <w:noWrap/>
          </w:tcPr>
          <w:p w14:paraId="712EED7F" w14:textId="77777777" w:rsidR="00E73E85" w:rsidRDefault="00E73E85" w:rsidP="00E62BD3">
            <w:pPr>
              <w:jc w:val="center"/>
              <w:rPr>
                <w:rFonts w:asciiTheme="minorHAnsi" w:hAnsiTheme="minorHAnsi" w:cstheme="minorHAnsi"/>
                <w:noProof/>
                <w:color w:val="000000" w:themeColor="text1"/>
                <w:sz w:val="16"/>
                <w:szCs w:val="16"/>
              </w:rPr>
            </w:pPr>
          </w:p>
        </w:tc>
        <w:tc>
          <w:tcPr>
            <w:tcW w:w="1843" w:type="dxa"/>
            <w:tcBorders>
              <w:top w:val="single" w:sz="4" w:space="0" w:color="F2DBDB" w:themeColor="accent2" w:themeTint="33"/>
              <w:bottom w:val="single" w:sz="4" w:space="0" w:color="auto"/>
            </w:tcBorders>
            <w:shd w:val="clear" w:color="auto" w:fill="F2DBDB" w:themeFill="accent2" w:themeFillTint="33"/>
            <w:noWrap/>
            <w:vAlign w:val="top"/>
          </w:tcPr>
          <w:p w14:paraId="305A1E88" w14:textId="6ABAE760" w:rsidR="00E73E85" w:rsidRDefault="00E73E85" w:rsidP="00F979DD">
            <w:pPr>
              <w:spacing w:before="0"/>
              <w:jc w:val="center"/>
              <w:rPr>
                <w:rFonts w:asciiTheme="minorHAnsi" w:hAnsiTheme="minorHAnsi" w:cstheme="minorHAnsi"/>
                <w:noProof/>
                <w:color w:val="000000" w:themeColor="text1"/>
                <w:sz w:val="16"/>
                <w:szCs w:val="16"/>
              </w:rPr>
            </w:pPr>
            <w:r w:rsidRPr="001F6792">
              <w:rPr>
                <w:rFonts w:asciiTheme="minorHAnsi" w:hAnsiTheme="minorHAnsi" w:cstheme="minorHAnsi"/>
                <w:noProof/>
                <w:color w:val="000000" w:themeColor="text1"/>
                <w:sz w:val="16"/>
                <w:szCs w:val="16"/>
                <w:shd w:val="clear" w:color="auto" w:fill="F2DBDB" w:themeFill="accent2" w:themeFillTint="33"/>
              </w:rPr>
              <w:t>costs of</w:t>
            </w:r>
            <w:r>
              <w:rPr>
                <w:rFonts w:asciiTheme="minorHAnsi" w:hAnsiTheme="minorHAnsi" w:cstheme="minorHAnsi"/>
                <w:noProof/>
                <w:color w:val="000000" w:themeColor="text1"/>
                <w:sz w:val="16"/>
                <w:szCs w:val="16"/>
              </w:rPr>
              <w:t xml:space="preserve"> </w:t>
            </w:r>
            <w:r w:rsidRPr="001F6792">
              <w:rPr>
                <w:rFonts w:asciiTheme="minorHAnsi" w:hAnsiTheme="minorHAnsi" w:cstheme="minorHAnsi"/>
                <w:noProof/>
                <w:color w:val="000000" w:themeColor="text1"/>
                <w:sz w:val="16"/>
                <w:szCs w:val="16"/>
                <w:shd w:val="clear" w:color="auto" w:fill="F2DBDB" w:themeFill="accent2" w:themeFillTint="33"/>
              </w:rPr>
              <w:t>126 days upfront</w:t>
            </w:r>
          </w:p>
        </w:tc>
        <w:tc>
          <w:tcPr>
            <w:tcW w:w="1134" w:type="dxa"/>
            <w:vMerge/>
            <w:noWrap/>
          </w:tcPr>
          <w:p w14:paraId="4A049E0A" w14:textId="77777777" w:rsidR="00E73E85" w:rsidRPr="00A14107" w:rsidRDefault="00E73E85" w:rsidP="00E62BD3">
            <w:pPr>
              <w:jc w:val="center"/>
              <w:rPr>
                <w:rFonts w:asciiTheme="minorHAnsi" w:hAnsiTheme="minorHAnsi" w:cstheme="minorHAnsi"/>
                <w:noProof/>
                <w:color w:val="000000" w:themeColor="text1"/>
                <w:sz w:val="16"/>
                <w:szCs w:val="16"/>
              </w:rPr>
            </w:pPr>
          </w:p>
        </w:tc>
        <w:tc>
          <w:tcPr>
            <w:tcW w:w="1134" w:type="dxa"/>
            <w:vMerge/>
          </w:tcPr>
          <w:p w14:paraId="0C520D2B" w14:textId="3DB453EE" w:rsidR="00E73E85" w:rsidRPr="00A14107" w:rsidRDefault="00E73E85" w:rsidP="00E62BD3">
            <w:pPr>
              <w:spacing w:before="0"/>
              <w:jc w:val="center"/>
              <w:rPr>
                <w:rFonts w:asciiTheme="minorHAnsi" w:hAnsiTheme="minorHAnsi" w:cstheme="minorHAnsi"/>
                <w:noProof/>
                <w:color w:val="000000" w:themeColor="text1"/>
                <w:sz w:val="16"/>
                <w:szCs w:val="16"/>
              </w:rPr>
            </w:pPr>
          </w:p>
        </w:tc>
      </w:tr>
      <w:tr w:rsidR="00E23E0E" w:rsidRPr="00A14107" w14:paraId="4804AB7A" w14:textId="77777777" w:rsidTr="00141061">
        <w:trPr>
          <w:cnfStyle w:val="000000100000" w:firstRow="0" w:lastRow="0" w:firstColumn="0" w:lastColumn="0" w:oddVBand="0" w:evenVBand="0" w:oddHBand="1" w:evenHBand="0" w:firstRowFirstColumn="0" w:firstRowLastColumn="0" w:lastRowFirstColumn="0" w:lastRowLastColumn="0"/>
          <w:trHeight w:val="243"/>
        </w:trPr>
        <w:tc>
          <w:tcPr>
            <w:tcW w:w="390" w:type="dxa"/>
            <w:shd w:val="clear" w:color="auto" w:fill="FFFFFF" w:themeFill="background1"/>
            <w:noWrap/>
          </w:tcPr>
          <w:p w14:paraId="6F148CA0" w14:textId="1C0F87E4" w:rsidR="00E73E85" w:rsidRPr="00A14107" w:rsidRDefault="00E73E85" w:rsidP="00E62BD3">
            <w:pPr>
              <w:rPr>
                <w:rFonts w:asciiTheme="minorHAnsi" w:hAnsiTheme="minorHAnsi" w:cstheme="minorHAnsi"/>
                <w:noProof/>
                <w:color w:val="000000" w:themeColor="text1"/>
                <w:sz w:val="16"/>
                <w:szCs w:val="16"/>
              </w:rPr>
            </w:pPr>
            <w:r>
              <w:rPr>
                <w:rFonts w:asciiTheme="minorHAnsi" w:hAnsiTheme="minorHAnsi" w:cstheme="minorHAnsi"/>
                <w:noProof/>
                <w:color w:val="000000" w:themeColor="text1"/>
                <w:sz w:val="16"/>
                <w:szCs w:val="16"/>
              </w:rPr>
              <w:t>E</w:t>
            </w:r>
          </w:p>
        </w:tc>
        <w:tc>
          <w:tcPr>
            <w:tcW w:w="1845" w:type="dxa"/>
            <w:tcBorders>
              <w:top w:val="single" w:sz="4" w:space="0" w:color="auto"/>
              <w:bottom w:val="single" w:sz="4" w:space="0" w:color="auto"/>
            </w:tcBorders>
            <w:shd w:val="clear" w:color="auto" w:fill="FFFFFF" w:themeFill="background1"/>
            <w:noWrap/>
          </w:tcPr>
          <w:p w14:paraId="0263DB6E" w14:textId="2F33CDE3" w:rsidR="00E73E85" w:rsidRPr="00D20A4C" w:rsidRDefault="00E73E85" w:rsidP="00E62BD3">
            <w:pPr>
              <w:rPr>
                <w:rFonts w:asciiTheme="minorHAnsi" w:hAnsiTheme="minorHAnsi" w:cstheme="minorHAnsi"/>
                <w:b/>
                <w:noProof/>
                <w:color w:val="000000" w:themeColor="text1"/>
                <w:sz w:val="16"/>
                <w:szCs w:val="16"/>
              </w:rPr>
            </w:pPr>
            <w:r>
              <w:rPr>
                <w:rFonts w:asciiTheme="minorHAnsi" w:hAnsiTheme="minorHAnsi" w:cstheme="minorHAnsi"/>
                <w:b/>
                <w:noProof/>
                <w:color w:val="000000" w:themeColor="text1"/>
                <w:sz w:val="16"/>
                <w:szCs w:val="16"/>
              </w:rPr>
              <w:t>CLARIFICATIONS</w:t>
            </w:r>
          </w:p>
        </w:tc>
        <w:tc>
          <w:tcPr>
            <w:tcW w:w="3827" w:type="dxa"/>
            <w:tcBorders>
              <w:top w:val="single" w:sz="4" w:space="0" w:color="auto"/>
              <w:bottom w:val="single" w:sz="4" w:space="0" w:color="auto"/>
            </w:tcBorders>
            <w:shd w:val="clear" w:color="auto" w:fill="00B050"/>
            <w:noWrap/>
          </w:tcPr>
          <w:p w14:paraId="4BE5B465" w14:textId="7721A55B" w:rsidR="00E73E85" w:rsidRDefault="00E73E85" w:rsidP="00E62BD3">
            <w:pPr>
              <w:jc w:val="center"/>
              <w:rPr>
                <w:rFonts w:asciiTheme="minorHAnsi" w:hAnsiTheme="minorHAnsi" w:cstheme="minorHAnsi"/>
                <w:noProof/>
                <w:color w:val="000000" w:themeColor="text1"/>
                <w:sz w:val="16"/>
                <w:szCs w:val="16"/>
              </w:rPr>
            </w:pPr>
            <w:r>
              <w:rPr>
                <w:rFonts w:asciiTheme="minorHAnsi" w:hAnsiTheme="minorHAnsi" w:cstheme="minorHAnsi"/>
                <w:noProof/>
                <w:color w:val="000000" w:themeColor="text1"/>
                <w:sz w:val="16"/>
                <w:szCs w:val="16"/>
              </w:rPr>
              <w:t>(+)</w:t>
            </w:r>
          </w:p>
        </w:tc>
        <w:tc>
          <w:tcPr>
            <w:tcW w:w="2835" w:type="dxa"/>
            <w:tcBorders>
              <w:top w:val="single" w:sz="4" w:space="0" w:color="auto"/>
              <w:bottom w:val="single" w:sz="4" w:space="0" w:color="auto"/>
            </w:tcBorders>
            <w:shd w:val="clear" w:color="auto" w:fill="EAF1DD" w:themeFill="accent3" w:themeFillTint="33"/>
          </w:tcPr>
          <w:p w14:paraId="464671B1" w14:textId="73BC3D1F" w:rsidR="00E73E85" w:rsidRPr="00141061" w:rsidRDefault="00141061" w:rsidP="00E62BD3">
            <w:pPr>
              <w:jc w:val="center"/>
              <w:rPr>
                <w:rFonts w:asciiTheme="minorHAnsi" w:hAnsiTheme="minorHAnsi" w:cstheme="minorHAnsi"/>
                <w:noProof/>
                <w:color w:val="000000" w:themeColor="text1"/>
                <w:sz w:val="16"/>
                <w:szCs w:val="16"/>
              </w:rPr>
            </w:pPr>
            <w:r>
              <w:rPr>
                <w:rFonts w:asciiTheme="minorHAnsi" w:hAnsiTheme="minorHAnsi" w:cstheme="minorHAnsi"/>
                <w:noProof/>
                <w:color w:val="000000" w:themeColor="text1"/>
                <w:sz w:val="16"/>
                <w:szCs w:val="16"/>
              </w:rPr>
              <w:t>(</w:t>
            </w:r>
            <w:r w:rsidRPr="00141061">
              <w:rPr>
                <w:rFonts w:asciiTheme="minorHAnsi" w:hAnsiTheme="minorHAnsi" w:cstheme="minorHAnsi"/>
                <w:noProof/>
                <w:color w:val="000000" w:themeColor="text1"/>
                <w:sz w:val="16"/>
                <w:szCs w:val="16"/>
              </w:rPr>
              <w:t>0/+</w:t>
            </w:r>
            <w:r>
              <w:rPr>
                <w:rFonts w:asciiTheme="minorHAnsi" w:hAnsiTheme="minorHAnsi" w:cstheme="minorHAnsi"/>
                <w:noProof/>
                <w:color w:val="000000" w:themeColor="text1"/>
                <w:sz w:val="16"/>
                <w:szCs w:val="16"/>
              </w:rPr>
              <w:t>)</w:t>
            </w:r>
          </w:p>
        </w:tc>
        <w:tc>
          <w:tcPr>
            <w:tcW w:w="1559" w:type="dxa"/>
            <w:tcBorders>
              <w:top w:val="single" w:sz="4" w:space="0" w:color="auto"/>
              <w:bottom w:val="single" w:sz="4" w:space="0" w:color="auto"/>
            </w:tcBorders>
            <w:shd w:val="clear" w:color="auto" w:fill="EAF1DD" w:themeFill="accent3" w:themeFillTint="33"/>
            <w:noWrap/>
          </w:tcPr>
          <w:p w14:paraId="17846C78" w14:textId="259B28B0" w:rsidR="00E73E85" w:rsidRPr="00141061" w:rsidRDefault="00141061" w:rsidP="00E62BD3">
            <w:pPr>
              <w:jc w:val="center"/>
              <w:rPr>
                <w:rFonts w:asciiTheme="minorHAnsi" w:hAnsiTheme="minorHAnsi" w:cstheme="minorHAnsi"/>
                <w:noProof/>
                <w:color w:val="000000" w:themeColor="text1"/>
                <w:sz w:val="16"/>
                <w:szCs w:val="16"/>
              </w:rPr>
            </w:pPr>
            <w:r>
              <w:rPr>
                <w:rFonts w:asciiTheme="minorHAnsi" w:hAnsiTheme="minorHAnsi" w:cstheme="minorHAnsi"/>
                <w:noProof/>
                <w:color w:val="000000" w:themeColor="text1"/>
                <w:sz w:val="16"/>
                <w:szCs w:val="16"/>
              </w:rPr>
              <w:t>(</w:t>
            </w:r>
            <w:r w:rsidR="00E73E85" w:rsidRPr="00141061">
              <w:rPr>
                <w:rFonts w:asciiTheme="minorHAnsi" w:hAnsiTheme="minorHAnsi" w:cstheme="minorHAnsi"/>
                <w:noProof/>
                <w:color w:val="000000" w:themeColor="text1"/>
                <w:sz w:val="16"/>
                <w:szCs w:val="16"/>
              </w:rPr>
              <w:t>0/+</w:t>
            </w:r>
            <w:r>
              <w:rPr>
                <w:rFonts w:asciiTheme="minorHAnsi" w:hAnsiTheme="minorHAnsi" w:cstheme="minorHAnsi"/>
                <w:noProof/>
                <w:color w:val="000000" w:themeColor="text1"/>
                <w:sz w:val="16"/>
                <w:szCs w:val="16"/>
              </w:rPr>
              <w:t>)</w:t>
            </w:r>
          </w:p>
        </w:tc>
        <w:tc>
          <w:tcPr>
            <w:tcW w:w="1843" w:type="dxa"/>
            <w:tcBorders>
              <w:top w:val="single" w:sz="4" w:space="0" w:color="auto"/>
              <w:bottom w:val="single" w:sz="4" w:space="0" w:color="auto"/>
            </w:tcBorders>
            <w:shd w:val="clear" w:color="auto" w:fill="EAF1DD" w:themeFill="accent3" w:themeFillTint="33"/>
            <w:noWrap/>
          </w:tcPr>
          <w:p w14:paraId="4E41F0EA" w14:textId="5506A712" w:rsidR="00E73E85" w:rsidRPr="00141061" w:rsidRDefault="00141061" w:rsidP="00E62BD3">
            <w:pPr>
              <w:jc w:val="center"/>
              <w:rPr>
                <w:rFonts w:asciiTheme="minorHAnsi" w:hAnsiTheme="minorHAnsi" w:cstheme="minorHAnsi"/>
                <w:noProof/>
                <w:color w:val="000000" w:themeColor="text1"/>
                <w:sz w:val="16"/>
                <w:szCs w:val="16"/>
              </w:rPr>
            </w:pPr>
            <w:r>
              <w:rPr>
                <w:rFonts w:asciiTheme="minorHAnsi" w:hAnsiTheme="minorHAnsi" w:cstheme="minorHAnsi"/>
                <w:noProof/>
                <w:color w:val="000000" w:themeColor="text1"/>
                <w:sz w:val="16"/>
                <w:szCs w:val="16"/>
              </w:rPr>
              <w:t>(</w:t>
            </w:r>
            <w:r w:rsidR="00E73E85" w:rsidRPr="00141061">
              <w:rPr>
                <w:rFonts w:asciiTheme="minorHAnsi" w:hAnsiTheme="minorHAnsi" w:cstheme="minorHAnsi"/>
                <w:noProof/>
                <w:color w:val="000000" w:themeColor="text1"/>
                <w:sz w:val="16"/>
                <w:szCs w:val="16"/>
              </w:rPr>
              <w:t>0/+</w:t>
            </w:r>
            <w:r>
              <w:rPr>
                <w:rFonts w:asciiTheme="minorHAnsi" w:hAnsiTheme="minorHAnsi" w:cstheme="minorHAnsi"/>
                <w:noProof/>
                <w:color w:val="000000" w:themeColor="text1"/>
                <w:sz w:val="16"/>
                <w:szCs w:val="16"/>
              </w:rPr>
              <w:t>)</w:t>
            </w:r>
          </w:p>
        </w:tc>
        <w:tc>
          <w:tcPr>
            <w:tcW w:w="1134" w:type="dxa"/>
            <w:noWrap/>
          </w:tcPr>
          <w:p w14:paraId="1C5E34FF" w14:textId="77777777" w:rsidR="00E73E85" w:rsidRPr="00512EF9" w:rsidRDefault="00E73E85" w:rsidP="00E62BD3">
            <w:pPr>
              <w:jc w:val="center"/>
              <w:rPr>
                <w:rFonts w:asciiTheme="minorHAnsi" w:hAnsiTheme="minorHAnsi" w:cstheme="minorHAnsi"/>
                <w:b/>
                <w:noProof/>
                <w:color w:val="000000" w:themeColor="text1"/>
                <w:sz w:val="16"/>
                <w:szCs w:val="16"/>
              </w:rPr>
            </w:pPr>
          </w:p>
        </w:tc>
        <w:tc>
          <w:tcPr>
            <w:tcW w:w="1134" w:type="dxa"/>
          </w:tcPr>
          <w:p w14:paraId="52C4191F" w14:textId="2FBDB890" w:rsidR="00E73E85" w:rsidRPr="00512EF9" w:rsidRDefault="00E73E85" w:rsidP="00E62BD3">
            <w:pPr>
              <w:spacing w:before="0"/>
              <w:jc w:val="center"/>
              <w:rPr>
                <w:rFonts w:asciiTheme="minorHAnsi" w:hAnsiTheme="minorHAnsi" w:cstheme="minorHAnsi"/>
                <w:b/>
                <w:noProof/>
                <w:color w:val="000000" w:themeColor="text1"/>
                <w:sz w:val="16"/>
                <w:szCs w:val="16"/>
              </w:rPr>
            </w:pPr>
          </w:p>
        </w:tc>
      </w:tr>
      <w:tr w:rsidR="00E23E0E" w:rsidRPr="00A14107" w14:paraId="6067E384" w14:textId="77777777" w:rsidTr="00F979DD">
        <w:trPr>
          <w:cnfStyle w:val="000000010000" w:firstRow="0" w:lastRow="0" w:firstColumn="0" w:lastColumn="0" w:oddVBand="0" w:evenVBand="0" w:oddHBand="0" w:evenHBand="1" w:firstRowFirstColumn="0" w:firstRowLastColumn="0" w:lastRowFirstColumn="0" w:lastRowLastColumn="0"/>
          <w:trHeight w:val="243"/>
        </w:trPr>
        <w:tc>
          <w:tcPr>
            <w:tcW w:w="390" w:type="dxa"/>
            <w:shd w:val="clear" w:color="auto" w:fill="FFFFFF" w:themeFill="background1"/>
            <w:noWrap/>
          </w:tcPr>
          <w:p w14:paraId="74676AC6" w14:textId="77777777" w:rsidR="00E73E85" w:rsidRPr="00A14107" w:rsidRDefault="00E73E85" w:rsidP="00E62BD3">
            <w:pPr>
              <w:spacing w:before="0"/>
              <w:rPr>
                <w:rFonts w:asciiTheme="minorHAnsi" w:hAnsiTheme="minorHAnsi" w:cstheme="minorHAnsi"/>
                <w:noProof/>
                <w:color w:val="000000" w:themeColor="text1"/>
                <w:sz w:val="16"/>
                <w:szCs w:val="16"/>
              </w:rPr>
            </w:pPr>
          </w:p>
        </w:tc>
        <w:tc>
          <w:tcPr>
            <w:tcW w:w="1845" w:type="dxa"/>
            <w:tcBorders>
              <w:top w:val="single" w:sz="4" w:space="0" w:color="auto"/>
              <w:bottom w:val="single" w:sz="4" w:space="0" w:color="auto"/>
            </w:tcBorders>
            <w:shd w:val="clear" w:color="auto" w:fill="FFFFFF" w:themeFill="background1"/>
            <w:noWrap/>
            <w:hideMark/>
          </w:tcPr>
          <w:p w14:paraId="3E7829C9" w14:textId="77777777" w:rsidR="00E73E85" w:rsidRPr="00D20A4C" w:rsidRDefault="00E73E85" w:rsidP="00E62BD3">
            <w:pPr>
              <w:spacing w:before="0"/>
              <w:rPr>
                <w:rFonts w:asciiTheme="minorHAnsi" w:hAnsiTheme="minorHAnsi" w:cstheme="minorHAnsi"/>
                <w:b/>
                <w:noProof/>
                <w:color w:val="000000" w:themeColor="text1"/>
                <w:sz w:val="16"/>
                <w:szCs w:val="16"/>
              </w:rPr>
            </w:pPr>
            <w:r w:rsidRPr="00D20A4C">
              <w:rPr>
                <w:rFonts w:asciiTheme="minorHAnsi" w:hAnsiTheme="minorHAnsi" w:cstheme="minorHAnsi"/>
                <w:b/>
                <w:noProof/>
                <w:color w:val="000000" w:themeColor="text1"/>
                <w:sz w:val="16"/>
                <w:szCs w:val="16"/>
              </w:rPr>
              <w:t>Total effects</w:t>
            </w:r>
          </w:p>
        </w:tc>
        <w:tc>
          <w:tcPr>
            <w:tcW w:w="3827" w:type="dxa"/>
            <w:tcBorders>
              <w:top w:val="single" w:sz="4" w:space="0" w:color="auto"/>
              <w:bottom w:val="single" w:sz="4" w:space="0" w:color="auto"/>
            </w:tcBorders>
            <w:shd w:val="clear" w:color="auto" w:fill="00B050"/>
            <w:noWrap/>
            <w:hideMark/>
          </w:tcPr>
          <w:p w14:paraId="22E7E79A" w14:textId="06AFA46B" w:rsidR="00E73E85" w:rsidRPr="00A14107" w:rsidRDefault="006165C7" w:rsidP="00E62BD3">
            <w:pPr>
              <w:spacing w:before="0"/>
              <w:jc w:val="center"/>
              <w:rPr>
                <w:rFonts w:asciiTheme="minorHAnsi" w:hAnsiTheme="minorHAnsi" w:cstheme="minorHAnsi"/>
                <w:noProof/>
                <w:color w:val="000000" w:themeColor="text1"/>
                <w:sz w:val="16"/>
                <w:szCs w:val="16"/>
              </w:rPr>
            </w:pPr>
            <w:r>
              <w:rPr>
                <w:rFonts w:asciiTheme="minorHAnsi" w:hAnsiTheme="minorHAnsi" w:cstheme="minorHAnsi"/>
                <w:noProof/>
                <w:color w:val="000000" w:themeColor="text1"/>
                <w:sz w:val="16"/>
                <w:szCs w:val="16"/>
              </w:rPr>
              <w:t>(++</w:t>
            </w:r>
            <w:r w:rsidR="00E73E85">
              <w:rPr>
                <w:rFonts w:asciiTheme="minorHAnsi" w:hAnsiTheme="minorHAnsi" w:cstheme="minorHAnsi"/>
                <w:noProof/>
                <w:color w:val="000000" w:themeColor="text1"/>
                <w:sz w:val="16"/>
                <w:szCs w:val="16"/>
              </w:rPr>
              <w:t>)</w:t>
            </w:r>
          </w:p>
        </w:tc>
        <w:tc>
          <w:tcPr>
            <w:tcW w:w="2835" w:type="dxa"/>
            <w:tcBorders>
              <w:top w:val="single" w:sz="4" w:space="0" w:color="auto"/>
              <w:bottom w:val="single" w:sz="4" w:space="0" w:color="auto"/>
            </w:tcBorders>
            <w:shd w:val="clear" w:color="auto" w:fill="F2DBDB" w:themeFill="accent2" w:themeFillTint="33"/>
          </w:tcPr>
          <w:p w14:paraId="35ACC1C8" w14:textId="77777777" w:rsidR="00E73E85" w:rsidRPr="00A14107" w:rsidRDefault="00E73E85" w:rsidP="00E62BD3">
            <w:pPr>
              <w:spacing w:before="0"/>
              <w:jc w:val="center"/>
              <w:rPr>
                <w:rFonts w:asciiTheme="minorHAnsi" w:hAnsiTheme="minorHAnsi" w:cstheme="minorHAnsi"/>
                <w:noProof/>
                <w:color w:val="000000" w:themeColor="text1"/>
                <w:sz w:val="16"/>
                <w:szCs w:val="16"/>
              </w:rPr>
            </w:pPr>
            <w:r>
              <w:rPr>
                <w:rFonts w:asciiTheme="minorHAnsi" w:hAnsiTheme="minorHAnsi" w:cstheme="minorHAnsi"/>
                <w:b/>
                <w:noProof/>
                <w:color w:val="000000" w:themeColor="text1"/>
                <w:sz w:val="16"/>
                <w:szCs w:val="16"/>
              </w:rPr>
              <w:t>(-)</w:t>
            </w:r>
          </w:p>
        </w:tc>
        <w:tc>
          <w:tcPr>
            <w:tcW w:w="1559" w:type="dxa"/>
            <w:tcBorders>
              <w:top w:val="single" w:sz="4" w:space="0" w:color="auto"/>
              <w:bottom w:val="single" w:sz="4" w:space="0" w:color="auto"/>
            </w:tcBorders>
            <w:shd w:val="clear" w:color="auto" w:fill="F2DBDB" w:themeFill="accent2" w:themeFillTint="33"/>
            <w:noWrap/>
          </w:tcPr>
          <w:p w14:paraId="3F92F065" w14:textId="6CE8A981" w:rsidR="00E73E85" w:rsidRPr="006E3724" w:rsidRDefault="00E73E85" w:rsidP="00E62BD3">
            <w:pPr>
              <w:spacing w:before="0"/>
              <w:jc w:val="center"/>
              <w:rPr>
                <w:rFonts w:asciiTheme="minorHAnsi" w:hAnsiTheme="minorHAnsi" w:cstheme="minorHAnsi"/>
                <w:b/>
                <w:noProof/>
                <w:color w:val="000000" w:themeColor="text1"/>
                <w:sz w:val="16"/>
                <w:szCs w:val="16"/>
              </w:rPr>
            </w:pPr>
            <w:r w:rsidRPr="006E3724">
              <w:rPr>
                <w:rFonts w:asciiTheme="minorHAnsi" w:hAnsiTheme="minorHAnsi" w:cstheme="minorHAnsi"/>
                <w:b/>
                <w:noProof/>
                <w:color w:val="000000" w:themeColor="text1"/>
                <w:sz w:val="16"/>
                <w:szCs w:val="16"/>
              </w:rPr>
              <w:t>(-)</w:t>
            </w:r>
          </w:p>
        </w:tc>
        <w:tc>
          <w:tcPr>
            <w:tcW w:w="1843" w:type="dxa"/>
            <w:tcBorders>
              <w:top w:val="single" w:sz="4" w:space="0" w:color="auto"/>
              <w:bottom w:val="single" w:sz="4" w:space="0" w:color="auto"/>
            </w:tcBorders>
            <w:shd w:val="clear" w:color="auto" w:fill="F2DBDB" w:themeFill="accent2" w:themeFillTint="33"/>
            <w:noWrap/>
          </w:tcPr>
          <w:p w14:paraId="031D2B43" w14:textId="6049088D" w:rsidR="00E73E85" w:rsidRPr="006E3724" w:rsidRDefault="00E73E85" w:rsidP="00E62BD3">
            <w:pPr>
              <w:spacing w:before="0"/>
              <w:jc w:val="center"/>
              <w:rPr>
                <w:rFonts w:asciiTheme="minorHAnsi" w:hAnsiTheme="minorHAnsi" w:cstheme="minorHAnsi"/>
                <w:b/>
                <w:noProof/>
                <w:color w:val="000000" w:themeColor="text1"/>
                <w:sz w:val="16"/>
                <w:szCs w:val="16"/>
              </w:rPr>
            </w:pPr>
            <w:r>
              <w:rPr>
                <w:rFonts w:asciiTheme="minorHAnsi" w:hAnsiTheme="minorHAnsi" w:cstheme="minorHAnsi"/>
                <w:b/>
                <w:noProof/>
                <w:color w:val="000000" w:themeColor="text1"/>
                <w:sz w:val="16"/>
                <w:szCs w:val="16"/>
              </w:rPr>
              <w:t>(-</w:t>
            </w:r>
            <w:r w:rsidRPr="006E3724">
              <w:rPr>
                <w:rFonts w:asciiTheme="minorHAnsi" w:hAnsiTheme="minorHAnsi" w:cstheme="minorHAnsi"/>
                <w:b/>
                <w:noProof/>
                <w:color w:val="000000" w:themeColor="text1"/>
                <w:sz w:val="16"/>
                <w:szCs w:val="16"/>
              </w:rPr>
              <w:t>)</w:t>
            </w:r>
          </w:p>
        </w:tc>
        <w:tc>
          <w:tcPr>
            <w:tcW w:w="1134" w:type="dxa"/>
            <w:tcBorders>
              <w:bottom w:val="single" w:sz="4" w:space="0" w:color="auto"/>
            </w:tcBorders>
            <w:noWrap/>
            <w:hideMark/>
          </w:tcPr>
          <w:p w14:paraId="4FB324BB" w14:textId="6CE975A3" w:rsidR="00E73E85" w:rsidRPr="006E3724" w:rsidRDefault="00141061" w:rsidP="00E62BD3">
            <w:pPr>
              <w:jc w:val="center"/>
              <w:rPr>
                <w:rFonts w:asciiTheme="minorHAnsi" w:hAnsiTheme="minorHAnsi" w:cstheme="minorHAnsi"/>
                <w:b/>
                <w:noProof/>
                <w:color w:val="000000" w:themeColor="text1"/>
                <w:sz w:val="16"/>
                <w:szCs w:val="16"/>
              </w:rPr>
            </w:pPr>
            <w:r>
              <w:rPr>
                <w:rFonts w:asciiTheme="minorHAnsi" w:hAnsiTheme="minorHAnsi" w:cstheme="minorHAnsi"/>
                <w:b/>
                <w:noProof/>
                <w:color w:val="000000" w:themeColor="text1"/>
                <w:sz w:val="16"/>
                <w:szCs w:val="16"/>
              </w:rPr>
              <w:t>(+)</w:t>
            </w:r>
          </w:p>
        </w:tc>
        <w:tc>
          <w:tcPr>
            <w:tcW w:w="1134" w:type="dxa"/>
            <w:tcBorders>
              <w:bottom w:val="single" w:sz="4" w:space="0" w:color="auto"/>
            </w:tcBorders>
          </w:tcPr>
          <w:p w14:paraId="11115148" w14:textId="77C85872" w:rsidR="00E73E85" w:rsidRPr="006E3724" w:rsidRDefault="00141061" w:rsidP="00E62BD3">
            <w:pPr>
              <w:spacing w:before="0"/>
              <w:jc w:val="center"/>
              <w:rPr>
                <w:rFonts w:asciiTheme="minorHAnsi" w:hAnsiTheme="minorHAnsi" w:cstheme="minorHAnsi"/>
                <w:b/>
                <w:noProof/>
                <w:color w:val="000000" w:themeColor="text1"/>
                <w:sz w:val="16"/>
                <w:szCs w:val="16"/>
              </w:rPr>
            </w:pPr>
            <w:r>
              <w:rPr>
                <w:rFonts w:asciiTheme="minorHAnsi" w:hAnsiTheme="minorHAnsi" w:cstheme="minorHAnsi"/>
                <w:b/>
                <w:noProof/>
                <w:color w:val="000000" w:themeColor="text1"/>
                <w:sz w:val="16"/>
                <w:szCs w:val="16"/>
              </w:rPr>
              <w:t>(+)</w:t>
            </w:r>
          </w:p>
        </w:tc>
      </w:tr>
    </w:tbl>
    <w:p w14:paraId="6EA19371" w14:textId="77777777" w:rsidR="00E73E85" w:rsidRDefault="00841DEC" w:rsidP="005D4198">
      <w:pPr>
        <w:jc w:val="left"/>
        <w:rPr>
          <w:rFonts w:asciiTheme="minorHAnsi" w:hAnsiTheme="minorHAnsi" w:cstheme="minorHAnsi"/>
          <w:noProof/>
          <w:sz w:val="20"/>
          <w:szCs w:val="20"/>
          <w:shd w:val="clear" w:color="auto" w:fill="FF0000"/>
        </w:rPr>
        <w:sectPr w:rsidR="00E73E85" w:rsidSect="0030662A">
          <w:headerReference w:type="even" r:id="rId45"/>
          <w:headerReference w:type="default" r:id="rId46"/>
          <w:footerReference w:type="even" r:id="rId47"/>
          <w:footerReference w:type="default" r:id="rId48"/>
          <w:headerReference w:type="first" r:id="rId49"/>
          <w:footerReference w:type="first" r:id="rId50"/>
          <w:pgSz w:w="16838" w:h="11906" w:orient="landscape"/>
          <w:pgMar w:top="1440" w:right="1440" w:bottom="1440" w:left="1440" w:header="709" w:footer="709" w:gutter="0"/>
          <w:cols w:space="708"/>
          <w:docGrid w:linePitch="360"/>
        </w:sectPr>
      </w:pPr>
      <w:r w:rsidRPr="009D0174">
        <w:rPr>
          <w:rFonts w:asciiTheme="minorHAnsi" w:hAnsiTheme="minorHAnsi" w:cstheme="minorHAnsi"/>
          <w:b/>
          <w:noProof/>
          <w:sz w:val="20"/>
          <w:szCs w:val="20"/>
        </w:rPr>
        <w:t>Legend:</w:t>
      </w:r>
      <w:r w:rsidRPr="009D0174">
        <w:rPr>
          <w:rFonts w:asciiTheme="minorHAnsi" w:hAnsiTheme="minorHAnsi" w:cstheme="minorHAnsi"/>
          <w:noProof/>
          <w:sz w:val="20"/>
          <w:szCs w:val="20"/>
        </w:rPr>
        <w:t xml:space="preserve"> Scale applied is +++,++,+,0,-,--,--- (very high/positive to very low/negative); Corresponding colour codes are </w:t>
      </w:r>
      <w:r w:rsidRPr="009D0174">
        <w:rPr>
          <w:rFonts w:asciiTheme="minorHAnsi" w:hAnsiTheme="minorHAnsi" w:cstheme="minorHAnsi"/>
          <w:noProof/>
          <w:sz w:val="20"/>
          <w:szCs w:val="20"/>
          <w:shd w:val="clear" w:color="auto" w:fill="00B050"/>
        </w:rPr>
        <w:t>dark</w:t>
      </w:r>
      <w:r w:rsidRPr="009D0174">
        <w:rPr>
          <w:rFonts w:asciiTheme="minorHAnsi" w:hAnsiTheme="minorHAnsi" w:cstheme="minorHAnsi"/>
          <w:noProof/>
          <w:sz w:val="20"/>
          <w:szCs w:val="20"/>
        </w:rPr>
        <w:t>/</w:t>
      </w:r>
      <w:r w:rsidRPr="009D0174">
        <w:rPr>
          <w:rFonts w:asciiTheme="minorHAnsi" w:hAnsiTheme="minorHAnsi" w:cstheme="minorHAnsi"/>
          <w:noProof/>
          <w:sz w:val="20"/>
          <w:szCs w:val="20"/>
          <w:shd w:val="clear" w:color="auto" w:fill="C2D69B" w:themeFill="accent3" w:themeFillTint="99"/>
        </w:rPr>
        <w:t>medium</w:t>
      </w:r>
      <w:r w:rsidRPr="009D0174">
        <w:rPr>
          <w:rFonts w:asciiTheme="minorHAnsi" w:hAnsiTheme="minorHAnsi" w:cstheme="minorHAnsi"/>
          <w:noProof/>
          <w:sz w:val="20"/>
          <w:szCs w:val="20"/>
        </w:rPr>
        <w:t>/</w:t>
      </w:r>
      <w:r w:rsidRPr="009D0174">
        <w:rPr>
          <w:rFonts w:asciiTheme="minorHAnsi" w:hAnsiTheme="minorHAnsi" w:cstheme="minorHAnsi"/>
          <w:noProof/>
          <w:sz w:val="20"/>
          <w:szCs w:val="20"/>
          <w:shd w:val="clear" w:color="auto" w:fill="EAF1DD" w:themeFill="accent3" w:themeFillTint="33"/>
        </w:rPr>
        <w:t>light green</w:t>
      </w:r>
      <w:r w:rsidRPr="009D0174">
        <w:rPr>
          <w:rFonts w:asciiTheme="minorHAnsi" w:hAnsiTheme="minorHAnsi" w:cstheme="minorHAnsi"/>
          <w:noProof/>
          <w:sz w:val="20"/>
          <w:szCs w:val="20"/>
        </w:rPr>
        <w:t xml:space="preserve">, white (neutral), </w:t>
      </w:r>
      <w:r w:rsidRPr="009D0174">
        <w:rPr>
          <w:rFonts w:asciiTheme="minorHAnsi" w:hAnsiTheme="minorHAnsi" w:cstheme="minorHAnsi"/>
          <w:noProof/>
          <w:sz w:val="20"/>
          <w:szCs w:val="20"/>
          <w:shd w:val="clear" w:color="auto" w:fill="F2DBDB" w:themeFill="accent2" w:themeFillTint="33"/>
        </w:rPr>
        <w:t>light</w:t>
      </w:r>
      <w:r w:rsidRPr="009D0174">
        <w:rPr>
          <w:rFonts w:asciiTheme="minorHAnsi" w:hAnsiTheme="minorHAnsi" w:cstheme="minorHAnsi"/>
          <w:noProof/>
          <w:sz w:val="20"/>
          <w:szCs w:val="20"/>
        </w:rPr>
        <w:t>/</w:t>
      </w:r>
      <w:r w:rsidRPr="009D0174">
        <w:rPr>
          <w:rFonts w:asciiTheme="minorHAnsi" w:hAnsiTheme="minorHAnsi" w:cstheme="minorHAnsi"/>
          <w:noProof/>
          <w:sz w:val="20"/>
          <w:szCs w:val="20"/>
          <w:shd w:val="clear" w:color="auto" w:fill="D99594" w:themeFill="accent2" w:themeFillTint="99"/>
        </w:rPr>
        <w:t>medium</w:t>
      </w:r>
      <w:r w:rsidRPr="009D0174">
        <w:rPr>
          <w:rFonts w:asciiTheme="minorHAnsi" w:hAnsiTheme="minorHAnsi" w:cstheme="minorHAnsi"/>
          <w:noProof/>
          <w:sz w:val="20"/>
          <w:szCs w:val="20"/>
        </w:rPr>
        <w:t>/</w:t>
      </w:r>
      <w:r w:rsidR="00563D42" w:rsidRPr="009D0174">
        <w:rPr>
          <w:rFonts w:asciiTheme="minorHAnsi" w:hAnsiTheme="minorHAnsi" w:cstheme="minorHAnsi"/>
          <w:noProof/>
          <w:sz w:val="20"/>
          <w:szCs w:val="20"/>
          <w:shd w:val="clear" w:color="auto" w:fill="FF0000"/>
        </w:rPr>
        <w:t>dark red</w:t>
      </w:r>
      <w:bookmarkStart w:id="331" w:name="_Toc71559431"/>
      <w:bookmarkStart w:id="332" w:name="_Toc71707060"/>
      <w:bookmarkStart w:id="333" w:name="_Toc71708246"/>
      <w:bookmarkStart w:id="334" w:name="_Toc71710978"/>
      <w:bookmarkStart w:id="335" w:name="_Toc72399387"/>
      <w:bookmarkStart w:id="336" w:name="_Toc88571936"/>
    </w:p>
    <w:p w14:paraId="6A56B27A" w14:textId="1C090947" w:rsidR="00830261" w:rsidRPr="00FC200F" w:rsidRDefault="00830261" w:rsidP="00663B70">
      <w:pPr>
        <w:rPr>
          <w:rFonts w:asciiTheme="minorHAnsi" w:hAnsiTheme="minorHAnsi" w:cstheme="minorHAnsi"/>
          <w:noProof/>
        </w:rPr>
      </w:pPr>
      <w:bookmarkStart w:id="337" w:name="_Ref96950529"/>
      <w:bookmarkStart w:id="338" w:name="_Toc94629529"/>
      <w:r w:rsidRPr="00FC200F">
        <w:rPr>
          <w:rFonts w:asciiTheme="minorHAnsi" w:hAnsiTheme="minorHAnsi" w:cstheme="minorHAnsi"/>
          <w:b/>
          <w:noProof/>
        </w:rPr>
        <w:t xml:space="preserve">Table </w:t>
      </w:r>
      <w:r w:rsidRPr="00FC200F">
        <w:rPr>
          <w:rFonts w:asciiTheme="minorHAnsi" w:hAnsiTheme="minorHAnsi" w:cstheme="minorHAnsi"/>
          <w:b/>
          <w:noProof/>
        </w:rPr>
        <w:fldChar w:fldCharType="begin"/>
      </w:r>
      <w:r w:rsidRPr="00FC200F">
        <w:rPr>
          <w:rFonts w:asciiTheme="minorHAnsi" w:hAnsiTheme="minorHAnsi" w:cstheme="minorHAnsi"/>
          <w:b/>
          <w:noProof/>
        </w:rPr>
        <w:instrText xml:space="preserve"> SEQ Table \* ARABIC </w:instrText>
      </w:r>
      <w:r w:rsidRPr="00FC200F">
        <w:rPr>
          <w:rFonts w:asciiTheme="minorHAnsi" w:hAnsiTheme="minorHAnsi" w:cstheme="minorHAnsi"/>
          <w:b/>
          <w:noProof/>
        </w:rPr>
        <w:fldChar w:fldCharType="separate"/>
      </w:r>
      <w:r w:rsidRPr="00FC200F">
        <w:rPr>
          <w:rFonts w:asciiTheme="minorHAnsi" w:hAnsiTheme="minorHAnsi" w:cstheme="minorHAnsi"/>
          <w:b/>
          <w:noProof/>
        </w:rPr>
        <w:t>11</w:t>
      </w:r>
      <w:r w:rsidRPr="00FC200F">
        <w:rPr>
          <w:rFonts w:asciiTheme="minorHAnsi" w:hAnsiTheme="minorHAnsi" w:cstheme="minorHAnsi"/>
          <w:b/>
          <w:noProof/>
        </w:rPr>
        <w:fldChar w:fldCharType="end"/>
      </w:r>
      <w:bookmarkEnd w:id="337"/>
      <w:r w:rsidRPr="00FC200F">
        <w:rPr>
          <w:rFonts w:asciiTheme="minorHAnsi" w:hAnsiTheme="minorHAnsi" w:cstheme="minorHAnsi"/>
          <w:b/>
          <w:noProof/>
        </w:rPr>
        <w:t>.</w:t>
      </w:r>
      <w:r w:rsidRPr="00FC200F">
        <w:rPr>
          <w:rFonts w:asciiTheme="minorHAnsi" w:hAnsiTheme="minorHAnsi" w:cstheme="minorHAnsi"/>
          <w:noProof/>
        </w:rPr>
        <w:t xml:space="preserve"> Detailed information of the </w:t>
      </w:r>
      <w:r>
        <w:rPr>
          <w:rFonts w:asciiTheme="minorHAnsi" w:hAnsiTheme="minorHAnsi" w:cstheme="minorHAnsi"/>
          <w:noProof/>
        </w:rPr>
        <w:t xml:space="preserve">total </w:t>
      </w:r>
      <w:r w:rsidRPr="00FC200F">
        <w:rPr>
          <w:rFonts w:asciiTheme="minorHAnsi" w:hAnsiTheme="minorHAnsi" w:cstheme="minorHAnsi"/>
          <w:noProof/>
        </w:rPr>
        <w:t xml:space="preserve">administrative costs expected for the undertakings </w:t>
      </w:r>
      <w:r>
        <w:rPr>
          <w:rFonts w:asciiTheme="minorHAnsi" w:hAnsiTheme="minorHAnsi" w:cstheme="minorHAnsi"/>
          <w:noProof/>
        </w:rPr>
        <w:t xml:space="preserve">for each of the individual measures retained </w:t>
      </w:r>
      <w:r w:rsidRPr="00FC200F">
        <w:rPr>
          <w:rFonts w:asciiTheme="minorHAnsi" w:hAnsiTheme="minorHAnsi" w:cstheme="minorHAnsi"/>
          <w:noProof/>
        </w:rPr>
        <w:t>under the preferred option.</w:t>
      </w:r>
    </w:p>
    <w:tbl>
      <w:tblPr>
        <w:tblW w:w="0" w:type="auto"/>
        <w:tblLook w:val="04A0" w:firstRow="1" w:lastRow="0" w:firstColumn="1" w:lastColumn="0" w:noHBand="0" w:noVBand="1"/>
      </w:tblPr>
      <w:tblGrid>
        <w:gridCol w:w="6589"/>
        <w:gridCol w:w="1376"/>
        <w:gridCol w:w="1277"/>
      </w:tblGrid>
      <w:tr w:rsidR="00830261" w:rsidRPr="00830261" w14:paraId="2ED9881D" w14:textId="77777777" w:rsidTr="00830261">
        <w:trPr>
          <w:trHeight w:val="20"/>
          <w:tblHeader/>
        </w:trPr>
        <w:tc>
          <w:tcPr>
            <w:tcW w:w="0" w:type="auto"/>
            <w:shd w:val="clear" w:color="auto" w:fill="525252"/>
          </w:tcPr>
          <w:p w14:paraId="199BE780" w14:textId="77777777" w:rsidR="00830261" w:rsidRPr="00830261" w:rsidRDefault="00830261" w:rsidP="00830261">
            <w:pPr>
              <w:spacing w:after="0" w:line="259" w:lineRule="auto"/>
              <w:jc w:val="left"/>
              <w:rPr>
                <w:rFonts w:ascii="Calibri" w:eastAsia="Calibri" w:hAnsi="Calibri" w:cs="Calibri"/>
                <w:bCs/>
                <w:noProof/>
                <w:sz w:val="20"/>
                <w:szCs w:val="20"/>
                <w:lang w:val="en-US"/>
              </w:rPr>
            </w:pPr>
            <w:r w:rsidRPr="00830261">
              <w:rPr>
                <w:rFonts w:ascii="Calibri" w:eastAsia="Calibri" w:hAnsi="Calibri" w:cs="Calibri"/>
                <w:noProof/>
                <w:sz w:val="20"/>
                <w:szCs w:val="20"/>
                <w:lang w:val="en-US"/>
              </w:rPr>
              <w:t>Policy Measure</w:t>
            </w:r>
          </w:p>
        </w:tc>
        <w:tc>
          <w:tcPr>
            <w:tcW w:w="0" w:type="auto"/>
            <w:shd w:val="clear" w:color="auto" w:fill="525252"/>
          </w:tcPr>
          <w:p w14:paraId="0D0CE242" w14:textId="77777777" w:rsidR="00830261" w:rsidRPr="00830261" w:rsidRDefault="00830261" w:rsidP="00830261">
            <w:pPr>
              <w:spacing w:after="0" w:line="259" w:lineRule="auto"/>
              <w:jc w:val="left"/>
              <w:rPr>
                <w:rFonts w:ascii="Calibri" w:eastAsia="Calibri" w:hAnsi="Calibri" w:cs="Calibri"/>
                <w:bCs/>
                <w:noProof/>
                <w:sz w:val="20"/>
                <w:szCs w:val="20"/>
                <w:lang w:val="en-US"/>
              </w:rPr>
            </w:pPr>
            <w:r w:rsidRPr="00830261">
              <w:rPr>
                <w:rFonts w:ascii="Calibri" w:eastAsia="Calibri" w:hAnsi="Calibri" w:cs="Calibri"/>
                <w:noProof/>
                <w:sz w:val="20"/>
                <w:szCs w:val="20"/>
                <w:lang w:val="en-US"/>
              </w:rPr>
              <w:t>Annual Cost (million €)</w:t>
            </w:r>
          </w:p>
        </w:tc>
        <w:tc>
          <w:tcPr>
            <w:tcW w:w="0" w:type="auto"/>
            <w:shd w:val="clear" w:color="auto" w:fill="525252"/>
          </w:tcPr>
          <w:p w14:paraId="4250BFC4" w14:textId="77777777" w:rsidR="00830261" w:rsidRPr="00830261" w:rsidRDefault="00830261" w:rsidP="00830261">
            <w:pPr>
              <w:spacing w:after="0" w:line="259" w:lineRule="auto"/>
              <w:jc w:val="left"/>
              <w:rPr>
                <w:rFonts w:ascii="Calibri" w:eastAsia="Calibri" w:hAnsi="Calibri" w:cs="Calibri"/>
                <w:bCs/>
                <w:noProof/>
                <w:sz w:val="20"/>
                <w:szCs w:val="20"/>
                <w:lang w:val="en-US"/>
              </w:rPr>
            </w:pPr>
            <w:r w:rsidRPr="00830261">
              <w:rPr>
                <w:rFonts w:ascii="Calibri" w:eastAsia="Calibri" w:hAnsi="Calibri" w:cs="Calibri"/>
                <w:noProof/>
                <w:sz w:val="20"/>
                <w:szCs w:val="20"/>
                <w:lang w:val="en-US"/>
              </w:rPr>
              <w:t>One-Off Cost (million €)</w:t>
            </w:r>
          </w:p>
        </w:tc>
      </w:tr>
      <w:tr w:rsidR="00D04F59" w:rsidRPr="00830261" w14:paraId="548247DB" w14:textId="77777777" w:rsidTr="00322072">
        <w:trPr>
          <w:trHeight w:val="20"/>
        </w:trPr>
        <w:tc>
          <w:tcPr>
            <w:tcW w:w="0" w:type="auto"/>
            <w:shd w:val="clear" w:color="auto" w:fill="D9D9D9" w:themeFill="background1" w:themeFillShade="D9"/>
          </w:tcPr>
          <w:p w14:paraId="5E619472" w14:textId="5C8F97C2" w:rsidR="00D04F59" w:rsidRPr="00322072" w:rsidRDefault="00D04F59" w:rsidP="00830261">
            <w:pPr>
              <w:spacing w:after="40" w:line="240" w:lineRule="auto"/>
              <w:jc w:val="left"/>
              <w:rPr>
                <w:rFonts w:ascii="Calibri" w:eastAsia="Calibri" w:hAnsi="Calibri" w:cs="Calibri"/>
                <w:i/>
                <w:noProof/>
                <w:sz w:val="20"/>
                <w:szCs w:val="20"/>
                <w:lang w:val="en-US"/>
              </w:rPr>
            </w:pPr>
            <w:r w:rsidRPr="00322072">
              <w:rPr>
                <w:rFonts w:ascii="Calibri" w:eastAsia="Calibri" w:hAnsi="Calibri" w:cs="Calibri"/>
                <w:i/>
                <w:noProof/>
                <w:sz w:val="20"/>
                <w:szCs w:val="20"/>
                <w:lang w:val="en-US"/>
              </w:rPr>
              <w:t>Objective A</w:t>
            </w:r>
          </w:p>
        </w:tc>
        <w:tc>
          <w:tcPr>
            <w:tcW w:w="0" w:type="auto"/>
            <w:shd w:val="clear" w:color="auto" w:fill="D9D9D9" w:themeFill="background1" w:themeFillShade="D9"/>
          </w:tcPr>
          <w:p w14:paraId="6088C3BC" w14:textId="77777777" w:rsidR="00D04F59" w:rsidRPr="00830261" w:rsidRDefault="00D04F59" w:rsidP="00830261">
            <w:pPr>
              <w:spacing w:after="40" w:line="240" w:lineRule="auto"/>
              <w:jc w:val="left"/>
              <w:rPr>
                <w:rFonts w:ascii="Calibri" w:eastAsia="Calibri" w:hAnsi="Calibri" w:cs="Calibri"/>
                <w:noProof/>
                <w:sz w:val="20"/>
                <w:szCs w:val="20"/>
                <w:lang w:val="en-US"/>
              </w:rPr>
            </w:pPr>
          </w:p>
        </w:tc>
        <w:tc>
          <w:tcPr>
            <w:tcW w:w="0" w:type="auto"/>
            <w:shd w:val="clear" w:color="auto" w:fill="D9D9D9" w:themeFill="background1" w:themeFillShade="D9"/>
          </w:tcPr>
          <w:p w14:paraId="79C9F9D5" w14:textId="77777777" w:rsidR="00D04F59" w:rsidRPr="00830261" w:rsidRDefault="00D04F59" w:rsidP="00830261">
            <w:pPr>
              <w:spacing w:after="40" w:line="240" w:lineRule="auto"/>
              <w:jc w:val="left"/>
              <w:rPr>
                <w:rFonts w:ascii="Calibri" w:eastAsia="Calibri" w:hAnsi="Calibri" w:cs="Calibri"/>
                <w:noProof/>
                <w:sz w:val="20"/>
                <w:szCs w:val="20"/>
                <w:lang w:val="en-US"/>
              </w:rPr>
            </w:pPr>
          </w:p>
        </w:tc>
      </w:tr>
      <w:tr w:rsidR="00830261" w:rsidRPr="00830261" w14:paraId="19855887" w14:textId="77777777" w:rsidTr="00830261">
        <w:trPr>
          <w:trHeight w:val="20"/>
        </w:trPr>
        <w:tc>
          <w:tcPr>
            <w:tcW w:w="0" w:type="auto"/>
          </w:tcPr>
          <w:p w14:paraId="6A478611" w14:textId="77777777"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lang w:val="en-US"/>
              </w:rPr>
              <w:t>Apply requirements for prevention of emissions of fluorinated gases to some substances listed in Annex II and some new substances</w:t>
            </w:r>
          </w:p>
        </w:tc>
        <w:tc>
          <w:tcPr>
            <w:tcW w:w="0" w:type="auto"/>
          </w:tcPr>
          <w:p w14:paraId="54EF2998" w14:textId="77777777"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lang w:val="en-US"/>
              </w:rPr>
              <w:t>-</w:t>
            </w:r>
          </w:p>
        </w:tc>
        <w:tc>
          <w:tcPr>
            <w:tcW w:w="0" w:type="auto"/>
          </w:tcPr>
          <w:p w14:paraId="761B89E0" w14:textId="77777777"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lang w:val="en-US"/>
              </w:rPr>
              <w:t xml:space="preserve">3 </w:t>
            </w:r>
          </w:p>
        </w:tc>
      </w:tr>
      <w:tr w:rsidR="00830261" w:rsidRPr="00830261" w14:paraId="4827B953" w14:textId="77777777" w:rsidTr="00830261">
        <w:trPr>
          <w:trHeight w:val="20"/>
        </w:trPr>
        <w:tc>
          <w:tcPr>
            <w:tcW w:w="0" w:type="auto"/>
          </w:tcPr>
          <w:p w14:paraId="2BA1FA27" w14:textId="77777777"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lang w:val="en-US"/>
              </w:rPr>
              <w:t>Apply requirements for prevention of emissions of F-gases to manufacturing, transport, transfer and storage of bulk gases also to non-producers  </w:t>
            </w:r>
          </w:p>
        </w:tc>
        <w:tc>
          <w:tcPr>
            <w:tcW w:w="0" w:type="auto"/>
            <w:shd w:val="clear" w:color="auto" w:fill="auto"/>
          </w:tcPr>
          <w:p w14:paraId="00066C1C" w14:textId="77777777"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lang w:val="en-US"/>
              </w:rPr>
              <w:t>4.4</w:t>
            </w:r>
          </w:p>
        </w:tc>
        <w:tc>
          <w:tcPr>
            <w:tcW w:w="0" w:type="auto"/>
          </w:tcPr>
          <w:p w14:paraId="116E1BA8" w14:textId="77777777"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lang w:val="en-US"/>
              </w:rPr>
              <w:t>-</w:t>
            </w:r>
          </w:p>
        </w:tc>
      </w:tr>
      <w:tr w:rsidR="00D04F59" w:rsidRPr="00830261" w14:paraId="68322950" w14:textId="77777777" w:rsidTr="00322072">
        <w:trPr>
          <w:trHeight w:val="20"/>
        </w:trPr>
        <w:tc>
          <w:tcPr>
            <w:tcW w:w="0" w:type="auto"/>
            <w:shd w:val="clear" w:color="auto" w:fill="D9D9D9" w:themeFill="background1" w:themeFillShade="D9"/>
          </w:tcPr>
          <w:p w14:paraId="66480D18" w14:textId="2F9724CD" w:rsidR="00D04F59" w:rsidRPr="00322072" w:rsidRDefault="00D04F59" w:rsidP="00830261">
            <w:pPr>
              <w:spacing w:after="40" w:line="240" w:lineRule="auto"/>
              <w:jc w:val="left"/>
              <w:rPr>
                <w:rFonts w:ascii="Calibri" w:eastAsia="Calibri" w:hAnsi="Calibri" w:cs="Calibri"/>
                <w:i/>
                <w:noProof/>
                <w:sz w:val="20"/>
                <w:szCs w:val="20"/>
                <w:lang w:val="en-US"/>
              </w:rPr>
            </w:pPr>
            <w:r w:rsidRPr="00322072">
              <w:rPr>
                <w:rFonts w:ascii="Calibri" w:eastAsia="Calibri" w:hAnsi="Calibri" w:cs="Calibri"/>
                <w:i/>
                <w:noProof/>
                <w:sz w:val="20"/>
                <w:szCs w:val="20"/>
                <w:lang w:val="en-US"/>
              </w:rPr>
              <w:t>Objective B</w:t>
            </w:r>
          </w:p>
        </w:tc>
        <w:tc>
          <w:tcPr>
            <w:tcW w:w="0" w:type="auto"/>
            <w:shd w:val="clear" w:color="auto" w:fill="D9D9D9" w:themeFill="background1" w:themeFillShade="D9"/>
          </w:tcPr>
          <w:p w14:paraId="752B4854" w14:textId="77777777" w:rsidR="00D04F59" w:rsidRPr="00830261" w:rsidRDefault="00D04F59" w:rsidP="00830261">
            <w:pPr>
              <w:spacing w:after="40" w:line="240" w:lineRule="auto"/>
              <w:jc w:val="left"/>
              <w:rPr>
                <w:rFonts w:ascii="Calibri" w:eastAsia="Calibri" w:hAnsi="Calibri" w:cs="Calibri"/>
                <w:noProof/>
                <w:sz w:val="20"/>
                <w:szCs w:val="20"/>
                <w:lang w:val="en-US"/>
              </w:rPr>
            </w:pPr>
          </w:p>
        </w:tc>
        <w:tc>
          <w:tcPr>
            <w:tcW w:w="0" w:type="auto"/>
            <w:shd w:val="clear" w:color="auto" w:fill="D9D9D9" w:themeFill="background1" w:themeFillShade="D9"/>
          </w:tcPr>
          <w:p w14:paraId="1882ACF6" w14:textId="77777777" w:rsidR="00D04F59" w:rsidRPr="00830261" w:rsidRDefault="00D04F59" w:rsidP="00830261">
            <w:pPr>
              <w:spacing w:after="40" w:line="240" w:lineRule="auto"/>
              <w:jc w:val="left"/>
              <w:rPr>
                <w:rFonts w:ascii="Calibri" w:eastAsia="Calibri" w:hAnsi="Calibri" w:cs="Calibri"/>
                <w:noProof/>
                <w:sz w:val="20"/>
                <w:szCs w:val="20"/>
                <w:lang w:val="en-US"/>
              </w:rPr>
            </w:pPr>
          </w:p>
        </w:tc>
      </w:tr>
      <w:tr w:rsidR="00830261" w:rsidRPr="00830261" w14:paraId="236899A7" w14:textId="77777777" w:rsidTr="00830261">
        <w:trPr>
          <w:trHeight w:val="20"/>
        </w:trPr>
        <w:tc>
          <w:tcPr>
            <w:tcW w:w="0" w:type="auto"/>
          </w:tcPr>
          <w:p w14:paraId="36FD7C9D" w14:textId="76A6509B"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lang w:val="en-US"/>
              </w:rPr>
              <w:t>Remove the limit for reporting on production, import, export and destruction of Annex I and II gases (HFCs only)</w:t>
            </w:r>
            <w:r w:rsidR="00375B46">
              <w:rPr>
                <w:rFonts w:ascii="Calibri" w:eastAsia="Calibri" w:hAnsi="Calibri" w:cs="Calibri"/>
                <w:noProof/>
                <w:sz w:val="20"/>
                <w:szCs w:val="20"/>
                <w:lang w:val="en-US"/>
              </w:rPr>
              <w:t xml:space="preserve"> *</w:t>
            </w:r>
          </w:p>
        </w:tc>
        <w:tc>
          <w:tcPr>
            <w:tcW w:w="0" w:type="auto"/>
            <w:shd w:val="clear" w:color="auto" w:fill="auto"/>
          </w:tcPr>
          <w:p w14:paraId="35A26409" w14:textId="77777777"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lang w:val="en-US"/>
              </w:rPr>
              <w:t>0.02</w:t>
            </w:r>
          </w:p>
        </w:tc>
        <w:tc>
          <w:tcPr>
            <w:tcW w:w="0" w:type="auto"/>
          </w:tcPr>
          <w:p w14:paraId="31E46E4F" w14:textId="77777777"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lang w:val="en-US"/>
              </w:rPr>
              <w:t>-</w:t>
            </w:r>
          </w:p>
        </w:tc>
      </w:tr>
      <w:tr w:rsidR="00D04F59" w:rsidRPr="00830261" w14:paraId="0C942AD0" w14:textId="77777777" w:rsidTr="00322072">
        <w:trPr>
          <w:trHeight w:val="20"/>
        </w:trPr>
        <w:tc>
          <w:tcPr>
            <w:tcW w:w="0" w:type="auto"/>
            <w:shd w:val="clear" w:color="auto" w:fill="D9D9D9" w:themeFill="background1" w:themeFillShade="D9"/>
          </w:tcPr>
          <w:p w14:paraId="4896A90F" w14:textId="7E00AC37" w:rsidR="00D04F59" w:rsidRPr="00322072" w:rsidRDefault="00D04F59" w:rsidP="00830261">
            <w:pPr>
              <w:spacing w:after="40" w:line="240" w:lineRule="auto"/>
              <w:jc w:val="left"/>
              <w:rPr>
                <w:rFonts w:ascii="Calibri" w:eastAsia="Calibri" w:hAnsi="Calibri" w:cs="Calibri"/>
                <w:i/>
                <w:noProof/>
                <w:sz w:val="20"/>
                <w:szCs w:val="20"/>
                <w:lang w:val="en-US"/>
              </w:rPr>
            </w:pPr>
            <w:r w:rsidRPr="00322072">
              <w:rPr>
                <w:rFonts w:ascii="Calibri" w:eastAsia="Calibri" w:hAnsi="Calibri" w:cs="Calibri"/>
                <w:i/>
                <w:noProof/>
                <w:sz w:val="20"/>
                <w:szCs w:val="20"/>
                <w:lang w:val="en-US"/>
              </w:rPr>
              <w:t>Objective C</w:t>
            </w:r>
          </w:p>
        </w:tc>
        <w:tc>
          <w:tcPr>
            <w:tcW w:w="0" w:type="auto"/>
            <w:shd w:val="clear" w:color="auto" w:fill="D9D9D9" w:themeFill="background1" w:themeFillShade="D9"/>
          </w:tcPr>
          <w:p w14:paraId="56E06DF4" w14:textId="77777777" w:rsidR="00D04F59" w:rsidRPr="00830261" w:rsidRDefault="00D04F59" w:rsidP="00830261">
            <w:pPr>
              <w:spacing w:after="40" w:line="240" w:lineRule="auto"/>
              <w:jc w:val="left"/>
              <w:rPr>
                <w:rFonts w:ascii="Calibri" w:eastAsia="Calibri" w:hAnsi="Calibri" w:cs="Calibri"/>
                <w:noProof/>
                <w:sz w:val="20"/>
                <w:szCs w:val="20"/>
                <w:lang w:val="en-US"/>
              </w:rPr>
            </w:pPr>
          </w:p>
        </w:tc>
        <w:tc>
          <w:tcPr>
            <w:tcW w:w="0" w:type="auto"/>
            <w:shd w:val="clear" w:color="auto" w:fill="D9D9D9" w:themeFill="background1" w:themeFillShade="D9"/>
          </w:tcPr>
          <w:p w14:paraId="7AE70ABF" w14:textId="77777777" w:rsidR="00D04F59" w:rsidRPr="00830261" w:rsidRDefault="00D04F59" w:rsidP="00830261">
            <w:pPr>
              <w:spacing w:after="40" w:line="240" w:lineRule="auto"/>
              <w:jc w:val="left"/>
              <w:rPr>
                <w:rFonts w:ascii="Calibri" w:eastAsia="Calibri" w:hAnsi="Calibri" w:cs="Calibri"/>
                <w:noProof/>
                <w:sz w:val="20"/>
                <w:szCs w:val="20"/>
                <w:lang w:val="en-US"/>
              </w:rPr>
            </w:pPr>
          </w:p>
        </w:tc>
      </w:tr>
      <w:tr w:rsidR="00830261" w:rsidRPr="00830261" w14:paraId="0555CEF9" w14:textId="77777777" w:rsidTr="00830261">
        <w:trPr>
          <w:trHeight w:val="20"/>
        </w:trPr>
        <w:tc>
          <w:tcPr>
            <w:tcW w:w="0" w:type="auto"/>
          </w:tcPr>
          <w:p w14:paraId="04E8F0C0" w14:textId="77777777"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lang w:val="en-US"/>
              </w:rPr>
              <w:t>F-gas certification programmes also to include HCFOs and F-gas free alternatives and practical training on all alternatives and add energy efficiency issues to be part of training (stationary RACHP)</w:t>
            </w:r>
          </w:p>
        </w:tc>
        <w:tc>
          <w:tcPr>
            <w:tcW w:w="0" w:type="auto"/>
          </w:tcPr>
          <w:p w14:paraId="7768A15B" w14:textId="77777777"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lang w:val="en-US"/>
              </w:rPr>
              <w:t>5.8</w:t>
            </w:r>
          </w:p>
        </w:tc>
        <w:tc>
          <w:tcPr>
            <w:tcW w:w="0" w:type="auto"/>
          </w:tcPr>
          <w:p w14:paraId="04031553" w14:textId="77777777" w:rsidR="00830261" w:rsidRPr="00830261" w:rsidRDefault="00830261" w:rsidP="00830261">
            <w:pPr>
              <w:spacing w:after="40" w:line="240" w:lineRule="auto"/>
              <w:jc w:val="left"/>
              <w:rPr>
                <w:rFonts w:ascii="Calibri" w:eastAsia="Calibri" w:hAnsi="Calibri" w:cs="Calibri"/>
                <w:noProof/>
                <w:sz w:val="20"/>
                <w:szCs w:val="20"/>
                <w:lang w:val="en-US"/>
              </w:rPr>
            </w:pPr>
          </w:p>
        </w:tc>
      </w:tr>
      <w:tr w:rsidR="00830261" w:rsidRPr="00830261" w14:paraId="0CCAB610" w14:textId="77777777" w:rsidTr="00830261">
        <w:trPr>
          <w:trHeight w:val="20"/>
        </w:trPr>
        <w:tc>
          <w:tcPr>
            <w:tcW w:w="0" w:type="auto"/>
          </w:tcPr>
          <w:p w14:paraId="47F1D450" w14:textId="308B7BB5"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lang w:val="en-US"/>
              </w:rPr>
              <w:t>General prohibition of entry into EU territory of non-refillable F-gas containers and other illegal goods under the Regulation and extend the scope to unsaturated HFCs</w:t>
            </w:r>
            <w:r w:rsidR="00375B46">
              <w:rPr>
                <w:rFonts w:ascii="Calibri" w:eastAsia="Calibri" w:hAnsi="Calibri" w:cs="Calibri"/>
                <w:noProof/>
                <w:sz w:val="20"/>
                <w:szCs w:val="20"/>
                <w:lang w:val="en-US"/>
              </w:rPr>
              <w:t xml:space="preserve"> *</w:t>
            </w:r>
          </w:p>
        </w:tc>
        <w:tc>
          <w:tcPr>
            <w:tcW w:w="0" w:type="auto"/>
          </w:tcPr>
          <w:p w14:paraId="236AE133" w14:textId="77777777"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lang w:val="en-US"/>
              </w:rPr>
              <w:t>0.05</w:t>
            </w:r>
          </w:p>
        </w:tc>
        <w:tc>
          <w:tcPr>
            <w:tcW w:w="0" w:type="auto"/>
          </w:tcPr>
          <w:p w14:paraId="564E16BA" w14:textId="77777777"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lang w:val="en-US"/>
              </w:rPr>
              <w:t>-</w:t>
            </w:r>
          </w:p>
        </w:tc>
      </w:tr>
      <w:tr w:rsidR="00830261" w:rsidRPr="00830261" w14:paraId="23F025C8" w14:textId="77777777" w:rsidTr="00830261">
        <w:trPr>
          <w:trHeight w:val="20"/>
        </w:trPr>
        <w:tc>
          <w:tcPr>
            <w:tcW w:w="0" w:type="auto"/>
          </w:tcPr>
          <w:p w14:paraId="57B74B25" w14:textId="59FFD257"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lang w:val="en-US"/>
              </w:rPr>
              <w:t>Add requirement for producers and importers to be registered and hold sufficient quota at the time of release for free circulation/placing on the market / physical entry into territory</w:t>
            </w:r>
            <w:r w:rsidR="00375B46">
              <w:rPr>
                <w:rFonts w:ascii="Calibri" w:eastAsia="Calibri" w:hAnsi="Calibri" w:cs="Calibri"/>
                <w:noProof/>
                <w:sz w:val="20"/>
                <w:szCs w:val="20"/>
                <w:lang w:val="en-US"/>
              </w:rPr>
              <w:t xml:space="preserve"> *</w:t>
            </w:r>
          </w:p>
        </w:tc>
        <w:tc>
          <w:tcPr>
            <w:tcW w:w="0" w:type="auto"/>
          </w:tcPr>
          <w:p w14:paraId="2DCAA149" w14:textId="77777777"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lang w:val="en-US"/>
              </w:rPr>
              <w:t>0.39</w:t>
            </w:r>
          </w:p>
        </w:tc>
        <w:tc>
          <w:tcPr>
            <w:tcW w:w="0" w:type="auto"/>
          </w:tcPr>
          <w:p w14:paraId="519A3500" w14:textId="77777777"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lang w:val="en-US"/>
              </w:rPr>
              <w:t>-</w:t>
            </w:r>
          </w:p>
        </w:tc>
      </w:tr>
      <w:tr w:rsidR="00830261" w:rsidRPr="00830261" w14:paraId="48418D40" w14:textId="77777777" w:rsidTr="00830261">
        <w:trPr>
          <w:trHeight w:val="20"/>
        </w:trPr>
        <w:tc>
          <w:tcPr>
            <w:tcW w:w="0" w:type="auto"/>
          </w:tcPr>
          <w:p w14:paraId="4EE628E5" w14:textId="272505A5"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lang w:val="en-US"/>
              </w:rPr>
              <w:t>Add obligation for importers to have quota-exempted quantities labelled during POM/physical entry into territory and that gases must be explicitly labelled as “exempted from quota”</w:t>
            </w:r>
            <w:r w:rsidR="00375B46">
              <w:rPr>
                <w:rFonts w:ascii="Calibri" w:eastAsia="Calibri" w:hAnsi="Calibri" w:cs="Calibri"/>
                <w:noProof/>
                <w:sz w:val="20"/>
                <w:szCs w:val="20"/>
                <w:lang w:val="en-US"/>
              </w:rPr>
              <w:t xml:space="preserve"> *</w:t>
            </w:r>
          </w:p>
        </w:tc>
        <w:tc>
          <w:tcPr>
            <w:tcW w:w="0" w:type="auto"/>
          </w:tcPr>
          <w:p w14:paraId="6EBBBEB7" w14:textId="77777777"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lang w:val="en-US"/>
              </w:rPr>
              <w:t>0.02</w:t>
            </w:r>
          </w:p>
        </w:tc>
        <w:tc>
          <w:tcPr>
            <w:tcW w:w="0" w:type="auto"/>
          </w:tcPr>
          <w:p w14:paraId="33907768" w14:textId="77777777"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lang w:val="en-US"/>
              </w:rPr>
              <w:t>-</w:t>
            </w:r>
          </w:p>
        </w:tc>
      </w:tr>
      <w:tr w:rsidR="00830261" w:rsidRPr="00830261" w14:paraId="6EACCADC" w14:textId="77777777" w:rsidTr="00830261">
        <w:trPr>
          <w:trHeight w:val="20"/>
        </w:trPr>
        <w:tc>
          <w:tcPr>
            <w:tcW w:w="0" w:type="auto"/>
          </w:tcPr>
          <w:p w14:paraId="15D49A22" w14:textId="080CC4B2"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lang w:val="en-US"/>
              </w:rPr>
              <w:t>Strengthen the obligation on destruction of HFC-23 by-production</w:t>
            </w:r>
            <w:r w:rsidR="00375B46">
              <w:rPr>
                <w:rFonts w:ascii="Calibri" w:eastAsia="Calibri" w:hAnsi="Calibri" w:cs="Calibri"/>
                <w:noProof/>
                <w:sz w:val="20"/>
                <w:szCs w:val="20"/>
                <w:lang w:val="en-US"/>
              </w:rPr>
              <w:t xml:space="preserve"> *</w:t>
            </w:r>
          </w:p>
        </w:tc>
        <w:tc>
          <w:tcPr>
            <w:tcW w:w="0" w:type="auto"/>
          </w:tcPr>
          <w:p w14:paraId="1829C194" w14:textId="77777777"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lang w:val="en-US"/>
              </w:rPr>
              <w:t>0.1</w:t>
            </w:r>
          </w:p>
        </w:tc>
        <w:tc>
          <w:tcPr>
            <w:tcW w:w="0" w:type="auto"/>
          </w:tcPr>
          <w:p w14:paraId="14F3F939" w14:textId="77777777"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lang w:val="en-US"/>
              </w:rPr>
              <w:t>-</w:t>
            </w:r>
          </w:p>
        </w:tc>
      </w:tr>
      <w:tr w:rsidR="00830261" w:rsidRPr="00830261" w14:paraId="67E40D65" w14:textId="77777777" w:rsidTr="00830261">
        <w:trPr>
          <w:trHeight w:val="20"/>
        </w:trPr>
        <w:tc>
          <w:tcPr>
            <w:tcW w:w="0" w:type="auto"/>
          </w:tcPr>
          <w:p w14:paraId="75EF3AE0" w14:textId="77777777"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lang w:val="en-US"/>
              </w:rPr>
              <w:t>Align the establishment of the annual declaration-based quota allocation with the frequency of the quota allocation based on reference values</w:t>
            </w:r>
          </w:p>
        </w:tc>
        <w:tc>
          <w:tcPr>
            <w:tcW w:w="0" w:type="auto"/>
          </w:tcPr>
          <w:p w14:paraId="75B2A55F" w14:textId="77777777"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lang w:val="en-US"/>
              </w:rPr>
              <w:t>-1.2</w:t>
            </w:r>
          </w:p>
        </w:tc>
        <w:tc>
          <w:tcPr>
            <w:tcW w:w="0" w:type="auto"/>
          </w:tcPr>
          <w:p w14:paraId="617F3368" w14:textId="77777777"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lang w:val="en-US"/>
              </w:rPr>
              <w:t>-</w:t>
            </w:r>
          </w:p>
        </w:tc>
      </w:tr>
      <w:tr w:rsidR="00830261" w:rsidRPr="00830261" w14:paraId="140A5FAF" w14:textId="77777777" w:rsidTr="00830261">
        <w:trPr>
          <w:trHeight w:val="20"/>
        </w:trPr>
        <w:tc>
          <w:tcPr>
            <w:tcW w:w="0" w:type="auto"/>
          </w:tcPr>
          <w:p w14:paraId="32E2DC1F" w14:textId="1A73EB44"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lang w:val="en-US"/>
              </w:rPr>
              <w:t>Introduction of a registration fee and/or quota allocation price linked to CO2 equivalents</w:t>
            </w:r>
            <w:r w:rsidR="00375B46">
              <w:rPr>
                <w:rFonts w:ascii="Calibri" w:eastAsia="Calibri" w:hAnsi="Calibri" w:cs="Calibri"/>
                <w:noProof/>
                <w:sz w:val="20"/>
                <w:szCs w:val="20"/>
                <w:lang w:val="en-US"/>
              </w:rPr>
              <w:t xml:space="preserve"> *</w:t>
            </w:r>
          </w:p>
        </w:tc>
        <w:tc>
          <w:tcPr>
            <w:tcW w:w="0" w:type="auto"/>
          </w:tcPr>
          <w:p w14:paraId="4423517A" w14:textId="77777777"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lang w:val="en-US"/>
              </w:rPr>
              <w:t>0.5</w:t>
            </w:r>
          </w:p>
        </w:tc>
        <w:tc>
          <w:tcPr>
            <w:tcW w:w="0" w:type="auto"/>
          </w:tcPr>
          <w:p w14:paraId="19F98259" w14:textId="77777777" w:rsidR="00830261" w:rsidRPr="00830261" w:rsidRDefault="00830261" w:rsidP="00830261">
            <w:pPr>
              <w:spacing w:after="40" w:line="240" w:lineRule="auto"/>
              <w:jc w:val="left"/>
              <w:rPr>
                <w:rFonts w:ascii="Calibri" w:eastAsia="Calibri" w:hAnsi="Calibri" w:cs="Calibri"/>
                <w:noProof/>
                <w:sz w:val="20"/>
                <w:szCs w:val="20"/>
                <w:lang w:val="en-US"/>
              </w:rPr>
            </w:pPr>
          </w:p>
        </w:tc>
      </w:tr>
      <w:tr w:rsidR="00830261" w:rsidRPr="00830261" w14:paraId="0919C8D6" w14:textId="77777777" w:rsidTr="00830261">
        <w:trPr>
          <w:trHeight w:val="20"/>
        </w:trPr>
        <w:tc>
          <w:tcPr>
            <w:tcW w:w="0" w:type="auto"/>
          </w:tcPr>
          <w:p w14:paraId="6D057DC2" w14:textId="5600BD83"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lang w:val="en-US"/>
              </w:rPr>
              <w:t>Labelling requirements for H(C)FOs, NF3, SO</w:t>
            </w:r>
            <w:r w:rsidRPr="00830261">
              <w:rPr>
                <w:rFonts w:ascii="Calibri" w:eastAsia="Calibri" w:hAnsi="Calibri" w:cs="Calibri"/>
                <w:noProof/>
                <w:sz w:val="20"/>
                <w:szCs w:val="20"/>
                <w:vertAlign w:val="subscript"/>
                <w:lang w:val="en-US"/>
              </w:rPr>
              <w:t>2</w:t>
            </w:r>
            <w:r w:rsidRPr="00830261">
              <w:rPr>
                <w:rFonts w:ascii="Calibri" w:eastAsia="Calibri" w:hAnsi="Calibri" w:cs="Calibri"/>
                <w:noProof/>
                <w:sz w:val="20"/>
                <w:szCs w:val="20"/>
                <w:lang w:val="en-US"/>
              </w:rPr>
              <w:t>F</w:t>
            </w:r>
            <w:r w:rsidRPr="00830261">
              <w:rPr>
                <w:rFonts w:ascii="Calibri" w:eastAsia="Calibri" w:hAnsi="Calibri" w:cs="Calibri"/>
                <w:noProof/>
                <w:sz w:val="20"/>
                <w:szCs w:val="20"/>
                <w:vertAlign w:val="subscript"/>
                <w:lang w:val="en-US"/>
              </w:rPr>
              <w:t>2</w:t>
            </w:r>
            <w:r w:rsidRPr="00830261">
              <w:rPr>
                <w:rFonts w:ascii="Calibri" w:eastAsia="Calibri" w:hAnsi="Calibri" w:cs="Calibri"/>
                <w:noProof/>
                <w:sz w:val="20"/>
                <w:szCs w:val="20"/>
                <w:lang w:val="en-US"/>
              </w:rPr>
              <w:t>, anesthetics; as well as MDIs</w:t>
            </w:r>
            <w:r w:rsidR="00375B46">
              <w:rPr>
                <w:rFonts w:ascii="Calibri" w:eastAsia="Calibri" w:hAnsi="Calibri" w:cs="Calibri"/>
                <w:noProof/>
                <w:sz w:val="20"/>
                <w:szCs w:val="20"/>
                <w:lang w:val="en-US"/>
              </w:rPr>
              <w:t xml:space="preserve"> *</w:t>
            </w:r>
          </w:p>
        </w:tc>
        <w:tc>
          <w:tcPr>
            <w:tcW w:w="0" w:type="auto"/>
          </w:tcPr>
          <w:p w14:paraId="06B67CBB" w14:textId="77777777"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lang w:val="en-US"/>
              </w:rPr>
              <w:t>0.01</w:t>
            </w:r>
          </w:p>
        </w:tc>
        <w:tc>
          <w:tcPr>
            <w:tcW w:w="0" w:type="auto"/>
          </w:tcPr>
          <w:p w14:paraId="21DBD226" w14:textId="77777777" w:rsidR="00830261" w:rsidRPr="00830261" w:rsidRDefault="00830261" w:rsidP="00830261">
            <w:pPr>
              <w:spacing w:after="40" w:line="240" w:lineRule="auto"/>
              <w:jc w:val="left"/>
              <w:rPr>
                <w:rFonts w:ascii="Calibri" w:eastAsia="Calibri" w:hAnsi="Calibri" w:cs="Calibri"/>
                <w:noProof/>
                <w:sz w:val="20"/>
                <w:szCs w:val="20"/>
                <w:lang w:val="en-US"/>
              </w:rPr>
            </w:pPr>
          </w:p>
        </w:tc>
      </w:tr>
      <w:tr w:rsidR="00D04F59" w:rsidRPr="00830261" w14:paraId="7DF3F9DE" w14:textId="77777777" w:rsidTr="00322072">
        <w:trPr>
          <w:trHeight w:val="20"/>
        </w:trPr>
        <w:tc>
          <w:tcPr>
            <w:tcW w:w="0" w:type="auto"/>
            <w:shd w:val="clear" w:color="auto" w:fill="D9D9D9" w:themeFill="background1" w:themeFillShade="D9"/>
          </w:tcPr>
          <w:p w14:paraId="32BAC3BC" w14:textId="58292677" w:rsidR="00D04F59" w:rsidRPr="00322072" w:rsidRDefault="00D04F59" w:rsidP="00830261">
            <w:pPr>
              <w:spacing w:after="40" w:line="240" w:lineRule="auto"/>
              <w:jc w:val="left"/>
              <w:rPr>
                <w:rFonts w:ascii="Calibri" w:eastAsia="Calibri" w:hAnsi="Calibri" w:cs="Calibri"/>
                <w:i/>
                <w:noProof/>
                <w:sz w:val="20"/>
                <w:szCs w:val="20"/>
                <w:lang w:val="en-US"/>
              </w:rPr>
            </w:pPr>
            <w:r w:rsidRPr="00322072">
              <w:rPr>
                <w:rFonts w:ascii="Calibri" w:eastAsia="Calibri" w:hAnsi="Calibri" w:cs="Calibri"/>
                <w:i/>
                <w:noProof/>
                <w:sz w:val="20"/>
                <w:szCs w:val="20"/>
                <w:lang w:val="en-US"/>
              </w:rPr>
              <w:t>Objective D</w:t>
            </w:r>
          </w:p>
        </w:tc>
        <w:tc>
          <w:tcPr>
            <w:tcW w:w="0" w:type="auto"/>
            <w:shd w:val="clear" w:color="auto" w:fill="D9D9D9" w:themeFill="background1" w:themeFillShade="D9"/>
          </w:tcPr>
          <w:p w14:paraId="41F3E035" w14:textId="77777777" w:rsidR="00D04F59" w:rsidRPr="00830261" w:rsidRDefault="00D04F59" w:rsidP="00830261">
            <w:pPr>
              <w:spacing w:after="40" w:line="240" w:lineRule="auto"/>
              <w:jc w:val="left"/>
              <w:rPr>
                <w:rFonts w:ascii="Calibri" w:eastAsia="Calibri" w:hAnsi="Calibri" w:cs="Calibri"/>
                <w:noProof/>
                <w:sz w:val="20"/>
                <w:szCs w:val="20"/>
                <w:lang w:val="en-US"/>
              </w:rPr>
            </w:pPr>
          </w:p>
        </w:tc>
        <w:tc>
          <w:tcPr>
            <w:tcW w:w="0" w:type="auto"/>
            <w:shd w:val="clear" w:color="auto" w:fill="D9D9D9" w:themeFill="background1" w:themeFillShade="D9"/>
          </w:tcPr>
          <w:p w14:paraId="43ED3416" w14:textId="77777777" w:rsidR="00D04F59" w:rsidRPr="00830261" w:rsidRDefault="00D04F59" w:rsidP="00830261">
            <w:pPr>
              <w:spacing w:after="40" w:line="240" w:lineRule="auto"/>
              <w:jc w:val="left"/>
              <w:rPr>
                <w:rFonts w:ascii="Calibri" w:eastAsia="Calibri" w:hAnsi="Calibri" w:cs="Calibri"/>
                <w:noProof/>
                <w:sz w:val="20"/>
                <w:szCs w:val="20"/>
                <w:lang w:val="en-US"/>
              </w:rPr>
            </w:pPr>
          </w:p>
        </w:tc>
      </w:tr>
      <w:tr w:rsidR="00830261" w:rsidRPr="00830261" w14:paraId="0511414F" w14:textId="77777777" w:rsidTr="00830261">
        <w:trPr>
          <w:trHeight w:val="20"/>
        </w:trPr>
        <w:tc>
          <w:tcPr>
            <w:tcW w:w="0" w:type="auto"/>
          </w:tcPr>
          <w:p w14:paraId="3D3A62BA" w14:textId="304D0960"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lang w:val="en-US"/>
              </w:rPr>
              <w:t>Reporting obligation for recipients of quota-exempted HFCs</w:t>
            </w:r>
            <w:r w:rsidR="00375B46">
              <w:rPr>
                <w:rFonts w:ascii="Calibri" w:eastAsia="Calibri" w:hAnsi="Calibri" w:cs="Calibri"/>
                <w:noProof/>
                <w:sz w:val="20"/>
                <w:szCs w:val="20"/>
                <w:lang w:val="en-US"/>
              </w:rPr>
              <w:t xml:space="preserve"> *</w:t>
            </w:r>
          </w:p>
        </w:tc>
        <w:tc>
          <w:tcPr>
            <w:tcW w:w="0" w:type="auto"/>
          </w:tcPr>
          <w:p w14:paraId="03EA6120" w14:textId="77777777"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lang w:val="en-US"/>
              </w:rPr>
              <w:t>0.04</w:t>
            </w:r>
          </w:p>
        </w:tc>
        <w:tc>
          <w:tcPr>
            <w:tcW w:w="0" w:type="auto"/>
          </w:tcPr>
          <w:p w14:paraId="519CBD26" w14:textId="77777777"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lang w:val="en-US"/>
              </w:rPr>
              <w:t>-</w:t>
            </w:r>
          </w:p>
        </w:tc>
      </w:tr>
      <w:tr w:rsidR="00830261" w:rsidRPr="00830261" w14:paraId="6EDCF0C4" w14:textId="77777777" w:rsidTr="00830261">
        <w:trPr>
          <w:trHeight w:val="20"/>
        </w:trPr>
        <w:tc>
          <w:tcPr>
            <w:tcW w:w="0" w:type="auto"/>
          </w:tcPr>
          <w:p w14:paraId="020339C3" w14:textId="17E1F180"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lang w:val="en-US"/>
              </w:rPr>
              <w:t xml:space="preserve">Reporting obligation for undertakings performing reclamation of F-gases </w:t>
            </w:r>
            <w:r w:rsidR="00375B46">
              <w:rPr>
                <w:rFonts w:ascii="Calibri" w:eastAsia="Calibri" w:hAnsi="Calibri" w:cs="Calibri"/>
                <w:noProof/>
                <w:sz w:val="20"/>
                <w:szCs w:val="20"/>
                <w:lang w:val="en-US"/>
              </w:rPr>
              <w:t xml:space="preserve"> *</w:t>
            </w:r>
          </w:p>
        </w:tc>
        <w:tc>
          <w:tcPr>
            <w:tcW w:w="0" w:type="auto"/>
          </w:tcPr>
          <w:p w14:paraId="50CB9AF2" w14:textId="77777777"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lang w:val="en-US"/>
              </w:rPr>
              <w:t>0.02</w:t>
            </w:r>
          </w:p>
        </w:tc>
        <w:tc>
          <w:tcPr>
            <w:tcW w:w="0" w:type="auto"/>
          </w:tcPr>
          <w:p w14:paraId="2E041D18" w14:textId="77777777"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lang w:val="en-US"/>
              </w:rPr>
              <w:t>-</w:t>
            </w:r>
          </w:p>
        </w:tc>
      </w:tr>
      <w:tr w:rsidR="00830261" w:rsidRPr="00830261" w14:paraId="4F67E63D" w14:textId="77777777" w:rsidTr="00830261">
        <w:trPr>
          <w:trHeight w:val="20"/>
        </w:trPr>
        <w:tc>
          <w:tcPr>
            <w:tcW w:w="0" w:type="auto"/>
          </w:tcPr>
          <w:p w14:paraId="2D0D813F" w14:textId="60F3CA32"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lang w:val="en-US"/>
              </w:rPr>
              <w:t>Lower the threshold for verification of bulk HFCs placed on the market</w:t>
            </w:r>
            <w:r w:rsidR="00375B46">
              <w:rPr>
                <w:rFonts w:ascii="Calibri" w:eastAsia="Calibri" w:hAnsi="Calibri" w:cs="Calibri"/>
                <w:noProof/>
                <w:sz w:val="20"/>
                <w:szCs w:val="20"/>
                <w:lang w:val="en-US"/>
              </w:rPr>
              <w:t xml:space="preserve"> *</w:t>
            </w:r>
          </w:p>
        </w:tc>
        <w:tc>
          <w:tcPr>
            <w:tcW w:w="0" w:type="auto"/>
          </w:tcPr>
          <w:p w14:paraId="7A24130B" w14:textId="77777777"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lang w:val="en-US"/>
              </w:rPr>
              <w:t>0.5</w:t>
            </w:r>
          </w:p>
        </w:tc>
        <w:tc>
          <w:tcPr>
            <w:tcW w:w="0" w:type="auto"/>
          </w:tcPr>
          <w:p w14:paraId="54FB7FEF" w14:textId="77777777"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lang w:val="en-US"/>
              </w:rPr>
              <w:t>-</w:t>
            </w:r>
          </w:p>
        </w:tc>
      </w:tr>
      <w:tr w:rsidR="00830261" w:rsidRPr="00830261" w14:paraId="30268D85" w14:textId="77777777" w:rsidTr="00830261">
        <w:trPr>
          <w:trHeight w:val="20"/>
        </w:trPr>
        <w:tc>
          <w:tcPr>
            <w:tcW w:w="0" w:type="auto"/>
          </w:tcPr>
          <w:p w14:paraId="5FF89A02" w14:textId="3146FDFB"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lang w:val="en-US"/>
              </w:rPr>
              <w:t>Add obligation to submit verification reports for bulk HFCs</w:t>
            </w:r>
            <w:r w:rsidR="00375B46">
              <w:rPr>
                <w:rFonts w:ascii="Calibri" w:eastAsia="Calibri" w:hAnsi="Calibri" w:cs="Calibri"/>
                <w:noProof/>
                <w:sz w:val="20"/>
                <w:szCs w:val="20"/>
                <w:lang w:val="en-US"/>
              </w:rPr>
              <w:t xml:space="preserve"> *</w:t>
            </w:r>
          </w:p>
        </w:tc>
        <w:tc>
          <w:tcPr>
            <w:tcW w:w="0" w:type="auto"/>
          </w:tcPr>
          <w:p w14:paraId="5F39357C" w14:textId="77777777"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lang w:val="en-US"/>
              </w:rPr>
              <w:t>0.2</w:t>
            </w:r>
          </w:p>
        </w:tc>
        <w:tc>
          <w:tcPr>
            <w:tcW w:w="0" w:type="auto"/>
          </w:tcPr>
          <w:p w14:paraId="30C5D26E" w14:textId="77777777"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lang w:val="en-US"/>
              </w:rPr>
              <w:t>-</w:t>
            </w:r>
          </w:p>
        </w:tc>
      </w:tr>
      <w:tr w:rsidR="00830261" w:rsidRPr="00830261" w14:paraId="40FAFA07" w14:textId="77777777" w:rsidTr="00830261">
        <w:trPr>
          <w:trHeight w:val="20"/>
        </w:trPr>
        <w:tc>
          <w:tcPr>
            <w:tcW w:w="0" w:type="auto"/>
            <w:vAlign w:val="center"/>
          </w:tcPr>
          <w:p w14:paraId="520FECB3" w14:textId="77777777"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rPr>
              <w:t>Align reporting and authorization thresholds for placing pre-charged products and equipment on the market</w:t>
            </w:r>
          </w:p>
        </w:tc>
        <w:tc>
          <w:tcPr>
            <w:tcW w:w="0" w:type="auto"/>
          </w:tcPr>
          <w:p w14:paraId="47F87082" w14:textId="77777777"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lang w:val="en-US"/>
              </w:rPr>
              <w:t>-0.09</w:t>
            </w:r>
          </w:p>
        </w:tc>
        <w:tc>
          <w:tcPr>
            <w:tcW w:w="0" w:type="auto"/>
          </w:tcPr>
          <w:p w14:paraId="21011122" w14:textId="77777777"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lang w:val="en-US"/>
              </w:rPr>
              <w:t>-</w:t>
            </w:r>
          </w:p>
        </w:tc>
      </w:tr>
      <w:tr w:rsidR="00830261" w:rsidRPr="00830261" w14:paraId="75E7158C" w14:textId="77777777" w:rsidTr="00830261">
        <w:trPr>
          <w:trHeight w:val="491"/>
        </w:trPr>
        <w:tc>
          <w:tcPr>
            <w:tcW w:w="0" w:type="auto"/>
          </w:tcPr>
          <w:p w14:paraId="7756AC9D" w14:textId="77777777"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lang w:val="en-US"/>
              </w:rPr>
              <w:t>Align reporting and verification dates between bulk and pre-charged products and equipment</w:t>
            </w:r>
          </w:p>
        </w:tc>
        <w:tc>
          <w:tcPr>
            <w:tcW w:w="0" w:type="auto"/>
          </w:tcPr>
          <w:p w14:paraId="53290D94" w14:textId="77777777"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lang w:val="en-US"/>
              </w:rPr>
              <w:t>Negligible</w:t>
            </w:r>
          </w:p>
        </w:tc>
        <w:tc>
          <w:tcPr>
            <w:tcW w:w="0" w:type="auto"/>
          </w:tcPr>
          <w:p w14:paraId="68FABB0F" w14:textId="77777777"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lang w:val="en-US"/>
              </w:rPr>
              <w:t>-</w:t>
            </w:r>
          </w:p>
        </w:tc>
      </w:tr>
      <w:tr w:rsidR="00830261" w:rsidRPr="00830261" w14:paraId="78032B50" w14:textId="77777777" w:rsidTr="00830261">
        <w:trPr>
          <w:trHeight w:val="491"/>
        </w:trPr>
        <w:tc>
          <w:tcPr>
            <w:tcW w:w="0" w:type="auto"/>
          </w:tcPr>
          <w:p w14:paraId="3D3299AA" w14:textId="77777777"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rPr>
              <w:t xml:space="preserve">Relax the </w:t>
            </w:r>
            <w:r w:rsidRPr="00830261">
              <w:rPr>
                <w:rFonts w:ascii="Calibri" w:eastAsia="Calibri" w:hAnsi="Calibri" w:cs="Calibri"/>
                <w:noProof/>
                <w:sz w:val="20"/>
                <w:szCs w:val="20"/>
                <w:lang w:val="en-US"/>
              </w:rPr>
              <w:t xml:space="preserve"> verification threshold for placing pre-charged products and equipment on the market</w:t>
            </w:r>
          </w:p>
        </w:tc>
        <w:tc>
          <w:tcPr>
            <w:tcW w:w="0" w:type="auto"/>
          </w:tcPr>
          <w:p w14:paraId="593DE7B2" w14:textId="77777777"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lang w:val="en-US"/>
              </w:rPr>
              <w:t>-1.7</w:t>
            </w:r>
          </w:p>
        </w:tc>
        <w:tc>
          <w:tcPr>
            <w:tcW w:w="0" w:type="auto"/>
          </w:tcPr>
          <w:p w14:paraId="36EE88CF" w14:textId="77777777"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lang w:val="en-US"/>
              </w:rPr>
              <w:t>-</w:t>
            </w:r>
          </w:p>
        </w:tc>
      </w:tr>
      <w:tr w:rsidR="00830261" w:rsidRPr="00830261" w14:paraId="2E5F0D56" w14:textId="77777777" w:rsidTr="00830261">
        <w:trPr>
          <w:trHeight w:val="491"/>
        </w:trPr>
        <w:tc>
          <w:tcPr>
            <w:tcW w:w="0" w:type="auto"/>
          </w:tcPr>
          <w:p w14:paraId="2CA18C28" w14:textId="77777777"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lang w:val="en-US"/>
              </w:rPr>
              <w:t>Add legal basis for electronic verification process (separately for bulk and pre-charged products and equipment)</w:t>
            </w:r>
          </w:p>
        </w:tc>
        <w:tc>
          <w:tcPr>
            <w:tcW w:w="0" w:type="auto"/>
          </w:tcPr>
          <w:p w14:paraId="4C8AAA2E" w14:textId="77777777"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lang w:val="en-US"/>
              </w:rPr>
              <w:t>-1.5</w:t>
            </w:r>
          </w:p>
        </w:tc>
        <w:tc>
          <w:tcPr>
            <w:tcW w:w="0" w:type="auto"/>
          </w:tcPr>
          <w:p w14:paraId="7EAF83C5" w14:textId="77777777"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lang w:val="en-US"/>
              </w:rPr>
              <w:t>-</w:t>
            </w:r>
          </w:p>
        </w:tc>
      </w:tr>
      <w:tr w:rsidR="00830261" w:rsidRPr="00830261" w14:paraId="618D10B8" w14:textId="77777777" w:rsidTr="00830261">
        <w:trPr>
          <w:trHeight w:val="211"/>
        </w:trPr>
        <w:tc>
          <w:tcPr>
            <w:tcW w:w="0" w:type="auto"/>
          </w:tcPr>
          <w:p w14:paraId="0F8F5DF5" w14:textId="6A7DE4AD"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lang w:val="en-US"/>
              </w:rPr>
              <w:t>Obligation to provide NIL reports for quota holders</w:t>
            </w:r>
            <w:r w:rsidR="00375B46">
              <w:rPr>
                <w:rFonts w:ascii="Calibri" w:eastAsia="Calibri" w:hAnsi="Calibri" w:cs="Calibri"/>
                <w:noProof/>
                <w:sz w:val="20"/>
                <w:szCs w:val="20"/>
                <w:lang w:val="en-US"/>
              </w:rPr>
              <w:t xml:space="preserve"> *</w:t>
            </w:r>
          </w:p>
        </w:tc>
        <w:tc>
          <w:tcPr>
            <w:tcW w:w="0" w:type="auto"/>
          </w:tcPr>
          <w:p w14:paraId="0A143EF3" w14:textId="77777777"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lang w:val="en-US"/>
              </w:rPr>
              <w:t>0.02</w:t>
            </w:r>
          </w:p>
        </w:tc>
        <w:tc>
          <w:tcPr>
            <w:tcW w:w="0" w:type="auto"/>
          </w:tcPr>
          <w:p w14:paraId="45BF9392" w14:textId="77777777"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lang w:val="en-US"/>
              </w:rPr>
              <w:t>-</w:t>
            </w:r>
          </w:p>
        </w:tc>
      </w:tr>
      <w:tr w:rsidR="00830261" w:rsidRPr="00830261" w14:paraId="63EDD6E3" w14:textId="77777777" w:rsidTr="00D04F59">
        <w:trPr>
          <w:trHeight w:val="289"/>
        </w:trPr>
        <w:tc>
          <w:tcPr>
            <w:tcW w:w="0" w:type="auto"/>
            <w:tcBorders>
              <w:bottom w:val="single" w:sz="18" w:space="0" w:color="auto"/>
            </w:tcBorders>
            <w:shd w:val="clear" w:color="auto" w:fill="auto"/>
          </w:tcPr>
          <w:p w14:paraId="7BC74406" w14:textId="77777777"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rPr>
              <w:t>Re</w:t>
            </w:r>
            <w:r w:rsidRPr="00830261">
              <w:rPr>
                <w:rFonts w:ascii="Calibri" w:eastAsia="Calibri" w:hAnsi="Calibri" w:cs="Calibri"/>
                <w:noProof/>
                <w:sz w:val="20"/>
                <w:szCs w:val="20"/>
                <w:lang w:val="en-US"/>
              </w:rPr>
              <w:t xml:space="preserve">quire reporting by companies on new substances </w:t>
            </w:r>
          </w:p>
        </w:tc>
        <w:tc>
          <w:tcPr>
            <w:tcW w:w="0" w:type="auto"/>
            <w:tcBorders>
              <w:bottom w:val="single" w:sz="18" w:space="0" w:color="auto"/>
            </w:tcBorders>
            <w:shd w:val="clear" w:color="auto" w:fill="auto"/>
          </w:tcPr>
          <w:p w14:paraId="26898A93" w14:textId="77777777"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lang w:val="en-US"/>
              </w:rPr>
              <w:t>0.02</w:t>
            </w:r>
          </w:p>
        </w:tc>
        <w:tc>
          <w:tcPr>
            <w:tcW w:w="0" w:type="auto"/>
            <w:tcBorders>
              <w:bottom w:val="single" w:sz="18" w:space="0" w:color="auto"/>
            </w:tcBorders>
            <w:shd w:val="clear" w:color="auto" w:fill="auto"/>
          </w:tcPr>
          <w:p w14:paraId="0595EE91" w14:textId="77777777" w:rsidR="00830261" w:rsidRPr="00830261" w:rsidRDefault="00830261" w:rsidP="00830261">
            <w:pPr>
              <w:spacing w:after="40" w:line="240" w:lineRule="auto"/>
              <w:jc w:val="left"/>
              <w:rPr>
                <w:rFonts w:ascii="Calibri" w:eastAsia="Calibri" w:hAnsi="Calibri" w:cs="Calibri"/>
                <w:noProof/>
                <w:sz w:val="20"/>
                <w:szCs w:val="20"/>
                <w:lang w:val="en-US"/>
              </w:rPr>
            </w:pPr>
            <w:r w:rsidRPr="00830261">
              <w:rPr>
                <w:rFonts w:ascii="Calibri" w:eastAsia="Calibri" w:hAnsi="Calibri" w:cs="Calibri"/>
                <w:noProof/>
                <w:sz w:val="20"/>
                <w:szCs w:val="20"/>
                <w:lang w:val="en-US"/>
              </w:rPr>
              <w:t>-</w:t>
            </w:r>
          </w:p>
        </w:tc>
      </w:tr>
      <w:tr w:rsidR="00D04F59" w:rsidRPr="00830261" w14:paraId="7C220C9B" w14:textId="77777777" w:rsidTr="00322072">
        <w:trPr>
          <w:trHeight w:val="289"/>
        </w:trPr>
        <w:tc>
          <w:tcPr>
            <w:tcW w:w="0" w:type="auto"/>
            <w:tcBorders>
              <w:top w:val="single" w:sz="18" w:space="0" w:color="auto"/>
            </w:tcBorders>
            <w:shd w:val="clear" w:color="auto" w:fill="BFBFBF" w:themeFill="background1" w:themeFillShade="BF"/>
          </w:tcPr>
          <w:p w14:paraId="66084C24" w14:textId="7E6F525C" w:rsidR="00D04F59" w:rsidRPr="00322072" w:rsidRDefault="00D04F59" w:rsidP="00830261">
            <w:pPr>
              <w:spacing w:after="40" w:line="240" w:lineRule="auto"/>
              <w:jc w:val="left"/>
              <w:rPr>
                <w:rFonts w:ascii="Calibri" w:eastAsia="Calibri" w:hAnsi="Calibri" w:cs="Calibri"/>
                <w:b/>
                <w:noProof/>
                <w:sz w:val="20"/>
                <w:szCs w:val="20"/>
              </w:rPr>
            </w:pPr>
            <w:r w:rsidRPr="00322072">
              <w:rPr>
                <w:rFonts w:ascii="Calibri" w:eastAsia="Calibri" w:hAnsi="Calibri" w:cs="Calibri"/>
                <w:b/>
                <w:noProof/>
                <w:sz w:val="20"/>
                <w:szCs w:val="20"/>
              </w:rPr>
              <w:t>Total net costs</w:t>
            </w:r>
          </w:p>
        </w:tc>
        <w:tc>
          <w:tcPr>
            <w:tcW w:w="0" w:type="auto"/>
            <w:tcBorders>
              <w:top w:val="single" w:sz="18" w:space="0" w:color="auto"/>
            </w:tcBorders>
            <w:shd w:val="clear" w:color="auto" w:fill="BFBFBF" w:themeFill="background1" w:themeFillShade="BF"/>
          </w:tcPr>
          <w:p w14:paraId="675DE45B" w14:textId="2BA5B843" w:rsidR="00D04F59" w:rsidRPr="00322072" w:rsidRDefault="00D04F59" w:rsidP="00322072">
            <w:pPr>
              <w:spacing w:after="40" w:line="240" w:lineRule="auto"/>
              <w:jc w:val="center"/>
              <w:rPr>
                <w:rFonts w:ascii="Calibri" w:eastAsia="Calibri" w:hAnsi="Calibri" w:cs="Calibri"/>
                <w:b/>
                <w:noProof/>
                <w:sz w:val="20"/>
                <w:szCs w:val="20"/>
                <w:lang w:val="en-US"/>
              </w:rPr>
            </w:pPr>
            <w:r>
              <w:rPr>
                <w:rFonts w:ascii="Calibri" w:eastAsia="Calibri" w:hAnsi="Calibri" w:cs="Calibri"/>
                <w:b/>
                <w:noProof/>
                <w:sz w:val="20"/>
                <w:szCs w:val="20"/>
                <w:lang w:val="en-US"/>
              </w:rPr>
              <w:t xml:space="preserve">7.6 </w:t>
            </w:r>
            <w:r w:rsidRPr="00322072">
              <w:rPr>
                <w:rFonts w:ascii="Calibri" w:eastAsia="Calibri" w:hAnsi="Calibri" w:cs="Calibri"/>
                <w:noProof/>
                <w:sz w:val="20"/>
                <w:szCs w:val="20"/>
                <w:lang w:val="en-US"/>
              </w:rPr>
              <w:t>(</w:t>
            </w:r>
            <w:r w:rsidRPr="00D04F59">
              <w:rPr>
                <w:rFonts w:ascii="Calibri" w:eastAsia="Calibri" w:hAnsi="Calibri" w:cs="Calibri"/>
                <w:noProof/>
                <w:sz w:val="20"/>
                <w:szCs w:val="20"/>
                <w:lang w:val="en-US"/>
              </w:rPr>
              <w:t>12</w:t>
            </w:r>
            <w:r w:rsidRPr="00322072">
              <w:rPr>
                <w:rFonts w:ascii="Calibri" w:eastAsia="Calibri" w:hAnsi="Calibri" w:cs="Calibri"/>
                <w:noProof/>
                <w:sz w:val="20"/>
                <w:szCs w:val="20"/>
                <w:lang w:val="en-US"/>
              </w:rPr>
              <w:t>.</w:t>
            </w:r>
            <w:r w:rsidRPr="00D04F59">
              <w:rPr>
                <w:rFonts w:ascii="Calibri" w:eastAsia="Calibri" w:hAnsi="Calibri" w:cs="Calibri"/>
                <w:noProof/>
                <w:sz w:val="20"/>
                <w:szCs w:val="20"/>
                <w:lang w:val="en-US"/>
              </w:rPr>
              <w:t>1</w:t>
            </w:r>
            <w:r w:rsidRPr="00322072">
              <w:rPr>
                <w:rFonts w:ascii="Calibri" w:eastAsia="Calibri" w:hAnsi="Calibri" w:cs="Calibri"/>
                <w:noProof/>
                <w:sz w:val="20"/>
                <w:szCs w:val="20"/>
                <w:lang w:val="en-US"/>
              </w:rPr>
              <w:t>-</w:t>
            </w:r>
            <w:r w:rsidRPr="00D04F59">
              <w:rPr>
                <w:rFonts w:ascii="Calibri" w:eastAsia="Calibri" w:hAnsi="Calibri" w:cs="Calibri"/>
                <w:noProof/>
                <w:sz w:val="20"/>
                <w:szCs w:val="20"/>
                <w:lang w:val="en-US"/>
              </w:rPr>
              <w:t>4.5</w:t>
            </w:r>
            <w:r w:rsidRPr="00322072">
              <w:rPr>
                <w:rFonts w:ascii="Calibri" w:eastAsia="Calibri" w:hAnsi="Calibri" w:cs="Calibri"/>
                <w:noProof/>
                <w:sz w:val="20"/>
                <w:szCs w:val="20"/>
                <w:lang w:val="en-US"/>
              </w:rPr>
              <w:t>)</w:t>
            </w:r>
          </w:p>
        </w:tc>
        <w:tc>
          <w:tcPr>
            <w:tcW w:w="0" w:type="auto"/>
            <w:tcBorders>
              <w:top w:val="single" w:sz="18" w:space="0" w:color="auto"/>
            </w:tcBorders>
            <w:shd w:val="clear" w:color="auto" w:fill="BFBFBF" w:themeFill="background1" w:themeFillShade="BF"/>
          </w:tcPr>
          <w:p w14:paraId="180E6AC0" w14:textId="08812815" w:rsidR="00D04F59" w:rsidRPr="00322072" w:rsidRDefault="00D04F59" w:rsidP="00322072">
            <w:pPr>
              <w:spacing w:after="40" w:line="240" w:lineRule="auto"/>
              <w:jc w:val="center"/>
              <w:rPr>
                <w:rFonts w:ascii="Calibri" w:eastAsia="Calibri" w:hAnsi="Calibri" w:cs="Calibri"/>
                <w:b/>
                <w:noProof/>
                <w:sz w:val="20"/>
                <w:szCs w:val="20"/>
                <w:lang w:val="en-US"/>
              </w:rPr>
            </w:pPr>
            <w:r>
              <w:rPr>
                <w:rFonts w:ascii="Calibri" w:eastAsia="Calibri" w:hAnsi="Calibri" w:cs="Calibri"/>
                <w:b/>
                <w:noProof/>
                <w:sz w:val="20"/>
                <w:szCs w:val="20"/>
                <w:lang w:val="en-US"/>
              </w:rPr>
              <w:t>3</w:t>
            </w:r>
          </w:p>
        </w:tc>
      </w:tr>
    </w:tbl>
    <w:p w14:paraId="4D8AEB2F" w14:textId="77777777" w:rsidR="00375B46" w:rsidRPr="005F4AF8" w:rsidRDefault="00375B46" w:rsidP="00375B46">
      <w:pPr>
        <w:rPr>
          <w:rFonts w:asciiTheme="minorHAnsi" w:hAnsiTheme="minorHAnsi" w:cstheme="minorHAnsi"/>
          <w:i/>
          <w:noProof/>
          <w:sz w:val="20"/>
          <w:szCs w:val="20"/>
        </w:rPr>
      </w:pPr>
      <w:r w:rsidRPr="005F4AF8">
        <w:rPr>
          <w:rFonts w:asciiTheme="minorHAnsi" w:hAnsiTheme="minorHAnsi" w:cstheme="minorHAnsi"/>
          <w:i/>
          <w:noProof/>
          <w:sz w:val="20"/>
          <w:szCs w:val="20"/>
        </w:rPr>
        <w:t>(*) required by interna</w:t>
      </w:r>
      <w:r>
        <w:rPr>
          <w:rFonts w:asciiTheme="minorHAnsi" w:hAnsiTheme="minorHAnsi" w:cstheme="minorHAnsi"/>
          <w:i/>
          <w:noProof/>
          <w:sz w:val="20"/>
          <w:szCs w:val="20"/>
        </w:rPr>
        <w:t>tiona</w:t>
      </w:r>
      <w:r w:rsidRPr="005F4AF8">
        <w:rPr>
          <w:rFonts w:asciiTheme="minorHAnsi" w:hAnsiTheme="minorHAnsi" w:cstheme="minorHAnsi"/>
          <w:i/>
          <w:noProof/>
          <w:sz w:val="20"/>
          <w:szCs w:val="20"/>
        </w:rPr>
        <w:t xml:space="preserve">l rules or to reduce illegal activities </w:t>
      </w:r>
      <w:r>
        <w:rPr>
          <w:rFonts w:asciiTheme="minorHAnsi" w:hAnsiTheme="minorHAnsi" w:cstheme="minorHAnsi"/>
          <w:i/>
          <w:noProof/>
          <w:sz w:val="20"/>
          <w:szCs w:val="20"/>
        </w:rPr>
        <w:t>(total of 1.9 million €)</w:t>
      </w:r>
    </w:p>
    <w:p w14:paraId="74B49905" w14:textId="31A41DEE" w:rsidR="00830261" w:rsidRDefault="00830261" w:rsidP="00FC200F">
      <w:pPr>
        <w:rPr>
          <w:noProof/>
        </w:rPr>
      </w:pPr>
    </w:p>
    <w:p w14:paraId="715093A9" w14:textId="263E4F6C" w:rsidR="00A14107" w:rsidRPr="00A14107" w:rsidRDefault="00E04F0C" w:rsidP="00E04F0C">
      <w:pPr>
        <w:pStyle w:val="Heading1"/>
        <w:rPr>
          <w:noProof/>
        </w:rPr>
      </w:pPr>
      <w:bookmarkStart w:id="339" w:name="_Toc98857773"/>
      <w:r w:rsidRPr="00E04F0C">
        <w:t>9.</w:t>
      </w:r>
      <w:r w:rsidRPr="00E04F0C">
        <w:tab/>
      </w:r>
      <w:r w:rsidR="3982CBDC">
        <w:rPr>
          <w:noProof/>
        </w:rPr>
        <w:t>How will actual impacts be monitored and evaluated?</w:t>
      </w:r>
      <w:bookmarkEnd w:id="331"/>
      <w:bookmarkEnd w:id="332"/>
      <w:bookmarkEnd w:id="333"/>
      <w:bookmarkEnd w:id="334"/>
      <w:bookmarkEnd w:id="335"/>
      <w:bookmarkEnd w:id="336"/>
      <w:bookmarkEnd w:id="338"/>
      <w:bookmarkEnd w:id="339"/>
    </w:p>
    <w:p w14:paraId="6143E336" w14:textId="2DB6B750" w:rsidR="00193497" w:rsidRDefault="3982CBDC" w:rsidP="3982CBDC">
      <w:pPr>
        <w:spacing w:after="120"/>
        <w:rPr>
          <w:rFonts w:cs="Times New Roman"/>
          <w:noProof/>
        </w:rPr>
      </w:pPr>
      <w:r w:rsidRPr="3982CBDC">
        <w:rPr>
          <w:rFonts w:cs="Times New Roman"/>
          <w:noProof/>
        </w:rPr>
        <w:t>Future monitoring and evaluation of the Regulation can rely on the Regulation’s annual company reporting data that is collected and aggregated by the EEA each year</w:t>
      </w:r>
      <w:r w:rsidR="00D6501F">
        <w:rPr>
          <w:rStyle w:val="FootnoteReference"/>
          <w:rFonts w:cs="Times New Roman"/>
          <w:noProof/>
        </w:rPr>
        <w:footnoteReference w:id="113"/>
      </w:r>
      <w:r w:rsidRPr="3982CBDC">
        <w:rPr>
          <w:rFonts w:cs="Times New Roman"/>
          <w:noProof/>
        </w:rPr>
        <w:t xml:space="preserve">. A confidential report on F-gas related activities is drafted by the EEA for Member State representatives and DG CLIMA, which includes inter alia data on imports, exports, production, destruction, and reclamation relevant to bulk fluorinated gases and equipment containing such gases. The background study and this document relies heavily on these data for its analysis. The data reported on HFC production, feedstocks, destruction, imports and exports are presented to the </w:t>
      </w:r>
      <w:r w:rsidR="008D2337">
        <w:rPr>
          <w:rFonts w:cs="Times New Roman"/>
          <w:noProof/>
        </w:rPr>
        <w:t xml:space="preserve">Protocol’s </w:t>
      </w:r>
      <w:r w:rsidRPr="3982CBDC">
        <w:rPr>
          <w:rFonts w:cs="Times New Roman"/>
          <w:noProof/>
        </w:rPr>
        <w:t>Ozone Secretariat to comply with the EU’s annual reporting obligation. In addition, there is a public version in the form of a web-based F-gas indicator published and updated regularly by the EEA. The measures considered on reporting and monitoring in this document would improve this data basis further in the future.</w:t>
      </w:r>
      <w:r w:rsidR="00193497">
        <w:rPr>
          <w:rFonts w:cs="Times New Roman"/>
          <w:noProof/>
        </w:rPr>
        <w:t xml:space="preserve"> </w:t>
      </w:r>
    </w:p>
    <w:p w14:paraId="67C459A4" w14:textId="270AE59B" w:rsidR="00193497" w:rsidRDefault="3982CBDC" w:rsidP="3982CBDC">
      <w:pPr>
        <w:spacing w:after="120"/>
        <w:rPr>
          <w:rFonts w:cs="Times New Roman"/>
          <w:b/>
          <w:noProof/>
        </w:rPr>
      </w:pPr>
      <w:r w:rsidRPr="3982CBDC">
        <w:rPr>
          <w:rFonts w:cs="Times New Roman"/>
          <w:noProof/>
        </w:rPr>
        <w:t>In addition, the European Commission has been closely monitoring prices, the workings of the quota system and other market developments of the sector</w:t>
      </w:r>
      <w:r w:rsidR="0051394F">
        <w:rPr>
          <w:rFonts w:cs="Times New Roman"/>
          <w:noProof/>
        </w:rPr>
        <w:t xml:space="preserve"> since 2015</w:t>
      </w:r>
      <w:r w:rsidRPr="3982CBDC">
        <w:rPr>
          <w:rFonts w:cs="Times New Roman"/>
          <w:noProof/>
        </w:rPr>
        <w:t>, which would be continued on the basis of contracts with external experts</w:t>
      </w:r>
      <w:r w:rsidR="009E024D">
        <w:rPr>
          <w:rFonts w:cs="Times New Roman"/>
          <w:noProof/>
        </w:rPr>
        <w:t xml:space="preserve">. </w:t>
      </w:r>
      <w:r w:rsidRPr="3982CBDC">
        <w:rPr>
          <w:rFonts w:cs="Times New Roman"/>
          <w:noProof/>
        </w:rPr>
        <w:t xml:space="preserve">Member States regularly update on relevant activities carried out such as (i) the collection and use of data to determine emissions, (ii) producer responsibility schemes, (iii) enforcement and other measures taken on illegal activities including penalties to the </w:t>
      </w:r>
      <w:r w:rsidR="00673651">
        <w:rPr>
          <w:rFonts w:cs="Times New Roman"/>
          <w:noProof/>
        </w:rPr>
        <w:t>Implementation</w:t>
      </w:r>
      <w:r w:rsidRPr="3982CBDC">
        <w:rPr>
          <w:rFonts w:cs="Times New Roman"/>
          <w:noProof/>
        </w:rPr>
        <w:t xml:space="preserve"> Committee </w:t>
      </w:r>
      <w:r w:rsidR="00673651">
        <w:rPr>
          <w:rFonts w:cs="Times New Roman"/>
          <w:noProof/>
        </w:rPr>
        <w:t>established in the Regulation</w:t>
      </w:r>
      <w:r w:rsidRPr="3982CBDC">
        <w:rPr>
          <w:rFonts w:cs="Times New Roman"/>
          <w:noProof/>
        </w:rPr>
        <w:t>.</w:t>
      </w:r>
      <w:r w:rsidR="00193497" w:rsidRPr="00193497">
        <w:rPr>
          <w:rFonts w:cs="Times New Roman"/>
          <w:b/>
          <w:noProof/>
        </w:rPr>
        <w:t xml:space="preserve"> </w:t>
      </w:r>
    </w:p>
    <w:p w14:paraId="681745EE" w14:textId="0A706377" w:rsidR="00EB6E24" w:rsidRPr="00074946" w:rsidRDefault="00EB6E24" w:rsidP="3982CBDC">
      <w:pPr>
        <w:spacing w:after="120"/>
        <w:rPr>
          <w:rFonts w:cs="Times New Roman"/>
          <w:noProof/>
        </w:rPr>
      </w:pPr>
      <w:r w:rsidRPr="00074946">
        <w:rPr>
          <w:rFonts w:cs="Times New Roman"/>
          <w:noProof/>
        </w:rPr>
        <w:t>The changes to reporting scope (new substances; recipients of exempted quota; reclamation facilities) will complete the picture on relevant gases and uses.</w:t>
      </w:r>
      <w:r>
        <w:rPr>
          <w:rFonts w:cs="Times New Roman"/>
          <w:noProof/>
        </w:rPr>
        <w:t xml:space="preserve"> The emission reporting databased encouraged </w:t>
      </w:r>
      <w:r w:rsidR="00074946">
        <w:rPr>
          <w:rFonts w:cs="Times New Roman"/>
          <w:noProof/>
        </w:rPr>
        <w:t>by</w:t>
      </w:r>
      <w:r>
        <w:rPr>
          <w:rFonts w:cs="Times New Roman"/>
          <w:noProof/>
        </w:rPr>
        <w:t xml:space="preserve"> Option 2 will improve the knowledge on emissions and thus the impact of the F-gas sector as well as better data quality reported to the UNFCCC. The streamlining of reporting and verification rules should also help in achieving better data quality more efficiently.</w:t>
      </w:r>
    </w:p>
    <w:p w14:paraId="48A57421" w14:textId="069C6C31" w:rsidR="00193497" w:rsidRPr="00074946" w:rsidRDefault="0014214C" w:rsidP="3982CBDC">
      <w:pPr>
        <w:spacing w:after="120"/>
        <w:rPr>
          <w:rFonts w:cs="Times New Roman"/>
          <w:noProof/>
        </w:rPr>
      </w:pPr>
      <w:r>
        <w:rPr>
          <w:rFonts w:cs="Times New Roman"/>
          <w:noProof/>
        </w:rPr>
        <w:t>In addition, t</w:t>
      </w:r>
      <w:r w:rsidR="00193497" w:rsidRPr="00074946">
        <w:rPr>
          <w:rFonts w:cs="Times New Roman"/>
          <w:noProof/>
        </w:rPr>
        <w:t>o benchmark the Regulation’s performance</w:t>
      </w:r>
      <w:r>
        <w:rPr>
          <w:rFonts w:cs="Times New Roman"/>
          <w:noProof/>
        </w:rPr>
        <w:t xml:space="preserve"> the following can be </w:t>
      </w:r>
      <w:r w:rsidR="00193497">
        <w:rPr>
          <w:rFonts w:cs="Times New Roman"/>
          <w:noProof/>
        </w:rPr>
        <w:t>u</w:t>
      </w:r>
      <w:r>
        <w:rPr>
          <w:rFonts w:cs="Times New Roman"/>
          <w:noProof/>
        </w:rPr>
        <w:t>s</w:t>
      </w:r>
      <w:r w:rsidR="00193497">
        <w:rPr>
          <w:rFonts w:cs="Times New Roman"/>
          <w:noProof/>
        </w:rPr>
        <w:t>ed</w:t>
      </w:r>
      <w:r w:rsidR="00193497" w:rsidRPr="00074946">
        <w:rPr>
          <w:rFonts w:cs="Times New Roman"/>
          <w:noProof/>
        </w:rPr>
        <w:t>:</w:t>
      </w:r>
    </w:p>
    <w:p w14:paraId="0AEC29EE" w14:textId="48CAE5E6" w:rsidR="00231760" w:rsidRDefault="00193497" w:rsidP="00074946">
      <w:pPr>
        <w:pStyle w:val="ListParagraph"/>
        <w:numPr>
          <w:ilvl w:val="0"/>
          <w:numId w:val="8"/>
        </w:numPr>
        <w:spacing w:after="120"/>
        <w:rPr>
          <w:rFonts w:cs="Times New Roman"/>
          <w:noProof/>
        </w:rPr>
      </w:pPr>
      <w:r>
        <w:rPr>
          <w:rFonts w:cs="Times New Roman"/>
          <w:noProof/>
        </w:rPr>
        <w:t>Objective A: For emission savings t</w:t>
      </w:r>
      <w:r w:rsidRPr="00074946">
        <w:rPr>
          <w:rFonts w:cs="Times New Roman"/>
          <w:noProof/>
        </w:rPr>
        <w:t xml:space="preserve">he modelled </w:t>
      </w:r>
      <w:r>
        <w:rPr>
          <w:rFonts w:cs="Times New Roman"/>
          <w:noProof/>
        </w:rPr>
        <w:t>quantities</w:t>
      </w:r>
      <w:r w:rsidRPr="00074946">
        <w:rPr>
          <w:rFonts w:cs="Times New Roman"/>
          <w:noProof/>
        </w:rPr>
        <w:t xml:space="preserve"> as described in this document for Option 2</w:t>
      </w:r>
      <w:r w:rsidR="0014332B">
        <w:rPr>
          <w:rFonts w:cs="Times New Roman"/>
          <w:noProof/>
        </w:rPr>
        <w:t xml:space="preserve"> vs the actual emissions as reported under Regulation (EU) No 525/2013 (EU GHG monitoring mechanism</w:t>
      </w:r>
      <w:r>
        <w:rPr>
          <w:rFonts w:cs="Times New Roman"/>
          <w:noProof/>
        </w:rPr>
        <w:t>;</w:t>
      </w:r>
    </w:p>
    <w:p w14:paraId="2C1027A4" w14:textId="6BDB1E06" w:rsidR="00193497" w:rsidRDefault="00193497" w:rsidP="00074946">
      <w:pPr>
        <w:pStyle w:val="ListParagraph"/>
        <w:numPr>
          <w:ilvl w:val="0"/>
          <w:numId w:val="8"/>
        </w:numPr>
        <w:spacing w:after="120"/>
        <w:rPr>
          <w:rFonts w:cs="Times New Roman"/>
          <w:noProof/>
        </w:rPr>
      </w:pPr>
      <w:r>
        <w:rPr>
          <w:rFonts w:cs="Times New Roman"/>
          <w:noProof/>
        </w:rPr>
        <w:t>Objective B: Any decision by the Implementing Committee of the Montreal Protocol regarding compliance of the EU and its member States with rules regarding HFCs;</w:t>
      </w:r>
    </w:p>
    <w:p w14:paraId="501BC8C9" w14:textId="785AFD5E" w:rsidR="00193497" w:rsidRDefault="00193497" w:rsidP="00074946">
      <w:pPr>
        <w:pStyle w:val="ListParagraph"/>
        <w:numPr>
          <w:ilvl w:val="0"/>
          <w:numId w:val="8"/>
        </w:numPr>
        <w:spacing w:after="120"/>
        <w:rPr>
          <w:rFonts w:cs="Times New Roman"/>
          <w:noProof/>
        </w:rPr>
      </w:pPr>
      <w:r>
        <w:rPr>
          <w:rFonts w:cs="Times New Roman"/>
          <w:noProof/>
        </w:rPr>
        <w:t>Objective C: Data collected on the workings of the quota mechanism (see above) as well as industry and Member States feedback;</w:t>
      </w:r>
    </w:p>
    <w:p w14:paraId="55B708F1" w14:textId="08BEFB98" w:rsidR="00193497" w:rsidRDefault="00193497" w:rsidP="00074946">
      <w:pPr>
        <w:pStyle w:val="ListParagraph"/>
        <w:numPr>
          <w:ilvl w:val="0"/>
          <w:numId w:val="8"/>
        </w:numPr>
        <w:spacing w:after="120"/>
        <w:rPr>
          <w:rFonts w:cs="Times New Roman"/>
          <w:noProof/>
        </w:rPr>
      </w:pPr>
      <w:r>
        <w:rPr>
          <w:rFonts w:cs="Times New Roman"/>
          <w:noProof/>
        </w:rPr>
        <w:t>Objective D: EEA’s feedback on the reporting process and DG CLIMA experience with compliance checking</w:t>
      </w:r>
      <w:r w:rsidR="0014214C">
        <w:rPr>
          <w:rFonts w:cs="Times New Roman"/>
          <w:noProof/>
        </w:rPr>
        <w:t>;</w:t>
      </w:r>
    </w:p>
    <w:p w14:paraId="391667BF" w14:textId="1B823BEC" w:rsidR="00193497" w:rsidRDefault="00193497" w:rsidP="00074946">
      <w:pPr>
        <w:pStyle w:val="ListParagraph"/>
        <w:numPr>
          <w:ilvl w:val="0"/>
          <w:numId w:val="8"/>
        </w:numPr>
        <w:spacing w:after="120"/>
        <w:rPr>
          <w:rFonts w:cs="Times New Roman"/>
          <w:noProof/>
        </w:rPr>
      </w:pPr>
      <w:r>
        <w:rPr>
          <w:rFonts w:cs="Times New Roman"/>
          <w:noProof/>
        </w:rPr>
        <w:t>Objective E: Stakeholder and Member States feedback.</w:t>
      </w:r>
    </w:p>
    <w:p w14:paraId="6873D6CC" w14:textId="77777777" w:rsidR="002D46FD" w:rsidRDefault="00BC03E5" w:rsidP="00663B70">
      <w:pPr>
        <w:spacing w:after="120"/>
        <w:ind w:left="360"/>
        <w:rPr>
          <w:noProof/>
        </w:rPr>
      </w:pPr>
      <w:r>
        <w:rPr>
          <w:noProof/>
        </w:rPr>
        <w:t xml:space="preserve">A </w:t>
      </w:r>
      <w:r w:rsidR="002D46FD">
        <w:rPr>
          <w:noProof/>
        </w:rPr>
        <w:t xml:space="preserve">good performance of the Regulation would mean </w:t>
      </w:r>
      <w:r>
        <w:rPr>
          <w:noProof/>
        </w:rPr>
        <w:t>that</w:t>
      </w:r>
      <w:r w:rsidR="002D46FD">
        <w:rPr>
          <w:noProof/>
        </w:rPr>
        <w:t>:</w:t>
      </w:r>
    </w:p>
    <w:p w14:paraId="33F76DC3" w14:textId="1C955CBE" w:rsidR="002D46FD" w:rsidRPr="002D46FD" w:rsidRDefault="00BC03E5" w:rsidP="00D5581F">
      <w:pPr>
        <w:pStyle w:val="ListParagraph"/>
        <w:numPr>
          <w:ilvl w:val="0"/>
          <w:numId w:val="133"/>
        </w:numPr>
        <w:spacing w:after="120"/>
        <w:ind w:left="709" w:hanging="283"/>
        <w:rPr>
          <w:rFonts w:cs="Times New Roman"/>
          <w:noProof/>
        </w:rPr>
      </w:pPr>
      <w:r>
        <w:rPr>
          <w:noProof/>
        </w:rPr>
        <w:t xml:space="preserve"> </w:t>
      </w:r>
      <w:r w:rsidR="002D46FD">
        <w:rPr>
          <w:noProof/>
        </w:rPr>
        <w:t>E</w:t>
      </w:r>
      <w:r>
        <w:rPr>
          <w:noProof/>
        </w:rPr>
        <w:t>missions of F-gases</w:t>
      </w:r>
      <w:r w:rsidR="002D46FD">
        <w:rPr>
          <w:noProof/>
        </w:rPr>
        <w:t xml:space="preserve"> should fall as predicted by the modelling carried out under </w:t>
      </w:r>
      <w:r w:rsidR="00F854AA">
        <w:rPr>
          <w:noProof/>
        </w:rPr>
        <w:t>this assessment</w:t>
      </w:r>
      <w:r w:rsidR="002D46FD">
        <w:rPr>
          <w:noProof/>
        </w:rPr>
        <w:t xml:space="preserve">, i.e. </w:t>
      </w:r>
      <w:r w:rsidR="00FC200F">
        <w:rPr>
          <w:noProof/>
        </w:rPr>
        <w:t>i</w:t>
      </w:r>
      <w:r w:rsidR="002D46FD">
        <w:rPr>
          <w:noProof/>
        </w:rPr>
        <w:t xml:space="preserve">n 2030 annual emissions should </w:t>
      </w:r>
      <w:r w:rsidR="00D5581F">
        <w:rPr>
          <w:noProof/>
        </w:rPr>
        <w:t>be</w:t>
      </w:r>
      <w:r w:rsidR="001E25BB">
        <w:rPr>
          <w:noProof/>
        </w:rPr>
        <w:t xml:space="preserve"> </w:t>
      </w:r>
      <w:r w:rsidR="002D46FD">
        <w:rPr>
          <w:noProof/>
        </w:rPr>
        <w:t xml:space="preserve">37 MtCO2e. </w:t>
      </w:r>
    </w:p>
    <w:p w14:paraId="5CB6482A" w14:textId="77777777" w:rsidR="00686A42" w:rsidRPr="00686A42" w:rsidRDefault="002D46FD" w:rsidP="00D5581F">
      <w:pPr>
        <w:pStyle w:val="ListParagraph"/>
        <w:numPr>
          <w:ilvl w:val="0"/>
          <w:numId w:val="133"/>
        </w:numPr>
        <w:spacing w:after="120"/>
        <w:ind w:left="709" w:hanging="283"/>
        <w:rPr>
          <w:rFonts w:cs="Times New Roman"/>
          <w:noProof/>
        </w:rPr>
      </w:pPr>
      <w:r>
        <w:rPr>
          <w:noProof/>
        </w:rPr>
        <w:t xml:space="preserve">There should be no compliance issues with the Montreal Protocol regarding obligations on HFCs. </w:t>
      </w:r>
    </w:p>
    <w:p w14:paraId="6E418168" w14:textId="41A468EB" w:rsidR="00BC03E5" w:rsidRPr="00686A42" w:rsidRDefault="00F85B9D" w:rsidP="00D5581F">
      <w:pPr>
        <w:pStyle w:val="ListParagraph"/>
        <w:numPr>
          <w:ilvl w:val="0"/>
          <w:numId w:val="133"/>
        </w:numPr>
        <w:spacing w:after="120"/>
        <w:ind w:left="709" w:hanging="283"/>
        <w:rPr>
          <w:rFonts w:cs="Times New Roman"/>
          <w:noProof/>
        </w:rPr>
      </w:pPr>
      <w:r>
        <w:rPr>
          <w:noProof/>
        </w:rPr>
        <w:t>Smooth implementation of the quota system and reduction of i</w:t>
      </w:r>
      <w:r w:rsidR="002D46FD">
        <w:rPr>
          <w:noProof/>
        </w:rPr>
        <w:t xml:space="preserve">llegal trade </w:t>
      </w:r>
      <w:r>
        <w:rPr>
          <w:noProof/>
        </w:rPr>
        <w:t xml:space="preserve">to avoid harm </w:t>
      </w:r>
      <w:r w:rsidR="00686A42">
        <w:rPr>
          <w:noProof/>
        </w:rPr>
        <w:t>in environmental</w:t>
      </w:r>
      <w:r w:rsidR="001E25BB">
        <w:rPr>
          <w:noProof/>
        </w:rPr>
        <w:t>,</w:t>
      </w:r>
      <w:r w:rsidR="00686A42">
        <w:rPr>
          <w:noProof/>
        </w:rPr>
        <w:t xml:space="preserve"> economic </w:t>
      </w:r>
      <w:r w:rsidR="001E25BB">
        <w:rPr>
          <w:noProof/>
        </w:rPr>
        <w:t xml:space="preserve">or </w:t>
      </w:r>
      <w:r w:rsidR="00686A42">
        <w:rPr>
          <w:noProof/>
        </w:rPr>
        <w:t>reputational</w:t>
      </w:r>
      <w:r w:rsidR="001E25BB">
        <w:rPr>
          <w:noProof/>
        </w:rPr>
        <w:t xml:space="preserve"> </w:t>
      </w:r>
      <w:r w:rsidR="001A2C40" w:rsidRPr="00D5581F">
        <w:rPr>
          <w:noProof/>
        </w:rPr>
        <w:t>terms</w:t>
      </w:r>
      <w:r w:rsidR="00686A42" w:rsidRPr="00D5581F">
        <w:rPr>
          <w:noProof/>
        </w:rPr>
        <w:t>.</w:t>
      </w:r>
    </w:p>
    <w:p w14:paraId="311CB26F" w14:textId="54F2F177" w:rsidR="00686A42" w:rsidRPr="002D46FD" w:rsidRDefault="00686A42" w:rsidP="00D5581F">
      <w:pPr>
        <w:pStyle w:val="ListParagraph"/>
        <w:numPr>
          <w:ilvl w:val="0"/>
          <w:numId w:val="133"/>
        </w:numPr>
        <w:spacing w:after="120"/>
        <w:ind w:left="709" w:hanging="283"/>
        <w:rPr>
          <w:rFonts w:cs="Times New Roman"/>
          <w:noProof/>
        </w:rPr>
      </w:pPr>
      <w:r>
        <w:rPr>
          <w:noProof/>
        </w:rPr>
        <w:t>The monitoring and reporting supports policy evaluation and compliance checking in a more effective but also efficient way</w:t>
      </w:r>
      <w:r w:rsidR="00F85B9D">
        <w:rPr>
          <w:noProof/>
        </w:rPr>
        <w:t>.</w:t>
      </w:r>
    </w:p>
    <w:p w14:paraId="1FDE4643" w14:textId="3C934CE4" w:rsidR="00EB6E24" w:rsidRPr="00EB6E24" w:rsidRDefault="00EB6E24" w:rsidP="00EB6E24">
      <w:pPr>
        <w:spacing w:after="120"/>
        <w:rPr>
          <w:noProof/>
        </w:rPr>
      </w:pPr>
      <w:r>
        <w:rPr>
          <w:noProof/>
        </w:rPr>
        <w:t>A</w:t>
      </w:r>
      <w:r w:rsidR="00A7107B">
        <w:rPr>
          <w:noProof/>
        </w:rPr>
        <w:t xml:space="preserve">n evaluation of the Regulation </w:t>
      </w:r>
      <w:r>
        <w:rPr>
          <w:noProof/>
        </w:rPr>
        <w:t xml:space="preserve">on the basis of these data may be envisaged </w:t>
      </w:r>
      <w:r w:rsidR="00A7107B">
        <w:rPr>
          <w:noProof/>
        </w:rPr>
        <w:t>for</w:t>
      </w:r>
      <w:r>
        <w:rPr>
          <w:noProof/>
        </w:rPr>
        <w:t xml:space="preserve"> 2033.</w:t>
      </w:r>
    </w:p>
    <w:p w14:paraId="2E47829A" w14:textId="77777777" w:rsidR="00231760" w:rsidRPr="00231760" w:rsidRDefault="3982CBDC" w:rsidP="00102442">
      <w:pPr>
        <w:pStyle w:val="AppendixHeadingLevel1"/>
        <w:numPr>
          <w:ilvl w:val="0"/>
          <w:numId w:val="3"/>
        </w:numPr>
        <w:rPr>
          <w:noProof/>
        </w:rPr>
      </w:pPr>
      <w:bookmarkStart w:id="340" w:name="_Toc71559432"/>
      <w:bookmarkStart w:id="341" w:name="_Toc71561869"/>
      <w:bookmarkStart w:id="342" w:name="_Toc88571937"/>
      <w:bookmarkStart w:id="343" w:name="_Toc94629530"/>
      <w:bookmarkStart w:id="344" w:name="_Toc98857774"/>
      <w:r>
        <w:rPr>
          <w:noProof/>
        </w:rPr>
        <w:t>Procedural information</w:t>
      </w:r>
      <w:bookmarkEnd w:id="340"/>
      <w:bookmarkEnd w:id="341"/>
      <w:bookmarkEnd w:id="342"/>
      <w:bookmarkEnd w:id="343"/>
      <w:bookmarkEnd w:id="344"/>
    </w:p>
    <w:p w14:paraId="086A1F19" w14:textId="77777777" w:rsidR="00231760" w:rsidRPr="00231760" w:rsidRDefault="3982CBDC" w:rsidP="00074946">
      <w:pPr>
        <w:pStyle w:val="AppendixHeadingLevel2"/>
        <w:numPr>
          <w:ilvl w:val="1"/>
          <w:numId w:val="3"/>
        </w:numPr>
        <w:rPr>
          <w:noProof/>
        </w:rPr>
      </w:pPr>
      <w:bookmarkStart w:id="345" w:name="_Toc471997754"/>
      <w:bookmarkStart w:id="346" w:name="_Toc71559433"/>
      <w:bookmarkStart w:id="347" w:name="_Toc71561870"/>
      <w:r>
        <w:rPr>
          <w:noProof/>
        </w:rPr>
        <w:t>Lead DG, D</w:t>
      </w:r>
      <w:r w:rsidRPr="3982CBDC">
        <w:rPr>
          <w:i/>
          <w:noProof/>
        </w:rPr>
        <w:t>e</w:t>
      </w:r>
      <w:r>
        <w:rPr>
          <w:noProof/>
        </w:rPr>
        <w:t>cide Planning/CWP references</w:t>
      </w:r>
      <w:bookmarkEnd w:id="345"/>
      <w:bookmarkEnd w:id="346"/>
      <w:bookmarkEnd w:id="347"/>
    </w:p>
    <w:p w14:paraId="6A37AAB1" w14:textId="77777777" w:rsidR="00231760" w:rsidRPr="00231760" w:rsidRDefault="3982CBDC" w:rsidP="00AD5F1B">
      <w:pPr>
        <w:numPr>
          <w:ilvl w:val="0"/>
          <w:numId w:val="18"/>
        </w:numPr>
        <w:spacing w:after="160"/>
        <w:ind w:left="426" w:hanging="426"/>
        <w:contextualSpacing/>
        <w:rPr>
          <w:rFonts w:eastAsia="Calibri" w:cs="Times New Roman"/>
          <w:noProof/>
        </w:rPr>
      </w:pPr>
      <w:r w:rsidRPr="3982CBDC">
        <w:rPr>
          <w:rFonts w:eastAsia="Calibri" w:cs="Times New Roman"/>
          <w:noProof/>
        </w:rPr>
        <w:t xml:space="preserve">Lead Directorate-General (DG) of the European Commission: DG Climate Action (DG CLIMA). </w:t>
      </w:r>
    </w:p>
    <w:p w14:paraId="749C335F" w14:textId="467EDBDB" w:rsidR="00231760" w:rsidRDefault="3982CBDC" w:rsidP="00AD5F1B">
      <w:pPr>
        <w:numPr>
          <w:ilvl w:val="0"/>
          <w:numId w:val="18"/>
        </w:numPr>
        <w:spacing w:after="160"/>
        <w:ind w:left="426" w:hanging="426"/>
        <w:contextualSpacing/>
        <w:rPr>
          <w:rFonts w:eastAsia="Calibri" w:cs="Times New Roman"/>
          <w:noProof/>
        </w:rPr>
      </w:pPr>
      <w:r w:rsidRPr="3982CBDC">
        <w:rPr>
          <w:rFonts w:eastAsia="Calibri" w:cs="Times New Roman"/>
          <w:noProof/>
        </w:rPr>
        <w:t>Decide Planning reference</w:t>
      </w:r>
      <w:r w:rsidRPr="0042421E">
        <w:rPr>
          <w:rFonts w:eastAsia="Calibri" w:cs="Times New Roman"/>
          <w:noProof/>
        </w:rPr>
        <w:t>: PLAN/20</w:t>
      </w:r>
      <w:r w:rsidR="00D82A82">
        <w:rPr>
          <w:rFonts w:eastAsia="Calibri" w:cs="Times New Roman"/>
          <w:noProof/>
        </w:rPr>
        <w:t>21</w:t>
      </w:r>
      <w:r w:rsidRPr="0042421E">
        <w:rPr>
          <w:rFonts w:eastAsia="Calibri" w:cs="Times New Roman"/>
          <w:noProof/>
        </w:rPr>
        <w:t>/</w:t>
      </w:r>
      <w:r w:rsidR="00D82A82">
        <w:rPr>
          <w:rFonts w:eastAsia="Calibri" w:cs="Times New Roman"/>
          <w:noProof/>
        </w:rPr>
        <w:t>11035</w:t>
      </w:r>
      <w:r w:rsidRPr="0042421E">
        <w:rPr>
          <w:rFonts w:eastAsia="Calibri" w:cs="Times New Roman"/>
          <w:noProof/>
        </w:rPr>
        <w:t xml:space="preserve"> </w:t>
      </w:r>
      <w:r w:rsidR="0042421E" w:rsidRPr="0042421E">
        <w:rPr>
          <w:rFonts w:eastAsia="Calibri" w:cs="Times New Roman"/>
          <w:noProof/>
        </w:rPr>
        <w:t xml:space="preserve">“Review of rules on fluorinated </w:t>
      </w:r>
      <w:r w:rsidR="001C3A3C">
        <w:rPr>
          <w:rFonts w:eastAsia="Calibri" w:cs="Times New Roman"/>
          <w:noProof/>
        </w:rPr>
        <w:t xml:space="preserve">greenhouse </w:t>
      </w:r>
      <w:r w:rsidR="0042421E" w:rsidRPr="0042421E">
        <w:rPr>
          <w:rFonts w:eastAsia="Calibri" w:cs="Times New Roman"/>
          <w:noProof/>
        </w:rPr>
        <w:t>gases”</w:t>
      </w:r>
      <w:r w:rsidRPr="0042421E">
        <w:rPr>
          <w:rFonts w:eastAsia="Calibri" w:cs="Times New Roman"/>
          <w:noProof/>
        </w:rPr>
        <w:t>.</w:t>
      </w:r>
    </w:p>
    <w:p w14:paraId="69BF11FD" w14:textId="5DEDB092" w:rsidR="00387F24" w:rsidRPr="00DD4527" w:rsidRDefault="3982CBDC" w:rsidP="00DD4527">
      <w:pPr>
        <w:numPr>
          <w:ilvl w:val="0"/>
          <w:numId w:val="18"/>
        </w:numPr>
        <w:spacing w:after="160"/>
        <w:ind w:left="426" w:hanging="426"/>
        <w:contextualSpacing/>
        <w:rPr>
          <w:rFonts w:eastAsia="Calibri" w:cs="Times New Roman"/>
          <w:noProof/>
        </w:rPr>
      </w:pPr>
      <w:r w:rsidRPr="3982CBDC">
        <w:rPr>
          <w:rFonts w:eastAsia="Calibri" w:cs="Times New Roman"/>
          <w:noProof/>
        </w:rPr>
        <w:t>An evaluation of the current Regulation was carried out in parallel with the impact assessment.</w:t>
      </w:r>
    </w:p>
    <w:p w14:paraId="622214F0" w14:textId="77777777" w:rsidR="00231760" w:rsidRPr="00231760" w:rsidRDefault="3982CBDC" w:rsidP="0017603A">
      <w:pPr>
        <w:pStyle w:val="AppendixHeadingLevel2"/>
        <w:numPr>
          <w:ilvl w:val="1"/>
          <w:numId w:val="106"/>
        </w:numPr>
        <w:rPr>
          <w:noProof/>
        </w:rPr>
      </w:pPr>
      <w:bookmarkStart w:id="348" w:name="_Toc471997755"/>
      <w:bookmarkStart w:id="349" w:name="_Toc71559434"/>
      <w:bookmarkStart w:id="350" w:name="_Toc71561871"/>
      <w:r>
        <w:rPr>
          <w:noProof/>
        </w:rPr>
        <w:t>Organisation and timing</w:t>
      </w:r>
      <w:bookmarkEnd w:id="348"/>
      <w:bookmarkEnd w:id="349"/>
      <w:bookmarkEnd w:id="350"/>
    </w:p>
    <w:p w14:paraId="508A28F5" w14:textId="77777777" w:rsidR="00231760" w:rsidRPr="00BD7F0E" w:rsidRDefault="3982CBDC" w:rsidP="005A2BC1">
      <w:pPr>
        <w:numPr>
          <w:ilvl w:val="0"/>
          <w:numId w:val="19"/>
        </w:numPr>
        <w:spacing w:after="120"/>
        <w:ind w:left="426" w:hanging="426"/>
        <w:rPr>
          <w:rFonts w:eastAsia="Calibri" w:cs="Times New Roman"/>
          <w:noProof/>
          <w:szCs w:val="24"/>
        </w:rPr>
      </w:pPr>
      <w:r w:rsidRPr="00BD7F0E">
        <w:rPr>
          <w:rFonts w:eastAsia="Calibri" w:cs="Times New Roman"/>
          <w:noProof/>
          <w:szCs w:val="24"/>
        </w:rPr>
        <w:t xml:space="preserve">As per the Better Regulation Guidelines, an </w:t>
      </w:r>
      <w:r w:rsidRPr="00BD7F0E">
        <w:rPr>
          <w:rFonts w:eastAsia="Calibri" w:cs="Times New Roman"/>
          <w:b/>
          <w:noProof/>
          <w:szCs w:val="24"/>
        </w:rPr>
        <w:t>Interservice Group</w:t>
      </w:r>
      <w:r w:rsidRPr="00BD7F0E">
        <w:rPr>
          <w:rFonts w:eastAsia="Calibri" w:cs="Times New Roman"/>
          <w:noProof/>
          <w:szCs w:val="24"/>
        </w:rPr>
        <w:t xml:space="preserve"> (ISG) was set up in April 2020 to follow and steer the assessment process as well as the evaluation of the current Regulation. The ISG ensured coherence and comprehensiveness with the Commission’s overall responsibilities and activities in related policy areas, such as environment, economic growth and customs.</w:t>
      </w:r>
    </w:p>
    <w:p w14:paraId="5F521CD0" w14:textId="77777777" w:rsidR="00231760" w:rsidRPr="00BD7F0E" w:rsidRDefault="3982CBDC" w:rsidP="005A2BC1">
      <w:pPr>
        <w:numPr>
          <w:ilvl w:val="0"/>
          <w:numId w:val="19"/>
        </w:numPr>
        <w:spacing w:after="120"/>
        <w:ind w:left="426" w:hanging="426"/>
        <w:rPr>
          <w:rFonts w:eastAsia="Calibri" w:cs="Times New Roman"/>
          <w:noProof/>
          <w:szCs w:val="24"/>
        </w:rPr>
      </w:pPr>
      <w:r w:rsidRPr="00BD7F0E">
        <w:rPr>
          <w:rFonts w:eastAsia="Calibri" w:cs="Times New Roman"/>
          <w:noProof/>
          <w:szCs w:val="24"/>
        </w:rPr>
        <w:t>The ISG for this evaluation involved staff from the following Commission’s departments in addition to DG Climate Action: DG ENER, DG ENV, DG GROW, DG TAXUD, DG TRADE, Legal Service, and Secretariat-General. Also invited to meetings and receiving the background information, but not attending, was DG MOVE.</w:t>
      </w:r>
    </w:p>
    <w:p w14:paraId="6C284149" w14:textId="4CAF52D5" w:rsidR="00231760" w:rsidRDefault="3982CBDC" w:rsidP="005A2BC1">
      <w:pPr>
        <w:numPr>
          <w:ilvl w:val="0"/>
          <w:numId w:val="19"/>
        </w:numPr>
        <w:spacing w:after="120"/>
        <w:ind w:left="425" w:hanging="425"/>
        <w:rPr>
          <w:rFonts w:eastAsia="Calibri" w:cs="Times New Roman"/>
          <w:noProof/>
          <w:szCs w:val="24"/>
        </w:rPr>
      </w:pPr>
      <w:r w:rsidRPr="00BD7F0E">
        <w:rPr>
          <w:rFonts w:eastAsia="Calibri" w:cs="Times New Roman"/>
          <w:noProof/>
          <w:szCs w:val="24"/>
        </w:rPr>
        <w:t xml:space="preserve">The ISG met four times (per videoconference): 14 July 2020, 1 December 2020, 17 March 2021 and 28 October 2021. In addition, there was a short update meeting on 15 July 2021. Through these meetings and several written exchanges, the ISG participated in the whole impact assessment and evaluation process leading to the finalisation of the external study and this Staff Working Document. </w:t>
      </w:r>
      <w:r w:rsidR="001949B4" w:rsidRPr="001949B4">
        <w:rPr>
          <w:rFonts w:eastAsia="Calibri" w:cs="Times New Roman"/>
          <w:noProof/>
          <w:szCs w:val="24"/>
        </w:rPr>
        <w:t>Prior to submission to the RSB</w:t>
      </w:r>
      <w:r w:rsidR="005A2BC1">
        <w:rPr>
          <w:rFonts w:eastAsia="Calibri" w:cs="Times New Roman"/>
          <w:noProof/>
          <w:szCs w:val="24"/>
        </w:rPr>
        <w:t>,</w:t>
      </w:r>
      <w:r w:rsidR="001949B4" w:rsidRPr="001949B4">
        <w:rPr>
          <w:rFonts w:eastAsia="Calibri" w:cs="Times New Roman"/>
          <w:noProof/>
          <w:szCs w:val="24"/>
        </w:rPr>
        <w:t xml:space="preserve"> the final document, after comments from DGs following the meeting on 28 October 2021 had been integra</w:t>
      </w:r>
      <w:r w:rsidR="005A2BC1">
        <w:rPr>
          <w:rFonts w:eastAsia="Calibri" w:cs="Times New Roman"/>
          <w:noProof/>
          <w:szCs w:val="24"/>
        </w:rPr>
        <w:t>ted, was circulated again on 9</w:t>
      </w:r>
      <w:r w:rsidR="001949B4" w:rsidRPr="001949B4">
        <w:rPr>
          <w:rFonts w:eastAsia="Calibri" w:cs="Times New Roman"/>
          <w:noProof/>
          <w:szCs w:val="24"/>
        </w:rPr>
        <w:t xml:space="preserve"> December. SG and TAXUD had a few additional comments that were taken into account.</w:t>
      </w:r>
      <w:r w:rsidR="00383F09">
        <w:rPr>
          <w:rFonts w:eastAsia="Calibri" w:cs="Times New Roman"/>
          <w:noProof/>
          <w:szCs w:val="24"/>
        </w:rPr>
        <w:t xml:space="preserve"> </w:t>
      </w:r>
    </w:p>
    <w:p w14:paraId="7B2442CB" w14:textId="1137D16D" w:rsidR="00231760" w:rsidRPr="00BD7F0E" w:rsidRDefault="3982CBDC" w:rsidP="005A2BC1">
      <w:pPr>
        <w:numPr>
          <w:ilvl w:val="0"/>
          <w:numId w:val="19"/>
        </w:numPr>
        <w:spacing w:after="120"/>
        <w:ind w:left="425" w:hanging="425"/>
        <w:rPr>
          <w:rFonts w:eastAsia="Calibri" w:cs="Times New Roman"/>
          <w:noProof/>
          <w:szCs w:val="24"/>
        </w:rPr>
      </w:pPr>
      <w:r w:rsidRPr="00BD7F0E">
        <w:rPr>
          <w:rFonts w:eastAsia="Calibri" w:cs="Times New Roman"/>
          <w:noProof/>
          <w:szCs w:val="24"/>
        </w:rPr>
        <w:t xml:space="preserve">The Commission signed a contract for a </w:t>
      </w:r>
      <w:r w:rsidRPr="00BD7F0E">
        <w:rPr>
          <w:rFonts w:eastAsia="Calibri" w:cs="Times New Roman"/>
          <w:b/>
          <w:noProof/>
          <w:szCs w:val="24"/>
        </w:rPr>
        <w:t>support study</w:t>
      </w:r>
      <w:r w:rsidRPr="00BD7F0E">
        <w:rPr>
          <w:rFonts w:eastAsia="Calibri" w:cs="Times New Roman"/>
          <w:noProof/>
          <w:szCs w:val="24"/>
        </w:rPr>
        <w:t xml:space="preserve"> on the impact assessment (contract ref.</w:t>
      </w:r>
      <w:r w:rsidRPr="00BD7F0E">
        <w:rPr>
          <w:rFonts w:eastAsia="Times New Roman" w:cs="Times New Roman"/>
          <w:noProof/>
          <w:szCs w:val="24"/>
          <w:lang w:eastAsia="en-GB"/>
        </w:rPr>
        <w:t xml:space="preserve"> </w:t>
      </w:r>
      <w:r w:rsidRPr="00BD7F0E">
        <w:rPr>
          <w:rFonts w:eastAsia="Calibri" w:cs="Times New Roman"/>
          <w:noProof/>
          <w:szCs w:val="24"/>
        </w:rPr>
        <w:t>340201/2020/826738/ETU/CLIMA.A.2) on 18 March 2020. The final impact assessment report o</w:t>
      </w:r>
      <w:r w:rsidR="005A2BC1">
        <w:rPr>
          <w:rFonts w:eastAsia="Calibri" w:cs="Times New Roman"/>
          <w:noProof/>
          <w:szCs w:val="24"/>
        </w:rPr>
        <w:t>f the support study was received</w:t>
      </w:r>
      <w:r w:rsidRPr="00BD7F0E">
        <w:rPr>
          <w:rFonts w:eastAsia="Calibri" w:cs="Times New Roman"/>
          <w:noProof/>
          <w:szCs w:val="24"/>
        </w:rPr>
        <w:t xml:space="preserve"> on </w:t>
      </w:r>
      <w:r w:rsidR="005A2BC1">
        <w:rPr>
          <w:rFonts w:eastAsia="Calibri" w:cs="Times New Roman"/>
          <w:noProof/>
          <w:szCs w:val="24"/>
        </w:rPr>
        <w:t>15 December.</w:t>
      </w:r>
    </w:p>
    <w:p w14:paraId="39235DEF" w14:textId="77777777" w:rsidR="00231760" w:rsidRPr="00BD7F0E" w:rsidRDefault="00231760" w:rsidP="005A2BC1">
      <w:pPr>
        <w:numPr>
          <w:ilvl w:val="0"/>
          <w:numId w:val="19"/>
        </w:numPr>
        <w:spacing w:after="120"/>
        <w:ind w:left="425" w:hanging="425"/>
        <w:rPr>
          <w:rFonts w:eastAsia="Calibri" w:cs="Times New Roman"/>
          <w:noProof/>
          <w:szCs w:val="24"/>
        </w:rPr>
      </w:pPr>
      <w:r w:rsidRPr="00BD7F0E">
        <w:rPr>
          <w:rFonts w:eastAsia="Calibri" w:cs="Times New Roman"/>
          <w:noProof/>
          <w:szCs w:val="24"/>
        </w:rPr>
        <w:t xml:space="preserve">An </w:t>
      </w:r>
      <w:r w:rsidRPr="00BD7F0E">
        <w:rPr>
          <w:rFonts w:eastAsia="Calibri" w:cs="Times New Roman"/>
          <w:b/>
          <w:noProof/>
          <w:szCs w:val="24"/>
        </w:rPr>
        <w:t>inception impact assessment</w:t>
      </w:r>
      <w:r w:rsidR="000A772B" w:rsidRPr="00BD7F0E">
        <w:rPr>
          <w:rFonts w:eastAsia="Calibri" w:cs="Times New Roman"/>
          <w:noProof/>
          <w:szCs w:val="24"/>
        </w:rPr>
        <w:t xml:space="preserve"> was published on 29 June</w:t>
      </w:r>
      <w:r w:rsidRPr="00BD7F0E">
        <w:rPr>
          <w:rFonts w:eastAsia="Calibri" w:cs="Times New Roman"/>
          <w:noProof/>
          <w:szCs w:val="24"/>
        </w:rPr>
        <w:t xml:space="preserve"> 2020 on the Commission's Europa web site</w:t>
      </w:r>
      <w:r w:rsidRPr="00BD7F0E">
        <w:rPr>
          <w:rFonts w:eastAsia="Calibri" w:cs="Times New Roman"/>
          <w:noProof/>
          <w:szCs w:val="24"/>
          <w:vertAlign w:val="superscript"/>
        </w:rPr>
        <w:footnoteReference w:id="114"/>
      </w:r>
      <w:r w:rsidRPr="00BD7F0E">
        <w:rPr>
          <w:rFonts w:eastAsia="Calibri" w:cs="Times New Roman"/>
          <w:noProof/>
          <w:szCs w:val="24"/>
        </w:rPr>
        <w:t>. The feedbac</w:t>
      </w:r>
      <w:r w:rsidR="000A772B" w:rsidRPr="00BD7F0E">
        <w:rPr>
          <w:rFonts w:eastAsia="Calibri" w:cs="Times New Roman"/>
          <w:noProof/>
          <w:szCs w:val="24"/>
        </w:rPr>
        <w:t>k period was open until 7 September</w:t>
      </w:r>
      <w:r w:rsidRPr="00BD7F0E">
        <w:rPr>
          <w:rFonts w:eastAsia="Calibri" w:cs="Times New Roman"/>
          <w:noProof/>
          <w:szCs w:val="24"/>
        </w:rPr>
        <w:t xml:space="preserve"> 2020.</w:t>
      </w:r>
    </w:p>
    <w:p w14:paraId="1CD75ACA" w14:textId="41B7D656" w:rsidR="00231760" w:rsidRPr="00BD7F0E" w:rsidRDefault="00231760" w:rsidP="005A2BC1">
      <w:pPr>
        <w:numPr>
          <w:ilvl w:val="0"/>
          <w:numId w:val="19"/>
        </w:numPr>
        <w:spacing w:after="120"/>
        <w:ind w:left="425" w:hanging="425"/>
        <w:rPr>
          <w:rFonts w:eastAsia="Calibri" w:cs="Times New Roman"/>
          <w:noProof/>
          <w:szCs w:val="24"/>
        </w:rPr>
      </w:pPr>
      <w:r w:rsidRPr="00BD7F0E">
        <w:rPr>
          <w:rFonts w:eastAsia="Calibri" w:cs="Times New Roman"/>
          <w:noProof/>
          <w:szCs w:val="24"/>
        </w:rPr>
        <w:t>A</w:t>
      </w:r>
      <w:r w:rsidRPr="00BD7F0E">
        <w:rPr>
          <w:rFonts w:eastAsia="Calibri" w:cs="Times New Roman"/>
          <w:b/>
          <w:noProof/>
          <w:szCs w:val="24"/>
        </w:rPr>
        <w:t xml:space="preserve"> public consultation</w:t>
      </w:r>
      <w:r w:rsidR="000A772B" w:rsidRPr="00BD7F0E">
        <w:rPr>
          <w:rFonts w:eastAsia="Calibri" w:cs="Times New Roman"/>
          <w:noProof/>
          <w:szCs w:val="24"/>
        </w:rPr>
        <w:t xml:space="preserve"> ran from 15 September 2020 to 29 December 2020 (16</w:t>
      </w:r>
      <w:r w:rsidRPr="00BD7F0E">
        <w:rPr>
          <w:rFonts w:eastAsia="Calibri" w:cs="Times New Roman"/>
          <w:noProof/>
          <w:szCs w:val="24"/>
        </w:rPr>
        <w:t xml:space="preserve"> weeks, extended because of </w:t>
      </w:r>
      <w:r w:rsidR="000A772B" w:rsidRPr="00BD7F0E">
        <w:rPr>
          <w:rFonts w:eastAsia="Calibri" w:cs="Times New Roman"/>
          <w:noProof/>
          <w:szCs w:val="24"/>
        </w:rPr>
        <w:t>the</w:t>
      </w:r>
      <w:r w:rsidRPr="00BD7F0E">
        <w:rPr>
          <w:rFonts w:eastAsia="Calibri" w:cs="Times New Roman"/>
          <w:noProof/>
          <w:szCs w:val="24"/>
        </w:rPr>
        <w:t xml:space="preserve"> pandemic). The results have been published online.</w:t>
      </w:r>
      <w:r w:rsidRPr="00BD7F0E">
        <w:rPr>
          <w:rFonts w:eastAsia="Calibri" w:cs="Times New Roman"/>
          <w:noProof/>
          <w:szCs w:val="24"/>
          <w:vertAlign w:val="superscript"/>
        </w:rPr>
        <w:footnoteReference w:id="115"/>
      </w:r>
    </w:p>
    <w:p w14:paraId="0CC2BD5F" w14:textId="4B667EA2" w:rsidR="00231760" w:rsidRPr="00BD7F0E" w:rsidRDefault="3982CBDC" w:rsidP="005A2BC1">
      <w:pPr>
        <w:numPr>
          <w:ilvl w:val="0"/>
          <w:numId w:val="19"/>
        </w:numPr>
        <w:spacing w:after="120"/>
        <w:ind w:left="425" w:hanging="425"/>
        <w:rPr>
          <w:rFonts w:eastAsia="Calibri" w:cs="Times New Roman"/>
          <w:noProof/>
          <w:szCs w:val="24"/>
        </w:rPr>
      </w:pPr>
      <w:r w:rsidRPr="00BD7F0E">
        <w:rPr>
          <w:rFonts w:eastAsia="Calibri" w:cs="Times New Roman"/>
          <w:noProof/>
          <w:szCs w:val="24"/>
        </w:rPr>
        <w:t xml:space="preserve">The meeting with the </w:t>
      </w:r>
      <w:r w:rsidRPr="00BD7F0E">
        <w:rPr>
          <w:rFonts w:eastAsia="Calibri" w:cs="Times New Roman"/>
          <w:b/>
          <w:noProof/>
          <w:szCs w:val="24"/>
        </w:rPr>
        <w:t>Regulatory Scrutiny Board</w:t>
      </w:r>
      <w:r w:rsidRPr="00BD7F0E">
        <w:rPr>
          <w:rFonts w:eastAsia="Calibri" w:cs="Times New Roman"/>
          <w:noProof/>
          <w:szCs w:val="24"/>
        </w:rPr>
        <w:t xml:space="preserve"> (RSB) took place on </w:t>
      </w:r>
      <w:r w:rsidR="00197F47" w:rsidRPr="00BD7F0E">
        <w:rPr>
          <w:rFonts w:eastAsia="Calibri" w:cs="Times New Roman"/>
          <w:noProof/>
          <w:szCs w:val="24"/>
        </w:rPr>
        <w:t>19 January 2022</w:t>
      </w:r>
    </w:p>
    <w:p w14:paraId="3EE54A9A" w14:textId="3B63A064" w:rsidR="00231760" w:rsidRPr="00231760" w:rsidRDefault="3982CBDC" w:rsidP="0017603A">
      <w:pPr>
        <w:pStyle w:val="AppendixHeadingLevel2"/>
        <w:numPr>
          <w:ilvl w:val="1"/>
          <w:numId w:val="106"/>
        </w:numPr>
        <w:rPr>
          <w:noProof/>
        </w:rPr>
      </w:pPr>
      <w:bookmarkStart w:id="351" w:name="_Toc471997757"/>
      <w:bookmarkStart w:id="352" w:name="_Toc71559435"/>
      <w:bookmarkStart w:id="353" w:name="_Toc71561872"/>
      <w:r>
        <w:rPr>
          <w:noProof/>
        </w:rPr>
        <w:t>Consultation of the R</w:t>
      </w:r>
      <w:r w:rsidR="00D00AA0">
        <w:rPr>
          <w:noProof/>
        </w:rPr>
        <w:t>egulatory Scrutiny Board</w:t>
      </w:r>
      <w:bookmarkEnd w:id="351"/>
      <w:bookmarkEnd w:id="352"/>
      <w:bookmarkEnd w:id="353"/>
    </w:p>
    <w:p w14:paraId="75C63241" w14:textId="7A669C30" w:rsidR="00D00AA0" w:rsidRDefault="3982CBDC" w:rsidP="00CD4ACE">
      <w:pPr>
        <w:spacing w:after="120"/>
        <w:rPr>
          <w:rFonts w:eastAsia="Calibri" w:cs="Times New Roman"/>
          <w:noProof/>
        </w:rPr>
      </w:pPr>
      <w:r w:rsidRPr="005D4198">
        <w:rPr>
          <w:rFonts w:eastAsia="Calibri" w:cs="Times New Roman"/>
          <w:noProof/>
        </w:rPr>
        <w:t>Th</w:t>
      </w:r>
      <w:r w:rsidR="00EB5A41" w:rsidRPr="005D4198">
        <w:rPr>
          <w:rFonts w:eastAsia="Calibri" w:cs="Times New Roman"/>
          <w:noProof/>
        </w:rPr>
        <w:t>e R</w:t>
      </w:r>
      <w:r w:rsidR="00D00AA0">
        <w:rPr>
          <w:rFonts w:eastAsia="Calibri" w:cs="Times New Roman"/>
          <w:noProof/>
        </w:rPr>
        <w:t xml:space="preserve">egulatory </w:t>
      </w:r>
      <w:r w:rsidR="00EB5A41" w:rsidRPr="005D4198">
        <w:rPr>
          <w:rFonts w:eastAsia="Calibri" w:cs="Times New Roman"/>
          <w:noProof/>
        </w:rPr>
        <w:t>S</w:t>
      </w:r>
      <w:r w:rsidR="00D00AA0">
        <w:rPr>
          <w:rFonts w:eastAsia="Calibri" w:cs="Times New Roman"/>
          <w:noProof/>
        </w:rPr>
        <w:t>crutiny Board</w:t>
      </w:r>
      <w:r w:rsidR="00EB5A41" w:rsidRPr="005D4198">
        <w:rPr>
          <w:rFonts w:eastAsia="Calibri" w:cs="Times New Roman"/>
          <w:noProof/>
        </w:rPr>
        <w:t xml:space="preserve"> was consulted o</w:t>
      </w:r>
      <w:r w:rsidRPr="005D4198">
        <w:rPr>
          <w:rFonts w:eastAsia="Calibri" w:cs="Times New Roman"/>
          <w:noProof/>
        </w:rPr>
        <w:t xml:space="preserve">n </w:t>
      </w:r>
      <w:r w:rsidR="00383F09" w:rsidRPr="005D4198">
        <w:rPr>
          <w:rFonts w:eastAsia="Calibri" w:cs="Times New Roman"/>
          <w:noProof/>
        </w:rPr>
        <w:t>19</w:t>
      </w:r>
      <w:r w:rsidR="00BD50DF" w:rsidRPr="005D4198">
        <w:rPr>
          <w:rFonts w:eastAsia="Calibri" w:cs="Times New Roman"/>
          <w:noProof/>
        </w:rPr>
        <w:t xml:space="preserve"> January 2022</w:t>
      </w:r>
      <w:r w:rsidRPr="005D4198">
        <w:rPr>
          <w:rFonts w:eastAsia="Calibri" w:cs="Times New Roman"/>
          <w:noProof/>
        </w:rPr>
        <w:t>.</w:t>
      </w:r>
      <w:r w:rsidR="00BB3F89">
        <w:rPr>
          <w:rFonts w:eastAsia="Calibri" w:cs="Times New Roman"/>
          <w:noProof/>
        </w:rPr>
        <w:t xml:space="preserve"> A </w:t>
      </w:r>
      <w:r w:rsidR="002E3860">
        <w:rPr>
          <w:rFonts w:eastAsia="Calibri" w:cs="Times New Roman"/>
          <w:noProof/>
        </w:rPr>
        <w:t>request to resubmit the impact assessment</w:t>
      </w:r>
      <w:r w:rsidR="00BB3F89">
        <w:rPr>
          <w:rFonts w:eastAsia="Calibri" w:cs="Times New Roman"/>
          <w:noProof/>
        </w:rPr>
        <w:t xml:space="preserve"> was received on </w:t>
      </w:r>
      <w:r w:rsidR="000C7FCD">
        <w:rPr>
          <w:rFonts w:eastAsia="Calibri" w:cs="Times New Roman"/>
          <w:noProof/>
        </w:rPr>
        <w:t xml:space="preserve">21 </w:t>
      </w:r>
      <w:r w:rsidR="007C22DF">
        <w:rPr>
          <w:rFonts w:eastAsia="Calibri" w:cs="Times New Roman"/>
          <w:noProof/>
        </w:rPr>
        <w:t>January</w:t>
      </w:r>
      <w:r w:rsidR="000C7FCD">
        <w:rPr>
          <w:rFonts w:eastAsia="Calibri" w:cs="Times New Roman"/>
          <w:noProof/>
        </w:rPr>
        <w:t xml:space="preserve"> 2022. The document was revised and </w:t>
      </w:r>
      <w:r w:rsidR="00CA67B4">
        <w:rPr>
          <w:rFonts w:eastAsia="Calibri" w:cs="Times New Roman"/>
          <w:noProof/>
        </w:rPr>
        <w:t>sent to the ISG</w:t>
      </w:r>
      <w:r w:rsidR="00CD4ACE">
        <w:rPr>
          <w:rFonts w:eastAsia="Calibri" w:cs="Times New Roman"/>
          <w:noProof/>
        </w:rPr>
        <w:t xml:space="preserve"> and a</w:t>
      </w:r>
      <w:r w:rsidR="00CA67B4">
        <w:rPr>
          <w:rFonts w:eastAsia="Calibri" w:cs="Times New Roman"/>
          <w:noProof/>
        </w:rPr>
        <w:t xml:space="preserve"> subsequent ISG meeting was h</w:t>
      </w:r>
      <w:r w:rsidR="000C7FCD">
        <w:rPr>
          <w:rFonts w:eastAsia="Calibri" w:cs="Times New Roman"/>
          <w:noProof/>
        </w:rPr>
        <w:t>e</w:t>
      </w:r>
      <w:r w:rsidR="00CA67B4">
        <w:rPr>
          <w:rFonts w:eastAsia="Calibri" w:cs="Times New Roman"/>
          <w:noProof/>
        </w:rPr>
        <w:t>l</w:t>
      </w:r>
      <w:r w:rsidR="000C7FCD">
        <w:rPr>
          <w:rFonts w:eastAsia="Calibri" w:cs="Times New Roman"/>
          <w:noProof/>
        </w:rPr>
        <w:t xml:space="preserve">d on </w:t>
      </w:r>
      <w:r w:rsidR="00CA67B4">
        <w:rPr>
          <w:rFonts w:eastAsia="Calibri" w:cs="Times New Roman"/>
          <w:noProof/>
        </w:rPr>
        <w:t>4 February 2022</w:t>
      </w:r>
      <w:r w:rsidR="000C7FCD">
        <w:rPr>
          <w:rFonts w:eastAsia="Calibri" w:cs="Times New Roman"/>
          <w:noProof/>
        </w:rPr>
        <w:t xml:space="preserve">. </w:t>
      </w:r>
      <w:r w:rsidR="00CA67B4">
        <w:rPr>
          <w:rFonts w:eastAsia="Calibri" w:cs="Times New Roman"/>
          <w:noProof/>
        </w:rPr>
        <w:t xml:space="preserve">The other services had no comments on the revised version (present: BUDG, ENER, ENV, GROW, SG, TAXUD, TRADE; also invited: AGRI, MOVE, REGIO, SANTE, SJ). </w:t>
      </w:r>
      <w:r w:rsidR="000C7FCD">
        <w:rPr>
          <w:rFonts w:eastAsia="Calibri" w:cs="Times New Roman"/>
          <w:noProof/>
        </w:rPr>
        <w:t xml:space="preserve">The updated document was re-submitted on </w:t>
      </w:r>
      <w:r w:rsidR="00CA67B4" w:rsidRPr="00D54C84">
        <w:rPr>
          <w:rFonts w:eastAsia="Calibri" w:cs="Times New Roman"/>
          <w:noProof/>
        </w:rPr>
        <w:t>8</w:t>
      </w:r>
      <w:r w:rsidR="00CA67B4">
        <w:rPr>
          <w:rFonts w:eastAsia="Calibri" w:cs="Times New Roman"/>
          <w:noProof/>
        </w:rPr>
        <w:t xml:space="preserve"> February 2022</w:t>
      </w:r>
      <w:r w:rsidR="00023C46">
        <w:rPr>
          <w:rFonts w:eastAsia="Calibri" w:cs="Times New Roman"/>
          <w:noProof/>
        </w:rPr>
        <w:t xml:space="preserve"> on which a positive opinion with reservations </w:t>
      </w:r>
      <w:r w:rsidR="00C210E7">
        <w:rPr>
          <w:rFonts w:eastAsia="Calibri" w:cs="Times New Roman"/>
          <w:noProof/>
        </w:rPr>
        <w:t>was issued</w:t>
      </w:r>
      <w:r w:rsidR="00023C46">
        <w:rPr>
          <w:rFonts w:eastAsia="Calibri" w:cs="Times New Roman"/>
          <w:noProof/>
        </w:rPr>
        <w:t xml:space="preserve"> on 2</w:t>
      </w:r>
      <w:r w:rsidR="00F636C2">
        <w:rPr>
          <w:rFonts w:eastAsia="Calibri" w:cs="Times New Roman"/>
          <w:noProof/>
        </w:rPr>
        <w:t>5</w:t>
      </w:r>
      <w:r w:rsidR="00023C46">
        <w:rPr>
          <w:rFonts w:eastAsia="Calibri" w:cs="Times New Roman"/>
          <w:noProof/>
        </w:rPr>
        <w:t xml:space="preserve"> February 2022.</w:t>
      </w:r>
    </w:p>
    <w:p w14:paraId="50A1CE6E" w14:textId="2F977A68" w:rsidR="00D00AA0" w:rsidRPr="00D00AA0" w:rsidRDefault="00D00AA0" w:rsidP="0017603A">
      <w:pPr>
        <w:spacing w:after="120"/>
        <w:contextualSpacing/>
        <w:rPr>
          <w:rFonts w:eastAsia="Calibri" w:cs="Times New Roman"/>
          <w:noProof/>
        </w:rPr>
      </w:pPr>
      <w:r>
        <w:rPr>
          <w:rFonts w:eastAsia="Calibri" w:cs="Times New Roman"/>
          <w:noProof/>
        </w:rPr>
        <w:t>The Board</w:t>
      </w:r>
      <w:r w:rsidR="00F636C2">
        <w:rPr>
          <w:rFonts w:eastAsia="Calibri" w:cs="Times New Roman"/>
          <w:noProof/>
        </w:rPr>
        <w:t>’s</w:t>
      </w:r>
      <w:r>
        <w:rPr>
          <w:rFonts w:eastAsia="Calibri" w:cs="Times New Roman"/>
          <w:noProof/>
        </w:rPr>
        <w:t xml:space="preserve"> main comments </w:t>
      </w:r>
      <w:r w:rsidR="00023C46">
        <w:rPr>
          <w:rFonts w:eastAsia="Calibri" w:cs="Times New Roman"/>
          <w:noProof/>
        </w:rPr>
        <w:t xml:space="preserve">received on 21 January </w:t>
      </w:r>
      <w:r>
        <w:rPr>
          <w:rFonts w:eastAsia="Calibri" w:cs="Times New Roman"/>
          <w:noProof/>
        </w:rPr>
        <w:t xml:space="preserve">were addressed in </w:t>
      </w:r>
      <w:r w:rsidR="00DE5A1B">
        <w:rPr>
          <w:rFonts w:eastAsia="Calibri" w:cs="Times New Roman"/>
          <w:noProof/>
        </w:rPr>
        <w:t xml:space="preserve">the </w:t>
      </w:r>
      <w:r>
        <w:rPr>
          <w:rFonts w:eastAsia="Calibri" w:cs="Times New Roman"/>
          <w:noProof/>
        </w:rPr>
        <w:t>following way</w:t>
      </w:r>
      <w:r w:rsidR="00DE5A1B">
        <w:rPr>
          <w:rFonts w:eastAsia="Calibri" w:cs="Times New Roman"/>
          <w:noProof/>
        </w:rPr>
        <w:t>:</w:t>
      </w:r>
    </w:p>
    <w:p w14:paraId="69837EDA" w14:textId="379BF126" w:rsidR="00D00AA0" w:rsidRPr="00DE5A1B" w:rsidRDefault="00D00AA0" w:rsidP="00C43275">
      <w:pPr>
        <w:pStyle w:val="ListParagraph"/>
        <w:numPr>
          <w:ilvl w:val="0"/>
          <w:numId w:val="129"/>
        </w:numPr>
        <w:spacing w:after="120"/>
        <w:ind w:left="731" w:hanging="374"/>
        <w:contextualSpacing w:val="0"/>
        <w:rPr>
          <w:rFonts w:eastAsia="Calibri" w:cs="Times New Roman"/>
          <w:i/>
          <w:noProof/>
        </w:rPr>
      </w:pPr>
      <w:r w:rsidRPr="00DE5A1B">
        <w:rPr>
          <w:rFonts w:eastAsia="Calibri" w:cs="Times New Roman"/>
          <w:i/>
          <w:noProof/>
        </w:rPr>
        <w:t xml:space="preserve">The Board commented that the report is unclear about the contribution of this initiative to the Climate Target Plan and about the coherent articulation between the F-gas Regulation and the Effort Sharing Regulation </w:t>
      </w:r>
      <w:r w:rsidR="00DE5A1B">
        <w:rPr>
          <w:rFonts w:eastAsia="Calibri" w:cs="Times New Roman"/>
          <w:i/>
          <w:noProof/>
        </w:rPr>
        <w:t xml:space="preserve">(ESR) </w:t>
      </w:r>
      <w:r w:rsidRPr="00DE5A1B">
        <w:rPr>
          <w:rFonts w:eastAsia="Calibri" w:cs="Times New Roman"/>
          <w:i/>
          <w:noProof/>
        </w:rPr>
        <w:t>obligations.</w:t>
      </w:r>
    </w:p>
    <w:p w14:paraId="69869371" w14:textId="03DD6E4B" w:rsidR="008250D8" w:rsidRPr="0017603A" w:rsidRDefault="00DE5A1B" w:rsidP="0017603A">
      <w:pPr>
        <w:pStyle w:val="ListParagraph"/>
        <w:spacing w:after="120"/>
        <w:ind w:left="0"/>
        <w:contextualSpacing w:val="0"/>
        <w:rPr>
          <w:rFonts w:eastAsia="Calibri" w:cs="Times New Roman"/>
          <w:noProof/>
        </w:rPr>
      </w:pPr>
      <w:r>
        <w:rPr>
          <w:rFonts w:eastAsia="Calibri" w:cs="Times New Roman"/>
          <w:noProof/>
        </w:rPr>
        <w:t>In response,</w:t>
      </w:r>
      <w:r w:rsidR="00D00AA0">
        <w:rPr>
          <w:rFonts w:eastAsia="Calibri" w:cs="Times New Roman"/>
          <w:noProof/>
        </w:rPr>
        <w:t xml:space="preserve"> the introdu</w:t>
      </w:r>
      <w:r>
        <w:rPr>
          <w:rFonts w:eastAsia="Calibri" w:cs="Times New Roman"/>
          <w:noProof/>
        </w:rPr>
        <w:t>ction and problem definition were</w:t>
      </w:r>
      <w:r w:rsidR="00D00AA0">
        <w:rPr>
          <w:rFonts w:eastAsia="Calibri" w:cs="Times New Roman"/>
          <w:noProof/>
        </w:rPr>
        <w:t xml:space="preserve"> substantially revised to better express the relationship of the </w:t>
      </w:r>
      <w:r>
        <w:rPr>
          <w:rFonts w:eastAsia="Calibri" w:cs="Times New Roman"/>
          <w:noProof/>
        </w:rPr>
        <w:t xml:space="preserve">obligations contained in the </w:t>
      </w:r>
      <w:r w:rsidR="006D5974">
        <w:rPr>
          <w:rFonts w:eastAsia="Calibri" w:cs="Times New Roman"/>
          <w:noProof/>
        </w:rPr>
        <w:t>R</w:t>
      </w:r>
      <w:r w:rsidR="00D00AA0">
        <w:rPr>
          <w:rFonts w:eastAsia="Calibri" w:cs="Times New Roman"/>
          <w:noProof/>
        </w:rPr>
        <w:t xml:space="preserve">egulation and the </w:t>
      </w:r>
      <w:r>
        <w:rPr>
          <w:rFonts w:eastAsia="Calibri" w:cs="Times New Roman"/>
          <w:noProof/>
        </w:rPr>
        <w:t>ESR. It i</w:t>
      </w:r>
      <w:r w:rsidR="00D00AA0">
        <w:rPr>
          <w:rFonts w:eastAsia="Calibri" w:cs="Times New Roman"/>
          <w:noProof/>
        </w:rPr>
        <w:t xml:space="preserve">s clarified that the </w:t>
      </w:r>
      <w:r w:rsidR="006D5974">
        <w:rPr>
          <w:rFonts w:eastAsia="Calibri" w:cs="Times New Roman"/>
          <w:noProof/>
        </w:rPr>
        <w:t>R</w:t>
      </w:r>
      <w:r w:rsidR="00D00AA0">
        <w:rPr>
          <w:rFonts w:eastAsia="Calibri" w:cs="Times New Roman"/>
          <w:noProof/>
        </w:rPr>
        <w:t xml:space="preserve">egulation requires </w:t>
      </w:r>
      <w:r>
        <w:rPr>
          <w:rFonts w:eastAsia="Calibri" w:cs="Times New Roman"/>
          <w:noProof/>
        </w:rPr>
        <w:t xml:space="preserve">a </w:t>
      </w:r>
      <w:r w:rsidR="00D00AA0">
        <w:rPr>
          <w:rFonts w:eastAsia="Calibri" w:cs="Times New Roman"/>
          <w:noProof/>
        </w:rPr>
        <w:t xml:space="preserve">review to </w:t>
      </w:r>
      <w:r w:rsidRPr="00DE5A1B">
        <w:rPr>
          <w:rFonts w:eastAsia="Calibri" w:cs="Times New Roman"/>
          <w:i/>
          <w:noProof/>
        </w:rPr>
        <w:t>inter alia</w:t>
      </w:r>
      <w:r>
        <w:rPr>
          <w:rFonts w:eastAsia="Calibri" w:cs="Times New Roman"/>
          <w:noProof/>
        </w:rPr>
        <w:t xml:space="preserve"> </w:t>
      </w:r>
      <w:r w:rsidR="00D00AA0">
        <w:rPr>
          <w:rFonts w:eastAsia="Calibri" w:cs="Times New Roman"/>
          <w:noProof/>
        </w:rPr>
        <w:t xml:space="preserve">contribute to increased climate ambition, that it as such contributes to Member States efforts to achieve their own greenhouse gas reduction targets, but that it does not define as such </w:t>
      </w:r>
      <w:r w:rsidR="006D5974">
        <w:rPr>
          <w:rFonts w:eastAsia="Calibri" w:cs="Times New Roman"/>
          <w:noProof/>
        </w:rPr>
        <w:t>F</w:t>
      </w:r>
      <w:r w:rsidR="00D00AA0">
        <w:rPr>
          <w:rFonts w:eastAsia="Calibri" w:cs="Times New Roman"/>
          <w:noProof/>
        </w:rPr>
        <w:t>-gas targets at Member State level</w:t>
      </w:r>
      <w:r>
        <w:rPr>
          <w:rFonts w:eastAsia="Calibri" w:cs="Times New Roman"/>
          <w:noProof/>
        </w:rPr>
        <w:t>, nor does the ESR have specific targets on F-gases per Member State (rather an overall target on a basket of GHGs)</w:t>
      </w:r>
      <w:r w:rsidR="00D00AA0">
        <w:rPr>
          <w:rFonts w:eastAsia="Calibri" w:cs="Times New Roman"/>
          <w:noProof/>
        </w:rPr>
        <w:t>.</w:t>
      </w:r>
    </w:p>
    <w:p w14:paraId="3294C6F6" w14:textId="22F3440E" w:rsidR="00D00AA0" w:rsidRPr="00DE5A1B" w:rsidRDefault="00D00AA0" w:rsidP="0017603A">
      <w:pPr>
        <w:pStyle w:val="ListParagraph"/>
        <w:numPr>
          <w:ilvl w:val="0"/>
          <w:numId w:val="129"/>
        </w:numPr>
        <w:spacing w:after="120"/>
        <w:ind w:left="731" w:hanging="374"/>
        <w:contextualSpacing w:val="0"/>
        <w:rPr>
          <w:rFonts w:eastAsia="Calibri" w:cs="Times New Roman"/>
          <w:i/>
          <w:noProof/>
        </w:rPr>
      </w:pPr>
      <w:r w:rsidRPr="00DE5A1B">
        <w:rPr>
          <w:rFonts w:eastAsia="Calibri" w:cs="Times New Roman"/>
          <w:i/>
          <w:noProof/>
        </w:rPr>
        <w:t>The Board commented that the report does not sufficiently explain the relationship between the objective to fully align with the existing and long-term Montreal Protocol targets against ozone layer depletion and the objective to increase additional F-gas emission reductions to further contribute to European climate targets.</w:t>
      </w:r>
    </w:p>
    <w:p w14:paraId="76A3443A" w14:textId="07F6ADF5" w:rsidR="00EE4089" w:rsidRDefault="00DE5A1B" w:rsidP="0017603A">
      <w:pPr>
        <w:pStyle w:val="ListParagraph"/>
        <w:spacing w:after="120"/>
        <w:ind w:left="0"/>
        <w:contextualSpacing w:val="0"/>
        <w:rPr>
          <w:rFonts w:eastAsia="Calibri" w:cs="Times New Roman"/>
          <w:noProof/>
        </w:rPr>
      </w:pPr>
      <w:r>
        <w:rPr>
          <w:rFonts w:eastAsia="Calibri" w:cs="Times New Roman"/>
          <w:noProof/>
        </w:rPr>
        <w:t>In response,</w:t>
      </w:r>
      <w:r w:rsidR="008250D8" w:rsidRPr="00DE5A1B">
        <w:rPr>
          <w:rFonts w:eastAsia="Calibri" w:cs="Times New Roman"/>
          <w:noProof/>
        </w:rPr>
        <w:t xml:space="preserve"> the introduction and problem definition explain better the relationship between the Montreal Protocol, notably the Kigali Amendment, and the Paris Agreement</w:t>
      </w:r>
      <w:r w:rsidR="006D5974" w:rsidRPr="00DE5A1B">
        <w:rPr>
          <w:rFonts w:eastAsia="Calibri" w:cs="Times New Roman"/>
          <w:noProof/>
        </w:rPr>
        <w:t>. T</w:t>
      </w:r>
      <w:r w:rsidR="008250D8" w:rsidRPr="00DE5A1B">
        <w:rPr>
          <w:rFonts w:eastAsia="Calibri" w:cs="Times New Roman"/>
          <w:noProof/>
        </w:rPr>
        <w:t xml:space="preserve">he Kigali Amendment under the Montreal Protocol </w:t>
      </w:r>
      <w:r w:rsidR="006D5974" w:rsidRPr="00DE5A1B">
        <w:rPr>
          <w:rFonts w:eastAsia="Calibri" w:cs="Times New Roman"/>
          <w:noProof/>
        </w:rPr>
        <w:t xml:space="preserve">is putting obligations on Parties to gradually </w:t>
      </w:r>
      <w:r w:rsidR="008250D8" w:rsidRPr="00DE5A1B">
        <w:rPr>
          <w:rFonts w:eastAsia="Calibri" w:cs="Times New Roman"/>
          <w:noProof/>
        </w:rPr>
        <w:t>reduc</w:t>
      </w:r>
      <w:r w:rsidR="006D5974" w:rsidRPr="00DE5A1B">
        <w:rPr>
          <w:rFonts w:eastAsia="Calibri" w:cs="Times New Roman"/>
          <w:noProof/>
        </w:rPr>
        <w:t xml:space="preserve">e </w:t>
      </w:r>
      <w:r w:rsidR="00D54C84">
        <w:rPr>
          <w:rFonts w:eastAsia="Calibri" w:cs="Times New Roman"/>
          <w:noProof/>
        </w:rPr>
        <w:t xml:space="preserve">consumption and production of </w:t>
      </w:r>
      <w:r w:rsidR="008250D8" w:rsidRPr="00DE5A1B">
        <w:rPr>
          <w:rFonts w:eastAsia="Calibri" w:cs="Times New Roman"/>
          <w:noProof/>
        </w:rPr>
        <w:t xml:space="preserve">HFC gases </w:t>
      </w:r>
      <w:r w:rsidR="006D5974" w:rsidRPr="00DE5A1B">
        <w:rPr>
          <w:rFonts w:eastAsia="Calibri" w:cs="Times New Roman"/>
          <w:noProof/>
        </w:rPr>
        <w:t xml:space="preserve">in view of preventing </w:t>
      </w:r>
      <w:r w:rsidRPr="00DE5A1B">
        <w:rPr>
          <w:rFonts w:eastAsia="Calibri" w:cs="Times New Roman"/>
          <w:i/>
          <w:noProof/>
        </w:rPr>
        <w:t xml:space="preserve">climate-relevant </w:t>
      </w:r>
      <w:r w:rsidR="006D5974" w:rsidRPr="00DE5A1B">
        <w:rPr>
          <w:rFonts w:eastAsia="Calibri" w:cs="Times New Roman"/>
          <w:noProof/>
        </w:rPr>
        <w:t xml:space="preserve">emissions that will </w:t>
      </w:r>
      <w:r w:rsidR="008250D8" w:rsidRPr="00DE5A1B">
        <w:rPr>
          <w:rFonts w:eastAsia="Calibri" w:cs="Times New Roman"/>
          <w:noProof/>
        </w:rPr>
        <w:t>benefit the achievement of the goals of the Paris Agreement</w:t>
      </w:r>
      <w:r w:rsidR="006D5974" w:rsidRPr="00DE5A1B">
        <w:rPr>
          <w:rFonts w:eastAsia="Calibri" w:cs="Times New Roman"/>
          <w:noProof/>
        </w:rPr>
        <w:t>,</w:t>
      </w:r>
      <w:r w:rsidR="008250D8" w:rsidRPr="00DE5A1B">
        <w:rPr>
          <w:rFonts w:eastAsia="Calibri" w:cs="Times New Roman"/>
          <w:noProof/>
        </w:rPr>
        <w:t xml:space="preserve"> given that HFC gases </w:t>
      </w:r>
      <w:r>
        <w:rPr>
          <w:rFonts w:eastAsia="Calibri" w:cs="Times New Roman"/>
          <w:noProof/>
        </w:rPr>
        <w:t>do not affect the ozone layer</w:t>
      </w:r>
      <w:r w:rsidR="008250D8" w:rsidRPr="00DE5A1B">
        <w:rPr>
          <w:rFonts w:eastAsia="Calibri" w:cs="Times New Roman"/>
          <w:noProof/>
        </w:rPr>
        <w:t xml:space="preserve">. It </w:t>
      </w:r>
      <w:r>
        <w:rPr>
          <w:rFonts w:eastAsia="Calibri" w:cs="Times New Roman"/>
          <w:noProof/>
        </w:rPr>
        <w:t>also explains</w:t>
      </w:r>
      <w:r w:rsidR="008250D8" w:rsidRPr="00DE5A1B">
        <w:rPr>
          <w:rFonts w:eastAsia="Calibri" w:cs="Times New Roman"/>
          <w:noProof/>
        </w:rPr>
        <w:t xml:space="preserve"> better that the </w:t>
      </w:r>
      <w:r w:rsidR="006D5974" w:rsidRPr="00DE5A1B">
        <w:rPr>
          <w:rFonts w:eastAsia="Calibri" w:cs="Times New Roman"/>
          <w:noProof/>
        </w:rPr>
        <w:t>R</w:t>
      </w:r>
      <w:r w:rsidR="008250D8" w:rsidRPr="00DE5A1B">
        <w:rPr>
          <w:rFonts w:eastAsia="Calibri" w:cs="Times New Roman"/>
          <w:noProof/>
        </w:rPr>
        <w:t>egulation</w:t>
      </w:r>
      <w:r w:rsidR="00C43275">
        <w:rPr>
          <w:rFonts w:eastAsia="Calibri" w:cs="Times New Roman"/>
          <w:noProof/>
        </w:rPr>
        <w:t>, preceding the Kigali Amendment,</w:t>
      </w:r>
      <w:r w:rsidR="008250D8" w:rsidRPr="00DE5A1B">
        <w:rPr>
          <w:rFonts w:eastAsia="Calibri" w:cs="Times New Roman"/>
          <w:noProof/>
        </w:rPr>
        <w:t xml:space="preserve"> was originally conceived to reduce GHG emissions in the EU, with </w:t>
      </w:r>
      <w:r w:rsidR="006D5974" w:rsidRPr="00DE5A1B">
        <w:rPr>
          <w:rFonts w:eastAsia="Calibri" w:cs="Times New Roman"/>
          <w:noProof/>
        </w:rPr>
        <w:t>measure</w:t>
      </w:r>
      <w:r w:rsidR="003F787D" w:rsidRPr="00DE5A1B">
        <w:rPr>
          <w:rFonts w:eastAsia="Calibri" w:cs="Times New Roman"/>
          <w:noProof/>
        </w:rPr>
        <w:t>s</w:t>
      </w:r>
      <w:r w:rsidR="008250D8" w:rsidRPr="00DE5A1B">
        <w:rPr>
          <w:rFonts w:eastAsia="Calibri" w:cs="Times New Roman"/>
          <w:noProof/>
        </w:rPr>
        <w:t xml:space="preserve"> similar to those aimed at reducing ozone depleting </w:t>
      </w:r>
      <w:r w:rsidR="006D5974" w:rsidRPr="00DE5A1B">
        <w:rPr>
          <w:rFonts w:eastAsia="Calibri" w:cs="Times New Roman"/>
          <w:noProof/>
        </w:rPr>
        <w:t>emissions</w:t>
      </w:r>
      <w:r w:rsidR="0036786D">
        <w:rPr>
          <w:rFonts w:eastAsia="Calibri" w:cs="Times New Roman"/>
          <w:noProof/>
        </w:rPr>
        <w:t xml:space="preserve"> (given that similar sectors and stakeholders are affected)</w:t>
      </w:r>
      <w:r w:rsidR="008250D8" w:rsidRPr="00DE5A1B">
        <w:rPr>
          <w:rFonts w:eastAsia="Calibri" w:cs="Times New Roman"/>
          <w:noProof/>
        </w:rPr>
        <w:t xml:space="preserve">, and was as such an example for </w:t>
      </w:r>
      <w:r w:rsidR="006D5974" w:rsidRPr="00DE5A1B">
        <w:rPr>
          <w:rFonts w:eastAsia="Calibri" w:cs="Times New Roman"/>
          <w:noProof/>
        </w:rPr>
        <w:t>global action</w:t>
      </w:r>
      <w:r w:rsidR="003F787D" w:rsidRPr="00DE5A1B">
        <w:rPr>
          <w:rFonts w:eastAsia="Calibri" w:cs="Times New Roman"/>
          <w:noProof/>
        </w:rPr>
        <w:t xml:space="preserve"> that resulted in the later</w:t>
      </w:r>
      <w:r w:rsidR="008250D8" w:rsidRPr="00DE5A1B">
        <w:rPr>
          <w:rFonts w:eastAsia="Calibri" w:cs="Times New Roman"/>
          <w:noProof/>
        </w:rPr>
        <w:t xml:space="preserve"> adoption of the Kigali Amendment</w:t>
      </w:r>
      <w:r>
        <w:rPr>
          <w:rFonts w:eastAsia="Calibri" w:cs="Times New Roman"/>
          <w:noProof/>
        </w:rPr>
        <w:t>. It is also better explained</w:t>
      </w:r>
      <w:r w:rsidR="003F787D" w:rsidRPr="00DE5A1B">
        <w:rPr>
          <w:rFonts w:eastAsia="Calibri" w:cs="Times New Roman"/>
          <w:noProof/>
        </w:rPr>
        <w:t xml:space="preserve"> why </w:t>
      </w:r>
      <w:r w:rsidR="008250D8" w:rsidRPr="00DE5A1B">
        <w:rPr>
          <w:rFonts w:eastAsia="Calibri" w:cs="Times New Roman"/>
          <w:noProof/>
        </w:rPr>
        <w:t xml:space="preserve">the </w:t>
      </w:r>
      <w:r w:rsidR="003F787D" w:rsidRPr="00DE5A1B">
        <w:rPr>
          <w:rFonts w:eastAsia="Calibri" w:cs="Times New Roman"/>
          <w:noProof/>
        </w:rPr>
        <w:t>R</w:t>
      </w:r>
      <w:r w:rsidR="008250D8" w:rsidRPr="00DE5A1B">
        <w:rPr>
          <w:rFonts w:eastAsia="Calibri" w:cs="Times New Roman"/>
          <w:noProof/>
        </w:rPr>
        <w:t xml:space="preserve">egulation </w:t>
      </w:r>
      <w:r>
        <w:rPr>
          <w:rFonts w:eastAsia="Calibri" w:cs="Times New Roman"/>
          <w:noProof/>
        </w:rPr>
        <w:t xml:space="preserve">currently </w:t>
      </w:r>
      <w:r w:rsidR="008250D8" w:rsidRPr="00DE5A1B">
        <w:rPr>
          <w:rFonts w:eastAsia="Calibri" w:cs="Times New Roman"/>
          <w:noProof/>
        </w:rPr>
        <w:t xml:space="preserve">does not guarantee that the EU </w:t>
      </w:r>
      <w:r w:rsidR="003F787D" w:rsidRPr="00DE5A1B">
        <w:rPr>
          <w:rFonts w:eastAsia="Calibri" w:cs="Times New Roman"/>
          <w:noProof/>
        </w:rPr>
        <w:t>can</w:t>
      </w:r>
      <w:r>
        <w:rPr>
          <w:rFonts w:eastAsia="Calibri" w:cs="Times New Roman"/>
          <w:noProof/>
        </w:rPr>
        <w:t xml:space="preserve"> comply with the new rules on HFCs under the Kigali</w:t>
      </w:r>
      <w:r w:rsidR="008250D8" w:rsidRPr="00DE5A1B">
        <w:rPr>
          <w:rFonts w:eastAsia="Calibri" w:cs="Times New Roman"/>
          <w:noProof/>
        </w:rPr>
        <w:t xml:space="preserve"> Amendment.</w:t>
      </w:r>
      <w:r w:rsidR="0036786D">
        <w:rPr>
          <w:rFonts w:eastAsia="Calibri" w:cs="Times New Roman"/>
          <w:noProof/>
        </w:rPr>
        <w:t xml:space="preserve"> The F-gas Regulation today remains a tool to reduce EU climate emissions further, but is also the main instrument to ensure that the EU complies with the Protocol rules with regard to HFCs.</w:t>
      </w:r>
      <w:r w:rsidR="00EE4089">
        <w:rPr>
          <w:rFonts w:eastAsia="Calibri" w:cs="Times New Roman"/>
          <w:noProof/>
        </w:rPr>
        <w:t xml:space="preserve"> </w:t>
      </w:r>
    </w:p>
    <w:p w14:paraId="03A1DEDE" w14:textId="143C3F28" w:rsidR="0036786D" w:rsidRPr="00766D5A" w:rsidRDefault="00D00AA0" w:rsidP="0017603A">
      <w:pPr>
        <w:pStyle w:val="ListParagraph"/>
        <w:numPr>
          <w:ilvl w:val="0"/>
          <w:numId w:val="129"/>
        </w:numPr>
        <w:spacing w:after="120"/>
        <w:ind w:left="731" w:hanging="374"/>
        <w:contextualSpacing w:val="0"/>
        <w:rPr>
          <w:rFonts w:eastAsia="Calibri" w:cs="Times New Roman"/>
          <w:i/>
          <w:noProof/>
        </w:rPr>
      </w:pPr>
      <w:r w:rsidRPr="0036786D">
        <w:rPr>
          <w:rFonts w:eastAsia="Calibri" w:cs="Times New Roman"/>
          <w:i/>
          <w:noProof/>
        </w:rPr>
        <w:t xml:space="preserve">The </w:t>
      </w:r>
      <w:r w:rsidR="008250D8" w:rsidRPr="0036786D">
        <w:rPr>
          <w:rFonts w:eastAsia="Calibri" w:cs="Times New Roman"/>
          <w:i/>
          <w:noProof/>
        </w:rPr>
        <w:t xml:space="preserve">Board commented that the </w:t>
      </w:r>
      <w:r w:rsidRPr="0036786D">
        <w:rPr>
          <w:rFonts w:eastAsia="Calibri" w:cs="Times New Roman"/>
          <w:i/>
          <w:noProof/>
        </w:rPr>
        <w:t xml:space="preserve">report does not explain whether and how changes in the Effort Sharing Regulation and the Ozone Regulation affect the baseline scenario. </w:t>
      </w:r>
    </w:p>
    <w:p w14:paraId="2C8F5990" w14:textId="5F6E5D73" w:rsidR="003F787D" w:rsidRPr="0017603A" w:rsidRDefault="0036786D" w:rsidP="0017603A">
      <w:pPr>
        <w:pStyle w:val="ListParagraph"/>
        <w:spacing w:after="120"/>
        <w:ind w:left="0"/>
        <w:contextualSpacing w:val="0"/>
        <w:rPr>
          <w:rFonts w:eastAsia="Calibri" w:cs="Times New Roman"/>
          <w:noProof/>
        </w:rPr>
      </w:pPr>
      <w:r>
        <w:rPr>
          <w:rFonts w:eastAsia="Calibri" w:cs="Times New Roman"/>
          <w:noProof/>
        </w:rPr>
        <w:t>In response, the introduction including</w:t>
      </w:r>
      <w:r w:rsidR="003F787D">
        <w:rPr>
          <w:rFonts w:eastAsia="Calibri" w:cs="Times New Roman"/>
          <w:noProof/>
        </w:rPr>
        <w:t xml:space="preserve"> the section regarding coherence with other legislation </w:t>
      </w:r>
      <w:r>
        <w:rPr>
          <w:rFonts w:eastAsia="Calibri" w:cs="Times New Roman"/>
          <w:noProof/>
        </w:rPr>
        <w:t xml:space="preserve">as well as the description of the baseline have been re-written to </w:t>
      </w:r>
      <w:r w:rsidR="003F787D">
        <w:rPr>
          <w:rFonts w:eastAsia="Calibri" w:cs="Times New Roman"/>
          <w:noProof/>
        </w:rPr>
        <w:t>underl</w:t>
      </w:r>
      <w:r>
        <w:rPr>
          <w:rFonts w:eastAsia="Calibri" w:cs="Times New Roman"/>
          <w:noProof/>
        </w:rPr>
        <w:t>ine</w:t>
      </w:r>
      <w:r w:rsidR="003F787D">
        <w:rPr>
          <w:rFonts w:eastAsia="Calibri" w:cs="Times New Roman"/>
          <w:noProof/>
        </w:rPr>
        <w:t xml:space="preserve"> the relationship with the ESR and the Ozone Regulation. The changes to these t</w:t>
      </w:r>
      <w:r>
        <w:rPr>
          <w:rFonts w:eastAsia="Calibri" w:cs="Times New Roman"/>
          <w:noProof/>
        </w:rPr>
        <w:t>w</w:t>
      </w:r>
      <w:r w:rsidR="00766D5A">
        <w:rPr>
          <w:rFonts w:eastAsia="Calibri" w:cs="Times New Roman"/>
          <w:noProof/>
        </w:rPr>
        <w:t xml:space="preserve">o instruments will for the most part </w:t>
      </w:r>
      <w:r w:rsidR="003F787D">
        <w:rPr>
          <w:rFonts w:eastAsia="Calibri" w:cs="Times New Roman"/>
          <w:noProof/>
        </w:rPr>
        <w:t xml:space="preserve">not change the baseline for F-gas emissions. As regards the ESR, the focus is here on how a strengthening of existing EU climate legislation can assist Member States in achieving their own greenhouse gas reduction target, while not setting sectoral or Member States </w:t>
      </w:r>
      <w:r>
        <w:rPr>
          <w:rFonts w:eastAsia="Calibri" w:cs="Times New Roman"/>
          <w:noProof/>
        </w:rPr>
        <w:t>specific F</w:t>
      </w:r>
      <w:r w:rsidR="003F787D">
        <w:rPr>
          <w:rFonts w:eastAsia="Calibri" w:cs="Times New Roman"/>
          <w:noProof/>
        </w:rPr>
        <w:t>-gas targets, and doing so with F-gas measures that are recognised to promote cost efficiency at EU level.</w:t>
      </w:r>
      <w:r w:rsidR="00660956">
        <w:rPr>
          <w:rFonts w:eastAsia="Calibri" w:cs="Times New Roman"/>
          <w:noProof/>
        </w:rPr>
        <w:t xml:space="preserve"> </w:t>
      </w:r>
      <w:r>
        <w:rPr>
          <w:rFonts w:eastAsia="Calibri" w:cs="Times New Roman"/>
          <w:noProof/>
        </w:rPr>
        <w:t xml:space="preserve">As explained, any future Member State additional action on F-gases is not considered for the baseline (as not </w:t>
      </w:r>
      <w:r w:rsidRPr="00EE4089">
        <w:rPr>
          <w:rFonts w:eastAsia="Calibri" w:cs="Times New Roman"/>
          <w:noProof/>
        </w:rPr>
        <w:t>know</w:t>
      </w:r>
      <w:r w:rsidR="00EE4089">
        <w:rPr>
          <w:rFonts w:eastAsia="Calibri" w:cs="Times New Roman"/>
          <w:noProof/>
        </w:rPr>
        <w:t>n</w:t>
      </w:r>
      <w:r>
        <w:rPr>
          <w:rFonts w:eastAsia="Calibri" w:cs="Times New Roman"/>
          <w:noProof/>
        </w:rPr>
        <w:t xml:space="preserve"> presently</w:t>
      </w:r>
      <w:r w:rsidRPr="00EE4089">
        <w:rPr>
          <w:rFonts w:eastAsia="Calibri" w:cs="Times New Roman"/>
          <w:noProof/>
        </w:rPr>
        <w:t>)</w:t>
      </w:r>
      <w:r w:rsidR="00EE4089">
        <w:rPr>
          <w:rFonts w:eastAsia="Calibri" w:cs="Times New Roman"/>
          <w:noProof/>
        </w:rPr>
        <w:t>. Such action</w:t>
      </w:r>
      <w:r>
        <w:rPr>
          <w:rFonts w:eastAsia="Calibri" w:cs="Times New Roman"/>
          <w:noProof/>
        </w:rPr>
        <w:t xml:space="preserve"> may or may not influence baseline development</w:t>
      </w:r>
      <w:r w:rsidR="00766D5A">
        <w:rPr>
          <w:rFonts w:eastAsia="Calibri" w:cs="Times New Roman"/>
          <w:noProof/>
        </w:rPr>
        <w:t xml:space="preserve"> at EU level</w:t>
      </w:r>
      <w:r>
        <w:rPr>
          <w:rFonts w:eastAsia="Calibri" w:cs="Times New Roman"/>
          <w:noProof/>
        </w:rPr>
        <w:t xml:space="preserve"> depending on the</w:t>
      </w:r>
      <w:r w:rsidR="00766D5A">
        <w:rPr>
          <w:rFonts w:eastAsia="Calibri" w:cs="Times New Roman"/>
          <w:noProof/>
        </w:rPr>
        <w:t xml:space="preserve"> action chosen (e.g. prohibitions in one Member State may simply shift F-gas use and emissions elsewhere as </w:t>
      </w:r>
      <w:r w:rsidR="00D54C84">
        <w:rPr>
          <w:rFonts w:eastAsia="Calibri" w:cs="Times New Roman"/>
          <w:noProof/>
        </w:rPr>
        <w:t>the same amount of</w:t>
      </w:r>
      <w:r w:rsidR="00766D5A">
        <w:rPr>
          <w:rFonts w:eastAsia="Calibri" w:cs="Times New Roman"/>
          <w:noProof/>
        </w:rPr>
        <w:t xml:space="preserve"> quota is available, while additional measures to reduce emissions during use or at end-of-life equipment could contribute to saving emissions also at EU level).</w:t>
      </w:r>
      <w:r w:rsidR="00EE4089">
        <w:rPr>
          <w:rFonts w:eastAsia="Calibri" w:cs="Times New Roman"/>
          <w:noProof/>
        </w:rPr>
        <w:t xml:space="preserve"> </w:t>
      </w:r>
      <w:r w:rsidR="00660956">
        <w:rPr>
          <w:rFonts w:eastAsia="Calibri" w:cs="Times New Roman"/>
          <w:noProof/>
        </w:rPr>
        <w:t>The ozone and F-gas Regulations have similar measures and target similar sectors but the changes proposed in the Ozone Regulation will not impact on the use/emissions of F-gases that are not ozone depleting.</w:t>
      </w:r>
      <w:r>
        <w:rPr>
          <w:rFonts w:eastAsia="Calibri" w:cs="Times New Roman"/>
          <w:noProof/>
        </w:rPr>
        <w:t xml:space="preserve"> Furthermore, while F-gases have replaced ODS in the past, this is no longer the case as all relevant ODS have been eliminated in the EU, so regulating the remaining uses of ODS further does not affect the F-gas baseline.</w:t>
      </w:r>
    </w:p>
    <w:p w14:paraId="23FA54B0" w14:textId="35346402" w:rsidR="00A32635" w:rsidRPr="00434619" w:rsidRDefault="00D00AA0" w:rsidP="0017603A">
      <w:pPr>
        <w:pStyle w:val="ListParagraph"/>
        <w:numPr>
          <w:ilvl w:val="0"/>
          <w:numId w:val="129"/>
        </w:numPr>
        <w:spacing w:after="120"/>
        <w:ind w:left="731" w:hanging="374"/>
        <w:contextualSpacing w:val="0"/>
        <w:rPr>
          <w:rFonts w:eastAsia="Calibri" w:cs="Times New Roman"/>
          <w:i/>
          <w:noProof/>
        </w:rPr>
      </w:pPr>
      <w:r w:rsidRPr="00766D5A">
        <w:rPr>
          <w:rFonts w:eastAsia="Calibri" w:cs="Times New Roman"/>
          <w:i/>
          <w:noProof/>
        </w:rPr>
        <w:t xml:space="preserve">The </w:t>
      </w:r>
      <w:r w:rsidR="008250D8" w:rsidRPr="00766D5A">
        <w:rPr>
          <w:rFonts w:eastAsia="Calibri" w:cs="Times New Roman"/>
          <w:i/>
          <w:noProof/>
        </w:rPr>
        <w:t xml:space="preserve">Board commented that the </w:t>
      </w:r>
      <w:r w:rsidRPr="00766D5A">
        <w:rPr>
          <w:rFonts w:eastAsia="Calibri" w:cs="Times New Roman"/>
          <w:i/>
          <w:noProof/>
        </w:rPr>
        <w:t>report does not explain how the ‘fair’ level contribution figure was arrived at, which sectors it would apply to, and how it relates to abatement cost figures in other ‘Fit for 55’ initiatives.</w:t>
      </w:r>
    </w:p>
    <w:p w14:paraId="3B0A1AF1" w14:textId="48C4560A" w:rsidR="008250D8" w:rsidRPr="0017603A" w:rsidRDefault="00434619" w:rsidP="0017603A">
      <w:pPr>
        <w:pStyle w:val="ListParagraph"/>
        <w:spacing w:after="120"/>
        <w:ind w:left="0"/>
        <w:contextualSpacing w:val="0"/>
        <w:rPr>
          <w:rFonts w:eastAsia="Calibri" w:cs="Times New Roman"/>
          <w:noProof/>
        </w:rPr>
      </w:pPr>
      <w:r>
        <w:rPr>
          <w:rFonts w:eastAsia="Calibri" w:cs="Times New Roman"/>
          <w:noProof/>
        </w:rPr>
        <w:t>In response,</w:t>
      </w:r>
      <w:r w:rsidR="00A32635">
        <w:rPr>
          <w:rFonts w:eastAsia="Calibri" w:cs="Times New Roman"/>
          <w:noProof/>
        </w:rPr>
        <w:t xml:space="preserve"> the </w:t>
      </w:r>
      <w:r w:rsidR="00E85704">
        <w:rPr>
          <w:rFonts w:eastAsia="Calibri" w:cs="Times New Roman"/>
          <w:noProof/>
        </w:rPr>
        <w:t xml:space="preserve">review objectives were clarified and it is </w:t>
      </w:r>
      <w:r w:rsidR="00A32635">
        <w:rPr>
          <w:rFonts w:eastAsia="Calibri" w:cs="Times New Roman"/>
          <w:noProof/>
        </w:rPr>
        <w:t>underline</w:t>
      </w:r>
      <w:r w:rsidR="00E85704">
        <w:rPr>
          <w:rFonts w:eastAsia="Calibri" w:cs="Times New Roman"/>
          <w:noProof/>
        </w:rPr>
        <w:t>d</w:t>
      </w:r>
      <w:r w:rsidR="00A32635">
        <w:rPr>
          <w:rFonts w:eastAsia="Calibri" w:cs="Times New Roman"/>
          <w:noProof/>
        </w:rPr>
        <w:t xml:space="preserve"> that </w:t>
      </w:r>
      <w:r>
        <w:rPr>
          <w:rFonts w:eastAsia="Calibri" w:cs="Times New Roman"/>
          <w:noProof/>
        </w:rPr>
        <w:t xml:space="preserve">the </w:t>
      </w:r>
      <w:r w:rsidR="00A32635">
        <w:rPr>
          <w:rFonts w:eastAsia="Calibri" w:cs="Times New Roman"/>
          <w:noProof/>
        </w:rPr>
        <w:t>assessment of options regarding environmental ambition, and the resulting emission reductions, focusses on what the cost and benefits are related t</w:t>
      </w:r>
      <w:r>
        <w:rPr>
          <w:rFonts w:eastAsia="Calibri" w:cs="Times New Roman"/>
          <w:noProof/>
        </w:rPr>
        <w:t>o increased</w:t>
      </w:r>
      <w:r w:rsidR="00A32635">
        <w:rPr>
          <w:rFonts w:eastAsia="Calibri" w:cs="Times New Roman"/>
          <w:noProof/>
        </w:rPr>
        <w:t xml:space="preserve"> abatement efforts. These costs and benefits are not limited to 2030 but are projected up to 2050. Overall it also allows to conclude if options are in-line with a trajectory that achieves climate neutrality by 2050.</w:t>
      </w:r>
    </w:p>
    <w:p w14:paraId="74F3D5EB" w14:textId="7582B5B8" w:rsidR="008250D8" w:rsidRPr="00434619" w:rsidRDefault="00D00AA0" w:rsidP="0017603A">
      <w:pPr>
        <w:pStyle w:val="ListParagraph"/>
        <w:numPr>
          <w:ilvl w:val="0"/>
          <w:numId w:val="129"/>
        </w:numPr>
        <w:spacing w:after="120"/>
        <w:ind w:left="731" w:hanging="374"/>
        <w:contextualSpacing w:val="0"/>
        <w:rPr>
          <w:rFonts w:eastAsia="Calibri" w:cs="Times New Roman"/>
          <w:i/>
          <w:noProof/>
        </w:rPr>
      </w:pPr>
      <w:r w:rsidRPr="00434619">
        <w:rPr>
          <w:rFonts w:eastAsia="Calibri" w:cs="Times New Roman"/>
          <w:i/>
          <w:noProof/>
        </w:rPr>
        <w:t>Not all options appear to be realistic and compatible with the objective to achieve additional F-gas emission reductions to contribute to the climate targets in a fair and cost-efficient way.</w:t>
      </w:r>
    </w:p>
    <w:p w14:paraId="143D2B9A" w14:textId="6996ECE6" w:rsidR="0017603A" w:rsidRPr="0017603A" w:rsidRDefault="00434619" w:rsidP="0017603A">
      <w:pPr>
        <w:pStyle w:val="ListParagraph"/>
        <w:spacing w:after="120"/>
        <w:ind w:left="0"/>
        <w:contextualSpacing w:val="0"/>
        <w:rPr>
          <w:rFonts w:eastAsia="Calibri" w:cs="Times New Roman"/>
          <w:noProof/>
        </w:rPr>
      </w:pPr>
      <w:r>
        <w:rPr>
          <w:rFonts w:eastAsia="Calibri" w:cs="Times New Roman"/>
          <w:noProof/>
        </w:rPr>
        <w:t>In response,</w:t>
      </w:r>
      <w:r w:rsidR="008250D8">
        <w:rPr>
          <w:rFonts w:eastAsia="Calibri" w:cs="Times New Roman"/>
          <w:noProof/>
        </w:rPr>
        <w:t xml:space="preserve"> the </w:t>
      </w:r>
      <w:r w:rsidR="00660956">
        <w:rPr>
          <w:rFonts w:eastAsia="Calibri" w:cs="Times New Roman"/>
          <w:noProof/>
        </w:rPr>
        <w:t xml:space="preserve">review objectives and the </w:t>
      </w:r>
      <w:r w:rsidR="008250D8">
        <w:rPr>
          <w:rFonts w:eastAsia="Calibri" w:cs="Times New Roman"/>
          <w:noProof/>
        </w:rPr>
        <w:t>options w</w:t>
      </w:r>
      <w:r w:rsidR="00660956">
        <w:rPr>
          <w:rFonts w:eastAsia="Calibri" w:cs="Times New Roman"/>
          <w:noProof/>
        </w:rPr>
        <w:t>ere</w:t>
      </w:r>
      <w:r w:rsidR="008250D8">
        <w:rPr>
          <w:rFonts w:eastAsia="Calibri" w:cs="Times New Roman"/>
          <w:noProof/>
        </w:rPr>
        <w:t xml:space="preserve"> improved. Additional explanations were added to explain why all three options are re</w:t>
      </w:r>
      <w:r w:rsidR="00660956">
        <w:rPr>
          <w:rFonts w:eastAsia="Calibri" w:cs="Times New Roman"/>
          <w:noProof/>
        </w:rPr>
        <w:t>levant</w:t>
      </w:r>
      <w:r w:rsidR="008250D8">
        <w:rPr>
          <w:rFonts w:eastAsia="Calibri" w:cs="Times New Roman"/>
          <w:noProof/>
        </w:rPr>
        <w:t xml:space="preserve"> and self</w:t>
      </w:r>
      <w:r w:rsidR="00A32635">
        <w:rPr>
          <w:rFonts w:eastAsia="Calibri" w:cs="Times New Roman"/>
          <w:noProof/>
        </w:rPr>
        <w:t>-</w:t>
      </w:r>
      <w:r w:rsidR="008250D8">
        <w:rPr>
          <w:rFonts w:eastAsia="Calibri" w:cs="Times New Roman"/>
          <w:noProof/>
        </w:rPr>
        <w:t xml:space="preserve">standing options, supported each by </w:t>
      </w:r>
      <w:r w:rsidR="008913F4">
        <w:rPr>
          <w:rFonts w:eastAsia="Calibri" w:cs="Times New Roman"/>
          <w:noProof/>
        </w:rPr>
        <w:t xml:space="preserve">a </w:t>
      </w:r>
      <w:r w:rsidR="008250D8">
        <w:rPr>
          <w:rFonts w:eastAsia="Calibri" w:cs="Times New Roman"/>
          <w:noProof/>
        </w:rPr>
        <w:t>different sets of stakeholders. Furthermore</w:t>
      </w:r>
      <w:r w:rsidR="008913F4">
        <w:rPr>
          <w:rFonts w:eastAsia="Calibri" w:cs="Times New Roman"/>
          <w:noProof/>
        </w:rPr>
        <w:t>,</w:t>
      </w:r>
      <w:r w:rsidR="008250D8">
        <w:rPr>
          <w:rFonts w:eastAsia="Calibri" w:cs="Times New Roman"/>
          <w:noProof/>
        </w:rPr>
        <w:t xml:space="preserve"> it was explained why some </w:t>
      </w:r>
      <w:r w:rsidR="00660956">
        <w:rPr>
          <w:rFonts w:eastAsia="Calibri" w:cs="Times New Roman"/>
          <w:noProof/>
        </w:rPr>
        <w:t>measures targeting a specific review objective</w:t>
      </w:r>
      <w:r w:rsidR="008250D8">
        <w:rPr>
          <w:rFonts w:eastAsia="Calibri" w:cs="Times New Roman"/>
          <w:noProof/>
        </w:rPr>
        <w:t>, like the need to ensure compliance with the Montreal Pro</w:t>
      </w:r>
      <w:r w:rsidR="00A32635">
        <w:rPr>
          <w:rFonts w:eastAsia="Calibri" w:cs="Times New Roman"/>
          <w:noProof/>
        </w:rPr>
        <w:t>toco</w:t>
      </w:r>
      <w:r w:rsidR="008250D8">
        <w:rPr>
          <w:rFonts w:eastAsia="Calibri" w:cs="Times New Roman"/>
          <w:noProof/>
        </w:rPr>
        <w:t xml:space="preserve">l, see limited variation between the options. The </w:t>
      </w:r>
      <w:r w:rsidR="00A32635">
        <w:rPr>
          <w:rFonts w:eastAsia="Calibri" w:cs="Times New Roman"/>
          <w:noProof/>
        </w:rPr>
        <w:t xml:space="preserve">eventual </w:t>
      </w:r>
      <w:r w:rsidR="008250D8">
        <w:rPr>
          <w:rFonts w:eastAsia="Calibri" w:cs="Times New Roman"/>
          <w:noProof/>
        </w:rPr>
        <w:t>selection of the preferred option is based on the impacts assessed and the related results as included in the impact assessment.</w:t>
      </w:r>
      <w:r w:rsidR="00324F0A" w:rsidRPr="00324F0A">
        <w:rPr>
          <w:rFonts w:eastAsia="Calibri" w:cs="Times New Roman"/>
          <w:noProof/>
        </w:rPr>
        <w:t xml:space="preserve"> This is the purpose of the options: </w:t>
      </w:r>
      <w:r w:rsidR="00C43275">
        <w:rPr>
          <w:rFonts w:eastAsia="Calibri" w:cs="Times New Roman"/>
          <w:noProof/>
        </w:rPr>
        <w:t>E</w:t>
      </w:r>
      <w:r w:rsidR="00324F0A" w:rsidRPr="00324F0A">
        <w:rPr>
          <w:rFonts w:eastAsia="Calibri" w:cs="Times New Roman"/>
          <w:noProof/>
        </w:rPr>
        <w:t xml:space="preserve">xamining a low-cost option that is favoured by conservative industry players, examining a medium-cost option that avoids high costs for niche applications and a high cost option that considers only technical feasibility as possible today, which is what </w:t>
      </w:r>
      <w:r w:rsidR="00C26BBA">
        <w:rPr>
          <w:rFonts w:eastAsia="Calibri" w:cs="Times New Roman"/>
          <w:noProof/>
        </w:rPr>
        <w:t xml:space="preserve">some </w:t>
      </w:r>
      <w:r w:rsidR="004D2976" w:rsidRPr="00324F0A">
        <w:rPr>
          <w:rFonts w:eastAsia="Calibri" w:cs="Times New Roman"/>
          <w:noProof/>
        </w:rPr>
        <w:t>stakeholders</w:t>
      </w:r>
      <w:r w:rsidR="00324F0A" w:rsidRPr="00324F0A">
        <w:rPr>
          <w:rFonts w:eastAsia="Calibri" w:cs="Times New Roman"/>
          <w:noProof/>
        </w:rPr>
        <w:t xml:space="preserve"> such as NGOs would be asking. </w:t>
      </w:r>
      <w:r w:rsidR="00324F0A" w:rsidRPr="00324F0A">
        <w:rPr>
          <w:rFonts w:eastAsia="Calibri" w:cs="Times New Roman"/>
          <w:b/>
          <w:noProof/>
        </w:rPr>
        <w:t xml:space="preserve">In the end, a political choice can be made on what should be the right contribution to the climate goals, on the basis of emissions achievable by these 3 options, and the costs </w:t>
      </w:r>
      <w:r w:rsidR="00C43275">
        <w:rPr>
          <w:rFonts w:eastAsia="Calibri" w:cs="Times New Roman"/>
          <w:b/>
          <w:noProof/>
        </w:rPr>
        <w:t xml:space="preserve">and efforts </w:t>
      </w:r>
      <w:r w:rsidR="00324F0A" w:rsidRPr="00324F0A">
        <w:rPr>
          <w:rFonts w:eastAsia="Calibri" w:cs="Times New Roman"/>
          <w:b/>
          <w:noProof/>
        </w:rPr>
        <w:t>that will be needed to do so.</w:t>
      </w:r>
    </w:p>
    <w:p w14:paraId="4E6B401C" w14:textId="0D8752C7" w:rsidR="0017603A" w:rsidRPr="0017603A" w:rsidRDefault="0017603A" w:rsidP="0017603A">
      <w:pPr>
        <w:spacing w:after="120"/>
        <w:rPr>
          <w:rFonts w:eastAsia="Calibri" w:cs="Times New Roman"/>
          <w:noProof/>
        </w:rPr>
      </w:pPr>
      <w:r>
        <w:rPr>
          <w:rFonts w:eastAsia="Calibri" w:cs="Times New Roman"/>
          <w:noProof/>
        </w:rPr>
        <w:t>The Board also had the following comments for improvement, which were addressed as described below:</w:t>
      </w:r>
    </w:p>
    <w:p w14:paraId="31EF1656" w14:textId="5E3E01F0" w:rsidR="0017603A" w:rsidRDefault="0017603A" w:rsidP="0017603A">
      <w:pPr>
        <w:pStyle w:val="ListParagraph"/>
        <w:numPr>
          <w:ilvl w:val="0"/>
          <w:numId w:val="130"/>
        </w:numPr>
        <w:rPr>
          <w:rFonts w:eastAsia="Calibri" w:cs="Times New Roman"/>
          <w:i/>
          <w:noProof/>
        </w:rPr>
      </w:pPr>
      <w:r w:rsidRPr="0017603A">
        <w:rPr>
          <w:rFonts w:eastAsia="Calibri" w:cs="Times New Roman"/>
          <w:i/>
          <w:noProof/>
        </w:rPr>
        <w:t>The report should explain the relationship between the objective to fully align with the Montreal Protocol and the objective to achieve additional F-gas emission reductions for climate purposes.</w:t>
      </w:r>
    </w:p>
    <w:p w14:paraId="07CBBB7D" w14:textId="13B7C1A1" w:rsidR="0017603A" w:rsidRPr="00CB5690" w:rsidRDefault="0017603A" w:rsidP="0017603A">
      <w:pPr>
        <w:rPr>
          <w:rFonts w:eastAsia="Calibri" w:cs="Times New Roman"/>
          <w:noProof/>
        </w:rPr>
      </w:pPr>
      <w:r>
        <w:rPr>
          <w:rFonts w:eastAsia="Calibri" w:cs="Times New Roman"/>
          <w:noProof/>
        </w:rPr>
        <w:t xml:space="preserve">The </w:t>
      </w:r>
      <w:r w:rsidR="00C43275">
        <w:rPr>
          <w:rFonts w:eastAsia="Calibri" w:cs="Times New Roman"/>
          <w:noProof/>
        </w:rPr>
        <w:t xml:space="preserve">text was adjusted to reflect the </w:t>
      </w:r>
      <w:r>
        <w:rPr>
          <w:rFonts w:eastAsia="Calibri" w:cs="Times New Roman"/>
          <w:noProof/>
        </w:rPr>
        <w:t xml:space="preserve">need to align with the Protocol </w:t>
      </w:r>
      <w:r w:rsidR="00C43275">
        <w:rPr>
          <w:rFonts w:eastAsia="Calibri" w:cs="Times New Roman"/>
          <w:noProof/>
        </w:rPr>
        <w:t xml:space="preserve">which </w:t>
      </w:r>
      <w:r>
        <w:rPr>
          <w:rFonts w:eastAsia="Calibri" w:cs="Times New Roman"/>
          <w:noProof/>
        </w:rPr>
        <w:t xml:space="preserve">is a self-standing objective as the EU cannot afford to risk </w:t>
      </w:r>
      <w:r w:rsidR="00C43275">
        <w:rPr>
          <w:rFonts w:eastAsia="Calibri" w:cs="Times New Roman"/>
          <w:noProof/>
        </w:rPr>
        <w:t>compliance with global rules, since</w:t>
      </w:r>
      <w:r>
        <w:rPr>
          <w:rFonts w:eastAsia="Calibri" w:cs="Times New Roman"/>
          <w:noProof/>
        </w:rPr>
        <w:t xml:space="preserve"> this would entail a significant reputational damage and threaten the EU’</w:t>
      </w:r>
      <w:r w:rsidR="009B58CA">
        <w:rPr>
          <w:rFonts w:eastAsia="Calibri" w:cs="Times New Roman"/>
          <w:noProof/>
        </w:rPr>
        <w:t>s current role as front-runner</w:t>
      </w:r>
      <w:r>
        <w:rPr>
          <w:rFonts w:eastAsia="Calibri" w:cs="Times New Roman"/>
          <w:noProof/>
        </w:rPr>
        <w:t xml:space="preserve"> implementing best practice policies in this field. </w:t>
      </w:r>
      <w:r w:rsidR="005B55E1">
        <w:rPr>
          <w:rFonts w:eastAsia="Calibri" w:cs="Times New Roman"/>
          <w:noProof/>
        </w:rPr>
        <w:t xml:space="preserve">The Protocol puts limits on consumption and production of hydrofluorocarbons that result in emission reductions that count under the Paris Agreement on Climate Change. </w:t>
      </w:r>
      <w:r>
        <w:rPr>
          <w:rFonts w:eastAsia="Calibri" w:cs="Times New Roman"/>
          <w:noProof/>
        </w:rPr>
        <w:t xml:space="preserve">The </w:t>
      </w:r>
      <w:r w:rsidR="005B55E1">
        <w:rPr>
          <w:rFonts w:eastAsia="Calibri" w:cs="Times New Roman"/>
          <w:noProof/>
        </w:rPr>
        <w:t>review</w:t>
      </w:r>
      <w:r>
        <w:rPr>
          <w:rFonts w:eastAsia="Calibri" w:cs="Times New Roman"/>
          <w:noProof/>
        </w:rPr>
        <w:t xml:space="preserve"> objective to achieve additional emission </w:t>
      </w:r>
      <w:r w:rsidR="005B55E1">
        <w:rPr>
          <w:rFonts w:eastAsia="Calibri" w:cs="Times New Roman"/>
          <w:noProof/>
        </w:rPr>
        <w:t>saving in the EU is related to the EU objective</w:t>
      </w:r>
      <w:r>
        <w:rPr>
          <w:rFonts w:eastAsia="Calibri" w:cs="Times New Roman"/>
          <w:noProof/>
        </w:rPr>
        <w:t xml:space="preserve"> of achieving </w:t>
      </w:r>
      <w:r w:rsidR="005B55E1">
        <w:rPr>
          <w:rFonts w:eastAsia="Calibri" w:cs="Times New Roman"/>
          <w:noProof/>
        </w:rPr>
        <w:t xml:space="preserve">the 2030 and 2050 </w:t>
      </w:r>
      <w:r>
        <w:rPr>
          <w:rFonts w:eastAsia="Calibri" w:cs="Times New Roman"/>
          <w:noProof/>
        </w:rPr>
        <w:t xml:space="preserve">climate </w:t>
      </w:r>
      <w:r w:rsidR="005B55E1">
        <w:rPr>
          <w:rFonts w:eastAsia="Calibri" w:cs="Times New Roman"/>
          <w:noProof/>
        </w:rPr>
        <w:t>targets</w:t>
      </w:r>
      <w:r>
        <w:rPr>
          <w:rFonts w:eastAsia="Calibri" w:cs="Times New Roman"/>
          <w:noProof/>
        </w:rPr>
        <w:t>, to which this sector can make an important contribution</w:t>
      </w:r>
      <w:r w:rsidR="005B55E1">
        <w:rPr>
          <w:rFonts w:eastAsia="Calibri" w:cs="Times New Roman"/>
          <w:noProof/>
        </w:rPr>
        <w:t>. Any additional F-gas emission savings can contribute to</w:t>
      </w:r>
      <w:r w:rsidR="009B58CA">
        <w:rPr>
          <w:rFonts w:eastAsia="Calibri" w:cs="Times New Roman"/>
          <w:noProof/>
        </w:rPr>
        <w:t xml:space="preserve"> Member States</w:t>
      </w:r>
      <w:r w:rsidR="005B55E1">
        <w:rPr>
          <w:rFonts w:eastAsia="Calibri" w:cs="Times New Roman"/>
          <w:noProof/>
        </w:rPr>
        <w:t>’</w:t>
      </w:r>
      <w:r w:rsidR="009B58CA">
        <w:rPr>
          <w:rFonts w:eastAsia="Calibri" w:cs="Times New Roman"/>
          <w:noProof/>
        </w:rPr>
        <w:t xml:space="preserve"> efforts to reach their national targets on a basket of GHGs</w:t>
      </w:r>
      <w:r w:rsidR="005B55E1">
        <w:rPr>
          <w:rFonts w:eastAsia="Calibri" w:cs="Times New Roman"/>
          <w:noProof/>
        </w:rPr>
        <w:t xml:space="preserve"> under the Effort Sharing Regulation</w:t>
      </w:r>
      <w:r w:rsidR="009B58CA">
        <w:rPr>
          <w:rFonts w:eastAsia="Calibri" w:cs="Times New Roman"/>
          <w:noProof/>
        </w:rPr>
        <w:t>. While the Protocol’s rational for imposing measures on HFCs is climate protection, the two objectives ar</w:t>
      </w:r>
      <w:r w:rsidR="00392BAC">
        <w:rPr>
          <w:rFonts w:eastAsia="Calibri" w:cs="Times New Roman"/>
          <w:noProof/>
        </w:rPr>
        <w:t xml:space="preserve">e not contingent on each other. </w:t>
      </w:r>
      <w:r w:rsidR="009B58CA">
        <w:rPr>
          <w:rFonts w:eastAsia="Calibri" w:cs="Times New Roman"/>
          <w:noProof/>
        </w:rPr>
        <w:t>This is better explained in the introduction and the problem definition.</w:t>
      </w:r>
    </w:p>
    <w:p w14:paraId="3C38A581" w14:textId="77777777" w:rsidR="0017603A" w:rsidRPr="00CB5690" w:rsidRDefault="0017603A" w:rsidP="0017603A">
      <w:pPr>
        <w:pStyle w:val="ListParagraph"/>
        <w:ind w:left="735"/>
        <w:rPr>
          <w:rFonts w:eastAsia="Calibri" w:cs="Times New Roman"/>
          <w:i/>
          <w:noProof/>
        </w:rPr>
      </w:pPr>
      <w:r w:rsidRPr="0017603A">
        <w:rPr>
          <w:rFonts w:eastAsia="Calibri" w:cs="Times New Roman"/>
          <w:noProof/>
        </w:rPr>
        <w:t xml:space="preserve">(2) </w:t>
      </w:r>
      <w:r w:rsidRPr="00CB5690">
        <w:rPr>
          <w:rFonts w:eastAsia="Calibri" w:cs="Times New Roman"/>
          <w:i/>
          <w:noProof/>
        </w:rPr>
        <w:t>The report should explain to what extent the revision of the F-gases Regulation</w:t>
      </w:r>
    </w:p>
    <w:p w14:paraId="1BEF30D1" w14:textId="70C96E40" w:rsidR="0017603A" w:rsidRPr="00CB5690" w:rsidRDefault="0017603A" w:rsidP="00CB5690">
      <w:pPr>
        <w:pStyle w:val="ListParagraph"/>
        <w:spacing w:after="120"/>
        <w:ind w:left="737"/>
        <w:contextualSpacing w:val="0"/>
        <w:rPr>
          <w:rFonts w:eastAsia="Calibri" w:cs="Times New Roman"/>
          <w:i/>
          <w:noProof/>
        </w:rPr>
      </w:pPr>
      <w:r w:rsidRPr="00CB5690">
        <w:rPr>
          <w:rFonts w:eastAsia="Calibri" w:cs="Times New Roman"/>
          <w:i/>
          <w:noProof/>
        </w:rPr>
        <w:t xml:space="preserve">contributes to the EU climate targets. It should clarify the </w:t>
      </w:r>
      <w:r w:rsidR="00CB5690" w:rsidRPr="00CB5690">
        <w:rPr>
          <w:rFonts w:eastAsia="Calibri" w:cs="Times New Roman"/>
          <w:i/>
          <w:noProof/>
        </w:rPr>
        <w:t xml:space="preserve">interaction and complementarity </w:t>
      </w:r>
      <w:r w:rsidRPr="00CB5690">
        <w:rPr>
          <w:rFonts w:eastAsia="Calibri" w:cs="Times New Roman"/>
          <w:i/>
          <w:noProof/>
        </w:rPr>
        <w:t>between this Regulation and the inclusion of targets on F-gases as part of Member States’</w:t>
      </w:r>
      <w:r w:rsidR="00CB5690" w:rsidRPr="00CB5690">
        <w:rPr>
          <w:rFonts w:eastAsia="Calibri" w:cs="Times New Roman"/>
          <w:i/>
          <w:noProof/>
        </w:rPr>
        <w:t xml:space="preserve"> </w:t>
      </w:r>
      <w:r w:rsidRPr="00CB5690">
        <w:rPr>
          <w:rFonts w:eastAsia="Calibri" w:cs="Times New Roman"/>
          <w:i/>
          <w:noProof/>
        </w:rPr>
        <w:t>targets under the Effort Sharing Regulation. The report should be more specific on the level</w:t>
      </w:r>
      <w:r w:rsidR="00CB5690" w:rsidRPr="00CB5690">
        <w:rPr>
          <w:rFonts w:eastAsia="Calibri" w:cs="Times New Roman"/>
          <w:i/>
          <w:noProof/>
        </w:rPr>
        <w:t xml:space="preserve"> </w:t>
      </w:r>
      <w:r w:rsidRPr="00CB5690">
        <w:rPr>
          <w:rFonts w:eastAsia="Calibri" w:cs="Times New Roman"/>
          <w:i/>
          <w:noProof/>
        </w:rPr>
        <w:t>of emission reductions targeted by the revision. It should clarify whether the objective to</w:t>
      </w:r>
      <w:r w:rsidR="00CB5690" w:rsidRPr="00CB5690">
        <w:rPr>
          <w:rFonts w:eastAsia="Calibri" w:cs="Times New Roman"/>
          <w:i/>
          <w:noProof/>
        </w:rPr>
        <w:t xml:space="preserve"> </w:t>
      </w:r>
      <w:r w:rsidRPr="00CB5690">
        <w:rPr>
          <w:rFonts w:eastAsia="Calibri" w:cs="Times New Roman"/>
          <w:i/>
          <w:noProof/>
        </w:rPr>
        <w:t>achieve further emissions reduction in a fair and cost-effective manner is a binding</w:t>
      </w:r>
      <w:r w:rsidR="00CB5690" w:rsidRPr="00CB5690">
        <w:rPr>
          <w:rFonts w:eastAsia="Calibri" w:cs="Times New Roman"/>
          <w:i/>
          <w:noProof/>
        </w:rPr>
        <w:t xml:space="preserve"> </w:t>
      </w:r>
      <w:r w:rsidRPr="00CB5690">
        <w:rPr>
          <w:rFonts w:eastAsia="Calibri" w:cs="Times New Roman"/>
          <w:i/>
          <w:noProof/>
        </w:rPr>
        <w:t>obligation deriving from the Climate Target Plan.</w:t>
      </w:r>
    </w:p>
    <w:p w14:paraId="6D58256B" w14:textId="5BFCD128" w:rsidR="00CB5690" w:rsidRPr="00CB5690" w:rsidRDefault="00ED570D" w:rsidP="00CA67B4">
      <w:pPr>
        <w:pStyle w:val="ListParagraph"/>
        <w:spacing w:after="120"/>
        <w:ind w:left="0"/>
        <w:contextualSpacing w:val="0"/>
        <w:rPr>
          <w:rFonts w:eastAsia="Calibri" w:cs="Times New Roman"/>
          <w:noProof/>
        </w:rPr>
      </w:pPr>
      <w:r>
        <w:rPr>
          <w:rFonts w:eastAsia="Calibri" w:cs="Times New Roman"/>
          <w:noProof/>
        </w:rPr>
        <w:t>In the new adjusted version, t</w:t>
      </w:r>
      <w:r w:rsidR="00CB5690">
        <w:rPr>
          <w:rFonts w:eastAsia="Calibri" w:cs="Times New Roman"/>
          <w:noProof/>
        </w:rPr>
        <w:t xml:space="preserve">he contribution is given as the total amounts saved by the options (comparison of options &amp; preferred option). </w:t>
      </w:r>
      <w:r>
        <w:rPr>
          <w:rFonts w:eastAsia="Calibri" w:cs="Times New Roman"/>
          <w:noProof/>
        </w:rPr>
        <w:t>Also, for scale, t</w:t>
      </w:r>
      <w:r w:rsidR="00CB5690">
        <w:rPr>
          <w:rFonts w:eastAsia="Calibri" w:cs="Times New Roman"/>
          <w:noProof/>
        </w:rPr>
        <w:t xml:space="preserve">he introduction </w:t>
      </w:r>
      <w:r>
        <w:rPr>
          <w:rFonts w:eastAsia="Calibri" w:cs="Times New Roman"/>
          <w:noProof/>
        </w:rPr>
        <w:t xml:space="preserve">now </w:t>
      </w:r>
      <w:r w:rsidR="00CB5690">
        <w:rPr>
          <w:rFonts w:eastAsia="Calibri" w:cs="Times New Roman"/>
          <w:noProof/>
        </w:rPr>
        <w:t xml:space="preserve">refers to the F-gases constituting 5% of ESR emissions. The complementarity to ESR is </w:t>
      </w:r>
      <w:r>
        <w:rPr>
          <w:rFonts w:eastAsia="Calibri" w:cs="Times New Roman"/>
          <w:noProof/>
        </w:rPr>
        <w:t xml:space="preserve">further </w:t>
      </w:r>
      <w:r w:rsidR="00CB5690">
        <w:rPr>
          <w:rFonts w:eastAsia="Calibri" w:cs="Times New Roman"/>
          <w:noProof/>
        </w:rPr>
        <w:t xml:space="preserve">explained in the introduction. </w:t>
      </w:r>
      <w:r w:rsidR="00CB5690" w:rsidRPr="00C43275">
        <w:rPr>
          <w:rFonts w:eastAsia="Calibri" w:cs="Times New Roman"/>
          <w:noProof/>
        </w:rPr>
        <w:t>The main factor is that there is no specific F-gas target for Member States. There is also no binding target for F-gases in the Climate Target Plan.</w:t>
      </w:r>
      <w:r w:rsidR="00CB5690">
        <w:rPr>
          <w:rFonts w:eastAsia="Calibri" w:cs="Times New Roman"/>
          <w:noProof/>
        </w:rPr>
        <w:t xml:space="preserve"> Rather, the F-gas Regulation will help Member States achieve their </w:t>
      </w:r>
      <w:r w:rsidR="005B55E1">
        <w:rPr>
          <w:rFonts w:eastAsia="Calibri" w:cs="Times New Roman"/>
          <w:noProof/>
        </w:rPr>
        <w:t xml:space="preserve">Effort Sharing </w:t>
      </w:r>
      <w:r w:rsidR="00CB5690">
        <w:rPr>
          <w:rFonts w:eastAsia="Calibri" w:cs="Times New Roman"/>
          <w:noProof/>
        </w:rPr>
        <w:t>target</w:t>
      </w:r>
      <w:r w:rsidR="005B55E1">
        <w:rPr>
          <w:rFonts w:eastAsia="Calibri" w:cs="Times New Roman"/>
          <w:noProof/>
        </w:rPr>
        <w:t xml:space="preserve"> in a cost effective way</w:t>
      </w:r>
      <w:r w:rsidR="00CB5690">
        <w:rPr>
          <w:rFonts w:eastAsia="Calibri" w:cs="Times New Roman"/>
          <w:noProof/>
        </w:rPr>
        <w:t xml:space="preserve">. </w:t>
      </w:r>
      <w:r w:rsidR="005B55E1">
        <w:rPr>
          <w:rFonts w:eastAsia="Calibri" w:cs="Times New Roman"/>
          <w:noProof/>
        </w:rPr>
        <w:t>M</w:t>
      </w:r>
      <w:r w:rsidR="00CB5690">
        <w:rPr>
          <w:rFonts w:eastAsia="Calibri" w:cs="Times New Roman"/>
          <w:noProof/>
        </w:rPr>
        <w:t>easures at all levels (</w:t>
      </w:r>
      <w:r w:rsidR="00F854AA">
        <w:rPr>
          <w:rFonts w:eastAsia="Calibri" w:cs="Times New Roman"/>
          <w:noProof/>
        </w:rPr>
        <w:t>e.g. EU, national, regional</w:t>
      </w:r>
      <w:r w:rsidR="00CB5690">
        <w:rPr>
          <w:rFonts w:eastAsia="Calibri" w:cs="Times New Roman"/>
          <w:noProof/>
        </w:rPr>
        <w:t>) must be taken, as appropriate. Like other EU legislation (</w:t>
      </w:r>
      <w:r w:rsidR="00F854AA">
        <w:rPr>
          <w:rFonts w:eastAsia="Calibri" w:cs="Times New Roman"/>
          <w:noProof/>
        </w:rPr>
        <w:t>e.g.</w:t>
      </w:r>
      <w:r w:rsidR="00CB5690">
        <w:rPr>
          <w:rFonts w:eastAsia="Calibri" w:cs="Times New Roman"/>
          <w:noProof/>
        </w:rPr>
        <w:t xml:space="preserve"> CO2 in cars and vans, emissions from heavy-duty vehicles), the measures in the F-gas Regulation are </w:t>
      </w:r>
      <w:r w:rsidR="005B55E1">
        <w:rPr>
          <w:rFonts w:eastAsia="Calibri" w:cs="Times New Roman"/>
          <w:noProof/>
        </w:rPr>
        <w:t>very</w:t>
      </w:r>
      <w:r w:rsidR="00CB5690">
        <w:rPr>
          <w:rFonts w:eastAsia="Calibri" w:cs="Times New Roman"/>
          <w:noProof/>
        </w:rPr>
        <w:t xml:space="preserve"> effective and efficient to achie</w:t>
      </w:r>
      <w:r w:rsidR="00FF27CF">
        <w:rPr>
          <w:rFonts w:eastAsia="Calibri" w:cs="Times New Roman"/>
          <w:noProof/>
        </w:rPr>
        <w:t xml:space="preserve">ve </w:t>
      </w:r>
      <w:r w:rsidR="005B55E1">
        <w:rPr>
          <w:rFonts w:eastAsia="Calibri" w:cs="Times New Roman"/>
          <w:noProof/>
        </w:rPr>
        <w:t xml:space="preserve">some </w:t>
      </w:r>
      <w:r w:rsidR="00FF27CF">
        <w:rPr>
          <w:rFonts w:eastAsia="Calibri" w:cs="Times New Roman"/>
          <w:noProof/>
        </w:rPr>
        <w:t>savings from this sector. This</w:t>
      </w:r>
      <w:r w:rsidR="00CB5690">
        <w:rPr>
          <w:rFonts w:eastAsia="Calibri" w:cs="Times New Roman"/>
          <w:noProof/>
        </w:rPr>
        <w:t xml:space="preserve"> EU added value is established by the evaluation and short</w:t>
      </w:r>
      <w:r w:rsidR="00C43275">
        <w:rPr>
          <w:rFonts w:eastAsia="Calibri" w:cs="Times New Roman"/>
          <w:noProof/>
        </w:rPr>
        <w:t>ly</w:t>
      </w:r>
      <w:r w:rsidR="00CB5690">
        <w:rPr>
          <w:rFonts w:eastAsia="Calibri" w:cs="Times New Roman"/>
          <w:noProof/>
        </w:rPr>
        <w:t xml:space="preserve"> explained in the relevant section in the main </w:t>
      </w:r>
      <w:r w:rsidR="005B55E1">
        <w:rPr>
          <w:rFonts w:eastAsia="Calibri" w:cs="Times New Roman"/>
          <w:noProof/>
        </w:rPr>
        <w:t>impact assessment report</w:t>
      </w:r>
      <w:r w:rsidR="00CB5690">
        <w:rPr>
          <w:rFonts w:eastAsia="Calibri" w:cs="Times New Roman"/>
          <w:noProof/>
        </w:rPr>
        <w:t>.</w:t>
      </w:r>
      <w:r w:rsidR="00606E69">
        <w:rPr>
          <w:rFonts w:eastAsia="Calibri" w:cs="Times New Roman"/>
          <w:noProof/>
        </w:rPr>
        <w:t xml:space="preserve"> T</w:t>
      </w:r>
      <w:r w:rsidR="005B55E1">
        <w:rPr>
          <w:rFonts w:eastAsia="Calibri" w:cs="Times New Roman"/>
          <w:noProof/>
        </w:rPr>
        <w:t xml:space="preserve">he level of emission reduction targeted </w:t>
      </w:r>
      <w:r w:rsidR="00606E69">
        <w:rPr>
          <w:rFonts w:eastAsia="Calibri" w:cs="Times New Roman"/>
          <w:noProof/>
        </w:rPr>
        <w:t xml:space="preserve">is a political choice based on the balance between costs and benefits and is thus resulting from the </w:t>
      </w:r>
      <w:r w:rsidR="005B55E1">
        <w:rPr>
          <w:rFonts w:eastAsia="Calibri" w:cs="Times New Roman"/>
          <w:noProof/>
        </w:rPr>
        <w:t>preferred option.</w:t>
      </w:r>
    </w:p>
    <w:p w14:paraId="38DF36AF" w14:textId="77777777" w:rsidR="00C26BBA" w:rsidRDefault="00C26BBA" w:rsidP="0017603A">
      <w:pPr>
        <w:pStyle w:val="ListParagraph"/>
        <w:ind w:left="735"/>
        <w:rPr>
          <w:rFonts w:eastAsia="Calibri" w:cs="Times New Roman"/>
          <w:i/>
          <w:noProof/>
        </w:rPr>
      </w:pPr>
    </w:p>
    <w:p w14:paraId="63505604" w14:textId="77777777" w:rsidR="00C26BBA" w:rsidRDefault="00C26BBA" w:rsidP="0017603A">
      <w:pPr>
        <w:pStyle w:val="ListParagraph"/>
        <w:ind w:left="735"/>
        <w:rPr>
          <w:rFonts w:eastAsia="Calibri" w:cs="Times New Roman"/>
          <w:i/>
          <w:noProof/>
        </w:rPr>
      </w:pPr>
    </w:p>
    <w:p w14:paraId="5990100B" w14:textId="77777777" w:rsidR="00C26BBA" w:rsidRDefault="00C26BBA" w:rsidP="0017603A">
      <w:pPr>
        <w:pStyle w:val="ListParagraph"/>
        <w:ind w:left="735"/>
        <w:rPr>
          <w:rFonts w:eastAsia="Calibri" w:cs="Times New Roman"/>
          <w:i/>
          <w:noProof/>
        </w:rPr>
      </w:pPr>
    </w:p>
    <w:p w14:paraId="42307746" w14:textId="2AF6CFD6" w:rsidR="0017603A" w:rsidRPr="00CA67B4" w:rsidRDefault="0017603A" w:rsidP="0017603A">
      <w:pPr>
        <w:pStyle w:val="ListParagraph"/>
        <w:ind w:left="735"/>
        <w:rPr>
          <w:rFonts w:eastAsia="Calibri" w:cs="Times New Roman"/>
          <w:i/>
          <w:noProof/>
        </w:rPr>
      </w:pPr>
      <w:r w:rsidRPr="00CA67B4">
        <w:rPr>
          <w:rFonts w:eastAsia="Calibri" w:cs="Times New Roman"/>
          <w:i/>
          <w:noProof/>
        </w:rPr>
        <w:t>(3) The report should develop the baseline and its evolution in more detail, explaining</w:t>
      </w:r>
    </w:p>
    <w:p w14:paraId="585C9EDB" w14:textId="77777777" w:rsidR="0017603A" w:rsidRPr="00CA67B4" w:rsidRDefault="0017603A" w:rsidP="0017603A">
      <w:pPr>
        <w:pStyle w:val="ListParagraph"/>
        <w:ind w:left="735"/>
        <w:rPr>
          <w:rFonts w:eastAsia="Calibri" w:cs="Times New Roman"/>
          <w:i/>
          <w:noProof/>
        </w:rPr>
      </w:pPr>
      <w:r w:rsidRPr="00CA67B4">
        <w:rPr>
          <w:rFonts w:eastAsia="Calibri" w:cs="Times New Roman"/>
          <w:i/>
          <w:noProof/>
        </w:rPr>
        <w:t>what would happen if the F-gases Regulation is not revised, taking into account the</w:t>
      </w:r>
    </w:p>
    <w:p w14:paraId="093CA8C9" w14:textId="6183A615" w:rsidR="00706D63" w:rsidRDefault="0017603A" w:rsidP="00CA67B4">
      <w:pPr>
        <w:pStyle w:val="ListParagraph"/>
        <w:ind w:left="735"/>
        <w:rPr>
          <w:rFonts w:eastAsia="Calibri" w:cs="Times New Roman"/>
          <w:i/>
          <w:noProof/>
        </w:rPr>
      </w:pPr>
      <w:r w:rsidRPr="00CA67B4">
        <w:rPr>
          <w:rFonts w:eastAsia="Calibri" w:cs="Times New Roman"/>
          <w:i/>
          <w:noProof/>
        </w:rPr>
        <w:t>revisions of the Effort Sharing Regulation and the Ozone Regulation.</w:t>
      </w:r>
    </w:p>
    <w:p w14:paraId="12876812" w14:textId="6B06E17E" w:rsidR="00CA67B4" w:rsidRPr="00CA67B4" w:rsidRDefault="00CA67B4" w:rsidP="008E2B4D">
      <w:pPr>
        <w:spacing w:after="120"/>
        <w:rPr>
          <w:rFonts w:eastAsia="Calibri" w:cs="Times New Roman"/>
          <w:noProof/>
        </w:rPr>
      </w:pPr>
      <w:r>
        <w:rPr>
          <w:rFonts w:eastAsia="Calibri" w:cs="Times New Roman"/>
          <w:noProof/>
        </w:rPr>
        <w:t xml:space="preserve">It was </w:t>
      </w:r>
      <w:r w:rsidR="00ED570D">
        <w:rPr>
          <w:rFonts w:eastAsia="Calibri" w:cs="Times New Roman"/>
          <w:noProof/>
        </w:rPr>
        <w:t>further clarified</w:t>
      </w:r>
      <w:r>
        <w:rPr>
          <w:rFonts w:eastAsia="Calibri" w:cs="Times New Roman"/>
          <w:noProof/>
        </w:rPr>
        <w:t xml:space="preserve"> in the baseline section that the Ozone Regulation has no impact on the development of the baseline, as HFCs and other F-gases today do not replace any ODS uses anymore. As for the ESR, it was explained that additional actions in the field of F-gases that Member States have taken so far (e.g. fiscal policies, </w:t>
      </w:r>
      <w:r w:rsidR="008E2B4D">
        <w:rPr>
          <w:rFonts w:eastAsia="Calibri" w:cs="Times New Roman"/>
          <w:noProof/>
        </w:rPr>
        <w:t xml:space="preserve">waste management, etc.) are part of the baseline. Future action cannot be included as we do not know if Member States will, and if so, what action they will take in this sector, or in other sectors, to reach their overall GHG targets, as Member States have flexibility to choose the additional tools needed to reach their </w:t>
      </w:r>
      <w:r w:rsidR="00606E69">
        <w:rPr>
          <w:rFonts w:eastAsia="Calibri" w:cs="Times New Roman"/>
          <w:noProof/>
        </w:rPr>
        <w:t xml:space="preserve">own </w:t>
      </w:r>
      <w:r w:rsidR="008E2B4D">
        <w:rPr>
          <w:rFonts w:eastAsia="Calibri" w:cs="Times New Roman"/>
          <w:noProof/>
        </w:rPr>
        <w:t xml:space="preserve">target. Some </w:t>
      </w:r>
      <w:r w:rsidR="00606E69">
        <w:rPr>
          <w:rFonts w:eastAsia="Calibri" w:cs="Times New Roman"/>
          <w:noProof/>
        </w:rPr>
        <w:t>F-gas related</w:t>
      </w:r>
      <w:r w:rsidR="008E2B4D">
        <w:rPr>
          <w:rFonts w:eastAsia="Calibri" w:cs="Times New Roman"/>
          <w:noProof/>
        </w:rPr>
        <w:t xml:space="preserve"> actions may contribute to further emission savings at EU level, others (e.g. </w:t>
      </w:r>
      <w:r w:rsidR="00C26BBA">
        <w:rPr>
          <w:rFonts w:eastAsia="Calibri" w:cs="Times New Roman"/>
          <w:noProof/>
        </w:rPr>
        <w:t xml:space="preserve">some </w:t>
      </w:r>
      <w:r w:rsidR="008E2B4D">
        <w:rPr>
          <w:rFonts w:eastAsia="Calibri" w:cs="Times New Roman"/>
          <w:noProof/>
        </w:rPr>
        <w:t xml:space="preserve">prohibitions) may only help achieve Member State level targets, but not the EU target (as there is an EU-wide quota system and if a sector is pushed harder in one Member State could mean that there is quota available elsewhere, i.e. other </w:t>
      </w:r>
      <w:r w:rsidR="00606E69">
        <w:rPr>
          <w:rFonts w:eastAsia="Calibri" w:cs="Times New Roman"/>
          <w:noProof/>
        </w:rPr>
        <w:t>M</w:t>
      </w:r>
      <w:r w:rsidR="008E2B4D">
        <w:rPr>
          <w:rFonts w:eastAsia="Calibri" w:cs="Times New Roman"/>
          <w:noProof/>
        </w:rPr>
        <w:t>ember States or other sectors</w:t>
      </w:r>
      <w:r w:rsidR="00606E69">
        <w:rPr>
          <w:rFonts w:eastAsia="Calibri" w:cs="Times New Roman"/>
          <w:noProof/>
        </w:rPr>
        <w:t>)</w:t>
      </w:r>
      <w:r w:rsidR="008E2B4D">
        <w:rPr>
          <w:rFonts w:eastAsia="Calibri" w:cs="Times New Roman"/>
          <w:noProof/>
        </w:rPr>
        <w:t xml:space="preserve">. </w:t>
      </w:r>
    </w:p>
    <w:p w14:paraId="2315CA85" w14:textId="6B8A1056" w:rsidR="0017603A" w:rsidRDefault="0017603A" w:rsidP="008E2B4D">
      <w:pPr>
        <w:pStyle w:val="ListParagraph"/>
        <w:spacing w:after="120"/>
        <w:ind w:left="737"/>
        <w:contextualSpacing w:val="0"/>
        <w:rPr>
          <w:rFonts w:eastAsia="Calibri" w:cs="Times New Roman"/>
          <w:noProof/>
        </w:rPr>
      </w:pPr>
      <w:r w:rsidRPr="0017603A">
        <w:rPr>
          <w:rFonts w:eastAsia="Calibri" w:cs="Times New Roman"/>
          <w:noProof/>
        </w:rPr>
        <w:t xml:space="preserve">(4) </w:t>
      </w:r>
      <w:r w:rsidRPr="008E2B4D">
        <w:rPr>
          <w:rFonts w:eastAsia="Calibri" w:cs="Times New Roman"/>
          <w:i/>
          <w:noProof/>
        </w:rPr>
        <w:t>The report should present a set of policy options that can tackle all the objectives. The</w:t>
      </w:r>
      <w:r w:rsidR="008E2B4D" w:rsidRPr="008E2B4D">
        <w:rPr>
          <w:rFonts w:eastAsia="Calibri" w:cs="Times New Roman"/>
          <w:i/>
          <w:noProof/>
        </w:rPr>
        <w:t xml:space="preserve"> </w:t>
      </w:r>
      <w:r w:rsidRPr="008E2B4D">
        <w:rPr>
          <w:rFonts w:eastAsia="Calibri" w:cs="Times New Roman"/>
          <w:i/>
          <w:noProof/>
        </w:rPr>
        <w:t>report should bring out clearly the credible policy choices. If the revision is bound by the</w:t>
      </w:r>
      <w:r w:rsidR="008E2B4D" w:rsidRPr="008E2B4D">
        <w:rPr>
          <w:rFonts w:eastAsia="Calibri" w:cs="Times New Roman"/>
          <w:i/>
          <w:noProof/>
        </w:rPr>
        <w:t xml:space="preserve"> </w:t>
      </w:r>
      <w:r w:rsidRPr="008E2B4D">
        <w:rPr>
          <w:rFonts w:eastAsia="Calibri" w:cs="Times New Roman"/>
          <w:i/>
          <w:noProof/>
        </w:rPr>
        <w:t>objective to achieve additional emission reductions in a fair and cost-efficient manner, the</w:t>
      </w:r>
      <w:r w:rsidR="008E2B4D" w:rsidRPr="008E2B4D">
        <w:rPr>
          <w:rFonts w:eastAsia="Calibri" w:cs="Times New Roman"/>
          <w:i/>
          <w:noProof/>
        </w:rPr>
        <w:t xml:space="preserve"> </w:t>
      </w:r>
      <w:r w:rsidRPr="008E2B4D">
        <w:rPr>
          <w:rFonts w:eastAsia="Calibri" w:cs="Times New Roman"/>
          <w:i/>
          <w:noProof/>
        </w:rPr>
        <w:t>report should acknowledge that options 1 and 3 are not realistic or fair options and thus</w:t>
      </w:r>
      <w:r w:rsidR="008E2B4D" w:rsidRPr="008E2B4D">
        <w:rPr>
          <w:rFonts w:eastAsia="Calibri" w:cs="Times New Roman"/>
          <w:i/>
          <w:noProof/>
        </w:rPr>
        <w:t xml:space="preserve"> </w:t>
      </w:r>
      <w:r w:rsidRPr="008E2B4D">
        <w:rPr>
          <w:rFonts w:eastAsia="Calibri" w:cs="Times New Roman"/>
          <w:i/>
          <w:noProof/>
        </w:rPr>
        <w:t>appear not to be compatible with that objective. The report should better justify the</w:t>
      </w:r>
      <w:r w:rsidR="008E2B4D" w:rsidRPr="008E2B4D">
        <w:rPr>
          <w:rFonts w:eastAsia="Calibri" w:cs="Times New Roman"/>
          <w:i/>
          <w:noProof/>
        </w:rPr>
        <w:t xml:space="preserve"> </w:t>
      </w:r>
      <w:r w:rsidRPr="008E2B4D">
        <w:rPr>
          <w:rFonts w:eastAsia="Calibri" w:cs="Times New Roman"/>
          <w:i/>
          <w:noProof/>
        </w:rPr>
        <w:t>composition of the remaining option and why this would be the optimal set of measures.</w:t>
      </w:r>
    </w:p>
    <w:p w14:paraId="15F92ED8" w14:textId="4F66C7F0" w:rsidR="008E2B4D" w:rsidRPr="008E2B4D" w:rsidRDefault="008E2B4D" w:rsidP="00ED570D">
      <w:pPr>
        <w:pStyle w:val="ListParagraph"/>
        <w:spacing w:after="120"/>
        <w:ind w:left="0"/>
        <w:contextualSpacing w:val="0"/>
        <w:rPr>
          <w:rFonts w:eastAsia="Calibri" w:cs="Times New Roman"/>
          <w:noProof/>
        </w:rPr>
      </w:pPr>
      <w:r>
        <w:rPr>
          <w:rFonts w:eastAsia="Calibri" w:cs="Times New Roman"/>
          <w:noProof/>
        </w:rPr>
        <w:t xml:space="preserve">We </w:t>
      </w:r>
      <w:r w:rsidR="00606E69">
        <w:rPr>
          <w:rFonts w:eastAsia="Calibri" w:cs="Times New Roman"/>
          <w:noProof/>
        </w:rPr>
        <w:t>acknowledge</w:t>
      </w:r>
      <w:r>
        <w:rPr>
          <w:rFonts w:eastAsia="Calibri" w:cs="Times New Roman"/>
          <w:noProof/>
        </w:rPr>
        <w:t xml:space="preserve"> that the </w:t>
      </w:r>
      <w:r w:rsidR="00606E69">
        <w:rPr>
          <w:rFonts w:eastAsia="Calibri" w:cs="Times New Roman"/>
          <w:noProof/>
        </w:rPr>
        <w:t xml:space="preserve">review </w:t>
      </w:r>
      <w:r>
        <w:rPr>
          <w:rFonts w:eastAsia="Calibri" w:cs="Times New Roman"/>
          <w:noProof/>
        </w:rPr>
        <w:t xml:space="preserve">objective on savings emissions could be interpreted as being </w:t>
      </w:r>
      <w:r w:rsidR="00606E69">
        <w:rPr>
          <w:rFonts w:eastAsia="Calibri" w:cs="Times New Roman"/>
          <w:noProof/>
        </w:rPr>
        <w:t xml:space="preserve">a sort of </w:t>
      </w:r>
      <w:r>
        <w:rPr>
          <w:rFonts w:eastAsia="Calibri" w:cs="Times New Roman"/>
          <w:noProof/>
        </w:rPr>
        <w:t xml:space="preserve">compulsory target on F-gases, while there </w:t>
      </w:r>
      <w:r w:rsidR="00606E69">
        <w:rPr>
          <w:rFonts w:eastAsia="Calibri" w:cs="Times New Roman"/>
          <w:noProof/>
        </w:rPr>
        <w:t>is no such target</w:t>
      </w:r>
      <w:r>
        <w:rPr>
          <w:rFonts w:eastAsia="Calibri" w:cs="Times New Roman"/>
          <w:noProof/>
        </w:rPr>
        <w:t xml:space="preserve">. Rather, what is needed </w:t>
      </w:r>
      <w:r w:rsidR="00ED570D">
        <w:rPr>
          <w:rFonts w:eastAsia="Calibri" w:cs="Times New Roman"/>
          <w:noProof/>
        </w:rPr>
        <w:t xml:space="preserve">under the current political circumstances </w:t>
      </w:r>
      <w:r>
        <w:rPr>
          <w:rFonts w:eastAsia="Calibri" w:cs="Times New Roman"/>
          <w:noProof/>
        </w:rPr>
        <w:t xml:space="preserve">is a contribution of this Regulation, given that action seems cost-effective and </w:t>
      </w:r>
      <w:r w:rsidR="004F4A29">
        <w:rPr>
          <w:rFonts w:eastAsia="Calibri" w:cs="Times New Roman"/>
          <w:noProof/>
        </w:rPr>
        <w:t xml:space="preserve">have </w:t>
      </w:r>
      <w:r>
        <w:rPr>
          <w:rFonts w:eastAsia="Calibri" w:cs="Times New Roman"/>
          <w:noProof/>
        </w:rPr>
        <w:t>EU added, to the overall 2030 and 2050</w:t>
      </w:r>
      <w:r w:rsidR="00606E69">
        <w:rPr>
          <w:rFonts w:eastAsia="Calibri" w:cs="Times New Roman"/>
          <w:noProof/>
        </w:rPr>
        <w:t xml:space="preserve"> climate objectives</w:t>
      </w:r>
      <w:r>
        <w:rPr>
          <w:rFonts w:eastAsia="Calibri" w:cs="Times New Roman"/>
          <w:noProof/>
        </w:rPr>
        <w:t xml:space="preserve">. Therefore, the </w:t>
      </w:r>
      <w:r w:rsidR="00606E69">
        <w:rPr>
          <w:rFonts w:eastAsia="Calibri" w:cs="Times New Roman"/>
          <w:noProof/>
        </w:rPr>
        <w:t>revi</w:t>
      </w:r>
      <w:r w:rsidR="00C26BBA">
        <w:rPr>
          <w:rFonts w:eastAsia="Calibri" w:cs="Times New Roman"/>
          <w:noProof/>
        </w:rPr>
        <w:t>e</w:t>
      </w:r>
      <w:r w:rsidR="00F854AA">
        <w:rPr>
          <w:rFonts w:eastAsia="Calibri" w:cs="Times New Roman"/>
          <w:noProof/>
        </w:rPr>
        <w:t>w</w:t>
      </w:r>
      <w:r w:rsidR="00606E69">
        <w:rPr>
          <w:rFonts w:eastAsia="Calibri" w:cs="Times New Roman"/>
          <w:noProof/>
        </w:rPr>
        <w:t xml:space="preserve"> </w:t>
      </w:r>
      <w:r>
        <w:rPr>
          <w:rFonts w:eastAsia="Calibri" w:cs="Times New Roman"/>
          <w:noProof/>
        </w:rPr>
        <w:t>objective</w:t>
      </w:r>
      <w:r w:rsidR="00ED570D">
        <w:rPr>
          <w:rFonts w:eastAsia="Calibri" w:cs="Times New Roman"/>
          <w:noProof/>
        </w:rPr>
        <w:t xml:space="preserve"> </w:t>
      </w:r>
      <w:r w:rsidR="00606E69">
        <w:rPr>
          <w:rFonts w:eastAsia="Calibri" w:cs="Times New Roman"/>
          <w:noProof/>
        </w:rPr>
        <w:t>(</w:t>
      </w:r>
      <w:r w:rsidR="00ED570D">
        <w:rPr>
          <w:rFonts w:eastAsia="Calibri" w:cs="Times New Roman"/>
          <w:noProof/>
        </w:rPr>
        <w:t>A</w:t>
      </w:r>
      <w:r w:rsidR="00606E69">
        <w:rPr>
          <w:rFonts w:eastAsia="Calibri" w:cs="Times New Roman"/>
          <w:noProof/>
        </w:rPr>
        <w:t>)</w:t>
      </w:r>
      <w:r w:rsidR="00ED570D">
        <w:rPr>
          <w:rFonts w:eastAsia="Calibri" w:cs="Times New Roman"/>
          <w:noProof/>
        </w:rPr>
        <w:t xml:space="preserve"> on saving emissions has been adjusted in this way. The amount of emissions that can be saved depends on technical feasibility on one hand, and willingness of paying the price and effort needed on the other hand. To give a sensible political choice on the matter, the options were constructed so that it could be assessed what a low, a medium, and a high cost/effort scenario would deliver and what it would cost. </w:t>
      </w:r>
      <w:r w:rsidR="00606E69">
        <w:rPr>
          <w:rFonts w:eastAsia="Calibri" w:cs="Times New Roman"/>
          <w:noProof/>
        </w:rPr>
        <w:t>Thus there is a real political choice to be made between the options on the basis of the costs and benefits they can generate.</w:t>
      </w:r>
      <w:r w:rsidR="00ED570D">
        <w:rPr>
          <w:rFonts w:eastAsia="Calibri" w:cs="Times New Roman"/>
          <w:noProof/>
        </w:rPr>
        <w:t xml:space="preserve"> The </w:t>
      </w:r>
      <w:r w:rsidR="004F4A29">
        <w:rPr>
          <w:rFonts w:eastAsia="Calibri" w:cs="Times New Roman"/>
          <w:noProof/>
        </w:rPr>
        <w:t>assessment of the options show</w:t>
      </w:r>
      <w:r w:rsidR="00ED570D">
        <w:rPr>
          <w:rFonts w:eastAsia="Calibri" w:cs="Times New Roman"/>
          <w:noProof/>
        </w:rPr>
        <w:t xml:space="preserve"> that Option 1 does not deliver meaningful emission savings and </w:t>
      </w:r>
      <w:r w:rsidR="004F4A29">
        <w:rPr>
          <w:rFonts w:eastAsia="Calibri" w:cs="Times New Roman"/>
          <w:noProof/>
        </w:rPr>
        <w:t>therefore a low cost scenario is not recommended. On the other hand</w:t>
      </w:r>
      <w:r w:rsidR="00ED570D">
        <w:rPr>
          <w:rFonts w:eastAsia="Calibri" w:cs="Times New Roman"/>
          <w:noProof/>
        </w:rPr>
        <w:t xml:space="preserve"> Option 3 only delivers slightly more than Option 2 and </w:t>
      </w:r>
      <w:r w:rsidR="004F4A29">
        <w:rPr>
          <w:rFonts w:eastAsia="Calibri" w:cs="Times New Roman"/>
          <w:noProof/>
        </w:rPr>
        <w:t>therefore it is not recommended to impose a high cost scenario</w:t>
      </w:r>
      <w:r w:rsidR="00ED570D">
        <w:rPr>
          <w:rFonts w:eastAsia="Calibri" w:cs="Times New Roman"/>
          <w:noProof/>
        </w:rPr>
        <w:t xml:space="preserve">. Furthermore, the three options correspond to </w:t>
      </w:r>
      <w:r w:rsidR="004F4A29">
        <w:rPr>
          <w:rFonts w:eastAsia="Calibri" w:cs="Times New Roman"/>
          <w:noProof/>
        </w:rPr>
        <w:t xml:space="preserve">preferences expressed by </w:t>
      </w:r>
      <w:r w:rsidR="00ED570D">
        <w:rPr>
          <w:rFonts w:eastAsia="Calibri" w:cs="Times New Roman"/>
          <w:noProof/>
        </w:rPr>
        <w:t xml:space="preserve">different stakeholders </w:t>
      </w:r>
      <w:r w:rsidR="004F4A29">
        <w:rPr>
          <w:rFonts w:eastAsia="Calibri" w:cs="Times New Roman"/>
          <w:noProof/>
        </w:rPr>
        <w:t>groups</w:t>
      </w:r>
      <w:r w:rsidR="00ED570D">
        <w:rPr>
          <w:rFonts w:eastAsia="Calibri" w:cs="Times New Roman"/>
          <w:noProof/>
        </w:rPr>
        <w:t xml:space="preserve"> and </w:t>
      </w:r>
      <w:r w:rsidR="004F4A29">
        <w:rPr>
          <w:rFonts w:eastAsia="Calibri" w:cs="Times New Roman"/>
          <w:noProof/>
        </w:rPr>
        <w:t>it is therefore useful in the public debate to have clarity about what all three options would imply.</w:t>
      </w:r>
      <w:r w:rsidR="00ED570D">
        <w:rPr>
          <w:rFonts w:eastAsia="Calibri" w:cs="Times New Roman"/>
          <w:noProof/>
        </w:rPr>
        <w:t xml:space="preserve"> More information on this matter is provided in the section on the policy options including how the different measures were grouped into options.</w:t>
      </w:r>
    </w:p>
    <w:p w14:paraId="1651096D" w14:textId="51C3EFF9" w:rsidR="0017603A" w:rsidRPr="00ED570D" w:rsidRDefault="0017603A" w:rsidP="00ED570D">
      <w:pPr>
        <w:pStyle w:val="ListParagraph"/>
        <w:ind w:left="735"/>
        <w:rPr>
          <w:rFonts w:eastAsia="Calibri" w:cs="Times New Roman"/>
          <w:i/>
          <w:noProof/>
        </w:rPr>
      </w:pPr>
      <w:r w:rsidRPr="00ED570D">
        <w:rPr>
          <w:rFonts w:eastAsia="Calibri" w:cs="Times New Roman"/>
          <w:i/>
          <w:noProof/>
        </w:rPr>
        <w:t>(5) When presenting the options, the report should also better explain the basis and</w:t>
      </w:r>
      <w:r w:rsidR="00ED570D">
        <w:rPr>
          <w:rFonts w:eastAsia="Calibri" w:cs="Times New Roman"/>
          <w:i/>
          <w:noProof/>
        </w:rPr>
        <w:t xml:space="preserve"> </w:t>
      </w:r>
      <w:r w:rsidRPr="00ED570D">
        <w:rPr>
          <w:rFonts w:eastAsia="Calibri" w:cs="Times New Roman"/>
          <w:i/>
          <w:noProof/>
        </w:rPr>
        <w:t>reasoning behind selecting a level of marginal abatement costs of up to EUR 390 / tCO2e,</w:t>
      </w:r>
      <w:r w:rsidR="00ED570D" w:rsidRPr="00ED570D">
        <w:rPr>
          <w:rFonts w:eastAsia="Calibri" w:cs="Times New Roman"/>
          <w:i/>
          <w:noProof/>
        </w:rPr>
        <w:t xml:space="preserve"> </w:t>
      </w:r>
      <w:r w:rsidRPr="00ED570D">
        <w:rPr>
          <w:rFonts w:eastAsia="Calibri" w:cs="Times New Roman"/>
          <w:i/>
          <w:noProof/>
        </w:rPr>
        <w:t>which sectors this applies to, and how this relates in fairness terms to abatement costs for</w:t>
      </w:r>
      <w:r w:rsidR="00ED570D" w:rsidRPr="00ED570D">
        <w:rPr>
          <w:rFonts w:eastAsia="Calibri" w:cs="Times New Roman"/>
          <w:i/>
          <w:noProof/>
        </w:rPr>
        <w:t xml:space="preserve"> </w:t>
      </w:r>
      <w:r w:rsidRPr="00ED570D">
        <w:rPr>
          <w:rFonts w:eastAsia="Calibri" w:cs="Times New Roman"/>
          <w:i/>
          <w:noProof/>
        </w:rPr>
        <w:t>other greenhouse gases or other sectors in the Fit for 55 package.</w:t>
      </w:r>
    </w:p>
    <w:p w14:paraId="74A52B26" w14:textId="46F4A64E" w:rsidR="00ED570D" w:rsidRPr="00ED570D" w:rsidRDefault="00ED570D" w:rsidP="00ED570D">
      <w:pPr>
        <w:rPr>
          <w:rFonts w:eastAsia="Calibri" w:cs="Times New Roman"/>
          <w:noProof/>
        </w:rPr>
      </w:pPr>
      <w:r>
        <w:rPr>
          <w:rFonts w:eastAsia="Calibri" w:cs="Times New Roman"/>
          <w:noProof/>
        </w:rPr>
        <w:t>As further explained</w:t>
      </w:r>
      <w:r w:rsidR="00A123E4">
        <w:rPr>
          <w:rFonts w:eastAsia="Calibri" w:cs="Times New Roman"/>
          <w:noProof/>
        </w:rPr>
        <w:t xml:space="preserve"> in </w:t>
      </w:r>
      <w:r w:rsidR="00C26BBA">
        <w:rPr>
          <w:rFonts w:eastAsia="Calibri" w:cs="Times New Roman"/>
          <w:noProof/>
        </w:rPr>
        <w:t xml:space="preserve">the </w:t>
      </w:r>
      <w:r w:rsidR="00A123E4">
        <w:rPr>
          <w:rFonts w:eastAsia="Calibri" w:cs="Times New Roman"/>
          <w:noProof/>
        </w:rPr>
        <w:t>description of the options</w:t>
      </w:r>
      <w:r>
        <w:rPr>
          <w:rFonts w:eastAsia="Calibri" w:cs="Times New Roman"/>
          <w:noProof/>
        </w:rPr>
        <w:t xml:space="preserve">, </w:t>
      </w:r>
      <w:r w:rsidR="00A123E4">
        <w:rPr>
          <w:rFonts w:eastAsia="Calibri" w:cs="Times New Roman"/>
          <w:noProof/>
        </w:rPr>
        <w:t>t</w:t>
      </w:r>
      <w:r>
        <w:rPr>
          <w:rFonts w:eastAsia="Calibri" w:cs="Times New Roman"/>
          <w:noProof/>
        </w:rPr>
        <w:t xml:space="preserve">his cut-off </w:t>
      </w:r>
      <w:r w:rsidR="00C26BBA">
        <w:rPr>
          <w:rFonts w:eastAsia="Calibri" w:cs="Times New Roman"/>
          <w:noProof/>
        </w:rPr>
        <w:t>amount</w:t>
      </w:r>
      <w:r w:rsidR="00A123E4">
        <w:rPr>
          <w:rFonts w:eastAsia="Calibri" w:cs="Times New Roman"/>
          <w:noProof/>
        </w:rPr>
        <w:t xml:space="preserve"> is used to distinguish between Options 2 and 3, namely to exclude sub-sectors with high abatement costs that exceed costs asked in 2050 modelling in other sectors. In effect, this eliminates the need to go to some alternatives in the areas of AC in buses, trains and metros.</w:t>
      </w:r>
      <w:r>
        <w:rPr>
          <w:rFonts w:eastAsia="Calibri" w:cs="Times New Roman"/>
          <w:noProof/>
        </w:rPr>
        <w:t xml:space="preserve"> </w:t>
      </w:r>
      <w:r w:rsidR="00A123E4">
        <w:rPr>
          <w:rFonts w:eastAsia="Calibri" w:cs="Times New Roman"/>
          <w:noProof/>
        </w:rPr>
        <w:t xml:space="preserve">The relation to the Fit for 55 goals is now addressed in the introduction and the problem definition. </w:t>
      </w:r>
      <w:r w:rsidR="004F4A29">
        <w:rPr>
          <w:rFonts w:eastAsia="Calibri" w:cs="Times New Roman"/>
          <w:noProof/>
        </w:rPr>
        <w:t>T</w:t>
      </w:r>
      <w:r w:rsidR="00A123E4">
        <w:rPr>
          <w:rFonts w:eastAsia="Calibri" w:cs="Times New Roman"/>
          <w:noProof/>
        </w:rPr>
        <w:t xml:space="preserve">he 2050 horizon was chosen as a benchmark </w:t>
      </w:r>
      <w:r w:rsidR="001F4867">
        <w:rPr>
          <w:rFonts w:eastAsia="Calibri" w:cs="Times New Roman"/>
          <w:noProof/>
        </w:rPr>
        <w:t xml:space="preserve">because most emission reductions will happen in the longer term and not by </w:t>
      </w:r>
      <w:r w:rsidR="00A123E4">
        <w:rPr>
          <w:rFonts w:eastAsia="Calibri" w:cs="Times New Roman"/>
          <w:noProof/>
        </w:rPr>
        <w:t>2030</w:t>
      </w:r>
      <w:r w:rsidR="001F4867">
        <w:rPr>
          <w:rFonts w:eastAsia="Calibri" w:cs="Times New Roman"/>
          <w:noProof/>
        </w:rPr>
        <w:t xml:space="preserve"> because there is a long lag between gradually reducing the use of these gases in new equipment and the emissions saved over the life of time of that equipment</w:t>
      </w:r>
      <w:r w:rsidR="00A123E4">
        <w:rPr>
          <w:rFonts w:eastAsia="Calibri" w:cs="Times New Roman"/>
          <w:noProof/>
        </w:rPr>
        <w:t>.</w:t>
      </w:r>
    </w:p>
    <w:p w14:paraId="3DE351BF" w14:textId="77777777" w:rsidR="0017603A" w:rsidRPr="00A123E4" w:rsidRDefault="0017603A" w:rsidP="0017603A">
      <w:pPr>
        <w:pStyle w:val="ListParagraph"/>
        <w:ind w:left="735"/>
        <w:rPr>
          <w:rFonts w:eastAsia="Calibri" w:cs="Times New Roman"/>
          <w:i/>
          <w:noProof/>
        </w:rPr>
      </w:pPr>
      <w:r w:rsidRPr="0017603A">
        <w:rPr>
          <w:rFonts w:eastAsia="Calibri" w:cs="Times New Roman"/>
          <w:noProof/>
        </w:rPr>
        <w:t>(</w:t>
      </w:r>
      <w:r w:rsidRPr="00A123E4">
        <w:rPr>
          <w:rFonts w:eastAsia="Calibri" w:cs="Times New Roman"/>
          <w:i/>
          <w:noProof/>
        </w:rPr>
        <w:t>6) The report should improve the overall narrative and reader friendliness, given the</w:t>
      </w:r>
    </w:p>
    <w:p w14:paraId="54C3DA3C" w14:textId="77777777" w:rsidR="0017603A" w:rsidRPr="00A123E4" w:rsidRDefault="0017603A" w:rsidP="0017603A">
      <w:pPr>
        <w:pStyle w:val="ListParagraph"/>
        <w:ind w:left="735"/>
        <w:rPr>
          <w:rFonts w:eastAsia="Calibri" w:cs="Times New Roman"/>
          <w:i/>
          <w:noProof/>
        </w:rPr>
      </w:pPr>
      <w:r w:rsidRPr="00A123E4">
        <w:rPr>
          <w:rFonts w:eastAsia="Calibri" w:cs="Times New Roman"/>
          <w:i/>
          <w:noProof/>
        </w:rPr>
        <w:t>technical complexity of the topic. The report should describe in more detail what the</w:t>
      </w:r>
    </w:p>
    <w:p w14:paraId="7898256E" w14:textId="77777777" w:rsidR="0017603A" w:rsidRPr="00A123E4" w:rsidRDefault="0017603A" w:rsidP="0017603A">
      <w:pPr>
        <w:pStyle w:val="ListParagraph"/>
        <w:ind w:left="735"/>
        <w:rPr>
          <w:rFonts w:eastAsia="Calibri" w:cs="Times New Roman"/>
          <w:i/>
          <w:noProof/>
        </w:rPr>
      </w:pPr>
      <w:r w:rsidRPr="00A123E4">
        <w:rPr>
          <w:rFonts w:eastAsia="Calibri" w:cs="Times New Roman"/>
          <w:i/>
          <w:noProof/>
        </w:rPr>
        <w:t>underlying problem is and what the evidence for it is, including information on the</w:t>
      </w:r>
    </w:p>
    <w:p w14:paraId="55A0DEF4" w14:textId="0623E87A" w:rsidR="0017603A" w:rsidRPr="00A123E4" w:rsidRDefault="0017603A" w:rsidP="00A123E4">
      <w:pPr>
        <w:pStyle w:val="ListParagraph"/>
        <w:ind w:left="735"/>
        <w:rPr>
          <w:rFonts w:eastAsia="Calibri" w:cs="Times New Roman"/>
          <w:i/>
          <w:noProof/>
        </w:rPr>
      </w:pPr>
      <w:r w:rsidRPr="00A123E4">
        <w:rPr>
          <w:rFonts w:eastAsia="Calibri" w:cs="Times New Roman"/>
          <w:i/>
          <w:noProof/>
        </w:rPr>
        <w:t>problems, their scale and the sources of evidence. The report should make links between</w:t>
      </w:r>
      <w:r w:rsidR="00A123E4" w:rsidRPr="00A123E4">
        <w:rPr>
          <w:rFonts w:eastAsia="Calibri" w:cs="Times New Roman"/>
          <w:i/>
          <w:noProof/>
        </w:rPr>
        <w:t xml:space="preserve"> </w:t>
      </w:r>
      <w:r w:rsidRPr="00A123E4">
        <w:rPr>
          <w:rFonts w:eastAsia="Calibri" w:cs="Times New Roman"/>
          <w:i/>
          <w:noProof/>
        </w:rPr>
        <w:t>the problems and the results of the evaluation and any other relevant sources of</w:t>
      </w:r>
      <w:r w:rsidR="00A123E4" w:rsidRPr="00A123E4">
        <w:rPr>
          <w:rFonts w:eastAsia="Calibri" w:cs="Times New Roman"/>
          <w:i/>
          <w:noProof/>
        </w:rPr>
        <w:t xml:space="preserve"> </w:t>
      </w:r>
      <w:r w:rsidRPr="00A123E4">
        <w:rPr>
          <w:rFonts w:eastAsia="Calibri" w:cs="Times New Roman"/>
          <w:i/>
          <w:noProof/>
        </w:rPr>
        <w:t>information. The main report should present briefly the methodology and the main</w:t>
      </w:r>
    </w:p>
    <w:p w14:paraId="17962982" w14:textId="49CB80B4" w:rsidR="0017603A" w:rsidRPr="00A123E4" w:rsidRDefault="0017603A" w:rsidP="0017603A">
      <w:pPr>
        <w:pStyle w:val="ListParagraph"/>
        <w:ind w:left="735"/>
        <w:rPr>
          <w:rFonts w:eastAsia="Calibri" w:cs="Times New Roman"/>
          <w:i/>
          <w:noProof/>
        </w:rPr>
      </w:pPr>
      <w:r w:rsidRPr="00A123E4">
        <w:rPr>
          <w:rFonts w:eastAsia="Calibri" w:cs="Times New Roman"/>
          <w:i/>
          <w:noProof/>
        </w:rPr>
        <w:t>assumptions underpinning it, even if the details are in the annexes.</w:t>
      </w:r>
    </w:p>
    <w:p w14:paraId="643E7E92" w14:textId="67FDC107" w:rsidR="001D0FE8" w:rsidRPr="00A123E4" w:rsidRDefault="001D0FE8" w:rsidP="001D0FE8">
      <w:pPr>
        <w:rPr>
          <w:rFonts w:eastAsia="Calibri" w:cs="Times New Roman"/>
          <w:noProof/>
        </w:rPr>
      </w:pPr>
      <w:r>
        <w:rPr>
          <w:rFonts w:eastAsia="Calibri" w:cs="Times New Roman"/>
          <w:noProof/>
        </w:rPr>
        <w:t>The main part has been largely re-written with narrative and reader friendliness in mind. In particular the problem section has been improved by bringing forward evidence, scale etc. from the Annexes, in particular the evaluation, and giving the links. Short descriptions of the methodology was added in the main part, where relevant.</w:t>
      </w:r>
    </w:p>
    <w:p w14:paraId="1324980D" w14:textId="74245845" w:rsidR="0017603A" w:rsidRDefault="0017603A" w:rsidP="001D0FE8">
      <w:pPr>
        <w:pStyle w:val="ListParagraph"/>
        <w:spacing w:after="120"/>
        <w:ind w:left="737"/>
        <w:contextualSpacing w:val="0"/>
        <w:rPr>
          <w:rFonts w:eastAsia="Calibri" w:cs="Times New Roman"/>
          <w:i/>
          <w:noProof/>
        </w:rPr>
      </w:pPr>
      <w:r w:rsidRPr="001D0FE8">
        <w:rPr>
          <w:rFonts w:eastAsia="Calibri" w:cs="Times New Roman"/>
          <w:i/>
          <w:noProof/>
        </w:rPr>
        <w:t>(7) The impact analysis should highlight the main conclusions of the analysis and explain</w:t>
      </w:r>
      <w:r w:rsidR="001D0FE8" w:rsidRPr="001D0FE8">
        <w:rPr>
          <w:rFonts w:eastAsia="Calibri" w:cs="Times New Roman"/>
          <w:i/>
          <w:noProof/>
        </w:rPr>
        <w:t xml:space="preserve"> </w:t>
      </w:r>
      <w:r w:rsidRPr="001D0FE8">
        <w:rPr>
          <w:rFonts w:eastAsia="Calibri" w:cs="Times New Roman"/>
          <w:i/>
          <w:noProof/>
        </w:rPr>
        <w:t>which factors influence its main findings. It should clearly present the expected impacts on</w:t>
      </w:r>
      <w:r w:rsidR="001D0FE8" w:rsidRPr="001D0FE8">
        <w:rPr>
          <w:rFonts w:eastAsia="Calibri" w:cs="Times New Roman"/>
          <w:i/>
          <w:noProof/>
        </w:rPr>
        <w:t xml:space="preserve"> </w:t>
      </w:r>
      <w:r w:rsidRPr="001D0FE8">
        <w:rPr>
          <w:rFonts w:eastAsia="Calibri" w:cs="Times New Roman"/>
          <w:i/>
          <w:noProof/>
        </w:rPr>
        <w:t>the main variables and the average marginal abatement cost for each option. It should</w:t>
      </w:r>
      <w:r w:rsidR="001D0FE8" w:rsidRPr="001D0FE8">
        <w:rPr>
          <w:rFonts w:eastAsia="Calibri" w:cs="Times New Roman"/>
          <w:i/>
          <w:noProof/>
        </w:rPr>
        <w:t xml:space="preserve"> </w:t>
      </w:r>
      <w:r w:rsidRPr="001D0FE8">
        <w:rPr>
          <w:rFonts w:eastAsia="Calibri" w:cs="Times New Roman"/>
          <w:i/>
          <w:noProof/>
        </w:rPr>
        <w:t>explain what is behind the expected changes in the macroeconomic variables, why</w:t>
      </w:r>
      <w:r w:rsidR="001D0FE8" w:rsidRPr="001D0FE8">
        <w:rPr>
          <w:rFonts w:eastAsia="Calibri" w:cs="Times New Roman"/>
          <w:i/>
          <w:noProof/>
        </w:rPr>
        <w:t xml:space="preserve"> </w:t>
      </w:r>
      <w:r w:rsidRPr="001D0FE8">
        <w:rPr>
          <w:rFonts w:eastAsia="Calibri" w:cs="Times New Roman"/>
          <w:i/>
          <w:noProof/>
        </w:rPr>
        <w:t>consumption increases in the long term, why investment does not increase and what are the</w:t>
      </w:r>
      <w:r w:rsidR="001D0FE8" w:rsidRPr="001D0FE8">
        <w:rPr>
          <w:rFonts w:eastAsia="Calibri" w:cs="Times New Roman"/>
          <w:i/>
          <w:noProof/>
        </w:rPr>
        <w:t xml:space="preserve"> </w:t>
      </w:r>
      <w:r w:rsidRPr="001D0FE8">
        <w:rPr>
          <w:rFonts w:eastAsia="Calibri" w:cs="Times New Roman"/>
          <w:i/>
          <w:noProof/>
        </w:rPr>
        <w:t>main conclusions of the analysis on exports and imports.</w:t>
      </w:r>
    </w:p>
    <w:p w14:paraId="02F7CF14" w14:textId="454C65A8" w:rsidR="001D0FE8" w:rsidRPr="001D0FE8" w:rsidRDefault="001D0FE8" w:rsidP="001D0FE8">
      <w:pPr>
        <w:pStyle w:val="ListParagraph"/>
        <w:ind w:left="0"/>
        <w:rPr>
          <w:rFonts w:eastAsia="Calibri" w:cs="Times New Roman"/>
          <w:noProof/>
        </w:rPr>
      </w:pPr>
      <w:r>
        <w:rPr>
          <w:rFonts w:eastAsia="Calibri" w:cs="Times New Roman"/>
          <w:noProof/>
        </w:rPr>
        <w:t>The sections on comparison of options was improved by a detailed discussion of the relevant parameters that distinguish the options. A graph on emissions and a detailed table summarising the major findings of the impact analysis has been added in this section (Figure 6, Table 9). The section on economic impacts was improved by highlighting the main findings and take-aways, as well as better explaining the reasons behind, including on consumption, investment, exports and imports.</w:t>
      </w:r>
    </w:p>
    <w:p w14:paraId="273F2BD3" w14:textId="77777777" w:rsidR="001D0FE8" w:rsidRPr="001D0FE8" w:rsidRDefault="001D0FE8" w:rsidP="001D0FE8">
      <w:pPr>
        <w:pStyle w:val="ListParagraph"/>
        <w:ind w:left="735"/>
        <w:rPr>
          <w:rFonts w:eastAsia="Calibri" w:cs="Times New Roman"/>
          <w:i/>
          <w:noProof/>
        </w:rPr>
      </w:pPr>
    </w:p>
    <w:p w14:paraId="7DE9F02D" w14:textId="77777777" w:rsidR="0017603A" w:rsidRPr="001D0FE8" w:rsidRDefault="0017603A" w:rsidP="0017603A">
      <w:pPr>
        <w:pStyle w:val="ListParagraph"/>
        <w:ind w:left="735"/>
        <w:rPr>
          <w:rFonts w:eastAsia="Calibri" w:cs="Times New Roman"/>
          <w:i/>
          <w:noProof/>
        </w:rPr>
      </w:pPr>
      <w:r w:rsidRPr="001D0FE8">
        <w:rPr>
          <w:rFonts w:eastAsia="Calibri" w:cs="Times New Roman"/>
          <w:i/>
          <w:noProof/>
        </w:rPr>
        <w:t>(8) The report should specify how and when implementation will be monitored and</w:t>
      </w:r>
    </w:p>
    <w:p w14:paraId="12AFFD2A" w14:textId="77777777" w:rsidR="0017603A" w:rsidRPr="001D0FE8" w:rsidRDefault="0017603A" w:rsidP="0017603A">
      <w:pPr>
        <w:pStyle w:val="ListParagraph"/>
        <w:ind w:left="735"/>
        <w:rPr>
          <w:rFonts w:eastAsia="Calibri" w:cs="Times New Roman"/>
          <w:i/>
          <w:noProof/>
        </w:rPr>
      </w:pPr>
      <w:r w:rsidRPr="001D0FE8">
        <w:rPr>
          <w:rFonts w:eastAsia="Calibri" w:cs="Times New Roman"/>
          <w:i/>
          <w:noProof/>
        </w:rPr>
        <w:t>evaluated in the future. It should clearly set out what success would look like, clear</w:t>
      </w:r>
    </w:p>
    <w:p w14:paraId="048FEFD4" w14:textId="77777777" w:rsidR="0017603A" w:rsidRPr="001D0FE8" w:rsidRDefault="0017603A" w:rsidP="0017603A">
      <w:pPr>
        <w:pStyle w:val="ListParagraph"/>
        <w:ind w:left="735"/>
        <w:rPr>
          <w:rFonts w:eastAsia="Calibri" w:cs="Times New Roman"/>
          <w:i/>
          <w:noProof/>
        </w:rPr>
      </w:pPr>
      <w:r w:rsidRPr="001D0FE8">
        <w:rPr>
          <w:rFonts w:eastAsia="Calibri" w:cs="Times New Roman"/>
          <w:i/>
          <w:noProof/>
        </w:rPr>
        <w:t>monitoring arrangements and specific indicators and timescales.</w:t>
      </w:r>
    </w:p>
    <w:p w14:paraId="20F05B01" w14:textId="3A9D8592" w:rsidR="0017603A" w:rsidRPr="001D0FE8" w:rsidRDefault="001D0FE8" w:rsidP="001D0FE8">
      <w:pPr>
        <w:rPr>
          <w:rFonts w:eastAsia="Calibri" w:cs="Times New Roman"/>
          <w:i/>
          <w:noProof/>
        </w:rPr>
      </w:pPr>
      <w:r>
        <w:rPr>
          <w:noProof/>
        </w:rPr>
        <w:t>Concrete evidence to be used for future benchmarking was added on all review objectives. A review date was indicated.</w:t>
      </w:r>
    </w:p>
    <w:p w14:paraId="10EB21FC" w14:textId="409B8DC7" w:rsidR="001D0FE8" w:rsidRPr="00E11D98" w:rsidRDefault="0017603A" w:rsidP="00E11D98">
      <w:pPr>
        <w:pStyle w:val="ListParagraph"/>
        <w:spacing w:after="120"/>
        <w:ind w:left="737"/>
        <w:contextualSpacing w:val="0"/>
        <w:rPr>
          <w:noProof/>
        </w:rPr>
      </w:pPr>
      <w:r w:rsidRPr="001D0FE8">
        <w:rPr>
          <w:rFonts w:eastAsia="Calibri" w:cs="Times New Roman"/>
          <w:i/>
          <w:noProof/>
        </w:rPr>
        <w:t>(9) The report should include, and better engage with, stakeholder views throughout the</w:t>
      </w:r>
      <w:r w:rsidR="001D0FE8">
        <w:rPr>
          <w:rFonts w:eastAsia="Calibri" w:cs="Times New Roman"/>
          <w:i/>
          <w:noProof/>
        </w:rPr>
        <w:t xml:space="preserve"> </w:t>
      </w:r>
      <w:r w:rsidRPr="001D0FE8">
        <w:rPr>
          <w:rFonts w:eastAsia="Calibri" w:cs="Times New Roman"/>
          <w:i/>
          <w:noProof/>
        </w:rPr>
        <w:t>report. It should clearly reflect diverging stakeholder views.</w:t>
      </w:r>
    </w:p>
    <w:p w14:paraId="192BA02B" w14:textId="732EB044" w:rsidR="002B32BA" w:rsidRDefault="001D0FE8" w:rsidP="001D0FE8">
      <w:pPr>
        <w:pStyle w:val="ListParagraph"/>
        <w:ind w:left="0"/>
        <w:rPr>
          <w:rFonts w:eastAsia="Calibri" w:cs="Times New Roman"/>
          <w:i/>
          <w:noProof/>
        </w:rPr>
      </w:pPr>
      <w:r>
        <w:rPr>
          <w:rFonts w:eastAsia="Calibri" w:cs="Times New Roman"/>
          <w:noProof/>
        </w:rPr>
        <w:t>This was added throughout the main part.</w:t>
      </w:r>
    </w:p>
    <w:p w14:paraId="1E11AF7F" w14:textId="3E8419A8" w:rsidR="002B32BA" w:rsidRDefault="002B32BA" w:rsidP="001D0FE8">
      <w:pPr>
        <w:pStyle w:val="ListParagraph"/>
        <w:ind w:left="0"/>
        <w:rPr>
          <w:rFonts w:eastAsia="Calibri" w:cs="Times New Roman"/>
          <w:noProof/>
        </w:rPr>
      </w:pPr>
      <w:r>
        <w:rPr>
          <w:rFonts w:eastAsia="Calibri" w:cs="Times New Roman"/>
          <w:noProof/>
        </w:rPr>
        <w:t>In addition, the whole document was improved by addressing all technical comments received from the RSB in advance of the meeting of 19 January 2022.</w:t>
      </w:r>
    </w:p>
    <w:p w14:paraId="19934CA8" w14:textId="77777777" w:rsidR="00023C46" w:rsidRDefault="00023C46" w:rsidP="00023C46">
      <w:pPr>
        <w:pStyle w:val="ListParagraph"/>
        <w:ind w:left="0"/>
        <w:rPr>
          <w:rFonts w:eastAsia="Calibri" w:cs="Times New Roman"/>
          <w:i/>
          <w:noProof/>
        </w:rPr>
      </w:pPr>
    </w:p>
    <w:p w14:paraId="548ED314" w14:textId="2DE14447" w:rsidR="00023C46" w:rsidRDefault="00023C46" w:rsidP="00023C46">
      <w:pPr>
        <w:pStyle w:val="ListParagraph"/>
        <w:ind w:left="0"/>
        <w:rPr>
          <w:rFonts w:eastAsia="Calibri" w:cs="Times New Roman"/>
          <w:noProof/>
        </w:rPr>
      </w:pPr>
      <w:r>
        <w:rPr>
          <w:rFonts w:eastAsia="Calibri" w:cs="Times New Roman"/>
          <w:noProof/>
        </w:rPr>
        <w:t>The Board</w:t>
      </w:r>
      <w:r w:rsidR="00F636C2">
        <w:rPr>
          <w:rFonts w:eastAsia="Calibri" w:cs="Times New Roman"/>
          <w:noProof/>
        </w:rPr>
        <w:t>’s</w:t>
      </w:r>
      <w:r>
        <w:rPr>
          <w:rFonts w:eastAsia="Calibri" w:cs="Times New Roman"/>
          <w:noProof/>
        </w:rPr>
        <w:t xml:space="preserve"> final comments received on 25 February were addressed in the following way:</w:t>
      </w:r>
    </w:p>
    <w:p w14:paraId="416DCD41" w14:textId="77777777" w:rsidR="00023C46" w:rsidRPr="00D00AA0" w:rsidRDefault="00023C46" w:rsidP="00023C46">
      <w:pPr>
        <w:pStyle w:val="ListParagraph"/>
        <w:ind w:left="0"/>
        <w:rPr>
          <w:rFonts w:eastAsia="Calibri" w:cs="Times New Roman"/>
          <w:noProof/>
        </w:rPr>
      </w:pPr>
    </w:p>
    <w:p w14:paraId="535F26D4" w14:textId="4DABB6E4" w:rsidR="00D046DD" w:rsidRDefault="00023C46" w:rsidP="00D046DD">
      <w:pPr>
        <w:pStyle w:val="ListParagraph"/>
        <w:numPr>
          <w:ilvl w:val="0"/>
          <w:numId w:val="131"/>
        </w:numPr>
        <w:spacing w:after="120"/>
        <w:contextualSpacing w:val="0"/>
        <w:rPr>
          <w:rFonts w:eastAsia="Calibri" w:cs="Times New Roman"/>
          <w:i/>
          <w:noProof/>
        </w:rPr>
      </w:pPr>
      <w:r w:rsidRPr="00BB239F">
        <w:rPr>
          <w:rFonts w:eastAsia="Calibri" w:cs="Times New Roman"/>
          <w:i/>
          <w:noProof/>
        </w:rPr>
        <w:t>The choice of a static baseline ignores the measures that would be taken by the</w:t>
      </w:r>
      <w:r w:rsidRPr="00023C46">
        <w:rPr>
          <w:rFonts w:eastAsia="Calibri" w:cs="Times New Roman"/>
          <w:i/>
          <w:noProof/>
        </w:rPr>
        <w:t xml:space="preserve"> Member States under their Effort Sharing Regulation targets. The report does not convincingly identify the remaining gap between the Kigali Amendment and other GHG targets that justifies more ambitious emission reduction under the </w:t>
      </w:r>
      <w:r w:rsidRPr="00BB239F">
        <w:rPr>
          <w:rFonts w:eastAsia="Calibri" w:cs="Times New Roman"/>
          <w:i/>
          <w:noProof/>
        </w:rPr>
        <w:t>initiative.</w:t>
      </w:r>
    </w:p>
    <w:p w14:paraId="2AA76C1F" w14:textId="2E8ED4A8" w:rsidR="00D632EB" w:rsidRDefault="00D632EB" w:rsidP="00BB239F">
      <w:pPr>
        <w:pStyle w:val="ListParagraph"/>
        <w:spacing w:after="120"/>
        <w:ind w:left="735"/>
        <w:rPr>
          <w:rFonts w:eastAsia="Calibri" w:cs="Times New Roman"/>
          <w:i/>
          <w:noProof/>
        </w:rPr>
      </w:pPr>
      <w:r>
        <w:rPr>
          <w:rFonts w:eastAsia="Calibri" w:cs="Times New Roman"/>
          <w:i/>
          <w:noProof/>
        </w:rPr>
        <w:t>What to improve:</w:t>
      </w:r>
    </w:p>
    <w:p w14:paraId="3F01C45D" w14:textId="6E063CCF" w:rsidR="00D632EB" w:rsidRPr="00D632EB" w:rsidRDefault="00D632EB" w:rsidP="00BB239F">
      <w:pPr>
        <w:pStyle w:val="ListParagraph"/>
        <w:numPr>
          <w:ilvl w:val="0"/>
          <w:numId w:val="98"/>
        </w:numPr>
        <w:spacing w:after="120"/>
        <w:rPr>
          <w:rFonts w:eastAsia="Calibri" w:cs="Times New Roman"/>
          <w:i/>
          <w:noProof/>
        </w:rPr>
      </w:pPr>
      <w:r w:rsidRPr="00D632EB">
        <w:rPr>
          <w:rFonts w:eastAsia="Calibri" w:cs="Times New Roman"/>
          <w:i/>
          <w:noProof/>
        </w:rPr>
        <w:t>The report should justify its choice of a static baseline given the wide range of other</w:t>
      </w:r>
    </w:p>
    <w:p w14:paraId="38810C12" w14:textId="278D58E3" w:rsidR="00D632EB" w:rsidRPr="00BB239F" w:rsidRDefault="00D632EB" w:rsidP="00BB239F">
      <w:pPr>
        <w:pStyle w:val="ListParagraph"/>
        <w:spacing w:after="120"/>
        <w:ind w:left="735"/>
        <w:rPr>
          <w:rFonts w:eastAsia="Calibri" w:cs="Times New Roman"/>
          <w:i/>
          <w:noProof/>
        </w:rPr>
      </w:pPr>
      <w:r w:rsidRPr="00D632EB">
        <w:rPr>
          <w:rFonts w:eastAsia="Calibri" w:cs="Times New Roman"/>
          <w:i/>
          <w:noProof/>
        </w:rPr>
        <w:t>initiatives aimed at GHG reduction and Member States’ action. It should justify why it</w:t>
      </w:r>
      <w:r>
        <w:rPr>
          <w:rFonts w:eastAsia="Calibri" w:cs="Times New Roman"/>
          <w:i/>
          <w:noProof/>
        </w:rPr>
        <w:t xml:space="preserve"> </w:t>
      </w:r>
      <w:r w:rsidRPr="00BB239F">
        <w:rPr>
          <w:rFonts w:eastAsia="Calibri" w:cs="Times New Roman"/>
          <w:i/>
          <w:noProof/>
        </w:rPr>
        <w:t>considers that the Effort Sharing Regulation would be ineffective.</w:t>
      </w:r>
    </w:p>
    <w:p w14:paraId="4F942630" w14:textId="408F5C2A" w:rsidR="00D632EB" w:rsidRPr="00BB239F" w:rsidRDefault="00D632EB" w:rsidP="00BB239F">
      <w:pPr>
        <w:pStyle w:val="ListParagraph"/>
        <w:numPr>
          <w:ilvl w:val="0"/>
          <w:numId w:val="98"/>
        </w:numPr>
        <w:spacing w:after="120"/>
        <w:rPr>
          <w:rFonts w:eastAsia="Calibri" w:cs="Times New Roman"/>
          <w:i/>
          <w:noProof/>
        </w:rPr>
      </w:pPr>
      <w:r w:rsidRPr="00BB239F">
        <w:rPr>
          <w:rFonts w:eastAsia="Calibri" w:cs="Times New Roman"/>
          <w:i/>
          <w:noProof/>
        </w:rPr>
        <w:t xml:space="preserve"> The report should explain clearly the problem and remaining gap it seeks to address given the Kigali Amendment to the Montreal Protocol and other EU greenhouse gases reduction measures and commitments. It should demonstrate the need to go beyond F-gases reductions required by the Kigali Amendment, given that there is no gap under the EU’s climate targets with the current greenhouse gases reduction measures.</w:t>
      </w:r>
    </w:p>
    <w:p w14:paraId="606FF160" w14:textId="77777777" w:rsidR="00D632EB" w:rsidRPr="00BB239F" w:rsidRDefault="00D632EB" w:rsidP="009A623B">
      <w:pPr>
        <w:pStyle w:val="ListParagraph"/>
        <w:spacing w:after="0"/>
        <w:ind w:left="737"/>
        <w:rPr>
          <w:rFonts w:eastAsia="Calibri" w:cs="Times New Roman"/>
          <w:i/>
          <w:noProof/>
        </w:rPr>
      </w:pPr>
    </w:p>
    <w:p w14:paraId="1F96BAAA" w14:textId="17E91BA6" w:rsidR="007C7FDA" w:rsidRDefault="008B729C" w:rsidP="004C6AA7">
      <w:pPr>
        <w:spacing w:after="120"/>
        <w:rPr>
          <w:rFonts w:eastAsia="Calibri" w:cs="Times New Roman"/>
          <w:noProof/>
        </w:rPr>
      </w:pPr>
      <w:r w:rsidRPr="00A94054">
        <w:rPr>
          <w:rFonts w:eastAsia="Calibri" w:cs="Times New Roman"/>
          <w:noProof/>
        </w:rPr>
        <w:t xml:space="preserve">Regarding the choice of a static baseline, which does not assume further Member State action beyond what is </w:t>
      </w:r>
      <w:r w:rsidR="00D634D9">
        <w:rPr>
          <w:rFonts w:eastAsia="Calibri" w:cs="Times New Roman"/>
          <w:noProof/>
        </w:rPr>
        <w:t>already in place</w:t>
      </w:r>
      <w:r w:rsidRPr="00A94054">
        <w:rPr>
          <w:rFonts w:eastAsia="Calibri" w:cs="Times New Roman"/>
          <w:noProof/>
        </w:rPr>
        <w:t xml:space="preserve">, the report </w:t>
      </w:r>
      <w:r w:rsidR="00D634D9">
        <w:rPr>
          <w:rFonts w:eastAsia="Calibri" w:cs="Times New Roman"/>
          <w:noProof/>
        </w:rPr>
        <w:t xml:space="preserve">explains that the assessment focuses </w:t>
      </w:r>
      <w:r w:rsidR="00F854AA">
        <w:rPr>
          <w:rFonts w:eastAsia="Calibri" w:cs="Times New Roman"/>
          <w:noProof/>
        </w:rPr>
        <w:t xml:space="preserve">on </w:t>
      </w:r>
      <w:r w:rsidR="00F854AA" w:rsidRPr="00A94054">
        <w:rPr>
          <w:rFonts w:eastAsia="Calibri" w:cs="Times New Roman"/>
          <w:noProof/>
        </w:rPr>
        <w:t>estimating</w:t>
      </w:r>
      <w:r w:rsidRPr="00A94054">
        <w:rPr>
          <w:rFonts w:eastAsia="Calibri" w:cs="Times New Roman"/>
          <w:noProof/>
        </w:rPr>
        <w:t xml:space="preserve"> what EU legislation can contribute to achiev</w:t>
      </w:r>
      <w:r w:rsidR="00D634D9">
        <w:rPr>
          <w:rFonts w:eastAsia="Calibri" w:cs="Times New Roman"/>
          <w:noProof/>
        </w:rPr>
        <w:t>e</w:t>
      </w:r>
      <w:r w:rsidRPr="00A94054">
        <w:rPr>
          <w:rFonts w:eastAsia="Calibri" w:cs="Times New Roman"/>
          <w:noProof/>
        </w:rPr>
        <w:t xml:space="preserve"> </w:t>
      </w:r>
      <w:r w:rsidR="00D634D9" w:rsidRPr="00A94054">
        <w:rPr>
          <w:rFonts w:eastAsia="Calibri" w:cs="Times New Roman"/>
          <w:noProof/>
        </w:rPr>
        <w:t xml:space="preserve">further </w:t>
      </w:r>
      <w:r w:rsidRPr="00A94054">
        <w:rPr>
          <w:rFonts w:eastAsia="Calibri" w:cs="Times New Roman"/>
          <w:noProof/>
        </w:rPr>
        <w:t>F-gas reductions and what the associated costs and benefit</w:t>
      </w:r>
      <w:r w:rsidR="00FF58AC">
        <w:rPr>
          <w:rFonts w:eastAsia="Calibri" w:cs="Times New Roman"/>
          <w:noProof/>
        </w:rPr>
        <w:t>s</w:t>
      </w:r>
      <w:r w:rsidRPr="00A94054">
        <w:rPr>
          <w:rFonts w:eastAsia="Calibri" w:cs="Times New Roman"/>
          <w:noProof/>
        </w:rPr>
        <w:t xml:space="preserve"> </w:t>
      </w:r>
      <w:r w:rsidR="00D634D9">
        <w:rPr>
          <w:rFonts w:eastAsia="Calibri" w:cs="Times New Roman"/>
          <w:noProof/>
        </w:rPr>
        <w:t xml:space="preserve">of EU action </w:t>
      </w:r>
      <w:r w:rsidRPr="00A94054">
        <w:rPr>
          <w:rFonts w:eastAsia="Calibri" w:cs="Times New Roman"/>
          <w:noProof/>
        </w:rPr>
        <w:t>are. As such it allows for a political choice to enhance an existing EU policy instrument to contribute to increased EU climate ambition</w:t>
      </w:r>
      <w:r w:rsidR="005A1DCA">
        <w:rPr>
          <w:rFonts w:eastAsia="Calibri" w:cs="Times New Roman"/>
          <w:noProof/>
        </w:rPr>
        <w:t xml:space="preserve"> including beyond what an </w:t>
      </w:r>
      <w:r w:rsidRPr="00A94054">
        <w:rPr>
          <w:rFonts w:eastAsia="Calibri" w:cs="Times New Roman"/>
          <w:noProof/>
        </w:rPr>
        <w:t>align</w:t>
      </w:r>
      <w:r w:rsidR="005A1DCA">
        <w:rPr>
          <w:rFonts w:eastAsia="Calibri" w:cs="Times New Roman"/>
          <w:noProof/>
        </w:rPr>
        <w:t>ment</w:t>
      </w:r>
      <w:r w:rsidRPr="00A94054">
        <w:rPr>
          <w:rFonts w:eastAsia="Calibri" w:cs="Times New Roman"/>
          <w:noProof/>
        </w:rPr>
        <w:t xml:space="preserve"> with the obligations under the Montreal Protocol </w:t>
      </w:r>
      <w:r w:rsidR="005A1DCA">
        <w:rPr>
          <w:rFonts w:eastAsia="Calibri" w:cs="Times New Roman"/>
          <w:noProof/>
        </w:rPr>
        <w:t>would deliver</w:t>
      </w:r>
      <w:r w:rsidRPr="00663B70">
        <w:rPr>
          <w:rFonts w:eastAsia="Calibri" w:cs="Times New Roman"/>
          <w:noProof/>
        </w:rPr>
        <w:t>.</w:t>
      </w:r>
      <w:r w:rsidR="00FF58AC">
        <w:rPr>
          <w:rFonts w:eastAsia="Calibri" w:cs="Times New Roman"/>
          <w:noProof/>
        </w:rPr>
        <w:t xml:space="preserve"> </w:t>
      </w:r>
      <w:r w:rsidR="005A1DCA">
        <w:rPr>
          <w:rFonts w:eastAsia="Calibri" w:cs="Times New Roman"/>
          <w:noProof/>
        </w:rPr>
        <w:t xml:space="preserve">Moreover, </w:t>
      </w:r>
      <w:r w:rsidR="00D634D9">
        <w:rPr>
          <w:rFonts w:eastAsia="Calibri" w:cs="Times New Roman"/>
          <w:noProof/>
        </w:rPr>
        <w:t xml:space="preserve">the report explains that </w:t>
      </w:r>
      <w:r w:rsidR="005A1DCA">
        <w:rPr>
          <w:rFonts w:eastAsia="Calibri" w:cs="Times New Roman"/>
          <w:noProof/>
        </w:rPr>
        <w:t>i</w:t>
      </w:r>
      <w:r w:rsidR="00E11D98">
        <w:rPr>
          <w:rFonts w:eastAsia="Calibri" w:cs="Times New Roman"/>
          <w:noProof/>
        </w:rPr>
        <w:t xml:space="preserve">t is impossible to foresee what </w:t>
      </w:r>
      <w:r w:rsidR="005A1DCA">
        <w:rPr>
          <w:rFonts w:eastAsia="Calibri" w:cs="Times New Roman"/>
          <w:noProof/>
        </w:rPr>
        <w:t xml:space="preserve">F-gas </w:t>
      </w:r>
      <w:r w:rsidR="00E11D98">
        <w:rPr>
          <w:rFonts w:eastAsia="Calibri" w:cs="Times New Roman"/>
          <w:noProof/>
        </w:rPr>
        <w:t>measures the Member S</w:t>
      </w:r>
      <w:r w:rsidR="00FF58AC">
        <w:rPr>
          <w:rFonts w:eastAsia="Calibri" w:cs="Times New Roman"/>
          <w:noProof/>
        </w:rPr>
        <w:t>tates would</w:t>
      </w:r>
      <w:r w:rsidR="00E11D98">
        <w:rPr>
          <w:rFonts w:eastAsia="Calibri" w:cs="Times New Roman"/>
          <w:noProof/>
        </w:rPr>
        <w:t xml:space="preserve"> decide to take in the future</w:t>
      </w:r>
      <w:r w:rsidR="007C7FDA">
        <w:rPr>
          <w:rFonts w:eastAsia="Calibri" w:cs="Times New Roman"/>
          <w:noProof/>
        </w:rPr>
        <w:t>.</w:t>
      </w:r>
      <w:r w:rsidR="00D30F2E">
        <w:rPr>
          <w:rFonts w:eastAsia="Calibri" w:cs="Times New Roman"/>
          <w:noProof/>
        </w:rPr>
        <w:t xml:space="preserve"> </w:t>
      </w:r>
    </w:p>
    <w:p w14:paraId="73D6F07D" w14:textId="5FDCBFC1" w:rsidR="004C6AA7" w:rsidRPr="00BC6727" w:rsidRDefault="007C7FDA" w:rsidP="004C6AA7">
      <w:pPr>
        <w:spacing w:after="120"/>
        <w:rPr>
          <w:rFonts w:eastAsia="Calibri" w:cs="Times New Roman"/>
          <w:noProof/>
        </w:rPr>
      </w:pPr>
      <w:r>
        <w:rPr>
          <w:rFonts w:eastAsia="Calibri" w:cs="Times New Roman"/>
          <w:noProof/>
        </w:rPr>
        <w:t>T</w:t>
      </w:r>
      <w:r w:rsidR="00D30F2E">
        <w:rPr>
          <w:rFonts w:eastAsia="Calibri" w:cs="Times New Roman"/>
          <w:noProof/>
        </w:rPr>
        <w:t>he fact that some measures are proposed at EU level does not mean that the</w:t>
      </w:r>
      <w:r w:rsidR="00D632EB">
        <w:rPr>
          <w:rFonts w:eastAsia="Calibri" w:cs="Times New Roman"/>
          <w:noProof/>
        </w:rPr>
        <w:t xml:space="preserve"> Effort Sharing </w:t>
      </w:r>
      <w:r w:rsidR="00730F6B">
        <w:rPr>
          <w:rFonts w:eastAsia="Calibri" w:cs="Times New Roman"/>
          <w:noProof/>
        </w:rPr>
        <w:t>Regulation</w:t>
      </w:r>
      <w:r w:rsidR="00D632EB">
        <w:rPr>
          <w:rFonts w:eastAsia="Calibri" w:cs="Times New Roman"/>
          <w:noProof/>
        </w:rPr>
        <w:t xml:space="preserve"> is expected to be ineffective.</w:t>
      </w:r>
      <w:r w:rsidR="004C6AA7">
        <w:rPr>
          <w:rFonts w:eastAsia="Calibri" w:cs="Times New Roman"/>
          <w:noProof/>
        </w:rPr>
        <w:t xml:space="preserve"> It is rather that this impac</w:t>
      </w:r>
      <w:r w:rsidR="009A623B">
        <w:rPr>
          <w:rFonts w:eastAsia="Calibri" w:cs="Times New Roman"/>
          <w:noProof/>
        </w:rPr>
        <w:t>t assessment assesses what cost-efficient</w:t>
      </w:r>
      <w:r w:rsidR="004C6AA7">
        <w:rPr>
          <w:rFonts w:eastAsia="Calibri" w:cs="Times New Roman"/>
          <w:noProof/>
        </w:rPr>
        <w:t xml:space="preserve"> action could be taken at the EU level to contribute to assist Member States in achieving their Effort Sharing Regulation targets.</w:t>
      </w:r>
      <w:r w:rsidR="00D632EB">
        <w:rPr>
          <w:rFonts w:eastAsia="Calibri" w:cs="Times New Roman"/>
          <w:noProof/>
        </w:rPr>
        <w:t xml:space="preserve"> </w:t>
      </w:r>
      <w:r w:rsidR="00D634D9">
        <w:rPr>
          <w:rFonts w:eastAsia="Calibri" w:cs="Times New Roman"/>
          <w:noProof/>
        </w:rPr>
        <w:t>As</w:t>
      </w:r>
      <w:r w:rsidR="005216E8">
        <w:rPr>
          <w:rFonts w:eastAsia="Calibri" w:cs="Times New Roman"/>
          <w:noProof/>
        </w:rPr>
        <w:t xml:space="preserve"> with all other EU legislation targeting emissions counted under the Effort Sharing Regulation, </w:t>
      </w:r>
      <w:r w:rsidR="00D30F2E">
        <w:rPr>
          <w:rFonts w:eastAsia="Calibri" w:cs="Times New Roman"/>
          <w:noProof/>
        </w:rPr>
        <w:t>the proposed measures</w:t>
      </w:r>
      <w:r w:rsidR="005216E8">
        <w:rPr>
          <w:rFonts w:eastAsia="Calibri" w:cs="Times New Roman"/>
          <w:noProof/>
        </w:rPr>
        <w:t xml:space="preserve"> are not filling a gap, they are reducing the gap that Member States face when planning how they can meet their national target.</w:t>
      </w:r>
      <w:r w:rsidR="00D30F2E">
        <w:rPr>
          <w:rFonts w:eastAsia="Calibri" w:cs="Times New Roman"/>
          <w:noProof/>
        </w:rPr>
        <w:t xml:space="preserve"> </w:t>
      </w:r>
      <w:r w:rsidR="00D632EB">
        <w:rPr>
          <w:rFonts w:eastAsia="Calibri" w:cs="Times New Roman"/>
          <w:noProof/>
        </w:rPr>
        <w:t xml:space="preserve"> </w:t>
      </w:r>
      <w:r w:rsidR="004C6AA7">
        <w:rPr>
          <w:rFonts w:eastAsia="Calibri" w:cs="Times New Roman"/>
          <w:noProof/>
        </w:rPr>
        <w:t>I</w:t>
      </w:r>
      <w:r w:rsidR="00D632EB">
        <w:rPr>
          <w:rFonts w:eastAsia="Calibri" w:cs="Times New Roman"/>
          <w:noProof/>
        </w:rPr>
        <w:t xml:space="preserve">f cost-effective action is not taken in the sector of F-gases, it will be more difficult and </w:t>
      </w:r>
      <w:r w:rsidR="004C6AA7">
        <w:rPr>
          <w:rFonts w:eastAsia="Calibri" w:cs="Times New Roman"/>
          <w:noProof/>
        </w:rPr>
        <w:t xml:space="preserve">likely more </w:t>
      </w:r>
      <w:r w:rsidR="00D632EB">
        <w:rPr>
          <w:rFonts w:eastAsia="Calibri" w:cs="Times New Roman"/>
          <w:noProof/>
        </w:rPr>
        <w:t>costly for Member States to reach their targets in the Effort Sharing Regulation.</w:t>
      </w:r>
      <w:r w:rsidR="00D632EB" w:rsidRPr="00D632EB">
        <w:rPr>
          <w:rFonts w:eastAsia="Calibri" w:cs="Times New Roman"/>
          <w:noProof/>
        </w:rPr>
        <w:t xml:space="preserve"> </w:t>
      </w:r>
      <w:r w:rsidR="004C6AA7">
        <w:rPr>
          <w:rFonts w:eastAsia="Calibri" w:cs="Times New Roman"/>
          <w:noProof/>
        </w:rPr>
        <w:t xml:space="preserve">EU action on F-gases </w:t>
      </w:r>
      <w:r w:rsidR="004C6AA7" w:rsidRPr="003B628C">
        <w:rPr>
          <w:rFonts w:eastAsia="Calibri" w:cs="Times New Roman"/>
          <w:noProof/>
        </w:rPr>
        <w:t>has been identified in the evaluation, clearly supported by almost all stakeholders</w:t>
      </w:r>
      <w:r w:rsidR="004C6AA7">
        <w:rPr>
          <w:rFonts w:eastAsia="Calibri" w:cs="Times New Roman"/>
          <w:noProof/>
        </w:rPr>
        <w:t xml:space="preserve"> including the Member State competent authorities consulted</w:t>
      </w:r>
      <w:r w:rsidR="004C6AA7" w:rsidRPr="00860E0C">
        <w:rPr>
          <w:rFonts w:eastAsia="Calibri" w:cs="Times New Roman"/>
          <w:noProof/>
        </w:rPr>
        <w:t xml:space="preserve">, as </w:t>
      </w:r>
      <w:r w:rsidR="004C6AA7">
        <w:rPr>
          <w:rFonts w:eastAsia="Calibri" w:cs="Times New Roman"/>
          <w:noProof/>
        </w:rPr>
        <w:t xml:space="preserve">a more </w:t>
      </w:r>
      <w:r w:rsidR="004C6AA7" w:rsidRPr="00860E0C">
        <w:rPr>
          <w:rFonts w:eastAsia="Calibri" w:cs="Times New Roman"/>
          <w:noProof/>
        </w:rPr>
        <w:t xml:space="preserve">cost-efficient and effective way of </w:t>
      </w:r>
      <w:r w:rsidR="004C6AA7">
        <w:rPr>
          <w:rFonts w:eastAsia="Calibri" w:cs="Times New Roman"/>
          <w:noProof/>
        </w:rPr>
        <w:t xml:space="preserve">achieving F-gas </w:t>
      </w:r>
      <w:r w:rsidR="004C6AA7" w:rsidRPr="00860E0C">
        <w:rPr>
          <w:rFonts w:eastAsia="Calibri" w:cs="Times New Roman"/>
          <w:noProof/>
        </w:rPr>
        <w:t>emission reductions.</w:t>
      </w:r>
      <w:r w:rsidR="004C6AA7">
        <w:rPr>
          <w:rFonts w:eastAsia="Calibri" w:cs="Times New Roman"/>
          <w:noProof/>
        </w:rPr>
        <w:t xml:space="preserve"> This was clarified further in the problem section 2.1.1. The EU added value and the cost-efficiency of such EU action is clearly demonstrated throughout sections 3.3 and 6.2./6.3.</w:t>
      </w:r>
    </w:p>
    <w:p w14:paraId="4FE00F94" w14:textId="32B530D2" w:rsidR="0061149E" w:rsidRPr="003B628C" w:rsidRDefault="00D634D9" w:rsidP="0061149E">
      <w:pPr>
        <w:rPr>
          <w:rFonts w:eastAsia="Calibri" w:cs="Times New Roman"/>
          <w:noProof/>
        </w:rPr>
      </w:pPr>
      <w:r>
        <w:rPr>
          <w:rFonts w:eastAsia="Calibri" w:cs="Times New Roman"/>
          <w:noProof/>
        </w:rPr>
        <w:t>The report explains further that achi</w:t>
      </w:r>
      <w:r w:rsidR="00D30F2E">
        <w:rPr>
          <w:rFonts w:eastAsia="Calibri" w:cs="Times New Roman"/>
          <w:noProof/>
        </w:rPr>
        <w:t xml:space="preserve">eving compliance with the Kigali Amendment is only one of the review objectives. It is </w:t>
      </w:r>
      <w:r>
        <w:rPr>
          <w:rFonts w:eastAsia="Calibri" w:cs="Times New Roman"/>
          <w:noProof/>
        </w:rPr>
        <w:t xml:space="preserve">therefore </w:t>
      </w:r>
      <w:r w:rsidR="00D30F2E">
        <w:rPr>
          <w:rFonts w:eastAsia="Calibri" w:cs="Times New Roman"/>
          <w:noProof/>
        </w:rPr>
        <w:t xml:space="preserve">a self-standing review objective to achieve additional emission reductions </w:t>
      </w:r>
      <w:r w:rsidR="0061149E">
        <w:rPr>
          <w:rFonts w:eastAsia="Calibri" w:cs="Times New Roman"/>
          <w:noProof/>
        </w:rPr>
        <w:t xml:space="preserve">to do more in the EU in order to reach our targets of at least 55% </w:t>
      </w:r>
      <w:r w:rsidR="004C6AA7">
        <w:rPr>
          <w:rFonts w:eastAsia="Calibri" w:cs="Times New Roman"/>
          <w:noProof/>
        </w:rPr>
        <w:t xml:space="preserve">net greenhouse gas reductions </w:t>
      </w:r>
      <w:r w:rsidR="0061149E">
        <w:rPr>
          <w:rFonts w:eastAsia="Calibri" w:cs="Times New Roman"/>
          <w:noProof/>
        </w:rPr>
        <w:t xml:space="preserve">by 2030 and climate neutrality in 2050. </w:t>
      </w:r>
      <w:r w:rsidR="00D30F2E">
        <w:rPr>
          <w:rFonts w:eastAsia="Calibri" w:cs="Times New Roman"/>
          <w:noProof/>
        </w:rPr>
        <w:t>Option 1 turns out to be ineffective in this regard.</w:t>
      </w:r>
    </w:p>
    <w:p w14:paraId="4D42F1DB" w14:textId="6C1EBCBB" w:rsidR="00860E0C" w:rsidRDefault="00D046DD" w:rsidP="00860E0C">
      <w:pPr>
        <w:pStyle w:val="ListParagraph"/>
        <w:numPr>
          <w:ilvl w:val="0"/>
          <w:numId w:val="131"/>
        </w:numPr>
        <w:spacing w:after="120"/>
        <w:contextualSpacing w:val="0"/>
        <w:rPr>
          <w:rFonts w:eastAsia="Calibri" w:cs="Times New Roman"/>
          <w:i/>
          <w:noProof/>
        </w:rPr>
      </w:pPr>
      <w:r w:rsidRPr="00D046DD">
        <w:rPr>
          <w:rFonts w:eastAsia="Calibri" w:cs="Times New Roman"/>
          <w:i/>
          <w:noProof/>
        </w:rPr>
        <w:t>The report does not bring out clearly enough the trade</w:t>
      </w:r>
      <w:r w:rsidR="00D634D9">
        <w:rPr>
          <w:rFonts w:eastAsia="Calibri" w:cs="Times New Roman"/>
          <w:i/>
          <w:noProof/>
        </w:rPr>
        <w:t>-</w:t>
      </w:r>
      <w:r w:rsidRPr="00D046DD">
        <w:rPr>
          <w:rFonts w:eastAsia="Calibri" w:cs="Times New Roman"/>
          <w:i/>
          <w:noProof/>
        </w:rPr>
        <w:t>offs and political choice between providing emission reduction flexibility to Member States under the alignment option and more prescriptive EU level measures under the emission reduction options. The feasibility of the most ambitious option remains questionable.</w:t>
      </w:r>
    </w:p>
    <w:p w14:paraId="7AB96ED2" w14:textId="77777777" w:rsidR="0061149E" w:rsidRDefault="0061149E" w:rsidP="009A623B">
      <w:pPr>
        <w:pStyle w:val="ListParagraph"/>
        <w:spacing w:after="120"/>
        <w:ind w:left="735"/>
        <w:rPr>
          <w:rFonts w:eastAsia="Calibri" w:cs="Times New Roman"/>
          <w:i/>
          <w:noProof/>
        </w:rPr>
      </w:pPr>
      <w:r>
        <w:rPr>
          <w:rFonts w:eastAsia="Calibri" w:cs="Times New Roman"/>
          <w:i/>
          <w:noProof/>
        </w:rPr>
        <w:t xml:space="preserve">What to improve: </w:t>
      </w:r>
    </w:p>
    <w:p w14:paraId="371F3BF7" w14:textId="62D5C7A9" w:rsidR="0061149E" w:rsidRPr="0061149E" w:rsidRDefault="0061149E" w:rsidP="009A623B">
      <w:pPr>
        <w:pStyle w:val="ListParagraph"/>
        <w:numPr>
          <w:ilvl w:val="0"/>
          <w:numId w:val="98"/>
        </w:numPr>
        <w:spacing w:after="120"/>
        <w:rPr>
          <w:rFonts w:eastAsia="Calibri" w:cs="Times New Roman"/>
          <w:i/>
          <w:noProof/>
        </w:rPr>
      </w:pPr>
      <w:r w:rsidRPr="0061149E">
        <w:rPr>
          <w:rFonts w:eastAsia="Calibri" w:cs="Times New Roman"/>
          <w:i/>
          <w:noProof/>
        </w:rPr>
        <w:t>The report should explain why the least ambitious option alone is not sufficient, as it</w:t>
      </w:r>
    </w:p>
    <w:p w14:paraId="7C2F76AE" w14:textId="0A4AB229" w:rsidR="0061149E" w:rsidRPr="009A623B" w:rsidRDefault="0061149E" w:rsidP="009A623B">
      <w:pPr>
        <w:pStyle w:val="ListParagraph"/>
        <w:spacing w:after="120"/>
        <w:ind w:left="735"/>
        <w:rPr>
          <w:rFonts w:eastAsia="Calibri" w:cs="Times New Roman"/>
          <w:i/>
          <w:noProof/>
        </w:rPr>
      </w:pPr>
      <w:r w:rsidRPr="0061149E">
        <w:rPr>
          <w:rFonts w:eastAsia="Calibri" w:cs="Times New Roman"/>
          <w:i/>
          <w:noProof/>
        </w:rPr>
        <w:t>would seem to comply with the EU’s commitments under the Kigali Amendment. It should</w:t>
      </w:r>
      <w:r w:rsidR="00D232CF">
        <w:rPr>
          <w:rFonts w:eastAsia="Calibri" w:cs="Times New Roman"/>
          <w:i/>
          <w:noProof/>
        </w:rPr>
        <w:t xml:space="preserve"> </w:t>
      </w:r>
      <w:r w:rsidRPr="009A623B">
        <w:rPr>
          <w:rFonts w:eastAsia="Calibri" w:cs="Times New Roman"/>
          <w:i/>
          <w:noProof/>
        </w:rPr>
        <w:t>also justify and assess the political feasibility of maintaining the most ambitious option</w:t>
      </w:r>
      <w:r>
        <w:rPr>
          <w:rFonts w:eastAsia="Calibri" w:cs="Times New Roman"/>
          <w:i/>
          <w:noProof/>
        </w:rPr>
        <w:t xml:space="preserve"> </w:t>
      </w:r>
      <w:r w:rsidRPr="009A623B">
        <w:rPr>
          <w:rFonts w:eastAsia="Calibri" w:cs="Times New Roman"/>
          <w:i/>
          <w:noProof/>
        </w:rPr>
        <w:t>given the very high costs involved.</w:t>
      </w:r>
    </w:p>
    <w:p w14:paraId="66884997" w14:textId="4D9A7CA0" w:rsidR="00D30B81" w:rsidRDefault="00D30B81" w:rsidP="00663B70">
      <w:pPr>
        <w:spacing w:after="120"/>
        <w:rPr>
          <w:rFonts w:eastAsia="Calibri" w:cs="Times New Roman"/>
          <w:i/>
          <w:noProof/>
        </w:rPr>
      </w:pPr>
      <w:r>
        <w:rPr>
          <w:rFonts w:eastAsia="Calibri" w:cs="Times New Roman"/>
          <w:noProof/>
        </w:rPr>
        <w:t xml:space="preserve">The </w:t>
      </w:r>
      <w:r w:rsidR="00D634D9">
        <w:rPr>
          <w:rFonts w:eastAsia="Calibri" w:cs="Times New Roman"/>
          <w:noProof/>
        </w:rPr>
        <w:t xml:space="preserve">report explains that the </w:t>
      </w:r>
      <w:r>
        <w:rPr>
          <w:rFonts w:eastAsia="Calibri" w:cs="Times New Roman"/>
          <w:noProof/>
        </w:rPr>
        <w:t xml:space="preserve">option that would ensure </w:t>
      </w:r>
      <w:r w:rsidR="00D634D9">
        <w:rPr>
          <w:rFonts w:eastAsia="Calibri" w:cs="Times New Roman"/>
          <w:noProof/>
        </w:rPr>
        <w:t xml:space="preserve">that </w:t>
      </w:r>
      <w:r>
        <w:rPr>
          <w:rFonts w:eastAsia="Calibri" w:cs="Times New Roman"/>
          <w:noProof/>
        </w:rPr>
        <w:t xml:space="preserve">the EU simply complies with </w:t>
      </w:r>
      <w:r w:rsidR="00D634D9">
        <w:rPr>
          <w:rFonts w:eastAsia="Calibri" w:cs="Times New Roman"/>
          <w:noProof/>
        </w:rPr>
        <w:t xml:space="preserve">the </w:t>
      </w:r>
      <w:r>
        <w:rPr>
          <w:rFonts w:eastAsia="Calibri" w:cs="Times New Roman"/>
          <w:noProof/>
        </w:rPr>
        <w:t xml:space="preserve">Kigali amendment would not see significant further F-gas emission reductions compared to the baseline (see </w:t>
      </w:r>
      <w:r>
        <w:rPr>
          <w:rFonts w:eastAsia="Calibri" w:cs="Times New Roman"/>
          <w:noProof/>
        </w:rPr>
        <w:fldChar w:fldCharType="begin"/>
      </w:r>
      <w:r>
        <w:rPr>
          <w:rFonts w:eastAsia="Calibri" w:cs="Times New Roman"/>
          <w:noProof/>
        </w:rPr>
        <w:instrText xml:space="preserve"> REF _Ref76648988 \h  \* MERGEFORMAT </w:instrText>
      </w:r>
      <w:r>
        <w:rPr>
          <w:rFonts w:eastAsia="Calibri" w:cs="Times New Roman"/>
          <w:noProof/>
        </w:rPr>
      </w:r>
      <w:r>
        <w:rPr>
          <w:rFonts w:eastAsia="Calibri" w:cs="Times New Roman"/>
          <w:noProof/>
        </w:rPr>
        <w:fldChar w:fldCharType="separate"/>
      </w:r>
      <w:r w:rsidRPr="00D046DD">
        <w:rPr>
          <w:rFonts w:eastAsia="Calibri" w:cs="Times New Roman"/>
          <w:noProof/>
        </w:rPr>
        <w:t>Figure 3</w:t>
      </w:r>
      <w:r>
        <w:rPr>
          <w:rFonts w:eastAsia="Calibri" w:cs="Times New Roman"/>
          <w:noProof/>
        </w:rPr>
        <w:fldChar w:fldCharType="end"/>
      </w:r>
      <w:r>
        <w:rPr>
          <w:rFonts w:eastAsia="Calibri" w:cs="Times New Roman"/>
          <w:noProof/>
        </w:rPr>
        <w:t xml:space="preserve">). While this would ensure that the EU complies with its obligations under the Kigali amendment, this </w:t>
      </w:r>
      <w:r w:rsidR="00D634D9">
        <w:rPr>
          <w:rFonts w:eastAsia="Calibri" w:cs="Times New Roman"/>
          <w:noProof/>
        </w:rPr>
        <w:t xml:space="preserve">would be a lost opportunity given that further cost-effective emission reductions are possible as clearly established by this assessment. This was </w:t>
      </w:r>
      <w:r w:rsidR="0095621C">
        <w:rPr>
          <w:rFonts w:eastAsia="Calibri" w:cs="Times New Roman"/>
          <w:noProof/>
        </w:rPr>
        <w:t>clarified</w:t>
      </w:r>
      <w:r w:rsidR="00D634D9">
        <w:rPr>
          <w:rFonts w:eastAsia="Calibri" w:cs="Times New Roman"/>
          <w:noProof/>
        </w:rPr>
        <w:t xml:space="preserve"> in the discussion of the options (section 7). </w:t>
      </w:r>
      <w:r>
        <w:rPr>
          <w:rFonts w:eastAsia="Calibri" w:cs="Times New Roman"/>
          <w:noProof/>
        </w:rPr>
        <w:t>To give more insight in</w:t>
      </w:r>
      <w:r w:rsidR="007C7FDA">
        <w:rPr>
          <w:rFonts w:eastAsia="Calibri" w:cs="Times New Roman"/>
          <w:noProof/>
        </w:rPr>
        <w:t>to</w:t>
      </w:r>
      <w:r>
        <w:rPr>
          <w:rFonts w:eastAsia="Calibri" w:cs="Times New Roman"/>
          <w:noProof/>
        </w:rPr>
        <w:t xml:space="preserve"> the quantitative projections in support of this finding, section 2.1.1 was further elaborated with references to greenhouse gas projections made in support of the recent updates in EU climate ambition and the reviews of other EU climate legislation under the Fit for 55 policy package.</w:t>
      </w:r>
      <w:r>
        <w:rPr>
          <w:rFonts w:eastAsia="Calibri" w:cs="Times New Roman"/>
          <w:i/>
          <w:noProof/>
        </w:rPr>
        <w:t xml:space="preserve">   </w:t>
      </w:r>
    </w:p>
    <w:p w14:paraId="2F9F5013" w14:textId="18DBA789" w:rsidR="008B729C" w:rsidRDefault="0061149E" w:rsidP="00663B70">
      <w:pPr>
        <w:spacing w:after="120"/>
        <w:rPr>
          <w:rFonts w:eastAsia="Calibri" w:cs="Times New Roman"/>
          <w:noProof/>
        </w:rPr>
      </w:pPr>
      <w:r>
        <w:rPr>
          <w:rFonts w:eastAsia="Calibri" w:cs="Times New Roman"/>
          <w:noProof/>
        </w:rPr>
        <w:t>In the light of what was stated under (1)</w:t>
      </w:r>
      <w:r w:rsidR="009A623B">
        <w:rPr>
          <w:rFonts w:eastAsia="Calibri" w:cs="Times New Roman"/>
          <w:noProof/>
        </w:rPr>
        <w:t xml:space="preserve"> above</w:t>
      </w:r>
      <w:r>
        <w:rPr>
          <w:rFonts w:eastAsia="Calibri" w:cs="Times New Roman"/>
          <w:noProof/>
        </w:rPr>
        <w:t xml:space="preserve">, </w:t>
      </w:r>
      <w:r w:rsidR="00860E0C">
        <w:rPr>
          <w:rFonts w:eastAsia="Calibri" w:cs="Times New Roman"/>
          <w:noProof/>
        </w:rPr>
        <w:t>a trade-off would rather be the case if we chose not to take further EU action</w:t>
      </w:r>
      <w:r>
        <w:rPr>
          <w:rFonts w:eastAsia="Calibri" w:cs="Times New Roman"/>
          <w:noProof/>
        </w:rPr>
        <w:t xml:space="preserve"> beyond alig</w:t>
      </w:r>
      <w:r w:rsidR="00860E0C">
        <w:rPr>
          <w:rFonts w:eastAsia="Calibri" w:cs="Times New Roman"/>
          <w:noProof/>
        </w:rPr>
        <w:t>ning with Kigali in this case</w:t>
      </w:r>
      <w:r>
        <w:rPr>
          <w:rFonts w:eastAsia="Calibri" w:cs="Times New Roman"/>
          <w:noProof/>
        </w:rPr>
        <w:t xml:space="preserve">, given </w:t>
      </w:r>
      <w:r w:rsidR="00D232CF">
        <w:rPr>
          <w:rFonts w:eastAsia="Calibri" w:cs="Times New Roman"/>
          <w:noProof/>
        </w:rPr>
        <w:t xml:space="preserve">the demonstrated </w:t>
      </w:r>
      <w:r>
        <w:rPr>
          <w:rFonts w:eastAsia="Calibri" w:cs="Times New Roman"/>
          <w:noProof/>
        </w:rPr>
        <w:t>EU added value and cost efficiency. The “alignment option”</w:t>
      </w:r>
      <w:r w:rsidR="00860E0C">
        <w:rPr>
          <w:rFonts w:eastAsia="Calibri" w:cs="Times New Roman"/>
          <w:noProof/>
        </w:rPr>
        <w:t xml:space="preserve"> </w:t>
      </w:r>
      <w:r>
        <w:rPr>
          <w:rFonts w:eastAsia="Calibri" w:cs="Times New Roman"/>
          <w:noProof/>
        </w:rPr>
        <w:t>(option 1) wa</w:t>
      </w:r>
      <w:r w:rsidR="00860E0C">
        <w:rPr>
          <w:rFonts w:eastAsia="Calibri" w:cs="Times New Roman"/>
          <w:noProof/>
        </w:rPr>
        <w:t xml:space="preserve">s </w:t>
      </w:r>
      <w:r>
        <w:rPr>
          <w:rFonts w:eastAsia="Calibri" w:cs="Times New Roman"/>
          <w:noProof/>
        </w:rPr>
        <w:t xml:space="preserve">found in this </w:t>
      </w:r>
      <w:r w:rsidR="005216E8">
        <w:rPr>
          <w:rFonts w:eastAsia="Calibri" w:cs="Times New Roman"/>
          <w:noProof/>
        </w:rPr>
        <w:t>assessment</w:t>
      </w:r>
      <w:r>
        <w:rPr>
          <w:rFonts w:eastAsia="Calibri" w:cs="Times New Roman"/>
          <w:noProof/>
        </w:rPr>
        <w:t xml:space="preserve"> to fail to deliver </w:t>
      </w:r>
      <w:r w:rsidR="00860E0C">
        <w:rPr>
          <w:rFonts w:eastAsia="Calibri" w:cs="Times New Roman"/>
          <w:noProof/>
        </w:rPr>
        <w:t>more emissions</w:t>
      </w:r>
      <w:r w:rsidR="00BE6281">
        <w:rPr>
          <w:rFonts w:eastAsia="Calibri" w:cs="Times New Roman"/>
          <w:noProof/>
        </w:rPr>
        <w:t xml:space="preserve"> reductions</w:t>
      </w:r>
      <w:r w:rsidR="00860E0C">
        <w:rPr>
          <w:rFonts w:eastAsia="Calibri" w:cs="Times New Roman"/>
          <w:noProof/>
        </w:rPr>
        <w:t xml:space="preserve"> </w:t>
      </w:r>
      <w:r w:rsidR="00D232CF">
        <w:rPr>
          <w:rFonts w:eastAsia="Calibri" w:cs="Times New Roman"/>
          <w:noProof/>
        </w:rPr>
        <w:t>than</w:t>
      </w:r>
      <w:r w:rsidR="00860E0C">
        <w:rPr>
          <w:rFonts w:eastAsia="Calibri" w:cs="Times New Roman"/>
          <w:noProof/>
        </w:rPr>
        <w:t xml:space="preserve"> the current Regulation</w:t>
      </w:r>
      <w:r>
        <w:rPr>
          <w:rFonts w:eastAsia="Calibri" w:cs="Times New Roman"/>
          <w:noProof/>
        </w:rPr>
        <w:t>. Taking this option would mean that</w:t>
      </w:r>
      <w:r w:rsidR="00860E0C">
        <w:rPr>
          <w:rFonts w:eastAsia="Calibri" w:cs="Times New Roman"/>
          <w:noProof/>
        </w:rPr>
        <w:t xml:space="preserve"> the necessary emission savings would</w:t>
      </w:r>
      <w:r w:rsidR="00D232CF">
        <w:rPr>
          <w:rFonts w:eastAsia="Calibri" w:cs="Times New Roman"/>
          <w:noProof/>
        </w:rPr>
        <w:t xml:space="preserve"> have to be achieved by Member States is a </w:t>
      </w:r>
      <w:r w:rsidR="00860E0C">
        <w:rPr>
          <w:rFonts w:eastAsia="Calibri" w:cs="Times New Roman"/>
          <w:noProof/>
        </w:rPr>
        <w:t xml:space="preserve">considerably more difficult </w:t>
      </w:r>
      <w:r w:rsidR="00D232CF">
        <w:rPr>
          <w:rFonts w:eastAsia="Calibri" w:cs="Times New Roman"/>
          <w:noProof/>
        </w:rPr>
        <w:t>way</w:t>
      </w:r>
      <w:r w:rsidR="00983A95">
        <w:rPr>
          <w:rFonts w:eastAsia="Calibri" w:cs="Times New Roman"/>
          <w:noProof/>
        </w:rPr>
        <w:t>, either by taking less effective, disparate measures in the F-gas sector or additional action in other sector</w:t>
      </w:r>
      <w:r>
        <w:rPr>
          <w:rFonts w:eastAsia="Calibri" w:cs="Times New Roman"/>
          <w:noProof/>
        </w:rPr>
        <w:t>s</w:t>
      </w:r>
      <w:r w:rsidR="00983A95">
        <w:rPr>
          <w:rFonts w:eastAsia="Calibri" w:cs="Times New Roman"/>
          <w:noProof/>
        </w:rPr>
        <w:t xml:space="preserve"> to compensate for any EU action on F-gases not taken</w:t>
      </w:r>
      <w:r w:rsidR="00860E0C">
        <w:rPr>
          <w:rFonts w:eastAsia="Calibri" w:cs="Times New Roman"/>
          <w:noProof/>
        </w:rPr>
        <w:t>.</w:t>
      </w:r>
      <w:r w:rsidR="00983A95">
        <w:rPr>
          <w:rFonts w:eastAsia="Calibri" w:cs="Times New Roman"/>
          <w:noProof/>
        </w:rPr>
        <w:t xml:space="preserve"> </w:t>
      </w:r>
      <w:r>
        <w:rPr>
          <w:rFonts w:eastAsia="Calibri" w:cs="Times New Roman"/>
          <w:noProof/>
        </w:rPr>
        <w:t>This point was added to the discussion of the option</w:t>
      </w:r>
      <w:r w:rsidR="00BE6281">
        <w:rPr>
          <w:rFonts w:eastAsia="Calibri" w:cs="Times New Roman"/>
          <w:noProof/>
        </w:rPr>
        <w:t>s</w:t>
      </w:r>
      <w:r>
        <w:rPr>
          <w:rFonts w:eastAsia="Calibri" w:cs="Times New Roman"/>
          <w:noProof/>
        </w:rPr>
        <w:t xml:space="preserve"> (section 7).</w:t>
      </w:r>
    </w:p>
    <w:p w14:paraId="1C58CC0C" w14:textId="505B5451" w:rsidR="00ED0577" w:rsidRPr="009A623B" w:rsidRDefault="00983A95" w:rsidP="00663B70">
      <w:pPr>
        <w:spacing w:after="120"/>
        <w:rPr>
          <w:rFonts w:eastAsia="Calibri" w:cs="Times New Roman"/>
          <w:i/>
          <w:noProof/>
        </w:rPr>
      </w:pPr>
      <w:r>
        <w:rPr>
          <w:rFonts w:eastAsia="Calibri" w:cs="Times New Roman"/>
          <w:noProof/>
        </w:rPr>
        <w:t>The most ambitious option is clearly feasible</w:t>
      </w:r>
      <w:r w:rsidR="00BE6281">
        <w:rPr>
          <w:rFonts w:eastAsia="Calibri" w:cs="Times New Roman"/>
          <w:noProof/>
        </w:rPr>
        <w:t xml:space="preserve"> </w:t>
      </w:r>
      <w:r>
        <w:rPr>
          <w:rFonts w:eastAsia="Calibri" w:cs="Times New Roman"/>
          <w:noProof/>
        </w:rPr>
        <w:t>in technical terms because it is based on existing</w:t>
      </w:r>
      <w:r w:rsidR="00D232CF">
        <w:rPr>
          <w:rFonts w:eastAsia="Calibri" w:cs="Times New Roman"/>
          <w:noProof/>
        </w:rPr>
        <w:t>,</w:t>
      </w:r>
      <w:r>
        <w:rPr>
          <w:rFonts w:eastAsia="Calibri" w:cs="Times New Roman"/>
          <w:noProof/>
        </w:rPr>
        <w:t xml:space="preserve"> </w:t>
      </w:r>
      <w:r w:rsidR="008B729C">
        <w:rPr>
          <w:rFonts w:eastAsia="Calibri" w:cs="Times New Roman"/>
          <w:noProof/>
        </w:rPr>
        <w:t xml:space="preserve">mature </w:t>
      </w:r>
      <w:r>
        <w:rPr>
          <w:rFonts w:eastAsia="Calibri" w:cs="Times New Roman"/>
          <w:noProof/>
        </w:rPr>
        <w:t>technologies</w:t>
      </w:r>
      <w:r w:rsidR="00860E0C">
        <w:rPr>
          <w:rFonts w:eastAsia="Calibri" w:cs="Times New Roman"/>
          <w:noProof/>
        </w:rPr>
        <w:t xml:space="preserve"> </w:t>
      </w:r>
      <w:r>
        <w:rPr>
          <w:rFonts w:eastAsia="Calibri" w:cs="Times New Roman"/>
          <w:noProof/>
        </w:rPr>
        <w:t xml:space="preserve">taking safety and energy first considerations into account. </w:t>
      </w:r>
      <w:r w:rsidR="00BE6281">
        <w:rPr>
          <w:rFonts w:eastAsia="Calibri" w:cs="Times New Roman"/>
          <w:noProof/>
        </w:rPr>
        <w:t xml:space="preserve">But </w:t>
      </w:r>
      <w:r>
        <w:rPr>
          <w:rFonts w:eastAsia="Calibri" w:cs="Times New Roman"/>
          <w:noProof/>
        </w:rPr>
        <w:t xml:space="preserve">it </w:t>
      </w:r>
      <w:r w:rsidR="00BE6281">
        <w:rPr>
          <w:rFonts w:eastAsia="Calibri" w:cs="Times New Roman"/>
          <w:noProof/>
        </w:rPr>
        <w:t xml:space="preserve">can </w:t>
      </w:r>
      <w:r w:rsidR="008B729C">
        <w:rPr>
          <w:rFonts w:eastAsia="Calibri" w:cs="Times New Roman"/>
          <w:noProof/>
        </w:rPr>
        <w:t xml:space="preserve">indeed </w:t>
      </w:r>
      <w:r>
        <w:rPr>
          <w:rFonts w:eastAsia="Calibri" w:cs="Times New Roman"/>
          <w:noProof/>
        </w:rPr>
        <w:t xml:space="preserve">lead to high abatement costs in a few sectors, </w:t>
      </w:r>
      <w:r w:rsidR="00BE6281">
        <w:rPr>
          <w:rFonts w:eastAsia="Calibri" w:cs="Times New Roman"/>
          <w:noProof/>
        </w:rPr>
        <w:t xml:space="preserve">as was demonstrated though the </w:t>
      </w:r>
      <w:r w:rsidR="0095621C">
        <w:rPr>
          <w:rFonts w:eastAsia="Calibri" w:cs="Times New Roman"/>
          <w:noProof/>
        </w:rPr>
        <w:t xml:space="preserve">analysis. </w:t>
      </w:r>
      <w:r w:rsidR="008B729C">
        <w:rPr>
          <w:rFonts w:eastAsia="Calibri" w:cs="Times New Roman"/>
          <w:noProof/>
        </w:rPr>
        <w:t xml:space="preserve">This is why the </w:t>
      </w:r>
      <w:r w:rsidR="00D232CF">
        <w:rPr>
          <w:rFonts w:eastAsia="Calibri" w:cs="Times New Roman"/>
          <w:noProof/>
        </w:rPr>
        <w:t xml:space="preserve">in the end </w:t>
      </w:r>
      <w:r w:rsidR="005216E8">
        <w:rPr>
          <w:rFonts w:eastAsia="Calibri" w:cs="Times New Roman"/>
          <w:noProof/>
        </w:rPr>
        <w:t>the</w:t>
      </w:r>
      <w:r w:rsidR="00D232CF">
        <w:rPr>
          <w:rFonts w:eastAsia="Calibri" w:cs="Times New Roman"/>
          <w:noProof/>
        </w:rPr>
        <w:t xml:space="preserve"> </w:t>
      </w:r>
      <w:r w:rsidR="008B729C">
        <w:rPr>
          <w:rFonts w:eastAsia="Calibri" w:cs="Times New Roman"/>
          <w:noProof/>
        </w:rPr>
        <w:t>option was not retained, but it was a realistic and valid option to pursue given th</w:t>
      </w:r>
      <w:r w:rsidR="00D232CF">
        <w:rPr>
          <w:rFonts w:eastAsia="Calibri" w:cs="Times New Roman"/>
          <w:noProof/>
        </w:rPr>
        <w:t>at there are alternative technologies available</w:t>
      </w:r>
      <w:r w:rsidR="008B729C">
        <w:rPr>
          <w:rFonts w:eastAsia="Calibri" w:cs="Times New Roman"/>
          <w:noProof/>
        </w:rPr>
        <w:t>.</w:t>
      </w:r>
      <w:r>
        <w:rPr>
          <w:rFonts w:eastAsia="Calibri" w:cs="Times New Roman"/>
          <w:noProof/>
        </w:rPr>
        <w:t xml:space="preserve"> </w:t>
      </w:r>
    </w:p>
    <w:p w14:paraId="66C67B82" w14:textId="78BC7385" w:rsidR="00D046DD" w:rsidRDefault="00D046DD" w:rsidP="00D046DD">
      <w:pPr>
        <w:pStyle w:val="ListParagraph"/>
        <w:numPr>
          <w:ilvl w:val="0"/>
          <w:numId w:val="131"/>
        </w:numPr>
        <w:spacing w:after="120"/>
        <w:rPr>
          <w:rFonts w:eastAsia="Calibri" w:cs="Times New Roman"/>
          <w:i/>
          <w:noProof/>
        </w:rPr>
      </w:pPr>
      <w:r w:rsidRPr="00D046DD">
        <w:rPr>
          <w:rFonts w:eastAsia="Calibri" w:cs="Times New Roman"/>
          <w:i/>
          <w:noProof/>
        </w:rPr>
        <w:t>The report does not explicitly set out the assumptions and data limitations underpinning the environmental and economic impacts. It also does not clearly present the administrative costs of the preferred option.</w:t>
      </w:r>
    </w:p>
    <w:p w14:paraId="54FE10E9" w14:textId="77777777" w:rsidR="005216E8" w:rsidRDefault="005216E8" w:rsidP="009A623B">
      <w:pPr>
        <w:pStyle w:val="ListParagraph"/>
        <w:spacing w:after="120"/>
        <w:ind w:left="735"/>
        <w:rPr>
          <w:i/>
          <w:noProof/>
        </w:rPr>
      </w:pPr>
    </w:p>
    <w:p w14:paraId="4192A828" w14:textId="159D777F" w:rsidR="0043107E" w:rsidRPr="009A623B" w:rsidRDefault="0043107E" w:rsidP="009A623B">
      <w:pPr>
        <w:pStyle w:val="ListParagraph"/>
        <w:spacing w:after="120"/>
        <w:ind w:left="735"/>
        <w:rPr>
          <w:i/>
          <w:noProof/>
        </w:rPr>
      </w:pPr>
      <w:r w:rsidRPr="009A623B">
        <w:rPr>
          <w:i/>
          <w:noProof/>
        </w:rPr>
        <w:t>What to improve:</w:t>
      </w:r>
    </w:p>
    <w:p w14:paraId="621BC843" w14:textId="563EF2B9" w:rsidR="0043107E" w:rsidRPr="009A623B" w:rsidRDefault="0043107E" w:rsidP="009A623B">
      <w:pPr>
        <w:pStyle w:val="ListParagraph"/>
        <w:numPr>
          <w:ilvl w:val="0"/>
          <w:numId w:val="98"/>
        </w:numPr>
        <w:spacing w:after="120"/>
        <w:rPr>
          <w:i/>
          <w:noProof/>
        </w:rPr>
      </w:pPr>
      <w:r w:rsidRPr="009A623B">
        <w:rPr>
          <w:i/>
          <w:noProof/>
        </w:rPr>
        <w:t>The report should give a clearer account of the methodology underpinning the</w:t>
      </w:r>
      <w:r w:rsidR="00A7107B">
        <w:rPr>
          <w:i/>
          <w:noProof/>
        </w:rPr>
        <w:t xml:space="preserve"> </w:t>
      </w:r>
      <w:r w:rsidRPr="009A623B">
        <w:rPr>
          <w:i/>
          <w:noProof/>
        </w:rPr>
        <w:t>assessment of impacts. It should provide a clearer presentation of the overall costs and benefits of the options and compare them in terms of effectiveness, efficiency and</w:t>
      </w:r>
    </w:p>
    <w:p w14:paraId="70A8BBE3" w14:textId="36341991" w:rsidR="0043107E" w:rsidRPr="009A623B" w:rsidRDefault="0043107E" w:rsidP="009A623B">
      <w:pPr>
        <w:pStyle w:val="ListParagraph"/>
        <w:spacing w:after="120"/>
        <w:ind w:left="735"/>
        <w:rPr>
          <w:i/>
          <w:noProof/>
        </w:rPr>
      </w:pPr>
      <w:r w:rsidRPr="009A623B">
        <w:rPr>
          <w:i/>
          <w:noProof/>
        </w:rPr>
        <w:t>coherence. It should clearly present the administrative costs for all elements of the</w:t>
      </w:r>
      <w:r w:rsidR="00A7107B">
        <w:rPr>
          <w:i/>
          <w:noProof/>
        </w:rPr>
        <w:t xml:space="preserve"> </w:t>
      </w:r>
      <w:r w:rsidRPr="009A623B">
        <w:rPr>
          <w:i/>
          <w:noProof/>
        </w:rPr>
        <w:t>preferred option and explain the basis for the calculations. It should also better</w:t>
      </w:r>
      <w:r w:rsidR="00D30B81" w:rsidRPr="009A623B">
        <w:rPr>
          <w:i/>
          <w:noProof/>
        </w:rPr>
        <w:t xml:space="preserve"> </w:t>
      </w:r>
      <w:r w:rsidRPr="009A623B">
        <w:rPr>
          <w:i/>
          <w:noProof/>
        </w:rPr>
        <w:t>present the main assumptions and limitations of the AnaFgas and GEM-E3 models used in assessing the impacts.</w:t>
      </w:r>
    </w:p>
    <w:p w14:paraId="2881A713" w14:textId="4CB4230F" w:rsidR="00D30B81" w:rsidRDefault="00D30B81" w:rsidP="009A623B">
      <w:pPr>
        <w:pStyle w:val="ListParagraph"/>
        <w:spacing w:after="120"/>
        <w:ind w:left="735"/>
        <w:rPr>
          <w:i/>
          <w:noProof/>
        </w:rPr>
      </w:pPr>
      <w:r>
        <w:rPr>
          <w:i/>
          <w:noProof/>
        </w:rPr>
        <w:t>-</w:t>
      </w:r>
      <w:r>
        <w:rPr>
          <w:rFonts w:ascii="CIDFont+F1" w:hAnsi="CIDFont+F1" w:cs="CIDFont+F1"/>
          <w:noProof/>
          <w:szCs w:val="24"/>
        </w:rPr>
        <w:t xml:space="preserve"> </w:t>
      </w:r>
      <w:r w:rsidRPr="00D30B81">
        <w:rPr>
          <w:i/>
          <w:noProof/>
        </w:rPr>
        <w:t>The report should clarify the differences between the previous modelling results (EU</w:t>
      </w:r>
      <w:r>
        <w:rPr>
          <w:i/>
          <w:noProof/>
        </w:rPr>
        <w:t xml:space="preserve"> </w:t>
      </w:r>
      <w:r w:rsidRPr="009A623B">
        <w:rPr>
          <w:i/>
          <w:noProof/>
        </w:rPr>
        <w:t>long-term strategy for a climate-neutral economy) and the current estimates.</w:t>
      </w:r>
    </w:p>
    <w:p w14:paraId="2A73BC87" w14:textId="0F816371" w:rsidR="00D30B81" w:rsidRPr="009A623B" w:rsidRDefault="00D30B81" w:rsidP="009A623B">
      <w:pPr>
        <w:pStyle w:val="ListParagraph"/>
        <w:spacing w:after="120"/>
        <w:ind w:left="735"/>
        <w:rPr>
          <w:i/>
          <w:noProof/>
        </w:rPr>
      </w:pPr>
      <w:r>
        <w:rPr>
          <w:i/>
          <w:noProof/>
        </w:rPr>
        <w:t xml:space="preserve">- </w:t>
      </w:r>
      <w:r w:rsidRPr="00D30B81">
        <w:rPr>
          <w:i/>
          <w:noProof/>
        </w:rPr>
        <w:t>The report should more explicitly explain what success would look like as regards</w:t>
      </w:r>
      <w:r w:rsidR="00A7107B">
        <w:rPr>
          <w:i/>
          <w:noProof/>
        </w:rPr>
        <w:t xml:space="preserve"> </w:t>
      </w:r>
      <w:r w:rsidRPr="009A623B">
        <w:rPr>
          <w:i/>
          <w:noProof/>
        </w:rPr>
        <w:t>specific objectives on implementation, monitoring and coherence. It should specify</w:t>
      </w:r>
      <w:r w:rsidR="00A7107B">
        <w:rPr>
          <w:i/>
          <w:noProof/>
        </w:rPr>
        <w:t xml:space="preserve"> </w:t>
      </w:r>
      <w:r w:rsidRPr="009A623B">
        <w:rPr>
          <w:i/>
          <w:noProof/>
        </w:rPr>
        <w:t>whether the review in 2033 will be an evaluation.</w:t>
      </w:r>
    </w:p>
    <w:p w14:paraId="34EDBDB4" w14:textId="77777777" w:rsidR="00B07640" w:rsidRPr="00D046DD" w:rsidRDefault="00B07640" w:rsidP="009A623B">
      <w:pPr>
        <w:pStyle w:val="ListParagraph"/>
        <w:spacing w:after="120"/>
        <w:ind w:left="735"/>
        <w:rPr>
          <w:rFonts w:eastAsia="Calibri" w:cs="Times New Roman"/>
          <w:i/>
          <w:noProof/>
        </w:rPr>
      </w:pPr>
    </w:p>
    <w:p w14:paraId="7EB190DB" w14:textId="03854318" w:rsidR="00E6507D" w:rsidRDefault="00FC0D9E" w:rsidP="00D046DD">
      <w:pPr>
        <w:rPr>
          <w:rFonts w:eastAsia="Calibri" w:cs="Times New Roman"/>
          <w:noProof/>
        </w:rPr>
      </w:pPr>
      <w:r>
        <w:rPr>
          <w:rFonts w:eastAsia="Calibri" w:cs="Times New Roman"/>
          <w:noProof/>
        </w:rPr>
        <w:t>The assumptions and limitations of the models are now also referred to in the main text in the beginning of section 6. Furthermore</w:t>
      </w:r>
      <w:r w:rsidR="00D30B81">
        <w:rPr>
          <w:rFonts w:eastAsia="Calibri" w:cs="Times New Roman"/>
          <w:noProof/>
        </w:rPr>
        <w:t xml:space="preserve">, </w:t>
      </w:r>
      <w:r>
        <w:rPr>
          <w:rFonts w:eastAsia="Calibri" w:cs="Times New Roman"/>
          <w:noProof/>
        </w:rPr>
        <w:t xml:space="preserve">text was added on the </w:t>
      </w:r>
      <w:r w:rsidR="003475A0">
        <w:rPr>
          <w:rFonts w:eastAsia="Calibri" w:cs="Times New Roman"/>
          <w:noProof/>
        </w:rPr>
        <w:t>data collection process and analysis</w:t>
      </w:r>
      <w:r>
        <w:rPr>
          <w:rFonts w:eastAsia="Calibri" w:cs="Times New Roman"/>
          <w:noProof/>
        </w:rPr>
        <w:t xml:space="preserve"> on administrative burden</w:t>
      </w:r>
      <w:r w:rsidR="00E6507D">
        <w:rPr>
          <w:rFonts w:eastAsia="Calibri" w:cs="Times New Roman"/>
          <w:noProof/>
        </w:rPr>
        <w:t xml:space="preserve"> in 6.2.2. The comparison of options was reinforced in section 7. The admin burden linked to each individual measure (where relevant) of the preferred options was added as Table 11. </w:t>
      </w:r>
    </w:p>
    <w:p w14:paraId="48CC133F" w14:textId="38F08881" w:rsidR="00A7107B" w:rsidRDefault="00E6507D" w:rsidP="00D046DD">
      <w:pPr>
        <w:rPr>
          <w:rFonts w:eastAsia="Calibri" w:cs="Times New Roman"/>
          <w:noProof/>
        </w:rPr>
      </w:pPr>
      <w:r>
        <w:rPr>
          <w:rFonts w:eastAsia="Calibri" w:cs="Times New Roman"/>
          <w:noProof/>
        </w:rPr>
        <w:t>Additional t</w:t>
      </w:r>
      <w:r w:rsidR="00BC03E5">
        <w:rPr>
          <w:rFonts w:eastAsia="Calibri" w:cs="Times New Roman"/>
          <w:noProof/>
        </w:rPr>
        <w:t>e</w:t>
      </w:r>
      <w:r>
        <w:rPr>
          <w:rFonts w:eastAsia="Calibri" w:cs="Times New Roman"/>
          <w:noProof/>
        </w:rPr>
        <w:t>x</w:t>
      </w:r>
      <w:r w:rsidR="00BC03E5">
        <w:rPr>
          <w:rFonts w:eastAsia="Calibri" w:cs="Times New Roman"/>
          <w:noProof/>
        </w:rPr>
        <w:t xml:space="preserve">t was added to show what </w:t>
      </w:r>
      <w:r w:rsidR="00BC03E5" w:rsidRPr="009A623B">
        <w:rPr>
          <w:rFonts w:eastAsia="Calibri" w:cs="Times New Roman"/>
          <w:noProof/>
        </w:rPr>
        <w:t xml:space="preserve">success would look like as regards </w:t>
      </w:r>
      <w:r>
        <w:rPr>
          <w:rFonts w:eastAsia="Calibri" w:cs="Times New Roman"/>
          <w:noProof/>
        </w:rPr>
        <w:t xml:space="preserve">the </w:t>
      </w:r>
      <w:r w:rsidR="00BC03E5" w:rsidRPr="009A623B">
        <w:rPr>
          <w:rFonts w:eastAsia="Calibri" w:cs="Times New Roman"/>
          <w:noProof/>
        </w:rPr>
        <w:t>specific objectives in section 9.</w:t>
      </w:r>
      <w:r w:rsidR="00BC03E5">
        <w:rPr>
          <w:rFonts w:eastAsia="Calibri" w:cs="Times New Roman"/>
          <w:noProof/>
        </w:rPr>
        <w:t xml:space="preserve"> </w:t>
      </w:r>
      <w:r w:rsidR="00A7107B">
        <w:rPr>
          <w:rFonts w:eastAsia="Calibri" w:cs="Times New Roman"/>
          <w:noProof/>
        </w:rPr>
        <w:t>An evaluation is envisaged for 2033.</w:t>
      </w:r>
    </w:p>
    <w:p w14:paraId="09B695B4" w14:textId="77777777" w:rsidR="00D046DD" w:rsidRPr="00D046DD" w:rsidRDefault="00D046DD" w:rsidP="00D046DD">
      <w:pPr>
        <w:rPr>
          <w:rFonts w:eastAsia="Calibri" w:cs="Times New Roman"/>
          <w:noProof/>
        </w:rPr>
      </w:pPr>
    </w:p>
    <w:p w14:paraId="2CB01C73" w14:textId="77777777" w:rsidR="00231760" w:rsidRPr="00231760" w:rsidRDefault="3982CBDC" w:rsidP="009A623B">
      <w:pPr>
        <w:pStyle w:val="AppendixHeadingLevel2"/>
        <w:numPr>
          <w:ilvl w:val="1"/>
          <w:numId w:val="106"/>
        </w:numPr>
        <w:jc w:val="left"/>
        <w:rPr>
          <w:noProof/>
        </w:rPr>
      </w:pPr>
      <w:bookmarkStart w:id="354" w:name="_Toc471997758"/>
      <w:bookmarkStart w:id="355" w:name="_Toc71559436"/>
      <w:bookmarkStart w:id="356" w:name="_Toc71561873"/>
      <w:r>
        <w:rPr>
          <w:noProof/>
        </w:rPr>
        <w:t>Evidence, sources and quality</w:t>
      </w:r>
      <w:bookmarkEnd w:id="354"/>
      <w:bookmarkEnd w:id="355"/>
      <w:bookmarkEnd w:id="356"/>
    </w:p>
    <w:p w14:paraId="7B4040B7" w14:textId="77777777" w:rsidR="00231760" w:rsidRPr="00231760" w:rsidRDefault="3982CBDC" w:rsidP="3982CBDC">
      <w:pPr>
        <w:rPr>
          <w:rFonts w:eastAsia="Calibri" w:cs="Times New Roman"/>
          <w:noProof/>
        </w:rPr>
      </w:pPr>
      <w:r w:rsidRPr="3982CBDC">
        <w:rPr>
          <w:rFonts w:eastAsia="Calibri" w:cs="Times New Roman"/>
          <w:noProof/>
        </w:rPr>
        <w:t>This impact assessment draws on a support study carried out by an external consultant including an extensive consultation of the relevant stakeholders and experts as well as on the internal expertise of the Commission.</w:t>
      </w:r>
    </w:p>
    <w:p w14:paraId="6AFF9D9F" w14:textId="70CC027B" w:rsidR="00231760" w:rsidRPr="00231760" w:rsidRDefault="3982CBDC" w:rsidP="3982CBDC">
      <w:pPr>
        <w:rPr>
          <w:rFonts w:eastAsia="Calibri" w:cs="Times New Roman"/>
          <w:noProof/>
        </w:rPr>
      </w:pPr>
      <w:r w:rsidRPr="3982CBDC">
        <w:rPr>
          <w:rFonts w:eastAsia="Calibri" w:cs="Times New Roman"/>
          <w:noProof/>
        </w:rPr>
        <w:t>The evidence used for the evaluation comes from several data sources, in particular the annual reports on fluorinated greenhouse gases by the European Environment Agency and the consultation with stakeholders, including Member States authorities and undertakings</w:t>
      </w:r>
      <w:r w:rsidR="00EB5A41">
        <w:rPr>
          <w:rFonts w:eastAsia="Calibri" w:cs="Times New Roman"/>
          <w:noProof/>
        </w:rPr>
        <w:t xml:space="preserve"> (see Annex </w:t>
      </w:r>
      <w:r w:rsidR="00C66A21">
        <w:rPr>
          <w:rFonts w:eastAsia="Calibri" w:cs="Times New Roman"/>
          <w:noProof/>
        </w:rPr>
        <w:t>A2</w:t>
      </w:r>
      <w:r w:rsidR="00EB5A41">
        <w:rPr>
          <w:rFonts w:eastAsia="Calibri" w:cs="Times New Roman"/>
          <w:noProof/>
        </w:rPr>
        <w:t>)</w:t>
      </w:r>
      <w:r w:rsidRPr="3982CBDC">
        <w:rPr>
          <w:rFonts w:eastAsia="Calibri" w:cs="Times New Roman"/>
          <w:noProof/>
        </w:rPr>
        <w:t>. The Commission has also previously published a number of</w:t>
      </w:r>
      <w:r w:rsidR="00EB5A41">
        <w:rPr>
          <w:rFonts w:eastAsia="Calibri" w:cs="Times New Roman"/>
          <w:noProof/>
        </w:rPr>
        <w:t xml:space="preserve"> </w:t>
      </w:r>
      <w:r w:rsidRPr="3982CBDC">
        <w:rPr>
          <w:rFonts w:eastAsia="Calibri" w:cs="Times New Roman"/>
          <w:noProof/>
        </w:rPr>
        <w:t>technical reports on (i) barriers posed by safety standards, (ii) availability of training of technical personnel, (iii) the quota allocation method, (iv) the availability of HFCs on the EU market as well as alternatives available in (v) split air conditioning systems, (vi) switchgear and (vii) commercial refrigeration systems, wh</w:t>
      </w:r>
      <w:r w:rsidR="00EB5A41">
        <w:rPr>
          <w:rFonts w:eastAsia="Calibri" w:cs="Times New Roman"/>
          <w:noProof/>
        </w:rPr>
        <w:t xml:space="preserve">ich all have provided useful data for </w:t>
      </w:r>
      <w:r w:rsidRPr="3982CBDC">
        <w:rPr>
          <w:rFonts w:eastAsia="Calibri" w:cs="Times New Roman"/>
          <w:noProof/>
        </w:rPr>
        <w:t>this work</w:t>
      </w:r>
      <w:r w:rsidR="00761D8A">
        <w:rPr>
          <w:rFonts w:eastAsia="Calibri" w:cs="Times New Roman"/>
          <w:noProof/>
        </w:rPr>
        <w:t xml:space="preserve"> (see also footnote</w:t>
      </w:r>
      <w:r w:rsidR="002F2084">
        <w:rPr>
          <w:rFonts w:eastAsia="Calibri" w:cs="Times New Roman"/>
          <w:noProof/>
        </w:rPr>
        <w:t xml:space="preserve"> </w:t>
      </w:r>
      <w:r w:rsidR="002F2084">
        <w:rPr>
          <w:rFonts w:eastAsia="Calibri" w:cs="Times New Roman"/>
          <w:noProof/>
        </w:rPr>
        <w:fldChar w:fldCharType="begin"/>
      </w:r>
      <w:r w:rsidR="002F2084">
        <w:rPr>
          <w:rFonts w:eastAsia="Calibri" w:cs="Times New Roman"/>
          <w:noProof/>
        </w:rPr>
        <w:instrText xml:space="preserve"> NOTEREF _Ref87259592 \h </w:instrText>
      </w:r>
      <w:r w:rsidR="002F2084">
        <w:rPr>
          <w:rFonts w:eastAsia="Calibri" w:cs="Times New Roman"/>
          <w:noProof/>
        </w:rPr>
      </w:r>
      <w:r w:rsidR="002F2084">
        <w:rPr>
          <w:rFonts w:eastAsia="Calibri" w:cs="Times New Roman"/>
          <w:noProof/>
        </w:rPr>
        <w:fldChar w:fldCharType="separate"/>
      </w:r>
      <w:r w:rsidR="00C66A21">
        <w:rPr>
          <w:rFonts w:eastAsia="Calibri" w:cs="Times New Roman"/>
          <w:noProof/>
        </w:rPr>
        <w:t>128</w:t>
      </w:r>
      <w:r w:rsidR="002F2084">
        <w:rPr>
          <w:rFonts w:eastAsia="Calibri" w:cs="Times New Roman"/>
          <w:noProof/>
        </w:rPr>
        <w:fldChar w:fldCharType="end"/>
      </w:r>
      <w:r w:rsidR="00761D8A">
        <w:rPr>
          <w:rFonts w:eastAsia="Calibri" w:cs="Times New Roman"/>
          <w:noProof/>
        </w:rPr>
        <w:t xml:space="preserve">). </w:t>
      </w:r>
      <w:r w:rsidRPr="3982CBDC">
        <w:rPr>
          <w:rFonts w:eastAsia="Calibri" w:cs="Times New Roman"/>
          <w:noProof/>
        </w:rPr>
        <w:t xml:space="preserve">The support study is the source for data in cases where no particular external source is mentioned. Two models were used to support the </w:t>
      </w:r>
      <w:r w:rsidR="00EB5A41" w:rsidRPr="3982CBDC">
        <w:rPr>
          <w:rFonts w:eastAsia="Calibri" w:cs="Times New Roman"/>
          <w:noProof/>
        </w:rPr>
        <w:t>analysis</w:t>
      </w:r>
      <w:r w:rsidRPr="3982CBDC">
        <w:rPr>
          <w:rFonts w:eastAsia="Calibri" w:cs="Times New Roman"/>
          <w:noProof/>
        </w:rPr>
        <w:t xml:space="preserve">: AnaFgas, which is a detailed bottom-up stock model of the relevant sectors and was used for modelling of demand and emissions, as well as costs of switching to alternatives. The JRC’s GEM-E3 model was used to derive macro-economic effects and other relevant </w:t>
      </w:r>
      <w:r w:rsidR="00EB5A41">
        <w:rPr>
          <w:rFonts w:eastAsia="Calibri" w:cs="Times New Roman"/>
          <w:noProof/>
        </w:rPr>
        <w:t xml:space="preserve">economic </w:t>
      </w:r>
      <w:r w:rsidRPr="3982CBDC">
        <w:rPr>
          <w:rFonts w:eastAsia="Calibri" w:cs="Times New Roman"/>
          <w:noProof/>
        </w:rPr>
        <w:t>parameters.</w:t>
      </w:r>
      <w:r w:rsidR="00EB5A41" w:rsidRPr="00EB5A41">
        <w:rPr>
          <w:rFonts w:eastAsia="Calibri" w:cs="Times New Roman"/>
          <w:noProof/>
        </w:rPr>
        <w:t xml:space="preserve"> </w:t>
      </w:r>
      <w:r w:rsidR="00EB5A41" w:rsidRPr="3982CBDC">
        <w:rPr>
          <w:rFonts w:eastAsia="Calibri" w:cs="Times New Roman"/>
          <w:noProof/>
        </w:rPr>
        <w:t>More information is provided in the Annex on methodology below</w:t>
      </w:r>
      <w:r w:rsidR="00EB5A41">
        <w:rPr>
          <w:rFonts w:eastAsia="Calibri" w:cs="Times New Roman"/>
          <w:noProof/>
        </w:rPr>
        <w:t xml:space="preserve"> (Annex </w:t>
      </w:r>
      <w:r w:rsidR="00C66A21">
        <w:rPr>
          <w:rFonts w:eastAsia="Calibri" w:cs="Times New Roman"/>
          <w:noProof/>
        </w:rPr>
        <w:t>A4</w:t>
      </w:r>
      <w:r w:rsidR="00EB5A41">
        <w:rPr>
          <w:rFonts w:eastAsia="Calibri" w:cs="Times New Roman"/>
          <w:noProof/>
        </w:rPr>
        <w:t>)</w:t>
      </w:r>
      <w:r w:rsidR="00EB5A41" w:rsidRPr="3982CBDC">
        <w:rPr>
          <w:rFonts w:eastAsia="Calibri" w:cs="Times New Roman"/>
          <w:noProof/>
        </w:rPr>
        <w:t>.</w:t>
      </w:r>
    </w:p>
    <w:p w14:paraId="6B4EC163" w14:textId="77777777" w:rsidR="00231760" w:rsidRPr="00231760" w:rsidRDefault="00231760" w:rsidP="00231760">
      <w:pPr>
        <w:jc w:val="left"/>
        <w:rPr>
          <w:rFonts w:eastAsia="Times New Roman" w:cs="Times New Roman"/>
          <w:noProof/>
          <w:szCs w:val="20"/>
        </w:rPr>
      </w:pPr>
      <w:r w:rsidRPr="00231760">
        <w:rPr>
          <w:rFonts w:ascii="Calibri" w:eastAsia="Calibri" w:hAnsi="Calibri" w:cs="Times New Roman"/>
          <w:noProof/>
          <w:sz w:val="22"/>
        </w:rPr>
        <w:br w:type="page"/>
      </w:r>
    </w:p>
    <w:p w14:paraId="475DF112" w14:textId="77777777" w:rsidR="00231760" w:rsidRPr="000B1AB2" w:rsidRDefault="3982CBDC" w:rsidP="0017603A">
      <w:pPr>
        <w:pStyle w:val="AppendixHeadingLevel1"/>
        <w:numPr>
          <w:ilvl w:val="0"/>
          <w:numId w:val="106"/>
        </w:numPr>
        <w:spacing w:after="240"/>
        <w:rPr>
          <w:noProof/>
        </w:rPr>
      </w:pPr>
      <w:bookmarkStart w:id="357" w:name="_Ref87014527"/>
      <w:bookmarkStart w:id="358" w:name="_Toc88571938"/>
      <w:bookmarkStart w:id="359" w:name="_Toc94629531"/>
      <w:bookmarkStart w:id="360" w:name="_Toc98857775"/>
      <w:bookmarkStart w:id="361" w:name="_Toc71559437"/>
      <w:bookmarkStart w:id="362" w:name="_Toc71561874"/>
      <w:r w:rsidRPr="000B1AB2">
        <w:rPr>
          <w:noProof/>
        </w:rPr>
        <w:t>Synopsis report of stakeholder consultations</w:t>
      </w:r>
      <w:bookmarkEnd w:id="357"/>
      <w:bookmarkEnd w:id="358"/>
      <w:bookmarkEnd w:id="359"/>
      <w:bookmarkEnd w:id="360"/>
      <w:r w:rsidRPr="000B1AB2">
        <w:rPr>
          <w:noProof/>
        </w:rPr>
        <w:t xml:space="preserve">  </w:t>
      </w:r>
      <w:bookmarkStart w:id="363" w:name="_Toc66731762"/>
      <w:bookmarkStart w:id="364" w:name="_Toc66779568"/>
      <w:bookmarkStart w:id="365" w:name="_Toc66731763"/>
      <w:bookmarkStart w:id="366" w:name="_Toc66779569"/>
      <w:bookmarkStart w:id="367" w:name="_Toc66731764"/>
      <w:bookmarkStart w:id="368" w:name="_Toc66779570"/>
      <w:bookmarkStart w:id="369" w:name="_Toc66731765"/>
      <w:bookmarkStart w:id="370" w:name="_Toc66779571"/>
      <w:bookmarkStart w:id="371" w:name="_Toc66731766"/>
      <w:bookmarkStart w:id="372" w:name="_Toc66779572"/>
      <w:bookmarkStart w:id="373" w:name="_Toc66731767"/>
      <w:bookmarkStart w:id="374" w:name="_Toc66779573"/>
      <w:bookmarkStart w:id="375" w:name="_Toc66731768"/>
      <w:bookmarkStart w:id="376" w:name="_Toc66779574"/>
      <w:bookmarkStart w:id="377" w:name="_Toc66731769"/>
      <w:bookmarkStart w:id="378" w:name="_Toc66779575"/>
      <w:bookmarkStart w:id="379" w:name="_Toc66731770"/>
      <w:bookmarkStart w:id="380" w:name="_Toc66779576"/>
      <w:bookmarkStart w:id="381" w:name="_Toc66731787"/>
      <w:bookmarkStart w:id="382" w:name="_Toc66779593"/>
      <w:bookmarkStart w:id="383" w:name="_Toc66731788"/>
      <w:bookmarkStart w:id="384" w:name="_Toc66779594"/>
      <w:bookmarkStart w:id="385" w:name="_Toc66731789"/>
      <w:bookmarkStart w:id="386" w:name="_Toc66779595"/>
      <w:bookmarkStart w:id="387" w:name="_Toc66731790"/>
      <w:bookmarkStart w:id="388" w:name="_Toc66779596"/>
      <w:bookmarkStart w:id="389" w:name="_Toc66731791"/>
      <w:bookmarkStart w:id="390" w:name="_Toc66779597"/>
      <w:bookmarkStart w:id="391" w:name="_Toc66731792"/>
      <w:bookmarkStart w:id="392" w:name="_Toc66779598"/>
      <w:bookmarkStart w:id="393" w:name="_Toc66731793"/>
      <w:bookmarkStart w:id="394" w:name="_Toc66779599"/>
      <w:bookmarkStart w:id="395" w:name="_Toc66731794"/>
      <w:bookmarkStart w:id="396" w:name="_Toc66779600"/>
      <w:bookmarkStart w:id="397" w:name="_Toc66731795"/>
      <w:bookmarkStart w:id="398" w:name="_Toc66779601"/>
      <w:bookmarkStart w:id="399" w:name="_Toc66731796"/>
      <w:bookmarkStart w:id="400" w:name="_Toc66779602"/>
      <w:bookmarkStart w:id="401" w:name="_Toc66731797"/>
      <w:bookmarkStart w:id="402" w:name="_Toc66779603"/>
      <w:bookmarkStart w:id="403" w:name="_Toc66731798"/>
      <w:bookmarkStart w:id="404" w:name="_Toc66779604"/>
      <w:bookmarkStart w:id="405" w:name="_Toc66731799"/>
      <w:bookmarkStart w:id="406" w:name="_Toc66779605"/>
      <w:bookmarkStart w:id="407" w:name="_Toc66731800"/>
      <w:bookmarkStart w:id="408" w:name="_Toc66779606"/>
      <w:bookmarkStart w:id="409" w:name="_Toc66731801"/>
      <w:bookmarkStart w:id="410" w:name="_Toc66779607"/>
      <w:bookmarkStart w:id="411" w:name="_Toc66731802"/>
      <w:bookmarkStart w:id="412" w:name="_Toc66779608"/>
      <w:bookmarkStart w:id="413" w:name="_Toc66731803"/>
      <w:bookmarkStart w:id="414" w:name="_Toc66779609"/>
      <w:bookmarkStart w:id="415" w:name="_Toc66731804"/>
      <w:bookmarkStart w:id="416" w:name="_Toc66779610"/>
      <w:bookmarkStart w:id="417" w:name="_Toc66731805"/>
      <w:bookmarkStart w:id="418" w:name="_Toc66779611"/>
      <w:bookmarkStart w:id="419" w:name="_Toc66731806"/>
      <w:bookmarkStart w:id="420" w:name="_Toc66779612"/>
      <w:bookmarkStart w:id="421" w:name="_Toc66731807"/>
      <w:bookmarkStart w:id="422" w:name="_Toc66779613"/>
      <w:bookmarkStart w:id="423" w:name="_Toc66731808"/>
      <w:bookmarkStart w:id="424" w:name="_Toc66779614"/>
      <w:bookmarkStart w:id="425" w:name="_Toc66731809"/>
      <w:bookmarkStart w:id="426" w:name="_Toc66779615"/>
      <w:bookmarkStart w:id="427" w:name="_Toc66731810"/>
      <w:bookmarkStart w:id="428" w:name="_Toc66779616"/>
      <w:bookmarkStart w:id="429" w:name="_Toc66731811"/>
      <w:bookmarkStart w:id="430" w:name="_Toc66779617"/>
      <w:bookmarkStart w:id="431" w:name="_Toc66731812"/>
      <w:bookmarkStart w:id="432" w:name="_Toc66779618"/>
      <w:bookmarkStart w:id="433" w:name="_Toc66731813"/>
      <w:bookmarkStart w:id="434" w:name="_Toc66779619"/>
      <w:bookmarkStart w:id="435" w:name="_Toc66731854"/>
      <w:bookmarkStart w:id="436" w:name="_Toc66779660"/>
      <w:bookmarkStart w:id="437" w:name="_Toc66731855"/>
      <w:bookmarkStart w:id="438" w:name="_Toc66779661"/>
      <w:bookmarkStart w:id="439" w:name="_Toc66731856"/>
      <w:bookmarkStart w:id="440" w:name="_Toc66779662"/>
      <w:bookmarkStart w:id="441" w:name="_Toc66731857"/>
      <w:bookmarkStart w:id="442" w:name="_Toc66779663"/>
      <w:bookmarkStart w:id="443" w:name="_Toc66731858"/>
      <w:bookmarkStart w:id="444" w:name="_Toc66779664"/>
      <w:bookmarkStart w:id="445" w:name="_Toc66731859"/>
      <w:bookmarkStart w:id="446" w:name="_Toc66779665"/>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5406A5B2" w14:textId="77777777" w:rsidR="000B1AB2" w:rsidRPr="000B1AB2" w:rsidRDefault="000B1AB2" w:rsidP="0017603A">
      <w:pPr>
        <w:pStyle w:val="AppendixHeadingLevel2"/>
        <w:numPr>
          <w:ilvl w:val="1"/>
          <w:numId w:val="106"/>
        </w:numPr>
        <w:spacing w:after="240"/>
        <w:rPr>
          <w:noProof/>
        </w:rPr>
      </w:pPr>
      <w:bookmarkStart w:id="447" w:name="_Toc85655099"/>
      <w:bookmarkStart w:id="448" w:name="_Toc71559438"/>
      <w:bookmarkStart w:id="449" w:name="_Toc71561875"/>
      <w:r w:rsidRPr="000B1AB2">
        <w:rPr>
          <w:noProof/>
        </w:rPr>
        <w:t>Introduction</w:t>
      </w:r>
      <w:bookmarkEnd w:id="447"/>
    </w:p>
    <w:p w14:paraId="1E0F8B96" w14:textId="496E1D49" w:rsidR="000B1AB2" w:rsidRPr="000B1AB2" w:rsidRDefault="000B1AB2" w:rsidP="00BD7F0E">
      <w:pPr>
        <w:spacing w:after="160"/>
        <w:rPr>
          <w:rFonts w:eastAsia="Calibri" w:cs="Times New Roman"/>
          <w:noProof/>
          <w:szCs w:val="24"/>
        </w:rPr>
      </w:pPr>
      <w:r w:rsidRPr="000B1AB2">
        <w:rPr>
          <w:rFonts w:eastAsia="Calibri" w:cs="Times New Roman"/>
          <w:noProof/>
          <w:szCs w:val="24"/>
        </w:rPr>
        <w:t xml:space="preserve">This report provides a synopsis of the stakeholder consultation activities carried out for the evaluation of the Regulation as well as the development of policy options and their impacts for its review. </w:t>
      </w:r>
    </w:p>
    <w:p w14:paraId="556ABEE0" w14:textId="77777777" w:rsidR="000B1AB2" w:rsidRPr="000B1AB2" w:rsidRDefault="000B1AB2" w:rsidP="0017603A">
      <w:pPr>
        <w:pStyle w:val="AppendixHeadingLevel2"/>
        <w:numPr>
          <w:ilvl w:val="1"/>
          <w:numId w:val="107"/>
        </w:numPr>
        <w:spacing w:after="240"/>
        <w:rPr>
          <w:rFonts w:eastAsia="Calibri"/>
          <w:noProof/>
        </w:rPr>
      </w:pPr>
      <w:bookmarkStart w:id="450" w:name="_Toc85655100"/>
      <w:r w:rsidRPr="000B1AB2">
        <w:rPr>
          <w:rFonts w:eastAsia="Calibri"/>
          <w:noProof/>
        </w:rPr>
        <w:t>Objectives and stakeholder groups covered</w:t>
      </w:r>
      <w:bookmarkEnd w:id="450"/>
      <w:r w:rsidRPr="000B1AB2">
        <w:rPr>
          <w:rFonts w:eastAsia="Calibri"/>
          <w:noProof/>
        </w:rPr>
        <w:t xml:space="preserve"> </w:t>
      </w:r>
    </w:p>
    <w:p w14:paraId="7B2978DA" w14:textId="77777777" w:rsidR="000B1AB2" w:rsidRPr="000B1AB2" w:rsidRDefault="000B1AB2" w:rsidP="00BD7F0E">
      <w:pPr>
        <w:spacing w:after="120"/>
        <w:rPr>
          <w:rFonts w:eastAsia="Calibri" w:cs="Times New Roman"/>
          <w:noProof/>
          <w:szCs w:val="24"/>
        </w:rPr>
      </w:pPr>
      <w:r w:rsidRPr="000B1AB2">
        <w:rPr>
          <w:rFonts w:eastAsia="Calibri" w:cs="Times New Roman"/>
          <w:noProof/>
          <w:szCs w:val="24"/>
        </w:rPr>
        <w:t>The key objectives of the consultation process were:</w:t>
      </w:r>
    </w:p>
    <w:p w14:paraId="010E4F77" w14:textId="77777777" w:rsidR="000B1AB2" w:rsidRPr="000B1AB2" w:rsidRDefault="000B1AB2" w:rsidP="0017603A">
      <w:pPr>
        <w:numPr>
          <w:ilvl w:val="0"/>
          <w:numId w:val="84"/>
        </w:numPr>
        <w:spacing w:after="0"/>
        <w:contextualSpacing/>
        <w:rPr>
          <w:rFonts w:eastAsia="Calibri" w:cs="Times New Roman"/>
          <w:noProof/>
          <w:szCs w:val="24"/>
        </w:rPr>
      </w:pPr>
      <w:r w:rsidRPr="000B1AB2">
        <w:rPr>
          <w:rFonts w:eastAsia="Calibri" w:cs="Times New Roman"/>
          <w:noProof/>
          <w:szCs w:val="24"/>
        </w:rPr>
        <w:t>To ensure that all relevant stakeholders were identified and provided with an opportunity to engage with the consultation process;</w:t>
      </w:r>
    </w:p>
    <w:p w14:paraId="1D0B3CE8" w14:textId="77777777" w:rsidR="000B1AB2" w:rsidRPr="000B1AB2" w:rsidRDefault="000B1AB2" w:rsidP="0017603A">
      <w:pPr>
        <w:numPr>
          <w:ilvl w:val="0"/>
          <w:numId w:val="84"/>
        </w:numPr>
        <w:spacing w:after="0"/>
        <w:contextualSpacing/>
        <w:rPr>
          <w:rFonts w:eastAsia="Calibri" w:cs="Times New Roman"/>
          <w:noProof/>
          <w:szCs w:val="24"/>
        </w:rPr>
      </w:pPr>
      <w:r w:rsidRPr="000B1AB2">
        <w:rPr>
          <w:rFonts w:eastAsia="Calibri" w:cs="Times New Roman"/>
          <w:noProof/>
          <w:szCs w:val="24"/>
        </w:rPr>
        <w:t>To provide the opportunity for stakeholders to inform the evaluation, in particular, offering an opportunity to identify elements of the Regulation which could be improved;</w:t>
      </w:r>
    </w:p>
    <w:p w14:paraId="532C5E5B" w14:textId="77777777" w:rsidR="000B1AB2" w:rsidRPr="000B1AB2" w:rsidRDefault="000B1AB2" w:rsidP="0017603A">
      <w:pPr>
        <w:numPr>
          <w:ilvl w:val="0"/>
          <w:numId w:val="84"/>
        </w:numPr>
        <w:spacing w:after="120"/>
        <w:ind w:left="714" w:hanging="357"/>
        <w:rPr>
          <w:rFonts w:eastAsia="Calibri" w:cs="Times New Roman"/>
          <w:noProof/>
          <w:szCs w:val="24"/>
        </w:rPr>
      </w:pPr>
      <w:r w:rsidRPr="000B1AB2">
        <w:rPr>
          <w:rFonts w:eastAsia="Calibri" w:cs="Times New Roman"/>
          <w:noProof/>
          <w:szCs w:val="24"/>
        </w:rPr>
        <w:t>To gather stakeholder opinion on potential policy options, including where possible collecting data and qualitative evidence regarding their impacts.</w:t>
      </w:r>
    </w:p>
    <w:p w14:paraId="682CB8BD" w14:textId="77777777" w:rsidR="000B1AB2" w:rsidRPr="000B1AB2" w:rsidRDefault="000B1AB2" w:rsidP="00BD7F0E">
      <w:pPr>
        <w:spacing w:after="160"/>
        <w:rPr>
          <w:rFonts w:eastAsia="Calibri" w:cs="Times New Roman"/>
          <w:noProof/>
          <w:szCs w:val="24"/>
        </w:rPr>
      </w:pPr>
      <w:r w:rsidRPr="000B1AB2">
        <w:rPr>
          <w:rFonts w:eastAsia="Calibri" w:cs="Times New Roman"/>
          <w:noProof/>
          <w:szCs w:val="24"/>
        </w:rPr>
        <w:t>The consultation strategy</w:t>
      </w:r>
      <w:r w:rsidRPr="000B1AB2">
        <w:rPr>
          <w:rFonts w:eastAsia="Calibri" w:cs="Times New Roman"/>
          <w:noProof/>
          <w:szCs w:val="24"/>
          <w:vertAlign w:val="superscript"/>
        </w:rPr>
        <w:footnoteReference w:id="116"/>
      </w:r>
      <w:r w:rsidRPr="000B1AB2">
        <w:rPr>
          <w:rFonts w:eastAsia="Calibri" w:cs="Times New Roman"/>
          <w:noProof/>
          <w:szCs w:val="24"/>
        </w:rPr>
        <w:t xml:space="preserve"> developed contained the following main consultation activities:</w:t>
      </w:r>
    </w:p>
    <w:p w14:paraId="16B80D91" w14:textId="77777777" w:rsidR="000B1AB2" w:rsidRPr="000B1AB2" w:rsidRDefault="000B1AB2" w:rsidP="0017603A">
      <w:pPr>
        <w:numPr>
          <w:ilvl w:val="0"/>
          <w:numId w:val="83"/>
        </w:numPr>
        <w:spacing w:after="160"/>
        <w:contextualSpacing/>
        <w:rPr>
          <w:rFonts w:eastAsia="Calibri" w:cs="Times New Roman"/>
          <w:noProof/>
          <w:szCs w:val="24"/>
        </w:rPr>
      </w:pPr>
      <w:r w:rsidRPr="000B1AB2">
        <w:rPr>
          <w:rFonts w:eastAsia="Calibri" w:cs="Times New Roman"/>
          <w:noProof/>
          <w:szCs w:val="24"/>
        </w:rPr>
        <w:t>Online public consultation</w:t>
      </w:r>
      <w:r w:rsidRPr="000B1AB2">
        <w:rPr>
          <w:rFonts w:eastAsia="Calibri" w:cs="Times New Roman"/>
          <w:noProof/>
          <w:spacing w:val="-2"/>
          <w:szCs w:val="24"/>
        </w:rPr>
        <w:t xml:space="preserve"> </w:t>
      </w:r>
      <w:r w:rsidRPr="000B1AB2">
        <w:rPr>
          <w:rFonts w:eastAsia="Calibri" w:cs="Times New Roman"/>
          <w:noProof/>
          <w:szCs w:val="24"/>
        </w:rPr>
        <w:t>(OPC);</w:t>
      </w:r>
    </w:p>
    <w:p w14:paraId="2DED4486" w14:textId="77777777" w:rsidR="000B1AB2" w:rsidRPr="000B1AB2" w:rsidRDefault="000B1AB2" w:rsidP="0017603A">
      <w:pPr>
        <w:numPr>
          <w:ilvl w:val="0"/>
          <w:numId w:val="83"/>
        </w:numPr>
        <w:spacing w:after="160"/>
        <w:contextualSpacing/>
        <w:rPr>
          <w:rFonts w:eastAsia="Calibri" w:cs="Times New Roman"/>
          <w:noProof/>
          <w:szCs w:val="24"/>
        </w:rPr>
      </w:pPr>
      <w:r w:rsidRPr="000B1AB2">
        <w:rPr>
          <w:rFonts w:eastAsia="Calibri" w:cs="Times New Roman"/>
          <w:noProof/>
          <w:szCs w:val="24"/>
        </w:rPr>
        <w:t>Targeted stakeholder engagement through</w:t>
      </w:r>
      <w:r w:rsidRPr="000B1AB2">
        <w:rPr>
          <w:rFonts w:eastAsia="Calibri" w:cs="Times New Roman"/>
          <w:noProof/>
          <w:spacing w:val="-6"/>
          <w:szCs w:val="24"/>
        </w:rPr>
        <w:t xml:space="preserve"> </w:t>
      </w:r>
      <w:r w:rsidRPr="000B1AB2">
        <w:rPr>
          <w:rFonts w:eastAsia="Calibri" w:cs="Times New Roman"/>
          <w:noProof/>
          <w:szCs w:val="24"/>
        </w:rPr>
        <w:t>interviews;</w:t>
      </w:r>
    </w:p>
    <w:p w14:paraId="026AA226" w14:textId="77777777" w:rsidR="000B1AB2" w:rsidRPr="000B1AB2" w:rsidRDefault="000B1AB2" w:rsidP="0017603A">
      <w:pPr>
        <w:numPr>
          <w:ilvl w:val="0"/>
          <w:numId w:val="83"/>
        </w:numPr>
        <w:spacing w:after="120"/>
        <w:ind w:left="714" w:hanging="357"/>
        <w:rPr>
          <w:rFonts w:eastAsia="Calibri" w:cs="Times New Roman"/>
          <w:noProof/>
          <w:szCs w:val="24"/>
        </w:rPr>
      </w:pPr>
      <w:r w:rsidRPr="000B1AB2">
        <w:rPr>
          <w:rFonts w:eastAsia="Calibri" w:cs="Times New Roman"/>
          <w:noProof/>
          <w:szCs w:val="24"/>
        </w:rPr>
        <w:t>Targeted stakeholder engagement through a stakeholder workshop.</w:t>
      </w:r>
    </w:p>
    <w:p w14:paraId="4FDB3AA2" w14:textId="3F4ABDD8" w:rsidR="000B1AB2" w:rsidRPr="000B1AB2" w:rsidRDefault="000B1AB2" w:rsidP="00BD7F0E">
      <w:pPr>
        <w:spacing w:after="160"/>
        <w:rPr>
          <w:rFonts w:eastAsia="Calibri" w:cs="Times New Roman"/>
          <w:noProof/>
        </w:rPr>
      </w:pPr>
      <w:r w:rsidRPr="1EE7FCAE">
        <w:rPr>
          <w:rFonts w:eastAsia="Calibri" w:cs="Times New Roman"/>
          <w:noProof/>
        </w:rPr>
        <w:t xml:space="preserve">The consultation activity is complemented by consultations on the Roadmap and broader stakeholder engagement (including in the Consultation Forum set up by the Regulation) </w:t>
      </w:r>
      <w:r w:rsidR="008B6FEE">
        <w:rPr>
          <w:rFonts w:eastAsia="Calibri" w:cs="Times New Roman"/>
          <w:noProof/>
        </w:rPr>
        <w:t>which</w:t>
      </w:r>
      <w:r w:rsidR="008B6FEE" w:rsidRPr="1EE7FCAE">
        <w:rPr>
          <w:rFonts w:eastAsia="Calibri" w:cs="Times New Roman"/>
          <w:noProof/>
        </w:rPr>
        <w:t xml:space="preserve"> </w:t>
      </w:r>
      <w:r w:rsidRPr="1EE7FCAE">
        <w:rPr>
          <w:rFonts w:eastAsia="Calibri" w:cs="Times New Roman"/>
          <w:noProof/>
        </w:rPr>
        <w:t>are also directly relevant for this review. Notably</w:t>
      </w:r>
      <w:r w:rsidR="00403E52">
        <w:rPr>
          <w:rFonts w:eastAsia="Calibri" w:cs="Times New Roman"/>
          <w:noProof/>
        </w:rPr>
        <w:t>,</w:t>
      </w:r>
      <w:r w:rsidRPr="1EE7FCAE">
        <w:rPr>
          <w:rFonts w:eastAsia="Calibri" w:cs="Times New Roman"/>
          <w:noProof/>
        </w:rPr>
        <w:t xml:space="preserve"> extensive consultations were </w:t>
      </w:r>
      <w:r w:rsidR="1EE7FCAE" w:rsidRPr="1EE7FCAE">
        <w:rPr>
          <w:rFonts w:eastAsia="Calibri" w:cs="Times New Roman"/>
          <w:noProof/>
        </w:rPr>
        <w:t>mad</w:t>
      </w:r>
      <w:r w:rsidR="008B6FEE">
        <w:rPr>
          <w:rFonts w:eastAsia="Calibri" w:cs="Times New Roman"/>
          <w:noProof/>
        </w:rPr>
        <w:t>e</w:t>
      </w:r>
      <w:r w:rsidRPr="1EE7FCAE">
        <w:rPr>
          <w:rFonts w:eastAsia="Calibri" w:cs="Times New Roman"/>
          <w:noProof/>
        </w:rPr>
        <w:t xml:space="preserve"> as preparation to the following Commission reports on: </w:t>
      </w:r>
    </w:p>
    <w:p w14:paraId="286546DA" w14:textId="77777777" w:rsidR="000B1AB2" w:rsidRPr="000B1AB2" w:rsidRDefault="000B1AB2" w:rsidP="0017603A">
      <w:pPr>
        <w:numPr>
          <w:ilvl w:val="0"/>
          <w:numId w:val="86"/>
        </w:numPr>
        <w:spacing w:after="160"/>
        <w:contextualSpacing/>
        <w:rPr>
          <w:rFonts w:eastAsia="Calibri" w:cs="Times New Roman"/>
          <w:iCs/>
          <w:noProof/>
          <w:szCs w:val="24"/>
        </w:rPr>
      </w:pPr>
      <w:r w:rsidRPr="000B1AB2">
        <w:rPr>
          <w:rFonts w:eastAsia="Calibri" w:cs="Times New Roman"/>
          <w:iCs/>
          <w:noProof/>
          <w:szCs w:val="24"/>
        </w:rPr>
        <w:t>the availability of hydrofluorocarbons on the Union market (2020)</w:t>
      </w:r>
      <w:r w:rsidRPr="000B1AB2">
        <w:rPr>
          <w:rFonts w:eastAsia="Calibri" w:cs="Times New Roman"/>
          <w:iCs/>
          <w:noProof/>
          <w:szCs w:val="24"/>
          <w:vertAlign w:val="superscript"/>
        </w:rPr>
        <w:footnoteReference w:id="117"/>
      </w:r>
      <w:r w:rsidRPr="000B1AB2">
        <w:rPr>
          <w:rFonts w:eastAsia="Calibri" w:cs="Times New Roman"/>
          <w:iCs/>
          <w:noProof/>
          <w:szCs w:val="24"/>
        </w:rPr>
        <w:t>;</w:t>
      </w:r>
    </w:p>
    <w:p w14:paraId="505BD630" w14:textId="77777777" w:rsidR="000B1AB2" w:rsidRPr="000B1AB2" w:rsidRDefault="000B1AB2" w:rsidP="0017603A">
      <w:pPr>
        <w:numPr>
          <w:ilvl w:val="0"/>
          <w:numId w:val="86"/>
        </w:numPr>
        <w:spacing w:after="160"/>
        <w:contextualSpacing/>
        <w:rPr>
          <w:rFonts w:eastAsia="Calibri" w:cs="Times New Roman"/>
          <w:iCs/>
          <w:noProof/>
          <w:szCs w:val="24"/>
        </w:rPr>
      </w:pPr>
      <w:r w:rsidRPr="000B1AB2">
        <w:rPr>
          <w:rFonts w:eastAsia="Calibri" w:cs="Times New Roman"/>
          <w:iCs/>
          <w:noProof/>
          <w:szCs w:val="24"/>
        </w:rPr>
        <w:t>the availability of refrigerants for new split air conditioning systems that can replace fluorinated greenhouse gases or result in a lower climate impact (2020)</w:t>
      </w:r>
      <w:r w:rsidRPr="000B1AB2">
        <w:rPr>
          <w:rFonts w:eastAsia="Calibri" w:cs="Times New Roman"/>
          <w:iCs/>
          <w:noProof/>
          <w:szCs w:val="24"/>
          <w:vertAlign w:val="superscript"/>
        </w:rPr>
        <w:footnoteReference w:id="118"/>
      </w:r>
      <w:r w:rsidRPr="000B1AB2">
        <w:rPr>
          <w:rFonts w:eastAsia="Calibri" w:cs="Times New Roman"/>
          <w:iCs/>
          <w:noProof/>
          <w:szCs w:val="24"/>
        </w:rPr>
        <w:t>;</w:t>
      </w:r>
    </w:p>
    <w:p w14:paraId="6E34C3BB" w14:textId="77777777" w:rsidR="000B1AB2" w:rsidRPr="000B1AB2" w:rsidRDefault="000B1AB2" w:rsidP="0017603A">
      <w:pPr>
        <w:numPr>
          <w:ilvl w:val="0"/>
          <w:numId w:val="86"/>
        </w:numPr>
        <w:spacing w:after="160"/>
        <w:contextualSpacing/>
        <w:rPr>
          <w:rFonts w:eastAsia="Calibri" w:cs="Times New Roman"/>
          <w:iCs/>
          <w:noProof/>
          <w:szCs w:val="24"/>
        </w:rPr>
      </w:pPr>
      <w:r w:rsidRPr="000B1AB2">
        <w:rPr>
          <w:rFonts w:eastAsia="Calibri" w:cs="Times New Roman"/>
          <w:iCs/>
          <w:noProof/>
          <w:szCs w:val="24"/>
        </w:rPr>
        <w:t>the availability of alternatives to fluorinated greenhouse gases in switchgear and related equipment, including medium-voltage secondary switchgear (2020)</w:t>
      </w:r>
      <w:r w:rsidRPr="000B1AB2">
        <w:rPr>
          <w:rFonts w:eastAsia="Calibri" w:cs="Times New Roman"/>
          <w:iCs/>
          <w:noProof/>
          <w:szCs w:val="24"/>
          <w:vertAlign w:val="superscript"/>
        </w:rPr>
        <w:footnoteReference w:id="119"/>
      </w:r>
      <w:r w:rsidRPr="000B1AB2">
        <w:rPr>
          <w:rFonts w:eastAsia="Calibri" w:cs="Times New Roman"/>
          <w:iCs/>
          <w:noProof/>
          <w:szCs w:val="24"/>
        </w:rPr>
        <w:t>;</w:t>
      </w:r>
    </w:p>
    <w:p w14:paraId="7945C408" w14:textId="77777777" w:rsidR="000B1AB2" w:rsidRPr="000B1AB2" w:rsidRDefault="000B1AB2" w:rsidP="0017603A">
      <w:pPr>
        <w:numPr>
          <w:ilvl w:val="0"/>
          <w:numId w:val="86"/>
        </w:numPr>
        <w:spacing w:after="160"/>
        <w:contextualSpacing/>
        <w:rPr>
          <w:rFonts w:eastAsia="Calibri" w:cs="Times New Roman"/>
          <w:iCs/>
          <w:noProof/>
          <w:szCs w:val="24"/>
        </w:rPr>
      </w:pPr>
      <w:r w:rsidRPr="000B1AB2">
        <w:rPr>
          <w:rFonts w:eastAsia="Calibri" w:cs="Times New Roman"/>
          <w:iCs/>
          <w:noProof/>
          <w:szCs w:val="24"/>
        </w:rPr>
        <w:t>the 2022 requirement to avoid highly global warming hydrofluorocarbons in some commercial refrigeration systems (2017)</w:t>
      </w:r>
      <w:r w:rsidRPr="000B1AB2">
        <w:rPr>
          <w:rFonts w:eastAsia="Calibri" w:cs="Times New Roman"/>
          <w:iCs/>
          <w:noProof/>
          <w:szCs w:val="24"/>
          <w:vertAlign w:val="superscript"/>
        </w:rPr>
        <w:footnoteReference w:id="120"/>
      </w:r>
      <w:r w:rsidRPr="000B1AB2">
        <w:rPr>
          <w:rFonts w:eastAsia="Calibri" w:cs="Times New Roman"/>
          <w:iCs/>
          <w:noProof/>
          <w:szCs w:val="24"/>
        </w:rPr>
        <w:t>;</w:t>
      </w:r>
    </w:p>
    <w:p w14:paraId="047E64B7" w14:textId="77777777" w:rsidR="000B1AB2" w:rsidRPr="000B1AB2" w:rsidRDefault="000B1AB2" w:rsidP="0017603A">
      <w:pPr>
        <w:numPr>
          <w:ilvl w:val="0"/>
          <w:numId w:val="86"/>
        </w:numPr>
        <w:spacing w:after="160"/>
        <w:contextualSpacing/>
        <w:rPr>
          <w:rFonts w:eastAsia="Calibri" w:cs="Times New Roman"/>
          <w:iCs/>
          <w:noProof/>
          <w:szCs w:val="24"/>
        </w:rPr>
      </w:pPr>
      <w:r w:rsidRPr="000B1AB2">
        <w:rPr>
          <w:rFonts w:eastAsia="Calibri" w:cs="Times New Roman"/>
          <w:iCs/>
          <w:noProof/>
          <w:szCs w:val="24"/>
        </w:rPr>
        <w:t>the quota allocation method in accordance with Regulation (EU) No 517/2014 (2017)</w:t>
      </w:r>
      <w:r w:rsidRPr="000B1AB2">
        <w:rPr>
          <w:rFonts w:eastAsia="Calibri" w:cs="Times New Roman"/>
          <w:iCs/>
          <w:noProof/>
          <w:szCs w:val="24"/>
          <w:vertAlign w:val="superscript"/>
        </w:rPr>
        <w:footnoteReference w:id="121"/>
      </w:r>
      <w:r w:rsidRPr="000B1AB2">
        <w:rPr>
          <w:rFonts w:eastAsia="Calibri" w:cs="Times New Roman"/>
          <w:iCs/>
          <w:noProof/>
          <w:szCs w:val="24"/>
        </w:rPr>
        <w:t>;</w:t>
      </w:r>
    </w:p>
    <w:p w14:paraId="7FEA730E" w14:textId="77777777" w:rsidR="000B1AB2" w:rsidRPr="000B1AB2" w:rsidRDefault="000B1AB2" w:rsidP="0017603A">
      <w:pPr>
        <w:numPr>
          <w:ilvl w:val="0"/>
          <w:numId w:val="86"/>
        </w:numPr>
        <w:spacing w:after="160" w:line="240" w:lineRule="auto"/>
        <w:contextualSpacing/>
        <w:rPr>
          <w:rFonts w:eastAsia="Calibri" w:cs="Times New Roman"/>
          <w:iCs/>
          <w:noProof/>
          <w:szCs w:val="24"/>
        </w:rPr>
      </w:pPr>
      <w:r w:rsidRPr="000B1AB2">
        <w:rPr>
          <w:rFonts w:eastAsia="Calibri" w:cs="Times New Roman"/>
          <w:iCs/>
          <w:noProof/>
          <w:szCs w:val="24"/>
        </w:rPr>
        <w:t>barriers posed by codes, standards and legislation to using climate-friendly technologies</w:t>
      </w:r>
      <w:r w:rsidRPr="000B1AB2">
        <w:rPr>
          <w:rFonts w:eastAsia="Calibri" w:cs="Times New Roman"/>
          <w:iCs/>
          <w:noProof/>
          <w:szCs w:val="24"/>
          <w:vertAlign w:val="superscript"/>
        </w:rPr>
        <w:footnoteReference w:id="122"/>
      </w:r>
      <w:r w:rsidRPr="000B1AB2">
        <w:rPr>
          <w:rFonts w:eastAsia="Calibri" w:cs="Times New Roman"/>
          <w:iCs/>
          <w:noProof/>
          <w:szCs w:val="24"/>
        </w:rPr>
        <w:t>;</w:t>
      </w:r>
    </w:p>
    <w:p w14:paraId="604CD13A" w14:textId="77777777" w:rsidR="000B1AB2" w:rsidRPr="000B1AB2" w:rsidRDefault="000B1AB2" w:rsidP="0017603A">
      <w:pPr>
        <w:numPr>
          <w:ilvl w:val="0"/>
          <w:numId w:val="85"/>
        </w:numPr>
        <w:spacing w:after="120" w:line="240" w:lineRule="auto"/>
        <w:ind w:left="714" w:hanging="357"/>
        <w:rPr>
          <w:rFonts w:eastAsia="Calibri" w:cs="Times New Roman"/>
          <w:iCs/>
          <w:noProof/>
          <w:szCs w:val="24"/>
        </w:rPr>
      </w:pPr>
      <w:r w:rsidRPr="000B1AB2">
        <w:rPr>
          <w:rFonts w:eastAsia="Calibri" w:cs="Times New Roman"/>
          <w:iCs/>
          <w:noProof/>
          <w:szCs w:val="24"/>
        </w:rPr>
        <w:t>the availability of training for service personnel regarding the safe handling of climate-friendly technologies</w:t>
      </w:r>
      <w:r w:rsidRPr="000B1AB2">
        <w:rPr>
          <w:rFonts w:eastAsia="Calibri" w:cs="Times New Roman"/>
          <w:iCs/>
          <w:noProof/>
          <w:szCs w:val="24"/>
          <w:vertAlign w:val="superscript"/>
        </w:rPr>
        <w:footnoteReference w:id="123"/>
      </w:r>
      <w:r w:rsidRPr="000B1AB2">
        <w:rPr>
          <w:rFonts w:eastAsia="Calibri" w:cs="Times New Roman"/>
          <w:iCs/>
          <w:noProof/>
          <w:szCs w:val="24"/>
        </w:rPr>
        <w:t>.</w:t>
      </w:r>
    </w:p>
    <w:p w14:paraId="4B66EBC3" w14:textId="77777777" w:rsidR="00C66A21" w:rsidRPr="00705EEF" w:rsidRDefault="000B1AB2" w:rsidP="009B0176">
      <w:pPr>
        <w:spacing w:after="160"/>
        <w:rPr>
          <w:rFonts w:eastAsia="Calibri" w:cs="Times New Roman"/>
          <w:noProof/>
          <w:szCs w:val="24"/>
        </w:rPr>
      </w:pPr>
      <w:r w:rsidRPr="000B1AB2">
        <w:rPr>
          <w:rFonts w:eastAsia="Calibri" w:cs="Times New Roman"/>
          <w:noProof/>
          <w:szCs w:val="24"/>
        </w:rPr>
        <w:t>In addition, the Commission has been assisted by an external consortium of experts that have been in close exchange with relevant industry stakeholder</w:t>
      </w:r>
      <w:r w:rsidR="004655EE">
        <w:rPr>
          <w:rFonts w:eastAsia="Calibri" w:cs="Times New Roman"/>
          <w:noProof/>
          <w:szCs w:val="24"/>
        </w:rPr>
        <w:t xml:space="preserve">s and experts for many years.  </w:t>
      </w:r>
      <w:r w:rsidRPr="004655EE">
        <w:rPr>
          <w:rFonts w:eastAsia="Calibri" w:cs="Times New Roman"/>
          <w:noProof/>
          <w:color w:val="000000" w:themeColor="text1"/>
          <w:szCs w:val="24"/>
          <w:lang w:val="en-US"/>
        </w:rPr>
        <w:fldChar w:fldCharType="begin"/>
      </w:r>
      <w:r w:rsidRPr="004655EE">
        <w:rPr>
          <w:rFonts w:eastAsia="Calibri" w:cs="Times New Roman"/>
          <w:noProof/>
          <w:color w:val="000000" w:themeColor="text1"/>
          <w:szCs w:val="24"/>
          <w:lang w:val="en-US"/>
        </w:rPr>
        <w:instrText xml:space="preserve"> REF _Ref86843022 \h </w:instrText>
      </w:r>
      <w:r w:rsidR="00705EEF" w:rsidRPr="004655EE">
        <w:rPr>
          <w:rFonts w:eastAsia="Calibri" w:cs="Times New Roman"/>
          <w:noProof/>
          <w:color w:val="000000" w:themeColor="text1"/>
          <w:szCs w:val="24"/>
          <w:lang w:val="en-US"/>
        </w:rPr>
        <w:instrText xml:space="preserve"> \* MERGEFORMAT </w:instrText>
      </w:r>
      <w:r w:rsidRPr="004655EE">
        <w:rPr>
          <w:rFonts w:eastAsia="Calibri" w:cs="Times New Roman"/>
          <w:noProof/>
          <w:color w:val="000000" w:themeColor="text1"/>
          <w:szCs w:val="24"/>
          <w:lang w:val="en-US"/>
        </w:rPr>
      </w:r>
      <w:r w:rsidRPr="004655EE">
        <w:rPr>
          <w:rFonts w:eastAsia="Calibri" w:cs="Times New Roman"/>
          <w:noProof/>
          <w:color w:val="000000" w:themeColor="text1"/>
          <w:szCs w:val="24"/>
          <w:lang w:val="en-US"/>
        </w:rPr>
        <w:fldChar w:fldCharType="separate"/>
      </w:r>
    </w:p>
    <w:p w14:paraId="202F032C" w14:textId="3B7D47F4" w:rsidR="000B1AB2" w:rsidRPr="00705EEF" w:rsidRDefault="00C66A21" w:rsidP="009B0176">
      <w:pPr>
        <w:spacing w:after="160"/>
        <w:rPr>
          <w:rFonts w:eastAsia="Calibri" w:cs="Times New Roman"/>
          <w:noProof/>
          <w:szCs w:val="24"/>
        </w:rPr>
      </w:pPr>
      <w:r w:rsidRPr="00C66A21">
        <w:rPr>
          <w:rFonts w:cs="Times New Roman"/>
          <w:noProof/>
          <w:color w:val="000000" w:themeColor="text1"/>
          <w:szCs w:val="24"/>
        </w:rPr>
        <w:t xml:space="preserve">Table </w:t>
      </w:r>
      <w:r w:rsidRPr="00C66A21">
        <w:rPr>
          <w:noProof/>
          <w:color w:val="000000" w:themeColor="text1"/>
        </w:rPr>
        <w:t>11</w:t>
      </w:r>
      <w:r w:rsidR="000B1AB2" w:rsidRPr="004655EE">
        <w:rPr>
          <w:rFonts w:eastAsia="Calibri" w:cs="Times New Roman"/>
          <w:noProof/>
          <w:color w:val="000000" w:themeColor="text1"/>
          <w:szCs w:val="24"/>
          <w:lang w:val="en-US"/>
        </w:rPr>
        <w:fldChar w:fldCharType="end"/>
      </w:r>
      <w:r w:rsidR="000B1AB2" w:rsidRPr="004655EE">
        <w:rPr>
          <w:rFonts w:eastAsia="Calibri" w:cs="Times New Roman"/>
          <w:noProof/>
          <w:color w:val="000000" w:themeColor="text1"/>
          <w:szCs w:val="24"/>
          <w:lang w:val="en-US"/>
        </w:rPr>
        <w:t xml:space="preserve"> </w:t>
      </w:r>
      <w:r w:rsidR="000B1AB2" w:rsidRPr="000B1AB2">
        <w:rPr>
          <w:rFonts w:eastAsia="Calibri" w:cs="Times New Roman"/>
          <w:noProof/>
          <w:szCs w:val="24"/>
          <w:lang w:val="en-US"/>
        </w:rPr>
        <w:t>shows the stakeholder groups mapped to each consultation</w:t>
      </w:r>
      <w:r w:rsidR="000B1AB2" w:rsidRPr="00705EEF">
        <w:rPr>
          <w:rFonts w:eastAsia="Calibri" w:cs="Times New Roman"/>
          <w:noProof/>
          <w:szCs w:val="24"/>
          <w:lang w:val="en-US"/>
        </w:rPr>
        <w:t xml:space="preserve"> activity covered by this report. </w:t>
      </w:r>
      <w:bookmarkStart w:id="451" w:name="_Ref86843022"/>
    </w:p>
    <w:p w14:paraId="1DEA7818" w14:textId="6ED945B7" w:rsidR="000B1AB2" w:rsidRPr="003A4F1B" w:rsidRDefault="000B1AB2" w:rsidP="000B1AB2">
      <w:pPr>
        <w:spacing w:after="160" w:line="240" w:lineRule="auto"/>
        <w:rPr>
          <w:rFonts w:asciiTheme="minorHAnsi" w:eastAsia="Calibri" w:hAnsiTheme="minorHAnsi" w:cstheme="minorHAnsi"/>
          <w:noProof/>
          <w:color w:val="0070C0"/>
          <w:sz w:val="20"/>
          <w:szCs w:val="20"/>
          <w:lang w:val="en-US"/>
        </w:rPr>
      </w:pPr>
      <w:r w:rsidRPr="00AF23C4">
        <w:rPr>
          <w:rFonts w:asciiTheme="minorHAnsi" w:hAnsiTheme="minorHAnsi" w:cstheme="minorHAnsi"/>
          <w:b/>
          <w:noProof/>
          <w:color w:val="0070C0"/>
          <w:sz w:val="20"/>
          <w:szCs w:val="20"/>
        </w:rPr>
        <w:t xml:space="preserve">Table </w:t>
      </w:r>
      <w:r w:rsidRPr="00AF23C4">
        <w:rPr>
          <w:rFonts w:asciiTheme="minorHAnsi" w:hAnsiTheme="minorHAnsi" w:cstheme="minorHAnsi"/>
          <w:b/>
          <w:noProof/>
          <w:color w:val="0070C0"/>
          <w:sz w:val="20"/>
          <w:szCs w:val="20"/>
        </w:rPr>
        <w:fldChar w:fldCharType="begin"/>
      </w:r>
      <w:r w:rsidRPr="00AF23C4">
        <w:rPr>
          <w:rFonts w:asciiTheme="minorHAnsi" w:hAnsiTheme="minorHAnsi" w:cstheme="minorHAnsi"/>
          <w:b/>
          <w:noProof/>
          <w:color w:val="0070C0"/>
          <w:sz w:val="20"/>
          <w:szCs w:val="20"/>
        </w:rPr>
        <w:instrText xml:space="preserve"> SEQ Table \* ARABIC </w:instrText>
      </w:r>
      <w:r w:rsidRPr="00AF23C4">
        <w:rPr>
          <w:rFonts w:asciiTheme="minorHAnsi" w:hAnsiTheme="minorHAnsi" w:cstheme="minorHAnsi"/>
          <w:b/>
          <w:noProof/>
          <w:color w:val="0070C0"/>
          <w:sz w:val="20"/>
          <w:szCs w:val="20"/>
        </w:rPr>
        <w:fldChar w:fldCharType="separate"/>
      </w:r>
      <w:r w:rsidR="00830261">
        <w:rPr>
          <w:rFonts w:asciiTheme="minorHAnsi" w:hAnsiTheme="minorHAnsi" w:cstheme="minorHAnsi"/>
          <w:b/>
          <w:noProof/>
          <w:color w:val="0070C0"/>
          <w:sz w:val="20"/>
          <w:szCs w:val="20"/>
        </w:rPr>
        <w:t>12</w:t>
      </w:r>
      <w:r w:rsidRPr="00AF23C4">
        <w:rPr>
          <w:rFonts w:asciiTheme="minorHAnsi" w:hAnsiTheme="minorHAnsi" w:cstheme="minorHAnsi"/>
          <w:b/>
          <w:noProof/>
          <w:color w:val="0070C0"/>
          <w:sz w:val="20"/>
          <w:szCs w:val="20"/>
        </w:rPr>
        <w:fldChar w:fldCharType="end"/>
      </w:r>
      <w:bookmarkEnd w:id="451"/>
      <w:r w:rsidRPr="003A4F1B">
        <w:rPr>
          <w:rFonts w:asciiTheme="minorHAnsi" w:hAnsiTheme="minorHAnsi" w:cstheme="minorHAnsi"/>
          <w:noProof/>
          <w:color w:val="0070C0"/>
          <w:sz w:val="20"/>
          <w:szCs w:val="20"/>
        </w:rPr>
        <w:t xml:space="preserve">. </w:t>
      </w:r>
      <w:r w:rsidRPr="00AF23C4">
        <w:rPr>
          <w:rFonts w:asciiTheme="minorHAnsi" w:eastAsia="Calibri" w:hAnsiTheme="minorHAnsi" w:cstheme="minorHAnsi"/>
          <w:noProof/>
          <w:color w:val="0070C0"/>
          <w:sz w:val="20"/>
          <w:szCs w:val="20"/>
        </w:rPr>
        <w:t>Coverage of different stakeholder groups under each consultation activity</w:t>
      </w:r>
    </w:p>
    <w:tbl>
      <w:tblPr>
        <w:tblStyle w:val="Ricardotable153"/>
        <w:tblpPr w:leftFromText="180" w:rightFromText="180" w:vertAnchor="text" w:horzAnchor="margin" w:tblpY="197"/>
        <w:tblW w:w="0" w:type="auto"/>
        <w:tblInd w:w="0" w:type="dxa"/>
        <w:tblLook w:val="04A0" w:firstRow="1" w:lastRow="0" w:firstColumn="1" w:lastColumn="0" w:noHBand="0" w:noVBand="1"/>
      </w:tblPr>
      <w:tblGrid>
        <w:gridCol w:w="3686"/>
        <w:gridCol w:w="1843"/>
        <w:gridCol w:w="2208"/>
        <w:gridCol w:w="1284"/>
      </w:tblGrid>
      <w:tr w:rsidR="000B1AB2" w:rsidRPr="000B1AB2" w14:paraId="462BF293" w14:textId="77777777" w:rsidTr="3F3807E4">
        <w:trPr>
          <w:cnfStyle w:val="100000000000" w:firstRow="1" w:lastRow="0" w:firstColumn="0" w:lastColumn="0" w:oddVBand="0" w:evenVBand="0" w:oddHBand="0" w:evenHBand="0" w:firstRowFirstColumn="0" w:firstRowLastColumn="0" w:lastRowFirstColumn="0" w:lastRowLastColumn="0"/>
        </w:trPr>
        <w:tc>
          <w:tcPr>
            <w:tcW w:w="368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tcPr>
          <w:p w14:paraId="7BDAED79" w14:textId="77777777" w:rsidR="000B1AB2" w:rsidRPr="000B1AB2" w:rsidRDefault="000B1AB2" w:rsidP="000B1AB2">
            <w:pPr>
              <w:rPr>
                <w:rFonts w:ascii="Arial" w:eastAsia="Calibri" w:hAnsi="Arial"/>
                <w:noProof/>
                <w:sz w:val="18"/>
                <w:szCs w:val="18"/>
                <w:lang w:val="en-IE"/>
              </w:rPr>
            </w:pPr>
            <w:bookmarkStart w:id="452" w:name="_Toc85655101"/>
            <w:r w:rsidRPr="000B1AB2">
              <w:rPr>
                <w:rFonts w:ascii="Arial" w:eastAsia="Calibri" w:hAnsi="Arial"/>
                <w:noProof/>
                <w:sz w:val="18"/>
                <w:szCs w:val="18"/>
                <w:lang w:val="en-IE"/>
              </w:rPr>
              <w:t>Stakeholder type</w:t>
            </w:r>
          </w:p>
        </w:tc>
        <w:tc>
          <w:tcPr>
            <w:tcW w:w="533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tcPr>
          <w:p w14:paraId="18D533AB" w14:textId="77777777" w:rsidR="000B1AB2" w:rsidRPr="000B1AB2" w:rsidRDefault="000B1AB2" w:rsidP="000B1AB2">
            <w:pPr>
              <w:jc w:val="center"/>
              <w:rPr>
                <w:rFonts w:ascii="Arial" w:eastAsia="Calibri" w:hAnsi="Arial"/>
                <w:noProof/>
                <w:sz w:val="18"/>
                <w:szCs w:val="18"/>
                <w:lang w:val="en-IE"/>
              </w:rPr>
            </w:pPr>
            <w:r w:rsidRPr="000B1AB2">
              <w:rPr>
                <w:rFonts w:ascii="Arial" w:eastAsia="Calibri" w:hAnsi="Arial"/>
                <w:noProof/>
                <w:sz w:val="18"/>
                <w:szCs w:val="18"/>
                <w:lang w:val="en-IE"/>
              </w:rPr>
              <w:t>Consultation Strategy Activity</w:t>
            </w:r>
          </w:p>
        </w:tc>
      </w:tr>
      <w:tr w:rsidR="000B1AB2" w:rsidRPr="000B1AB2" w14:paraId="754F52C8" w14:textId="77777777" w:rsidTr="3F3807E4">
        <w:trPr>
          <w:trHeight w:val="65"/>
        </w:trPr>
        <w:tc>
          <w:tcPr>
            <w:tcW w:w="3686" w:type="dxa"/>
            <w:vMerge/>
            <w:tcBorders>
              <w:top w:val="single" w:sz="4" w:space="0" w:color="FFFFFF"/>
              <w:left w:val="single" w:sz="4" w:space="0" w:color="FFFFFF"/>
              <w:bottom w:val="single" w:sz="4" w:space="0" w:color="FFFFFF"/>
              <w:right w:val="single" w:sz="4" w:space="0" w:color="FFFFFF"/>
            </w:tcBorders>
            <w:shd w:val="clear" w:color="auto" w:fill="0070C0"/>
            <w:hideMark/>
          </w:tcPr>
          <w:p w14:paraId="1F05C7DF" w14:textId="77777777" w:rsidR="000B1AB2" w:rsidRPr="000B1AB2" w:rsidRDefault="000B1AB2" w:rsidP="000B1AB2">
            <w:pPr>
              <w:rPr>
                <w:rFonts w:ascii="Arial" w:eastAsia="Calibri" w:hAnsi="Arial"/>
                <w:noProof/>
                <w:color w:val="FFFFFF"/>
                <w:sz w:val="18"/>
                <w:szCs w:val="18"/>
                <w:lang w:val="en-IE"/>
              </w:rPr>
            </w:pP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hideMark/>
          </w:tcPr>
          <w:p w14:paraId="3BD18104" w14:textId="77777777" w:rsidR="000B1AB2" w:rsidRPr="000B1AB2" w:rsidRDefault="3F3807E4" w:rsidP="000B1AB2">
            <w:pPr>
              <w:jc w:val="center"/>
              <w:rPr>
                <w:rFonts w:ascii="Arial" w:eastAsia="Calibri" w:hAnsi="Arial"/>
                <w:noProof/>
                <w:color w:val="FFFFFF"/>
                <w:sz w:val="18"/>
                <w:szCs w:val="18"/>
                <w:lang w:val="en-IE"/>
              </w:rPr>
            </w:pPr>
            <w:r w:rsidRPr="3F3807E4">
              <w:rPr>
                <w:rFonts w:ascii="Arial" w:eastAsia="Calibri" w:hAnsi="Arial"/>
                <w:noProof/>
                <w:color w:val="FFFFFF" w:themeColor="background1"/>
                <w:sz w:val="18"/>
                <w:szCs w:val="18"/>
                <w:lang w:val="en-IE"/>
              </w:rPr>
              <w:t>OPC/Roadmap</w:t>
            </w:r>
          </w:p>
        </w:tc>
        <w:tc>
          <w:tcPr>
            <w:tcW w:w="22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tcPr>
          <w:p w14:paraId="6F4F4979" w14:textId="77777777" w:rsidR="000B1AB2" w:rsidRPr="000B1AB2" w:rsidRDefault="3F3807E4" w:rsidP="000B1AB2">
            <w:pPr>
              <w:jc w:val="center"/>
              <w:rPr>
                <w:rFonts w:ascii="Arial" w:eastAsia="Calibri" w:hAnsi="Arial"/>
                <w:noProof/>
                <w:color w:val="FFFFFF"/>
                <w:sz w:val="18"/>
                <w:szCs w:val="18"/>
                <w:lang w:val="en-IE"/>
              </w:rPr>
            </w:pPr>
            <w:r w:rsidRPr="3F3807E4">
              <w:rPr>
                <w:rFonts w:ascii="Arial" w:hAnsi="Arial"/>
                <w:noProof/>
                <w:color w:val="FFFFFF" w:themeColor="background1"/>
                <w:sz w:val="18"/>
                <w:szCs w:val="18"/>
              </w:rPr>
              <w:t>Interviews</w:t>
            </w:r>
          </w:p>
        </w:tc>
        <w:tc>
          <w:tcPr>
            <w:tcW w:w="1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tcPr>
          <w:p w14:paraId="4FC28AB0" w14:textId="77777777" w:rsidR="000B1AB2" w:rsidRPr="000B1AB2" w:rsidRDefault="3F3807E4" w:rsidP="000B1AB2">
            <w:pPr>
              <w:jc w:val="center"/>
              <w:rPr>
                <w:rFonts w:ascii="Arial" w:eastAsia="Calibri" w:hAnsi="Arial"/>
                <w:noProof/>
                <w:color w:val="FFFFFF"/>
                <w:sz w:val="18"/>
                <w:szCs w:val="18"/>
                <w:lang w:val="en-IE"/>
              </w:rPr>
            </w:pPr>
            <w:r w:rsidRPr="3F3807E4">
              <w:rPr>
                <w:rFonts w:ascii="Arial" w:eastAsia="Calibri" w:hAnsi="Arial"/>
                <w:noProof/>
                <w:color w:val="FFFFFF" w:themeColor="background1"/>
                <w:sz w:val="18"/>
                <w:szCs w:val="18"/>
                <w:lang w:val="en-IE"/>
              </w:rPr>
              <w:t>Workshop</w:t>
            </w:r>
          </w:p>
        </w:tc>
      </w:tr>
      <w:tr w:rsidR="000B1AB2" w:rsidRPr="000B1AB2" w14:paraId="2C6BBDC3" w14:textId="77777777" w:rsidTr="3F3807E4">
        <w:trPr>
          <w:trHeight w:val="65"/>
        </w:trPr>
        <w:tc>
          <w:tcPr>
            <w:tcW w:w="3686" w:type="dxa"/>
            <w:tcBorders>
              <w:top w:val="single" w:sz="4" w:space="0" w:color="FFFFFF" w:themeColor="background1"/>
              <w:left w:val="single" w:sz="4" w:space="0" w:color="006BB7"/>
              <w:bottom w:val="single" w:sz="4" w:space="0" w:color="006BB7"/>
              <w:right w:val="single" w:sz="4" w:space="0" w:color="006BB7"/>
            </w:tcBorders>
          </w:tcPr>
          <w:p w14:paraId="7F27C27B" w14:textId="4624CE7D" w:rsidR="000B1AB2" w:rsidRPr="000B1AB2" w:rsidRDefault="0095621C" w:rsidP="000B1AB2">
            <w:pPr>
              <w:rPr>
                <w:rFonts w:ascii="Arial" w:hAnsi="Arial"/>
                <w:noProof/>
                <w:sz w:val="18"/>
                <w:szCs w:val="18"/>
              </w:rPr>
            </w:pPr>
            <w:r>
              <w:rPr>
                <w:rFonts w:ascii="Arial" w:hAnsi="Arial"/>
                <w:noProof/>
                <w:sz w:val="18"/>
                <w:szCs w:val="18"/>
              </w:rPr>
              <w:t>EU I</w:t>
            </w:r>
            <w:r w:rsidR="000B1AB2" w:rsidRPr="000B1AB2">
              <w:rPr>
                <w:rFonts w:ascii="Arial" w:hAnsi="Arial"/>
                <w:noProof/>
                <w:sz w:val="18"/>
                <w:szCs w:val="18"/>
              </w:rPr>
              <w:t>nstitutions (DG CLIMA and EEA)</w:t>
            </w:r>
          </w:p>
        </w:tc>
        <w:tc>
          <w:tcPr>
            <w:tcW w:w="1843" w:type="dxa"/>
            <w:tcBorders>
              <w:top w:val="single" w:sz="4" w:space="0" w:color="FFFFFF" w:themeColor="background1"/>
              <w:left w:val="single" w:sz="4" w:space="0" w:color="006BB7"/>
              <w:bottom w:val="single" w:sz="4" w:space="0" w:color="006BB7"/>
              <w:right w:val="single" w:sz="4" w:space="0" w:color="006BB7"/>
            </w:tcBorders>
          </w:tcPr>
          <w:p w14:paraId="335CE464" w14:textId="77777777" w:rsidR="000B1AB2" w:rsidRPr="000B1AB2" w:rsidRDefault="000B1AB2" w:rsidP="000B1AB2">
            <w:pPr>
              <w:jc w:val="center"/>
              <w:rPr>
                <w:rFonts w:ascii="Arial" w:eastAsia="Calibri" w:hAnsi="Arial"/>
                <w:noProof/>
                <w:sz w:val="18"/>
                <w:szCs w:val="18"/>
              </w:rPr>
            </w:pPr>
          </w:p>
        </w:tc>
        <w:tc>
          <w:tcPr>
            <w:tcW w:w="2208" w:type="dxa"/>
            <w:tcBorders>
              <w:top w:val="single" w:sz="4" w:space="0" w:color="FFFFFF" w:themeColor="background1"/>
              <w:left w:val="single" w:sz="4" w:space="0" w:color="006BB7"/>
              <w:bottom w:val="single" w:sz="4" w:space="0" w:color="006BB7"/>
              <w:right w:val="single" w:sz="4" w:space="0" w:color="006BB7"/>
            </w:tcBorders>
          </w:tcPr>
          <w:p w14:paraId="0DB2A5F9" w14:textId="77777777" w:rsidR="000B1AB2" w:rsidRPr="000B1AB2" w:rsidRDefault="000B1AB2" w:rsidP="000B1AB2">
            <w:pPr>
              <w:jc w:val="center"/>
              <w:rPr>
                <w:rFonts w:ascii="Arial" w:eastAsia="Calibri" w:hAnsi="Arial"/>
                <w:noProof/>
                <w:sz w:val="18"/>
                <w:szCs w:val="18"/>
              </w:rPr>
            </w:pPr>
            <w:r w:rsidRPr="000B1AB2">
              <w:rPr>
                <w:rFonts w:ascii="Arial" w:eastAsia="Calibri" w:hAnsi="Arial"/>
                <w:noProof/>
                <w:sz w:val="18"/>
                <w:szCs w:val="18"/>
              </w:rPr>
              <w:t>X</w:t>
            </w:r>
          </w:p>
        </w:tc>
        <w:tc>
          <w:tcPr>
            <w:tcW w:w="1284" w:type="dxa"/>
            <w:tcBorders>
              <w:top w:val="single" w:sz="4" w:space="0" w:color="FFFFFF" w:themeColor="background1"/>
              <w:left w:val="single" w:sz="4" w:space="0" w:color="006BB7"/>
              <w:bottom w:val="single" w:sz="4" w:space="0" w:color="006BB7"/>
              <w:right w:val="single" w:sz="4" w:space="0" w:color="006BB7"/>
            </w:tcBorders>
          </w:tcPr>
          <w:p w14:paraId="19960C8A" w14:textId="77777777" w:rsidR="000B1AB2" w:rsidRPr="000B1AB2" w:rsidRDefault="000B1AB2" w:rsidP="000B1AB2">
            <w:pPr>
              <w:jc w:val="center"/>
              <w:rPr>
                <w:rFonts w:ascii="Arial" w:eastAsia="Calibri" w:hAnsi="Arial"/>
                <w:noProof/>
                <w:sz w:val="18"/>
                <w:szCs w:val="18"/>
              </w:rPr>
            </w:pPr>
            <w:r w:rsidRPr="000B1AB2">
              <w:rPr>
                <w:rFonts w:ascii="Arial" w:eastAsia="Calibri" w:hAnsi="Arial"/>
                <w:noProof/>
                <w:sz w:val="18"/>
                <w:szCs w:val="18"/>
              </w:rPr>
              <w:t>X</w:t>
            </w:r>
          </w:p>
        </w:tc>
      </w:tr>
      <w:tr w:rsidR="000B1AB2" w:rsidRPr="000B1AB2" w14:paraId="292D9451" w14:textId="77777777" w:rsidTr="3F3807E4">
        <w:tc>
          <w:tcPr>
            <w:tcW w:w="3686" w:type="dxa"/>
            <w:tcBorders>
              <w:top w:val="single" w:sz="4" w:space="0" w:color="006BB7"/>
              <w:left w:val="single" w:sz="4" w:space="0" w:color="006BB7"/>
              <w:bottom w:val="single" w:sz="4" w:space="0" w:color="006BB7"/>
              <w:right w:val="single" w:sz="4" w:space="0" w:color="006BB7"/>
            </w:tcBorders>
            <w:shd w:val="clear" w:color="auto" w:fill="EAF2FA"/>
          </w:tcPr>
          <w:p w14:paraId="3C5B9B16" w14:textId="77777777" w:rsidR="000B1AB2" w:rsidRPr="000B1AB2" w:rsidRDefault="000B1AB2" w:rsidP="000B1AB2">
            <w:pPr>
              <w:rPr>
                <w:rFonts w:ascii="Arial" w:hAnsi="Arial"/>
                <w:noProof/>
                <w:sz w:val="18"/>
                <w:szCs w:val="18"/>
              </w:rPr>
            </w:pPr>
            <w:r w:rsidRPr="000B1AB2">
              <w:rPr>
                <w:rFonts w:ascii="Arial" w:hAnsi="Arial"/>
                <w:noProof/>
                <w:sz w:val="18"/>
                <w:szCs w:val="18"/>
              </w:rPr>
              <w:t>Citizens</w:t>
            </w:r>
          </w:p>
        </w:tc>
        <w:tc>
          <w:tcPr>
            <w:tcW w:w="1843" w:type="dxa"/>
            <w:tcBorders>
              <w:top w:val="single" w:sz="4" w:space="0" w:color="006BB7"/>
              <w:left w:val="single" w:sz="4" w:space="0" w:color="006BB7"/>
              <w:bottom w:val="single" w:sz="4" w:space="0" w:color="006BB7"/>
              <w:right w:val="single" w:sz="4" w:space="0" w:color="006BB7"/>
            </w:tcBorders>
            <w:shd w:val="clear" w:color="auto" w:fill="EAF2FA"/>
          </w:tcPr>
          <w:p w14:paraId="21596C24" w14:textId="77777777" w:rsidR="000B1AB2" w:rsidRPr="000B1AB2" w:rsidRDefault="000B1AB2" w:rsidP="000B1AB2">
            <w:pPr>
              <w:jc w:val="center"/>
              <w:rPr>
                <w:rFonts w:ascii="Arial" w:eastAsia="Calibri" w:hAnsi="Arial"/>
                <w:noProof/>
                <w:sz w:val="18"/>
                <w:szCs w:val="18"/>
              </w:rPr>
            </w:pPr>
            <w:r w:rsidRPr="000B1AB2">
              <w:rPr>
                <w:rFonts w:ascii="Arial" w:eastAsia="Calibri" w:hAnsi="Arial"/>
                <w:noProof/>
                <w:sz w:val="18"/>
                <w:szCs w:val="18"/>
              </w:rPr>
              <w:t>X</w:t>
            </w:r>
          </w:p>
        </w:tc>
        <w:tc>
          <w:tcPr>
            <w:tcW w:w="2208" w:type="dxa"/>
            <w:tcBorders>
              <w:top w:val="single" w:sz="4" w:space="0" w:color="006BB7"/>
              <w:left w:val="single" w:sz="4" w:space="0" w:color="006BB7"/>
              <w:bottom w:val="single" w:sz="4" w:space="0" w:color="006BB7"/>
              <w:right w:val="single" w:sz="4" w:space="0" w:color="006BB7"/>
            </w:tcBorders>
            <w:shd w:val="clear" w:color="auto" w:fill="EAF2FA"/>
          </w:tcPr>
          <w:p w14:paraId="7E96700D" w14:textId="77777777" w:rsidR="000B1AB2" w:rsidRPr="000B1AB2" w:rsidRDefault="000B1AB2" w:rsidP="000B1AB2">
            <w:pPr>
              <w:jc w:val="center"/>
              <w:rPr>
                <w:rFonts w:ascii="Arial" w:eastAsia="Calibri" w:hAnsi="Arial"/>
                <w:noProof/>
                <w:sz w:val="18"/>
                <w:szCs w:val="18"/>
              </w:rPr>
            </w:pPr>
          </w:p>
        </w:tc>
        <w:tc>
          <w:tcPr>
            <w:tcW w:w="1284" w:type="dxa"/>
            <w:tcBorders>
              <w:top w:val="single" w:sz="4" w:space="0" w:color="006BB7"/>
              <w:left w:val="single" w:sz="4" w:space="0" w:color="006BB7"/>
              <w:bottom w:val="single" w:sz="4" w:space="0" w:color="006BB7"/>
              <w:right w:val="single" w:sz="4" w:space="0" w:color="006BB7"/>
            </w:tcBorders>
            <w:shd w:val="clear" w:color="auto" w:fill="EAF2FA"/>
          </w:tcPr>
          <w:p w14:paraId="6C558DCB" w14:textId="77777777" w:rsidR="000B1AB2" w:rsidRPr="000B1AB2" w:rsidRDefault="000B1AB2" w:rsidP="000B1AB2">
            <w:pPr>
              <w:jc w:val="center"/>
              <w:rPr>
                <w:rFonts w:ascii="Arial" w:eastAsia="Calibri" w:hAnsi="Arial"/>
                <w:noProof/>
                <w:sz w:val="18"/>
                <w:szCs w:val="18"/>
              </w:rPr>
            </w:pPr>
          </w:p>
        </w:tc>
      </w:tr>
      <w:tr w:rsidR="000B1AB2" w:rsidRPr="000B1AB2" w14:paraId="0FDCF01D" w14:textId="77777777" w:rsidTr="3F3807E4">
        <w:trPr>
          <w:trHeight w:val="125"/>
        </w:trPr>
        <w:tc>
          <w:tcPr>
            <w:tcW w:w="3686" w:type="dxa"/>
            <w:tcBorders>
              <w:top w:val="single" w:sz="4" w:space="0" w:color="006BB7"/>
              <w:left w:val="single" w:sz="4" w:space="0" w:color="006BB7"/>
              <w:bottom w:val="single" w:sz="4" w:space="0" w:color="006BB7"/>
              <w:right w:val="single" w:sz="4" w:space="0" w:color="006BB7"/>
            </w:tcBorders>
          </w:tcPr>
          <w:p w14:paraId="549FACBC" w14:textId="3A7ECB48" w:rsidR="000B1AB2" w:rsidRPr="000B1AB2" w:rsidRDefault="000B1AB2" w:rsidP="000B1AB2">
            <w:pPr>
              <w:rPr>
                <w:rFonts w:ascii="Arial" w:hAnsi="Arial"/>
                <w:noProof/>
                <w:sz w:val="18"/>
                <w:szCs w:val="18"/>
                <w:lang w:val="en-GB"/>
              </w:rPr>
            </w:pPr>
            <w:r w:rsidRPr="000B1AB2">
              <w:rPr>
                <w:rFonts w:ascii="Arial" w:hAnsi="Arial"/>
                <w:noProof/>
                <w:sz w:val="18"/>
                <w:szCs w:val="18"/>
                <w:lang w:val="en-GB"/>
              </w:rPr>
              <w:t xml:space="preserve">EU Member States’ </w:t>
            </w:r>
            <w:r w:rsidR="000512C1">
              <w:rPr>
                <w:rFonts w:ascii="Arial" w:hAnsi="Arial"/>
                <w:noProof/>
                <w:sz w:val="18"/>
                <w:szCs w:val="18"/>
                <w:lang w:val="en-GB"/>
              </w:rPr>
              <w:t>competent a</w:t>
            </w:r>
            <w:r w:rsidRPr="000B1AB2">
              <w:rPr>
                <w:rFonts w:ascii="Arial" w:hAnsi="Arial"/>
                <w:noProof/>
                <w:sz w:val="18"/>
                <w:szCs w:val="18"/>
                <w:lang w:val="en-GB"/>
              </w:rPr>
              <w:t>uthorities and customs authorities</w:t>
            </w:r>
          </w:p>
        </w:tc>
        <w:tc>
          <w:tcPr>
            <w:tcW w:w="1843" w:type="dxa"/>
            <w:tcBorders>
              <w:top w:val="single" w:sz="4" w:space="0" w:color="006BB7"/>
              <w:left w:val="single" w:sz="4" w:space="0" w:color="006BB7"/>
              <w:bottom w:val="single" w:sz="4" w:space="0" w:color="006BB7"/>
              <w:right w:val="single" w:sz="4" w:space="0" w:color="006BB7"/>
            </w:tcBorders>
          </w:tcPr>
          <w:p w14:paraId="0CB282D0" w14:textId="77777777" w:rsidR="000B1AB2" w:rsidRPr="000B1AB2" w:rsidRDefault="000B1AB2" w:rsidP="000B1AB2">
            <w:pPr>
              <w:jc w:val="center"/>
              <w:rPr>
                <w:rFonts w:ascii="Arial" w:hAnsi="Arial"/>
                <w:noProof/>
                <w:sz w:val="18"/>
                <w:szCs w:val="18"/>
              </w:rPr>
            </w:pPr>
            <w:r w:rsidRPr="000B1AB2">
              <w:rPr>
                <w:rFonts w:ascii="Arial" w:hAnsi="Arial"/>
                <w:noProof/>
                <w:sz w:val="18"/>
                <w:szCs w:val="18"/>
              </w:rPr>
              <w:t>X</w:t>
            </w:r>
          </w:p>
        </w:tc>
        <w:tc>
          <w:tcPr>
            <w:tcW w:w="2208" w:type="dxa"/>
            <w:tcBorders>
              <w:top w:val="single" w:sz="4" w:space="0" w:color="006BB7"/>
              <w:left w:val="single" w:sz="4" w:space="0" w:color="006BB7"/>
              <w:bottom w:val="single" w:sz="4" w:space="0" w:color="006BB7"/>
              <w:right w:val="single" w:sz="4" w:space="0" w:color="006BB7"/>
            </w:tcBorders>
          </w:tcPr>
          <w:p w14:paraId="37512939" w14:textId="77777777" w:rsidR="000B1AB2" w:rsidRPr="000B1AB2" w:rsidRDefault="000B1AB2" w:rsidP="000B1AB2">
            <w:pPr>
              <w:jc w:val="center"/>
              <w:rPr>
                <w:rFonts w:ascii="Arial" w:hAnsi="Arial"/>
                <w:noProof/>
                <w:sz w:val="18"/>
                <w:szCs w:val="18"/>
              </w:rPr>
            </w:pPr>
            <w:r w:rsidRPr="000B1AB2">
              <w:rPr>
                <w:rFonts w:ascii="Arial" w:hAnsi="Arial"/>
                <w:noProof/>
                <w:sz w:val="18"/>
                <w:szCs w:val="18"/>
              </w:rPr>
              <w:t>X</w:t>
            </w:r>
          </w:p>
        </w:tc>
        <w:tc>
          <w:tcPr>
            <w:tcW w:w="1284" w:type="dxa"/>
            <w:tcBorders>
              <w:top w:val="single" w:sz="4" w:space="0" w:color="006BB7"/>
              <w:left w:val="single" w:sz="4" w:space="0" w:color="006BB7"/>
              <w:bottom w:val="single" w:sz="4" w:space="0" w:color="006BB7"/>
              <w:right w:val="single" w:sz="4" w:space="0" w:color="006BB7"/>
            </w:tcBorders>
          </w:tcPr>
          <w:p w14:paraId="3FA74A5F" w14:textId="77777777" w:rsidR="000B1AB2" w:rsidRPr="000B1AB2" w:rsidRDefault="000B1AB2" w:rsidP="000B1AB2">
            <w:pPr>
              <w:jc w:val="center"/>
              <w:rPr>
                <w:rFonts w:ascii="Arial" w:hAnsi="Arial"/>
                <w:noProof/>
                <w:sz w:val="18"/>
                <w:szCs w:val="18"/>
              </w:rPr>
            </w:pPr>
            <w:r w:rsidRPr="000B1AB2">
              <w:rPr>
                <w:rFonts w:ascii="Arial" w:hAnsi="Arial"/>
                <w:noProof/>
                <w:sz w:val="18"/>
                <w:szCs w:val="18"/>
              </w:rPr>
              <w:t>X</w:t>
            </w:r>
          </w:p>
        </w:tc>
      </w:tr>
      <w:tr w:rsidR="000B1AB2" w:rsidRPr="000B1AB2" w14:paraId="5E8B389D" w14:textId="77777777" w:rsidTr="3F3807E4">
        <w:tc>
          <w:tcPr>
            <w:tcW w:w="3686" w:type="dxa"/>
            <w:tcBorders>
              <w:top w:val="single" w:sz="4" w:space="0" w:color="006BB7"/>
              <w:left w:val="single" w:sz="4" w:space="0" w:color="006BB7"/>
              <w:bottom w:val="single" w:sz="4" w:space="0" w:color="006BB7"/>
              <w:right w:val="single" w:sz="4" w:space="0" w:color="006BB7"/>
            </w:tcBorders>
          </w:tcPr>
          <w:p w14:paraId="29F43498" w14:textId="77777777" w:rsidR="000B1AB2" w:rsidRPr="000B1AB2" w:rsidRDefault="000B1AB2" w:rsidP="000B1AB2">
            <w:pPr>
              <w:rPr>
                <w:rFonts w:ascii="Arial" w:hAnsi="Arial"/>
                <w:noProof/>
                <w:sz w:val="18"/>
                <w:szCs w:val="18"/>
                <w:lang w:val="en-GB"/>
              </w:rPr>
            </w:pPr>
            <w:r w:rsidRPr="000B1AB2">
              <w:rPr>
                <w:rFonts w:ascii="Arial" w:hAnsi="Arial"/>
                <w:noProof/>
                <w:sz w:val="18"/>
                <w:szCs w:val="18"/>
                <w:lang w:val="en-GB"/>
              </w:rPr>
              <w:t xml:space="preserve">EU Businesses and trade associations </w:t>
            </w:r>
          </w:p>
        </w:tc>
        <w:tc>
          <w:tcPr>
            <w:tcW w:w="1843" w:type="dxa"/>
            <w:tcBorders>
              <w:top w:val="single" w:sz="4" w:space="0" w:color="006BB7"/>
              <w:left w:val="single" w:sz="4" w:space="0" w:color="006BB7"/>
              <w:bottom w:val="single" w:sz="4" w:space="0" w:color="006BB7"/>
              <w:right w:val="single" w:sz="4" w:space="0" w:color="006BB7"/>
            </w:tcBorders>
          </w:tcPr>
          <w:p w14:paraId="18927D91" w14:textId="77777777" w:rsidR="000B1AB2" w:rsidRPr="000B1AB2" w:rsidRDefault="000B1AB2" w:rsidP="000B1AB2">
            <w:pPr>
              <w:jc w:val="center"/>
              <w:rPr>
                <w:rFonts w:ascii="Arial" w:hAnsi="Arial"/>
                <w:noProof/>
                <w:sz w:val="18"/>
                <w:szCs w:val="18"/>
              </w:rPr>
            </w:pPr>
            <w:r w:rsidRPr="000B1AB2">
              <w:rPr>
                <w:rFonts w:ascii="Arial" w:hAnsi="Arial"/>
                <w:noProof/>
                <w:sz w:val="18"/>
                <w:szCs w:val="18"/>
              </w:rPr>
              <w:t>X</w:t>
            </w:r>
          </w:p>
        </w:tc>
        <w:tc>
          <w:tcPr>
            <w:tcW w:w="2208" w:type="dxa"/>
            <w:tcBorders>
              <w:top w:val="single" w:sz="4" w:space="0" w:color="006BB7"/>
              <w:left w:val="single" w:sz="4" w:space="0" w:color="006BB7"/>
              <w:bottom w:val="single" w:sz="4" w:space="0" w:color="006BB7"/>
              <w:right w:val="single" w:sz="4" w:space="0" w:color="006BB7"/>
            </w:tcBorders>
          </w:tcPr>
          <w:p w14:paraId="46E7EF0E" w14:textId="77777777" w:rsidR="000B1AB2" w:rsidRPr="000B1AB2" w:rsidRDefault="000B1AB2" w:rsidP="000B1AB2">
            <w:pPr>
              <w:jc w:val="center"/>
              <w:rPr>
                <w:rFonts w:ascii="Arial" w:hAnsi="Arial"/>
                <w:noProof/>
                <w:sz w:val="18"/>
                <w:szCs w:val="18"/>
              </w:rPr>
            </w:pPr>
            <w:r w:rsidRPr="000B1AB2">
              <w:rPr>
                <w:rFonts w:ascii="Arial" w:hAnsi="Arial"/>
                <w:noProof/>
                <w:sz w:val="18"/>
                <w:szCs w:val="18"/>
              </w:rPr>
              <w:t>X</w:t>
            </w:r>
          </w:p>
        </w:tc>
        <w:tc>
          <w:tcPr>
            <w:tcW w:w="1284" w:type="dxa"/>
            <w:tcBorders>
              <w:top w:val="single" w:sz="4" w:space="0" w:color="006BB7"/>
              <w:left w:val="single" w:sz="4" w:space="0" w:color="006BB7"/>
              <w:bottom w:val="single" w:sz="4" w:space="0" w:color="006BB7"/>
              <w:right w:val="single" w:sz="4" w:space="0" w:color="006BB7"/>
            </w:tcBorders>
          </w:tcPr>
          <w:p w14:paraId="4ACABB96" w14:textId="77777777" w:rsidR="000B1AB2" w:rsidRPr="000B1AB2" w:rsidRDefault="000B1AB2" w:rsidP="000B1AB2">
            <w:pPr>
              <w:jc w:val="center"/>
              <w:rPr>
                <w:rFonts w:ascii="Arial" w:hAnsi="Arial"/>
                <w:noProof/>
                <w:sz w:val="18"/>
                <w:szCs w:val="18"/>
              </w:rPr>
            </w:pPr>
            <w:r w:rsidRPr="000B1AB2">
              <w:rPr>
                <w:rFonts w:ascii="Arial" w:hAnsi="Arial"/>
                <w:noProof/>
                <w:sz w:val="18"/>
                <w:szCs w:val="18"/>
              </w:rPr>
              <w:t>X</w:t>
            </w:r>
          </w:p>
        </w:tc>
      </w:tr>
      <w:tr w:rsidR="000B1AB2" w:rsidRPr="000B1AB2" w14:paraId="11625714" w14:textId="77777777" w:rsidTr="3F3807E4">
        <w:tc>
          <w:tcPr>
            <w:tcW w:w="3686" w:type="dxa"/>
            <w:tcBorders>
              <w:top w:val="single" w:sz="4" w:space="0" w:color="006BB7"/>
              <w:left w:val="single" w:sz="4" w:space="0" w:color="006BB7"/>
              <w:bottom w:val="single" w:sz="4" w:space="0" w:color="006BB7"/>
              <w:right w:val="single" w:sz="4" w:space="0" w:color="006BB7"/>
            </w:tcBorders>
            <w:shd w:val="clear" w:color="auto" w:fill="EAF2FA"/>
          </w:tcPr>
          <w:p w14:paraId="1E07D80C" w14:textId="77777777" w:rsidR="000B1AB2" w:rsidRPr="000B1AB2" w:rsidRDefault="000B1AB2" w:rsidP="000B1AB2">
            <w:pPr>
              <w:rPr>
                <w:rFonts w:ascii="Arial" w:hAnsi="Arial"/>
                <w:noProof/>
                <w:sz w:val="18"/>
                <w:szCs w:val="18"/>
              </w:rPr>
            </w:pPr>
            <w:r w:rsidRPr="000B1AB2">
              <w:rPr>
                <w:rFonts w:ascii="Arial" w:hAnsi="Arial"/>
                <w:noProof/>
                <w:sz w:val="18"/>
                <w:szCs w:val="18"/>
              </w:rPr>
              <w:t xml:space="preserve">Consumers and consumer organisations </w:t>
            </w:r>
          </w:p>
        </w:tc>
        <w:tc>
          <w:tcPr>
            <w:tcW w:w="1843" w:type="dxa"/>
            <w:tcBorders>
              <w:top w:val="single" w:sz="4" w:space="0" w:color="006BB7"/>
              <w:left w:val="single" w:sz="4" w:space="0" w:color="006BB7"/>
              <w:bottom w:val="single" w:sz="4" w:space="0" w:color="006BB7"/>
              <w:right w:val="single" w:sz="4" w:space="0" w:color="006BB7"/>
            </w:tcBorders>
            <w:shd w:val="clear" w:color="auto" w:fill="EAF2FA"/>
          </w:tcPr>
          <w:p w14:paraId="2DF80540" w14:textId="77777777" w:rsidR="000B1AB2" w:rsidRPr="000B1AB2" w:rsidRDefault="000B1AB2" w:rsidP="000B1AB2">
            <w:pPr>
              <w:jc w:val="center"/>
              <w:rPr>
                <w:rFonts w:ascii="Arial" w:hAnsi="Arial"/>
                <w:noProof/>
                <w:sz w:val="18"/>
                <w:szCs w:val="18"/>
              </w:rPr>
            </w:pPr>
            <w:r w:rsidRPr="000B1AB2">
              <w:rPr>
                <w:rFonts w:ascii="Arial" w:hAnsi="Arial"/>
                <w:noProof/>
                <w:sz w:val="18"/>
                <w:szCs w:val="18"/>
              </w:rPr>
              <w:t>X</w:t>
            </w:r>
          </w:p>
        </w:tc>
        <w:tc>
          <w:tcPr>
            <w:tcW w:w="2208" w:type="dxa"/>
            <w:tcBorders>
              <w:top w:val="single" w:sz="4" w:space="0" w:color="006BB7"/>
              <w:left w:val="single" w:sz="4" w:space="0" w:color="006BB7"/>
              <w:bottom w:val="single" w:sz="4" w:space="0" w:color="006BB7"/>
              <w:right w:val="single" w:sz="4" w:space="0" w:color="006BB7"/>
            </w:tcBorders>
            <w:shd w:val="clear" w:color="auto" w:fill="EAF2FA"/>
          </w:tcPr>
          <w:p w14:paraId="1EEE2744" w14:textId="77777777" w:rsidR="000B1AB2" w:rsidRPr="000B1AB2" w:rsidRDefault="000B1AB2" w:rsidP="000B1AB2">
            <w:pPr>
              <w:jc w:val="center"/>
              <w:rPr>
                <w:rFonts w:ascii="Arial" w:hAnsi="Arial"/>
                <w:noProof/>
                <w:sz w:val="18"/>
                <w:szCs w:val="18"/>
              </w:rPr>
            </w:pPr>
            <w:r w:rsidRPr="000B1AB2">
              <w:rPr>
                <w:rFonts w:ascii="Arial" w:hAnsi="Arial"/>
                <w:noProof/>
                <w:sz w:val="18"/>
                <w:szCs w:val="18"/>
              </w:rPr>
              <w:t>X</w:t>
            </w:r>
          </w:p>
        </w:tc>
        <w:tc>
          <w:tcPr>
            <w:tcW w:w="1284" w:type="dxa"/>
            <w:tcBorders>
              <w:top w:val="single" w:sz="4" w:space="0" w:color="006BB7"/>
              <w:left w:val="single" w:sz="4" w:space="0" w:color="006BB7"/>
              <w:bottom w:val="single" w:sz="4" w:space="0" w:color="006BB7"/>
              <w:right w:val="single" w:sz="4" w:space="0" w:color="006BB7"/>
            </w:tcBorders>
            <w:shd w:val="clear" w:color="auto" w:fill="EAF2FA"/>
          </w:tcPr>
          <w:p w14:paraId="31652C54" w14:textId="77777777" w:rsidR="000B1AB2" w:rsidRPr="000B1AB2" w:rsidRDefault="000B1AB2" w:rsidP="000B1AB2">
            <w:pPr>
              <w:jc w:val="center"/>
              <w:rPr>
                <w:rFonts w:ascii="Arial" w:hAnsi="Arial"/>
                <w:noProof/>
                <w:sz w:val="18"/>
                <w:szCs w:val="18"/>
              </w:rPr>
            </w:pPr>
            <w:r w:rsidRPr="000B1AB2">
              <w:rPr>
                <w:rFonts w:ascii="Arial" w:hAnsi="Arial"/>
                <w:noProof/>
                <w:sz w:val="18"/>
                <w:szCs w:val="18"/>
              </w:rPr>
              <w:t>X</w:t>
            </w:r>
          </w:p>
        </w:tc>
      </w:tr>
      <w:tr w:rsidR="000B1AB2" w:rsidRPr="000B1AB2" w14:paraId="2C74DFE6" w14:textId="77777777" w:rsidTr="3F3807E4">
        <w:tc>
          <w:tcPr>
            <w:tcW w:w="3686" w:type="dxa"/>
            <w:tcBorders>
              <w:top w:val="single" w:sz="4" w:space="0" w:color="006BB7"/>
              <w:left w:val="single" w:sz="4" w:space="0" w:color="006BB7"/>
              <w:bottom w:val="single" w:sz="4" w:space="0" w:color="006BB7"/>
              <w:right w:val="single" w:sz="4" w:space="0" w:color="006BB7"/>
            </w:tcBorders>
            <w:shd w:val="clear" w:color="auto" w:fill="FFFFFF" w:themeFill="background1"/>
          </w:tcPr>
          <w:p w14:paraId="04B35577" w14:textId="77777777" w:rsidR="000B1AB2" w:rsidRPr="000B1AB2" w:rsidRDefault="000B1AB2" w:rsidP="000B1AB2">
            <w:pPr>
              <w:rPr>
                <w:rFonts w:ascii="Arial" w:hAnsi="Arial"/>
                <w:noProof/>
                <w:sz w:val="18"/>
                <w:szCs w:val="18"/>
              </w:rPr>
            </w:pPr>
            <w:r w:rsidRPr="000B1AB2">
              <w:rPr>
                <w:rFonts w:ascii="Arial" w:hAnsi="Arial"/>
                <w:noProof/>
                <w:sz w:val="18"/>
                <w:szCs w:val="18"/>
              </w:rPr>
              <w:t xml:space="preserve">Non-governmental organisations </w:t>
            </w:r>
          </w:p>
        </w:tc>
        <w:tc>
          <w:tcPr>
            <w:tcW w:w="1843" w:type="dxa"/>
            <w:tcBorders>
              <w:top w:val="single" w:sz="4" w:space="0" w:color="006BB7"/>
              <w:left w:val="single" w:sz="4" w:space="0" w:color="006BB7"/>
              <w:bottom w:val="single" w:sz="4" w:space="0" w:color="006BB7"/>
              <w:right w:val="single" w:sz="4" w:space="0" w:color="006BB7"/>
            </w:tcBorders>
            <w:shd w:val="clear" w:color="auto" w:fill="FFFFFF" w:themeFill="background1"/>
          </w:tcPr>
          <w:p w14:paraId="6EE2565F" w14:textId="77777777" w:rsidR="000B1AB2" w:rsidRPr="000B1AB2" w:rsidRDefault="000B1AB2" w:rsidP="000B1AB2">
            <w:pPr>
              <w:jc w:val="center"/>
              <w:rPr>
                <w:rFonts w:ascii="Arial" w:hAnsi="Arial"/>
                <w:noProof/>
                <w:sz w:val="18"/>
                <w:szCs w:val="18"/>
              </w:rPr>
            </w:pPr>
            <w:r w:rsidRPr="000B1AB2">
              <w:rPr>
                <w:rFonts w:ascii="Arial" w:hAnsi="Arial"/>
                <w:noProof/>
                <w:sz w:val="18"/>
                <w:szCs w:val="18"/>
              </w:rPr>
              <w:t>X</w:t>
            </w:r>
          </w:p>
        </w:tc>
        <w:tc>
          <w:tcPr>
            <w:tcW w:w="2208" w:type="dxa"/>
            <w:tcBorders>
              <w:top w:val="single" w:sz="4" w:space="0" w:color="006BB7"/>
              <w:left w:val="single" w:sz="4" w:space="0" w:color="006BB7"/>
              <w:bottom w:val="single" w:sz="4" w:space="0" w:color="006BB7"/>
              <w:right w:val="single" w:sz="4" w:space="0" w:color="006BB7"/>
            </w:tcBorders>
            <w:shd w:val="clear" w:color="auto" w:fill="FFFFFF" w:themeFill="background1"/>
          </w:tcPr>
          <w:p w14:paraId="7C1877CA" w14:textId="77777777" w:rsidR="000B1AB2" w:rsidRPr="000B1AB2" w:rsidRDefault="000B1AB2" w:rsidP="000B1AB2">
            <w:pPr>
              <w:jc w:val="center"/>
              <w:rPr>
                <w:rFonts w:ascii="Arial" w:hAnsi="Arial"/>
                <w:noProof/>
                <w:sz w:val="18"/>
                <w:szCs w:val="18"/>
              </w:rPr>
            </w:pPr>
            <w:r w:rsidRPr="000B1AB2">
              <w:rPr>
                <w:rFonts w:ascii="Arial" w:hAnsi="Arial"/>
                <w:noProof/>
                <w:sz w:val="18"/>
                <w:szCs w:val="18"/>
              </w:rPr>
              <w:t>X</w:t>
            </w:r>
          </w:p>
        </w:tc>
        <w:tc>
          <w:tcPr>
            <w:tcW w:w="1284" w:type="dxa"/>
            <w:tcBorders>
              <w:top w:val="single" w:sz="4" w:space="0" w:color="006BB7"/>
              <w:left w:val="single" w:sz="4" w:space="0" w:color="006BB7"/>
              <w:bottom w:val="single" w:sz="4" w:space="0" w:color="006BB7"/>
              <w:right w:val="single" w:sz="4" w:space="0" w:color="006BB7"/>
            </w:tcBorders>
            <w:shd w:val="clear" w:color="auto" w:fill="FFFFFF" w:themeFill="background1"/>
          </w:tcPr>
          <w:p w14:paraId="51B87532" w14:textId="77777777" w:rsidR="000B1AB2" w:rsidRPr="000B1AB2" w:rsidRDefault="000B1AB2" w:rsidP="000B1AB2">
            <w:pPr>
              <w:jc w:val="center"/>
              <w:rPr>
                <w:rFonts w:ascii="Arial" w:hAnsi="Arial"/>
                <w:noProof/>
                <w:sz w:val="18"/>
                <w:szCs w:val="18"/>
              </w:rPr>
            </w:pPr>
            <w:r w:rsidRPr="000B1AB2">
              <w:rPr>
                <w:rFonts w:ascii="Arial" w:hAnsi="Arial"/>
                <w:noProof/>
                <w:sz w:val="18"/>
                <w:szCs w:val="18"/>
              </w:rPr>
              <w:t>X</w:t>
            </w:r>
          </w:p>
        </w:tc>
      </w:tr>
      <w:tr w:rsidR="000B1AB2" w:rsidRPr="000B1AB2" w14:paraId="1953A253" w14:textId="77777777" w:rsidTr="3F3807E4">
        <w:tc>
          <w:tcPr>
            <w:tcW w:w="3686" w:type="dxa"/>
            <w:tcBorders>
              <w:top w:val="single" w:sz="4" w:space="0" w:color="006BB7"/>
              <w:left w:val="single" w:sz="4" w:space="0" w:color="006BB7"/>
              <w:bottom w:val="single" w:sz="4" w:space="0" w:color="006BB7"/>
              <w:right w:val="single" w:sz="4" w:space="0" w:color="006BB7"/>
            </w:tcBorders>
            <w:shd w:val="clear" w:color="auto" w:fill="EAF2FA"/>
          </w:tcPr>
          <w:p w14:paraId="1ABE4124" w14:textId="77777777" w:rsidR="000B1AB2" w:rsidRPr="000B1AB2" w:rsidRDefault="000B1AB2" w:rsidP="000B1AB2">
            <w:pPr>
              <w:rPr>
                <w:rFonts w:ascii="Arial" w:hAnsi="Arial"/>
                <w:noProof/>
                <w:sz w:val="18"/>
                <w:szCs w:val="18"/>
              </w:rPr>
            </w:pPr>
            <w:r w:rsidRPr="000B1AB2">
              <w:rPr>
                <w:rFonts w:ascii="Arial" w:hAnsi="Arial"/>
                <w:noProof/>
                <w:sz w:val="18"/>
                <w:szCs w:val="18"/>
              </w:rPr>
              <w:t xml:space="preserve">International organisations </w:t>
            </w:r>
          </w:p>
        </w:tc>
        <w:tc>
          <w:tcPr>
            <w:tcW w:w="1843" w:type="dxa"/>
            <w:tcBorders>
              <w:top w:val="single" w:sz="4" w:space="0" w:color="006BB7"/>
              <w:left w:val="single" w:sz="4" w:space="0" w:color="006BB7"/>
              <w:bottom w:val="single" w:sz="4" w:space="0" w:color="006BB7"/>
              <w:right w:val="single" w:sz="4" w:space="0" w:color="006BB7"/>
            </w:tcBorders>
            <w:shd w:val="clear" w:color="auto" w:fill="EAF2FA"/>
          </w:tcPr>
          <w:p w14:paraId="0FD5B99A" w14:textId="77777777" w:rsidR="000B1AB2" w:rsidRPr="000B1AB2" w:rsidRDefault="000B1AB2" w:rsidP="000B1AB2">
            <w:pPr>
              <w:jc w:val="center"/>
              <w:rPr>
                <w:rFonts w:ascii="Arial" w:hAnsi="Arial"/>
                <w:noProof/>
                <w:sz w:val="18"/>
                <w:szCs w:val="18"/>
              </w:rPr>
            </w:pPr>
            <w:r w:rsidRPr="000B1AB2">
              <w:rPr>
                <w:rFonts w:ascii="Arial" w:hAnsi="Arial"/>
                <w:noProof/>
                <w:sz w:val="18"/>
                <w:szCs w:val="18"/>
              </w:rPr>
              <w:t>X</w:t>
            </w:r>
          </w:p>
        </w:tc>
        <w:tc>
          <w:tcPr>
            <w:tcW w:w="2208" w:type="dxa"/>
            <w:tcBorders>
              <w:top w:val="single" w:sz="4" w:space="0" w:color="006BB7"/>
              <w:left w:val="single" w:sz="4" w:space="0" w:color="006BB7"/>
              <w:bottom w:val="single" w:sz="4" w:space="0" w:color="006BB7"/>
              <w:right w:val="single" w:sz="4" w:space="0" w:color="006BB7"/>
            </w:tcBorders>
            <w:shd w:val="clear" w:color="auto" w:fill="EAF2FA"/>
          </w:tcPr>
          <w:p w14:paraId="153E1347" w14:textId="77777777" w:rsidR="000B1AB2" w:rsidRPr="000B1AB2" w:rsidRDefault="000B1AB2" w:rsidP="000B1AB2">
            <w:pPr>
              <w:jc w:val="center"/>
              <w:rPr>
                <w:rFonts w:ascii="Arial" w:hAnsi="Arial"/>
                <w:noProof/>
                <w:sz w:val="18"/>
                <w:szCs w:val="18"/>
              </w:rPr>
            </w:pPr>
            <w:r w:rsidRPr="000B1AB2">
              <w:rPr>
                <w:rFonts w:ascii="Arial" w:hAnsi="Arial"/>
                <w:noProof/>
                <w:sz w:val="18"/>
                <w:szCs w:val="18"/>
              </w:rPr>
              <w:t>X</w:t>
            </w:r>
          </w:p>
        </w:tc>
        <w:tc>
          <w:tcPr>
            <w:tcW w:w="1284" w:type="dxa"/>
            <w:tcBorders>
              <w:top w:val="single" w:sz="4" w:space="0" w:color="006BB7"/>
              <w:left w:val="single" w:sz="4" w:space="0" w:color="006BB7"/>
              <w:bottom w:val="single" w:sz="4" w:space="0" w:color="006BB7"/>
              <w:right w:val="single" w:sz="4" w:space="0" w:color="006BB7"/>
            </w:tcBorders>
            <w:shd w:val="clear" w:color="auto" w:fill="EAF2FA"/>
          </w:tcPr>
          <w:p w14:paraId="09764577" w14:textId="77777777" w:rsidR="000B1AB2" w:rsidRPr="000B1AB2" w:rsidRDefault="000B1AB2" w:rsidP="000B1AB2">
            <w:pPr>
              <w:jc w:val="center"/>
              <w:rPr>
                <w:rFonts w:ascii="Arial" w:hAnsi="Arial"/>
                <w:noProof/>
                <w:sz w:val="18"/>
                <w:szCs w:val="18"/>
              </w:rPr>
            </w:pPr>
            <w:r w:rsidRPr="000B1AB2">
              <w:rPr>
                <w:rFonts w:ascii="Arial" w:hAnsi="Arial"/>
                <w:noProof/>
                <w:sz w:val="18"/>
                <w:szCs w:val="18"/>
              </w:rPr>
              <w:t>X</w:t>
            </w:r>
          </w:p>
        </w:tc>
      </w:tr>
    </w:tbl>
    <w:p w14:paraId="20F9DA70" w14:textId="77777777" w:rsidR="000B1AB2" w:rsidRPr="000B1AB2" w:rsidRDefault="000B1AB2" w:rsidP="0017603A">
      <w:pPr>
        <w:pStyle w:val="AppendixHeadingLevel2"/>
        <w:numPr>
          <w:ilvl w:val="1"/>
          <w:numId w:val="107"/>
        </w:numPr>
        <w:rPr>
          <w:noProof/>
        </w:rPr>
      </w:pPr>
      <w:r w:rsidRPr="000B1AB2">
        <w:rPr>
          <w:noProof/>
        </w:rPr>
        <w:t>Consultation activities and other information sources</w:t>
      </w:r>
      <w:bookmarkEnd w:id="452"/>
    </w:p>
    <w:p w14:paraId="6BAB296A" w14:textId="5A346153" w:rsidR="002F5D70" w:rsidRPr="0085241A" w:rsidRDefault="000B1AB2" w:rsidP="009B0176">
      <w:pPr>
        <w:spacing w:after="160"/>
        <w:rPr>
          <w:noProof/>
        </w:rPr>
      </w:pPr>
      <w:r w:rsidRPr="00705EEF">
        <w:rPr>
          <w:rFonts w:eastAsia="Calibri" w:cs="Times New Roman"/>
          <w:noProof/>
          <w:szCs w:val="24"/>
        </w:rPr>
        <w:t xml:space="preserve">The consultations gathered views on the achievements of the Regulation to date with respect to its relevance, effectiveness, efficiency, EU added value and internal and external coherence. In addition, feedback was also gathered on potential </w:t>
      </w:r>
      <w:r w:rsidR="009A0CA2">
        <w:rPr>
          <w:rFonts w:eastAsia="Calibri" w:cs="Times New Roman"/>
          <w:noProof/>
          <w:szCs w:val="24"/>
        </w:rPr>
        <w:t>measures</w:t>
      </w:r>
      <w:r w:rsidRPr="00705EEF">
        <w:rPr>
          <w:rFonts w:eastAsia="Calibri" w:cs="Times New Roman"/>
          <w:noProof/>
          <w:szCs w:val="24"/>
        </w:rPr>
        <w:t xml:space="preserve"> and their likely environmental, economic and social impacts, taking into account the European Green Deal and its more ambitious targets and the obligations on hydrofluor</w:t>
      </w:r>
      <w:r w:rsidR="00403E52">
        <w:rPr>
          <w:rFonts w:eastAsia="Calibri" w:cs="Times New Roman"/>
          <w:noProof/>
          <w:szCs w:val="24"/>
        </w:rPr>
        <w:t>o</w:t>
      </w:r>
      <w:r w:rsidRPr="00705EEF">
        <w:rPr>
          <w:rFonts w:eastAsia="Calibri" w:cs="Times New Roman"/>
          <w:noProof/>
          <w:szCs w:val="24"/>
        </w:rPr>
        <w:t xml:space="preserve">carbons under the Montreal Protocol. </w:t>
      </w:r>
    </w:p>
    <w:p w14:paraId="56F3000C" w14:textId="5B43AC72" w:rsidR="000B1AB2" w:rsidRPr="00705EEF" w:rsidRDefault="000B1AB2" w:rsidP="009B0176">
      <w:pPr>
        <w:spacing w:after="160"/>
        <w:rPr>
          <w:rFonts w:eastAsia="Calibri" w:cs="Times New Roman"/>
          <w:noProof/>
          <w:szCs w:val="24"/>
          <w:lang w:val="en-US"/>
        </w:rPr>
      </w:pPr>
      <w:r w:rsidRPr="00705EEF">
        <w:rPr>
          <w:rFonts w:eastAsia="Calibri" w:cs="Times New Roman"/>
          <w:noProof/>
          <w:szCs w:val="24"/>
          <w:lang w:val="en-US"/>
        </w:rPr>
        <w:t xml:space="preserve">The responses related to the main objectives for the reviews and (potential changes to) the main measures in the Regulation that include: a quota system for hydrofluorocarbons (HFC phase-down) and prohibitions to market or use F-gases in certain equipment, taking into account exemptions from these provisions; containment/leakage prevention measures for F-gas equipment (e.g. in form of mandatory leakage checks) and training and certification of technicians; as well as well as labelling of and reporting on gases and F-gas equipment. </w:t>
      </w:r>
    </w:p>
    <w:p w14:paraId="4355B1E3" w14:textId="4FD939A1" w:rsidR="000B1AB2" w:rsidRPr="00705EEF" w:rsidRDefault="000B1AB2" w:rsidP="009B0176">
      <w:pPr>
        <w:spacing w:after="160"/>
        <w:rPr>
          <w:rFonts w:eastAsia="Calibri" w:cs="Times New Roman"/>
          <w:noProof/>
          <w:szCs w:val="24"/>
          <w:lang w:val="en-US"/>
        </w:rPr>
      </w:pPr>
      <w:r w:rsidRPr="00705EEF">
        <w:rPr>
          <w:rFonts w:eastAsia="Calibri" w:cs="Times New Roman"/>
          <w:noProof/>
          <w:szCs w:val="24"/>
          <w:lang w:val="en-US"/>
        </w:rPr>
        <w:t xml:space="preserve">The </w:t>
      </w:r>
      <w:r w:rsidRPr="00705EEF">
        <w:rPr>
          <w:rFonts w:eastAsia="Calibri" w:cs="Times New Roman"/>
          <w:b/>
          <w:i/>
          <w:noProof/>
          <w:szCs w:val="24"/>
          <w:lang w:val="en-US"/>
        </w:rPr>
        <w:t xml:space="preserve">consultation on the review roadmap </w:t>
      </w:r>
      <w:r w:rsidRPr="00705EEF">
        <w:rPr>
          <w:rFonts w:eastAsia="Calibri" w:cs="Times New Roman"/>
          <w:noProof/>
          <w:szCs w:val="24"/>
          <w:lang w:val="en-US"/>
        </w:rPr>
        <w:t>from 29 June 2020 to 07 September 2020 and</w:t>
      </w:r>
      <w:r w:rsidRPr="00705EEF">
        <w:rPr>
          <w:rFonts w:eastAsia="Calibri" w:cs="Times New Roman"/>
          <w:b/>
          <w:i/>
          <w:noProof/>
          <w:szCs w:val="24"/>
          <w:lang w:val="en-US"/>
        </w:rPr>
        <w:t xml:space="preserve"> </w:t>
      </w:r>
      <w:r w:rsidRPr="00705EEF">
        <w:rPr>
          <w:rFonts w:eastAsia="Calibri" w:cs="Times New Roman"/>
          <w:noProof/>
          <w:szCs w:val="24"/>
          <w:lang w:val="en-US"/>
        </w:rPr>
        <w:t xml:space="preserve">the </w:t>
      </w:r>
      <w:r w:rsidRPr="00705EEF">
        <w:rPr>
          <w:rFonts w:eastAsia="Calibri" w:cs="Times New Roman"/>
          <w:b/>
          <w:i/>
          <w:noProof/>
          <w:szCs w:val="24"/>
          <w:lang w:val="en-US"/>
        </w:rPr>
        <w:t>online public consultation (OPC)</w:t>
      </w:r>
      <w:r w:rsidRPr="00705EEF">
        <w:rPr>
          <w:rFonts w:eastAsia="Calibri" w:cs="Times New Roman"/>
          <w:noProof/>
          <w:szCs w:val="24"/>
          <w:lang w:val="en-US"/>
        </w:rPr>
        <w:t xml:space="preserve"> from 15 September 2020 to 29 December 2020 provided an opportunity for all stakeholders to contribute views on the Regulation, irrespective of the respondents’ level of familiarity with the Regulation. These activities received 76 and 241 responses respectively. For the OPC, respondents comprised: individual company/business</w:t>
      </w:r>
      <w:r w:rsidRPr="0095621C">
        <w:rPr>
          <w:rFonts w:eastAsia="Calibri" w:cs="Times New Roman"/>
          <w:noProof/>
          <w:szCs w:val="24"/>
          <w:lang w:val="en-IE"/>
        </w:rPr>
        <w:t xml:space="preserve"> organisations</w:t>
      </w:r>
      <w:r w:rsidRPr="00705EEF">
        <w:rPr>
          <w:rFonts w:eastAsia="Calibri" w:cs="Times New Roman"/>
          <w:noProof/>
          <w:szCs w:val="24"/>
          <w:lang w:val="en-US"/>
        </w:rPr>
        <w:t xml:space="preserve"> (124, 51.5%), business associations (44, 18.3%), EU citizens (28, 11.6%), non-governmental organisations (NGOs) (14, 5.8%), public authorities (8, 3.3%), academic/research institutions (6, 2.5%), consumer organisations (3, 1.2%), one respondent identifying as a trade union (0.4%) and several who identified as ‘other’  (13, 5.4%).</w:t>
      </w:r>
      <w:r w:rsidRPr="00705EEF">
        <w:rPr>
          <w:rFonts w:eastAsia="Calibri" w:cs="Times New Roman"/>
          <w:noProof/>
          <w:szCs w:val="24"/>
        </w:rPr>
        <w:t xml:space="preserve"> Respondents to the OPC also had the opportunity to upload supporting documents. A summary of the OPC results is available on the ‘Have your say’ website</w:t>
      </w:r>
      <w:r w:rsidRPr="00705EEF">
        <w:rPr>
          <w:rFonts w:eastAsia="Calibri" w:cs="Times New Roman"/>
          <w:noProof/>
          <w:szCs w:val="24"/>
          <w:vertAlign w:val="superscript"/>
        </w:rPr>
        <w:footnoteReference w:id="124"/>
      </w:r>
      <w:r w:rsidRPr="00705EEF">
        <w:rPr>
          <w:rFonts w:eastAsia="Calibri" w:cs="Times New Roman"/>
          <w:noProof/>
          <w:szCs w:val="24"/>
        </w:rPr>
        <w:t>.</w:t>
      </w:r>
    </w:p>
    <w:p w14:paraId="49963006" w14:textId="24BB35BD" w:rsidR="000B1AB2" w:rsidRPr="00705EEF" w:rsidRDefault="000B1AB2" w:rsidP="00581400">
      <w:pPr>
        <w:spacing w:after="160"/>
        <w:rPr>
          <w:rFonts w:eastAsia="Calibri" w:cs="Times New Roman"/>
          <w:noProof/>
          <w:szCs w:val="24"/>
        </w:rPr>
      </w:pPr>
      <w:r w:rsidRPr="00705EEF">
        <w:rPr>
          <w:rFonts w:eastAsia="Calibri" w:cs="Times New Roman"/>
          <w:noProof/>
          <w:szCs w:val="24"/>
        </w:rPr>
        <w:t xml:space="preserve">As a part of the </w:t>
      </w:r>
      <w:r w:rsidRPr="00705EEF">
        <w:rPr>
          <w:rFonts w:eastAsia="Calibri" w:cs="Times New Roman"/>
          <w:b/>
          <w:i/>
          <w:noProof/>
          <w:szCs w:val="24"/>
        </w:rPr>
        <w:t>targeted consultation</w:t>
      </w:r>
      <w:r w:rsidRPr="00705EEF">
        <w:rPr>
          <w:rFonts w:eastAsia="Calibri" w:cs="Times New Roman"/>
          <w:noProof/>
          <w:szCs w:val="24"/>
        </w:rPr>
        <w:t xml:space="preserve">, 34 semi-structured interviews were undertaken. The targeted interviews covered a broad range of stakeholders including: 16 competent authorities, two customs authorities, one Non-Governmental Organisation (NGO), 16 EU business associations and organisations, and several individual companies. In addition, two competent authorities and two customs authorities provided written response to the interview questions (rather than participating in a telephone interview). The selection of interviewees in the case of </w:t>
      </w:r>
      <w:r w:rsidR="00CA26BC">
        <w:rPr>
          <w:rFonts w:eastAsia="Calibri" w:cs="Times New Roman"/>
          <w:noProof/>
          <w:szCs w:val="24"/>
        </w:rPr>
        <w:t>competent</w:t>
      </w:r>
      <w:r w:rsidRPr="00705EEF">
        <w:rPr>
          <w:rFonts w:eastAsia="Calibri" w:cs="Times New Roman"/>
          <w:noProof/>
          <w:szCs w:val="24"/>
        </w:rPr>
        <w:t xml:space="preserve"> authorities and customs authorities was based on their interest and availability. In the case of industry organisations, interviewees were selected to achieve a comprehensive sector coverage and depending on the open issues and evidence gaps, which needed to be discussed. The interviews followed a pre-set </w:t>
      </w:r>
      <w:r w:rsidRPr="00403E52">
        <w:rPr>
          <w:rFonts w:eastAsia="Calibri" w:cs="Times New Roman"/>
          <w:i/>
          <w:noProof/>
          <w:szCs w:val="24"/>
        </w:rPr>
        <w:t>proforma</w:t>
      </w:r>
      <w:r w:rsidRPr="00705EEF">
        <w:rPr>
          <w:rFonts w:eastAsia="Calibri" w:cs="Times New Roman"/>
          <w:noProof/>
          <w:szCs w:val="24"/>
        </w:rPr>
        <w:t>, whilst also keeping in mind the respective expertise of the stakeholders interviewed and the availability of data on present and future administrative, implementation and enforcement costs. Stakeholders were given the opportunity to check and complement the interview notes and submit additional information after the interview.</w:t>
      </w:r>
    </w:p>
    <w:p w14:paraId="21BD38DD" w14:textId="21F06086" w:rsidR="000B1AB2" w:rsidRPr="00705EEF" w:rsidRDefault="000B1AB2" w:rsidP="00581400">
      <w:pPr>
        <w:spacing w:after="160"/>
        <w:rPr>
          <w:rFonts w:eastAsia="Calibri" w:cs="Times New Roman"/>
          <w:noProof/>
          <w:szCs w:val="24"/>
        </w:rPr>
      </w:pPr>
      <w:r w:rsidRPr="00705EEF">
        <w:rPr>
          <w:rFonts w:eastAsia="Calibri" w:cs="Times New Roman"/>
          <w:noProof/>
          <w:szCs w:val="24"/>
        </w:rPr>
        <w:t xml:space="preserve">A full-day, online stakeholder </w:t>
      </w:r>
      <w:r w:rsidRPr="00705EEF">
        <w:rPr>
          <w:rFonts w:eastAsia="Calibri" w:cs="Times New Roman"/>
          <w:b/>
          <w:i/>
          <w:noProof/>
          <w:szCs w:val="24"/>
        </w:rPr>
        <w:t>workshop</w:t>
      </w:r>
      <w:r w:rsidRPr="00705EEF">
        <w:rPr>
          <w:rFonts w:eastAsia="Calibri" w:cs="Times New Roman"/>
          <w:noProof/>
          <w:szCs w:val="24"/>
        </w:rPr>
        <w:t xml:space="preserve"> was held on 6 May 2021. At the workshop preliminary results of the evaluation were presented, alongside the draft set of options being considered in the impact assessment and preliminary analysis of the options. The workshop was attended by 355 participants. Participants were </w:t>
      </w:r>
      <w:r w:rsidR="008B6FEE">
        <w:rPr>
          <w:rFonts w:eastAsia="Calibri" w:cs="Times New Roman"/>
          <w:noProof/>
          <w:szCs w:val="24"/>
        </w:rPr>
        <w:t>given</w:t>
      </w:r>
      <w:r w:rsidR="008B6FEE" w:rsidRPr="00705EEF">
        <w:rPr>
          <w:rFonts w:eastAsia="Calibri" w:cs="Times New Roman"/>
          <w:noProof/>
          <w:szCs w:val="24"/>
        </w:rPr>
        <w:t xml:space="preserve"> </w:t>
      </w:r>
      <w:r w:rsidRPr="00705EEF">
        <w:rPr>
          <w:rFonts w:eastAsia="Calibri" w:cs="Times New Roman"/>
          <w:noProof/>
          <w:szCs w:val="24"/>
        </w:rPr>
        <w:t>two and a half weeks to provide additional feedback (to 24 May 2021). 69 participants provided written feedback after the workshop. The agenda</w:t>
      </w:r>
      <w:r w:rsidRPr="00705EEF">
        <w:rPr>
          <w:rFonts w:eastAsia="Calibri" w:cs="Times New Roman"/>
          <w:noProof/>
          <w:szCs w:val="24"/>
          <w:vertAlign w:val="superscript"/>
        </w:rPr>
        <w:footnoteReference w:id="125"/>
      </w:r>
      <w:r w:rsidRPr="00705EEF">
        <w:rPr>
          <w:rFonts w:eastAsia="Calibri" w:cs="Times New Roman"/>
          <w:noProof/>
          <w:szCs w:val="24"/>
        </w:rPr>
        <w:t>, presentations</w:t>
      </w:r>
      <w:r w:rsidRPr="00705EEF">
        <w:rPr>
          <w:rFonts w:eastAsia="Calibri" w:cs="Times New Roman"/>
          <w:noProof/>
          <w:szCs w:val="24"/>
          <w:vertAlign w:val="superscript"/>
        </w:rPr>
        <w:footnoteReference w:id="126"/>
      </w:r>
      <w:r w:rsidRPr="00705EEF">
        <w:rPr>
          <w:rFonts w:eastAsia="Calibri" w:cs="Times New Roman"/>
          <w:noProof/>
          <w:szCs w:val="24"/>
        </w:rPr>
        <w:t xml:space="preserve"> and briefing material</w:t>
      </w:r>
      <w:r w:rsidRPr="00705EEF">
        <w:rPr>
          <w:rFonts w:eastAsia="Calibri" w:cs="Times New Roman"/>
          <w:noProof/>
          <w:szCs w:val="24"/>
          <w:vertAlign w:val="superscript"/>
        </w:rPr>
        <w:footnoteReference w:id="127"/>
      </w:r>
      <w:r w:rsidRPr="00705EEF">
        <w:rPr>
          <w:rFonts w:eastAsia="Calibri" w:cs="Times New Roman"/>
          <w:noProof/>
          <w:szCs w:val="24"/>
        </w:rPr>
        <w:t xml:space="preserve"> for the workshop are available online.</w:t>
      </w:r>
    </w:p>
    <w:p w14:paraId="733B323A" w14:textId="1A115131" w:rsidR="000B1AB2" w:rsidRPr="00705EEF" w:rsidRDefault="000B1AB2" w:rsidP="00581400">
      <w:pPr>
        <w:spacing w:after="160"/>
        <w:rPr>
          <w:rFonts w:eastAsia="Calibri" w:cs="Times New Roman"/>
          <w:noProof/>
          <w:szCs w:val="24"/>
        </w:rPr>
      </w:pPr>
      <w:r w:rsidRPr="00705EEF">
        <w:rPr>
          <w:rFonts w:eastAsia="Calibri" w:cs="Times New Roman"/>
          <w:noProof/>
          <w:szCs w:val="24"/>
        </w:rPr>
        <w:t xml:space="preserve">A summary of the results of the consultations related to the functioning of the existing Regulation is in Section 4 and views on the future Regulation </w:t>
      </w:r>
      <w:r w:rsidR="008B6FEE">
        <w:rPr>
          <w:rFonts w:eastAsia="Calibri" w:cs="Times New Roman"/>
          <w:noProof/>
          <w:szCs w:val="24"/>
        </w:rPr>
        <w:t>are</w:t>
      </w:r>
      <w:r w:rsidRPr="00705EEF">
        <w:rPr>
          <w:rFonts w:eastAsia="Calibri" w:cs="Times New Roman"/>
          <w:noProof/>
          <w:szCs w:val="24"/>
        </w:rPr>
        <w:t xml:space="preserve"> provided in Section 5.</w:t>
      </w:r>
    </w:p>
    <w:p w14:paraId="4102C0E6" w14:textId="77777777" w:rsidR="000B1AB2" w:rsidRPr="000B1AB2" w:rsidRDefault="000B1AB2" w:rsidP="0017603A">
      <w:pPr>
        <w:pStyle w:val="AppendixHeadingLevel2"/>
        <w:numPr>
          <w:ilvl w:val="1"/>
          <w:numId w:val="107"/>
        </w:numPr>
        <w:rPr>
          <w:noProof/>
        </w:rPr>
      </w:pPr>
      <w:bookmarkStart w:id="453" w:name="_Toc85655102"/>
      <w:r w:rsidRPr="000B1AB2">
        <w:rPr>
          <w:noProof/>
        </w:rPr>
        <w:t>Results of consultation activities – Evaluation</w:t>
      </w:r>
      <w:bookmarkEnd w:id="453"/>
    </w:p>
    <w:p w14:paraId="21AF0BB4" w14:textId="77777777" w:rsidR="000B1AB2" w:rsidRPr="000B1AB2" w:rsidRDefault="000B1AB2" w:rsidP="0017603A">
      <w:pPr>
        <w:pStyle w:val="AppendixHeadingLevel3"/>
        <w:numPr>
          <w:ilvl w:val="2"/>
          <w:numId w:val="107"/>
        </w:numPr>
        <w:rPr>
          <w:noProof/>
          <w:lang w:eastAsia="en-GB"/>
        </w:rPr>
      </w:pPr>
      <w:bookmarkStart w:id="454" w:name="_Toc85655103"/>
      <w:r w:rsidRPr="000B1AB2">
        <w:rPr>
          <w:noProof/>
          <w:lang w:eastAsia="en-GB"/>
        </w:rPr>
        <w:t>Effectiveness</w:t>
      </w:r>
      <w:bookmarkEnd w:id="454"/>
    </w:p>
    <w:p w14:paraId="5360AB31" w14:textId="77777777" w:rsidR="000B1AB2" w:rsidRPr="00705EEF" w:rsidRDefault="000B1AB2" w:rsidP="00BE4A7F">
      <w:pPr>
        <w:spacing w:after="160"/>
        <w:rPr>
          <w:rFonts w:eastAsia="Calibri" w:cs="Times New Roman"/>
          <w:noProof/>
          <w:szCs w:val="24"/>
        </w:rPr>
      </w:pPr>
      <w:r w:rsidRPr="00705EEF">
        <w:rPr>
          <w:rFonts w:eastAsia="Calibri" w:cs="Times New Roman"/>
          <w:b/>
          <w:i/>
          <w:noProof/>
          <w:szCs w:val="24"/>
        </w:rPr>
        <w:t>Achievement of Objective 1: Discourage the use of F-gases with high GWP in the EU and encourage the use of alternative substances or technologies when they result in lower GHG emissions without compromising safety, functionality and energy efficiency</w:t>
      </w:r>
    </w:p>
    <w:p w14:paraId="3E94567C" w14:textId="53B7D5BA" w:rsidR="000B1AB2" w:rsidRPr="00705EEF" w:rsidRDefault="000B1AB2" w:rsidP="00BE4A7F">
      <w:pPr>
        <w:spacing w:after="160"/>
        <w:rPr>
          <w:rFonts w:eastAsia="Calibri" w:cs="Times New Roman"/>
          <w:noProof/>
          <w:szCs w:val="24"/>
        </w:rPr>
      </w:pPr>
      <w:r w:rsidRPr="00705EEF">
        <w:rPr>
          <w:rFonts w:eastAsia="Calibri" w:cs="Times New Roman"/>
          <w:noProof/>
          <w:szCs w:val="24"/>
        </w:rPr>
        <w:t xml:space="preserve">There is consensus among stakeholders that the Regulation has had a positive impact with respect to discouraging the use of F-gases with high-GWP in the EU, and promoting the use of alternative substances, positioning the EU as a frontrunner in this area. Industry and NGO stakeholders also described that the energy-efficiency of home appliances and RACHP equipment has improved over the implementation period leading to energy savings. Energy efficiency where alternatives are used is considered to be at least equivalent (or often better) than the best HFC systems. The </w:t>
      </w:r>
      <w:r w:rsidR="009A0CA2">
        <w:rPr>
          <w:rFonts w:eastAsia="Calibri" w:cs="Times New Roman"/>
          <w:noProof/>
          <w:szCs w:val="24"/>
        </w:rPr>
        <w:t>use of</w:t>
      </w:r>
      <w:r w:rsidRPr="00705EEF">
        <w:rPr>
          <w:rFonts w:eastAsia="Calibri" w:cs="Times New Roman"/>
          <w:noProof/>
          <w:szCs w:val="24"/>
        </w:rPr>
        <w:t xml:space="preserve"> alternative refrigerants was generally not considered to have resulted in a trade-off </w:t>
      </w:r>
      <w:r w:rsidR="009A0CA2">
        <w:rPr>
          <w:rFonts w:eastAsia="Calibri" w:cs="Times New Roman"/>
          <w:noProof/>
          <w:szCs w:val="24"/>
        </w:rPr>
        <w:t>in terms of lower</w:t>
      </w:r>
      <w:r w:rsidRPr="00705EEF">
        <w:rPr>
          <w:rFonts w:eastAsia="Calibri" w:cs="Times New Roman"/>
          <w:noProof/>
          <w:szCs w:val="24"/>
        </w:rPr>
        <w:t xml:space="preserve"> energy </w:t>
      </w:r>
      <w:r w:rsidR="009A0CA2">
        <w:rPr>
          <w:rFonts w:eastAsia="Calibri" w:cs="Times New Roman"/>
          <w:noProof/>
          <w:szCs w:val="24"/>
        </w:rPr>
        <w:t>efficiency</w:t>
      </w:r>
      <w:r w:rsidRPr="00705EEF">
        <w:rPr>
          <w:rFonts w:eastAsia="Calibri" w:cs="Times New Roman"/>
          <w:noProof/>
          <w:szCs w:val="24"/>
        </w:rPr>
        <w:t xml:space="preserve">, and synergies with linked legislation (e.g. </w:t>
      </w:r>
      <w:r w:rsidR="0018090C">
        <w:rPr>
          <w:rFonts w:eastAsia="Calibri" w:cs="Times New Roman"/>
          <w:noProof/>
          <w:szCs w:val="24"/>
        </w:rPr>
        <w:t>Eco-design</w:t>
      </w:r>
      <w:r w:rsidRPr="00705EEF">
        <w:rPr>
          <w:rFonts w:eastAsia="Calibri" w:cs="Times New Roman"/>
          <w:noProof/>
          <w:szCs w:val="24"/>
        </w:rPr>
        <w:t>) have been broadly exploited.</w:t>
      </w:r>
    </w:p>
    <w:p w14:paraId="5BC6AB29" w14:textId="63747FD4" w:rsidR="000B1AB2" w:rsidRPr="00705EEF" w:rsidRDefault="000B1AB2" w:rsidP="00BE4A7F">
      <w:pPr>
        <w:spacing w:after="160"/>
        <w:rPr>
          <w:rFonts w:eastAsia="Calibri" w:cs="Times New Roman"/>
          <w:noProof/>
          <w:szCs w:val="24"/>
        </w:rPr>
      </w:pPr>
      <w:r w:rsidRPr="00705EEF">
        <w:rPr>
          <w:rFonts w:eastAsia="Calibri" w:cs="Times New Roman"/>
          <w:noProof/>
          <w:szCs w:val="24"/>
        </w:rPr>
        <w:t>With regard</w:t>
      </w:r>
      <w:r w:rsidR="00CA26BC">
        <w:rPr>
          <w:rFonts w:eastAsia="Calibri" w:cs="Times New Roman"/>
          <w:noProof/>
          <w:szCs w:val="24"/>
        </w:rPr>
        <w:t xml:space="preserve"> to</w:t>
      </w:r>
      <w:r w:rsidRPr="00705EEF">
        <w:rPr>
          <w:rFonts w:eastAsia="Calibri" w:cs="Times New Roman"/>
          <w:noProof/>
          <w:szCs w:val="24"/>
        </w:rPr>
        <w:t xml:space="preserve"> the individual measures in the Regulation, stakeholders agreed that the HFC phase-down has been an effective measure, especially in combination with prohibitions. Some stakeholders suggested that the HFC phase-down has been the most important measure of the Regulation as it provides flexibility and clarity, whilst also driving efficient change. Stakeholders also broadly agreed that the prohibitions to market or use F-gases ha</w:t>
      </w:r>
      <w:r w:rsidR="008B6FEE">
        <w:rPr>
          <w:rFonts w:eastAsia="Calibri" w:cs="Times New Roman"/>
          <w:noProof/>
          <w:szCs w:val="24"/>
        </w:rPr>
        <w:t>s</w:t>
      </w:r>
      <w:r w:rsidRPr="00705EEF">
        <w:rPr>
          <w:rFonts w:eastAsia="Calibri" w:cs="Times New Roman"/>
          <w:noProof/>
          <w:szCs w:val="24"/>
        </w:rPr>
        <w:t xml:space="preserve"> been effective. Stakeholders agreed that labelling has been effective in contributing to the achievement of the Regulation objectives, and in fact identifying incorrect or incomplete labelling has been one important way of identifying illegal shipments by customs. </w:t>
      </w:r>
    </w:p>
    <w:p w14:paraId="6FA1351C" w14:textId="4069A62B" w:rsidR="000B1AB2" w:rsidRPr="00705EEF" w:rsidRDefault="000B1AB2" w:rsidP="00BE4A7F">
      <w:pPr>
        <w:spacing w:after="160"/>
        <w:rPr>
          <w:rFonts w:eastAsia="Calibri" w:cs="Times New Roman"/>
          <w:noProof/>
          <w:szCs w:val="24"/>
        </w:rPr>
      </w:pPr>
      <w:r w:rsidRPr="00705EEF">
        <w:rPr>
          <w:rFonts w:eastAsia="Calibri" w:cs="Times New Roman"/>
          <w:noProof/>
          <w:szCs w:val="24"/>
        </w:rPr>
        <w:t xml:space="preserve">There </w:t>
      </w:r>
      <w:r w:rsidR="00CA26BC">
        <w:rPr>
          <w:rFonts w:eastAsia="Calibri" w:cs="Times New Roman"/>
          <w:noProof/>
          <w:szCs w:val="24"/>
        </w:rPr>
        <w:t>are</w:t>
      </w:r>
      <w:r w:rsidRPr="00705EEF">
        <w:rPr>
          <w:rFonts w:eastAsia="Calibri" w:cs="Times New Roman"/>
          <w:noProof/>
          <w:szCs w:val="24"/>
        </w:rPr>
        <w:t xml:space="preserve"> mixed opinion</w:t>
      </w:r>
      <w:r w:rsidR="00CA26BC">
        <w:rPr>
          <w:rFonts w:eastAsia="Calibri" w:cs="Times New Roman"/>
          <w:noProof/>
          <w:szCs w:val="24"/>
        </w:rPr>
        <w:t>s</w:t>
      </w:r>
      <w:r w:rsidRPr="00705EEF">
        <w:rPr>
          <w:rFonts w:eastAsia="Calibri" w:cs="Times New Roman"/>
          <w:noProof/>
          <w:szCs w:val="24"/>
        </w:rPr>
        <w:t xml:space="preserve"> amongst stakeholders with respect to reporting and verification. Industry, business associations and citizens tend to consider that reporting has been generally effective (although there is variation within these groups). The overall </w:t>
      </w:r>
      <w:r w:rsidR="0061381C">
        <w:rPr>
          <w:rFonts w:eastAsia="Calibri" w:cs="Times New Roman"/>
          <w:noProof/>
          <w:szCs w:val="24"/>
        </w:rPr>
        <w:t>opinion</w:t>
      </w:r>
      <w:r w:rsidRPr="00705EEF">
        <w:rPr>
          <w:rFonts w:eastAsia="Calibri" w:cs="Times New Roman"/>
          <w:noProof/>
          <w:szCs w:val="24"/>
        </w:rPr>
        <w:t xml:space="preserve"> is more neutral amongst NGOs, whereas </w:t>
      </w:r>
      <w:r w:rsidR="00CA26BC">
        <w:rPr>
          <w:rFonts w:eastAsia="Calibri" w:cs="Times New Roman"/>
          <w:noProof/>
          <w:szCs w:val="24"/>
        </w:rPr>
        <w:t>a</w:t>
      </w:r>
      <w:r w:rsidRPr="00705EEF">
        <w:rPr>
          <w:rFonts w:eastAsia="Calibri" w:cs="Times New Roman"/>
          <w:noProof/>
          <w:szCs w:val="24"/>
        </w:rPr>
        <w:t xml:space="preserve"> slight majority of </w:t>
      </w:r>
      <w:r w:rsidR="00CA26BC">
        <w:rPr>
          <w:rFonts w:eastAsia="Calibri" w:cs="Times New Roman"/>
          <w:noProof/>
          <w:szCs w:val="24"/>
        </w:rPr>
        <w:t>competent a</w:t>
      </w:r>
      <w:r w:rsidRPr="00705EEF">
        <w:rPr>
          <w:rFonts w:eastAsia="Calibri" w:cs="Times New Roman"/>
          <w:noProof/>
          <w:szCs w:val="24"/>
        </w:rPr>
        <w:t xml:space="preserve">uthorities consider that these obligations have not been effective in supporting the Regulation </w:t>
      </w:r>
      <w:r w:rsidR="008B6FEE">
        <w:rPr>
          <w:rFonts w:eastAsia="Calibri" w:cs="Times New Roman"/>
          <w:noProof/>
          <w:szCs w:val="24"/>
        </w:rPr>
        <w:t>in</w:t>
      </w:r>
      <w:r w:rsidRPr="00705EEF">
        <w:rPr>
          <w:rFonts w:eastAsia="Calibri" w:cs="Times New Roman"/>
          <w:noProof/>
          <w:szCs w:val="24"/>
        </w:rPr>
        <w:t xml:space="preserve"> achiev</w:t>
      </w:r>
      <w:r w:rsidR="008B6FEE">
        <w:rPr>
          <w:rFonts w:eastAsia="Calibri" w:cs="Times New Roman"/>
          <w:noProof/>
          <w:szCs w:val="24"/>
        </w:rPr>
        <w:t>ing</w:t>
      </w:r>
      <w:r w:rsidRPr="00705EEF">
        <w:rPr>
          <w:rFonts w:eastAsia="Calibri" w:cs="Times New Roman"/>
          <w:noProof/>
          <w:szCs w:val="24"/>
        </w:rPr>
        <w:t xml:space="preserve"> its objectives</w:t>
      </w:r>
      <w:r w:rsidR="000512C1">
        <w:rPr>
          <w:rFonts w:eastAsia="Calibri" w:cs="Times New Roman"/>
          <w:noProof/>
          <w:szCs w:val="24"/>
        </w:rPr>
        <w:t xml:space="preserve"> and</w:t>
      </w:r>
      <w:r w:rsidRPr="00705EEF">
        <w:rPr>
          <w:rFonts w:eastAsia="Calibri" w:cs="Times New Roman"/>
          <w:noProof/>
          <w:szCs w:val="24"/>
        </w:rPr>
        <w:t xml:space="preserve"> noted that reporting alone is insufficient, and that more and better verification is needed.</w:t>
      </w:r>
    </w:p>
    <w:p w14:paraId="167F5E9F" w14:textId="77777777" w:rsidR="000B1AB2" w:rsidRPr="00705EEF" w:rsidRDefault="000B1AB2" w:rsidP="00C11DCB">
      <w:pPr>
        <w:spacing w:after="160"/>
        <w:rPr>
          <w:rFonts w:eastAsia="Calibri" w:cs="Times New Roman"/>
          <w:b/>
          <w:i/>
          <w:noProof/>
          <w:szCs w:val="24"/>
        </w:rPr>
      </w:pPr>
      <w:r w:rsidRPr="00705EEF">
        <w:rPr>
          <w:rFonts w:eastAsia="Calibri" w:cs="Times New Roman"/>
          <w:b/>
          <w:i/>
          <w:noProof/>
          <w:szCs w:val="24"/>
        </w:rPr>
        <w:t>Achievement of Objective 2: Prevent leakage from equipment and proper end of life treatment of F-gases in applications</w:t>
      </w:r>
    </w:p>
    <w:p w14:paraId="2F5DBF85" w14:textId="369249EA" w:rsidR="000B1AB2" w:rsidRPr="00705EEF" w:rsidRDefault="000B1AB2" w:rsidP="00C11DCB">
      <w:pPr>
        <w:spacing w:after="160"/>
        <w:rPr>
          <w:rFonts w:eastAsia="Calibri" w:cs="Times New Roman"/>
          <w:noProof/>
          <w:szCs w:val="24"/>
        </w:rPr>
      </w:pPr>
      <w:r w:rsidRPr="00705EEF">
        <w:rPr>
          <w:rFonts w:eastAsia="Calibri" w:cs="Times New Roman"/>
          <w:noProof/>
          <w:szCs w:val="24"/>
        </w:rPr>
        <w:t xml:space="preserve">Stakeholders noted that containment has clearly improved and leakage rates have reduced drastically over the period of implementation. Data on trends of leakage rates was provided by only one </w:t>
      </w:r>
      <w:r w:rsidR="00CA26BC">
        <w:rPr>
          <w:rFonts w:eastAsia="Calibri" w:cs="Times New Roman"/>
          <w:noProof/>
          <w:szCs w:val="24"/>
        </w:rPr>
        <w:t>competent</w:t>
      </w:r>
      <w:r w:rsidRPr="00705EEF">
        <w:rPr>
          <w:rFonts w:eastAsia="Calibri" w:cs="Times New Roman"/>
          <w:noProof/>
          <w:szCs w:val="24"/>
        </w:rPr>
        <w:t xml:space="preserve"> authority: Poland (this was complemented in the evaluation by data gathered from the literature for DE, SK and FR). The data for Poland demonstrated that the annual average leakage of F-gases from RACHP equipment (that is subject to mandatory leakage checks) dropped for every equipment category from 12.6% to 3.12% in the period 2016 to 2019. </w:t>
      </w:r>
    </w:p>
    <w:p w14:paraId="3A892F47" w14:textId="1FD369B9" w:rsidR="000B1AB2" w:rsidRPr="00705EEF" w:rsidRDefault="000B1AB2" w:rsidP="00C11DCB">
      <w:pPr>
        <w:spacing w:after="160"/>
        <w:rPr>
          <w:rFonts w:eastAsia="Calibri" w:cs="Times New Roman"/>
          <w:noProof/>
          <w:szCs w:val="24"/>
        </w:rPr>
      </w:pPr>
      <w:r w:rsidRPr="00705EEF">
        <w:rPr>
          <w:rFonts w:eastAsia="Calibri" w:cs="Times New Roman"/>
          <w:noProof/>
          <w:szCs w:val="24"/>
        </w:rPr>
        <w:t>The evidence provided by industry stakeholders was helpful in elaborating the actions that industry has taken</w:t>
      </w:r>
      <w:r w:rsidR="008B6FEE">
        <w:rPr>
          <w:rFonts w:eastAsia="Calibri" w:cs="Times New Roman"/>
          <w:noProof/>
          <w:szCs w:val="24"/>
        </w:rPr>
        <w:t xml:space="preserve"> </w:t>
      </w:r>
      <w:r w:rsidR="008B6FEE" w:rsidRPr="00705EEF">
        <w:rPr>
          <w:rFonts w:eastAsia="Calibri" w:cs="Times New Roman"/>
          <w:noProof/>
          <w:szCs w:val="24"/>
        </w:rPr>
        <w:t xml:space="preserve">(in particular in </w:t>
      </w:r>
      <w:r w:rsidR="008B6FEE">
        <w:rPr>
          <w:rFonts w:eastAsia="Calibri" w:cs="Times New Roman"/>
          <w:noProof/>
          <w:szCs w:val="24"/>
        </w:rPr>
        <w:t xml:space="preserve">the </w:t>
      </w:r>
      <w:r w:rsidR="008B6FEE" w:rsidRPr="00705EEF">
        <w:rPr>
          <w:rFonts w:eastAsia="Calibri" w:cs="Times New Roman"/>
          <w:noProof/>
          <w:szCs w:val="24"/>
        </w:rPr>
        <w:t>switchgear industry in some countries)</w:t>
      </w:r>
      <w:r w:rsidRPr="00705EEF">
        <w:rPr>
          <w:rFonts w:eastAsia="Calibri" w:cs="Times New Roman"/>
          <w:noProof/>
          <w:szCs w:val="24"/>
        </w:rPr>
        <w:t xml:space="preserve"> in response to the Regulation to demonstrate the reduction in leakage rates achieved. Examples include: use of more compact equipment, use of state-of-the-art sealed gas-compartments, with end-of-life handling of the equipment undertaken professionally by specialized industry partners.</w:t>
      </w:r>
    </w:p>
    <w:p w14:paraId="3BE78817" w14:textId="77777777" w:rsidR="000B1AB2" w:rsidRPr="00705EEF" w:rsidRDefault="000B1AB2" w:rsidP="00C11DCB">
      <w:pPr>
        <w:spacing w:after="160"/>
        <w:rPr>
          <w:rFonts w:eastAsia="Calibri" w:cs="Times New Roman"/>
          <w:noProof/>
          <w:szCs w:val="24"/>
        </w:rPr>
      </w:pPr>
      <w:r w:rsidRPr="00705EEF">
        <w:rPr>
          <w:rFonts w:eastAsia="Calibri" w:cs="Times New Roman"/>
          <w:noProof/>
          <w:szCs w:val="24"/>
        </w:rPr>
        <w:t>Stakeholders also provided feedback on areas for improvement. It was highlighted that the collection of data on refrigerant containment and F-gas emissions was not comprehensive and that compliance with containment/leakage obligations could be further promoted, e.g. through electronic databases recording the data related to leakage checks. Although stakeholders agreed that the Regulation has had a positive effect overall with respect to recovery and reclamation, stakeholders highlighted that there is little data available on reclamation due to no self-standing reporting obligation for recycling and reclamation undertakings, and a better understanding and monitoring would help promote these activities.</w:t>
      </w:r>
    </w:p>
    <w:p w14:paraId="3C5CB744" w14:textId="36C26DBD" w:rsidR="000B1AB2" w:rsidRPr="00705EEF" w:rsidRDefault="000B1AB2" w:rsidP="00C11DCB">
      <w:pPr>
        <w:spacing w:after="160"/>
        <w:rPr>
          <w:rFonts w:eastAsia="Calibri" w:cs="Times New Roman"/>
          <w:noProof/>
          <w:szCs w:val="24"/>
        </w:rPr>
      </w:pPr>
      <w:r w:rsidRPr="00705EEF">
        <w:rPr>
          <w:rFonts w:eastAsia="Calibri" w:cs="Times New Roman"/>
          <w:noProof/>
          <w:szCs w:val="24"/>
        </w:rPr>
        <w:t xml:space="preserve">Regarding effectiveness of training and certification, stakeholders were able to provide data on numbers of certified persons in each MS and the training activities undertaken by different industry representatives (although precise data are missing for certain sectors). The positive performances of the training and certification measures were reaffirmed by stakeholders who strongly agreed that these measures had been effective regarding their objectives. However, some stakeholders noted that a lack of technicians who can handle climate-friendly alternatives was a barrier </w:t>
      </w:r>
      <w:r w:rsidR="008B6FEE">
        <w:rPr>
          <w:rFonts w:eastAsia="Calibri" w:cs="Times New Roman"/>
          <w:noProof/>
          <w:szCs w:val="24"/>
        </w:rPr>
        <w:t>to a</w:t>
      </w:r>
      <w:r w:rsidR="008B6FEE" w:rsidRPr="00705EEF">
        <w:rPr>
          <w:rFonts w:eastAsia="Calibri" w:cs="Times New Roman"/>
          <w:noProof/>
          <w:szCs w:val="24"/>
        </w:rPr>
        <w:t xml:space="preserve"> </w:t>
      </w:r>
      <w:r w:rsidRPr="00705EEF">
        <w:rPr>
          <w:rFonts w:eastAsia="Calibri" w:cs="Times New Roman"/>
          <w:noProof/>
          <w:szCs w:val="24"/>
        </w:rPr>
        <w:t xml:space="preserve">more widespread use in some Member States. </w:t>
      </w:r>
    </w:p>
    <w:p w14:paraId="4BEF8E88" w14:textId="7096E374" w:rsidR="000B1AB2" w:rsidRPr="00705EEF" w:rsidRDefault="000B1AB2" w:rsidP="00C11DCB">
      <w:pPr>
        <w:spacing w:after="160"/>
        <w:rPr>
          <w:rFonts w:eastAsia="Calibri" w:cs="Times New Roman"/>
          <w:noProof/>
          <w:szCs w:val="24"/>
        </w:rPr>
      </w:pPr>
      <w:r w:rsidRPr="00705EEF">
        <w:rPr>
          <w:rFonts w:eastAsia="Calibri" w:cs="Times New Roman"/>
          <w:noProof/>
          <w:szCs w:val="24"/>
        </w:rPr>
        <w:t>Stakeholders reported a range of additional actions in Member State</w:t>
      </w:r>
      <w:r w:rsidR="008B6FEE">
        <w:rPr>
          <w:rFonts w:eastAsia="Calibri" w:cs="Times New Roman"/>
          <w:noProof/>
          <w:szCs w:val="24"/>
        </w:rPr>
        <w:t>s</w:t>
      </w:r>
      <w:r w:rsidRPr="00705EEF">
        <w:rPr>
          <w:rFonts w:eastAsia="Calibri" w:cs="Times New Roman"/>
          <w:noProof/>
          <w:szCs w:val="24"/>
        </w:rPr>
        <w:t xml:space="preserve"> that were going beyond the requirements of the Regulation in particular with respect to producer responsibility schemes, which have been implemented in some, but not all Member States. Where these have been implemented, they are considered to be working well by most stakeholder groups. However, NGOs are more sceptical as to whether these schemes have been effective or not. This comment may however relate to the fact that some </w:t>
      </w:r>
      <w:r w:rsidR="00CA26BC">
        <w:rPr>
          <w:rFonts w:eastAsia="Calibri" w:cs="Times New Roman"/>
          <w:noProof/>
          <w:szCs w:val="24"/>
        </w:rPr>
        <w:t xml:space="preserve">Member </w:t>
      </w:r>
      <w:r w:rsidRPr="00705EEF">
        <w:rPr>
          <w:rFonts w:eastAsia="Calibri" w:cs="Times New Roman"/>
          <w:noProof/>
          <w:szCs w:val="24"/>
        </w:rPr>
        <w:t>S</w:t>
      </w:r>
      <w:r w:rsidR="00CA26BC">
        <w:rPr>
          <w:rFonts w:eastAsia="Calibri" w:cs="Times New Roman"/>
          <w:noProof/>
          <w:szCs w:val="24"/>
        </w:rPr>
        <w:t>tates</w:t>
      </w:r>
      <w:r w:rsidRPr="00705EEF">
        <w:rPr>
          <w:rFonts w:eastAsia="Calibri" w:cs="Times New Roman"/>
          <w:noProof/>
          <w:szCs w:val="24"/>
        </w:rPr>
        <w:t xml:space="preserve"> did not have any scheme at all. With respect to emissions reporting systems, stakeholders provided evidence on the existence of such systems through interview</w:t>
      </w:r>
      <w:r w:rsidR="008B6FEE">
        <w:rPr>
          <w:rFonts w:eastAsia="Calibri" w:cs="Times New Roman"/>
          <w:noProof/>
          <w:szCs w:val="24"/>
        </w:rPr>
        <w:t>s</w:t>
      </w:r>
      <w:r w:rsidRPr="00705EEF">
        <w:rPr>
          <w:rFonts w:eastAsia="Calibri" w:cs="Times New Roman"/>
          <w:noProof/>
          <w:szCs w:val="24"/>
        </w:rPr>
        <w:t>: Only few of the interviewed Member States</w:t>
      </w:r>
      <w:r w:rsidR="008B6FEE">
        <w:rPr>
          <w:rFonts w:eastAsia="Calibri" w:cs="Times New Roman"/>
          <w:noProof/>
          <w:szCs w:val="24"/>
        </w:rPr>
        <w:t xml:space="preserve"> </w:t>
      </w:r>
      <w:r w:rsidR="00403E52">
        <w:rPr>
          <w:rFonts w:eastAsia="Calibri" w:cs="Times New Roman"/>
          <w:noProof/>
          <w:szCs w:val="24"/>
        </w:rPr>
        <w:t>currently</w:t>
      </w:r>
      <w:r w:rsidRPr="00705EEF">
        <w:rPr>
          <w:rFonts w:eastAsia="Calibri" w:cs="Times New Roman"/>
          <w:noProof/>
          <w:szCs w:val="24"/>
        </w:rPr>
        <w:t xml:space="preserve"> have such a reporting system in place (BG, EE, FI, DE, IT, MT, PO, PT). Overall, stakeholders were generally neutral on whether these had or had not been effective. Competent </w:t>
      </w:r>
      <w:r w:rsidR="00CA26BC">
        <w:rPr>
          <w:rFonts w:eastAsia="Calibri" w:cs="Times New Roman"/>
          <w:noProof/>
          <w:szCs w:val="24"/>
        </w:rPr>
        <w:t>a</w:t>
      </w:r>
      <w:r w:rsidRPr="00705EEF">
        <w:rPr>
          <w:rFonts w:eastAsia="Calibri" w:cs="Times New Roman"/>
          <w:noProof/>
          <w:szCs w:val="24"/>
        </w:rPr>
        <w:t xml:space="preserve">uthorities were marginally more inclined to suggest these had been effective, but NGOs and industry stakeholders were slightly inclined to believe they had not. </w:t>
      </w:r>
    </w:p>
    <w:p w14:paraId="403BE7A6" w14:textId="77777777" w:rsidR="000B1AB2" w:rsidRPr="00705EEF" w:rsidRDefault="000B1AB2" w:rsidP="00C11DCB">
      <w:pPr>
        <w:keepNext/>
        <w:spacing w:after="160"/>
        <w:rPr>
          <w:rFonts w:eastAsia="Calibri" w:cs="Times New Roman"/>
          <w:b/>
          <w:i/>
          <w:noProof/>
          <w:szCs w:val="24"/>
        </w:rPr>
      </w:pPr>
      <w:r w:rsidRPr="00705EEF">
        <w:rPr>
          <w:rFonts w:eastAsia="Calibri" w:cs="Times New Roman"/>
          <w:b/>
          <w:i/>
          <w:noProof/>
          <w:szCs w:val="24"/>
        </w:rPr>
        <w:t>Achievement of Objective 3: Facilitate convergence towards a potential future agreement to phase down HFCs under the Montreal Protocol</w:t>
      </w:r>
    </w:p>
    <w:p w14:paraId="5532A8E4" w14:textId="07AE3300" w:rsidR="000B1AB2" w:rsidRPr="00705EEF" w:rsidRDefault="000B1AB2" w:rsidP="00C11DCB">
      <w:pPr>
        <w:spacing w:after="160"/>
        <w:rPr>
          <w:rFonts w:eastAsia="Calibri" w:cs="Times New Roman"/>
          <w:b/>
          <w:i/>
          <w:noProof/>
          <w:szCs w:val="24"/>
        </w:rPr>
      </w:pPr>
      <w:r w:rsidRPr="00705EEF">
        <w:rPr>
          <w:rFonts w:eastAsia="Calibri" w:cs="Times New Roman"/>
          <w:noProof/>
          <w:szCs w:val="24"/>
        </w:rPr>
        <w:t>There was an overwhelming agreement amongst all respondents that the Regulation ha</w:t>
      </w:r>
      <w:r w:rsidR="00AA7BDA">
        <w:rPr>
          <w:rFonts w:eastAsia="Calibri" w:cs="Times New Roman"/>
          <w:noProof/>
          <w:szCs w:val="24"/>
        </w:rPr>
        <w:t>s</w:t>
      </w:r>
      <w:r w:rsidRPr="00705EEF">
        <w:rPr>
          <w:rFonts w:eastAsia="Calibri" w:cs="Times New Roman"/>
          <w:noProof/>
          <w:szCs w:val="24"/>
        </w:rPr>
        <w:t xml:space="preserve"> been effective in achieving this objective. In particular, all competent authorities emphasised this positive role. The fact that the EU had an HFC phase-down in place was considered to have greatly contributed to the development of the global HFC phase-down proposal: it helped the EU Member States to adopt a common position and it served as a convincing example of best practice for non-EU countries and encouraged others to adopt binding obligations at the global level. In addition, the fact that key provisions of the Kigali Amendment were already reflected in the Regulation subsequently helped EU industry to better understand the new requirements of the international regulation. </w:t>
      </w:r>
    </w:p>
    <w:p w14:paraId="138607A6" w14:textId="77777777" w:rsidR="000B1AB2" w:rsidRPr="00705EEF" w:rsidRDefault="000B1AB2" w:rsidP="00C11DCB">
      <w:pPr>
        <w:spacing w:after="160"/>
        <w:rPr>
          <w:rFonts w:eastAsia="Calibri" w:cs="Times New Roman"/>
          <w:b/>
          <w:i/>
          <w:noProof/>
          <w:szCs w:val="24"/>
        </w:rPr>
      </w:pPr>
      <w:r w:rsidRPr="00705EEF">
        <w:rPr>
          <w:rFonts w:eastAsia="Calibri" w:cs="Times New Roman"/>
          <w:b/>
          <w:i/>
          <w:noProof/>
          <w:szCs w:val="24"/>
        </w:rPr>
        <w:t>Achievement of Objective 4: Enhance sustainable growth, stimulate innovation and develop green technologies by improving market opportunities for alternative technologies and gases with low GWP</w:t>
      </w:r>
    </w:p>
    <w:p w14:paraId="17E03676" w14:textId="22A51D98" w:rsidR="000B1AB2" w:rsidRPr="00705EEF" w:rsidRDefault="000B1AB2" w:rsidP="00C11DCB">
      <w:pPr>
        <w:spacing w:after="160"/>
        <w:rPr>
          <w:rFonts w:eastAsia="Calibri" w:cs="Times New Roman"/>
          <w:noProof/>
          <w:szCs w:val="24"/>
        </w:rPr>
      </w:pPr>
      <w:r w:rsidRPr="00705EEF">
        <w:rPr>
          <w:rFonts w:eastAsia="Calibri" w:cs="Times New Roman"/>
          <w:noProof/>
          <w:szCs w:val="24"/>
        </w:rPr>
        <w:t xml:space="preserve">Overall, stakeholders believed that the Regulation has had a positive impact with respect to stimulating innovation and developing green technologies. It was noted the Regulation has provided certainty for companies, </w:t>
      </w:r>
      <w:r w:rsidR="00AA7BDA">
        <w:rPr>
          <w:rFonts w:eastAsia="Calibri" w:cs="Times New Roman"/>
          <w:noProof/>
          <w:szCs w:val="24"/>
        </w:rPr>
        <w:t xml:space="preserve">has </w:t>
      </w:r>
      <w:r w:rsidRPr="00705EEF">
        <w:rPr>
          <w:rFonts w:eastAsia="Calibri" w:cs="Times New Roman"/>
          <w:noProof/>
          <w:szCs w:val="24"/>
        </w:rPr>
        <w:t>stimulated the development of green and more energy-efficient technologies and</w:t>
      </w:r>
      <w:r w:rsidR="00AA7BDA">
        <w:rPr>
          <w:rFonts w:eastAsia="Calibri" w:cs="Times New Roman"/>
          <w:noProof/>
          <w:szCs w:val="24"/>
        </w:rPr>
        <w:t xml:space="preserve"> has</w:t>
      </w:r>
      <w:r w:rsidRPr="00705EEF">
        <w:rPr>
          <w:rFonts w:eastAsia="Calibri" w:cs="Times New Roman"/>
          <w:noProof/>
          <w:szCs w:val="24"/>
        </w:rPr>
        <w:t xml:space="preserve"> improved market opportunities for lower or zero GWP alternatives whose prices have decreased over time. Indeed, some industry and NGO stakeholders suggested that EU manufacturers are now world-leaders in the development and manufacture of several technologies (e.g. use of natural refrigerants). Stakeholders highlighted that low numbers of personnel trained on alternatives remains a major challenge for the introduction of alternatives to F-gases (noted by all stakeholder types, but this was stressed in particular by service personnel and NGOs). Furthermore, stakeholders (all-types, but particularly NGOs) reaffirmed that unjustified barriers in safety standards and codes still present a very serious challenge to the implementation of the Regulation.</w:t>
      </w:r>
    </w:p>
    <w:p w14:paraId="0F960777" w14:textId="77777777" w:rsidR="000B1AB2" w:rsidRPr="00705EEF" w:rsidRDefault="000B1AB2" w:rsidP="00C11DCB">
      <w:pPr>
        <w:keepNext/>
        <w:spacing w:after="160"/>
        <w:rPr>
          <w:rFonts w:eastAsia="Calibri" w:cs="Times New Roman"/>
          <w:b/>
          <w:i/>
          <w:noProof/>
          <w:szCs w:val="24"/>
        </w:rPr>
      </w:pPr>
      <w:r w:rsidRPr="00705EEF">
        <w:rPr>
          <w:rFonts w:eastAsia="Calibri" w:cs="Times New Roman"/>
          <w:b/>
          <w:i/>
          <w:noProof/>
          <w:szCs w:val="24"/>
        </w:rPr>
        <w:t>What factors have contributed to or hindered the achievement of the objectives of the Regulation? What have been the unintended/unexpected effects?</w:t>
      </w:r>
    </w:p>
    <w:p w14:paraId="09A9155C" w14:textId="53743E8B" w:rsidR="000B1AB2" w:rsidRPr="00705EEF" w:rsidRDefault="000B1AB2" w:rsidP="00C11DCB">
      <w:pPr>
        <w:spacing w:after="160"/>
        <w:rPr>
          <w:rFonts w:eastAsia="Calibri" w:cs="Times New Roman"/>
          <w:noProof/>
          <w:szCs w:val="24"/>
        </w:rPr>
      </w:pPr>
      <w:r w:rsidRPr="00705EEF">
        <w:rPr>
          <w:rFonts w:eastAsia="Calibri" w:cs="Times New Roman"/>
          <w:noProof/>
          <w:szCs w:val="24"/>
        </w:rPr>
        <w:t xml:space="preserve">In general, stakeholders (all-types) </w:t>
      </w:r>
      <w:r w:rsidR="0061381C">
        <w:rPr>
          <w:rFonts w:eastAsia="Calibri" w:cs="Times New Roman"/>
          <w:noProof/>
          <w:szCs w:val="24"/>
        </w:rPr>
        <w:t>considered</w:t>
      </w:r>
      <w:r w:rsidRPr="00705EEF">
        <w:rPr>
          <w:rFonts w:eastAsia="Calibri" w:cs="Times New Roman"/>
          <w:noProof/>
          <w:szCs w:val="24"/>
        </w:rPr>
        <w:t xml:space="preserve"> illegal imports were the most serious challenge to implementation. An industry stakeholder noted that illegal imports may have been one of the drivers behind the reductions in HFC prices observed following the peak in 2018. Stakeholders, notably industry and NGOs, noted that enforcement was hampered by: a lack of coherence between the Regulation and customs rules; transit procedures being vulnerable to misuse; diverse and too low penalties in Member States); online sales subject to insufficient checks by authorities; and insufficient market surveillance activities. </w:t>
      </w:r>
    </w:p>
    <w:p w14:paraId="36A51595" w14:textId="5B737BE1" w:rsidR="000B1AB2" w:rsidRPr="00705EEF" w:rsidRDefault="000B1AB2" w:rsidP="00C11DCB">
      <w:pPr>
        <w:spacing w:after="160"/>
        <w:rPr>
          <w:rFonts w:eastAsia="Calibri" w:cs="Times New Roman"/>
          <w:noProof/>
          <w:szCs w:val="24"/>
        </w:rPr>
      </w:pPr>
      <w:r w:rsidRPr="00705EEF">
        <w:rPr>
          <w:rFonts w:eastAsia="Calibri" w:cs="Times New Roman"/>
          <w:noProof/>
          <w:szCs w:val="24"/>
        </w:rPr>
        <w:t xml:space="preserve">The fact that the number of HFC importers has increased by </w:t>
      </w:r>
      <w:r w:rsidR="000512C1">
        <w:rPr>
          <w:rFonts w:eastAsia="Calibri" w:cs="Times New Roman"/>
          <w:noProof/>
          <w:szCs w:val="24"/>
        </w:rPr>
        <w:t>20</w:t>
      </w:r>
      <w:r w:rsidRPr="00705EEF">
        <w:rPr>
          <w:rFonts w:eastAsia="Calibri" w:cs="Times New Roman"/>
          <w:noProof/>
          <w:szCs w:val="24"/>
        </w:rPr>
        <w:t xml:space="preserve"> times and that some entities appear to be getting several quota shares from the reserve (as some new entrants may have close links to existing </w:t>
      </w:r>
      <w:r w:rsidR="00403E52">
        <w:rPr>
          <w:rFonts w:eastAsia="Calibri" w:cs="Times New Roman"/>
          <w:noProof/>
          <w:szCs w:val="24"/>
        </w:rPr>
        <w:t>quota holders</w:t>
      </w:r>
      <w:r w:rsidRPr="00705EEF">
        <w:rPr>
          <w:rFonts w:eastAsia="Calibri" w:cs="Times New Roman"/>
          <w:noProof/>
          <w:szCs w:val="24"/>
        </w:rPr>
        <w:t>) was seen as a significant issue by NGOs and M</w:t>
      </w:r>
      <w:r w:rsidR="00CA26BC">
        <w:rPr>
          <w:rFonts w:eastAsia="Calibri" w:cs="Times New Roman"/>
          <w:noProof/>
          <w:szCs w:val="24"/>
        </w:rPr>
        <w:t xml:space="preserve">ember </w:t>
      </w:r>
      <w:r w:rsidRPr="00705EEF">
        <w:rPr>
          <w:rFonts w:eastAsia="Calibri" w:cs="Times New Roman"/>
          <w:noProof/>
          <w:szCs w:val="24"/>
        </w:rPr>
        <w:t>S</w:t>
      </w:r>
      <w:r w:rsidR="00CA26BC">
        <w:rPr>
          <w:rFonts w:eastAsia="Calibri" w:cs="Times New Roman"/>
          <w:noProof/>
          <w:szCs w:val="24"/>
        </w:rPr>
        <w:t>tates</w:t>
      </w:r>
      <w:r w:rsidRPr="00705EEF">
        <w:rPr>
          <w:rFonts w:eastAsia="Calibri" w:cs="Times New Roman"/>
          <w:noProof/>
          <w:szCs w:val="24"/>
        </w:rPr>
        <w:t xml:space="preserve">, as it makes effective enforcement more difficult. Industry views were more mixed on this issue. Quota holders (gas producers and importers) found it to be a serious issue, whereas other industry stakeholders were less concerned. </w:t>
      </w:r>
    </w:p>
    <w:p w14:paraId="7639C094" w14:textId="77777777" w:rsidR="000B1AB2" w:rsidRPr="00705EEF" w:rsidRDefault="000B1AB2" w:rsidP="00C11DCB">
      <w:pPr>
        <w:spacing w:after="160"/>
        <w:rPr>
          <w:rFonts w:eastAsia="Calibri" w:cs="Times New Roman"/>
          <w:noProof/>
          <w:szCs w:val="24"/>
        </w:rPr>
      </w:pPr>
      <w:r w:rsidRPr="00705EEF">
        <w:rPr>
          <w:rFonts w:eastAsia="Calibri" w:cs="Times New Roman"/>
          <w:noProof/>
          <w:szCs w:val="24"/>
        </w:rPr>
        <w:t xml:space="preserve">Some stakeholders also highlighted in the early years of the quota system that stockpiling of gases and price fluctuations (‘low’ prices for two years followed by a subsequent sharp rise in prices to very high levels, before prices then fell again in 2018) had been an issue. </w:t>
      </w:r>
    </w:p>
    <w:p w14:paraId="209DEA99" w14:textId="7BFB43EB" w:rsidR="000B1AB2" w:rsidRPr="00705EEF" w:rsidRDefault="000B1AB2" w:rsidP="00C11DCB">
      <w:pPr>
        <w:spacing w:after="160"/>
        <w:rPr>
          <w:rFonts w:eastAsia="Calibri" w:cs="Times New Roman"/>
          <w:noProof/>
          <w:szCs w:val="24"/>
        </w:rPr>
      </w:pPr>
      <w:r w:rsidRPr="00705EEF">
        <w:rPr>
          <w:rFonts w:eastAsia="Calibri" w:cs="Times New Roman"/>
          <w:noProof/>
          <w:szCs w:val="24"/>
        </w:rPr>
        <w:t xml:space="preserve">Some stakeholders, in particular NGOs, suggested </w:t>
      </w:r>
      <w:r w:rsidR="00AA7BDA">
        <w:rPr>
          <w:rFonts w:eastAsia="Calibri" w:cs="Times New Roman"/>
          <w:noProof/>
          <w:szCs w:val="24"/>
        </w:rPr>
        <w:t>focusing</w:t>
      </w:r>
      <w:r w:rsidRPr="00705EEF">
        <w:rPr>
          <w:rFonts w:eastAsia="Calibri" w:cs="Times New Roman"/>
          <w:noProof/>
          <w:szCs w:val="24"/>
        </w:rPr>
        <w:t xml:space="preserve"> on natural alternatives to F-gases and avoid</w:t>
      </w:r>
      <w:r w:rsidR="00AA7BDA">
        <w:rPr>
          <w:rFonts w:eastAsia="Calibri" w:cs="Times New Roman"/>
          <w:noProof/>
          <w:szCs w:val="24"/>
        </w:rPr>
        <w:t>ing</w:t>
      </w:r>
      <w:r w:rsidRPr="00705EEF">
        <w:rPr>
          <w:rFonts w:eastAsia="Calibri" w:cs="Times New Roman"/>
          <w:noProof/>
          <w:szCs w:val="24"/>
        </w:rPr>
        <w:t xml:space="preserve"> promotion of synthetic alternatives to F-gases because the latter are being analysed together with a large group of chemicals (including F-gases) under REACH for </w:t>
      </w:r>
      <w:r w:rsidR="00AA7BDA">
        <w:rPr>
          <w:rFonts w:eastAsia="Calibri" w:cs="Times New Roman"/>
          <w:noProof/>
          <w:szCs w:val="24"/>
        </w:rPr>
        <w:t xml:space="preserve">their </w:t>
      </w:r>
      <w:r w:rsidRPr="00705EEF">
        <w:rPr>
          <w:rFonts w:eastAsia="Calibri" w:cs="Times New Roman"/>
          <w:noProof/>
          <w:szCs w:val="24"/>
        </w:rPr>
        <w:t xml:space="preserve">potentially harmful effects on the environment. On the other hand, several industry stakeholders recalled that the analysis was </w:t>
      </w:r>
      <w:r w:rsidR="000512C1">
        <w:rPr>
          <w:rFonts w:eastAsia="Calibri" w:cs="Times New Roman"/>
          <w:noProof/>
          <w:szCs w:val="24"/>
        </w:rPr>
        <w:t>not yet concluded</w:t>
      </w:r>
      <w:r w:rsidRPr="00705EEF">
        <w:rPr>
          <w:rFonts w:eastAsia="Calibri" w:cs="Times New Roman"/>
          <w:noProof/>
          <w:szCs w:val="24"/>
        </w:rPr>
        <w:t xml:space="preserve"> and that they had invested very large amounts of money in research, innovation and production capacity and that it would be premature to exclude the use of these climate friendly substances. </w:t>
      </w:r>
      <w:r w:rsidR="000512C1">
        <w:rPr>
          <w:rFonts w:eastAsia="Calibri" w:cs="Times New Roman"/>
          <w:noProof/>
          <w:szCs w:val="24"/>
        </w:rPr>
        <w:t>Instead</w:t>
      </w:r>
      <w:r w:rsidRPr="00705EEF">
        <w:rPr>
          <w:rFonts w:eastAsia="Calibri" w:cs="Times New Roman"/>
          <w:noProof/>
          <w:szCs w:val="24"/>
        </w:rPr>
        <w:t>, as a precautionary measure</w:t>
      </w:r>
      <w:r w:rsidR="00AA7BDA">
        <w:rPr>
          <w:rFonts w:eastAsia="Calibri" w:cs="Times New Roman"/>
          <w:noProof/>
          <w:szCs w:val="24"/>
        </w:rPr>
        <w:t>,</w:t>
      </w:r>
      <w:r w:rsidRPr="00705EEF">
        <w:rPr>
          <w:rFonts w:eastAsia="Calibri" w:cs="Times New Roman"/>
          <w:noProof/>
          <w:szCs w:val="24"/>
        </w:rPr>
        <w:t xml:space="preserve"> more could be done to prevent emissions of such substances. </w:t>
      </w:r>
    </w:p>
    <w:p w14:paraId="653DBABC" w14:textId="77777777" w:rsidR="000B1AB2" w:rsidRPr="000B1AB2" w:rsidRDefault="000B1AB2" w:rsidP="0017603A">
      <w:pPr>
        <w:pStyle w:val="AppendixHeadingLevel3"/>
        <w:numPr>
          <w:ilvl w:val="2"/>
          <w:numId w:val="108"/>
        </w:numPr>
        <w:rPr>
          <w:noProof/>
          <w:lang w:eastAsia="en-GB"/>
        </w:rPr>
      </w:pPr>
      <w:bookmarkStart w:id="455" w:name="_Toc85655104"/>
      <w:r w:rsidRPr="000B1AB2">
        <w:rPr>
          <w:noProof/>
          <w:lang w:eastAsia="en-GB"/>
        </w:rPr>
        <w:t>Efficiency</w:t>
      </w:r>
      <w:bookmarkEnd w:id="455"/>
    </w:p>
    <w:p w14:paraId="0C319F42" w14:textId="77777777" w:rsidR="000B1AB2" w:rsidRPr="00705EEF" w:rsidRDefault="000B1AB2" w:rsidP="00C11DCB">
      <w:pPr>
        <w:spacing w:after="160"/>
        <w:rPr>
          <w:rFonts w:eastAsia="Calibri" w:cs="Times New Roman"/>
          <w:noProof/>
          <w:szCs w:val="24"/>
        </w:rPr>
      </w:pPr>
      <w:r w:rsidRPr="00705EEF">
        <w:rPr>
          <w:rFonts w:eastAsia="Calibri" w:cs="Times New Roman"/>
          <w:noProof/>
          <w:szCs w:val="24"/>
        </w:rPr>
        <w:t xml:space="preserve">As noted above, stakeholders believe that the Regulation has achieved substantial environmental benefits through reducing the use of F-gases and increasing the uptake of alternatives. Stakeholders also highlighted wider benefits of the Regulation such as energy efficiency gains (see above). </w:t>
      </w:r>
    </w:p>
    <w:p w14:paraId="66B75C19" w14:textId="0F231EBF" w:rsidR="000B1AB2" w:rsidRPr="00705EEF" w:rsidRDefault="000B1AB2" w:rsidP="00C11DCB">
      <w:pPr>
        <w:spacing w:after="160"/>
        <w:rPr>
          <w:rFonts w:eastAsia="Calibri" w:cs="Times New Roman"/>
          <w:noProof/>
          <w:szCs w:val="24"/>
        </w:rPr>
      </w:pPr>
      <w:r w:rsidRPr="00705EEF">
        <w:rPr>
          <w:rFonts w:eastAsia="Calibri" w:cs="Times New Roman"/>
          <w:noProof/>
          <w:szCs w:val="24"/>
        </w:rPr>
        <w:t xml:space="preserve">Although stakeholders did not present much detail regarding the overall costs of compliance, they did comment on how these had been distributed across different stakeholder types and supply chains. Industry stakeholders explained that costs had not fallen proportionately across industry sectors nor company size, and that this variance had predominantly been driven by the price increases observed over the period. Indeed, some industry stakeholders offered a mixed opinion as to whether the Regulation had created a level playing field or not, pointing out that the costs were borne by equipment importers/manufacturers (need to acquire quota authorisations or pay higher gas prices) and the equipment </w:t>
      </w:r>
      <w:r w:rsidR="00C60667">
        <w:rPr>
          <w:rFonts w:eastAsia="Calibri" w:cs="Times New Roman"/>
          <w:noProof/>
          <w:szCs w:val="24"/>
        </w:rPr>
        <w:t>end</w:t>
      </w:r>
      <w:r w:rsidR="0061381C">
        <w:rPr>
          <w:rFonts w:eastAsia="Calibri" w:cs="Times New Roman"/>
          <w:noProof/>
          <w:szCs w:val="24"/>
        </w:rPr>
        <w:t>-</w:t>
      </w:r>
      <w:r w:rsidR="00C60667">
        <w:rPr>
          <w:rFonts w:eastAsia="Calibri" w:cs="Times New Roman"/>
          <w:noProof/>
          <w:szCs w:val="24"/>
        </w:rPr>
        <w:t>users</w:t>
      </w:r>
      <w:r w:rsidRPr="00705EEF">
        <w:rPr>
          <w:rFonts w:eastAsia="Calibri" w:cs="Times New Roman"/>
          <w:noProof/>
          <w:szCs w:val="24"/>
        </w:rPr>
        <w:t xml:space="preserve">, while others profited from the quota system, in particular the bulk gas producers and importers as well as service companies. </w:t>
      </w:r>
    </w:p>
    <w:p w14:paraId="235522F8" w14:textId="7381F18E" w:rsidR="000B1AB2" w:rsidRPr="00705EEF" w:rsidRDefault="000B1AB2" w:rsidP="00C11DCB">
      <w:pPr>
        <w:spacing w:after="160"/>
        <w:rPr>
          <w:rFonts w:eastAsia="Calibri" w:cs="Times New Roman"/>
          <w:noProof/>
          <w:szCs w:val="24"/>
        </w:rPr>
      </w:pPr>
      <w:r w:rsidRPr="00705EEF">
        <w:rPr>
          <w:rFonts w:eastAsia="Calibri" w:cs="Times New Roman"/>
          <w:noProof/>
          <w:szCs w:val="24"/>
        </w:rPr>
        <w:t xml:space="preserve">Stakeholders also offered insights to the relative costs imposed by different measures. Respondents suggested: ‘Restrictions on use and equipment’ and ‘HFC quota system’, which are the most effective measures in reducing emissions, had presented the highest costs for business, while training and certification also incurred high or very high costs, but similarly </w:t>
      </w:r>
      <w:r w:rsidR="000D31B3">
        <w:rPr>
          <w:rFonts w:eastAsia="Calibri" w:cs="Times New Roman"/>
          <w:noProof/>
          <w:szCs w:val="24"/>
        </w:rPr>
        <w:t>wa</w:t>
      </w:r>
      <w:r w:rsidRPr="00705EEF">
        <w:rPr>
          <w:rFonts w:eastAsia="Calibri" w:cs="Times New Roman"/>
          <w:noProof/>
          <w:szCs w:val="24"/>
        </w:rPr>
        <w:t>s considered useful on balance (see above under leakage reductions). Labelling rules were perceived as the lowest cost measure. Stakeholders did not signal that the costs outweighed the benefits for any of the individual measures.</w:t>
      </w:r>
    </w:p>
    <w:p w14:paraId="142B4F8D" w14:textId="3CE09639" w:rsidR="000B1AB2" w:rsidRPr="00705EEF" w:rsidRDefault="000B1AB2" w:rsidP="00C11DCB">
      <w:pPr>
        <w:spacing w:after="160"/>
        <w:rPr>
          <w:rFonts w:eastAsia="Calibri" w:cs="Times New Roman"/>
          <w:noProof/>
          <w:szCs w:val="24"/>
        </w:rPr>
      </w:pPr>
      <w:r w:rsidRPr="00705EEF">
        <w:rPr>
          <w:rFonts w:eastAsia="Calibri" w:cs="Times New Roman"/>
          <w:noProof/>
          <w:szCs w:val="24"/>
        </w:rPr>
        <w:t xml:space="preserve">Stakeholders provided some information </w:t>
      </w:r>
      <w:r w:rsidR="000D31B3">
        <w:rPr>
          <w:rFonts w:eastAsia="Calibri" w:cs="Times New Roman"/>
          <w:noProof/>
          <w:szCs w:val="24"/>
        </w:rPr>
        <w:t>on</w:t>
      </w:r>
      <w:r w:rsidRPr="00705EEF">
        <w:rPr>
          <w:rFonts w:eastAsia="Calibri" w:cs="Times New Roman"/>
          <w:noProof/>
          <w:szCs w:val="24"/>
        </w:rPr>
        <w:t xml:space="preserve"> estimating administrative costs associated with the Regulation (although often in qualitative terms). A total of 13 industry stakeholders provided some level of information on the working days required to ensure compliance with the Regulation. In total 12 competent authorities provided information on administrative burdens, with three noting upfront costs.</w:t>
      </w:r>
    </w:p>
    <w:p w14:paraId="5C978453" w14:textId="77777777" w:rsidR="000B1AB2" w:rsidRPr="00705EEF" w:rsidRDefault="000B1AB2" w:rsidP="00C11DCB">
      <w:pPr>
        <w:spacing w:after="160"/>
        <w:rPr>
          <w:rFonts w:eastAsia="Calibri" w:cs="Times New Roman"/>
          <w:noProof/>
          <w:szCs w:val="24"/>
        </w:rPr>
      </w:pPr>
      <w:r w:rsidRPr="00705EEF">
        <w:rPr>
          <w:rFonts w:eastAsia="Calibri" w:cs="Times New Roman"/>
          <w:noProof/>
          <w:szCs w:val="24"/>
        </w:rPr>
        <w:t xml:space="preserve">Stakeholders also highlighted wider potential effects. One industry representative noted the Regulation could have increased the volume of waste as a consequence of incentives that resulted in early replacement of equipment. </w:t>
      </w:r>
    </w:p>
    <w:p w14:paraId="3BBC5585" w14:textId="538FE45C" w:rsidR="000B1AB2" w:rsidRPr="00705EEF" w:rsidRDefault="000B1AB2" w:rsidP="00C11DCB">
      <w:pPr>
        <w:spacing w:after="160"/>
        <w:rPr>
          <w:rFonts w:eastAsia="Calibri" w:cs="Times New Roman"/>
          <w:noProof/>
          <w:szCs w:val="24"/>
        </w:rPr>
      </w:pPr>
      <w:r w:rsidRPr="00705EEF">
        <w:rPr>
          <w:rFonts w:eastAsia="Calibri" w:cs="Times New Roman"/>
          <w:noProof/>
          <w:szCs w:val="24"/>
        </w:rPr>
        <w:t xml:space="preserve">Overall, stakeholders generally reported that the Regulation was cost-effective. Stakeholders added that the Regulation has had a neutral impact on competitiveness, although some industry stakeholders noted a slightly negative impact on exports to third countries due to higher EU HFC prices affecting the price of exported equipment. </w:t>
      </w:r>
    </w:p>
    <w:p w14:paraId="4329A256" w14:textId="77777777" w:rsidR="000B1AB2" w:rsidRPr="000B1AB2" w:rsidRDefault="000B1AB2" w:rsidP="0017603A">
      <w:pPr>
        <w:pStyle w:val="AppendixHeadingLevel3"/>
        <w:numPr>
          <w:ilvl w:val="2"/>
          <w:numId w:val="108"/>
        </w:numPr>
        <w:rPr>
          <w:noProof/>
          <w:lang w:eastAsia="en-GB"/>
        </w:rPr>
      </w:pPr>
      <w:bookmarkStart w:id="456" w:name="_Toc85655105"/>
      <w:r w:rsidRPr="000B1AB2">
        <w:rPr>
          <w:noProof/>
          <w:lang w:eastAsia="en-GB"/>
        </w:rPr>
        <w:t>Relevance</w:t>
      </w:r>
      <w:bookmarkEnd w:id="456"/>
    </w:p>
    <w:p w14:paraId="2F45A0F9" w14:textId="3E02773A" w:rsidR="000B1AB2" w:rsidRPr="002819D5" w:rsidRDefault="000B1AB2" w:rsidP="00C11DCB">
      <w:pPr>
        <w:spacing w:after="160"/>
        <w:rPr>
          <w:rFonts w:eastAsia="Calibri" w:cs="Times New Roman"/>
          <w:noProof/>
          <w:szCs w:val="24"/>
        </w:rPr>
      </w:pPr>
      <w:r w:rsidRPr="002819D5">
        <w:rPr>
          <w:rFonts w:eastAsia="Calibri" w:cs="Times New Roman"/>
          <w:noProof/>
          <w:szCs w:val="24"/>
        </w:rPr>
        <w:t>Stakeholders were asked to consider the ambition level of the Regulation in light of the new EU climate targets in the European Green Deal and the inclusion of obligations on hydrofluorocarbons under the Montreal Protocol. Most Member States</w:t>
      </w:r>
      <w:r w:rsidR="0061381C">
        <w:rPr>
          <w:rFonts w:eastAsia="Calibri" w:cs="Times New Roman"/>
          <w:noProof/>
          <w:szCs w:val="24"/>
        </w:rPr>
        <w:t xml:space="preserve"> authorities</w:t>
      </w:r>
      <w:r w:rsidRPr="002819D5">
        <w:rPr>
          <w:rFonts w:eastAsia="Calibri" w:cs="Times New Roman"/>
          <w:noProof/>
          <w:szCs w:val="24"/>
        </w:rPr>
        <w:t>, all NGOs and some business associations signalled that more ambition would be required, whereas other industry stakeholders found that the current level up until 2030 was sufficient. Furthermore, the majority of industry and NGO stakeholders signalled that adaptations are needed to ensure compliance with the Montreal Protocol, in particular post 2030.</w:t>
      </w:r>
    </w:p>
    <w:p w14:paraId="1D3D413B" w14:textId="3CB15C77" w:rsidR="000B1AB2" w:rsidRPr="002819D5" w:rsidRDefault="000B1AB2" w:rsidP="00C11DCB">
      <w:pPr>
        <w:spacing w:after="160"/>
        <w:rPr>
          <w:rFonts w:eastAsia="Calibri" w:cs="Times New Roman"/>
          <w:noProof/>
          <w:szCs w:val="24"/>
        </w:rPr>
      </w:pPr>
      <w:r w:rsidRPr="002819D5">
        <w:rPr>
          <w:rFonts w:eastAsia="Calibri" w:cs="Times New Roman"/>
          <w:noProof/>
          <w:szCs w:val="24"/>
        </w:rPr>
        <w:t xml:space="preserve">Although many stakeholders believe that the current Regulation covers all relevant sectors using F-gases and substances (in particular amongst industry), others do not believe this is the case (in particular NGOs and </w:t>
      </w:r>
      <w:r w:rsidR="00CA26BC">
        <w:rPr>
          <w:rFonts w:eastAsia="Calibri" w:cs="Times New Roman"/>
          <w:noProof/>
          <w:szCs w:val="24"/>
        </w:rPr>
        <w:t>competent a</w:t>
      </w:r>
      <w:r w:rsidRPr="002819D5">
        <w:rPr>
          <w:rFonts w:eastAsia="Calibri" w:cs="Times New Roman"/>
          <w:noProof/>
          <w:szCs w:val="24"/>
        </w:rPr>
        <w:t>uthorities) and they identified substances and applications that are not currently covered by the Regulation nor by specific measures. For example there are no measures incentivising climate friendly propellants in Medical Dose Inhalers (MDIs) although pharmaceutical companies are already exploring such solutions. NGO</w:t>
      </w:r>
      <w:r w:rsidR="000D31B3">
        <w:rPr>
          <w:rFonts w:eastAsia="Calibri" w:cs="Times New Roman"/>
          <w:noProof/>
          <w:szCs w:val="24"/>
        </w:rPr>
        <w:t>s</w:t>
      </w:r>
      <w:r w:rsidRPr="002819D5">
        <w:rPr>
          <w:rFonts w:eastAsia="Calibri" w:cs="Times New Roman"/>
          <w:noProof/>
          <w:szCs w:val="24"/>
        </w:rPr>
        <w:t xml:space="preserve"> highlighted the need for stricter requirements for certain sectors currently exempted, such as medical applications, military applications, transport and SF</w:t>
      </w:r>
      <w:r w:rsidRPr="002819D5">
        <w:rPr>
          <w:rFonts w:eastAsia="Calibri" w:cs="Times New Roman"/>
          <w:noProof/>
          <w:szCs w:val="24"/>
          <w:vertAlign w:val="subscript"/>
        </w:rPr>
        <w:t>6</w:t>
      </w:r>
      <w:r w:rsidRPr="002819D5">
        <w:rPr>
          <w:rFonts w:eastAsia="Calibri" w:cs="Times New Roman"/>
          <w:noProof/>
          <w:szCs w:val="24"/>
        </w:rPr>
        <w:t xml:space="preserve"> use in switchgear. Other examples of proposals included requirements beyond reporting for gases listed in Annex II of the Regulation (e.g. HFOs, SO</w:t>
      </w:r>
      <w:r w:rsidRPr="002819D5">
        <w:rPr>
          <w:rFonts w:eastAsia="Calibri" w:cs="Times New Roman"/>
          <w:noProof/>
          <w:szCs w:val="24"/>
          <w:vertAlign w:val="subscript"/>
        </w:rPr>
        <w:t>2</w:t>
      </w:r>
      <w:r w:rsidRPr="002819D5">
        <w:rPr>
          <w:rFonts w:eastAsia="Calibri" w:cs="Times New Roman"/>
          <w:noProof/>
          <w:szCs w:val="24"/>
        </w:rPr>
        <w:t>F</w:t>
      </w:r>
      <w:r w:rsidRPr="002819D5">
        <w:rPr>
          <w:rFonts w:eastAsia="Calibri" w:cs="Times New Roman"/>
          <w:noProof/>
          <w:szCs w:val="24"/>
          <w:vertAlign w:val="subscript"/>
        </w:rPr>
        <w:t>2</w:t>
      </w:r>
      <w:r w:rsidRPr="002819D5">
        <w:rPr>
          <w:rFonts w:eastAsia="Calibri" w:cs="Times New Roman"/>
          <w:noProof/>
          <w:szCs w:val="24"/>
        </w:rPr>
        <w:t xml:space="preserve">), for instance; expanding obligations related to reclamation, certification and training to such gases. </w:t>
      </w:r>
    </w:p>
    <w:p w14:paraId="51FC46EE" w14:textId="77777777" w:rsidR="000B1AB2" w:rsidRPr="000B1AB2" w:rsidRDefault="000B1AB2" w:rsidP="0017603A">
      <w:pPr>
        <w:pStyle w:val="AppendixHeadingLevel3"/>
        <w:numPr>
          <w:ilvl w:val="2"/>
          <w:numId w:val="108"/>
        </w:numPr>
        <w:rPr>
          <w:noProof/>
          <w:lang w:eastAsia="en-GB"/>
        </w:rPr>
      </w:pPr>
      <w:bookmarkStart w:id="457" w:name="_Toc85655106"/>
      <w:r w:rsidRPr="000B1AB2">
        <w:rPr>
          <w:noProof/>
          <w:lang w:eastAsia="en-GB"/>
        </w:rPr>
        <w:t>Coherence</w:t>
      </w:r>
      <w:bookmarkEnd w:id="457"/>
    </w:p>
    <w:p w14:paraId="5639F1C6" w14:textId="4BE3E98D" w:rsidR="000B1AB2" w:rsidRPr="00705EEF" w:rsidRDefault="000B1AB2" w:rsidP="00C11DCB">
      <w:pPr>
        <w:spacing w:after="160"/>
        <w:rPr>
          <w:rFonts w:eastAsia="Calibri" w:cs="Times New Roman"/>
          <w:noProof/>
          <w:szCs w:val="24"/>
        </w:rPr>
      </w:pPr>
      <w:r w:rsidRPr="00705EEF">
        <w:rPr>
          <w:rFonts w:eastAsia="Calibri" w:cs="Times New Roman"/>
          <w:noProof/>
          <w:szCs w:val="24"/>
        </w:rPr>
        <w:t xml:space="preserve">Stakeholders believed there is a need for stronger coherence with customs activities. The lack of which was viewed by industry, in particular, as a key facilitator of illegal imports. Stakeholders proposed a range of options to tackle illegal trade, including: a clearer link between the Regulation and the Union Customs Code Regulation (EU) No 952/2013, more harmonised and dissuasive penalties, tackling online trade and enforcement by local authorities </w:t>
      </w:r>
      <w:r w:rsidR="006E7FA8">
        <w:rPr>
          <w:rFonts w:eastAsia="Calibri" w:cs="Times New Roman"/>
          <w:noProof/>
          <w:szCs w:val="24"/>
        </w:rPr>
        <w:t>as well as</w:t>
      </w:r>
      <w:r w:rsidR="006E7FA8" w:rsidRPr="00705EEF">
        <w:rPr>
          <w:rFonts w:eastAsia="Calibri" w:cs="Times New Roman"/>
          <w:noProof/>
          <w:szCs w:val="24"/>
        </w:rPr>
        <w:t xml:space="preserve"> </w:t>
      </w:r>
      <w:r w:rsidRPr="00705EEF">
        <w:rPr>
          <w:rFonts w:eastAsia="Calibri" w:cs="Times New Roman"/>
          <w:noProof/>
          <w:szCs w:val="24"/>
        </w:rPr>
        <w:t>improved market surveillance activities.</w:t>
      </w:r>
    </w:p>
    <w:p w14:paraId="07FD268E" w14:textId="204D3280" w:rsidR="000B1AB2" w:rsidRPr="00705EEF" w:rsidRDefault="000B1AB2" w:rsidP="00C11DCB">
      <w:pPr>
        <w:spacing w:after="160"/>
        <w:rPr>
          <w:rFonts w:eastAsia="Calibri" w:cs="Times New Roman"/>
          <w:noProof/>
          <w:szCs w:val="24"/>
        </w:rPr>
      </w:pPr>
      <w:r w:rsidRPr="00705EEF">
        <w:rPr>
          <w:rFonts w:eastAsia="Calibri" w:cs="Times New Roman"/>
          <w:noProof/>
          <w:szCs w:val="24"/>
        </w:rPr>
        <w:t>Many industry stakeholders also affirmed the persistence of the barriers posed by national safety standards to the uptake of alternatives. That said, stakeholders did note that progress has been made recently, citing the examples of Italy and Spain who</w:t>
      </w:r>
      <w:r w:rsidR="006E7FA8">
        <w:rPr>
          <w:rFonts w:eastAsia="Calibri" w:cs="Times New Roman"/>
          <w:noProof/>
          <w:szCs w:val="24"/>
        </w:rPr>
        <w:t>,</w:t>
      </w:r>
      <w:r w:rsidRPr="00705EEF">
        <w:rPr>
          <w:rFonts w:eastAsia="Calibri" w:cs="Times New Roman"/>
          <w:noProof/>
          <w:szCs w:val="24"/>
        </w:rPr>
        <w:t xml:space="preserve"> since 2015 have been working on amending their national building codes and fire prevention rules in buildings to allow installation of some flammable refrigerants (especially A2L) in certain types of public buildings. However, the situation in France was reported to still pose a barrier to the use of any flammable F-gas alternatives (e.g. targeted interview with industry). The current national laws covering public buildings (CH35) and covering high-rise buildings (GH37) prevent the installation of equipment with A2L and A3 refrigerants.     </w:t>
      </w:r>
    </w:p>
    <w:p w14:paraId="15BCBF19" w14:textId="7683083C" w:rsidR="000B1AB2" w:rsidRPr="00705EEF" w:rsidRDefault="000B1AB2" w:rsidP="00C11DCB">
      <w:pPr>
        <w:spacing w:after="160"/>
        <w:rPr>
          <w:rFonts w:eastAsia="Calibri" w:cs="Times New Roman"/>
          <w:noProof/>
          <w:szCs w:val="24"/>
        </w:rPr>
      </w:pPr>
      <w:r w:rsidRPr="00705EEF">
        <w:rPr>
          <w:rFonts w:eastAsia="Calibri" w:cs="Times New Roman"/>
          <w:noProof/>
          <w:szCs w:val="24"/>
        </w:rPr>
        <w:t xml:space="preserve">There are synergies regarding energy efficiency and the </w:t>
      </w:r>
      <w:r w:rsidR="0018090C">
        <w:rPr>
          <w:rFonts w:eastAsia="Calibri" w:cs="Times New Roman"/>
          <w:noProof/>
          <w:szCs w:val="24"/>
        </w:rPr>
        <w:t>Eco-design</w:t>
      </w:r>
      <w:r w:rsidRPr="00705EEF">
        <w:rPr>
          <w:rFonts w:eastAsia="Calibri" w:cs="Times New Roman"/>
          <w:noProof/>
          <w:szCs w:val="24"/>
        </w:rPr>
        <w:t xml:space="preserve"> Directive, in particular through Article 11(2) of the Regulation</w:t>
      </w:r>
      <w:r w:rsidR="004C4667">
        <w:rPr>
          <w:rFonts w:eastAsia="Calibri" w:cs="Times New Roman"/>
          <w:noProof/>
          <w:szCs w:val="24"/>
        </w:rPr>
        <w:t xml:space="preserve"> that includes</w:t>
      </w:r>
      <w:r w:rsidRPr="00705EEF">
        <w:rPr>
          <w:rFonts w:eastAsia="Calibri" w:cs="Times New Roman"/>
          <w:noProof/>
          <w:szCs w:val="24"/>
        </w:rPr>
        <w:t xml:space="preserve"> an exemption from the placing on the market bans (set out in Annex III) if the equipment with HFCs would achieve lower overall lifecycle GHG emissions. Despite this alignment, there is a perception</w:t>
      </w:r>
      <w:r w:rsidR="002819D5">
        <w:rPr>
          <w:rFonts w:eastAsia="Calibri" w:cs="Times New Roman"/>
          <w:noProof/>
          <w:szCs w:val="24"/>
        </w:rPr>
        <w:t xml:space="preserve"> among a number of stakeholders</w:t>
      </w:r>
      <w:r w:rsidRPr="00705EEF">
        <w:rPr>
          <w:rFonts w:eastAsia="Calibri" w:cs="Times New Roman"/>
          <w:noProof/>
          <w:szCs w:val="24"/>
        </w:rPr>
        <w:t xml:space="preserve"> that there is a lack of coherence with the </w:t>
      </w:r>
      <w:r w:rsidR="0018090C">
        <w:rPr>
          <w:rFonts w:eastAsia="Calibri" w:cs="Times New Roman"/>
          <w:noProof/>
          <w:szCs w:val="24"/>
        </w:rPr>
        <w:t>Eco-design</w:t>
      </w:r>
      <w:r w:rsidRPr="00705EEF">
        <w:rPr>
          <w:rFonts w:eastAsia="Calibri" w:cs="Times New Roman"/>
          <w:noProof/>
          <w:szCs w:val="24"/>
        </w:rPr>
        <w:t xml:space="preserve"> Directive. Some highlighted that there are examples where there is trade-off relationship between </w:t>
      </w:r>
      <w:r w:rsidR="004C4667">
        <w:rPr>
          <w:rFonts w:eastAsia="Calibri" w:cs="Times New Roman"/>
          <w:noProof/>
          <w:szCs w:val="24"/>
        </w:rPr>
        <w:t xml:space="preserve">reducing the level of </w:t>
      </w:r>
      <w:r w:rsidRPr="00705EEF">
        <w:rPr>
          <w:rFonts w:eastAsia="Calibri" w:cs="Times New Roman"/>
          <w:noProof/>
          <w:szCs w:val="24"/>
        </w:rPr>
        <w:t xml:space="preserve">GWP and energy efficiency, e.g. in the category of R410A alternatives. However, when prompted, these stakeholders struggled to find good examples of applications of where such trade-offs actually occurred. </w:t>
      </w:r>
    </w:p>
    <w:p w14:paraId="04FBEDB0" w14:textId="5618E9FA" w:rsidR="000B1AB2" w:rsidRPr="00083B45" w:rsidRDefault="000B1AB2" w:rsidP="00C11DCB">
      <w:pPr>
        <w:spacing w:after="160"/>
        <w:rPr>
          <w:i/>
          <w:noProof/>
        </w:rPr>
      </w:pPr>
      <w:r w:rsidRPr="00705EEF">
        <w:rPr>
          <w:rFonts w:eastAsia="Calibri" w:cs="Times New Roman"/>
          <w:noProof/>
          <w:szCs w:val="24"/>
        </w:rPr>
        <w:t>One industry stakeholder highlighted that</w:t>
      </w:r>
      <w:r w:rsidR="0018090C">
        <w:rPr>
          <w:rFonts w:eastAsia="Calibri" w:cs="Times New Roman"/>
          <w:noProof/>
          <w:szCs w:val="24"/>
        </w:rPr>
        <w:t>,</w:t>
      </w:r>
      <w:r w:rsidRPr="00705EEF">
        <w:rPr>
          <w:rFonts w:eastAsia="Calibri" w:cs="Times New Roman"/>
          <w:noProof/>
          <w:szCs w:val="24"/>
        </w:rPr>
        <w:t xml:space="preserve"> whilst the Regulation pushed to reduce the HFC charge size of heat pumps, the </w:t>
      </w:r>
      <w:r w:rsidR="0018090C">
        <w:rPr>
          <w:rFonts w:eastAsia="Calibri" w:cs="Times New Roman"/>
          <w:noProof/>
          <w:szCs w:val="24"/>
        </w:rPr>
        <w:t>Eco-design</w:t>
      </w:r>
      <w:r w:rsidRPr="00705EEF">
        <w:rPr>
          <w:rFonts w:eastAsia="Calibri" w:cs="Times New Roman"/>
          <w:noProof/>
          <w:szCs w:val="24"/>
        </w:rPr>
        <w:t xml:space="preserve"> Directive pushed for lower sound power level. The latter is generally achieved by increasing the evaporator size and as a consequence the refrigerant charge size, which disadvantages the use of some natural alternatives. Similar concerns have been raised in the F-gas Consultation Forum by industry players with hydrocarbon technologies in the past</w:t>
      </w:r>
      <w:r w:rsidR="000068C6">
        <w:rPr>
          <w:rFonts w:eastAsia="Calibri" w:cs="Times New Roman"/>
          <w:noProof/>
          <w:szCs w:val="24"/>
        </w:rPr>
        <w:t xml:space="preserve">. </w:t>
      </w:r>
      <w:r w:rsidR="0018090C">
        <w:rPr>
          <w:rFonts w:eastAsia="Calibri" w:cs="Times New Roman"/>
          <w:iCs/>
          <w:noProof/>
          <w:szCs w:val="24"/>
        </w:rPr>
        <w:t>Eco-design</w:t>
      </w:r>
      <w:r w:rsidR="000068C6" w:rsidRPr="000068C6">
        <w:rPr>
          <w:rFonts w:eastAsia="Calibri" w:cs="Times New Roman"/>
          <w:iCs/>
          <w:noProof/>
          <w:szCs w:val="24"/>
        </w:rPr>
        <w:t xml:space="preserve"> requirements continue to be refined as technologies develop. In this way, </w:t>
      </w:r>
      <w:r w:rsidR="0018090C" w:rsidRPr="000068C6">
        <w:rPr>
          <w:rFonts w:eastAsia="Calibri" w:cs="Times New Roman"/>
          <w:iCs/>
          <w:noProof/>
          <w:szCs w:val="24"/>
        </w:rPr>
        <w:t>Eco-design</w:t>
      </w:r>
      <w:r w:rsidR="000068C6" w:rsidRPr="000068C6">
        <w:rPr>
          <w:rFonts w:eastAsia="Calibri" w:cs="Times New Roman"/>
          <w:iCs/>
          <w:noProof/>
          <w:szCs w:val="24"/>
        </w:rPr>
        <w:t xml:space="preserve"> requirements have an impact on the charge amount needed, with higher efficiencies typically needing more refrigerant. Since hydrocarbon refrigerants are more limited in potential refrigerant charge size by existing standards, their scope regarding energy efficiency improvements continues to be more limited unless existing barriers in standards are addressed.</w:t>
      </w:r>
    </w:p>
    <w:p w14:paraId="4FDA36FA" w14:textId="78EBCC28" w:rsidR="000B1AB2" w:rsidRPr="00705EEF" w:rsidRDefault="000B1AB2" w:rsidP="00C11DCB">
      <w:pPr>
        <w:spacing w:after="160"/>
        <w:rPr>
          <w:rFonts w:eastAsia="Calibri" w:cs="Times New Roman"/>
          <w:noProof/>
          <w:szCs w:val="24"/>
        </w:rPr>
      </w:pPr>
      <w:r w:rsidRPr="00705EEF">
        <w:rPr>
          <w:rFonts w:eastAsia="Calibri" w:cs="Times New Roman"/>
          <w:noProof/>
          <w:szCs w:val="24"/>
        </w:rPr>
        <w:t xml:space="preserve">Although not directly conflicting, </w:t>
      </w:r>
      <w:r w:rsidR="00E75C1D">
        <w:rPr>
          <w:rFonts w:eastAsia="Calibri" w:cs="Times New Roman"/>
          <w:noProof/>
          <w:szCs w:val="24"/>
        </w:rPr>
        <w:t xml:space="preserve">it appears that </w:t>
      </w:r>
      <w:r w:rsidRPr="00705EEF">
        <w:rPr>
          <w:rFonts w:eastAsia="Calibri" w:cs="Times New Roman"/>
          <w:noProof/>
          <w:szCs w:val="24"/>
        </w:rPr>
        <w:t xml:space="preserve">the complexities of the interaction of the Regulation with waste legislation </w:t>
      </w:r>
      <w:r w:rsidR="00E75C1D">
        <w:rPr>
          <w:rFonts w:eastAsia="Calibri" w:cs="Times New Roman"/>
          <w:noProof/>
          <w:szCs w:val="24"/>
        </w:rPr>
        <w:t>have</w:t>
      </w:r>
      <w:r w:rsidRPr="00705EEF">
        <w:rPr>
          <w:rFonts w:eastAsia="Calibri" w:cs="Times New Roman"/>
          <w:noProof/>
          <w:szCs w:val="24"/>
        </w:rPr>
        <w:t xml:space="preserve"> created uncertainty for market players. This is particularly the case around the classification of what is waste: e.g. should a</w:t>
      </w:r>
      <w:r w:rsidR="006E7FA8">
        <w:rPr>
          <w:rFonts w:eastAsia="Calibri" w:cs="Times New Roman"/>
          <w:noProof/>
          <w:szCs w:val="24"/>
        </w:rPr>
        <w:t>n</w:t>
      </w:r>
      <w:r w:rsidRPr="00705EEF">
        <w:rPr>
          <w:rFonts w:eastAsia="Calibri" w:cs="Times New Roman"/>
          <w:noProof/>
          <w:szCs w:val="24"/>
        </w:rPr>
        <w:t xml:space="preserve"> F-gas </w:t>
      </w:r>
      <w:r w:rsidR="006E7FA8" w:rsidRPr="00705EEF">
        <w:rPr>
          <w:rFonts w:eastAsia="Calibri" w:cs="Times New Roman"/>
          <w:noProof/>
          <w:szCs w:val="24"/>
        </w:rPr>
        <w:t xml:space="preserve">recovered </w:t>
      </w:r>
      <w:r w:rsidRPr="00705EEF">
        <w:rPr>
          <w:rFonts w:eastAsia="Calibri" w:cs="Times New Roman"/>
          <w:noProof/>
          <w:szCs w:val="24"/>
        </w:rPr>
        <w:t>from old equipment be treated as waste</w:t>
      </w:r>
      <w:r w:rsidR="006E7FA8">
        <w:rPr>
          <w:rFonts w:eastAsia="Calibri" w:cs="Times New Roman"/>
          <w:noProof/>
          <w:szCs w:val="24"/>
        </w:rPr>
        <w:t>?</w:t>
      </w:r>
      <w:r w:rsidRPr="00705EEF">
        <w:rPr>
          <w:rFonts w:eastAsia="Calibri" w:cs="Times New Roman"/>
          <w:noProof/>
          <w:szCs w:val="24"/>
        </w:rPr>
        <w:t xml:space="preserve"> This uncertainty has resulted in cases of sub-optimal outcomes highlighted by industry and </w:t>
      </w:r>
      <w:r w:rsidR="00CA26BC">
        <w:rPr>
          <w:rFonts w:eastAsia="Calibri" w:cs="Times New Roman"/>
          <w:noProof/>
          <w:szCs w:val="24"/>
        </w:rPr>
        <w:t>competent a</w:t>
      </w:r>
      <w:r w:rsidRPr="00705EEF">
        <w:rPr>
          <w:rFonts w:eastAsia="Calibri" w:cs="Times New Roman"/>
          <w:noProof/>
          <w:szCs w:val="24"/>
        </w:rPr>
        <w:t xml:space="preserve">uthorities. This presents a case where further consistency or guidance could be useful. Legislation around the transboundary shipments of waste is viewed by some </w:t>
      </w:r>
      <w:r w:rsidR="00CA26BC">
        <w:rPr>
          <w:rFonts w:eastAsia="Calibri" w:cs="Times New Roman"/>
          <w:noProof/>
          <w:szCs w:val="24"/>
        </w:rPr>
        <w:t>competent a</w:t>
      </w:r>
      <w:r w:rsidRPr="00705EEF">
        <w:rPr>
          <w:rFonts w:eastAsia="Calibri" w:cs="Times New Roman"/>
          <w:noProof/>
          <w:szCs w:val="24"/>
        </w:rPr>
        <w:t>uthorit</w:t>
      </w:r>
      <w:r w:rsidR="00CA26BC">
        <w:rPr>
          <w:rFonts w:eastAsia="Calibri" w:cs="Times New Roman"/>
          <w:noProof/>
          <w:szCs w:val="24"/>
        </w:rPr>
        <w:t>ies</w:t>
      </w:r>
      <w:r w:rsidRPr="00705EEF">
        <w:rPr>
          <w:rFonts w:eastAsia="Calibri" w:cs="Times New Roman"/>
          <w:noProof/>
          <w:szCs w:val="24"/>
        </w:rPr>
        <w:t xml:space="preserve"> and </w:t>
      </w:r>
      <w:r w:rsidR="00CA26BC">
        <w:rPr>
          <w:rFonts w:eastAsia="Calibri" w:cs="Times New Roman"/>
          <w:noProof/>
          <w:szCs w:val="24"/>
        </w:rPr>
        <w:t>industry</w:t>
      </w:r>
      <w:r w:rsidRPr="00705EEF">
        <w:rPr>
          <w:rFonts w:eastAsia="Calibri" w:cs="Times New Roman"/>
          <w:noProof/>
          <w:szCs w:val="24"/>
        </w:rPr>
        <w:t xml:space="preserve"> stakeholders (but not all – some industry stakeholders disagreed) to present a barrier to reclamation. </w:t>
      </w:r>
    </w:p>
    <w:p w14:paraId="017BFDF3" w14:textId="24D927C6" w:rsidR="000B1AB2" w:rsidRPr="00705EEF" w:rsidRDefault="000B1AB2" w:rsidP="00C11DCB">
      <w:pPr>
        <w:spacing w:after="160"/>
        <w:rPr>
          <w:rFonts w:eastAsia="Calibri" w:cs="Times New Roman"/>
          <w:noProof/>
          <w:szCs w:val="24"/>
        </w:rPr>
      </w:pPr>
      <w:r w:rsidRPr="00705EEF">
        <w:rPr>
          <w:rFonts w:eastAsia="Calibri" w:cs="Times New Roman"/>
          <w:noProof/>
          <w:szCs w:val="24"/>
        </w:rPr>
        <w:t>The general perception amongst stakeholders is that coherence with REACH is high, but that there are a number of issues that warrant further consideration. REACH registration for importers needs to be better enforced and current lack of enforcement creates a disadvantage for EU-based F-gas businesses. Several industry stakeholders pointed out that there is currently a REACH PFAS</w:t>
      </w:r>
      <w:r w:rsidRPr="00705EEF">
        <w:rPr>
          <w:rFonts w:eastAsia="Calibri" w:cs="Times New Roman"/>
          <w:noProof/>
          <w:szCs w:val="24"/>
          <w:vertAlign w:val="superscript"/>
        </w:rPr>
        <w:footnoteReference w:id="128"/>
      </w:r>
      <w:r w:rsidRPr="00705EEF">
        <w:rPr>
          <w:rFonts w:eastAsia="Calibri" w:cs="Times New Roman"/>
          <w:noProof/>
          <w:szCs w:val="24"/>
        </w:rPr>
        <w:t xml:space="preserve"> restriction proposal being prepared by some EU Member States that could potentially lead to a number of synthetic, low GWP alternatives being prohibited</w:t>
      </w:r>
      <w:r w:rsidR="00E75C1D">
        <w:rPr>
          <w:rFonts w:eastAsia="Calibri" w:cs="Times New Roman"/>
          <w:noProof/>
          <w:szCs w:val="24"/>
        </w:rPr>
        <w:t xml:space="preserve"> (with potential exemptions)</w:t>
      </w:r>
      <w:r w:rsidRPr="00705EEF">
        <w:rPr>
          <w:rFonts w:eastAsia="Calibri" w:cs="Times New Roman"/>
          <w:noProof/>
          <w:szCs w:val="24"/>
        </w:rPr>
        <w:t>. On the same issue, other stakeholders, especially NGOs, felt that the Regulation and REACH has failed so far to systematically identify and manage the potential harmful effects of some F-gas alternatives.</w:t>
      </w:r>
    </w:p>
    <w:p w14:paraId="0CCA00B0" w14:textId="1A7B2AF4" w:rsidR="000B1AB2" w:rsidRPr="00705EEF" w:rsidRDefault="000B1AB2" w:rsidP="00C11DCB">
      <w:pPr>
        <w:spacing w:after="160"/>
        <w:rPr>
          <w:rFonts w:eastAsia="Calibri" w:cs="Times New Roman"/>
          <w:noProof/>
          <w:szCs w:val="24"/>
        </w:rPr>
      </w:pPr>
      <w:r w:rsidRPr="00705EEF">
        <w:rPr>
          <w:rFonts w:eastAsia="Calibri" w:cs="Times New Roman"/>
          <w:noProof/>
          <w:szCs w:val="24"/>
        </w:rPr>
        <w:t xml:space="preserve">Concerning internal coherence overall, stakeholders generally agreed that the Regulation is clear and consistent. That said, several minor areas were identified for further consideration and adaptation, including: the clarification of some definitions as well as </w:t>
      </w:r>
      <w:r w:rsidR="00E75C1D">
        <w:rPr>
          <w:rFonts w:eastAsia="Calibri" w:cs="Times New Roman"/>
          <w:noProof/>
          <w:szCs w:val="24"/>
        </w:rPr>
        <w:t>making</w:t>
      </w:r>
      <w:r w:rsidRPr="00705EEF">
        <w:rPr>
          <w:rFonts w:eastAsia="Calibri" w:cs="Times New Roman"/>
          <w:noProof/>
          <w:szCs w:val="24"/>
        </w:rPr>
        <w:t xml:space="preserve"> new </w:t>
      </w:r>
      <w:r w:rsidR="00E75C1D">
        <w:rPr>
          <w:rFonts w:eastAsia="Calibri" w:cs="Times New Roman"/>
          <w:noProof/>
          <w:szCs w:val="24"/>
        </w:rPr>
        <w:t>definitions</w:t>
      </w:r>
      <w:r w:rsidRPr="00705EEF">
        <w:rPr>
          <w:rFonts w:eastAsia="Calibri" w:cs="Times New Roman"/>
          <w:noProof/>
          <w:szCs w:val="24"/>
        </w:rPr>
        <w:t xml:space="preserve">, in addition to a number of clarifications in individual provisions.  </w:t>
      </w:r>
    </w:p>
    <w:p w14:paraId="3C891643" w14:textId="77777777" w:rsidR="000B1AB2" w:rsidRPr="000B1AB2" w:rsidRDefault="000B1AB2" w:rsidP="0017603A">
      <w:pPr>
        <w:pStyle w:val="AppendixHeadingLevel3"/>
        <w:numPr>
          <w:ilvl w:val="2"/>
          <w:numId w:val="108"/>
        </w:numPr>
        <w:rPr>
          <w:noProof/>
          <w:lang w:eastAsia="en-GB"/>
        </w:rPr>
      </w:pPr>
      <w:bookmarkStart w:id="458" w:name="_Toc85655107"/>
      <w:r w:rsidRPr="000B1AB2">
        <w:rPr>
          <w:noProof/>
          <w:lang w:eastAsia="en-GB"/>
        </w:rPr>
        <w:t>EU-added value</w:t>
      </w:r>
      <w:bookmarkEnd w:id="458"/>
    </w:p>
    <w:p w14:paraId="7227E1C4" w14:textId="75F497D9" w:rsidR="000B1AB2" w:rsidRPr="00705EEF" w:rsidRDefault="000B1AB2" w:rsidP="00C11DCB">
      <w:pPr>
        <w:spacing w:after="160"/>
        <w:rPr>
          <w:rFonts w:eastAsia="Calibri" w:cs="Times New Roman"/>
          <w:noProof/>
          <w:szCs w:val="24"/>
        </w:rPr>
      </w:pPr>
      <w:r w:rsidRPr="00705EEF">
        <w:rPr>
          <w:rFonts w:eastAsia="Calibri" w:cs="Times New Roman"/>
          <w:noProof/>
          <w:szCs w:val="24"/>
        </w:rPr>
        <w:t xml:space="preserve">Stakeholders of all types generally agree that the Regulation has delivered EU value-added, however opinions are mixed between stakeholders as regards the value provided. The greatest value added provided by the Regulation </w:t>
      </w:r>
      <w:r w:rsidRPr="00705EEF" w:rsidDel="009B3102">
        <w:rPr>
          <w:rFonts w:eastAsia="Calibri" w:cs="Times New Roman"/>
          <w:noProof/>
          <w:szCs w:val="24"/>
        </w:rPr>
        <w:t xml:space="preserve">perceived </w:t>
      </w:r>
      <w:r w:rsidRPr="00705EEF">
        <w:rPr>
          <w:rFonts w:eastAsia="Calibri" w:cs="Times New Roman"/>
          <w:noProof/>
          <w:szCs w:val="24"/>
        </w:rPr>
        <w:t xml:space="preserve">amongst stakeholders is that it has achieved a higher level of ambition than what would have occurred at individual Member State level. </w:t>
      </w:r>
      <w:r w:rsidR="000512C1">
        <w:rPr>
          <w:rFonts w:eastAsia="Calibri" w:cs="Times New Roman"/>
          <w:noProof/>
          <w:szCs w:val="24"/>
        </w:rPr>
        <w:t>C</w:t>
      </w:r>
      <w:r w:rsidRPr="00705EEF">
        <w:rPr>
          <w:rFonts w:eastAsia="Calibri" w:cs="Times New Roman"/>
          <w:noProof/>
          <w:szCs w:val="24"/>
        </w:rPr>
        <w:t xml:space="preserve">ompetent authorities consistently stated that the EU approach of the Regulation has been clearly advantageous compared to action at Member State level. </w:t>
      </w:r>
      <w:r w:rsidR="00CA26BC">
        <w:rPr>
          <w:rFonts w:eastAsia="Calibri" w:cs="Times New Roman"/>
          <w:noProof/>
          <w:szCs w:val="24"/>
        </w:rPr>
        <w:t>One competent a</w:t>
      </w:r>
      <w:r w:rsidRPr="00705EEF">
        <w:rPr>
          <w:rFonts w:eastAsia="Calibri" w:cs="Times New Roman"/>
          <w:noProof/>
          <w:szCs w:val="24"/>
        </w:rPr>
        <w:t>uthority stakeholder noted specifically that common elements such as definitions, labelling, etc. would be complicated to agree at national level. A</w:t>
      </w:r>
      <w:r w:rsidR="006E7FA8">
        <w:rPr>
          <w:rFonts w:eastAsia="Calibri" w:cs="Times New Roman"/>
          <w:noProof/>
          <w:szCs w:val="24"/>
        </w:rPr>
        <w:t>nother</w:t>
      </w:r>
      <w:r w:rsidRPr="00705EEF">
        <w:rPr>
          <w:rFonts w:eastAsia="Calibri" w:cs="Times New Roman"/>
          <w:noProof/>
          <w:szCs w:val="24"/>
        </w:rPr>
        <w:t xml:space="preserve"> competent authority also stressed the </w:t>
      </w:r>
      <w:r w:rsidR="00E75C1D">
        <w:rPr>
          <w:rFonts w:eastAsia="Calibri" w:cs="Times New Roman"/>
          <w:noProof/>
          <w:szCs w:val="24"/>
        </w:rPr>
        <w:t>low</w:t>
      </w:r>
      <w:r w:rsidRPr="00705EEF">
        <w:rPr>
          <w:rFonts w:eastAsia="Calibri" w:cs="Times New Roman"/>
          <w:noProof/>
          <w:szCs w:val="24"/>
        </w:rPr>
        <w:t xml:space="preserve"> administrative burden at Member State level, as the F-gas Portal is managed exclusively by the Commission. The EU-wide quota system also ensures a fair and equal quota distribution between applicants. Furthermore, common legislation has also enhanced the market for new alternatives. </w:t>
      </w:r>
      <w:r w:rsidR="00CA26BC">
        <w:rPr>
          <w:rFonts w:eastAsia="Calibri" w:cs="Times New Roman"/>
          <w:noProof/>
          <w:szCs w:val="24"/>
        </w:rPr>
        <w:t>NGOs and competent a</w:t>
      </w:r>
      <w:r w:rsidRPr="00705EEF">
        <w:rPr>
          <w:rFonts w:eastAsia="Calibri" w:cs="Times New Roman"/>
          <w:noProof/>
          <w:szCs w:val="24"/>
        </w:rPr>
        <w:t xml:space="preserve">uthorities also believe that the Regulation has provided a level playing field across the EU, whereas the sentiment among industry players was more mixed. </w:t>
      </w:r>
    </w:p>
    <w:p w14:paraId="7F0D010E" w14:textId="77777777" w:rsidR="000B1AB2" w:rsidRPr="000B1AB2" w:rsidRDefault="000B1AB2" w:rsidP="0017603A">
      <w:pPr>
        <w:pStyle w:val="AppendixHeadingLevel3"/>
        <w:numPr>
          <w:ilvl w:val="2"/>
          <w:numId w:val="108"/>
        </w:numPr>
        <w:rPr>
          <w:noProof/>
          <w:lang w:eastAsia="en-GB"/>
        </w:rPr>
      </w:pPr>
      <w:bookmarkStart w:id="459" w:name="_Toc85655108"/>
      <w:r w:rsidRPr="000B1AB2">
        <w:rPr>
          <w:noProof/>
          <w:lang w:eastAsia="en-GB"/>
        </w:rPr>
        <w:t>Impact of COVID-19</w:t>
      </w:r>
      <w:bookmarkEnd w:id="459"/>
    </w:p>
    <w:p w14:paraId="30EE62CF" w14:textId="6E3254B5" w:rsidR="000B1AB2" w:rsidRPr="00705EEF" w:rsidRDefault="000B1AB2" w:rsidP="00C11DCB">
      <w:pPr>
        <w:spacing w:after="160"/>
        <w:rPr>
          <w:rFonts w:eastAsia="Calibri" w:cs="Times New Roman"/>
          <w:noProof/>
          <w:szCs w:val="24"/>
        </w:rPr>
      </w:pPr>
      <w:r w:rsidRPr="00705EEF">
        <w:rPr>
          <w:rFonts w:eastAsia="Calibri" w:cs="Times New Roman"/>
          <w:noProof/>
          <w:szCs w:val="24"/>
        </w:rPr>
        <w:t xml:space="preserve">Opinions were mixed on the impact of COVID-19. Across most stakeholder types, the perception was that F-gas sectors were not (yet) significantly affected by the pandemic, with the exception of the business association/organisation stakeholder group, who more often stated COVID-19 had had a negative impact. It was signalled that the majority of sectors may have been negatively affected. Closer inspection revealed that this perception also varied by sector, indicating that some sectors had been affected more negatively than others. Those most frequently noted by stakeholders as being </w:t>
      </w:r>
      <w:r w:rsidR="006E7FA8" w:rsidRPr="00705EEF">
        <w:rPr>
          <w:rFonts w:eastAsia="Calibri" w:cs="Times New Roman"/>
          <w:noProof/>
          <w:szCs w:val="24"/>
        </w:rPr>
        <w:t xml:space="preserve">negatively </w:t>
      </w:r>
      <w:r w:rsidRPr="00705EEF">
        <w:rPr>
          <w:rFonts w:eastAsia="Calibri" w:cs="Times New Roman"/>
          <w:noProof/>
          <w:szCs w:val="24"/>
        </w:rPr>
        <w:t>affected were: the mobile AC sector, transport refrigeration, fire protection and electronics manufacture. In addition, servicing and maintenance as well as leak checks at installed equipment and installation of new air conditioning systems in hotels and offices were also negatively impacted by the pandemic. In contrast, for one sector, the switchgear and related equipment sector, the majority of respondents felt this sector was not negatively impacted by COVID-19. Indeed for some sectors, business has increased during the pandemic (food production and retail sector, cold storage sectors – including for cooling of vaccines, and increased demand for air circulation in public and commercial buildings) and/or remained consistent (use in the medical sector). From these responses, it is unclear what the impact on use and emissions of F-gases (and hence on the effectiveness of the Regulation) has been.</w:t>
      </w:r>
    </w:p>
    <w:p w14:paraId="44516841" w14:textId="77777777" w:rsidR="000B1AB2" w:rsidRPr="00705EEF" w:rsidRDefault="000B1AB2" w:rsidP="00C11DCB">
      <w:pPr>
        <w:spacing w:after="160"/>
        <w:rPr>
          <w:rFonts w:eastAsia="Calibri" w:cs="Times New Roman"/>
          <w:noProof/>
          <w:szCs w:val="24"/>
        </w:rPr>
      </w:pPr>
      <w:r w:rsidRPr="00705EEF">
        <w:rPr>
          <w:rFonts w:eastAsia="Calibri" w:cs="Times New Roman"/>
          <w:noProof/>
          <w:szCs w:val="24"/>
        </w:rPr>
        <w:t>Business associations also elaborated on the type of impacts the COVID-19 pandemic has placed on the EU F-gas supply and equipment market. Short-term impacts mentioned included: shutdown of production facilities, delays and shortages in supply of material and equipment components, and reduction in revenue. Other industry stakeholders reported impacts on innovation activity, such as reducing discretionary funding for R&amp;D and postponement or cancellation of projects. Effects have also been felt in market-supporting activities, such as delays and closure of training centres, limitations in access for service technicians, and delayed compliance testing of products in test labs due to limited capacities and unavailable prototypes. Again although the overall effect on the impact of the Regulation is difficult to deduce, certainly the curtailment of R&amp;D and slow-down in training run contrary to the objective of the Regulation.</w:t>
      </w:r>
    </w:p>
    <w:p w14:paraId="02196347" w14:textId="77777777" w:rsidR="000B1AB2" w:rsidRPr="000B1AB2" w:rsidRDefault="000B1AB2" w:rsidP="0017603A">
      <w:pPr>
        <w:pStyle w:val="AppendixHeadingLevel2"/>
        <w:numPr>
          <w:ilvl w:val="1"/>
          <w:numId w:val="108"/>
        </w:numPr>
        <w:rPr>
          <w:noProof/>
        </w:rPr>
      </w:pPr>
      <w:bookmarkStart w:id="460" w:name="_Toc85655109"/>
      <w:r w:rsidRPr="000B1AB2">
        <w:rPr>
          <w:noProof/>
        </w:rPr>
        <w:t>Results of consultation activities - Impact Assessment</w:t>
      </w:r>
      <w:bookmarkEnd w:id="460"/>
    </w:p>
    <w:p w14:paraId="23025038" w14:textId="77777777" w:rsidR="000B1AB2" w:rsidRPr="000B1AB2" w:rsidRDefault="000B1AB2" w:rsidP="0017603A">
      <w:pPr>
        <w:pStyle w:val="AppendixHeadingLevel3"/>
        <w:numPr>
          <w:ilvl w:val="2"/>
          <w:numId w:val="108"/>
        </w:numPr>
        <w:rPr>
          <w:noProof/>
          <w:lang w:eastAsia="en-GB"/>
        </w:rPr>
      </w:pPr>
      <w:bookmarkStart w:id="461" w:name="_Toc85655110"/>
      <w:r w:rsidRPr="000B1AB2">
        <w:rPr>
          <w:noProof/>
          <w:lang w:eastAsia="en-GB"/>
        </w:rPr>
        <w:t>Objectives for the amended F-Gas Regulation</w:t>
      </w:r>
      <w:bookmarkEnd w:id="461"/>
    </w:p>
    <w:p w14:paraId="2ACC3B61" w14:textId="13F9DA9E" w:rsidR="000B1AB2" w:rsidRPr="00705EEF" w:rsidRDefault="000B1AB2" w:rsidP="00C11DCB">
      <w:pPr>
        <w:spacing w:after="160"/>
        <w:rPr>
          <w:rFonts w:eastAsia="Calibri" w:cs="Times New Roman"/>
          <w:noProof/>
          <w:szCs w:val="24"/>
        </w:rPr>
      </w:pPr>
      <w:r w:rsidRPr="00705EEF">
        <w:rPr>
          <w:rFonts w:eastAsia="Calibri" w:cs="Times New Roman"/>
          <w:noProof/>
          <w:szCs w:val="24"/>
        </w:rPr>
        <w:t>Stakeholders generally agreed with all three review objectives specified in the Inception Impact Assessment</w:t>
      </w:r>
      <w:r w:rsidRPr="00705EEF">
        <w:rPr>
          <w:rFonts w:eastAsia="Calibri" w:cs="Times New Roman"/>
          <w:noProof/>
          <w:szCs w:val="24"/>
          <w:vertAlign w:val="superscript"/>
        </w:rPr>
        <w:footnoteReference w:id="129"/>
      </w:r>
      <w:r w:rsidRPr="00705EEF">
        <w:rPr>
          <w:rFonts w:eastAsia="Calibri" w:cs="Times New Roman"/>
          <w:noProof/>
          <w:szCs w:val="24"/>
        </w:rPr>
        <w:t>: to ensure EU long-term compliance with</w:t>
      </w:r>
      <w:r w:rsidR="00AC7153">
        <w:rPr>
          <w:rFonts w:eastAsia="Calibri" w:cs="Times New Roman"/>
          <w:noProof/>
          <w:szCs w:val="24"/>
        </w:rPr>
        <w:t xml:space="preserve"> the</w:t>
      </w:r>
      <w:r w:rsidRPr="00705EEF">
        <w:rPr>
          <w:rFonts w:eastAsia="Calibri" w:cs="Times New Roman"/>
          <w:noProof/>
          <w:szCs w:val="24"/>
        </w:rPr>
        <w:t xml:space="preserve"> Montreal Protocol; raise ambition in light of the Green Deal and technological progress; and improv</w:t>
      </w:r>
      <w:r w:rsidR="00AC7153">
        <w:rPr>
          <w:rFonts w:eastAsia="Calibri" w:cs="Times New Roman"/>
          <w:noProof/>
          <w:szCs w:val="24"/>
        </w:rPr>
        <w:t>e</w:t>
      </w:r>
      <w:r w:rsidRPr="00705EEF">
        <w:rPr>
          <w:rFonts w:eastAsia="Calibri" w:cs="Times New Roman"/>
          <w:noProof/>
          <w:szCs w:val="24"/>
        </w:rPr>
        <w:t xml:space="preserve"> implementation and enforcement including monitoring, with the latter objective gaining the most support. Given that the use of F-gases in new equipment and applications locks away or ‘embeds’ emissions for the future (when the lifetime of that equipment or application comes to an end), NGOs stressed the importance to act now.</w:t>
      </w:r>
    </w:p>
    <w:p w14:paraId="780ECA35" w14:textId="6441AA25" w:rsidR="000B1AB2" w:rsidRPr="00705EEF" w:rsidRDefault="000B1AB2" w:rsidP="00C11DCB">
      <w:pPr>
        <w:spacing w:after="160"/>
        <w:rPr>
          <w:rFonts w:eastAsia="Calibri" w:cs="Times New Roman"/>
          <w:noProof/>
          <w:szCs w:val="24"/>
        </w:rPr>
      </w:pPr>
      <w:r w:rsidRPr="00705EEF">
        <w:rPr>
          <w:rFonts w:eastAsia="Calibri" w:cs="Times New Roman"/>
          <w:noProof/>
          <w:szCs w:val="24"/>
        </w:rPr>
        <w:t xml:space="preserve">Furthermore, the majority of stakeholders reaffirmed that the objectives of the F-gas Regulation would </w:t>
      </w:r>
      <w:r w:rsidRPr="00705EEF">
        <w:rPr>
          <w:rFonts w:eastAsia="Calibri" w:cs="Times New Roman"/>
          <w:b/>
          <w:i/>
          <w:noProof/>
          <w:szCs w:val="24"/>
          <w:u w:val="single"/>
        </w:rPr>
        <w:t>not</w:t>
      </w:r>
      <w:r w:rsidRPr="00705EEF">
        <w:rPr>
          <w:rFonts w:eastAsia="Calibri" w:cs="Times New Roman"/>
          <w:noProof/>
          <w:szCs w:val="24"/>
        </w:rPr>
        <w:t xml:space="preserve"> be best achieved by action at Member State level (rather than EU-level). That said, the response was mixed, with industry stakeholders in particular less unanimous in</w:t>
      </w:r>
      <w:r w:rsidR="00AC7153">
        <w:rPr>
          <w:rFonts w:eastAsia="Calibri" w:cs="Times New Roman"/>
          <w:noProof/>
          <w:szCs w:val="24"/>
        </w:rPr>
        <w:t xml:space="preserve"> their</w:t>
      </w:r>
      <w:r w:rsidRPr="00705EEF">
        <w:rPr>
          <w:rFonts w:eastAsia="Calibri" w:cs="Times New Roman"/>
          <w:noProof/>
          <w:szCs w:val="24"/>
        </w:rPr>
        <w:t xml:space="preserve"> response that EU-level legislation would deliver value added. </w:t>
      </w:r>
    </w:p>
    <w:p w14:paraId="6A704884" w14:textId="77777777" w:rsidR="000B1AB2" w:rsidRPr="000B1AB2" w:rsidRDefault="000B1AB2" w:rsidP="0017603A">
      <w:pPr>
        <w:pStyle w:val="AppendixHeadingLevel3"/>
        <w:numPr>
          <w:ilvl w:val="2"/>
          <w:numId w:val="109"/>
        </w:numPr>
        <w:rPr>
          <w:noProof/>
          <w:lang w:eastAsia="en-GB"/>
        </w:rPr>
      </w:pPr>
      <w:bookmarkStart w:id="462" w:name="_Toc85655111"/>
      <w:r w:rsidRPr="000B1AB2">
        <w:rPr>
          <w:noProof/>
          <w:lang w:eastAsia="en-GB"/>
        </w:rPr>
        <w:t>Measures proposed for the amended F-Gas Regulation</w:t>
      </w:r>
      <w:bookmarkEnd w:id="462"/>
    </w:p>
    <w:p w14:paraId="709AD421" w14:textId="77777777" w:rsidR="000B1AB2" w:rsidRPr="00705EEF" w:rsidRDefault="000B1AB2" w:rsidP="000B1AB2">
      <w:pPr>
        <w:numPr>
          <w:ilvl w:val="2"/>
          <w:numId w:val="0"/>
        </w:numPr>
        <w:spacing w:before="120" w:after="120"/>
        <w:ind w:left="855" w:right="-23" w:hanging="855"/>
        <w:outlineLvl w:val="3"/>
        <w:rPr>
          <w:rFonts w:eastAsia="Times New Roman" w:cs="Times New Roman"/>
          <w:b/>
          <w:noProof/>
          <w:szCs w:val="24"/>
          <w:lang w:eastAsia="en-GB"/>
        </w:rPr>
      </w:pPr>
      <w:r w:rsidRPr="00705EEF">
        <w:rPr>
          <w:rFonts w:eastAsia="Times New Roman" w:cs="Times New Roman"/>
          <w:b/>
          <w:noProof/>
          <w:szCs w:val="24"/>
          <w:lang w:eastAsia="en-GB"/>
        </w:rPr>
        <w:t>Objective A: Raising ambition in line with the EU Green Deal</w:t>
      </w:r>
    </w:p>
    <w:p w14:paraId="7EC8F091" w14:textId="77777777" w:rsidR="000B1AB2" w:rsidRPr="00705EEF" w:rsidRDefault="000B1AB2" w:rsidP="00C11DCB">
      <w:pPr>
        <w:spacing w:after="160"/>
        <w:rPr>
          <w:rFonts w:eastAsia="Calibri" w:cs="Times New Roman"/>
          <w:noProof/>
          <w:szCs w:val="24"/>
        </w:rPr>
      </w:pPr>
      <w:r w:rsidRPr="00705EEF">
        <w:rPr>
          <w:rFonts w:eastAsia="Calibri" w:cs="Times New Roman"/>
          <w:noProof/>
          <w:szCs w:val="24"/>
        </w:rPr>
        <w:t xml:space="preserve">The responses on HFC phase-down and prohibitions are strongly linked to the stakeholder type and the sector concerned. However, NGOs and all industry expressed that there is a need to take into account differences and specific limitations of the different types of equipment. </w:t>
      </w:r>
    </w:p>
    <w:p w14:paraId="7DC1F12B" w14:textId="7F62B077" w:rsidR="000B1AB2" w:rsidRPr="00705EEF" w:rsidRDefault="000B1AB2" w:rsidP="00C11DCB">
      <w:pPr>
        <w:spacing w:after="160"/>
        <w:rPr>
          <w:rFonts w:eastAsia="Calibri" w:cs="Times New Roman"/>
          <w:noProof/>
          <w:szCs w:val="24"/>
        </w:rPr>
      </w:pPr>
      <w:r w:rsidRPr="00705EEF">
        <w:rPr>
          <w:rFonts w:eastAsia="Calibri" w:cs="Times New Roman"/>
          <w:noProof/>
          <w:szCs w:val="24"/>
        </w:rPr>
        <w:t xml:space="preserve">While </w:t>
      </w:r>
      <w:r w:rsidR="0061381C">
        <w:rPr>
          <w:rFonts w:eastAsia="Calibri" w:cs="Times New Roman"/>
          <w:noProof/>
          <w:szCs w:val="24"/>
        </w:rPr>
        <w:t xml:space="preserve">many </w:t>
      </w:r>
      <w:r w:rsidRPr="00705EEF">
        <w:rPr>
          <w:rFonts w:eastAsia="Calibri" w:cs="Times New Roman"/>
          <w:noProof/>
          <w:szCs w:val="24"/>
        </w:rPr>
        <w:t xml:space="preserve">industry and businesses </w:t>
      </w:r>
      <w:r w:rsidR="0061381C">
        <w:rPr>
          <w:rFonts w:eastAsia="Calibri" w:cs="Times New Roman"/>
          <w:noProof/>
          <w:szCs w:val="24"/>
        </w:rPr>
        <w:t xml:space="preserve">stakeholders </w:t>
      </w:r>
      <w:r w:rsidRPr="00705EEF">
        <w:rPr>
          <w:rFonts w:eastAsia="Calibri" w:cs="Times New Roman"/>
          <w:noProof/>
          <w:szCs w:val="24"/>
        </w:rPr>
        <w:t xml:space="preserve">commonly working with F-gases in the RACHP sector </w:t>
      </w:r>
      <w:r w:rsidR="0061381C">
        <w:rPr>
          <w:rFonts w:eastAsia="Calibri" w:cs="Times New Roman"/>
          <w:noProof/>
          <w:szCs w:val="24"/>
        </w:rPr>
        <w:t>did not want to raise</w:t>
      </w:r>
      <w:r w:rsidRPr="00705EEF">
        <w:rPr>
          <w:rFonts w:eastAsia="Calibri" w:cs="Times New Roman"/>
          <w:noProof/>
          <w:szCs w:val="24"/>
        </w:rPr>
        <w:t xml:space="preserve"> the ambition level </w:t>
      </w:r>
      <w:r w:rsidR="0061381C">
        <w:rPr>
          <w:rFonts w:eastAsia="Calibri" w:cs="Times New Roman"/>
          <w:noProof/>
          <w:szCs w:val="24"/>
        </w:rPr>
        <w:t>of</w:t>
      </w:r>
      <w:r w:rsidRPr="00705EEF">
        <w:rPr>
          <w:rFonts w:eastAsia="Calibri" w:cs="Times New Roman"/>
          <w:noProof/>
          <w:szCs w:val="24"/>
        </w:rPr>
        <w:t xml:space="preserve"> the current F-gas Regulation </w:t>
      </w:r>
      <w:r w:rsidR="0061381C">
        <w:rPr>
          <w:rFonts w:eastAsia="Calibri" w:cs="Times New Roman"/>
          <w:noProof/>
          <w:szCs w:val="24"/>
        </w:rPr>
        <w:t>further</w:t>
      </w:r>
      <w:r w:rsidRPr="00705EEF">
        <w:rPr>
          <w:rFonts w:eastAsia="Calibri" w:cs="Times New Roman"/>
          <w:noProof/>
          <w:szCs w:val="24"/>
        </w:rPr>
        <w:t xml:space="preserve">, manufacturers of equipment using alternative refrigerants and NGOs </w:t>
      </w:r>
      <w:r w:rsidR="00AC7153" w:rsidRPr="00705EEF">
        <w:rPr>
          <w:rFonts w:eastAsia="Calibri" w:cs="Times New Roman"/>
          <w:noProof/>
          <w:szCs w:val="24"/>
        </w:rPr>
        <w:t xml:space="preserve">strongly </w:t>
      </w:r>
      <w:r w:rsidRPr="00705EEF">
        <w:rPr>
          <w:rFonts w:eastAsia="Calibri" w:cs="Times New Roman"/>
          <w:noProof/>
          <w:szCs w:val="24"/>
        </w:rPr>
        <w:t xml:space="preserve">supported higher ambition. It was confirmed that a switch to low-GWP alternative refrigerants is ongoing and one industry stakeholder highlighted the important role that the HFC phase-down had played, given it provides flexibility and clarity whilst also driving efficient change. One NGO stakeholder highlighted that the phase-down alone would not be sufficiently effective, and further bans would be needed to provide stronger signals to market players. </w:t>
      </w:r>
    </w:p>
    <w:p w14:paraId="0F7AB34C" w14:textId="14D5083F" w:rsidR="000B1AB2" w:rsidRPr="00705EEF" w:rsidRDefault="000B1AB2" w:rsidP="00C11DCB">
      <w:pPr>
        <w:spacing w:after="160"/>
        <w:rPr>
          <w:rFonts w:eastAsia="Calibri" w:cs="Times New Roman"/>
          <w:noProof/>
          <w:szCs w:val="24"/>
        </w:rPr>
      </w:pPr>
      <w:r w:rsidRPr="00705EEF">
        <w:rPr>
          <w:rFonts w:eastAsia="Calibri" w:cs="Times New Roman"/>
          <w:noProof/>
          <w:szCs w:val="24"/>
        </w:rPr>
        <w:t xml:space="preserve">It was also pointed out that new solutions need to be fully in line with the </w:t>
      </w:r>
      <w:r w:rsidR="0018090C">
        <w:rPr>
          <w:rFonts w:eastAsia="Calibri" w:cs="Times New Roman"/>
          <w:noProof/>
          <w:szCs w:val="24"/>
        </w:rPr>
        <w:t>Eco-design</w:t>
      </w:r>
      <w:r w:rsidRPr="00705EEF">
        <w:rPr>
          <w:rFonts w:eastAsia="Calibri" w:cs="Times New Roman"/>
          <w:noProof/>
          <w:szCs w:val="24"/>
        </w:rPr>
        <w:t xml:space="preserve"> and energy labelling rules and studies. Furthermore, GWP limitations should not result in the marketing of less efficient products and that differences related to the same category of equipment, e.g. different types of  heat pumps, would have to be taken into account. An association of manufacturers of natural refrigerant alternatives underlined that the highest potential </w:t>
      </w:r>
      <w:r w:rsidR="00D86D58">
        <w:rPr>
          <w:rFonts w:eastAsia="Calibri" w:cs="Times New Roman"/>
          <w:noProof/>
          <w:szCs w:val="24"/>
        </w:rPr>
        <w:t>for replacing highly warming gases was in the sector of</w:t>
      </w:r>
      <w:r w:rsidRPr="00705EEF">
        <w:rPr>
          <w:rFonts w:eastAsia="Calibri" w:cs="Times New Roman"/>
          <w:noProof/>
          <w:szCs w:val="24"/>
        </w:rPr>
        <w:t xml:space="preserve"> </w:t>
      </w:r>
      <w:r w:rsidRPr="00705EEF">
        <w:rPr>
          <w:rFonts w:eastAsia="Calibri" w:cs="Times New Roman"/>
          <w:b/>
          <w:noProof/>
          <w:szCs w:val="24"/>
        </w:rPr>
        <w:t>stationary AC</w:t>
      </w:r>
      <w:r w:rsidRPr="00705EEF">
        <w:rPr>
          <w:rFonts w:eastAsia="Calibri" w:cs="Times New Roman"/>
          <w:noProof/>
          <w:szCs w:val="24"/>
        </w:rPr>
        <w:t xml:space="preserve">. Smaller AC systems are already being produced with carbon dioxide [R744] and propane [R290], and larger air conditioning systems can rely on water [R718] chillers. Alternatives, notably R290, are </w:t>
      </w:r>
      <w:r w:rsidR="00870369" w:rsidRPr="00705EEF">
        <w:rPr>
          <w:rFonts w:eastAsia="Calibri" w:cs="Times New Roman"/>
          <w:noProof/>
          <w:szCs w:val="24"/>
        </w:rPr>
        <w:t xml:space="preserve">also </w:t>
      </w:r>
      <w:r w:rsidRPr="00705EEF">
        <w:rPr>
          <w:rFonts w:eastAsia="Calibri" w:cs="Times New Roman"/>
          <w:noProof/>
          <w:szCs w:val="24"/>
        </w:rPr>
        <w:t xml:space="preserve">well established in the case of factory-sealed </w:t>
      </w:r>
      <w:r w:rsidRPr="00705EEF">
        <w:rPr>
          <w:rFonts w:eastAsia="Calibri" w:cs="Times New Roman"/>
          <w:b/>
          <w:noProof/>
          <w:szCs w:val="24"/>
        </w:rPr>
        <w:t xml:space="preserve">small hermetic appliances </w:t>
      </w:r>
      <w:r w:rsidRPr="00705EEF">
        <w:rPr>
          <w:rFonts w:eastAsia="Calibri" w:cs="Times New Roman"/>
          <w:noProof/>
          <w:szCs w:val="24"/>
        </w:rPr>
        <w:t xml:space="preserve">(e.g. ice cream makers, heat pump tumble driers, washer driers, double-duct air conditioning units). As for </w:t>
      </w:r>
      <w:r w:rsidRPr="00705EEF">
        <w:rPr>
          <w:rFonts w:eastAsia="Calibri" w:cs="Times New Roman"/>
          <w:b/>
          <w:noProof/>
          <w:szCs w:val="24"/>
        </w:rPr>
        <w:t>refrigeration equipment below the charge of 40 tCO</w:t>
      </w:r>
      <w:r w:rsidRPr="00705EEF">
        <w:rPr>
          <w:rFonts w:eastAsia="Calibri" w:cs="Times New Roman"/>
          <w:b/>
          <w:noProof/>
          <w:szCs w:val="24"/>
          <w:vertAlign w:val="subscript"/>
        </w:rPr>
        <w:t>2</w:t>
      </w:r>
      <w:r w:rsidRPr="00705EEF">
        <w:rPr>
          <w:rFonts w:eastAsia="Calibri" w:cs="Times New Roman"/>
          <w:b/>
          <w:noProof/>
          <w:szCs w:val="24"/>
        </w:rPr>
        <w:t>e,</w:t>
      </w:r>
      <w:r w:rsidRPr="00705EEF">
        <w:rPr>
          <w:rFonts w:eastAsia="Calibri" w:cs="Times New Roman"/>
          <w:noProof/>
          <w:szCs w:val="24"/>
        </w:rPr>
        <w:t xml:space="preserve"> a major industry association confirmed that HFC alternatives are widely used so that no exemption would need to be maintained for this range of equipment. One NGO stakeholder highlighted that more emphasis is needed on transport refrigeration given that this is a growing sector and that leakage rates are high. </w:t>
      </w:r>
    </w:p>
    <w:p w14:paraId="713D34C9" w14:textId="6BC90D96" w:rsidR="000B1AB2" w:rsidRPr="00705EEF" w:rsidRDefault="000B1AB2" w:rsidP="00C11DCB">
      <w:pPr>
        <w:spacing w:after="160"/>
        <w:rPr>
          <w:rFonts w:eastAsia="Calibri" w:cs="Times New Roman"/>
          <w:noProof/>
          <w:szCs w:val="24"/>
        </w:rPr>
      </w:pPr>
      <w:r w:rsidRPr="00705EEF">
        <w:rPr>
          <w:rFonts w:eastAsia="Calibri" w:cs="Times New Roman"/>
          <w:noProof/>
          <w:szCs w:val="24"/>
        </w:rPr>
        <w:t xml:space="preserve">Concerning </w:t>
      </w:r>
      <w:r w:rsidRPr="00705EEF">
        <w:rPr>
          <w:rFonts w:eastAsia="Calibri" w:cs="Times New Roman"/>
          <w:b/>
          <w:noProof/>
          <w:szCs w:val="24"/>
        </w:rPr>
        <w:t>fire protection equipment,</w:t>
      </w:r>
      <w:r w:rsidRPr="00705EEF">
        <w:rPr>
          <w:rFonts w:eastAsia="Calibri" w:cs="Times New Roman"/>
          <w:noProof/>
          <w:szCs w:val="24"/>
        </w:rPr>
        <w:t xml:space="preserve"> it was highlighted that alternatives such as fluorinated ketones (FK 5-1-12) and inert gases (e.g. CO</w:t>
      </w:r>
      <w:r w:rsidRPr="00705EEF">
        <w:rPr>
          <w:rFonts w:eastAsia="Calibri" w:cs="Times New Roman"/>
          <w:noProof/>
          <w:szCs w:val="24"/>
          <w:vertAlign w:val="subscript"/>
        </w:rPr>
        <w:t>2</w:t>
      </w:r>
      <w:r w:rsidRPr="00705EEF">
        <w:rPr>
          <w:rFonts w:eastAsia="Calibri" w:cs="Times New Roman"/>
          <w:noProof/>
          <w:szCs w:val="24"/>
        </w:rPr>
        <w:t xml:space="preserve">, nitrogen) are commonly used throughout the EU. </w:t>
      </w:r>
    </w:p>
    <w:p w14:paraId="541EFC7A" w14:textId="77777777" w:rsidR="000B1AB2" w:rsidRPr="00705EEF" w:rsidRDefault="000B1AB2" w:rsidP="00C11DCB">
      <w:pPr>
        <w:spacing w:after="160"/>
        <w:rPr>
          <w:rFonts w:eastAsia="Calibri" w:cs="Times New Roman"/>
          <w:noProof/>
          <w:szCs w:val="24"/>
        </w:rPr>
      </w:pPr>
      <w:r w:rsidRPr="00705EEF">
        <w:rPr>
          <w:rFonts w:eastAsia="Calibri" w:cs="Times New Roman"/>
          <w:noProof/>
          <w:szCs w:val="24"/>
        </w:rPr>
        <w:t xml:space="preserve">For </w:t>
      </w:r>
      <w:r w:rsidRPr="00705EEF">
        <w:rPr>
          <w:rFonts w:eastAsia="Calibri" w:cs="Times New Roman"/>
          <w:b/>
          <w:noProof/>
          <w:szCs w:val="24"/>
        </w:rPr>
        <w:t>MDIs</w:t>
      </w:r>
      <w:r w:rsidRPr="00705EEF">
        <w:rPr>
          <w:rFonts w:eastAsia="Calibri" w:cs="Times New Roman"/>
          <w:noProof/>
          <w:szCs w:val="24"/>
        </w:rPr>
        <w:t>, industry stakeholders such as gas producers and some MDI manufacturers pointed out that lower-GWP alternatives are being developed and will be introduced to the market from 2025 onwards.</w:t>
      </w:r>
      <w:r w:rsidR="0018090C">
        <w:rPr>
          <w:rFonts w:eastAsia="Calibri" w:cs="Times New Roman"/>
          <w:noProof/>
          <w:szCs w:val="24"/>
        </w:rPr>
        <w:t xml:space="preserve"> Other manufacturers and patient organisations pointed to the fact that sufficient time is needed to introduce the alternatives</w:t>
      </w:r>
      <w:r w:rsidR="000914E1">
        <w:rPr>
          <w:rFonts w:eastAsia="Calibri" w:cs="Times New Roman"/>
          <w:noProof/>
          <w:szCs w:val="24"/>
        </w:rPr>
        <w:t>,</w:t>
      </w:r>
      <w:r w:rsidR="0018090C">
        <w:rPr>
          <w:rFonts w:eastAsia="Calibri" w:cs="Times New Roman"/>
          <w:noProof/>
          <w:szCs w:val="24"/>
        </w:rPr>
        <w:t xml:space="preserve"> also due to the need of following the regulatory processes</w:t>
      </w:r>
      <w:r w:rsidR="000914E1">
        <w:rPr>
          <w:rFonts w:eastAsia="Calibri" w:cs="Times New Roman"/>
          <w:noProof/>
          <w:szCs w:val="24"/>
        </w:rPr>
        <w:t>,</w:t>
      </w:r>
      <w:r w:rsidR="0018090C">
        <w:rPr>
          <w:rFonts w:eastAsia="Calibri" w:cs="Times New Roman"/>
          <w:noProof/>
          <w:szCs w:val="24"/>
        </w:rPr>
        <w:t xml:space="preserve"> and that the interest of the patient should be kept in mind. </w:t>
      </w:r>
    </w:p>
    <w:p w14:paraId="43C8BF18" w14:textId="03288D57" w:rsidR="000B1AB2" w:rsidRPr="00705EEF" w:rsidRDefault="000B1AB2" w:rsidP="00C11DCB">
      <w:pPr>
        <w:spacing w:after="160"/>
        <w:rPr>
          <w:rFonts w:eastAsia="Calibri" w:cs="Times New Roman"/>
          <w:noProof/>
          <w:szCs w:val="24"/>
        </w:rPr>
      </w:pPr>
      <w:r w:rsidRPr="00705EEF">
        <w:rPr>
          <w:rFonts w:eastAsia="Calibri" w:cs="Times New Roman"/>
          <w:noProof/>
          <w:szCs w:val="24"/>
        </w:rPr>
        <w:t xml:space="preserve">As for </w:t>
      </w:r>
      <w:r w:rsidRPr="00705EEF">
        <w:rPr>
          <w:rFonts w:eastAsia="Calibri" w:cs="Times New Roman"/>
          <w:b/>
          <w:noProof/>
          <w:szCs w:val="24"/>
        </w:rPr>
        <w:t>inhalation anaesthetics</w:t>
      </w:r>
      <w:r w:rsidRPr="00705EEF">
        <w:rPr>
          <w:rFonts w:eastAsia="Calibri" w:cs="Times New Roman"/>
          <w:noProof/>
          <w:szCs w:val="24"/>
        </w:rPr>
        <w:t xml:space="preserve">, medical experts confirmed that the emissive use of certain high-GWP gases could be avoided by increased use of lower-GWP options and/or special recovery technology which, however, is not yet widely introduced. Also, the emissive use of </w:t>
      </w:r>
      <w:r w:rsidRPr="00705EEF">
        <w:rPr>
          <w:rFonts w:eastAsia="Calibri" w:cs="Times New Roman"/>
          <w:b/>
          <w:noProof/>
          <w:szCs w:val="24"/>
        </w:rPr>
        <w:t>SO</w:t>
      </w:r>
      <w:r w:rsidRPr="00705EEF">
        <w:rPr>
          <w:rFonts w:eastAsia="Calibri" w:cs="Times New Roman"/>
          <w:b/>
          <w:noProof/>
          <w:szCs w:val="24"/>
          <w:vertAlign w:val="subscript"/>
        </w:rPr>
        <w:t>2</w:t>
      </w:r>
      <w:r w:rsidRPr="00705EEF">
        <w:rPr>
          <w:rFonts w:eastAsia="Calibri" w:cs="Times New Roman"/>
          <w:b/>
          <w:noProof/>
          <w:szCs w:val="24"/>
        </w:rPr>
        <w:t>F</w:t>
      </w:r>
      <w:r w:rsidRPr="00705EEF">
        <w:rPr>
          <w:rFonts w:eastAsia="Calibri" w:cs="Times New Roman"/>
          <w:b/>
          <w:noProof/>
          <w:szCs w:val="24"/>
          <w:vertAlign w:val="subscript"/>
        </w:rPr>
        <w:t>2</w:t>
      </w:r>
      <w:r w:rsidRPr="00705EEF">
        <w:rPr>
          <w:rFonts w:eastAsia="Calibri" w:cs="Times New Roman"/>
          <w:noProof/>
          <w:szCs w:val="24"/>
        </w:rPr>
        <w:t xml:space="preserve"> as </w:t>
      </w:r>
      <w:r w:rsidR="00870369">
        <w:rPr>
          <w:rFonts w:eastAsia="Calibri" w:cs="Times New Roman"/>
          <w:noProof/>
          <w:szCs w:val="24"/>
        </w:rPr>
        <w:t xml:space="preserve">a </w:t>
      </w:r>
      <w:r w:rsidRPr="00705EEF">
        <w:rPr>
          <w:rFonts w:eastAsia="Calibri" w:cs="Times New Roman"/>
          <w:noProof/>
          <w:szCs w:val="24"/>
        </w:rPr>
        <w:t xml:space="preserve">fumigation agent could be avoided by alternative methods and/or containment measures. </w:t>
      </w:r>
    </w:p>
    <w:p w14:paraId="0757CF58" w14:textId="77777777" w:rsidR="000B1AB2" w:rsidRPr="00705EEF" w:rsidRDefault="000B1AB2" w:rsidP="00C11DCB">
      <w:pPr>
        <w:spacing w:after="160"/>
        <w:rPr>
          <w:rFonts w:eastAsia="Calibri" w:cs="Times New Roman"/>
          <w:noProof/>
          <w:szCs w:val="24"/>
        </w:rPr>
      </w:pPr>
      <w:r w:rsidRPr="00705EEF">
        <w:rPr>
          <w:rFonts w:eastAsia="Calibri" w:cs="Times New Roman"/>
          <w:noProof/>
          <w:szCs w:val="24"/>
        </w:rPr>
        <w:t xml:space="preserve">With respect to </w:t>
      </w:r>
      <w:r w:rsidRPr="00705EEF">
        <w:rPr>
          <w:rFonts w:eastAsia="Calibri" w:cs="Times New Roman"/>
          <w:b/>
          <w:noProof/>
          <w:szCs w:val="24"/>
        </w:rPr>
        <w:t>electrical switchgear,</w:t>
      </w:r>
      <w:r w:rsidRPr="00705EEF">
        <w:rPr>
          <w:rFonts w:eastAsia="Calibri" w:cs="Times New Roman"/>
          <w:noProof/>
          <w:szCs w:val="24"/>
        </w:rPr>
        <w:t xml:space="preserve"> industry stakeholders highlighted that their significant investments in SF</w:t>
      </w:r>
      <w:r w:rsidRPr="00705EEF">
        <w:rPr>
          <w:rFonts w:eastAsia="Calibri" w:cs="Times New Roman"/>
          <w:noProof/>
          <w:szCs w:val="24"/>
          <w:vertAlign w:val="subscript"/>
        </w:rPr>
        <w:t>6</w:t>
      </w:r>
      <w:r w:rsidRPr="00705EEF">
        <w:rPr>
          <w:rFonts w:eastAsia="Calibri" w:cs="Times New Roman"/>
          <w:noProof/>
          <w:szCs w:val="24"/>
        </w:rPr>
        <w:t xml:space="preserve"> alternatives had been fruitful. However a clear regulatory framework would be needed to market these solutions, promote continued R&amp;D and maintain EU technological leadership in this area. Switchgear users such as network operators highlighted that the key factor would be to allow sufficient time to ensure a smooth transition and to not disrupt ongoing processes. This was underlined by a consensual scenario developed by German switchgear stakeholders</w:t>
      </w:r>
      <w:r w:rsidRPr="00705EEF">
        <w:rPr>
          <w:rFonts w:eastAsia="Calibri" w:cs="Times New Roman"/>
          <w:noProof/>
          <w:szCs w:val="24"/>
          <w:vertAlign w:val="superscript"/>
        </w:rPr>
        <w:footnoteReference w:id="130"/>
      </w:r>
      <w:r w:rsidRPr="00705EEF">
        <w:rPr>
          <w:rFonts w:eastAsia="Calibri" w:cs="Times New Roman"/>
          <w:noProof/>
          <w:szCs w:val="24"/>
        </w:rPr>
        <w:t>.</w:t>
      </w:r>
    </w:p>
    <w:p w14:paraId="4EBA0B5B" w14:textId="336B4DE8" w:rsidR="000B1AB2" w:rsidRPr="00705EEF" w:rsidRDefault="00CA26BC" w:rsidP="00C11DCB">
      <w:pPr>
        <w:spacing w:after="160"/>
        <w:rPr>
          <w:rFonts w:eastAsia="Calibri" w:cs="Times New Roman"/>
          <w:noProof/>
          <w:szCs w:val="24"/>
        </w:rPr>
      </w:pPr>
      <w:r>
        <w:rPr>
          <w:rFonts w:eastAsia="Calibri" w:cs="Times New Roman"/>
          <w:noProof/>
          <w:szCs w:val="24"/>
        </w:rPr>
        <w:t>Among</w:t>
      </w:r>
      <w:r w:rsidR="000B1AB2" w:rsidRPr="00705EEF">
        <w:rPr>
          <w:rFonts w:eastAsia="Calibri" w:cs="Times New Roman"/>
          <w:noProof/>
          <w:szCs w:val="24"/>
        </w:rPr>
        <w:t xml:space="preserve"> competent authorities, mixed opinions were found: Most supported the notion of raising ambition in line with the EU Green Deal, while certain concerns were raised that further raising of ambition of the HFC phase-down could lead to adverse effects, such as stimulating illegal trade and smuggling.</w:t>
      </w:r>
    </w:p>
    <w:p w14:paraId="5252783A" w14:textId="77777777" w:rsidR="000B1AB2" w:rsidRPr="00705EEF" w:rsidRDefault="000B1AB2" w:rsidP="000B1AB2">
      <w:pPr>
        <w:keepNext/>
        <w:numPr>
          <w:ilvl w:val="2"/>
          <w:numId w:val="0"/>
        </w:numPr>
        <w:spacing w:before="120" w:after="120"/>
        <w:ind w:left="856" w:right="-23" w:hanging="856"/>
        <w:outlineLvl w:val="3"/>
        <w:rPr>
          <w:rFonts w:eastAsia="Times New Roman" w:cs="Times New Roman"/>
          <w:b/>
          <w:noProof/>
          <w:szCs w:val="24"/>
          <w:lang w:eastAsia="en-GB"/>
        </w:rPr>
      </w:pPr>
      <w:r w:rsidRPr="00705EEF">
        <w:rPr>
          <w:rFonts w:eastAsia="Times New Roman" w:cs="Times New Roman"/>
          <w:b/>
          <w:noProof/>
          <w:szCs w:val="24"/>
          <w:lang w:eastAsia="en-GB"/>
        </w:rPr>
        <w:t>Objective B: Seeking alignment with the Montreal Protocol</w:t>
      </w:r>
    </w:p>
    <w:p w14:paraId="40DB1E90" w14:textId="6B22E720" w:rsidR="000B1AB2" w:rsidRPr="00705EEF" w:rsidRDefault="00CA26BC" w:rsidP="00C11DCB">
      <w:pPr>
        <w:spacing w:after="160"/>
        <w:rPr>
          <w:rFonts w:eastAsia="Calibri" w:cs="Times New Roman"/>
          <w:noProof/>
          <w:szCs w:val="24"/>
        </w:rPr>
      </w:pPr>
      <w:r>
        <w:rPr>
          <w:rFonts w:eastAsia="Calibri" w:cs="Times New Roman"/>
          <w:noProof/>
          <w:szCs w:val="24"/>
        </w:rPr>
        <w:t>Most</w:t>
      </w:r>
      <w:r w:rsidR="000B1AB2" w:rsidRPr="00705EEF">
        <w:rPr>
          <w:rFonts w:eastAsia="Calibri" w:cs="Times New Roman"/>
          <w:noProof/>
          <w:szCs w:val="24"/>
        </w:rPr>
        <w:t xml:space="preserve"> competent authorities stated that the Regulation needs to be aligned with the Montreal Protocol after 2030 to ensure future coherence and compliance. However, one competent authority saw no need for further alignment as additional restrictions on industry should be avoided. Of those competent authorities that generally highlighted the need for greater alignment, two went further to emphasize that alignment of exemptions and thresholds would also be required and expected at international level (e.g. threshold for HFC POM), as the Montreal Protocol is above the Regulation in the hierarchy of legislation. A third competent authority stated that the general exemptions for military equipment, semiconductors and MDIs (Article 15 (2)(d)-(f)) should be removed, but exemptions for specific uses should be maintained if no alternatives are available (e.g. medical sector, military sector, possibly switchgear), as it has been done for critical uses of halons</w:t>
      </w:r>
      <w:r w:rsidR="00E75C1D">
        <w:rPr>
          <w:rFonts w:eastAsia="Calibri" w:cs="Times New Roman"/>
          <w:noProof/>
          <w:szCs w:val="24"/>
        </w:rPr>
        <w:t xml:space="preserve"> under the Ozone Regulation</w:t>
      </w:r>
      <w:r w:rsidR="0095621C">
        <w:rPr>
          <w:rFonts w:eastAsia="Calibri" w:cs="Times New Roman"/>
          <w:noProof/>
          <w:szCs w:val="24"/>
        </w:rPr>
        <w:t>)</w:t>
      </w:r>
      <w:r w:rsidR="00E75C1D">
        <w:rPr>
          <w:rFonts w:eastAsia="Calibri" w:cs="Times New Roman"/>
          <w:noProof/>
          <w:szCs w:val="24"/>
        </w:rPr>
        <w:t>.</w:t>
      </w:r>
    </w:p>
    <w:p w14:paraId="31305DD2" w14:textId="713FB54D" w:rsidR="000B1AB2" w:rsidRPr="00705EEF" w:rsidRDefault="000B1AB2" w:rsidP="00C11DCB">
      <w:pPr>
        <w:spacing w:after="160"/>
        <w:rPr>
          <w:rFonts w:eastAsia="Calibri" w:cs="Times New Roman"/>
          <w:noProof/>
          <w:szCs w:val="24"/>
        </w:rPr>
      </w:pPr>
      <w:r w:rsidRPr="00705EEF">
        <w:rPr>
          <w:rFonts w:eastAsia="Calibri" w:cs="Times New Roman"/>
          <w:noProof/>
          <w:szCs w:val="24"/>
        </w:rPr>
        <w:t xml:space="preserve">One industry association was concerned that </w:t>
      </w:r>
      <w:r w:rsidR="00870369">
        <w:rPr>
          <w:rFonts w:eastAsia="Calibri" w:cs="Times New Roman"/>
          <w:noProof/>
          <w:szCs w:val="24"/>
        </w:rPr>
        <w:t xml:space="preserve">the </w:t>
      </w:r>
      <w:r w:rsidRPr="00705EEF">
        <w:rPr>
          <w:rFonts w:eastAsia="Calibri" w:cs="Times New Roman"/>
          <w:noProof/>
          <w:szCs w:val="24"/>
        </w:rPr>
        <w:t xml:space="preserve">removal of phase-down exemptions would result in more acute shortages of HFCs for the industries already covered by the phase-down. Also, registration procedures would become more complex due to the increased number of actors that use smaller quantities. Reducing the </w:t>
      </w:r>
      <w:r w:rsidR="00E75C1D">
        <w:rPr>
          <w:rFonts w:eastAsia="Calibri" w:cs="Times New Roman"/>
          <w:noProof/>
          <w:szCs w:val="24"/>
        </w:rPr>
        <w:t>scope of</w:t>
      </w:r>
      <w:r w:rsidRPr="00705EEF">
        <w:rPr>
          <w:rFonts w:eastAsia="Calibri" w:cs="Times New Roman"/>
          <w:noProof/>
          <w:szCs w:val="24"/>
        </w:rPr>
        <w:t xml:space="preserve"> the exemptions rather than completely removing them may be an alternative option for bulk gases.</w:t>
      </w:r>
    </w:p>
    <w:p w14:paraId="278BFD29" w14:textId="77777777" w:rsidR="000B1AB2" w:rsidRPr="00705EEF" w:rsidRDefault="000B1AB2" w:rsidP="00C11DCB">
      <w:pPr>
        <w:spacing w:after="160"/>
        <w:rPr>
          <w:rFonts w:eastAsia="Calibri" w:cs="Times New Roman"/>
          <w:noProof/>
          <w:szCs w:val="24"/>
        </w:rPr>
      </w:pPr>
      <w:r w:rsidRPr="00705EEF">
        <w:rPr>
          <w:rFonts w:eastAsia="Calibri" w:cs="Times New Roman"/>
          <w:noProof/>
          <w:szCs w:val="24"/>
        </w:rPr>
        <w:t xml:space="preserve">On the potential removal of the MDI exemption, one industry association representing MDI manufactures pointed out that it could lead to shortages and thus supply disruptions of MDIs, as companies have little flexibility in choosing their suppliers. With the first lower GWP MDIs expected to enter the market in 2025, the current exemption should remain in place for at least another five years. </w:t>
      </w:r>
    </w:p>
    <w:p w14:paraId="407BC664" w14:textId="1EA6AE32" w:rsidR="000B1AB2" w:rsidRPr="00705EEF" w:rsidRDefault="000B1AB2" w:rsidP="00C11DCB">
      <w:pPr>
        <w:spacing w:after="160"/>
        <w:rPr>
          <w:rFonts w:eastAsia="Calibri" w:cs="Times New Roman"/>
          <w:noProof/>
          <w:szCs w:val="24"/>
        </w:rPr>
      </w:pPr>
      <w:r w:rsidRPr="00705EEF">
        <w:rPr>
          <w:rFonts w:eastAsia="Calibri" w:cs="Times New Roman"/>
          <w:noProof/>
          <w:szCs w:val="24"/>
        </w:rPr>
        <w:t>On the possible removal of the exemption for semiconductor manufactur</w:t>
      </w:r>
      <w:r w:rsidR="00870369">
        <w:rPr>
          <w:rFonts w:eastAsia="Calibri" w:cs="Times New Roman"/>
          <w:noProof/>
          <w:szCs w:val="24"/>
        </w:rPr>
        <w:t>ing</w:t>
      </w:r>
      <w:r w:rsidRPr="00705EEF">
        <w:rPr>
          <w:rFonts w:eastAsia="Calibri" w:cs="Times New Roman"/>
          <w:noProof/>
          <w:szCs w:val="24"/>
        </w:rPr>
        <w:t>, one industry association of semiconductor manufacturers noted that the financial impact would depend upon the extent to which the price of HFCs would increase. This in turn would depend on the extent to which additional quantities of HFCs would be included under the phase-down to take into account future demand for HFCs for MDIs. A significant increase in the price of inputs to the semiconductor manufacturing process will be detrimental to the overall competitiveness of the EU industry.</w:t>
      </w:r>
    </w:p>
    <w:p w14:paraId="6776C284" w14:textId="57E13DD5" w:rsidR="000B1AB2" w:rsidRPr="00705EEF" w:rsidRDefault="000B1AB2" w:rsidP="00C11DCB">
      <w:pPr>
        <w:spacing w:after="160"/>
        <w:rPr>
          <w:rFonts w:eastAsia="Calibri" w:cs="Times New Roman"/>
          <w:noProof/>
          <w:szCs w:val="24"/>
        </w:rPr>
      </w:pPr>
      <w:r w:rsidRPr="00705EEF">
        <w:rPr>
          <w:rFonts w:eastAsia="Calibri" w:cs="Times New Roman"/>
          <w:noProof/>
          <w:szCs w:val="24"/>
        </w:rPr>
        <w:t>As regards the possible removal of the phase-down exemption for placing on the market below 100 tonnes of CO</w:t>
      </w:r>
      <w:r w:rsidRPr="00705EEF">
        <w:rPr>
          <w:rFonts w:eastAsia="Calibri" w:cs="Times New Roman"/>
          <w:noProof/>
          <w:szCs w:val="24"/>
          <w:vertAlign w:val="subscript"/>
        </w:rPr>
        <w:t>2</w:t>
      </w:r>
      <w:r w:rsidRPr="00705EEF">
        <w:rPr>
          <w:rFonts w:eastAsia="Calibri" w:cs="Times New Roman"/>
          <w:noProof/>
          <w:szCs w:val="24"/>
        </w:rPr>
        <w:t xml:space="preserve"> equivalents, ten competent authorities confirmed that this </w:t>
      </w:r>
      <w:r w:rsidR="00D86D58">
        <w:rPr>
          <w:rFonts w:eastAsia="Calibri" w:cs="Times New Roman"/>
          <w:noProof/>
          <w:szCs w:val="24"/>
        </w:rPr>
        <w:t>minimum</w:t>
      </w:r>
      <w:r w:rsidRPr="00705EEF">
        <w:rPr>
          <w:rFonts w:eastAsia="Calibri" w:cs="Times New Roman"/>
          <w:noProof/>
          <w:szCs w:val="24"/>
        </w:rPr>
        <w:t xml:space="preserve"> threshold may have been exploited for illegal activities. Although it was introduced primarily to reduce the administrative burden especially for private individuals, some competent authorities stated that this threshold should </w:t>
      </w:r>
      <w:r w:rsidR="00E75C1D">
        <w:rPr>
          <w:rFonts w:eastAsia="Calibri" w:cs="Times New Roman"/>
          <w:noProof/>
          <w:szCs w:val="24"/>
        </w:rPr>
        <w:t xml:space="preserve">clearly </w:t>
      </w:r>
      <w:r w:rsidRPr="00705EEF">
        <w:rPr>
          <w:rFonts w:eastAsia="Calibri" w:cs="Times New Roman"/>
          <w:noProof/>
          <w:szCs w:val="24"/>
        </w:rPr>
        <w:t>be abolished to avoid illegal activities in the future and to ensure full compliance with the Montreal Protocol.</w:t>
      </w:r>
    </w:p>
    <w:p w14:paraId="52113A23" w14:textId="77777777" w:rsidR="000B1AB2" w:rsidRPr="00705EEF" w:rsidRDefault="000B1AB2" w:rsidP="00C11DCB">
      <w:pPr>
        <w:spacing w:after="160"/>
        <w:rPr>
          <w:rFonts w:eastAsia="Calibri" w:cs="Times New Roman"/>
          <w:noProof/>
          <w:szCs w:val="24"/>
        </w:rPr>
      </w:pPr>
      <w:r w:rsidRPr="00705EEF">
        <w:rPr>
          <w:rFonts w:eastAsia="Calibri" w:cs="Times New Roman"/>
          <w:noProof/>
          <w:szCs w:val="24"/>
        </w:rPr>
        <w:t>On the need to include a separate HFC production phase-down to mirror the separate production phase-down under the Montreal Protocol, one competent authority explicitly supported its inclusion to ensure compliance with the Protocol. According to the feedback from an industry stakeholder (gas producer), it is essential that any HFC production phase-down replicates the timetable of the Kigali Amendment. Implementing faster phase-down schedules could potentially prevent the manufacture of new lower GWP alternatives within the EU and create an economic disadvantage for EU companies.</w:t>
      </w:r>
    </w:p>
    <w:p w14:paraId="79F0380A" w14:textId="77777777" w:rsidR="000B1AB2" w:rsidRPr="00705EEF" w:rsidRDefault="000B1AB2" w:rsidP="000B1AB2">
      <w:pPr>
        <w:numPr>
          <w:ilvl w:val="2"/>
          <w:numId w:val="0"/>
        </w:numPr>
        <w:spacing w:before="120" w:after="120"/>
        <w:ind w:left="855" w:right="-23" w:hanging="855"/>
        <w:outlineLvl w:val="3"/>
        <w:rPr>
          <w:rFonts w:eastAsia="Times New Roman" w:cs="Times New Roman"/>
          <w:b/>
          <w:noProof/>
          <w:szCs w:val="24"/>
          <w:lang w:eastAsia="en-GB"/>
        </w:rPr>
      </w:pPr>
      <w:r w:rsidRPr="00705EEF">
        <w:rPr>
          <w:rFonts w:eastAsia="Times New Roman" w:cs="Times New Roman"/>
          <w:b/>
          <w:noProof/>
          <w:szCs w:val="24"/>
          <w:lang w:eastAsia="en-GB"/>
        </w:rPr>
        <w:t>Objective C: Improving implementation and enforcement</w:t>
      </w:r>
    </w:p>
    <w:p w14:paraId="0FA2C3FB" w14:textId="65A0AF4C" w:rsidR="000B1AB2" w:rsidRPr="00705EEF" w:rsidRDefault="000B1AB2" w:rsidP="00C11DCB">
      <w:pPr>
        <w:spacing w:after="160"/>
        <w:rPr>
          <w:rFonts w:eastAsia="Calibri" w:cs="Times New Roman"/>
          <w:noProof/>
          <w:szCs w:val="24"/>
        </w:rPr>
      </w:pPr>
      <w:r w:rsidRPr="00705EEF">
        <w:rPr>
          <w:rFonts w:eastAsia="Calibri" w:cs="Times New Roman"/>
          <w:noProof/>
          <w:szCs w:val="24"/>
        </w:rPr>
        <w:t>Across all consultation activities, stakeholders showed a high level of support for additional training and certification of technicians on F-gas alternatives, mirroring opinions expressed through the questions related to the evaluation that this is a key barrier to the uptake of alternatives.</w:t>
      </w:r>
      <w:r w:rsidRPr="00705EEF">
        <w:rPr>
          <w:rFonts w:eastAsia="Calibri" w:cs="Times New Roman"/>
          <w:noProof/>
          <w:szCs w:val="24"/>
          <w:lang w:eastAsia="x-none"/>
        </w:rPr>
        <w:t xml:space="preserve"> The extension of the current training and certification programmes to low GWP alternatives was considered useful by all competent authorities. One competent authority stated that it would be rather beneficial to have all information and requirements on F-gases and their alternatives in one single piece of legislation, otherwise authorities and companies might lose track of the different requirements. That said, some stakeholders also highlighted some concerns with this measure. While the general consensus was that an extension of the current minimum requirements of the existing certification scheme to alternatives could be useful, one competent authority raised concerns that such requirements might go beyond the scope of the Regulation. Another competent authority stated that this requirement could lead to an increase in training costs that were considered to be very high already (especially for SMEs), and that there is a wide range of different alternatives which would be difficult to cover.</w:t>
      </w:r>
    </w:p>
    <w:p w14:paraId="724540D5" w14:textId="01703FA5" w:rsidR="000B1AB2" w:rsidRPr="00705EEF" w:rsidRDefault="000B1AB2" w:rsidP="00C11DCB">
      <w:pPr>
        <w:spacing w:after="160"/>
        <w:rPr>
          <w:rFonts w:eastAsia="Calibri" w:cs="Times New Roman"/>
          <w:noProof/>
          <w:szCs w:val="24"/>
        </w:rPr>
      </w:pPr>
      <w:r w:rsidRPr="00705EEF">
        <w:rPr>
          <w:rFonts w:eastAsia="Calibri" w:cs="Times New Roman"/>
          <w:noProof/>
          <w:szCs w:val="24"/>
        </w:rPr>
        <w:t xml:space="preserve">Stakeholders also showed high support for various measures aimed at tackling illegal trade, reflecting that </w:t>
      </w:r>
      <w:r w:rsidR="00870369">
        <w:rPr>
          <w:rFonts w:eastAsia="Calibri" w:cs="Times New Roman"/>
          <w:noProof/>
          <w:szCs w:val="24"/>
        </w:rPr>
        <w:t>they</w:t>
      </w:r>
      <w:r w:rsidR="00870369" w:rsidRPr="00705EEF">
        <w:rPr>
          <w:rFonts w:eastAsia="Calibri" w:cs="Times New Roman"/>
          <w:noProof/>
          <w:szCs w:val="24"/>
        </w:rPr>
        <w:t xml:space="preserve"> </w:t>
      </w:r>
      <w:r w:rsidRPr="00705EEF">
        <w:rPr>
          <w:rFonts w:eastAsia="Calibri" w:cs="Times New Roman"/>
          <w:noProof/>
          <w:szCs w:val="24"/>
        </w:rPr>
        <w:t xml:space="preserve">consider this a key challenge to the Regulation. However, different measures received different levels of support. Stakeholders expressed greatest support for: strengthening the role of customs and facilitate the link with the EU Single Window Environment for Customs; to strengthen obligations of economic operators to prevent illegal trade; and setting minimum requirements for penalties at Member State level. An industry stakeholder and an NGO also specifically asked whether revisions to the T1 transit custom procedure were being considered. Although overall positive, support for </w:t>
      </w:r>
      <w:r w:rsidR="00E75C1D">
        <w:rPr>
          <w:rFonts w:eastAsia="Calibri" w:cs="Times New Roman"/>
          <w:noProof/>
          <w:szCs w:val="24"/>
        </w:rPr>
        <w:t>measures</w:t>
      </w:r>
      <w:r w:rsidRPr="00705EEF">
        <w:rPr>
          <w:rFonts w:eastAsia="Calibri" w:cs="Times New Roman"/>
          <w:noProof/>
          <w:szCs w:val="24"/>
        </w:rPr>
        <w:t xml:space="preserve"> limiting the market to legitimate participants and more comprehensive monitoring was less vocal. As for obligations on economic operators, some competent authorities pointed out that the Regulation should not only focus on the placing on the market (i.e. making available for the first time), but should also cover subsequent sales along the supply chain, while referring to the </w:t>
      </w:r>
      <w:r w:rsidR="007E2041">
        <w:rPr>
          <w:rFonts w:eastAsia="Calibri" w:cs="Times New Roman"/>
          <w:noProof/>
          <w:szCs w:val="24"/>
        </w:rPr>
        <w:t>approach</w:t>
      </w:r>
      <w:r w:rsidRPr="00705EEF">
        <w:rPr>
          <w:rFonts w:eastAsia="Calibri" w:cs="Times New Roman"/>
          <w:noProof/>
          <w:szCs w:val="24"/>
        </w:rPr>
        <w:t xml:space="preserve"> used in the Ozone Regulation. </w:t>
      </w:r>
    </w:p>
    <w:p w14:paraId="65D5249C" w14:textId="1208A819" w:rsidR="000B1AB2" w:rsidRPr="00705EEF" w:rsidRDefault="000B1AB2" w:rsidP="00C11DCB">
      <w:pPr>
        <w:spacing w:after="160"/>
        <w:rPr>
          <w:rFonts w:eastAsia="Calibri" w:cs="Times New Roman"/>
          <w:noProof/>
          <w:szCs w:val="24"/>
        </w:rPr>
      </w:pPr>
      <w:r w:rsidRPr="00705EEF">
        <w:rPr>
          <w:rFonts w:eastAsia="Calibri" w:cs="Times New Roman"/>
          <w:noProof/>
          <w:szCs w:val="24"/>
        </w:rPr>
        <w:t xml:space="preserve">Several industry stakeholders stressed the importance that any changes to the Regulation should be made coherently with wider EU legislation. In particular, industry stakeholders noted that some applications (e.g. heat pumps in households and industry) using F-gases will be critical </w:t>
      </w:r>
      <w:r w:rsidR="007E2041">
        <w:rPr>
          <w:rFonts w:eastAsia="Calibri" w:cs="Times New Roman"/>
          <w:noProof/>
          <w:szCs w:val="24"/>
        </w:rPr>
        <w:t>for</w:t>
      </w:r>
      <w:r w:rsidRPr="00705EEF">
        <w:rPr>
          <w:rFonts w:eastAsia="Calibri" w:cs="Times New Roman"/>
          <w:noProof/>
          <w:szCs w:val="24"/>
        </w:rPr>
        <w:t xml:space="preserve"> meeting broader climate change targets</w:t>
      </w:r>
      <w:r w:rsidR="007E2041">
        <w:rPr>
          <w:rFonts w:eastAsia="Calibri" w:cs="Times New Roman"/>
          <w:noProof/>
          <w:szCs w:val="24"/>
        </w:rPr>
        <w:t xml:space="preserve"> and </w:t>
      </w:r>
      <w:r w:rsidR="00870369">
        <w:rPr>
          <w:rFonts w:eastAsia="Calibri" w:cs="Times New Roman"/>
          <w:noProof/>
          <w:szCs w:val="24"/>
        </w:rPr>
        <w:t xml:space="preserve">that </w:t>
      </w:r>
      <w:r w:rsidR="007E2041">
        <w:rPr>
          <w:rFonts w:eastAsia="Calibri" w:cs="Times New Roman"/>
          <w:noProof/>
          <w:szCs w:val="24"/>
        </w:rPr>
        <w:t xml:space="preserve">energy consumption from such appliances is </w:t>
      </w:r>
      <w:r w:rsidRPr="00705EEF">
        <w:rPr>
          <w:rFonts w:eastAsia="Calibri" w:cs="Times New Roman"/>
          <w:noProof/>
          <w:szCs w:val="24"/>
        </w:rPr>
        <w:t xml:space="preserve">the </w:t>
      </w:r>
      <w:r w:rsidR="007E2041">
        <w:rPr>
          <w:rFonts w:eastAsia="Calibri" w:cs="Times New Roman"/>
          <w:noProof/>
          <w:szCs w:val="24"/>
        </w:rPr>
        <w:t>main</w:t>
      </w:r>
      <w:r w:rsidRPr="00705EEF">
        <w:rPr>
          <w:rFonts w:eastAsia="Calibri" w:cs="Times New Roman"/>
          <w:noProof/>
          <w:szCs w:val="24"/>
        </w:rPr>
        <w:t xml:space="preserve"> source of GHG emissions </w:t>
      </w:r>
      <w:r w:rsidR="007E2041">
        <w:rPr>
          <w:rFonts w:eastAsia="Calibri" w:cs="Times New Roman"/>
          <w:noProof/>
          <w:szCs w:val="24"/>
        </w:rPr>
        <w:t>not F-gases</w:t>
      </w:r>
      <w:r w:rsidRPr="00705EEF">
        <w:rPr>
          <w:rFonts w:eastAsia="Calibri" w:cs="Times New Roman"/>
          <w:noProof/>
          <w:szCs w:val="24"/>
        </w:rPr>
        <w:t>.</w:t>
      </w:r>
    </w:p>
    <w:p w14:paraId="3CEA70FA" w14:textId="77777777" w:rsidR="000B1AB2" w:rsidRPr="00705EEF" w:rsidRDefault="000B1AB2" w:rsidP="00C11DCB">
      <w:pPr>
        <w:spacing w:after="160"/>
        <w:rPr>
          <w:rFonts w:eastAsia="Calibri" w:cs="Times New Roman"/>
          <w:noProof/>
          <w:szCs w:val="24"/>
        </w:rPr>
      </w:pPr>
      <w:r w:rsidRPr="00705EEF">
        <w:rPr>
          <w:rFonts w:eastAsia="Calibri" w:cs="Times New Roman"/>
          <w:noProof/>
          <w:szCs w:val="24"/>
        </w:rPr>
        <w:t xml:space="preserve">As for evidence on destruction of HFC-23 by-production, one NGO noted that Article 7(2) could be operationalised based on a technical advice paper prepared by Öko-Recherche on behalf of the EU Commission. It was considered that this paper already contained a clear approach on traceability of evidence, which could then be strengthened by third-party verification and a reporting obligation. In addition, reference was made to the EU Renewable Energy Directive II and EU Timber Regulation, which provide for a product certification scheme with rather low administrative burden, which could also be considered for application to the HFC-23 by-production issue. According to one industry association (representing gas manufacturers), a template for a declaration of conformity could be useful. However, third-party verification would be difficult and could be disproportionate, especially for buyers of small quantities. </w:t>
      </w:r>
    </w:p>
    <w:p w14:paraId="08FD0DC7" w14:textId="1C1967B6" w:rsidR="000B1AB2" w:rsidRPr="00705EEF" w:rsidRDefault="00361D69" w:rsidP="00DE2A57">
      <w:pPr>
        <w:keepNext/>
        <w:numPr>
          <w:ilvl w:val="2"/>
          <w:numId w:val="0"/>
        </w:numPr>
        <w:spacing w:before="120" w:after="120"/>
        <w:ind w:left="856" w:right="-23" w:hanging="856"/>
        <w:outlineLvl w:val="3"/>
        <w:rPr>
          <w:rFonts w:eastAsia="Times New Roman" w:cs="Times New Roman"/>
          <w:b/>
          <w:noProof/>
          <w:szCs w:val="24"/>
          <w:lang w:eastAsia="en-GB"/>
        </w:rPr>
      </w:pPr>
      <w:r>
        <w:rPr>
          <w:rFonts w:eastAsia="Times New Roman" w:cs="Times New Roman"/>
          <w:b/>
          <w:noProof/>
          <w:szCs w:val="24"/>
          <w:lang w:eastAsia="en-GB"/>
        </w:rPr>
        <w:t xml:space="preserve">Objective D: </w:t>
      </w:r>
      <w:r w:rsidR="000B1AB2" w:rsidRPr="00705EEF">
        <w:rPr>
          <w:rFonts w:eastAsia="Times New Roman" w:cs="Times New Roman"/>
          <w:b/>
          <w:noProof/>
          <w:szCs w:val="24"/>
          <w:lang w:eastAsia="en-GB"/>
        </w:rPr>
        <w:t>Monitoring</w:t>
      </w:r>
    </w:p>
    <w:p w14:paraId="6F062E6F" w14:textId="0BB16EAE" w:rsidR="000B1AB2" w:rsidRPr="00705EEF" w:rsidRDefault="000B1AB2" w:rsidP="00F120D0">
      <w:pPr>
        <w:spacing w:after="160"/>
        <w:rPr>
          <w:rFonts w:eastAsia="Calibri" w:cs="Times New Roman"/>
          <w:noProof/>
          <w:szCs w:val="24"/>
          <w:lang w:val="en-US"/>
        </w:rPr>
      </w:pPr>
      <w:r w:rsidRPr="00705EEF">
        <w:rPr>
          <w:rFonts w:eastAsia="Calibri" w:cs="Times New Roman"/>
          <w:noProof/>
          <w:szCs w:val="24"/>
        </w:rPr>
        <w:t xml:space="preserve">Mixed opinions were found among competent authorities regarding an extension of the labelling requirements to Annex II gases. While eight competent authorities generally supported the measure, two competent authorities questioned the purpose of this measure, stating that the majority of F-gases </w:t>
      </w:r>
      <w:r w:rsidR="00DB6418" w:rsidRPr="00705EEF">
        <w:rPr>
          <w:rFonts w:eastAsia="Calibri" w:cs="Times New Roman"/>
          <w:noProof/>
          <w:szCs w:val="24"/>
        </w:rPr>
        <w:t>w</w:t>
      </w:r>
      <w:r w:rsidR="00DB6418">
        <w:rPr>
          <w:rFonts w:eastAsia="Calibri" w:cs="Times New Roman"/>
          <w:noProof/>
          <w:szCs w:val="24"/>
        </w:rPr>
        <w:t>ere</w:t>
      </w:r>
      <w:r w:rsidR="00DB6418" w:rsidRPr="00705EEF">
        <w:rPr>
          <w:rFonts w:eastAsia="Calibri" w:cs="Times New Roman"/>
          <w:noProof/>
          <w:szCs w:val="24"/>
        </w:rPr>
        <w:t xml:space="preserve"> </w:t>
      </w:r>
      <w:r w:rsidRPr="00705EEF">
        <w:rPr>
          <w:rFonts w:eastAsia="Calibri" w:cs="Times New Roman"/>
          <w:noProof/>
          <w:szCs w:val="24"/>
        </w:rPr>
        <w:t xml:space="preserve">already covered by Annex I of the Regulation. According to one customs authority, </w:t>
      </w:r>
      <w:r w:rsidRPr="00705EEF">
        <w:rPr>
          <w:rFonts w:eastAsia="Calibri" w:cs="Times New Roman"/>
          <w:noProof/>
          <w:szCs w:val="24"/>
          <w:lang w:val="en-US"/>
        </w:rPr>
        <w:t xml:space="preserve">a template for labelling of bulk gases and pre-charged products and equipment would add value as there is significant non-compliance. </w:t>
      </w:r>
    </w:p>
    <w:p w14:paraId="5B30396E" w14:textId="3A495366" w:rsidR="000B1AB2" w:rsidRPr="00705EEF" w:rsidRDefault="000B1AB2" w:rsidP="00F120D0">
      <w:pPr>
        <w:spacing w:after="160"/>
        <w:rPr>
          <w:rFonts w:eastAsia="Calibri" w:cs="Times New Roman"/>
          <w:noProof/>
          <w:szCs w:val="24"/>
        </w:rPr>
      </w:pPr>
      <w:r w:rsidRPr="00705EEF">
        <w:rPr>
          <w:rFonts w:eastAsia="Calibri" w:cs="Times New Roman"/>
          <w:noProof/>
          <w:szCs w:val="24"/>
        </w:rPr>
        <w:t xml:space="preserve">The role of further data collection, monitoring and reporting for better understanding of environmental impacts was underlined </w:t>
      </w:r>
      <w:r w:rsidR="007E2041">
        <w:rPr>
          <w:rFonts w:eastAsia="Calibri" w:cs="Times New Roman"/>
          <w:noProof/>
          <w:szCs w:val="24"/>
        </w:rPr>
        <w:t>as regards</w:t>
      </w:r>
      <w:r w:rsidRPr="00705EEF">
        <w:rPr>
          <w:rFonts w:eastAsia="Calibri" w:cs="Times New Roman"/>
          <w:noProof/>
          <w:szCs w:val="24"/>
        </w:rPr>
        <w:t xml:space="preserve"> production, containment, recovery, recycling, reclamation and destruction of F-gases and end-of-life treatment of equipment, as well as in view of alternatives to conventional F-gases, which might </w:t>
      </w:r>
      <w:r w:rsidR="007E2041">
        <w:rPr>
          <w:rFonts w:eastAsia="Calibri" w:cs="Times New Roman"/>
          <w:noProof/>
          <w:szCs w:val="24"/>
        </w:rPr>
        <w:t>also</w:t>
      </w:r>
      <w:r w:rsidRPr="00705EEF">
        <w:rPr>
          <w:rFonts w:eastAsia="Calibri" w:cs="Times New Roman"/>
          <w:noProof/>
          <w:szCs w:val="24"/>
        </w:rPr>
        <w:t xml:space="preserve"> feature high GWP values and are being introduced to the EU market in various applications (e.g. electrical switchgear). </w:t>
      </w:r>
    </w:p>
    <w:p w14:paraId="64181A62" w14:textId="178B431D" w:rsidR="000B1AB2" w:rsidRPr="00705EEF" w:rsidRDefault="000B1AB2" w:rsidP="00F120D0">
      <w:pPr>
        <w:spacing w:after="160"/>
        <w:rPr>
          <w:rFonts w:eastAsia="Calibri" w:cs="Times New Roman"/>
          <w:noProof/>
          <w:szCs w:val="24"/>
        </w:rPr>
      </w:pPr>
      <w:r w:rsidRPr="00705EEF">
        <w:rPr>
          <w:rFonts w:eastAsia="Calibri" w:cs="Times New Roman"/>
          <w:noProof/>
          <w:szCs w:val="24"/>
        </w:rPr>
        <w:t>An auditing company suggested the introduction of an electronic verification process of the annual reports to facilitate checking compliance with the verification obligation and thereby reduc</w:t>
      </w:r>
      <w:r w:rsidR="00DB6418">
        <w:rPr>
          <w:rFonts w:eastAsia="Calibri" w:cs="Times New Roman"/>
          <w:noProof/>
          <w:szCs w:val="24"/>
        </w:rPr>
        <w:t>ing</w:t>
      </w:r>
      <w:r w:rsidRPr="00705EEF">
        <w:rPr>
          <w:rFonts w:eastAsia="Calibri" w:cs="Times New Roman"/>
          <w:noProof/>
          <w:szCs w:val="24"/>
        </w:rPr>
        <w:t xml:space="preserve"> costs. On the company side, stakeholders had some doubts if the administrative burden would actually decrease, as the underlying verification processes would remain unchanged. </w:t>
      </w:r>
    </w:p>
    <w:p w14:paraId="0BB91140" w14:textId="77777777" w:rsidR="000B1AB2" w:rsidRPr="00705EEF" w:rsidRDefault="000B1AB2" w:rsidP="00F120D0">
      <w:pPr>
        <w:spacing w:after="160"/>
        <w:rPr>
          <w:rFonts w:eastAsia="Calibri" w:cs="Times New Roman"/>
          <w:noProof/>
          <w:szCs w:val="24"/>
        </w:rPr>
      </w:pPr>
      <w:r w:rsidRPr="00705EEF">
        <w:rPr>
          <w:rFonts w:eastAsia="Calibri" w:cs="Times New Roman"/>
          <w:noProof/>
          <w:szCs w:val="24"/>
        </w:rPr>
        <w:t xml:space="preserve">On extending Annex II, adding fluorinated gases with very low GWP (&lt;10) to the list was criticized by stakeholders, especially from the switchgear sector. </w:t>
      </w:r>
    </w:p>
    <w:p w14:paraId="55D76A16" w14:textId="77777777" w:rsidR="000B1AB2" w:rsidRPr="000B1AB2" w:rsidRDefault="000B1AB2" w:rsidP="0017603A">
      <w:pPr>
        <w:pStyle w:val="AppendixHeadingLevel3"/>
        <w:numPr>
          <w:ilvl w:val="2"/>
          <w:numId w:val="109"/>
        </w:numPr>
        <w:rPr>
          <w:noProof/>
          <w:lang w:eastAsia="en-GB"/>
        </w:rPr>
      </w:pPr>
      <w:bookmarkStart w:id="463" w:name="_Toc85655112"/>
      <w:r w:rsidRPr="000B1AB2">
        <w:rPr>
          <w:noProof/>
          <w:lang w:eastAsia="en-GB"/>
        </w:rPr>
        <w:t>Impacts of the amended F-Gas Regulation</w:t>
      </w:r>
      <w:bookmarkEnd w:id="463"/>
    </w:p>
    <w:p w14:paraId="440DC3C8" w14:textId="77777777" w:rsidR="000B1AB2" w:rsidRPr="00353856" w:rsidRDefault="000B1AB2" w:rsidP="0017603A">
      <w:pPr>
        <w:pStyle w:val="ListParagraph"/>
        <w:keepNext/>
        <w:numPr>
          <w:ilvl w:val="3"/>
          <w:numId w:val="109"/>
        </w:numPr>
        <w:spacing w:before="120" w:after="120"/>
        <w:ind w:right="-23"/>
        <w:outlineLvl w:val="3"/>
        <w:rPr>
          <w:rFonts w:eastAsia="Times New Roman" w:cs="Times New Roman"/>
          <w:b/>
          <w:noProof/>
          <w:szCs w:val="24"/>
          <w:lang w:eastAsia="en-GB"/>
        </w:rPr>
      </w:pPr>
      <w:r w:rsidRPr="00353856">
        <w:rPr>
          <w:rFonts w:eastAsia="Times New Roman" w:cs="Times New Roman"/>
          <w:b/>
          <w:noProof/>
          <w:szCs w:val="24"/>
          <w:lang w:eastAsia="en-GB"/>
        </w:rPr>
        <w:t xml:space="preserve">Environmental impacts </w:t>
      </w:r>
    </w:p>
    <w:p w14:paraId="5F1C97D0" w14:textId="6463235F" w:rsidR="000B1AB2" w:rsidRPr="00705EEF" w:rsidRDefault="000B1AB2" w:rsidP="00F120D0">
      <w:pPr>
        <w:spacing w:after="160"/>
        <w:rPr>
          <w:rFonts w:eastAsia="Calibri" w:cs="Times New Roman"/>
          <w:noProof/>
          <w:szCs w:val="24"/>
        </w:rPr>
      </w:pPr>
      <w:r w:rsidRPr="00705EEF">
        <w:rPr>
          <w:rFonts w:eastAsia="Calibri" w:cs="Times New Roman"/>
          <w:noProof/>
          <w:szCs w:val="24"/>
        </w:rPr>
        <w:t xml:space="preserve">Stakeholders agreed that some measures </w:t>
      </w:r>
      <w:r w:rsidR="007E2041">
        <w:rPr>
          <w:rFonts w:eastAsia="Calibri" w:cs="Times New Roman"/>
          <w:noProof/>
          <w:szCs w:val="24"/>
        </w:rPr>
        <w:t>could</w:t>
      </w:r>
      <w:r w:rsidRPr="00705EEF">
        <w:rPr>
          <w:rFonts w:eastAsia="Calibri" w:cs="Times New Roman"/>
          <w:noProof/>
          <w:szCs w:val="24"/>
        </w:rPr>
        <w:t xml:space="preserve"> reduce emissions</w:t>
      </w:r>
      <w:r w:rsidR="007E2041">
        <w:rPr>
          <w:rFonts w:eastAsia="Calibri" w:cs="Times New Roman"/>
          <w:noProof/>
          <w:szCs w:val="24"/>
        </w:rPr>
        <w:t xml:space="preserve"> further</w:t>
      </w:r>
      <w:r w:rsidRPr="00705EEF">
        <w:rPr>
          <w:rFonts w:eastAsia="Calibri" w:cs="Times New Roman"/>
          <w:noProof/>
          <w:szCs w:val="24"/>
        </w:rPr>
        <w:t>, in particular increasing the HFC phase-down ambition in line with technological development and prohibiting F-gas use in applications</w:t>
      </w:r>
      <w:r w:rsidR="007E2041">
        <w:rPr>
          <w:rFonts w:eastAsia="Calibri" w:cs="Times New Roman"/>
          <w:noProof/>
          <w:szCs w:val="24"/>
        </w:rPr>
        <w:t>,</w:t>
      </w:r>
      <w:r w:rsidRPr="00705EEF">
        <w:rPr>
          <w:rFonts w:eastAsia="Calibri" w:cs="Times New Roman"/>
          <w:noProof/>
          <w:szCs w:val="24"/>
        </w:rPr>
        <w:t xml:space="preserve"> where they are no longer needed. Links to energy efficiency requirements and the need for continued alignment with decarbonisation targets were emphasized, especially by industry and with respect to the important role heat pumps are expected to play to meet broader climate targets. A business organisation for natural alternatives to F-gases pointed out that the current phase-down schedule does not take into account the demand reduction resulting from the 2020 ban for servicing of existing refrigeration installations. This association also noted that further alignment with recent IPCC mitigation scenarios should result in a reduction of HFC phase-down steps already before 2030 and that the GWP20 metrics should be included to present more accurate information in terms of climate-friendly refrigerants.  </w:t>
      </w:r>
    </w:p>
    <w:p w14:paraId="66F8DD54" w14:textId="4BAA05FE" w:rsidR="000B1AB2" w:rsidRPr="00705EEF" w:rsidRDefault="000B1AB2" w:rsidP="00F120D0">
      <w:pPr>
        <w:spacing w:after="160"/>
        <w:rPr>
          <w:rFonts w:eastAsia="Calibri" w:cs="Times New Roman"/>
          <w:noProof/>
          <w:szCs w:val="24"/>
        </w:rPr>
      </w:pPr>
      <w:r w:rsidRPr="00705EEF">
        <w:rPr>
          <w:rFonts w:eastAsia="Calibri" w:cs="Times New Roman"/>
          <w:noProof/>
          <w:szCs w:val="24"/>
        </w:rPr>
        <w:t xml:space="preserve">Industry stakeholders underlined the need to consider energy efficiency requirements and impacts on indirect emissions from energy use. The future energy efficiency provisions set out by the </w:t>
      </w:r>
      <w:r w:rsidR="0018090C">
        <w:rPr>
          <w:rFonts w:eastAsia="Calibri" w:cs="Times New Roman"/>
          <w:noProof/>
          <w:szCs w:val="24"/>
        </w:rPr>
        <w:t>Eco-design</w:t>
      </w:r>
      <w:r w:rsidRPr="00705EEF">
        <w:rPr>
          <w:rFonts w:eastAsia="Calibri" w:cs="Times New Roman"/>
          <w:noProof/>
          <w:szCs w:val="24"/>
        </w:rPr>
        <w:t xml:space="preserve"> Directive and under the Energy Performance of Buildings Directive (EPBD) should not be compromised. Stakeholders, in particular NGOs but also some competent authorities and certain industry, reiterated the need to consider the potential for wider environmental effects beyond the reduction of F-gas use and emissions. This referred especially to by-products during manufacture as well as persistent degradation products of fluorinated chemicals.</w:t>
      </w:r>
    </w:p>
    <w:p w14:paraId="744FC664" w14:textId="77777777" w:rsidR="000B1AB2" w:rsidRPr="00353856" w:rsidRDefault="000B1AB2" w:rsidP="0017603A">
      <w:pPr>
        <w:pStyle w:val="ListParagraph"/>
        <w:numPr>
          <w:ilvl w:val="3"/>
          <w:numId w:val="110"/>
        </w:numPr>
        <w:spacing w:before="120" w:after="120"/>
        <w:ind w:right="-23"/>
        <w:outlineLvl w:val="3"/>
        <w:rPr>
          <w:rFonts w:eastAsia="Times New Roman" w:cs="Times New Roman"/>
          <w:b/>
          <w:noProof/>
          <w:szCs w:val="24"/>
          <w:lang w:eastAsia="en-GB"/>
        </w:rPr>
      </w:pPr>
      <w:r w:rsidRPr="00353856">
        <w:rPr>
          <w:rFonts w:eastAsia="Times New Roman" w:cs="Times New Roman"/>
          <w:b/>
          <w:noProof/>
          <w:szCs w:val="24"/>
          <w:lang w:eastAsia="en-GB"/>
        </w:rPr>
        <w:t xml:space="preserve">Economic impacts </w:t>
      </w:r>
    </w:p>
    <w:p w14:paraId="337AD33B" w14:textId="29C7224B" w:rsidR="000B1AB2" w:rsidRPr="00705EEF" w:rsidRDefault="000B1AB2" w:rsidP="00F120D0">
      <w:pPr>
        <w:spacing w:after="160"/>
        <w:rPr>
          <w:rFonts w:eastAsia="Calibri" w:cs="Times New Roman"/>
          <w:noProof/>
          <w:szCs w:val="24"/>
        </w:rPr>
      </w:pPr>
      <w:r w:rsidRPr="00705EEF">
        <w:rPr>
          <w:rFonts w:eastAsia="Calibri" w:cs="Times New Roman"/>
          <w:noProof/>
          <w:szCs w:val="24"/>
        </w:rPr>
        <w:t xml:space="preserve">As regards administrative costs, stakeholders, in particular industry and competent authorities noted that some </w:t>
      </w:r>
      <w:r w:rsidR="007E2041">
        <w:rPr>
          <w:rFonts w:eastAsia="Calibri" w:cs="Times New Roman"/>
          <w:noProof/>
          <w:szCs w:val="24"/>
        </w:rPr>
        <w:t xml:space="preserve">measures </w:t>
      </w:r>
      <w:r w:rsidRPr="00705EEF">
        <w:rPr>
          <w:rFonts w:eastAsia="Calibri" w:cs="Times New Roman"/>
          <w:noProof/>
          <w:szCs w:val="24"/>
        </w:rPr>
        <w:t xml:space="preserve">would result in an increase. However, the perceived level of increase varied across measures and many stakeholders noted that it is difficult to gauge more precise impacts </w:t>
      </w:r>
      <w:r w:rsidR="007E2041">
        <w:rPr>
          <w:rFonts w:eastAsia="Calibri" w:cs="Times New Roman"/>
          <w:noProof/>
          <w:szCs w:val="24"/>
        </w:rPr>
        <w:t xml:space="preserve">without a detailed </w:t>
      </w:r>
      <w:r w:rsidR="0060751E">
        <w:rPr>
          <w:rFonts w:eastAsia="Calibri" w:cs="Times New Roman"/>
          <w:noProof/>
          <w:szCs w:val="24"/>
        </w:rPr>
        <w:t>description</w:t>
      </w:r>
      <w:r w:rsidR="007E2041">
        <w:rPr>
          <w:rFonts w:eastAsia="Calibri" w:cs="Times New Roman"/>
          <w:noProof/>
          <w:szCs w:val="24"/>
        </w:rPr>
        <w:t xml:space="preserve"> of </w:t>
      </w:r>
      <w:r w:rsidRPr="00705EEF">
        <w:rPr>
          <w:rFonts w:eastAsia="Calibri" w:cs="Times New Roman"/>
          <w:noProof/>
          <w:szCs w:val="24"/>
        </w:rPr>
        <w:t xml:space="preserve">the </w:t>
      </w:r>
      <w:r w:rsidR="007E2041">
        <w:rPr>
          <w:rFonts w:eastAsia="Calibri" w:cs="Times New Roman"/>
          <w:noProof/>
          <w:szCs w:val="24"/>
        </w:rPr>
        <w:t>measures</w:t>
      </w:r>
      <w:r w:rsidRPr="00705EEF">
        <w:rPr>
          <w:rFonts w:eastAsia="Calibri" w:cs="Times New Roman"/>
          <w:noProof/>
          <w:szCs w:val="24"/>
        </w:rPr>
        <w:t>. Higher administrative costs were expected by a larger number of stakeholders for the options of: more comprehensive monitoring (e.g. adding new substances, filling gaps in obligations), strengthen</w:t>
      </w:r>
      <w:r w:rsidR="008A462F">
        <w:rPr>
          <w:rFonts w:eastAsia="Calibri" w:cs="Times New Roman"/>
          <w:noProof/>
          <w:szCs w:val="24"/>
        </w:rPr>
        <w:t>ing</w:t>
      </w:r>
      <w:r w:rsidRPr="00705EEF">
        <w:rPr>
          <w:rFonts w:eastAsia="Calibri" w:cs="Times New Roman"/>
          <w:noProof/>
          <w:szCs w:val="24"/>
        </w:rPr>
        <w:t xml:space="preserve"> obligations to prevent illegal trade, increasing HFC phase-down ambition and technicians training on non-F-gas alternatives. Generally, higher costs were more often expected by industrial stakeholders compared to other stakeholders. For three </w:t>
      </w:r>
      <w:r w:rsidR="0060751E">
        <w:rPr>
          <w:rFonts w:eastAsia="Calibri" w:cs="Times New Roman"/>
          <w:noProof/>
          <w:szCs w:val="24"/>
        </w:rPr>
        <w:t>measures</w:t>
      </w:r>
      <w:r w:rsidRPr="00705EEF">
        <w:rPr>
          <w:rFonts w:eastAsia="Calibri" w:cs="Times New Roman"/>
          <w:noProof/>
          <w:szCs w:val="24"/>
        </w:rPr>
        <w:t>, the response was more mixed, with stakeholders unable to agree whether there would be an increase or decrease in administrative costs: add</w:t>
      </w:r>
      <w:r w:rsidR="008A462F">
        <w:rPr>
          <w:rFonts w:eastAsia="Calibri" w:cs="Times New Roman"/>
          <w:noProof/>
          <w:szCs w:val="24"/>
        </w:rPr>
        <w:t>ing</w:t>
      </w:r>
      <w:r w:rsidRPr="00705EEF">
        <w:rPr>
          <w:rFonts w:eastAsia="Calibri" w:cs="Times New Roman"/>
          <w:noProof/>
          <w:szCs w:val="24"/>
        </w:rPr>
        <w:t xml:space="preserve"> flexibility to align with future Montreal Protocol decisions, remov</w:t>
      </w:r>
      <w:r w:rsidR="008A462F">
        <w:rPr>
          <w:rFonts w:eastAsia="Calibri" w:cs="Times New Roman"/>
          <w:noProof/>
          <w:szCs w:val="24"/>
        </w:rPr>
        <w:t>ing</w:t>
      </w:r>
      <w:r w:rsidRPr="00705EEF">
        <w:rPr>
          <w:rFonts w:eastAsia="Calibri" w:cs="Times New Roman"/>
          <w:noProof/>
          <w:szCs w:val="24"/>
        </w:rPr>
        <w:t xml:space="preserve"> some exemptions and thresholds not foreseen by the Montreal Protocol, and limit</w:t>
      </w:r>
      <w:r w:rsidR="008A462F">
        <w:rPr>
          <w:rFonts w:eastAsia="Calibri" w:cs="Times New Roman"/>
          <w:noProof/>
          <w:szCs w:val="24"/>
        </w:rPr>
        <w:t>ing</w:t>
      </w:r>
      <w:r w:rsidRPr="00705EEF">
        <w:rPr>
          <w:rFonts w:eastAsia="Calibri" w:cs="Times New Roman"/>
          <w:noProof/>
          <w:szCs w:val="24"/>
        </w:rPr>
        <w:t xml:space="preserve"> the market players to legitimate participants. </w:t>
      </w:r>
    </w:p>
    <w:p w14:paraId="0A063D4D" w14:textId="5869772F" w:rsidR="000B1AB2" w:rsidRPr="00705EEF" w:rsidRDefault="000B1AB2" w:rsidP="00F120D0">
      <w:pPr>
        <w:spacing w:after="160"/>
        <w:rPr>
          <w:rFonts w:eastAsia="Calibri" w:cs="Times New Roman"/>
          <w:noProof/>
          <w:szCs w:val="24"/>
        </w:rPr>
      </w:pPr>
      <w:r w:rsidRPr="00705EEF">
        <w:rPr>
          <w:rFonts w:eastAsia="Calibri" w:cs="Times New Roman"/>
          <w:noProof/>
          <w:szCs w:val="24"/>
        </w:rPr>
        <w:t xml:space="preserve">As regards </w:t>
      </w:r>
      <w:r w:rsidR="0060751E">
        <w:rPr>
          <w:rFonts w:eastAsia="Calibri" w:cs="Times New Roman"/>
          <w:noProof/>
          <w:szCs w:val="24"/>
        </w:rPr>
        <w:t xml:space="preserve">technical </w:t>
      </w:r>
      <w:r w:rsidRPr="00705EEF">
        <w:rPr>
          <w:rFonts w:eastAsia="Calibri" w:cs="Times New Roman"/>
          <w:noProof/>
          <w:szCs w:val="24"/>
        </w:rPr>
        <w:t>adjustment costs, stakeholders (again industry and competent authorities) also recognised a potential for increase in costs for some of the proposed measures. Most stakeholders saw increased costs for the options: increas</w:t>
      </w:r>
      <w:r w:rsidR="008A462F">
        <w:rPr>
          <w:rFonts w:eastAsia="Calibri" w:cs="Times New Roman"/>
          <w:noProof/>
          <w:szCs w:val="24"/>
        </w:rPr>
        <w:t>ing</w:t>
      </w:r>
      <w:r w:rsidRPr="00705EEF">
        <w:rPr>
          <w:rFonts w:eastAsia="Calibri" w:cs="Times New Roman"/>
          <w:noProof/>
          <w:szCs w:val="24"/>
        </w:rPr>
        <w:t xml:space="preserve"> HFC phase-down ambition, technicians training on non-F-gas alternatives, adding new HFC phase-down steps beyond 2030, more comprehensive monitoring and a separate HFC production phase-down. Increased adjustment costs were linked to deploying alternatives to SF</w:t>
      </w:r>
      <w:r w:rsidRPr="00705EEF">
        <w:rPr>
          <w:rFonts w:eastAsia="Calibri" w:cs="Times New Roman"/>
          <w:noProof/>
          <w:szCs w:val="24"/>
          <w:vertAlign w:val="subscript"/>
        </w:rPr>
        <w:t>6</w:t>
      </w:r>
      <w:r w:rsidRPr="00705EEF">
        <w:rPr>
          <w:rFonts w:eastAsia="Calibri" w:cs="Times New Roman"/>
          <w:noProof/>
          <w:szCs w:val="24"/>
        </w:rPr>
        <w:t>, increased training requirements and increased R&amp;D specifically. The adaption and development of facilities is expected to lead to a particularly high initial cost. Higher end user costs could result from the flammability of alternative refrigerants in the cooling sector and from using more costly alternatives in energy transmission.</w:t>
      </w:r>
    </w:p>
    <w:p w14:paraId="2C6A75A9" w14:textId="54B4C873" w:rsidR="000B1AB2" w:rsidRPr="00705EEF" w:rsidRDefault="000B1AB2" w:rsidP="00F120D0">
      <w:pPr>
        <w:spacing w:after="160"/>
        <w:rPr>
          <w:rFonts w:eastAsia="Calibri" w:cs="Times New Roman"/>
          <w:noProof/>
          <w:szCs w:val="24"/>
        </w:rPr>
      </w:pPr>
      <w:r w:rsidRPr="00705EEF">
        <w:rPr>
          <w:rFonts w:eastAsia="Calibri" w:cs="Times New Roman"/>
          <w:noProof/>
          <w:szCs w:val="24"/>
        </w:rPr>
        <w:t xml:space="preserve">More broadly, stakeholders have also reflected that the measures proposed could have </w:t>
      </w:r>
      <w:r w:rsidR="008A462F">
        <w:rPr>
          <w:rFonts w:eastAsia="Calibri" w:cs="Times New Roman"/>
          <w:noProof/>
          <w:szCs w:val="24"/>
        </w:rPr>
        <w:t>wide-ranging</w:t>
      </w:r>
      <w:r w:rsidR="008A462F" w:rsidRPr="00705EEF">
        <w:rPr>
          <w:rFonts w:eastAsia="Calibri" w:cs="Times New Roman"/>
          <w:noProof/>
          <w:szCs w:val="24"/>
        </w:rPr>
        <w:t xml:space="preserve"> </w:t>
      </w:r>
      <w:r w:rsidRPr="00705EEF">
        <w:rPr>
          <w:rFonts w:eastAsia="Calibri" w:cs="Times New Roman"/>
          <w:noProof/>
          <w:szCs w:val="24"/>
        </w:rPr>
        <w:t xml:space="preserve">economic effects, </w:t>
      </w:r>
      <w:r w:rsidR="008A462F">
        <w:rPr>
          <w:rFonts w:eastAsia="Calibri" w:cs="Times New Roman"/>
          <w:noProof/>
          <w:szCs w:val="24"/>
        </w:rPr>
        <w:t>particularly</w:t>
      </w:r>
      <w:r w:rsidRPr="00705EEF">
        <w:rPr>
          <w:rFonts w:eastAsia="Calibri" w:cs="Times New Roman"/>
          <w:noProof/>
          <w:szCs w:val="24"/>
        </w:rPr>
        <w:t xml:space="preserve"> on R&amp;D and innovation, but also on EU competitiveness, trade with non-EU countries and consumer prices. Stakeholders highlighted they would expect an increase in R&amp;D and higher EU competitiveness, not least in the field of SF</w:t>
      </w:r>
      <w:r w:rsidRPr="00705EEF">
        <w:rPr>
          <w:rFonts w:eastAsia="Calibri" w:cs="Times New Roman"/>
          <w:noProof/>
          <w:szCs w:val="24"/>
          <w:vertAlign w:val="subscript"/>
        </w:rPr>
        <w:t>6</w:t>
      </w:r>
      <w:r w:rsidRPr="00705EEF">
        <w:rPr>
          <w:rFonts w:eastAsia="Calibri" w:cs="Times New Roman"/>
          <w:noProof/>
          <w:szCs w:val="24"/>
        </w:rPr>
        <w:t xml:space="preserve"> alternative technologies. A concern expressed was that non-EU markets were not mature enough to absorb alternative technologies, so that EU companies would not be able to </w:t>
      </w:r>
      <w:r w:rsidR="0097474D">
        <w:rPr>
          <w:rFonts w:eastAsia="Calibri" w:cs="Times New Roman"/>
          <w:noProof/>
          <w:szCs w:val="24"/>
        </w:rPr>
        <w:t>market</w:t>
      </w:r>
      <w:r w:rsidRPr="00705EEF">
        <w:rPr>
          <w:rFonts w:eastAsia="Calibri" w:cs="Times New Roman"/>
          <w:noProof/>
          <w:szCs w:val="24"/>
        </w:rPr>
        <w:t xml:space="preserve"> their </w:t>
      </w:r>
      <w:r w:rsidR="0097474D">
        <w:rPr>
          <w:rFonts w:eastAsia="Calibri" w:cs="Times New Roman"/>
          <w:noProof/>
          <w:szCs w:val="24"/>
        </w:rPr>
        <w:t>innovative equipment</w:t>
      </w:r>
      <w:r w:rsidRPr="00705EEF">
        <w:rPr>
          <w:rFonts w:eastAsia="Calibri" w:cs="Times New Roman"/>
          <w:noProof/>
          <w:szCs w:val="24"/>
        </w:rPr>
        <w:t xml:space="preserve"> and may have to design different products for different markets. There were differing opinions on the impact on SMEs, as some expected higher staff and training costs due to the need for skilled personnel, while others increased business opportunities for providers of green technologies. </w:t>
      </w:r>
    </w:p>
    <w:p w14:paraId="0B30A133" w14:textId="1FF17951" w:rsidR="000B1AB2" w:rsidRPr="00705EEF" w:rsidRDefault="000B1AB2" w:rsidP="00F120D0">
      <w:pPr>
        <w:spacing w:after="160"/>
        <w:rPr>
          <w:rFonts w:eastAsia="Calibri" w:cs="Times New Roman"/>
          <w:noProof/>
          <w:szCs w:val="24"/>
        </w:rPr>
      </w:pPr>
      <w:r w:rsidRPr="00705EEF">
        <w:rPr>
          <w:rFonts w:eastAsia="Calibri" w:cs="Times New Roman"/>
          <w:noProof/>
          <w:szCs w:val="24"/>
        </w:rPr>
        <w:t xml:space="preserve">Concerning increased HFC phase-down ambition, one </w:t>
      </w:r>
      <w:r w:rsidR="00FF082D">
        <w:rPr>
          <w:rFonts w:eastAsia="Calibri" w:cs="Times New Roman"/>
          <w:noProof/>
          <w:szCs w:val="24"/>
        </w:rPr>
        <w:t>end-user</w:t>
      </w:r>
      <w:r w:rsidRPr="00705EEF">
        <w:rPr>
          <w:rFonts w:eastAsia="Calibri" w:cs="Times New Roman"/>
          <w:noProof/>
          <w:szCs w:val="24"/>
        </w:rPr>
        <w:t xml:space="preserve"> association would expect significant additional costs. </w:t>
      </w:r>
      <w:r w:rsidR="007566A9">
        <w:rPr>
          <w:rFonts w:eastAsia="Calibri" w:cs="Times New Roman"/>
          <w:noProof/>
          <w:szCs w:val="24"/>
        </w:rPr>
        <w:t>T</w:t>
      </w:r>
      <w:r w:rsidRPr="00705EEF">
        <w:rPr>
          <w:rFonts w:eastAsia="Calibri" w:cs="Times New Roman"/>
          <w:noProof/>
          <w:szCs w:val="24"/>
        </w:rPr>
        <w:t xml:space="preserve">he stakeholder believed </w:t>
      </w:r>
      <w:r w:rsidR="007566A9">
        <w:rPr>
          <w:rFonts w:eastAsia="Calibri" w:cs="Times New Roman"/>
          <w:noProof/>
          <w:szCs w:val="24"/>
        </w:rPr>
        <w:t xml:space="preserve">that </w:t>
      </w:r>
      <w:r w:rsidRPr="00705EEF">
        <w:rPr>
          <w:rFonts w:eastAsia="Calibri" w:cs="Times New Roman"/>
          <w:noProof/>
          <w:szCs w:val="24"/>
        </w:rPr>
        <w:t xml:space="preserve">this could </w:t>
      </w:r>
      <w:r w:rsidR="007566A9">
        <w:rPr>
          <w:rFonts w:eastAsia="Calibri" w:cs="Times New Roman"/>
          <w:noProof/>
          <w:szCs w:val="24"/>
        </w:rPr>
        <w:t>i</w:t>
      </w:r>
      <w:r w:rsidR="007566A9" w:rsidRPr="00705EEF">
        <w:rPr>
          <w:rFonts w:eastAsia="Calibri" w:cs="Times New Roman"/>
          <w:noProof/>
          <w:szCs w:val="24"/>
        </w:rPr>
        <w:t xml:space="preserve">n turn </w:t>
      </w:r>
      <w:r w:rsidRPr="00705EEF">
        <w:rPr>
          <w:rFonts w:eastAsia="Calibri" w:cs="Times New Roman"/>
          <w:noProof/>
          <w:szCs w:val="24"/>
        </w:rPr>
        <w:t xml:space="preserve">lead to </w:t>
      </w:r>
      <w:r w:rsidR="00FF082D">
        <w:rPr>
          <w:rFonts w:eastAsia="Calibri" w:cs="Times New Roman"/>
          <w:noProof/>
          <w:szCs w:val="24"/>
        </w:rPr>
        <w:t>end-user</w:t>
      </w:r>
      <w:r w:rsidR="00C60667">
        <w:rPr>
          <w:rFonts w:eastAsia="Calibri" w:cs="Times New Roman"/>
          <w:noProof/>
          <w:szCs w:val="24"/>
        </w:rPr>
        <w:t>s</w:t>
      </w:r>
      <w:r w:rsidRPr="00705EEF">
        <w:rPr>
          <w:rFonts w:eastAsia="Calibri" w:cs="Times New Roman"/>
          <w:noProof/>
          <w:szCs w:val="24"/>
        </w:rPr>
        <w:t xml:space="preserve"> taking additional risks with regards to technical choices, switching to alternative technologies which may not be sufficiently mature. It is also generally expected that there would be a price increase associated with the development of new solutions, alongside an eventual increase in the general energy consumption of the facilities. It was suggested that any additional prohibitions and restrictions should consider not only the GWP but evolve to an analysis based on the Total Equivalent Warming Impact (TEWI) or possibly the Life Cycle Climate Performance (LCCP). </w:t>
      </w:r>
    </w:p>
    <w:p w14:paraId="63A4DBF8" w14:textId="3D269E78" w:rsidR="000B1AB2" w:rsidRPr="00705EEF" w:rsidRDefault="000B1AB2" w:rsidP="00F120D0">
      <w:pPr>
        <w:spacing w:after="160"/>
        <w:rPr>
          <w:rFonts w:eastAsia="Calibri" w:cs="Times New Roman"/>
          <w:noProof/>
          <w:szCs w:val="24"/>
        </w:rPr>
      </w:pPr>
      <w:r w:rsidRPr="00705EEF">
        <w:rPr>
          <w:rFonts w:eastAsia="Calibri" w:cs="Times New Roman"/>
          <w:noProof/>
          <w:szCs w:val="24"/>
        </w:rPr>
        <w:t xml:space="preserve">For training of technicians, additional costs to industry, especially for SMEs, were highlighted by individual companies and also include the required absence from work to undergo training.  </w:t>
      </w:r>
    </w:p>
    <w:p w14:paraId="4697AD02" w14:textId="77777777" w:rsidR="000B1AB2" w:rsidRPr="00705EEF" w:rsidRDefault="000B1AB2" w:rsidP="00F120D0">
      <w:pPr>
        <w:spacing w:after="160"/>
        <w:rPr>
          <w:rFonts w:eastAsia="Calibri" w:cs="Times New Roman"/>
          <w:noProof/>
          <w:szCs w:val="24"/>
        </w:rPr>
      </w:pPr>
      <w:r w:rsidRPr="00705EEF">
        <w:rPr>
          <w:rFonts w:eastAsia="Calibri" w:cs="Times New Roman"/>
          <w:noProof/>
          <w:szCs w:val="24"/>
        </w:rPr>
        <w:t xml:space="preserve">Industries currently covered by exemptions pointed out cost increases in case these exemptions would not be maintained. As for semiconductor manufacture, concerns related to the competitiveness of the EU market were stated. </w:t>
      </w:r>
    </w:p>
    <w:p w14:paraId="43D4FF7E" w14:textId="3BD57FE7" w:rsidR="000B1AB2" w:rsidRPr="00353856" w:rsidRDefault="00361D69" w:rsidP="0017603A">
      <w:pPr>
        <w:pStyle w:val="ListParagraph"/>
        <w:numPr>
          <w:ilvl w:val="3"/>
          <w:numId w:val="110"/>
        </w:numPr>
        <w:spacing w:before="120" w:after="120"/>
        <w:ind w:right="-23"/>
        <w:outlineLvl w:val="3"/>
        <w:rPr>
          <w:rFonts w:eastAsia="Times New Roman" w:cs="Times New Roman"/>
          <w:b/>
          <w:noProof/>
          <w:szCs w:val="24"/>
          <w:lang w:eastAsia="en-GB"/>
        </w:rPr>
      </w:pPr>
      <w:r>
        <w:rPr>
          <w:rFonts w:eastAsia="Times New Roman" w:cs="Times New Roman"/>
          <w:b/>
          <w:noProof/>
          <w:szCs w:val="24"/>
          <w:lang w:eastAsia="en-GB"/>
        </w:rPr>
        <w:t xml:space="preserve"> </w:t>
      </w:r>
      <w:r w:rsidR="000B1AB2" w:rsidRPr="00353856">
        <w:rPr>
          <w:rFonts w:eastAsia="Times New Roman" w:cs="Times New Roman"/>
          <w:b/>
          <w:noProof/>
          <w:szCs w:val="24"/>
          <w:lang w:eastAsia="en-GB"/>
        </w:rPr>
        <w:t xml:space="preserve">Social impacts </w:t>
      </w:r>
    </w:p>
    <w:p w14:paraId="5D5A4F7A" w14:textId="72AD653B" w:rsidR="000B1AB2" w:rsidRPr="00705EEF" w:rsidRDefault="000B1AB2" w:rsidP="00F120D0">
      <w:pPr>
        <w:spacing w:after="160"/>
        <w:rPr>
          <w:rFonts w:eastAsia="Calibri" w:cs="Times New Roman"/>
          <w:noProof/>
          <w:szCs w:val="24"/>
        </w:rPr>
      </w:pPr>
      <w:r w:rsidRPr="00705EEF">
        <w:rPr>
          <w:rFonts w:eastAsia="Calibri" w:cs="Times New Roman"/>
          <w:noProof/>
          <w:szCs w:val="24"/>
        </w:rPr>
        <w:t xml:space="preserve">Stakeholders generally observed that any social effects of proposed measures would be less significant than the potential economic and environmental effects. Some noted the potential for impacts on public health and safety, although </w:t>
      </w:r>
      <w:r w:rsidR="0060751E">
        <w:rPr>
          <w:rFonts w:eastAsia="Calibri" w:cs="Times New Roman"/>
          <w:noProof/>
          <w:szCs w:val="24"/>
        </w:rPr>
        <w:t>it</w:t>
      </w:r>
      <w:r w:rsidRPr="00705EEF">
        <w:rPr>
          <w:rFonts w:eastAsia="Calibri" w:cs="Times New Roman"/>
          <w:noProof/>
          <w:szCs w:val="24"/>
        </w:rPr>
        <w:t xml:space="preserve"> was deemed to be small.</w:t>
      </w:r>
    </w:p>
    <w:p w14:paraId="6CA7D8D4" w14:textId="316FEFB2" w:rsidR="000B1AB2" w:rsidRPr="00705EEF" w:rsidRDefault="000B1AB2" w:rsidP="00F120D0">
      <w:pPr>
        <w:spacing w:after="160"/>
        <w:rPr>
          <w:rFonts w:eastAsia="Calibri" w:cs="Times New Roman"/>
          <w:noProof/>
          <w:szCs w:val="24"/>
        </w:rPr>
      </w:pPr>
      <w:r w:rsidRPr="00705EEF">
        <w:rPr>
          <w:rFonts w:eastAsia="Calibri" w:cs="Times New Roman"/>
          <w:noProof/>
          <w:szCs w:val="24"/>
        </w:rPr>
        <w:t xml:space="preserve">Several industry stakeholders pointed out increased safety risks related to flammable refrigerant use during installation, service and at end-of life. This risk was perceived to be elevated due to a lack of technician certification, which could also encourage </w:t>
      </w:r>
      <w:r w:rsidR="007566A9">
        <w:rPr>
          <w:rFonts w:eastAsia="Calibri" w:cs="Times New Roman"/>
          <w:noProof/>
          <w:szCs w:val="24"/>
        </w:rPr>
        <w:t>d</w:t>
      </w:r>
      <w:r w:rsidRPr="00705EEF">
        <w:rPr>
          <w:rFonts w:eastAsia="Calibri" w:cs="Times New Roman"/>
          <w:noProof/>
          <w:szCs w:val="24"/>
        </w:rPr>
        <w:t xml:space="preserve">o-it-yourself installations by unqualified individuals. </w:t>
      </w:r>
    </w:p>
    <w:p w14:paraId="7E36313A" w14:textId="06E547AE" w:rsidR="000B1AB2" w:rsidRPr="00705EEF" w:rsidRDefault="000B1AB2" w:rsidP="00F120D0">
      <w:pPr>
        <w:spacing w:after="160"/>
        <w:rPr>
          <w:rFonts w:eastAsia="Calibri" w:cs="Times New Roman"/>
          <w:noProof/>
          <w:szCs w:val="24"/>
        </w:rPr>
      </w:pPr>
      <w:r w:rsidRPr="00705EEF">
        <w:rPr>
          <w:rFonts w:eastAsia="Calibri" w:cs="Times New Roman"/>
          <w:noProof/>
          <w:szCs w:val="24"/>
        </w:rPr>
        <w:t xml:space="preserve">Concerning employment, </w:t>
      </w:r>
      <w:r w:rsidR="007566A9">
        <w:rPr>
          <w:rFonts w:eastAsia="Calibri" w:cs="Times New Roman"/>
          <w:noProof/>
          <w:szCs w:val="24"/>
        </w:rPr>
        <w:t>one</w:t>
      </w:r>
      <w:r w:rsidRPr="00705EEF">
        <w:rPr>
          <w:rFonts w:eastAsia="Calibri" w:cs="Times New Roman"/>
          <w:noProof/>
          <w:szCs w:val="24"/>
        </w:rPr>
        <w:t xml:space="preserve"> industry association related to natural alternatives to F-gases highlighted the opportunities for market growth within the EU in manufacturing, design, R&amp;D, customer service, marketing etc. but also regarding exports to the North American market. Without the move to natural refrigerants, the EU market would face significant competition from outside the EU, in particular from Southeast Asia. </w:t>
      </w:r>
    </w:p>
    <w:p w14:paraId="79F60DFC" w14:textId="77777777" w:rsidR="009E382A" w:rsidRDefault="009E382A">
      <w:pPr>
        <w:jc w:val="left"/>
        <w:rPr>
          <w:rFonts w:eastAsia="Times New Roman" w:cs="Times New Roman"/>
          <w:b/>
          <w:noProof/>
          <w:sz w:val="32"/>
          <w:szCs w:val="20"/>
        </w:rPr>
      </w:pPr>
      <w:r>
        <w:rPr>
          <w:rFonts w:eastAsia="Times New Roman" w:cs="Times New Roman"/>
          <w:b/>
          <w:noProof/>
          <w:sz w:val="32"/>
          <w:szCs w:val="20"/>
        </w:rPr>
        <w:br w:type="page"/>
      </w:r>
    </w:p>
    <w:p w14:paraId="6F838391" w14:textId="77777777" w:rsidR="006236AE" w:rsidRPr="00286692" w:rsidRDefault="3982CBDC" w:rsidP="0017603A">
      <w:pPr>
        <w:pStyle w:val="AppendixHeadingLevel1"/>
        <w:numPr>
          <w:ilvl w:val="0"/>
          <w:numId w:val="110"/>
        </w:numPr>
        <w:rPr>
          <w:noProof/>
        </w:rPr>
      </w:pPr>
      <w:bookmarkStart w:id="464" w:name="_Toc88571939"/>
      <w:bookmarkStart w:id="465" w:name="_Toc94629532"/>
      <w:bookmarkStart w:id="466" w:name="_Ref98326626"/>
      <w:bookmarkStart w:id="467" w:name="_Toc98857776"/>
      <w:r w:rsidRPr="00286692">
        <w:rPr>
          <w:noProof/>
        </w:rPr>
        <w:t>Who is affected and how?</w:t>
      </w:r>
      <w:bookmarkEnd w:id="448"/>
      <w:bookmarkEnd w:id="449"/>
      <w:bookmarkEnd w:id="464"/>
      <w:bookmarkEnd w:id="465"/>
      <w:bookmarkEnd w:id="466"/>
      <w:bookmarkEnd w:id="467"/>
    </w:p>
    <w:p w14:paraId="235B37CE" w14:textId="77777777" w:rsidR="006236AE" w:rsidRPr="00634B0C" w:rsidRDefault="3982CBDC" w:rsidP="0017603A">
      <w:pPr>
        <w:pStyle w:val="AppendixHeadingLevel2"/>
        <w:numPr>
          <w:ilvl w:val="1"/>
          <w:numId w:val="110"/>
        </w:numPr>
        <w:rPr>
          <w:noProof/>
        </w:rPr>
      </w:pPr>
      <w:bookmarkStart w:id="468" w:name="_Toc71559439"/>
      <w:bookmarkStart w:id="469" w:name="_Toc71561876"/>
      <w:r w:rsidRPr="00634B0C">
        <w:rPr>
          <w:noProof/>
        </w:rPr>
        <w:t>Practical implications of the initiative</w:t>
      </w:r>
      <w:bookmarkEnd w:id="468"/>
      <w:bookmarkEnd w:id="469"/>
    </w:p>
    <w:p w14:paraId="6A7A4256" w14:textId="413B6F90" w:rsidR="00634B0C" w:rsidRDefault="000064A1" w:rsidP="00634B0C">
      <w:pPr>
        <w:rPr>
          <w:noProof/>
        </w:rPr>
      </w:pPr>
      <w:r w:rsidRPr="000064A1">
        <w:rPr>
          <w:noProof/>
        </w:rPr>
        <w:t xml:space="preserve">A number of different industry stakeholders are affected by </w:t>
      </w:r>
      <w:r>
        <w:rPr>
          <w:noProof/>
        </w:rPr>
        <w:t xml:space="preserve">changes to </w:t>
      </w:r>
      <w:r w:rsidRPr="000064A1">
        <w:rPr>
          <w:noProof/>
        </w:rPr>
        <w:t>the Regulation.</w:t>
      </w:r>
    </w:p>
    <w:p w14:paraId="7E37C085" w14:textId="713BD721" w:rsidR="00C41CA1" w:rsidRDefault="000064A1" w:rsidP="00902851">
      <w:pPr>
        <w:pStyle w:val="ListParagraph"/>
        <w:numPr>
          <w:ilvl w:val="5"/>
          <w:numId w:val="3"/>
        </w:numPr>
        <w:spacing w:after="120"/>
        <w:ind w:left="568" w:hanging="284"/>
        <w:contextualSpacing w:val="0"/>
        <w:rPr>
          <w:noProof/>
        </w:rPr>
      </w:pPr>
      <w:r w:rsidRPr="00C41CA1">
        <w:rPr>
          <w:b/>
          <w:noProof/>
        </w:rPr>
        <w:t xml:space="preserve">EU </w:t>
      </w:r>
      <w:r w:rsidR="00C41CA1">
        <w:rPr>
          <w:b/>
          <w:noProof/>
        </w:rPr>
        <w:t xml:space="preserve">bulk </w:t>
      </w:r>
      <w:r w:rsidRPr="00C41CA1">
        <w:rPr>
          <w:b/>
          <w:noProof/>
        </w:rPr>
        <w:t>gas producers</w:t>
      </w:r>
      <w:r w:rsidR="00C41CA1" w:rsidRPr="00C41CA1">
        <w:rPr>
          <w:b/>
          <w:noProof/>
        </w:rPr>
        <w:t xml:space="preserve"> and gas importers</w:t>
      </w:r>
      <w:r w:rsidR="00CE378A">
        <w:rPr>
          <w:noProof/>
        </w:rPr>
        <w:t xml:space="preserve"> </w:t>
      </w:r>
      <w:r w:rsidR="00C41CA1">
        <w:rPr>
          <w:noProof/>
        </w:rPr>
        <w:t>are</w:t>
      </w:r>
      <w:r w:rsidR="00902851">
        <w:rPr>
          <w:noProof/>
        </w:rPr>
        <w:t>, as quota holders,</w:t>
      </w:r>
      <w:r w:rsidR="00C41CA1">
        <w:rPr>
          <w:noProof/>
        </w:rPr>
        <w:t xml:space="preserve"> affected by changes to the quota system (ambition levels, quota price) as well as </w:t>
      </w:r>
      <w:r w:rsidR="00CB59F7">
        <w:rPr>
          <w:noProof/>
        </w:rPr>
        <w:t>stricter</w:t>
      </w:r>
      <w:r w:rsidR="00C41CA1">
        <w:rPr>
          <w:noProof/>
        </w:rPr>
        <w:t xml:space="preserve"> measures on economic operators to achieve better custom controls and enforcement. Compliant companies are pushing strongly for the latter even though these measures would increase their burden, since they feel disadvantaged towards entities involved in illegal activities such as imports without quota.</w:t>
      </w:r>
      <w:r w:rsidR="00902851">
        <w:rPr>
          <w:noProof/>
        </w:rPr>
        <w:t xml:space="preserve"> Gas producers and importers are also affected by the prohibitions reducing the use of F-gases, but have business opportunities in importing the higher-value climate-f</w:t>
      </w:r>
      <w:r w:rsidR="00621940">
        <w:rPr>
          <w:noProof/>
        </w:rPr>
        <w:t>riendly alternatives. T</w:t>
      </w:r>
      <w:r w:rsidR="00902851">
        <w:rPr>
          <w:noProof/>
        </w:rPr>
        <w:t>hey are affected by changes to the reporting and verification measures, but would also profit from many of the efficiency measures made in that area.</w:t>
      </w:r>
    </w:p>
    <w:p w14:paraId="3A644B41" w14:textId="4F0F29DB" w:rsidR="00C41CA1" w:rsidRPr="00902851" w:rsidRDefault="00C41CA1" w:rsidP="00575ABC">
      <w:pPr>
        <w:pStyle w:val="ListParagraph"/>
        <w:numPr>
          <w:ilvl w:val="5"/>
          <w:numId w:val="3"/>
        </w:numPr>
        <w:spacing w:after="120"/>
        <w:ind w:left="568" w:hanging="284"/>
        <w:contextualSpacing w:val="0"/>
        <w:rPr>
          <w:b/>
          <w:noProof/>
        </w:rPr>
      </w:pPr>
      <w:r w:rsidRPr="00902851">
        <w:rPr>
          <w:b/>
          <w:noProof/>
        </w:rPr>
        <w:t>G</w:t>
      </w:r>
      <w:r w:rsidR="00CE378A">
        <w:rPr>
          <w:b/>
          <w:noProof/>
        </w:rPr>
        <w:t xml:space="preserve">as distributors </w:t>
      </w:r>
      <w:r w:rsidR="00902851" w:rsidRPr="00902851">
        <w:rPr>
          <w:noProof/>
        </w:rPr>
        <w:t>are affected by higher gas prices (due to the quota system)</w:t>
      </w:r>
      <w:r w:rsidR="00902851">
        <w:rPr>
          <w:noProof/>
        </w:rPr>
        <w:t xml:space="preserve">, but the last six years have shown that the full price increase is </w:t>
      </w:r>
      <w:r w:rsidR="00575ABC">
        <w:rPr>
          <w:noProof/>
        </w:rPr>
        <w:t>passed</w:t>
      </w:r>
      <w:r w:rsidR="00902851">
        <w:rPr>
          <w:noProof/>
        </w:rPr>
        <w:t xml:space="preserve"> on to their buyers.  Gas distributors will also increasingly use more climate-friendly gases</w:t>
      </w:r>
      <w:r w:rsidR="00CE378A">
        <w:rPr>
          <w:noProof/>
        </w:rPr>
        <w:t xml:space="preserve"> as a result of the quota system and the prohibitions</w:t>
      </w:r>
      <w:r w:rsidR="00902851">
        <w:rPr>
          <w:noProof/>
        </w:rPr>
        <w:t xml:space="preserve">. Today’s best practice of handling F-gases is </w:t>
      </w:r>
      <w:r w:rsidR="00E241D6">
        <w:rPr>
          <w:noProof/>
        </w:rPr>
        <w:t xml:space="preserve">also </w:t>
      </w:r>
      <w:r w:rsidR="00902851">
        <w:rPr>
          <w:noProof/>
        </w:rPr>
        <w:t xml:space="preserve">reinforced for distributors </w:t>
      </w:r>
      <w:r w:rsidR="00E241D6">
        <w:rPr>
          <w:noProof/>
        </w:rPr>
        <w:t xml:space="preserve">with </w:t>
      </w:r>
      <w:r w:rsidR="00902851">
        <w:rPr>
          <w:noProof/>
        </w:rPr>
        <w:t xml:space="preserve">the need to reduce </w:t>
      </w:r>
      <w:r w:rsidR="0061381C">
        <w:rPr>
          <w:noProof/>
        </w:rPr>
        <w:t>emis</w:t>
      </w:r>
      <w:r w:rsidR="00902851">
        <w:rPr>
          <w:noProof/>
        </w:rPr>
        <w:t>s</w:t>
      </w:r>
      <w:r w:rsidR="0061381C">
        <w:rPr>
          <w:noProof/>
        </w:rPr>
        <w:t>i</w:t>
      </w:r>
      <w:r w:rsidR="00902851">
        <w:rPr>
          <w:noProof/>
        </w:rPr>
        <w:t>ons during storage, transfer and transport.</w:t>
      </w:r>
    </w:p>
    <w:p w14:paraId="23CEADFC" w14:textId="33EFFC9D" w:rsidR="00C41CA1" w:rsidRPr="00CE378A" w:rsidRDefault="00C41CA1" w:rsidP="00C050AF">
      <w:pPr>
        <w:pStyle w:val="ListParagraph"/>
        <w:numPr>
          <w:ilvl w:val="5"/>
          <w:numId w:val="3"/>
        </w:numPr>
        <w:spacing w:after="120"/>
        <w:ind w:left="568" w:hanging="284"/>
        <w:contextualSpacing w:val="0"/>
        <w:rPr>
          <w:b/>
          <w:noProof/>
        </w:rPr>
      </w:pPr>
      <w:r w:rsidRPr="00CE378A">
        <w:rPr>
          <w:b/>
          <w:noProof/>
        </w:rPr>
        <w:t>EU equipment manufacturers and im</w:t>
      </w:r>
      <w:r w:rsidR="00CE378A">
        <w:rPr>
          <w:b/>
          <w:noProof/>
        </w:rPr>
        <w:t xml:space="preserve">porters </w:t>
      </w:r>
      <w:r w:rsidR="00CE378A">
        <w:rPr>
          <w:noProof/>
        </w:rPr>
        <w:t>are affected by the ambition of the quota system, as gases inside this equipment must be covered by quota, and prohibitions leading to the use of more friendly gases inside the equipment. The modelling has shown that equipment manufactur</w:t>
      </w:r>
      <w:r w:rsidR="00E241D6">
        <w:rPr>
          <w:noProof/>
        </w:rPr>
        <w:t>ing</w:t>
      </w:r>
      <w:r w:rsidR="00CE378A">
        <w:rPr>
          <w:noProof/>
        </w:rPr>
        <w:t xml:space="preserve"> and </w:t>
      </w:r>
      <w:r w:rsidR="000276B8">
        <w:rPr>
          <w:noProof/>
        </w:rPr>
        <w:t xml:space="preserve">related sectors </w:t>
      </w:r>
      <w:r w:rsidR="00CE378A">
        <w:rPr>
          <w:noProof/>
        </w:rPr>
        <w:t xml:space="preserve">will profit from the policy-driven technology conversion. </w:t>
      </w:r>
      <w:r w:rsidR="00575ABC">
        <w:rPr>
          <w:noProof/>
        </w:rPr>
        <w:t xml:space="preserve">Equipment importers will </w:t>
      </w:r>
      <w:r w:rsidR="00E241D6">
        <w:rPr>
          <w:noProof/>
        </w:rPr>
        <w:t xml:space="preserve">benefit </w:t>
      </w:r>
      <w:r w:rsidR="00575ABC">
        <w:rPr>
          <w:noProof/>
        </w:rPr>
        <w:t>from some of the efficiency measures on the reporting and verification rules, in particular a relaxation of the minimum threshold for independent verification.</w:t>
      </w:r>
    </w:p>
    <w:p w14:paraId="50EF727E" w14:textId="5708ADFB" w:rsidR="00C41CA1" w:rsidRDefault="00C41CA1" w:rsidP="00C050AF">
      <w:pPr>
        <w:pStyle w:val="ListParagraph"/>
        <w:numPr>
          <w:ilvl w:val="5"/>
          <w:numId w:val="3"/>
        </w:numPr>
        <w:spacing w:after="120"/>
        <w:ind w:left="568" w:hanging="284"/>
        <w:contextualSpacing w:val="0"/>
        <w:rPr>
          <w:noProof/>
        </w:rPr>
      </w:pPr>
      <w:r w:rsidRPr="00575ABC">
        <w:rPr>
          <w:b/>
          <w:noProof/>
        </w:rPr>
        <w:t>Gas and equipment exporters</w:t>
      </w:r>
      <w:r>
        <w:rPr>
          <w:noProof/>
        </w:rPr>
        <w:t>.</w:t>
      </w:r>
      <w:r w:rsidR="00575ABC">
        <w:rPr>
          <w:noProof/>
        </w:rPr>
        <w:t xml:space="preserve"> There are no direct restrictions on exports until 2028 when trade with Parties that have not ratified </w:t>
      </w:r>
      <w:r w:rsidR="00B63E38">
        <w:rPr>
          <w:noProof/>
        </w:rPr>
        <w:t xml:space="preserve">the </w:t>
      </w:r>
      <w:r w:rsidR="00575ABC">
        <w:rPr>
          <w:noProof/>
        </w:rPr>
        <w:t xml:space="preserve">Kigali </w:t>
      </w:r>
      <w:r w:rsidR="00B63E38">
        <w:rPr>
          <w:noProof/>
        </w:rPr>
        <w:t xml:space="preserve">Amendment </w:t>
      </w:r>
      <w:r w:rsidR="00575ABC">
        <w:rPr>
          <w:noProof/>
        </w:rPr>
        <w:t xml:space="preserve">will be prohibited. HFCs filled into products and equipment in the Union may be more expensive than on the world market. In order to be able to provide a quota balance in real time in the future via CERTEX/Single Environment for Customs, exporters will be asked to provide the CO2e of HFCs exported in equipment in their export declaration. Exporters are mostly unaffected by the changes to the reporting rules, except for a few substances added that could also be exported in small amounts. </w:t>
      </w:r>
    </w:p>
    <w:p w14:paraId="28479818" w14:textId="4D85010B" w:rsidR="000064A1" w:rsidRDefault="00C050AF" w:rsidP="00CD71D5">
      <w:pPr>
        <w:pStyle w:val="ListParagraph"/>
        <w:numPr>
          <w:ilvl w:val="5"/>
          <w:numId w:val="3"/>
        </w:numPr>
        <w:spacing w:after="120"/>
        <w:ind w:left="568" w:hanging="284"/>
        <w:contextualSpacing w:val="0"/>
        <w:rPr>
          <w:noProof/>
        </w:rPr>
      </w:pPr>
      <w:r>
        <w:rPr>
          <w:noProof/>
        </w:rPr>
        <w:t xml:space="preserve"> </w:t>
      </w:r>
      <w:r w:rsidR="00C41CA1" w:rsidRPr="00C050AF">
        <w:rPr>
          <w:b/>
          <w:noProof/>
        </w:rPr>
        <w:t>Equipment and product operators (end users)</w:t>
      </w:r>
      <w:r w:rsidR="00C41CA1">
        <w:rPr>
          <w:noProof/>
        </w:rPr>
        <w:t>.</w:t>
      </w:r>
      <w:r w:rsidR="000064A1">
        <w:rPr>
          <w:noProof/>
        </w:rPr>
        <w:t xml:space="preserve"> </w:t>
      </w:r>
      <w:r>
        <w:rPr>
          <w:noProof/>
        </w:rPr>
        <w:t xml:space="preserve">A number of different products and equipment use F-gases in addition to RAC appliances. The most relevant </w:t>
      </w:r>
      <w:r w:rsidR="00CD71D5">
        <w:rPr>
          <w:noProof/>
        </w:rPr>
        <w:t xml:space="preserve">of the former </w:t>
      </w:r>
      <w:r>
        <w:rPr>
          <w:noProof/>
        </w:rPr>
        <w:t xml:space="preserve">in terms of remaining emissions are switchgear (electricity providers, utilities and </w:t>
      </w:r>
      <w:r w:rsidR="005D374C">
        <w:rPr>
          <w:noProof/>
        </w:rPr>
        <w:t>network operators</w:t>
      </w:r>
      <w:r w:rsidR="00CD71D5">
        <w:rPr>
          <w:noProof/>
        </w:rPr>
        <w:t xml:space="preserve">) </w:t>
      </w:r>
      <w:r>
        <w:rPr>
          <w:noProof/>
        </w:rPr>
        <w:t>and MDIs (patients).</w:t>
      </w:r>
      <w:r w:rsidR="00CD71D5">
        <w:rPr>
          <w:noProof/>
        </w:rPr>
        <w:t xml:space="preserve"> End users experience higher prices due to the quota system or replacement of the gases (technology conversion). These costs are very low compared to baseline costs in most cases and are distributed over a large number of end users. In addition </w:t>
      </w:r>
      <w:r w:rsidR="00FF082D">
        <w:rPr>
          <w:noProof/>
        </w:rPr>
        <w:t>end-user</w:t>
      </w:r>
      <w:r w:rsidR="00CD71D5">
        <w:rPr>
          <w:noProof/>
        </w:rPr>
        <w:t xml:space="preserve">s often profit from savings in running costs due to e.g. energy efficiencies (RAC sector) so that abatement costs are negative in the long run (i.e. cost savings). </w:t>
      </w:r>
    </w:p>
    <w:p w14:paraId="5E3C5E7E" w14:textId="29D22986" w:rsidR="00C41CA1" w:rsidRDefault="00C41CA1" w:rsidP="003E4738">
      <w:pPr>
        <w:pStyle w:val="ListParagraph"/>
        <w:numPr>
          <w:ilvl w:val="5"/>
          <w:numId w:val="3"/>
        </w:numPr>
        <w:spacing w:after="120"/>
        <w:ind w:left="568" w:hanging="284"/>
        <w:contextualSpacing w:val="0"/>
        <w:rPr>
          <w:noProof/>
        </w:rPr>
      </w:pPr>
      <w:r w:rsidRPr="00CD71D5">
        <w:rPr>
          <w:b/>
          <w:noProof/>
        </w:rPr>
        <w:t>Service companies</w:t>
      </w:r>
      <w:r>
        <w:rPr>
          <w:noProof/>
        </w:rPr>
        <w:t xml:space="preserve">. </w:t>
      </w:r>
      <w:r w:rsidR="00CD71D5">
        <w:rPr>
          <w:noProof/>
        </w:rPr>
        <w:t>Service companies perform activities such as installation, maintenance, leak checking or decommissioning of equipment. Higher prices due to the quota system are routinely passed on to end users. Service companies and their personnel will be required to have more comprehensive certification to include skills on the climate-friendly alternatives and energy efficiency, which is something that their representatives have strongly advocated for.</w:t>
      </w:r>
    </w:p>
    <w:p w14:paraId="7DF83644" w14:textId="77777777" w:rsidR="00E7620D" w:rsidRPr="00E7620D" w:rsidRDefault="00E7620D" w:rsidP="00F120D0">
      <w:pPr>
        <w:pStyle w:val="ListParagraph"/>
        <w:numPr>
          <w:ilvl w:val="5"/>
          <w:numId w:val="3"/>
        </w:numPr>
        <w:ind w:left="567" w:hanging="283"/>
        <w:rPr>
          <w:b/>
          <w:noProof/>
        </w:rPr>
      </w:pPr>
      <w:r>
        <w:rPr>
          <w:b/>
          <w:noProof/>
        </w:rPr>
        <w:t>Gas r</w:t>
      </w:r>
      <w:r w:rsidRPr="00CD71D5">
        <w:rPr>
          <w:b/>
          <w:noProof/>
        </w:rPr>
        <w:t>eclamation and destruction companies</w:t>
      </w:r>
      <w:r>
        <w:rPr>
          <w:b/>
          <w:noProof/>
        </w:rPr>
        <w:t xml:space="preserve"> </w:t>
      </w:r>
      <w:r>
        <w:rPr>
          <w:noProof/>
        </w:rPr>
        <w:t xml:space="preserve">should have good business opportunities due to a stricter quota system and the incentive to reclaim gases (no quota needed!) or replace older equipment and the need to avoid emissions. Reclamation companies will be asked to report in the future, so that this monitoring gap can be closed. </w:t>
      </w:r>
    </w:p>
    <w:p w14:paraId="1FAB15C7" w14:textId="0BA205A1" w:rsidR="00C41CA1" w:rsidRPr="00E7620D" w:rsidRDefault="00C41CA1" w:rsidP="00B63E38">
      <w:pPr>
        <w:pStyle w:val="ListParagraph"/>
        <w:numPr>
          <w:ilvl w:val="5"/>
          <w:numId w:val="3"/>
        </w:numPr>
        <w:tabs>
          <w:tab w:val="left" w:pos="851"/>
        </w:tabs>
        <w:ind w:left="567" w:hanging="283"/>
        <w:rPr>
          <w:b/>
          <w:noProof/>
        </w:rPr>
      </w:pPr>
      <w:r w:rsidRPr="00E7620D">
        <w:rPr>
          <w:b/>
          <w:noProof/>
        </w:rPr>
        <w:t>Private persons</w:t>
      </w:r>
      <w:r>
        <w:rPr>
          <w:noProof/>
        </w:rPr>
        <w:t xml:space="preserve">. </w:t>
      </w:r>
      <w:r w:rsidR="00CD71D5">
        <w:rPr>
          <w:noProof/>
        </w:rPr>
        <w:t xml:space="preserve">Some private persons can be operators in the case of e.g. AC used in cars or homes and may experience higher gas prices in the future, but could benefit from lower operating costs in the long run. Home owners that are renovating houses may have to </w:t>
      </w:r>
      <w:r w:rsidR="00B63E38">
        <w:rPr>
          <w:noProof/>
        </w:rPr>
        <w:t xml:space="preserve">ensure </w:t>
      </w:r>
      <w:r w:rsidR="00CD71D5">
        <w:rPr>
          <w:noProof/>
        </w:rPr>
        <w:t xml:space="preserve">that old foams installed in their houses are appropriately treated to avoid losses of F-gases. Patients using MDIs will not experience any noteworthy cost </w:t>
      </w:r>
      <w:r w:rsidR="00CD71D5" w:rsidRPr="00CD71D5">
        <w:rPr>
          <w:noProof/>
        </w:rPr>
        <w:t>increases as the cost component of the HFC in the MDI is less than 1%.</w:t>
      </w:r>
      <w:r w:rsidR="00E7620D">
        <w:rPr>
          <w:noProof/>
        </w:rPr>
        <w:t xml:space="preserve"> Citiz</w:t>
      </w:r>
      <w:r w:rsidR="00B63E38">
        <w:rPr>
          <w:noProof/>
        </w:rPr>
        <w:t>e</w:t>
      </w:r>
      <w:r w:rsidR="00E7620D">
        <w:rPr>
          <w:noProof/>
        </w:rPr>
        <w:t xml:space="preserve">ns are of course benefiting from </w:t>
      </w:r>
      <w:r w:rsidR="00954F47">
        <w:rPr>
          <w:noProof/>
        </w:rPr>
        <w:t xml:space="preserve">fewer </w:t>
      </w:r>
      <w:r w:rsidR="00E7620D">
        <w:rPr>
          <w:noProof/>
        </w:rPr>
        <w:t>climate change effects as the emission of these highly warming greenhouse gases will be reduced.</w:t>
      </w:r>
    </w:p>
    <w:p w14:paraId="007C02F1" w14:textId="5ACDB7E7" w:rsidR="00E364FE" w:rsidRPr="003E4738" w:rsidRDefault="3982CBDC" w:rsidP="00353856">
      <w:pPr>
        <w:pStyle w:val="AppendixHeadingLevel2"/>
        <w:numPr>
          <w:ilvl w:val="1"/>
          <w:numId w:val="3"/>
        </w:numPr>
        <w:rPr>
          <w:rFonts w:eastAsiaTheme="minorEastAsia"/>
          <w:noProof/>
        </w:rPr>
      </w:pPr>
      <w:bookmarkStart w:id="470" w:name="_Toc71559440"/>
      <w:bookmarkStart w:id="471" w:name="_Toc71561877"/>
      <w:r>
        <w:rPr>
          <w:noProof/>
        </w:rPr>
        <w:t>Summary of costs and benefits</w:t>
      </w:r>
      <w:bookmarkEnd w:id="470"/>
      <w:bookmarkEnd w:id="471"/>
    </w:p>
    <w:p w14:paraId="2275CAA7" w14:textId="62059D15" w:rsidR="00E364FE" w:rsidRPr="009B5972" w:rsidRDefault="00E364FE" w:rsidP="00E364FE">
      <w:pPr>
        <w:pStyle w:val="Caption"/>
        <w:rPr>
          <w:rFonts w:ascii="Calibri" w:eastAsia="Calibri" w:hAnsi="Calibri"/>
          <w:b/>
          <w:noProof/>
        </w:rPr>
      </w:pPr>
      <w:r w:rsidRPr="009B5972">
        <w:rPr>
          <w:rFonts w:ascii="Calibri" w:hAnsi="Calibri"/>
          <w:b/>
          <w:noProof/>
        </w:rPr>
        <w:t xml:space="preserve">Table </w:t>
      </w:r>
      <w:r w:rsidRPr="009B5972">
        <w:rPr>
          <w:rFonts w:ascii="Calibri" w:hAnsi="Calibri"/>
          <w:b/>
          <w:noProof/>
        </w:rPr>
        <w:fldChar w:fldCharType="begin"/>
      </w:r>
      <w:r w:rsidRPr="009B5972">
        <w:rPr>
          <w:rFonts w:ascii="Calibri" w:hAnsi="Calibri"/>
          <w:b/>
          <w:noProof/>
        </w:rPr>
        <w:instrText xml:space="preserve"> SEQ Table \* ARABIC </w:instrText>
      </w:r>
      <w:r w:rsidRPr="009B5972">
        <w:rPr>
          <w:rFonts w:ascii="Calibri" w:hAnsi="Calibri"/>
          <w:b/>
          <w:noProof/>
        </w:rPr>
        <w:fldChar w:fldCharType="separate"/>
      </w:r>
      <w:r w:rsidR="00830261">
        <w:rPr>
          <w:rFonts w:ascii="Calibri" w:hAnsi="Calibri"/>
          <w:b/>
          <w:noProof/>
        </w:rPr>
        <w:t>13</w:t>
      </w:r>
      <w:r w:rsidRPr="009B5972">
        <w:rPr>
          <w:rFonts w:ascii="Calibri" w:hAnsi="Calibri"/>
          <w:b/>
          <w:noProof/>
        </w:rPr>
        <w:fldChar w:fldCharType="end"/>
      </w:r>
      <w:r w:rsidRPr="009B5972">
        <w:rPr>
          <w:rFonts w:ascii="Calibri" w:hAnsi="Calibri"/>
          <w:b/>
          <w:noProof/>
        </w:rPr>
        <w:t>.</w:t>
      </w:r>
      <w:r w:rsidRPr="009B5972">
        <w:rPr>
          <w:rFonts w:ascii="Calibri" w:hAnsi="Calibri"/>
          <w:noProof/>
        </w:rPr>
        <w:t xml:space="preserve"> </w:t>
      </w:r>
      <w:r w:rsidRPr="009B5972">
        <w:rPr>
          <w:rFonts w:ascii="Calibri" w:eastAsia="Calibri" w:hAnsi="Calibri"/>
          <w:noProof/>
        </w:rPr>
        <w:t>Summary of costs and benefits</w:t>
      </w:r>
      <w:r>
        <w:rPr>
          <w:rFonts w:ascii="Calibri" w:eastAsia="Calibri" w:hAnsi="Calibri"/>
          <w:noProof/>
        </w:rPr>
        <w:t xml:space="preserve"> of the preferred option (Option 2)</w:t>
      </w:r>
    </w:p>
    <w:tbl>
      <w:tblPr>
        <w:tblW w:w="8931"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881"/>
        <w:gridCol w:w="3937"/>
        <w:gridCol w:w="3113"/>
      </w:tblGrid>
      <w:tr w:rsidR="00E364FE" w:rsidRPr="0081406E" w14:paraId="4BDB2ACB" w14:textId="77777777" w:rsidTr="00E62BD3">
        <w:tc>
          <w:tcPr>
            <w:tcW w:w="8931" w:type="dxa"/>
            <w:gridSpan w:val="3"/>
            <w:tcBorders>
              <w:top w:val="double" w:sz="4" w:space="0" w:color="auto"/>
              <w:bottom w:val="single" w:sz="4" w:space="0" w:color="auto"/>
            </w:tcBorders>
            <w:shd w:val="clear" w:color="auto" w:fill="C6D9F1"/>
          </w:tcPr>
          <w:p w14:paraId="1BEC1B2C" w14:textId="77777777" w:rsidR="00E364FE" w:rsidRPr="0081406E" w:rsidRDefault="00E364FE" w:rsidP="00E62BD3">
            <w:pPr>
              <w:rPr>
                <w:rFonts w:ascii="Arial" w:eastAsia="Calibri" w:hAnsi="Arial" w:cs="Arial"/>
                <w:b/>
                <w:i/>
                <w:noProof/>
                <w:sz w:val="20"/>
              </w:rPr>
            </w:pPr>
            <w:r w:rsidRPr="0081406E">
              <w:rPr>
                <w:rFonts w:ascii="Arial" w:eastAsia="Calibri" w:hAnsi="Arial" w:cs="Arial"/>
                <w:b/>
                <w:i/>
                <w:noProof/>
                <w:sz w:val="20"/>
              </w:rPr>
              <w:t>I. Overview of Benefits (total for all provisions) – Preferred Option</w:t>
            </w:r>
          </w:p>
        </w:tc>
      </w:tr>
      <w:tr w:rsidR="00E364FE" w:rsidRPr="0081406E" w14:paraId="7491C979" w14:textId="77777777" w:rsidTr="00E62BD3">
        <w:tc>
          <w:tcPr>
            <w:tcW w:w="1881" w:type="dxa"/>
            <w:tcBorders>
              <w:top w:val="single" w:sz="4" w:space="0" w:color="auto"/>
            </w:tcBorders>
            <w:shd w:val="clear" w:color="auto" w:fill="C6D9F1"/>
          </w:tcPr>
          <w:p w14:paraId="32059659" w14:textId="77777777" w:rsidR="00E364FE" w:rsidRPr="0081406E" w:rsidRDefault="00E364FE" w:rsidP="00E62BD3">
            <w:pPr>
              <w:rPr>
                <w:rFonts w:ascii="Arial" w:eastAsia="Calibri" w:hAnsi="Arial" w:cs="Arial"/>
                <w:b/>
                <w:i/>
                <w:noProof/>
                <w:sz w:val="20"/>
              </w:rPr>
            </w:pPr>
            <w:r w:rsidRPr="0081406E">
              <w:rPr>
                <w:rFonts w:ascii="Arial" w:eastAsia="Calibri" w:hAnsi="Arial" w:cs="Arial"/>
                <w:b/>
                <w:i/>
                <w:noProof/>
                <w:sz w:val="20"/>
              </w:rPr>
              <w:t>Description</w:t>
            </w:r>
          </w:p>
        </w:tc>
        <w:tc>
          <w:tcPr>
            <w:tcW w:w="3937" w:type="dxa"/>
            <w:tcBorders>
              <w:top w:val="single" w:sz="4" w:space="0" w:color="auto"/>
            </w:tcBorders>
            <w:shd w:val="clear" w:color="auto" w:fill="C6D9F1"/>
          </w:tcPr>
          <w:p w14:paraId="1B659DB0" w14:textId="77777777" w:rsidR="00E364FE" w:rsidRPr="0081406E" w:rsidRDefault="00E364FE" w:rsidP="00E62BD3">
            <w:pPr>
              <w:rPr>
                <w:rFonts w:ascii="Arial" w:eastAsia="Calibri" w:hAnsi="Arial" w:cs="Arial"/>
                <w:b/>
                <w:i/>
                <w:noProof/>
                <w:sz w:val="20"/>
              </w:rPr>
            </w:pPr>
            <w:r w:rsidRPr="0081406E">
              <w:rPr>
                <w:rFonts w:ascii="Arial" w:eastAsia="Calibri" w:hAnsi="Arial" w:cs="Arial"/>
                <w:b/>
                <w:i/>
                <w:noProof/>
                <w:sz w:val="20"/>
              </w:rPr>
              <w:t>Amount</w:t>
            </w:r>
          </w:p>
        </w:tc>
        <w:tc>
          <w:tcPr>
            <w:tcW w:w="3113" w:type="dxa"/>
            <w:tcBorders>
              <w:top w:val="single" w:sz="4" w:space="0" w:color="auto"/>
            </w:tcBorders>
            <w:shd w:val="clear" w:color="auto" w:fill="C6D9F1"/>
            <w:tcMar>
              <w:top w:w="57" w:type="dxa"/>
              <w:left w:w="57" w:type="dxa"/>
              <w:bottom w:w="57" w:type="dxa"/>
              <w:right w:w="57" w:type="dxa"/>
            </w:tcMar>
          </w:tcPr>
          <w:p w14:paraId="245F3C1C" w14:textId="77777777" w:rsidR="00E364FE" w:rsidRPr="0081406E" w:rsidRDefault="00E364FE" w:rsidP="00E62BD3">
            <w:pPr>
              <w:rPr>
                <w:rFonts w:ascii="Arial" w:eastAsia="Calibri" w:hAnsi="Arial" w:cs="Arial"/>
                <w:b/>
                <w:i/>
                <w:noProof/>
                <w:sz w:val="20"/>
              </w:rPr>
            </w:pPr>
            <w:r w:rsidRPr="0081406E">
              <w:rPr>
                <w:rFonts w:ascii="Arial" w:eastAsia="Calibri" w:hAnsi="Arial" w:cs="Arial"/>
                <w:b/>
                <w:i/>
                <w:noProof/>
                <w:sz w:val="20"/>
              </w:rPr>
              <w:t>Comments</w:t>
            </w:r>
          </w:p>
        </w:tc>
      </w:tr>
      <w:tr w:rsidR="00E364FE" w:rsidRPr="0081406E" w14:paraId="30B21F71" w14:textId="77777777" w:rsidTr="00E62BD3">
        <w:tc>
          <w:tcPr>
            <w:tcW w:w="8931" w:type="dxa"/>
            <w:gridSpan w:val="3"/>
            <w:tcBorders>
              <w:top w:val="double" w:sz="4" w:space="0" w:color="auto"/>
            </w:tcBorders>
            <w:shd w:val="clear" w:color="auto" w:fill="F2F2F2"/>
          </w:tcPr>
          <w:p w14:paraId="17EB15DB" w14:textId="77777777" w:rsidR="00E364FE" w:rsidRPr="0081406E" w:rsidRDefault="00E364FE" w:rsidP="00E62BD3">
            <w:pPr>
              <w:rPr>
                <w:rFonts w:ascii="Arial" w:eastAsia="Calibri" w:hAnsi="Arial" w:cs="Arial"/>
                <w:b/>
                <w:i/>
                <w:noProof/>
                <w:sz w:val="20"/>
              </w:rPr>
            </w:pPr>
            <w:r w:rsidRPr="0081406E">
              <w:rPr>
                <w:rFonts w:ascii="Arial" w:eastAsia="Calibri" w:hAnsi="Arial" w:cs="Arial"/>
                <w:b/>
                <w:i/>
                <w:noProof/>
                <w:sz w:val="20"/>
              </w:rPr>
              <w:t>Direct benefits</w:t>
            </w:r>
          </w:p>
        </w:tc>
      </w:tr>
      <w:tr w:rsidR="00E364FE" w:rsidRPr="0081406E" w14:paraId="6568F292" w14:textId="77777777" w:rsidTr="00E62BD3">
        <w:tc>
          <w:tcPr>
            <w:tcW w:w="1881" w:type="dxa"/>
            <w:tcBorders>
              <w:top w:val="double" w:sz="4" w:space="0" w:color="auto"/>
            </w:tcBorders>
          </w:tcPr>
          <w:p w14:paraId="3C6D0453" w14:textId="77777777" w:rsidR="00E364FE" w:rsidRPr="0081406E" w:rsidRDefault="00E364FE" w:rsidP="00E62BD3">
            <w:pPr>
              <w:rPr>
                <w:rFonts w:ascii="Arial" w:eastAsia="Calibri" w:hAnsi="Arial" w:cs="Arial"/>
                <w:noProof/>
                <w:sz w:val="20"/>
              </w:rPr>
            </w:pPr>
            <w:r w:rsidRPr="0081406E">
              <w:rPr>
                <w:rFonts w:ascii="Arial" w:eastAsia="Calibri" w:hAnsi="Arial" w:cs="Arial"/>
                <w:noProof/>
                <w:sz w:val="20"/>
              </w:rPr>
              <w:t xml:space="preserve">Reduced climate emissions </w:t>
            </w:r>
          </w:p>
        </w:tc>
        <w:tc>
          <w:tcPr>
            <w:tcW w:w="3937" w:type="dxa"/>
            <w:tcBorders>
              <w:top w:val="double" w:sz="4" w:space="0" w:color="auto"/>
            </w:tcBorders>
            <w:tcMar>
              <w:top w:w="57" w:type="dxa"/>
              <w:left w:w="57" w:type="dxa"/>
              <w:bottom w:w="57" w:type="dxa"/>
              <w:right w:w="57" w:type="dxa"/>
            </w:tcMar>
          </w:tcPr>
          <w:p w14:paraId="7F0E265F" w14:textId="4A5A9F2F" w:rsidR="00E364FE" w:rsidRDefault="00E364FE" w:rsidP="00E364FE">
            <w:pPr>
              <w:spacing w:after="0"/>
              <w:rPr>
                <w:rFonts w:ascii="Arial" w:eastAsia="Calibri" w:hAnsi="Arial" w:cs="Arial"/>
                <w:noProof/>
                <w:sz w:val="20"/>
              </w:rPr>
            </w:pPr>
            <w:r>
              <w:rPr>
                <w:rFonts w:ascii="Arial" w:eastAsia="Calibri" w:hAnsi="Arial" w:cs="Arial"/>
                <w:noProof/>
                <w:sz w:val="20"/>
              </w:rPr>
              <w:t>Additional savings of direct emissions:</w:t>
            </w:r>
          </w:p>
          <w:p w14:paraId="5ACD0E78" w14:textId="7771AD4B" w:rsidR="00E364FE" w:rsidRDefault="00A831BF" w:rsidP="00E364FE">
            <w:pPr>
              <w:spacing w:after="0"/>
              <w:rPr>
                <w:rFonts w:ascii="Arial" w:eastAsia="Calibri" w:hAnsi="Arial" w:cs="Arial"/>
                <w:noProof/>
                <w:sz w:val="20"/>
              </w:rPr>
            </w:pPr>
            <w:r>
              <w:rPr>
                <w:rFonts w:ascii="Arial" w:eastAsia="Calibri" w:hAnsi="Arial" w:cs="Arial"/>
                <w:noProof/>
                <w:sz w:val="20"/>
              </w:rPr>
              <w:t>40</w:t>
            </w:r>
            <w:r w:rsidR="00E364FE">
              <w:rPr>
                <w:rFonts w:ascii="Arial" w:eastAsia="Calibri" w:hAnsi="Arial" w:cs="Arial"/>
                <w:noProof/>
                <w:sz w:val="20"/>
              </w:rPr>
              <w:t xml:space="preserve"> MCO2e by 2030</w:t>
            </w:r>
          </w:p>
          <w:p w14:paraId="5FD2ED99" w14:textId="3F554DA3" w:rsidR="00E364FE" w:rsidRDefault="00892FC6" w:rsidP="00E364FE">
            <w:pPr>
              <w:spacing w:after="0"/>
              <w:rPr>
                <w:rFonts w:ascii="Arial" w:eastAsia="Calibri" w:hAnsi="Arial" w:cs="Arial"/>
                <w:noProof/>
                <w:sz w:val="20"/>
              </w:rPr>
            </w:pPr>
            <w:r>
              <w:rPr>
                <w:rFonts w:ascii="Arial" w:eastAsia="Calibri" w:hAnsi="Arial" w:cs="Arial"/>
                <w:noProof/>
                <w:sz w:val="20"/>
              </w:rPr>
              <w:t>308</w:t>
            </w:r>
            <w:r w:rsidR="00E364FE">
              <w:rPr>
                <w:rFonts w:ascii="Arial" w:eastAsia="Calibri" w:hAnsi="Arial" w:cs="Arial"/>
                <w:noProof/>
                <w:sz w:val="20"/>
              </w:rPr>
              <w:t xml:space="preserve"> MtCO2e by 2050</w:t>
            </w:r>
          </w:p>
          <w:p w14:paraId="5C5BF805" w14:textId="68E0774D" w:rsidR="00E364FE" w:rsidRDefault="00E364FE" w:rsidP="00E364FE">
            <w:pPr>
              <w:spacing w:after="0"/>
              <w:rPr>
                <w:rFonts w:ascii="Arial" w:eastAsia="Calibri" w:hAnsi="Arial" w:cs="Arial"/>
                <w:noProof/>
                <w:sz w:val="20"/>
              </w:rPr>
            </w:pPr>
          </w:p>
          <w:p w14:paraId="787F1752" w14:textId="77777777" w:rsidR="00B116FF" w:rsidRDefault="00B116FF" w:rsidP="00E364FE">
            <w:pPr>
              <w:spacing w:after="0"/>
              <w:rPr>
                <w:rFonts w:ascii="Arial" w:eastAsia="Calibri" w:hAnsi="Arial" w:cs="Arial"/>
                <w:noProof/>
                <w:sz w:val="20"/>
              </w:rPr>
            </w:pPr>
          </w:p>
          <w:p w14:paraId="5FFE06A7" w14:textId="00AC338F" w:rsidR="00B116FF" w:rsidRDefault="00B116FF" w:rsidP="00E364FE">
            <w:pPr>
              <w:spacing w:after="0"/>
              <w:rPr>
                <w:rFonts w:ascii="Arial" w:eastAsia="Calibri" w:hAnsi="Arial" w:cs="Arial"/>
                <w:noProof/>
                <w:sz w:val="20"/>
              </w:rPr>
            </w:pPr>
          </w:p>
          <w:p w14:paraId="791228E3" w14:textId="77777777" w:rsidR="00FF5B90" w:rsidRDefault="00FF5B90" w:rsidP="00E364FE">
            <w:pPr>
              <w:spacing w:after="0"/>
              <w:rPr>
                <w:rFonts w:ascii="Arial" w:eastAsia="Calibri" w:hAnsi="Arial" w:cs="Arial"/>
                <w:noProof/>
                <w:sz w:val="20"/>
              </w:rPr>
            </w:pPr>
          </w:p>
          <w:p w14:paraId="26AD48E6" w14:textId="77777777" w:rsidR="00FF5B90" w:rsidRDefault="00FF5B90" w:rsidP="00E364FE">
            <w:pPr>
              <w:spacing w:after="0"/>
              <w:rPr>
                <w:rFonts w:ascii="Arial" w:eastAsia="Calibri" w:hAnsi="Arial" w:cs="Arial"/>
                <w:noProof/>
                <w:sz w:val="20"/>
              </w:rPr>
            </w:pPr>
          </w:p>
          <w:p w14:paraId="064DB85E" w14:textId="45C0E3B4" w:rsidR="00E364FE" w:rsidRDefault="00E364FE" w:rsidP="00E364FE">
            <w:pPr>
              <w:spacing w:after="0"/>
              <w:rPr>
                <w:rFonts w:ascii="Arial" w:eastAsia="Calibri" w:hAnsi="Arial" w:cs="Arial"/>
                <w:noProof/>
                <w:sz w:val="20"/>
              </w:rPr>
            </w:pPr>
            <w:r>
              <w:rPr>
                <w:rFonts w:ascii="Arial" w:eastAsia="Calibri" w:hAnsi="Arial" w:cs="Arial"/>
                <w:noProof/>
                <w:sz w:val="20"/>
              </w:rPr>
              <w:t>Indirect emissions:</w:t>
            </w:r>
          </w:p>
          <w:p w14:paraId="1BCE727B" w14:textId="7BA9D0E2" w:rsidR="00E364FE" w:rsidRDefault="00E364FE" w:rsidP="00E364FE">
            <w:pPr>
              <w:rPr>
                <w:rFonts w:ascii="Arial" w:eastAsia="Calibri" w:hAnsi="Arial" w:cs="Arial"/>
                <w:noProof/>
                <w:sz w:val="20"/>
              </w:rPr>
            </w:pPr>
            <w:r>
              <w:rPr>
                <w:rFonts w:ascii="Arial" w:eastAsia="Calibri" w:hAnsi="Arial" w:cs="Arial"/>
                <w:noProof/>
                <w:sz w:val="20"/>
              </w:rPr>
              <w:t>Energy savings 2.5 GWh/year</w:t>
            </w:r>
            <w:r w:rsidRPr="00E364FE">
              <w:rPr>
                <w:rFonts w:ascii="Arial" w:eastAsia="Calibri" w:hAnsi="Arial" w:cs="Arial"/>
                <w:noProof/>
                <w:sz w:val="20"/>
              </w:rPr>
              <w:t xml:space="preserve"> (2024-2036 average; ~0.3% of baseline</w:t>
            </w:r>
            <w:r>
              <w:rPr>
                <w:rFonts w:ascii="Arial" w:eastAsia="Calibri" w:hAnsi="Arial" w:cs="Arial"/>
                <w:noProof/>
                <w:sz w:val="20"/>
              </w:rPr>
              <w:t xml:space="preserve"> energy use</w:t>
            </w:r>
            <w:r w:rsidRPr="00E364FE">
              <w:rPr>
                <w:rFonts w:ascii="Arial" w:eastAsia="Calibri" w:hAnsi="Arial" w:cs="Arial"/>
                <w:noProof/>
                <w:sz w:val="20"/>
              </w:rPr>
              <w:t xml:space="preserve">), </w:t>
            </w:r>
            <w:r>
              <w:rPr>
                <w:rFonts w:ascii="Arial" w:eastAsia="Calibri" w:hAnsi="Arial" w:cs="Arial"/>
                <w:noProof/>
                <w:sz w:val="20"/>
              </w:rPr>
              <w:t>2050: 8.2 GWh/year</w:t>
            </w:r>
            <w:r w:rsidRPr="00E364FE">
              <w:rPr>
                <w:rFonts w:ascii="Arial" w:eastAsia="Calibri" w:hAnsi="Arial" w:cs="Arial"/>
                <w:noProof/>
                <w:sz w:val="20"/>
              </w:rPr>
              <w:t xml:space="preserve"> savings (~0.5% of baseline</w:t>
            </w:r>
            <w:r>
              <w:rPr>
                <w:rFonts w:ascii="Arial" w:eastAsia="Calibri" w:hAnsi="Arial" w:cs="Arial"/>
                <w:noProof/>
                <w:sz w:val="20"/>
              </w:rPr>
              <w:t xml:space="preserve"> energy use</w:t>
            </w:r>
            <w:r w:rsidRPr="00E364FE">
              <w:rPr>
                <w:rFonts w:ascii="Arial" w:eastAsia="Calibri" w:hAnsi="Arial" w:cs="Arial"/>
                <w:noProof/>
                <w:sz w:val="20"/>
              </w:rPr>
              <w:t>)</w:t>
            </w:r>
          </w:p>
          <w:p w14:paraId="3D4BA890" w14:textId="302D5F9A" w:rsidR="00E364FE" w:rsidRPr="0081406E" w:rsidRDefault="00E364FE" w:rsidP="00E364FE">
            <w:pPr>
              <w:rPr>
                <w:rFonts w:ascii="Arial" w:eastAsia="Calibri" w:hAnsi="Arial" w:cs="Arial"/>
                <w:noProof/>
                <w:sz w:val="20"/>
              </w:rPr>
            </w:pPr>
            <w:r>
              <w:rPr>
                <w:rFonts w:ascii="Arial" w:eastAsia="Calibri" w:hAnsi="Arial" w:cs="Arial"/>
                <w:noProof/>
                <w:sz w:val="20"/>
              </w:rPr>
              <w:t>S</w:t>
            </w:r>
            <w:r w:rsidRPr="00E364FE">
              <w:rPr>
                <w:rFonts w:ascii="Arial" w:eastAsia="Calibri" w:hAnsi="Arial" w:cs="Arial"/>
                <w:noProof/>
                <w:sz w:val="20"/>
              </w:rPr>
              <w:t>aved indirect CO</w:t>
            </w:r>
            <w:r w:rsidRPr="00E364FE">
              <w:rPr>
                <w:rFonts w:ascii="Arial" w:eastAsia="Calibri" w:hAnsi="Arial" w:cs="Arial"/>
                <w:noProof/>
                <w:sz w:val="20"/>
                <w:vertAlign w:val="subscript"/>
              </w:rPr>
              <w:t>2</w:t>
            </w:r>
            <w:r w:rsidRPr="00E364FE">
              <w:rPr>
                <w:rFonts w:ascii="Arial" w:eastAsia="Calibri" w:hAnsi="Arial" w:cs="Arial"/>
                <w:noProof/>
                <w:sz w:val="20"/>
              </w:rPr>
              <w:t xml:space="preserve"> emissions 2030 ~ 0.3 Mt CO</w:t>
            </w:r>
            <w:r w:rsidRPr="00E364FE">
              <w:rPr>
                <w:rFonts w:ascii="Arial" w:eastAsia="Calibri" w:hAnsi="Arial" w:cs="Arial"/>
                <w:noProof/>
                <w:sz w:val="20"/>
                <w:vertAlign w:val="subscript"/>
              </w:rPr>
              <w:t>2</w:t>
            </w:r>
            <w:r w:rsidRPr="00E364FE">
              <w:rPr>
                <w:rFonts w:ascii="Arial" w:eastAsia="Calibri" w:hAnsi="Arial" w:cs="Arial"/>
                <w:noProof/>
                <w:sz w:val="20"/>
              </w:rPr>
              <w:t>/a ; 2050: ~0.3 Mt CO</w:t>
            </w:r>
            <w:r w:rsidRPr="00E364FE">
              <w:rPr>
                <w:rFonts w:ascii="Arial" w:eastAsia="Calibri" w:hAnsi="Arial" w:cs="Arial"/>
                <w:noProof/>
                <w:sz w:val="20"/>
                <w:vertAlign w:val="subscript"/>
              </w:rPr>
              <w:t>2</w:t>
            </w:r>
            <w:r>
              <w:rPr>
                <w:rFonts w:ascii="Arial" w:eastAsia="Calibri" w:hAnsi="Arial" w:cs="Arial"/>
                <w:noProof/>
                <w:sz w:val="20"/>
              </w:rPr>
              <w:t>/year</w:t>
            </w:r>
          </w:p>
        </w:tc>
        <w:tc>
          <w:tcPr>
            <w:tcW w:w="3113" w:type="dxa"/>
            <w:tcBorders>
              <w:top w:val="double" w:sz="4" w:space="0" w:color="auto"/>
            </w:tcBorders>
            <w:tcMar>
              <w:top w:w="57" w:type="dxa"/>
              <w:left w:w="57" w:type="dxa"/>
              <w:bottom w:w="57" w:type="dxa"/>
              <w:right w:w="57" w:type="dxa"/>
            </w:tcMar>
          </w:tcPr>
          <w:p w14:paraId="1A8E6FEF" w14:textId="473E829E" w:rsidR="00E364FE" w:rsidRPr="0081406E" w:rsidRDefault="00E364FE" w:rsidP="00E62BD3">
            <w:pPr>
              <w:rPr>
                <w:rFonts w:ascii="Arial" w:eastAsia="Calibri" w:hAnsi="Arial" w:cs="Arial"/>
                <w:noProof/>
                <w:sz w:val="20"/>
              </w:rPr>
            </w:pPr>
            <w:r>
              <w:rPr>
                <w:rFonts w:ascii="Arial" w:eastAsia="Calibri" w:hAnsi="Arial" w:cs="Arial"/>
                <w:noProof/>
                <w:sz w:val="20"/>
              </w:rPr>
              <w:t>Emission savings mostly come from the quota system and the accompanying proh</w:t>
            </w:r>
            <w:r w:rsidR="00A86A46">
              <w:rPr>
                <w:rFonts w:ascii="Arial" w:eastAsia="Calibri" w:hAnsi="Arial" w:cs="Arial"/>
                <w:noProof/>
                <w:sz w:val="20"/>
              </w:rPr>
              <w:t>i</w:t>
            </w:r>
            <w:r>
              <w:rPr>
                <w:rFonts w:ascii="Arial" w:eastAsia="Calibri" w:hAnsi="Arial" w:cs="Arial"/>
                <w:noProof/>
                <w:sz w:val="20"/>
              </w:rPr>
              <w:t>bitions</w:t>
            </w:r>
            <w:r w:rsidR="00FF5B90">
              <w:rPr>
                <w:rFonts w:ascii="Arial" w:eastAsia="Calibri" w:hAnsi="Arial" w:cs="Arial"/>
                <w:noProof/>
                <w:sz w:val="20"/>
              </w:rPr>
              <w:t xml:space="preserve"> as well as the emission avoidance measure (A3)</w:t>
            </w:r>
            <w:r w:rsidR="00B116FF">
              <w:rPr>
                <w:rFonts w:ascii="Arial" w:eastAsia="Calibri" w:hAnsi="Arial" w:cs="Arial"/>
                <w:noProof/>
                <w:sz w:val="20"/>
              </w:rPr>
              <w:t>; many other measures contribute small savings</w:t>
            </w:r>
            <w:r w:rsidR="005D374C">
              <w:rPr>
                <w:rFonts w:ascii="Arial" w:eastAsia="Calibri" w:hAnsi="Arial" w:cs="Arial"/>
                <w:noProof/>
                <w:sz w:val="20"/>
              </w:rPr>
              <w:t xml:space="preserve">. </w:t>
            </w:r>
            <w:r w:rsidR="00A86A46">
              <w:rPr>
                <w:rFonts w:ascii="Arial" w:eastAsia="Calibri" w:hAnsi="Arial" w:cs="Arial"/>
                <w:noProof/>
                <w:sz w:val="20"/>
              </w:rPr>
              <w:t>The technology conversion also leads to small energy savings</w:t>
            </w:r>
          </w:p>
        </w:tc>
      </w:tr>
      <w:tr w:rsidR="00E364FE" w:rsidRPr="0081406E" w14:paraId="1244F550" w14:textId="77777777" w:rsidTr="00E62BD3">
        <w:tc>
          <w:tcPr>
            <w:tcW w:w="1881" w:type="dxa"/>
            <w:tcBorders>
              <w:bottom w:val="double" w:sz="4" w:space="0" w:color="auto"/>
            </w:tcBorders>
          </w:tcPr>
          <w:p w14:paraId="062EC793" w14:textId="77777777" w:rsidR="00E364FE" w:rsidRPr="0081406E" w:rsidRDefault="00E364FE" w:rsidP="00B116FF">
            <w:pPr>
              <w:jc w:val="left"/>
              <w:rPr>
                <w:rFonts w:ascii="Arial" w:eastAsia="Calibri" w:hAnsi="Arial" w:cs="Arial"/>
                <w:noProof/>
                <w:sz w:val="20"/>
              </w:rPr>
            </w:pPr>
            <w:r w:rsidRPr="0081406E">
              <w:rPr>
                <w:rFonts w:ascii="Arial" w:eastAsia="Calibri" w:hAnsi="Arial" w:cs="Arial"/>
                <w:noProof/>
                <w:sz w:val="20"/>
              </w:rPr>
              <w:t xml:space="preserve">Reduction of administrative costs for businesses </w:t>
            </w:r>
          </w:p>
          <w:p w14:paraId="4BAB0188" w14:textId="77777777" w:rsidR="00E364FE" w:rsidRPr="0081406E" w:rsidRDefault="00E364FE" w:rsidP="00E62BD3">
            <w:pPr>
              <w:rPr>
                <w:rFonts w:ascii="Arial" w:eastAsia="Calibri" w:hAnsi="Arial" w:cs="Arial"/>
                <w:noProof/>
                <w:sz w:val="20"/>
              </w:rPr>
            </w:pPr>
          </w:p>
        </w:tc>
        <w:tc>
          <w:tcPr>
            <w:tcW w:w="3937" w:type="dxa"/>
            <w:tcBorders>
              <w:bottom w:val="double" w:sz="4" w:space="0" w:color="auto"/>
            </w:tcBorders>
            <w:tcMar>
              <w:top w:w="57" w:type="dxa"/>
              <w:left w:w="57" w:type="dxa"/>
              <w:bottom w:w="57" w:type="dxa"/>
              <w:right w:w="57" w:type="dxa"/>
            </w:tcMar>
          </w:tcPr>
          <w:p w14:paraId="7A66A1E8" w14:textId="3C17EB00" w:rsidR="00E364FE" w:rsidRPr="0081406E" w:rsidRDefault="00DB1296" w:rsidP="00E62BD3">
            <w:pPr>
              <w:rPr>
                <w:rFonts w:ascii="Arial" w:eastAsia="Calibri" w:hAnsi="Arial" w:cs="Arial"/>
                <w:noProof/>
                <w:sz w:val="20"/>
              </w:rPr>
            </w:pPr>
            <w:r w:rsidRPr="00083B45">
              <w:rPr>
                <w:rFonts w:ascii="Arial" w:hAnsi="Arial"/>
                <w:noProof/>
                <w:sz w:val="20"/>
              </w:rPr>
              <w:t xml:space="preserve">Savings of €4.5m </w:t>
            </w:r>
            <w:r>
              <w:rPr>
                <w:rFonts w:ascii="Arial" w:eastAsia="Calibri" w:hAnsi="Arial" w:cs="Arial"/>
                <w:noProof/>
                <w:sz w:val="20"/>
              </w:rPr>
              <w:t>per year</w:t>
            </w:r>
          </w:p>
        </w:tc>
        <w:tc>
          <w:tcPr>
            <w:tcW w:w="3113" w:type="dxa"/>
            <w:tcBorders>
              <w:bottom w:val="double" w:sz="4" w:space="0" w:color="auto"/>
            </w:tcBorders>
            <w:tcMar>
              <w:top w:w="57" w:type="dxa"/>
              <w:left w:w="57" w:type="dxa"/>
              <w:bottom w:w="57" w:type="dxa"/>
              <w:right w:w="57" w:type="dxa"/>
            </w:tcMar>
          </w:tcPr>
          <w:p w14:paraId="4E5E49E0" w14:textId="5A8B2E8C" w:rsidR="00E364FE" w:rsidRPr="0081406E" w:rsidRDefault="00010965" w:rsidP="005D374C">
            <w:pPr>
              <w:rPr>
                <w:rFonts w:ascii="Arial" w:eastAsia="Calibri" w:hAnsi="Arial" w:cs="Arial"/>
                <w:noProof/>
                <w:sz w:val="20"/>
              </w:rPr>
            </w:pPr>
            <w:r>
              <w:rPr>
                <w:rFonts w:ascii="Arial" w:eastAsia="Calibri" w:hAnsi="Arial" w:cs="Arial"/>
                <w:noProof/>
                <w:sz w:val="20"/>
              </w:rPr>
              <w:t>Delivered by</w:t>
            </w:r>
            <w:r w:rsidR="005D374C">
              <w:rPr>
                <w:rFonts w:ascii="Arial" w:eastAsia="Calibri" w:hAnsi="Arial" w:cs="Arial"/>
                <w:noProof/>
                <w:sz w:val="20"/>
              </w:rPr>
              <w:t xml:space="preserve"> </w:t>
            </w:r>
            <w:r w:rsidR="005D374C" w:rsidRPr="005D374C">
              <w:rPr>
                <w:rFonts w:ascii="Arial" w:eastAsia="Calibri" w:hAnsi="Arial" w:cs="Arial"/>
                <w:i/>
                <w:noProof/>
                <w:sz w:val="20"/>
              </w:rPr>
              <w:t>inter alia</w:t>
            </w:r>
            <w:r w:rsidR="00621940">
              <w:rPr>
                <w:rFonts w:ascii="Arial" w:eastAsia="Calibri" w:hAnsi="Arial" w:cs="Arial"/>
                <w:noProof/>
                <w:sz w:val="20"/>
              </w:rPr>
              <w:t xml:space="preserve"> </w:t>
            </w:r>
            <w:r>
              <w:rPr>
                <w:rFonts w:ascii="Arial" w:eastAsia="Calibri" w:hAnsi="Arial" w:cs="Arial"/>
                <w:noProof/>
                <w:sz w:val="20"/>
              </w:rPr>
              <w:t>relaxing</w:t>
            </w:r>
            <w:r w:rsidR="00E364FE" w:rsidRPr="0081406E">
              <w:rPr>
                <w:rFonts w:ascii="Arial" w:eastAsia="Calibri" w:hAnsi="Arial" w:cs="Arial"/>
                <w:noProof/>
                <w:sz w:val="20"/>
              </w:rPr>
              <w:t xml:space="preserve"> thresholds for placing on the market of products and equipment</w:t>
            </w:r>
            <w:r w:rsidR="00621940">
              <w:rPr>
                <w:rFonts w:ascii="Arial" w:eastAsia="Calibri" w:hAnsi="Arial" w:cs="Arial"/>
                <w:noProof/>
                <w:sz w:val="20"/>
              </w:rPr>
              <w:t>, quota application in 3-year cycle rather than annually and</w:t>
            </w:r>
            <w:r>
              <w:rPr>
                <w:rFonts w:ascii="Arial" w:eastAsia="Calibri" w:hAnsi="Arial" w:cs="Arial"/>
                <w:noProof/>
                <w:sz w:val="20"/>
              </w:rPr>
              <w:t xml:space="preserve"> an electronic verification process</w:t>
            </w:r>
            <w:r w:rsidR="00E364FE" w:rsidRPr="0081406E">
              <w:rPr>
                <w:rFonts w:ascii="Arial" w:eastAsia="Calibri" w:hAnsi="Arial" w:cs="Arial"/>
                <w:noProof/>
                <w:sz w:val="20"/>
              </w:rPr>
              <w:t xml:space="preserve"> </w:t>
            </w:r>
          </w:p>
        </w:tc>
      </w:tr>
      <w:tr w:rsidR="00E364FE" w:rsidRPr="0081406E" w14:paraId="545EA190" w14:textId="77777777" w:rsidTr="00E62BD3">
        <w:tc>
          <w:tcPr>
            <w:tcW w:w="1881" w:type="dxa"/>
            <w:tcBorders>
              <w:bottom w:val="double" w:sz="4" w:space="0" w:color="auto"/>
            </w:tcBorders>
          </w:tcPr>
          <w:p w14:paraId="7A83B6DB" w14:textId="77777777" w:rsidR="00E364FE" w:rsidRPr="0081406E" w:rsidRDefault="00E364FE" w:rsidP="00B116FF">
            <w:pPr>
              <w:jc w:val="left"/>
              <w:rPr>
                <w:rFonts w:ascii="Arial" w:eastAsia="Calibri" w:hAnsi="Arial" w:cs="Arial"/>
                <w:noProof/>
                <w:sz w:val="20"/>
              </w:rPr>
            </w:pPr>
            <w:r w:rsidRPr="0081406E">
              <w:rPr>
                <w:rFonts w:ascii="Arial" w:eastAsia="Calibri" w:hAnsi="Arial" w:cs="Arial"/>
                <w:noProof/>
                <w:sz w:val="20"/>
              </w:rPr>
              <w:t xml:space="preserve">Reduction of administrative costs for authorities </w:t>
            </w:r>
          </w:p>
        </w:tc>
        <w:tc>
          <w:tcPr>
            <w:tcW w:w="3937" w:type="dxa"/>
            <w:tcBorders>
              <w:bottom w:val="double" w:sz="4" w:space="0" w:color="auto"/>
            </w:tcBorders>
            <w:tcMar>
              <w:top w:w="57" w:type="dxa"/>
              <w:left w:w="57" w:type="dxa"/>
              <w:bottom w:w="57" w:type="dxa"/>
              <w:right w:w="57" w:type="dxa"/>
            </w:tcMar>
          </w:tcPr>
          <w:p w14:paraId="2A0AE3A0" w14:textId="343C77A1" w:rsidR="00E364FE" w:rsidRPr="0081406E" w:rsidRDefault="00E364FE" w:rsidP="00E62BD3">
            <w:pPr>
              <w:rPr>
                <w:rFonts w:ascii="Arial" w:eastAsia="Calibri" w:hAnsi="Arial" w:cs="Arial"/>
                <w:noProof/>
                <w:sz w:val="20"/>
              </w:rPr>
            </w:pPr>
            <w:r w:rsidRPr="0081406E">
              <w:rPr>
                <w:rFonts w:ascii="Arial" w:eastAsia="Calibri" w:hAnsi="Arial" w:cs="Arial"/>
                <w:noProof/>
                <w:sz w:val="20"/>
              </w:rPr>
              <w:t xml:space="preserve">Savings of </w:t>
            </w:r>
            <w:r w:rsidR="00DB1296">
              <w:rPr>
                <w:rFonts w:ascii="Arial" w:eastAsia="Calibri" w:hAnsi="Arial" w:cs="Arial"/>
                <w:noProof/>
                <w:sz w:val="20"/>
              </w:rPr>
              <w:t xml:space="preserve">ca </w:t>
            </w:r>
            <w:r w:rsidR="00DB1296" w:rsidRPr="00083B45">
              <w:rPr>
                <w:rFonts w:ascii="Arial" w:hAnsi="Arial"/>
                <w:noProof/>
                <w:sz w:val="20"/>
              </w:rPr>
              <w:t>2,</w:t>
            </w:r>
            <w:r w:rsidR="00DB1296" w:rsidRPr="00DB1296">
              <w:rPr>
                <w:rFonts w:ascii="Arial" w:eastAsia="Calibri" w:hAnsi="Arial" w:cs="Arial"/>
                <w:noProof/>
                <w:sz w:val="20"/>
              </w:rPr>
              <w:t>850</w:t>
            </w:r>
            <w:r w:rsidR="00DB1296" w:rsidRPr="00083B45">
              <w:rPr>
                <w:rFonts w:ascii="Arial" w:hAnsi="Arial"/>
                <w:noProof/>
                <w:sz w:val="20"/>
              </w:rPr>
              <w:t xml:space="preserve"> days per </w:t>
            </w:r>
            <w:r w:rsidR="00DB1296" w:rsidRPr="00DB1296">
              <w:rPr>
                <w:rFonts w:ascii="Arial" w:eastAsia="Calibri" w:hAnsi="Arial" w:cs="Arial"/>
                <w:noProof/>
                <w:sz w:val="20"/>
              </w:rPr>
              <w:t>year</w:t>
            </w:r>
            <w:r w:rsidR="00DB1296">
              <w:rPr>
                <w:rFonts w:ascii="Arial" w:eastAsia="Calibri" w:hAnsi="Arial" w:cs="Arial"/>
                <w:noProof/>
                <w:sz w:val="20"/>
              </w:rPr>
              <w:t xml:space="preserve"> across Member State competent aut</w:t>
            </w:r>
            <w:r w:rsidR="00083B45">
              <w:rPr>
                <w:rFonts w:ascii="Arial" w:eastAsia="Calibri" w:hAnsi="Arial" w:cs="Arial"/>
                <w:noProof/>
                <w:sz w:val="20"/>
              </w:rPr>
              <w:t>h</w:t>
            </w:r>
            <w:r w:rsidR="00DB1296">
              <w:rPr>
                <w:rFonts w:ascii="Arial" w:eastAsia="Calibri" w:hAnsi="Arial" w:cs="Arial"/>
                <w:noProof/>
                <w:sz w:val="20"/>
              </w:rPr>
              <w:t>oritie</w:t>
            </w:r>
            <w:r w:rsidRPr="0081406E">
              <w:rPr>
                <w:rFonts w:ascii="Arial" w:eastAsia="Calibri" w:hAnsi="Arial" w:cs="Arial"/>
                <w:noProof/>
                <w:sz w:val="20"/>
              </w:rPr>
              <w:t xml:space="preserve">s, DG CLIMA and EEA. </w:t>
            </w:r>
          </w:p>
        </w:tc>
        <w:tc>
          <w:tcPr>
            <w:tcW w:w="3113" w:type="dxa"/>
            <w:tcBorders>
              <w:bottom w:val="double" w:sz="4" w:space="0" w:color="auto"/>
            </w:tcBorders>
            <w:tcMar>
              <w:top w:w="57" w:type="dxa"/>
              <w:left w:w="57" w:type="dxa"/>
              <w:bottom w:w="57" w:type="dxa"/>
              <w:right w:w="57" w:type="dxa"/>
            </w:tcMar>
          </w:tcPr>
          <w:p w14:paraId="7ECB3289" w14:textId="6EB6C9F9" w:rsidR="00E364FE" w:rsidRPr="0081406E" w:rsidRDefault="00DB1296" w:rsidP="00E62BD3">
            <w:pPr>
              <w:rPr>
                <w:rFonts w:ascii="Arial" w:eastAsia="Calibri" w:hAnsi="Arial" w:cs="Arial"/>
                <w:noProof/>
                <w:sz w:val="20"/>
              </w:rPr>
            </w:pPr>
            <w:r>
              <w:rPr>
                <w:rFonts w:ascii="Arial" w:eastAsia="Calibri" w:hAnsi="Arial" w:cs="Arial"/>
                <w:noProof/>
                <w:sz w:val="20"/>
              </w:rPr>
              <w:t>Driven by savings to MS competent authorities</w:t>
            </w:r>
            <w:r w:rsidR="00E364FE" w:rsidRPr="0081406E">
              <w:rPr>
                <w:rFonts w:ascii="Arial" w:eastAsia="Calibri" w:hAnsi="Arial" w:cs="Arial"/>
                <w:noProof/>
                <w:sz w:val="20"/>
              </w:rPr>
              <w:t xml:space="preserve"> from aligning reporting and verification thresholds and requirement for specification of ‘NIL’ reporting.</w:t>
            </w:r>
          </w:p>
        </w:tc>
      </w:tr>
      <w:tr w:rsidR="00E364FE" w:rsidRPr="0081406E" w14:paraId="03468C2D" w14:textId="77777777" w:rsidTr="00E62BD3">
        <w:tc>
          <w:tcPr>
            <w:tcW w:w="1881" w:type="dxa"/>
            <w:tcBorders>
              <w:bottom w:val="double" w:sz="4" w:space="0" w:color="auto"/>
            </w:tcBorders>
          </w:tcPr>
          <w:p w14:paraId="4D68EB73" w14:textId="54EE4880" w:rsidR="00E364FE" w:rsidRPr="0081406E" w:rsidRDefault="00E364FE" w:rsidP="00E62BD3">
            <w:pPr>
              <w:rPr>
                <w:rFonts w:ascii="Arial" w:eastAsia="Calibri" w:hAnsi="Arial" w:cs="Arial"/>
                <w:noProof/>
                <w:sz w:val="20"/>
              </w:rPr>
            </w:pPr>
            <w:r w:rsidRPr="0081406E">
              <w:rPr>
                <w:rFonts w:ascii="Arial" w:eastAsia="Calibri" w:hAnsi="Arial" w:cs="Arial"/>
                <w:noProof/>
                <w:sz w:val="20"/>
              </w:rPr>
              <w:t xml:space="preserve">Reduction of </w:t>
            </w:r>
            <w:r w:rsidR="00A831BF">
              <w:rPr>
                <w:rFonts w:ascii="Arial" w:eastAsia="Calibri" w:hAnsi="Arial" w:cs="Arial"/>
                <w:noProof/>
                <w:sz w:val="20"/>
              </w:rPr>
              <w:t xml:space="preserve">adjustment </w:t>
            </w:r>
            <w:r w:rsidRPr="0081406E">
              <w:rPr>
                <w:rFonts w:ascii="Arial" w:eastAsia="Calibri" w:hAnsi="Arial" w:cs="Arial"/>
                <w:noProof/>
                <w:sz w:val="20"/>
              </w:rPr>
              <w:t xml:space="preserve">costs to </w:t>
            </w:r>
            <w:r w:rsidR="00FF082D">
              <w:rPr>
                <w:rFonts w:ascii="Arial" w:eastAsia="Calibri" w:hAnsi="Arial" w:cs="Arial"/>
                <w:noProof/>
                <w:sz w:val="20"/>
              </w:rPr>
              <w:t>end-user</w:t>
            </w:r>
            <w:r w:rsidR="00C60667">
              <w:rPr>
                <w:rFonts w:ascii="Arial" w:eastAsia="Calibri" w:hAnsi="Arial" w:cs="Arial"/>
                <w:noProof/>
                <w:sz w:val="20"/>
              </w:rPr>
              <w:t>s</w:t>
            </w:r>
            <w:r w:rsidR="00A831BF">
              <w:rPr>
                <w:rFonts w:ascii="Arial" w:eastAsia="Calibri" w:hAnsi="Arial" w:cs="Arial"/>
                <w:noProof/>
                <w:sz w:val="20"/>
              </w:rPr>
              <w:t xml:space="preserve"> (mostly businesses)</w:t>
            </w:r>
          </w:p>
        </w:tc>
        <w:tc>
          <w:tcPr>
            <w:tcW w:w="3937" w:type="dxa"/>
            <w:tcBorders>
              <w:bottom w:val="double" w:sz="4" w:space="0" w:color="auto"/>
            </w:tcBorders>
            <w:tcMar>
              <w:top w:w="57" w:type="dxa"/>
              <w:left w:w="57" w:type="dxa"/>
              <w:bottom w:w="57" w:type="dxa"/>
              <w:right w:w="57" w:type="dxa"/>
            </w:tcMar>
          </w:tcPr>
          <w:p w14:paraId="4D1D8852" w14:textId="3FC4AFC7" w:rsidR="00E364FE" w:rsidRPr="00DB1296" w:rsidRDefault="00DB1296" w:rsidP="00E62BD3">
            <w:pPr>
              <w:rPr>
                <w:rFonts w:ascii="Arial" w:eastAsia="Calibri" w:hAnsi="Arial" w:cs="Arial"/>
                <w:noProof/>
                <w:sz w:val="20"/>
              </w:rPr>
            </w:pPr>
            <w:r w:rsidRPr="00DB1296">
              <w:rPr>
                <w:rFonts w:ascii="Arial" w:eastAsia="Calibri" w:hAnsi="Arial" w:cs="Arial"/>
                <w:noProof/>
                <w:sz w:val="20"/>
              </w:rPr>
              <w:t>~-835</w:t>
            </w:r>
            <w:r w:rsidRPr="00083B45">
              <w:rPr>
                <w:rFonts w:ascii="Arial" w:hAnsi="Arial"/>
                <w:noProof/>
                <w:sz w:val="20"/>
              </w:rPr>
              <w:t xml:space="preserve"> Mio </w:t>
            </w:r>
            <w:r w:rsidRPr="00DB1296">
              <w:rPr>
                <w:rFonts w:ascii="Arial" w:eastAsia="Calibri" w:hAnsi="Arial" w:cs="Arial"/>
                <w:noProof/>
                <w:sz w:val="20"/>
              </w:rPr>
              <w:t>€ per year</w:t>
            </w:r>
            <w:r w:rsidR="00E364FE" w:rsidRPr="00083B45">
              <w:rPr>
                <w:rFonts w:ascii="Arial" w:hAnsi="Arial"/>
                <w:noProof/>
                <w:sz w:val="20"/>
              </w:rPr>
              <w:t xml:space="preserve"> by 2050</w:t>
            </w:r>
          </w:p>
        </w:tc>
        <w:tc>
          <w:tcPr>
            <w:tcW w:w="3113" w:type="dxa"/>
            <w:tcBorders>
              <w:bottom w:val="double" w:sz="4" w:space="0" w:color="auto"/>
            </w:tcBorders>
            <w:tcMar>
              <w:top w:w="57" w:type="dxa"/>
              <w:left w:w="57" w:type="dxa"/>
              <w:bottom w:w="57" w:type="dxa"/>
              <w:right w:w="57" w:type="dxa"/>
            </w:tcMar>
          </w:tcPr>
          <w:p w14:paraId="7DB958FF" w14:textId="72C35AA6" w:rsidR="00DB1296" w:rsidRDefault="00E364FE" w:rsidP="00DB1296">
            <w:pPr>
              <w:rPr>
                <w:rFonts w:ascii="Arial" w:eastAsia="Calibri" w:hAnsi="Arial" w:cs="Arial"/>
                <w:noProof/>
                <w:sz w:val="20"/>
              </w:rPr>
            </w:pPr>
            <w:r w:rsidRPr="0081406E">
              <w:rPr>
                <w:rFonts w:ascii="Arial" w:eastAsia="Calibri" w:hAnsi="Arial" w:cs="Arial"/>
                <w:noProof/>
                <w:sz w:val="20"/>
              </w:rPr>
              <w:t xml:space="preserve">Cost savings in </w:t>
            </w:r>
            <w:r w:rsidR="00A831BF">
              <w:rPr>
                <w:rFonts w:ascii="Arial" w:eastAsia="Calibri" w:hAnsi="Arial" w:cs="Arial"/>
                <w:noProof/>
                <w:sz w:val="20"/>
              </w:rPr>
              <w:t xml:space="preserve">adjustment costs </w:t>
            </w:r>
            <w:r w:rsidRPr="0081406E">
              <w:rPr>
                <w:rFonts w:ascii="Arial" w:eastAsia="Calibri" w:hAnsi="Arial" w:cs="Arial"/>
                <w:noProof/>
                <w:sz w:val="20"/>
              </w:rPr>
              <w:t xml:space="preserve">to </w:t>
            </w:r>
            <w:r w:rsidR="00FF082D">
              <w:rPr>
                <w:rFonts w:ascii="Arial" w:eastAsia="Calibri" w:hAnsi="Arial" w:cs="Arial"/>
                <w:noProof/>
                <w:sz w:val="20"/>
              </w:rPr>
              <w:t>end-user</w:t>
            </w:r>
            <w:r w:rsidRPr="0081406E">
              <w:rPr>
                <w:rFonts w:ascii="Arial" w:eastAsia="Calibri" w:hAnsi="Arial" w:cs="Arial"/>
                <w:noProof/>
                <w:sz w:val="20"/>
              </w:rPr>
              <w:t xml:space="preserve">s (sum of capex &amp; opex) in the long-term perspective, </w:t>
            </w:r>
          </w:p>
          <w:p w14:paraId="0103A110" w14:textId="137F9A39" w:rsidR="00E364FE" w:rsidRPr="0081406E" w:rsidRDefault="00DB1296" w:rsidP="00DB1296">
            <w:pPr>
              <w:rPr>
                <w:rFonts w:ascii="Arial" w:eastAsia="Calibri" w:hAnsi="Arial" w:cs="Arial"/>
                <w:noProof/>
                <w:sz w:val="20"/>
              </w:rPr>
            </w:pPr>
            <w:r>
              <w:rPr>
                <w:rFonts w:ascii="Arial" w:eastAsia="Calibri" w:hAnsi="Arial" w:cs="Arial"/>
                <w:noProof/>
                <w:sz w:val="20"/>
              </w:rPr>
              <w:t>(</w:t>
            </w:r>
            <w:r w:rsidR="00E364FE" w:rsidRPr="0081406E">
              <w:rPr>
                <w:rFonts w:ascii="Arial" w:eastAsia="Calibri" w:hAnsi="Arial" w:cs="Arial"/>
                <w:noProof/>
                <w:sz w:val="20"/>
              </w:rPr>
              <w:t xml:space="preserve">in 2024-2036 time horizon </w:t>
            </w:r>
            <w:r>
              <w:rPr>
                <w:rFonts w:ascii="Arial" w:eastAsia="Calibri" w:hAnsi="Arial" w:cs="Arial"/>
                <w:noProof/>
                <w:sz w:val="20"/>
              </w:rPr>
              <w:t>additional costs primarily due to</w:t>
            </w:r>
            <w:r w:rsidR="00E364FE" w:rsidRPr="0081406E">
              <w:rPr>
                <w:rFonts w:ascii="Arial" w:eastAsia="Calibri" w:hAnsi="Arial" w:cs="Arial"/>
                <w:noProof/>
                <w:sz w:val="20"/>
              </w:rPr>
              <w:t xml:space="preserve"> higher investment expenditures) </w:t>
            </w:r>
          </w:p>
        </w:tc>
      </w:tr>
      <w:tr w:rsidR="00E364FE" w:rsidRPr="0081406E" w14:paraId="2EA2AA4E" w14:textId="77777777" w:rsidTr="00E62BD3">
        <w:tc>
          <w:tcPr>
            <w:tcW w:w="1881" w:type="dxa"/>
            <w:tcBorders>
              <w:bottom w:val="double" w:sz="4" w:space="0" w:color="auto"/>
            </w:tcBorders>
          </w:tcPr>
          <w:p w14:paraId="447C5804" w14:textId="67F187DC" w:rsidR="00E364FE" w:rsidRPr="0081406E" w:rsidRDefault="00163893" w:rsidP="00E62BD3">
            <w:pPr>
              <w:rPr>
                <w:rFonts w:ascii="Arial" w:eastAsia="Calibri" w:hAnsi="Arial" w:cs="Arial"/>
                <w:noProof/>
                <w:sz w:val="20"/>
              </w:rPr>
            </w:pPr>
            <w:r>
              <w:rPr>
                <w:rFonts w:ascii="Arial" w:eastAsia="Calibri" w:hAnsi="Arial" w:cs="Arial"/>
                <w:noProof/>
                <w:sz w:val="20"/>
              </w:rPr>
              <w:t>Revenue from</w:t>
            </w:r>
            <w:r w:rsidR="00E364FE" w:rsidRPr="0081406E">
              <w:rPr>
                <w:rFonts w:ascii="Arial" w:eastAsia="Calibri" w:hAnsi="Arial" w:cs="Arial"/>
                <w:noProof/>
                <w:sz w:val="20"/>
              </w:rPr>
              <w:t xml:space="preserve"> quota allocation </w:t>
            </w:r>
            <w:r>
              <w:rPr>
                <w:rFonts w:ascii="Arial" w:eastAsia="Calibri" w:hAnsi="Arial" w:cs="Arial"/>
                <w:noProof/>
                <w:sz w:val="20"/>
              </w:rPr>
              <w:t>price</w:t>
            </w:r>
            <w:r w:rsidR="00E364FE" w:rsidRPr="0081406E">
              <w:rPr>
                <w:rFonts w:ascii="Arial" w:eastAsia="Calibri" w:hAnsi="Arial" w:cs="Arial"/>
                <w:noProof/>
                <w:sz w:val="20"/>
              </w:rPr>
              <w:t xml:space="preserve"> </w:t>
            </w:r>
          </w:p>
        </w:tc>
        <w:tc>
          <w:tcPr>
            <w:tcW w:w="3937" w:type="dxa"/>
            <w:tcBorders>
              <w:bottom w:val="double" w:sz="4" w:space="0" w:color="auto"/>
            </w:tcBorders>
            <w:tcMar>
              <w:top w:w="57" w:type="dxa"/>
              <w:left w:w="57" w:type="dxa"/>
              <w:bottom w:w="57" w:type="dxa"/>
              <w:right w:w="57" w:type="dxa"/>
            </w:tcMar>
          </w:tcPr>
          <w:p w14:paraId="7149633B" w14:textId="0167622E" w:rsidR="00E364FE" w:rsidRPr="0081406E" w:rsidRDefault="00DB1296" w:rsidP="00E62BD3">
            <w:pPr>
              <w:rPr>
                <w:rFonts w:ascii="Arial" w:eastAsia="Calibri" w:hAnsi="Arial" w:cs="Arial"/>
                <w:noProof/>
                <w:sz w:val="20"/>
              </w:rPr>
            </w:pPr>
            <w:r>
              <w:rPr>
                <w:rFonts w:ascii="Arial" w:eastAsia="Calibri" w:hAnsi="Arial" w:cs="Arial"/>
                <w:noProof/>
                <w:sz w:val="20"/>
              </w:rPr>
              <w:t>~125 Mio € per year initially</w:t>
            </w:r>
          </w:p>
        </w:tc>
        <w:tc>
          <w:tcPr>
            <w:tcW w:w="3113" w:type="dxa"/>
            <w:tcBorders>
              <w:bottom w:val="double" w:sz="4" w:space="0" w:color="auto"/>
            </w:tcBorders>
            <w:tcMar>
              <w:top w:w="57" w:type="dxa"/>
              <w:left w:w="57" w:type="dxa"/>
              <w:bottom w:w="57" w:type="dxa"/>
              <w:right w:w="57" w:type="dxa"/>
            </w:tcMar>
          </w:tcPr>
          <w:p w14:paraId="2770D4DB" w14:textId="6F72AA37" w:rsidR="00E364FE" w:rsidRPr="0081406E" w:rsidRDefault="00163893" w:rsidP="00E62BD3">
            <w:pPr>
              <w:rPr>
                <w:rFonts w:ascii="Arial" w:eastAsia="Calibri" w:hAnsi="Arial" w:cs="Arial"/>
                <w:noProof/>
                <w:sz w:val="20"/>
              </w:rPr>
            </w:pPr>
            <w:r>
              <w:rPr>
                <w:rFonts w:ascii="Arial" w:eastAsia="Calibri" w:hAnsi="Arial" w:cs="Arial"/>
                <w:noProof/>
                <w:sz w:val="20"/>
              </w:rPr>
              <w:t>The quota allocation price</w:t>
            </w:r>
            <w:r w:rsidR="00E364FE" w:rsidRPr="0081406E">
              <w:rPr>
                <w:rFonts w:ascii="Arial" w:eastAsia="Calibri" w:hAnsi="Arial" w:cs="Arial"/>
                <w:noProof/>
                <w:sz w:val="20"/>
              </w:rPr>
              <w:t xml:space="preserve"> reduces profits in HFC supply chain without increasing cost to </w:t>
            </w:r>
            <w:r w:rsidR="00FF082D">
              <w:rPr>
                <w:rFonts w:ascii="Arial" w:eastAsia="Calibri" w:hAnsi="Arial" w:cs="Arial"/>
                <w:noProof/>
                <w:sz w:val="20"/>
              </w:rPr>
              <w:t>end-user</w:t>
            </w:r>
            <w:r w:rsidR="00E364FE" w:rsidRPr="0081406E">
              <w:rPr>
                <w:rFonts w:ascii="Arial" w:eastAsia="Calibri" w:hAnsi="Arial" w:cs="Arial"/>
                <w:noProof/>
                <w:sz w:val="20"/>
              </w:rPr>
              <w:t xml:space="preserve">s. </w:t>
            </w:r>
            <w:r>
              <w:rPr>
                <w:rFonts w:ascii="Arial" w:eastAsia="Calibri" w:hAnsi="Arial" w:cs="Arial"/>
                <w:noProof/>
                <w:sz w:val="20"/>
              </w:rPr>
              <w:t xml:space="preserve">To cover </w:t>
            </w:r>
            <w:r w:rsidR="00E364FE" w:rsidRPr="0081406E">
              <w:rPr>
                <w:rFonts w:ascii="Arial" w:eastAsia="Calibri" w:hAnsi="Arial" w:cs="Arial"/>
                <w:noProof/>
                <w:sz w:val="20"/>
              </w:rPr>
              <w:t>admin cost at EU level</w:t>
            </w:r>
            <w:r>
              <w:rPr>
                <w:rFonts w:ascii="Arial" w:eastAsia="Calibri" w:hAnsi="Arial" w:cs="Arial"/>
                <w:noProof/>
                <w:sz w:val="20"/>
              </w:rPr>
              <w:t xml:space="preserve"> and residual amount to be transferred to the EU budget</w:t>
            </w:r>
            <w:r w:rsidR="00E364FE" w:rsidRPr="0081406E">
              <w:rPr>
                <w:rFonts w:ascii="Arial" w:eastAsia="Calibri" w:hAnsi="Arial" w:cs="Arial"/>
                <w:noProof/>
                <w:sz w:val="20"/>
              </w:rPr>
              <w:t>.</w:t>
            </w:r>
          </w:p>
        </w:tc>
      </w:tr>
      <w:tr w:rsidR="00E364FE" w:rsidRPr="0081406E" w14:paraId="1F747166" w14:textId="77777777" w:rsidTr="00E62BD3">
        <w:tc>
          <w:tcPr>
            <w:tcW w:w="8931" w:type="dxa"/>
            <w:gridSpan w:val="3"/>
            <w:shd w:val="clear" w:color="auto" w:fill="F2F2F2"/>
          </w:tcPr>
          <w:p w14:paraId="316C3686" w14:textId="77777777" w:rsidR="00E364FE" w:rsidRPr="0081406E" w:rsidRDefault="00E364FE" w:rsidP="00E62BD3">
            <w:pPr>
              <w:rPr>
                <w:rFonts w:ascii="Arial" w:eastAsia="Calibri" w:hAnsi="Arial" w:cs="Arial"/>
                <w:b/>
                <w:i/>
                <w:noProof/>
                <w:sz w:val="20"/>
              </w:rPr>
            </w:pPr>
            <w:r w:rsidRPr="0081406E">
              <w:rPr>
                <w:rFonts w:ascii="Arial" w:eastAsia="Calibri" w:hAnsi="Arial" w:cs="Arial"/>
                <w:b/>
                <w:i/>
                <w:noProof/>
                <w:sz w:val="20"/>
              </w:rPr>
              <w:t>Indirect benefits</w:t>
            </w:r>
          </w:p>
        </w:tc>
      </w:tr>
      <w:tr w:rsidR="00E364FE" w:rsidRPr="0081406E" w14:paraId="1EB3FEB5" w14:textId="77777777" w:rsidTr="00E62BD3">
        <w:tc>
          <w:tcPr>
            <w:tcW w:w="1881" w:type="dxa"/>
            <w:tcBorders>
              <w:top w:val="double" w:sz="4" w:space="0" w:color="auto"/>
            </w:tcBorders>
          </w:tcPr>
          <w:p w14:paraId="512F0ACE" w14:textId="77777777" w:rsidR="00E364FE" w:rsidRPr="0081406E" w:rsidRDefault="00E364FE" w:rsidP="00E62BD3">
            <w:pPr>
              <w:rPr>
                <w:rFonts w:ascii="Arial" w:eastAsia="Calibri" w:hAnsi="Arial" w:cs="Arial"/>
                <w:noProof/>
                <w:sz w:val="20"/>
              </w:rPr>
            </w:pPr>
            <w:r w:rsidRPr="0081406E">
              <w:rPr>
                <w:rFonts w:ascii="Arial" w:eastAsia="Calibri" w:hAnsi="Arial" w:cs="Arial"/>
                <w:noProof/>
                <w:sz w:val="20"/>
              </w:rPr>
              <w:t>Job creation</w:t>
            </w:r>
          </w:p>
        </w:tc>
        <w:tc>
          <w:tcPr>
            <w:tcW w:w="3937" w:type="dxa"/>
            <w:tcBorders>
              <w:top w:val="double" w:sz="4" w:space="0" w:color="auto"/>
            </w:tcBorders>
            <w:tcMar>
              <w:top w:w="57" w:type="dxa"/>
              <w:left w:w="57" w:type="dxa"/>
              <w:bottom w:w="57" w:type="dxa"/>
              <w:right w:w="57" w:type="dxa"/>
            </w:tcMar>
          </w:tcPr>
          <w:p w14:paraId="14BE55E2" w14:textId="77777777" w:rsidR="00E364FE" w:rsidRPr="0081406E" w:rsidRDefault="00E364FE" w:rsidP="00E62BD3">
            <w:pPr>
              <w:rPr>
                <w:rFonts w:ascii="Arial" w:eastAsia="Calibri" w:hAnsi="Arial" w:cs="Arial"/>
                <w:noProof/>
                <w:sz w:val="20"/>
              </w:rPr>
            </w:pPr>
            <w:r w:rsidRPr="0081406E">
              <w:rPr>
                <w:rFonts w:ascii="Arial" w:eastAsia="Calibri" w:hAnsi="Arial" w:cs="Arial"/>
                <w:noProof/>
                <w:sz w:val="20"/>
              </w:rPr>
              <w:t>~400 by 2030, ~6,800 by 2050</w:t>
            </w:r>
          </w:p>
        </w:tc>
        <w:tc>
          <w:tcPr>
            <w:tcW w:w="3113" w:type="dxa"/>
            <w:tcBorders>
              <w:top w:val="double" w:sz="4" w:space="0" w:color="auto"/>
            </w:tcBorders>
            <w:tcMar>
              <w:top w:w="57" w:type="dxa"/>
              <w:left w:w="57" w:type="dxa"/>
              <w:bottom w:w="57" w:type="dxa"/>
              <w:right w:w="57" w:type="dxa"/>
            </w:tcMar>
          </w:tcPr>
          <w:p w14:paraId="64F178CB" w14:textId="7B3A663A" w:rsidR="00E364FE" w:rsidRPr="0081406E" w:rsidRDefault="00B116FF" w:rsidP="00E62BD3">
            <w:pPr>
              <w:rPr>
                <w:rFonts w:ascii="Arial" w:eastAsia="Calibri" w:hAnsi="Arial" w:cs="Arial"/>
                <w:noProof/>
                <w:sz w:val="20"/>
              </w:rPr>
            </w:pPr>
            <w:r>
              <w:rPr>
                <w:rFonts w:ascii="Arial" w:eastAsia="Calibri" w:hAnsi="Arial" w:cs="Arial"/>
                <w:noProof/>
                <w:sz w:val="20"/>
              </w:rPr>
              <w:t>In particular in the EU manufacture of equipment and supplying industries</w:t>
            </w:r>
          </w:p>
        </w:tc>
      </w:tr>
      <w:tr w:rsidR="00E364FE" w:rsidRPr="0081406E" w14:paraId="0ECA4921" w14:textId="77777777" w:rsidTr="00E62BD3">
        <w:tc>
          <w:tcPr>
            <w:tcW w:w="1881" w:type="dxa"/>
          </w:tcPr>
          <w:p w14:paraId="7A3F1C00" w14:textId="77777777" w:rsidR="00E364FE" w:rsidRPr="0081406E" w:rsidRDefault="00E364FE" w:rsidP="00E62BD3">
            <w:pPr>
              <w:rPr>
                <w:rFonts w:ascii="Arial" w:eastAsia="Calibri" w:hAnsi="Arial" w:cs="Arial"/>
                <w:noProof/>
                <w:sz w:val="20"/>
              </w:rPr>
            </w:pPr>
            <w:r w:rsidRPr="0081406E">
              <w:rPr>
                <w:rFonts w:ascii="Arial" w:eastAsia="Calibri" w:hAnsi="Arial" w:cs="Arial"/>
                <w:noProof/>
                <w:sz w:val="20"/>
              </w:rPr>
              <w:t xml:space="preserve">Research and development </w:t>
            </w:r>
          </w:p>
        </w:tc>
        <w:tc>
          <w:tcPr>
            <w:tcW w:w="3937" w:type="dxa"/>
            <w:tcMar>
              <w:top w:w="57" w:type="dxa"/>
              <w:left w:w="57" w:type="dxa"/>
              <w:bottom w:w="57" w:type="dxa"/>
              <w:right w:w="57" w:type="dxa"/>
            </w:tcMar>
          </w:tcPr>
          <w:p w14:paraId="62221952" w14:textId="77777777" w:rsidR="00E364FE" w:rsidRPr="0081406E" w:rsidRDefault="00E364FE" w:rsidP="00E62BD3">
            <w:pPr>
              <w:rPr>
                <w:rFonts w:ascii="Arial" w:eastAsia="Calibri" w:hAnsi="Arial" w:cs="Arial"/>
                <w:noProof/>
                <w:sz w:val="20"/>
              </w:rPr>
            </w:pPr>
            <w:r w:rsidRPr="0081406E">
              <w:rPr>
                <w:rFonts w:ascii="Arial" w:eastAsia="Calibri" w:hAnsi="Arial" w:cs="Arial"/>
                <w:noProof/>
                <w:sz w:val="20"/>
              </w:rPr>
              <w:t>+</w:t>
            </w:r>
          </w:p>
        </w:tc>
        <w:tc>
          <w:tcPr>
            <w:tcW w:w="3113" w:type="dxa"/>
            <w:tcMar>
              <w:top w:w="57" w:type="dxa"/>
              <w:left w:w="57" w:type="dxa"/>
              <w:bottom w:w="57" w:type="dxa"/>
              <w:right w:w="57" w:type="dxa"/>
            </w:tcMar>
          </w:tcPr>
          <w:p w14:paraId="5132393A" w14:textId="77777777" w:rsidR="00E364FE" w:rsidRPr="0081406E" w:rsidRDefault="00E364FE" w:rsidP="00E62BD3">
            <w:pPr>
              <w:rPr>
                <w:rFonts w:ascii="Arial" w:eastAsia="Calibri" w:hAnsi="Arial" w:cs="Arial"/>
                <w:noProof/>
                <w:sz w:val="20"/>
              </w:rPr>
            </w:pPr>
            <w:r w:rsidRPr="0081406E">
              <w:rPr>
                <w:rFonts w:ascii="Arial" w:eastAsia="Calibri" w:hAnsi="Arial" w:cs="Arial"/>
                <w:noProof/>
                <w:sz w:val="20"/>
              </w:rPr>
              <w:t>Incentive in R&amp;D in the EU equipment manufacturing sector</w:t>
            </w:r>
          </w:p>
        </w:tc>
      </w:tr>
      <w:tr w:rsidR="00E364FE" w:rsidRPr="0081406E" w14:paraId="0C10C0ED" w14:textId="77777777" w:rsidTr="00E62BD3">
        <w:tc>
          <w:tcPr>
            <w:tcW w:w="1881" w:type="dxa"/>
          </w:tcPr>
          <w:p w14:paraId="01642F6A" w14:textId="77777777" w:rsidR="00E364FE" w:rsidRPr="0081406E" w:rsidRDefault="00E364FE" w:rsidP="00E62BD3">
            <w:pPr>
              <w:rPr>
                <w:rFonts w:ascii="Arial" w:eastAsia="Calibri" w:hAnsi="Arial" w:cs="Arial"/>
                <w:noProof/>
                <w:sz w:val="20"/>
              </w:rPr>
            </w:pPr>
            <w:r w:rsidRPr="0081406E">
              <w:rPr>
                <w:rFonts w:ascii="Arial" w:eastAsia="Calibri" w:hAnsi="Arial" w:cs="Arial"/>
                <w:noProof/>
                <w:sz w:val="20"/>
              </w:rPr>
              <w:t>Competitiveness</w:t>
            </w:r>
          </w:p>
        </w:tc>
        <w:tc>
          <w:tcPr>
            <w:tcW w:w="3937" w:type="dxa"/>
            <w:tcMar>
              <w:top w:w="57" w:type="dxa"/>
              <w:left w:w="57" w:type="dxa"/>
              <w:bottom w:w="57" w:type="dxa"/>
              <w:right w:w="57" w:type="dxa"/>
            </w:tcMar>
          </w:tcPr>
          <w:p w14:paraId="7B7BA05D" w14:textId="77777777" w:rsidR="00E364FE" w:rsidRPr="0081406E" w:rsidRDefault="00E364FE" w:rsidP="00E62BD3">
            <w:pPr>
              <w:rPr>
                <w:rFonts w:ascii="Arial" w:eastAsia="Calibri" w:hAnsi="Arial" w:cs="Arial"/>
                <w:noProof/>
                <w:sz w:val="20"/>
              </w:rPr>
            </w:pPr>
            <w:r w:rsidRPr="0081406E">
              <w:rPr>
                <w:rFonts w:ascii="Arial" w:eastAsia="Calibri" w:hAnsi="Arial" w:cs="Arial"/>
                <w:noProof/>
                <w:sz w:val="20"/>
              </w:rPr>
              <w:t>+</w:t>
            </w:r>
          </w:p>
        </w:tc>
        <w:tc>
          <w:tcPr>
            <w:tcW w:w="3113" w:type="dxa"/>
            <w:tcMar>
              <w:top w:w="57" w:type="dxa"/>
              <w:left w:w="57" w:type="dxa"/>
              <w:bottom w:w="57" w:type="dxa"/>
              <w:right w:w="57" w:type="dxa"/>
            </w:tcMar>
          </w:tcPr>
          <w:p w14:paraId="50C40C17" w14:textId="77777777" w:rsidR="00E364FE" w:rsidRPr="0081406E" w:rsidRDefault="00E364FE" w:rsidP="00E62BD3">
            <w:pPr>
              <w:rPr>
                <w:rFonts w:ascii="Arial" w:eastAsia="Calibri" w:hAnsi="Arial" w:cs="Arial"/>
                <w:noProof/>
                <w:sz w:val="20"/>
              </w:rPr>
            </w:pPr>
            <w:r w:rsidRPr="0081406E">
              <w:rPr>
                <w:rFonts w:ascii="Arial" w:eastAsia="Calibri" w:hAnsi="Arial" w:cs="Arial"/>
                <w:noProof/>
                <w:sz w:val="20"/>
              </w:rPr>
              <w:t>Strengthened competitiveness of EU equipment manufacturing sector; however: drawback for export-oriented equipment manufacturing</w:t>
            </w:r>
          </w:p>
        </w:tc>
      </w:tr>
      <w:tr w:rsidR="00E364FE" w:rsidRPr="0081406E" w14:paraId="08323D29" w14:textId="77777777" w:rsidTr="00E62BD3">
        <w:tc>
          <w:tcPr>
            <w:tcW w:w="1881" w:type="dxa"/>
          </w:tcPr>
          <w:p w14:paraId="79C5ED28" w14:textId="77777777" w:rsidR="00E364FE" w:rsidRPr="0081406E" w:rsidRDefault="00E364FE" w:rsidP="00E62BD3">
            <w:pPr>
              <w:rPr>
                <w:rFonts w:ascii="Arial" w:eastAsia="Calibri" w:hAnsi="Arial" w:cs="Arial"/>
                <w:noProof/>
                <w:sz w:val="20"/>
              </w:rPr>
            </w:pPr>
            <w:r w:rsidRPr="0081406E">
              <w:rPr>
                <w:rFonts w:ascii="Arial" w:eastAsia="Calibri" w:hAnsi="Arial" w:cs="Arial"/>
                <w:noProof/>
                <w:sz w:val="20"/>
              </w:rPr>
              <w:t>GDP increase</w:t>
            </w:r>
          </w:p>
        </w:tc>
        <w:tc>
          <w:tcPr>
            <w:tcW w:w="3937" w:type="dxa"/>
            <w:tcMar>
              <w:top w:w="57" w:type="dxa"/>
              <w:left w:w="57" w:type="dxa"/>
              <w:bottom w:w="57" w:type="dxa"/>
              <w:right w:w="57" w:type="dxa"/>
            </w:tcMar>
          </w:tcPr>
          <w:p w14:paraId="3928060D" w14:textId="77777777" w:rsidR="00E364FE" w:rsidRPr="0081406E" w:rsidRDefault="00E364FE" w:rsidP="00E62BD3">
            <w:pPr>
              <w:rPr>
                <w:rFonts w:ascii="Arial" w:eastAsia="Calibri" w:hAnsi="Arial" w:cs="Arial"/>
                <w:noProof/>
                <w:sz w:val="20"/>
              </w:rPr>
            </w:pPr>
            <w:r w:rsidRPr="0081406E">
              <w:rPr>
                <w:rFonts w:ascii="Arial" w:eastAsia="Calibri" w:hAnsi="Arial" w:cs="Arial"/>
                <w:noProof/>
                <w:sz w:val="20"/>
              </w:rPr>
              <w:t>+ 0.005 vs baseline by 2050</w:t>
            </w:r>
          </w:p>
        </w:tc>
        <w:tc>
          <w:tcPr>
            <w:tcW w:w="3113" w:type="dxa"/>
            <w:tcMar>
              <w:top w:w="57" w:type="dxa"/>
              <w:left w:w="57" w:type="dxa"/>
              <w:bottom w:w="57" w:type="dxa"/>
              <w:right w:w="57" w:type="dxa"/>
            </w:tcMar>
          </w:tcPr>
          <w:p w14:paraId="4F7CF790" w14:textId="77777777" w:rsidR="00E364FE" w:rsidRPr="0081406E" w:rsidRDefault="00E364FE" w:rsidP="00E62BD3">
            <w:pPr>
              <w:rPr>
                <w:rFonts w:ascii="Arial" w:eastAsia="Calibri" w:hAnsi="Arial" w:cs="Arial"/>
                <w:noProof/>
                <w:sz w:val="20"/>
              </w:rPr>
            </w:pPr>
            <w:r w:rsidRPr="0081406E">
              <w:rPr>
                <w:rFonts w:ascii="Arial" w:eastAsia="Calibri" w:hAnsi="Arial" w:cs="Arial"/>
                <w:noProof/>
                <w:sz w:val="20"/>
              </w:rPr>
              <w:t>GDP increase in the long-term perspective. In 2030 horizon: GDP loss of ~0.001% of baseline</w:t>
            </w:r>
          </w:p>
        </w:tc>
      </w:tr>
    </w:tbl>
    <w:p w14:paraId="4822184D" w14:textId="77777777" w:rsidR="00E364FE" w:rsidRPr="0081406E" w:rsidRDefault="00E364FE" w:rsidP="00E364FE">
      <w:pPr>
        <w:rPr>
          <w:rFonts w:ascii="Arial" w:eastAsia="Calibri" w:hAnsi="Arial" w:cs="Arial"/>
          <w:noProof/>
          <w:sz w:val="20"/>
        </w:rPr>
      </w:pPr>
    </w:p>
    <w:tbl>
      <w:tblPr>
        <w:tblW w:w="8931" w:type="dxa"/>
        <w:tblInd w:w="5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418"/>
        <w:gridCol w:w="850"/>
        <w:gridCol w:w="1985"/>
        <w:gridCol w:w="992"/>
        <w:gridCol w:w="1418"/>
        <w:gridCol w:w="1134"/>
        <w:gridCol w:w="1134"/>
      </w:tblGrid>
      <w:tr w:rsidR="00E364FE" w:rsidRPr="0081406E" w14:paraId="49F7380F" w14:textId="77777777" w:rsidTr="00E62BD3">
        <w:tc>
          <w:tcPr>
            <w:tcW w:w="8931" w:type="dxa"/>
            <w:gridSpan w:val="7"/>
            <w:shd w:val="clear" w:color="auto" w:fill="C6D9F1"/>
            <w:tcMar>
              <w:top w:w="57" w:type="dxa"/>
              <w:left w:w="57" w:type="dxa"/>
              <w:bottom w:w="57" w:type="dxa"/>
              <w:right w:w="57" w:type="dxa"/>
            </w:tcMar>
          </w:tcPr>
          <w:p w14:paraId="5F0B2780" w14:textId="77777777" w:rsidR="00E364FE" w:rsidRPr="0081406E" w:rsidRDefault="00E364FE" w:rsidP="00E62BD3">
            <w:pPr>
              <w:rPr>
                <w:rFonts w:ascii="Arial" w:eastAsia="Calibri" w:hAnsi="Arial" w:cs="Arial"/>
                <w:b/>
                <w:i/>
                <w:noProof/>
                <w:sz w:val="20"/>
              </w:rPr>
            </w:pPr>
            <w:r w:rsidRPr="0081406E">
              <w:rPr>
                <w:rFonts w:ascii="Arial" w:eastAsia="Calibri" w:hAnsi="Arial" w:cs="Arial"/>
                <w:b/>
                <w:i/>
                <w:noProof/>
                <w:sz w:val="20"/>
              </w:rPr>
              <w:t>II. Overview of costs – Preferred option</w:t>
            </w:r>
          </w:p>
        </w:tc>
      </w:tr>
      <w:tr w:rsidR="00E364FE" w:rsidRPr="0081406E" w14:paraId="2E36D7A8" w14:textId="77777777" w:rsidTr="00B116FF">
        <w:tc>
          <w:tcPr>
            <w:tcW w:w="1418" w:type="dxa"/>
            <w:vMerge w:val="restart"/>
            <w:tcBorders>
              <w:top w:val="double" w:sz="4" w:space="0" w:color="auto"/>
              <w:right w:val="double" w:sz="4" w:space="0" w:color="auto"/>
              <w:tl2br w:val="double" w:sz="4" w:space="0" w:color="auto"/>
            </w:tcBorders>
            <w:tcMar>
              <w:top w:w="57" w:type="dxa"/>
              <w:left w:w="57" w:type="dxa"/>
              <w:bottom w:w="57" w:type="dxa"/>
              <w:right w:w="57" w:type="dxa"/>
            </w:tcMar>
          </w:tcPr>
          <w:p w14:paraId="2C2E7A22" w14:textId="77777777" w:rsidR="00E364FE" w:rsidRPr="0081406E" w:rsidRDefault="00E364FE" w:rsidP="00E62BD3">
            <w:pPr>
              <w:rPr>
                <w:rFonts w:ascii="Arial" w:eastAsia="Calibri" w:hAnsi="Arial" w:cs="Arial"/>
                <w:noProof/>
                <w:sz w:val="20"/>
              </w:rPr>
            </w:pPr>
          </w:p>
        </w:tc>
        <w:tc>
          <w:tcPr>
            <w:tcW w:w="2835" w:type="dxa"/>
            <w:gridSpan w:val="2"/>
            <w:tcBorders>
              <w:left w:val="double" w:sz="4" w:space="0" w:color="auto"/>
            </w:tcBorders>
            <w:tcMar>
              <w:top w:w="57" w:type="dxa"/>
              <w:left w:w="57" w:type="dxa"/>
              <w:bottom w:w="57" w:type="dxa"/>
              <w:right w:w="57" w:type="dxa"/>
            </w:tcMar>
          </w:tcPr>
          <w:p w14:paraId="0E10264C" w14:textId="6F571D4E" w:rsidR="00E364FE" w:rsidRPr="0081406E" w:rsidRDefault="00E364FE" w:rsidP="00E62BD3">
            <w:pPr>
              <w:rPr>
                <w:rFonts w:ascii="Arial" w:eastAsia="Calibri" w:hAnsi="Arial" w:cs="Arial"/>
                <w:noProof/>
                <w:sz w:val="20"/>
              </w:rPr>
            </w:pPr>
            <w:r w:rsidRPr="0081406E">
              <w:rPr>
                <w:rFonts w:ascii="Arial" w:eastAsia="Calibri" w:hAnsi="Arial" w:cs="Arial"/>
                <w:noProof/>
                <w:sz w:val="20"/>
              </w:rPr>
              <w:t>Citizens/</w:t>
            </w:r>
            <w:r w:rsidR="00A831BF">
              <w:rPr>
                <w:rFonts w:ascii="Arial" w:eastAsia="Calibri" w:hAnsi="Arial" w:cs="Arial"/>
                <w:noProof/>
                <w:sz w:val="20"/>
              </w:rPr>
              <w:t xml:space="preserve">Private </w:t>
            </w:r>
            <w:r w:rsidRPr="0081406E">
              <w:rPr>
                <w:rFonts w:ascii="Arial" w:eastAsia="Calibri" w:hAnsi="Arial" w:cs="Arial"/>
                <w:noProof/>
                <w:sz w:val="20"/>
              </w:rPr>
              <w:t xml:space="preserve">Consumers </w:t>
            </w:r>
          </w:p>
        </w:tc>
        <w:tc>
          <w:tcPr>
            <w:tcW w:w="2410" w:type="dxa"/>
            <w:gridSpan w:val="2"/>
            <w:tcMar>
              <w:top w:w="57" w:type="dxa"/>
              <w:left w:w="57" w:type="dxa"/>
              <w:bottom w:w="57" w:type="dxa"/>
              <w:right w:w="57" w:type="dxa"/>
            </w:tcMar>
          </w:tcPr>
          <w:p w14:paraId="1C99F113" w14:textId="77777777" w:rsidR="00E364FE" w:rsidRPr="0081406E" w:rsidRDefault="00E364FE" w:rsidP="00E62BD3">
            <w:pPr>
              <w:rPr>
                <w:rFonts w:ascii="Arial" w:eastAsia="Calibri" w:hAnsi="Arial" w:cs="Arial"/>
                <w:noProof/>
                <w:sz w:val="20"/>
              </w:rPr>
            </w:pPr>
            <w:r w:rsidRPr="0081406E">
              <w:rPr>
                <w:rFonts w:ascii="Arial" w:eastAsia="Calibri" w:hAnsi="Arial" w:cs="Arial"/>
                <w:noProof/>
                <w:sz w:val="20"/>
              </w:rPr>
              <w:t>Businesses</w:t>
            </w:r>
          </w:p>
        </w:tc>
        <w:tc>
          <w:tcPr>
            <w:tcW w:w="2268" w:type="dxa"/>
            <w:gridSpan w:val="2"/>
            <w:tcMar>
              <w:top w:w="57" w:type="dxa"/>
              <w:left w:w="57" w:type="dxa"/>
              <w:bottom w:w="57" w:type="dxa"/>
              <w:right w:w="57" w:type="dxa"/>
            </w:tcMar>
          </w:tcPr>
          <w:p w14:paraId="58C239F8" w14:textId="77777777" w:rsidR="00E364FE" w:rsidRPr="0081406E" w:rsidRDefault="00E364FE" w:rsidP="00E62BD3">
            <w:pPr>
              <w:rPr>
                <w:rFonts w:ascii="Arial" w:eastAsia="Calibri" w:hAnsi="Arial" w:cs="Arial"/>
                <w:noProof/>
                <w:sz w:val="20"/>
              </w:rPr>
            </w:pPr>
            <w:r w:rsidRPr="0081406E">
              <w:rPr>
                <w:rFonts w:ascii="Arial" w:eastAsia="Calibri" w:hAnsi="Arial" w:cs="Arial"/>
                <w:noProof/>
                <w:sz w:val="20"/>
              </w:rPr>
              <w:t>Administrations</w:t>
            </w:r>
          </w:p>
        </w:tc>
      </w:tr>
      <w:tr w:rsidR="00E364FE" w:rsidRPr="0081406E" w14:paraId="6B5DC3D7" w14:textId="77777777" w:rsidTr="00B116FF">
        <w:tc>
          <w:tcPr>
            <w:tcW w:w="1418" w:type="dxa"/>
            <w:vMerge/>
            <w:tcBorders>
              <w:bottom w:val="double" w:sz="4" w:space="0" w:color="auto"/>
              <w:right w:val="double" w:sz="4" w:space="0" w:color="auto"/>
              <w:tl2br w:val="double" w:sz="4" w:space="0" w:color="auto"/>
            </w:tcBorders>
            <w:tcMar>
              <w:top w:w="57" w:type="dxa"/>
              <w:left w:w="57" w:type="dxa"/>
              <w:bottom w:w="57" w:type="dxa"/>
              <w:right w:w="57" w:type="dxa"/>
            </w:tcMar>
          </w:tcPr>
          <w:p w14:paraId="08FC057A" w14:textId="77777777" w:rsidR="00E364FE" w:rsidRPr="0081406E" w:rsidRDefault="00E364FE" w:rsidP="00E62BD3">
            <w:pPr>
              <w:rPr>
                <w:rFonts w:ascii="Arial" w:eastAsia="Calibri" w:hAnsi="Arial" w:cs="Arial"/>
                <w:noProof/>
                <w:sz w:val="20"/>
              </w:rPr>
            </w:pPr>
          </w:p>
        </w:tc>
        <w:tc>
          <w:tcPr>
            <w:tcW w:w="850" w:type="dxa"/>
            <w:tcBorders>
              <w:left w:val="double" w:sz="4" w:space="0" w:color="auto"/>
              <w:bottom w:val="double" w:sz="4" w:space="0" w:color="auto"/>
            </w:tcBorders>
            <w:tcMar>
              <w:top w:w="57" w:type="dxa"/>
              <w:left w:w="57" w:type="dxa"/>
              <w:bottom w:w="57" w:type="dxa"/>
              <w:right w:w="57" w:type="dxa"/>
            </w:tcMar>
          </w:tcPr>
          <w:p w14:paraId="476ACAB3" w14:textId="77777777" w:rsidR="00E364FE" w:rsidRPr="0081406E" w:rsidRDefault="00E364FE" w:rsidP="00E62BD3">
            <w:pPr>
              <w:rPr>
                <w:rFonts w:ascii="Arial" w:eastAsia="Calibri" w:hAnsi="Arial" w:cs="Arial"/>
                <w:noProof/>
                <w:sz w:val="20"/>
              </w:rPr>
            </w:pPr>
            <w:r w:rsidRPr="0081406E">
              <w:rPr>
                <w:rFonts w:ascii="Arial" w:eastAsia="Calibri" w:hAnsi="Arial" w:cs="Arial"/>
                <w:noProof/>
                <w:sz w:val="20"/>
              </w:rPr>
              <w:t>One-off</w:t>
            </w:r>
          </w:p>
        </w:tc>
        <w:tc>
          <w:tcPr>
            <w:tcW w:w="1985" w:type="dxa"/>
            <w:tcBorders>
              <w:bottom w:val="double" w:sz="4" w:space="0" w:color="auto"/>
            </w:tcBorders>
            <w:tcMar>
              <w:top w:w="57" w:type="dxa"/>
              <w:left w:w="57" w:type="dxa"/>
              <w:bottom w:w="57" w:type="dxa"/>
              <w:right w:w="57" w:type="dxa"/>
            </w:tcMar>
          </w:tcPr>
          <w:p w14:paraId="66EF0366" w14:textId="77777777" w:rsidR="00E364FE" w:rsidRPr="0081406E" w:rsidRDefault="00E364FE" w:rsidP="00E62BD3">
            <w:pPr>
              <w:rPr>
                <w:rFonts w:ascii="Arial" w:eastAsia="Calibri" w:hAnsi="Arial" w:cs="Arial"/>
                <w:noProof/>
                <w:sz w:val="20"/>
              </w:rPr>
            </w:pPr>
            <w:r w:rsidRPr="0081406E">
              <w:rPr>
                <w:rFonts w:ascii="Arial" w:eastAsia="Calibri" w:hAnsi="Arial" w:cs="Arial"/>
                <w:noProof/>
                <w:sz w:val="20"/>
              </w:rPr>
              <w:t>Recurrent</w:t>
            </w:r>
          </w:p>
        </w:tc>
        <w:tc>
          <w:tcPr>
            <w:tcW w:w="992" w:type="dxa"/>
            <w:tcBorders>
              <w:bottom w:val="double" w:sz="4" w:space="0" w:color="auto"/>
            </w:tcBorders>
            <w:tcMar>
              <w:top w:w="57" w:type="dxa"/>
              <w:left w:w="57" w:type="dxa"/>
              <w:bottom w:w="57" w:type="dxa"/>
              <w:right w:w="57" w:type="dxa"/>
            </w:tcMar>
          </w:tcPr>
          <w:p w14:paraId="7A62601B" w14:textId="77777777" w:rsidR="00E364FE" w:rsidRPr="0081406E" w:rsidRDefault="00E364FE" w:rsidP="00E62BD3">
            <w:pPr>
              <w:rPr>
                <w:rFonts w:ascii="Arial" w:eastAsia="Calibri" w:hAnsi="Arial" w:cs="Arial"/>
                <w:noProof/>
                <w:sz w:val="20"/>
              </w:rPr>
            </w:pPr>
            <w:r w:rsidRPr="0081406E">
              <w:rPr>
                <w:rFonts w:ascii="Arial" w:eastAsia="Calibri" w:hAnsi="Arial" w:cs="Arial"/>
                <w:noProof/>
                <w:sz w:val="20"/>
              </w:rPr>
              <w:t>One-off</w:t>
            </w:r>
          </w:p>
        </w:tc>
        <w:tc>
          <w:tcPr>
            <w:tcW w:w="1418" w:type="dxa"/>
            <w:tcBorders>
              <w:bottom w:val="double" w:sz="4" w:space="0" w:color="auto"/>
            </w:tcBorders>
            <w:tcMar>
              <w:top w:w="57" w:type="dxa"/>
              <w:left w:w="57" w:type="dxa"/>
              <w:bottom w:w="57" w:type="dxa"/>
              <w:right w:w="57" w:type="dxa"/>
            </w:tcMar>
          </w:tcPr>
          <w:p w14:paraId="2B0DD5E9" w14:textId="77777777" w:rsidR="00E364FE" w:rsidRPr="0081406E" w:rsidRDefault="00E364FE" w:rsidP="00E62BD3">
            <w:pPr>
              <w:rPr>
                <w:rFonts w:ascii="Arial" w:eastAsia="Calibri" w:hAnsi="Arial" w:cs="Arial"/>
                <w:noProof/>
                <w:sz w:val="20"/>
              </w:rPr>
            </w:pPr>
            <w:r w:rsidRPr="0081406E">
              <w:rPr>
                <w:rFonts w:ascii="Arial" w:eastAsia="Calibri" w:hAnsi="Arial" w:cs="Arial"/>
                <w:noProof/>
                <w:sz w:val="20"/>
              </w:rPr>
              <w:t>Recurrent</w:t>
            </w:r>
          </w:p>
        </w:tc>
        <w:tc>
          <w:tcPr>
            <w:tcW w:w="1134" w:type="dxa"/>
            <w:tcBorders>
              <w:bottom w:val="double" w:sz="4" w:space="0" w:color="auto"/>
            </w:tcBorders>
            <w:tcMar>
              <w:top w:w="57" w:type="dxa"/>
              <w:left w:w="57" w:type="dxa"/>
              <w:bottom w:w="57" w:type="dxa"/>
              <w:right w:w="57" w:type="dxa"/>
            </w:tcMar>
          </w:tcPr>
          <w:p w14:paraId="4CD406EA" w14:textId="77777777" w:rsidR="00E364FE" w:rsidRPr="0081406E" w:rsidRDefault="00E364FE" w:rsidP="00E62BD3">
            <w:pPr>
              <w:rPr>
                <w:rFonts w:ascii="Arial" w:eastAsia="Calibri" w:hAnsi="Arial" w:cs="Arial"/>
                <w:noProof/>
                <w:sz w:val="20"/>
              </w:rPr>
            </w:pPr>
            <w:r w:rsidRPr="0081406E">
              <w:rPr>
                <w:rFonts w:ascii="Arial" w:eastAsia="Calibri" w:hAnsi="Arial" w:cs="Arial"/>
                <w:noProof/>
                <w:sz w:val="20"/>
              </w:rPr>
              <w:t>One-off</w:t>
            </w:r>
          </w:p>
        </w:tc>
        <w:tc>
          <w:tcPr>
            <w:tcW w:w="1134" w:type="dxa"/>
            <w:tcBorders>
              <w:bottom w:val="double" w:sz="4" w:space="0" w:color="auto"/>
            </w:tcBorders>
            <w:tcMar>
              <w:top w:w="57" w:type="dxa"/>
              <w:left w:w="57" w:type="dxa"/>
              <w:bottom w:w="57" w:type="dxa"/>
              <w:right w:w="57" w:type="dxa"/>
            </w:tcMar>
          </w:tcPr>
          <w:p w14:paraId="7D1A0C7B" w14:textId="77777777" w:rsidR="00E364FE" w:rsidRPr="0081406E" w:rsidRDefault="00E364FE" w:rsidP="00E62BD3">
            <w:pPr>
              <w:rPr>
                <w:rFonts w:ascii="Arial" w:eastAsia="Calibri" w:hAnsi="Arial" w:cs="Arial"/>
                <w:noProof/>
                <w:sz w:val="20"/>
              </w:rPr>
            </w:pPr>
            <w:r w:rsidRPr="0081406E">
              <w:rPr>
                <w:rFonts w:ascii="Arial" w:eastAsia="Calibri" w:hAnsi="Arial" w:cs="Arial"/>
                <w:noProof/>
                <w:sz w:val="20"/>
              </w:rPr>
              <w:t>Recurrent</w:t>
            </w:r>
          </w:p>
        </w:tc>
      </w:tr>
      <w:tr w:rsidR="00B116FF" w:rsidRPr="0081406E" w14:paraId="52F958A2" w14:textId="77777777" w:rsidTr="00B116FF">
        <w:tc>
          <w:tcPr>
            <w:tcW w:w="1418" w:type="dxa"/>
            <w:tcBorders>
              <w:top w:val="double" w:sz="4" w:space="0" w:color="auto"/>
              <w:right w:val="double" w:sz="4" w:space="0" w:color="auto"/>
            </w:tcBorders>
            <w:tcMar>
              <w:top w:w="57" w:type="dxa"/>
              <w:left w:w="57" w:type="dxa"/>
              <w:bottom w:w="57" w:type="dxa"/>
              <w:right w:w="57" w:type="dxa"/>
            </w:tcMar>
            <w:vAlign w:val="center"/>
          </w:tcPr>
          <w:p w14:paraId="0E8214BD" w14:textId="77777777" w:rsidR="007C7FDA" w:rsidRDefault="007C7FDA" w:rsidP="00E62BD3">
            <w:pPr>
              <w:rPr>
                <w:rFonts w:ascii="Arial" w:eastAsia="Calibri" w:hAnsi="Arial" w:cs="Arial"/>
                <w:noProof/>
                <w:sz w:val="20"/>
              </w:rPr>
            </w:pPr>
          </w:p>
          <w:p w14:paraId="07CEFC35" w14:textId="77777777" w:rsidR="007C7FDA" w:rsidRDefault="007C7FDA" w:rsidP="00E62BD3">
            <w:pPr>
              <w:rPr>
                <w:rFonts w:ascii="Arial" w:eastAsia="Calibri" w:hAnsi="Arial" w:cs="Arial"/>
                <w:noProof/>
                <w:sz w:val="20"/>
              </w:rPr>
            </w:pPr>
          </w:p>
          <w:p w14:paraId="14C48DE0" w14:textId="77777777" w:rsidR="007C7FDA" w:rsidRDefault="007C7FDA" w:rsidP="00E62BD3">
            <w:pPr>
              <w:rPr>
                <w:rFonts w:ascii="Arial" w:eastAsia="Calibri" w:hAnsi="Arial" w:cs="Arial"/>
                <w:noProof/>
                <w:sz w:val="20"/>
              </w:rPr>
            </w:pPr>
          </w:p>
          <w:p w14:paraId="3124D119" w14:textId="77777777" w:rsidR="007C7FDA" w:rsidRDefault="007C7FDA" w:rsidP="00E62BD3">
            <w:pPr>
              <w:rPr>
                <w:rFonts w:ascii="Arial" w:eastAsia="Calibri" w:hAnsi="Arial" w:cs="Arial"/>
                <w:noProof/>
                <w:sz w:val="20"/>
              </w:rPr>
            </w:pPr>
          </w:p>
          <w:p w14:paraId="3D4F0CEF" w14:textId="77777777" w:rsidR="007C7FDA" w:rsidRDefault="007C7FDA" w:rsidP="00E62BD3">
            <w:pPr>
              <w:rPr>
                <w:rFonts w:ascii="Arial" w:eastAsia="Calibri" w:hAnsi="Arial" w:cs="Arial"/>
                <w:noProof/>
                <w:sz w:val="20"/>
              </w:rPr>
            </w:pPr>
          </w:p>
          <w:p w14:paraId="6F8D1635" w14:textId="77777777" w:rsidR="007C7FDA" w:rsidRDefault="007C7FDA" w:rsidP="00E62BD3">
            <w:pPr>
              <w:rPr>
                <w:rFonts w:ascii="Arial" w:eastAsia="Calibri" w:hAnsi="Arial" w:cs="Arial"/>
                <w:noProof/>
                <w:sz w:val="20"/>
              </w:rPr>
            </w:pPr>
          </w:p>
          <w:p w14:paraId="2CD9F1DB" w14:textId="77777777" w:rsidR="007C7FDA" w:rsidRDefault="007C7FDA" w:rsidP="00E62BD3">
            <w:pPr>
              <w:rPr>
                <w:rFonts w:ascii="Arial" w:eastAsia="Calibri" w:hAnsi="Arial" w:cs="Arial"/>
                <w:noProof/>
                <w:sz w:val="20"/>
              </w:rPr>
            </w:pPr>
          </w:p>
          <w:p w14:paraId="6D58F48A" w14:textId="77777777" w:rsidR="007C7FDA" w:rsidRDefault="007C7FDA" w:rsidP="00E62BD3">
            <w:pPr>
              <w:rPr>
                <w:rFonts w:ascii="Arial" w:eastAsia="Calibri" w:hAnsi="Arial" w:cs="Arial"/>
                <w:noProof/>
                <w:sz w:val="20"/>
              </w:rPr>
            </w:pPr>
          </w:p>
          <w:p w14:paraId="4C012D4F" w14:textId="77777777" w:rsidR="007C7FDA" w:rsidRDefault="007C7FDA" w:rsidP="00E62BD3">
            <w:pPr>
              <w:rPr>
                <w:rFonts w:ascii="Arial" w:eastAsia="Calibri" w:hAnsi="Arial" w:cs="Arial"/>
                <w:noProof/>
                <w:sz w:val="20"/>
              </w:rPr>
            </w:pPr>
          </w:p>
          <w:p w14:paraId="5EA4A560" w14:textId="77777777" w:rsidR="007C7FDA" w:rsidRDefault="007C7FDA" w:rsidP="00E62BD3">
            <w:pPr>
              <w:rPr>
                <w:rFonts w:ascii="Arial" w:eastAsia="Calibri" w:hAnsi="Arial" w:cs="Arial"/>
                <w:noProof/>
                <w:sz w:val="20"/>
              </w:rPr>
            </w:pPr>
          </w:p>
          <w:p w14:paraId="2BB61B0E" w14:textId="77777777" w:rsidR="007C7FDA" w:rsidRDefault="007C7FDA" w:rsidP="00E62BD3">
            <w:pPr>
              <w:rPr>
                <w:rFonts w:ascii="Arial" w:eastAsia="Calibri" w:hAnsi="Arial" w:cs="Arial"/>
                <w:noProof/>
                <w:sz w:val="20"/>
              </w:rPr>
            </w:pPr>
          </w:p>
          <w:p w14:paraId="5D03FC5C" w14:textId="77777777" w:rsidR="0075000F" w:rsidRDefault="0075000F" w:rsidP="00E62BD3">
            <w:pPr>
              <w:rPr>
                <w:rFonts w:ascii="Arial" w:eastAsia="Calibri" w:hAnsi="Arial" w:cs="Arial"/>
                <w:noProof/>
                <w:sz w:val="20"/>
              </w:rPr>
            </w:pPr>
          </w:p>
          <w:p w14:paraId="31C76E54" w14:textId="2D958B0B" w:rsidR="00B116FF" w:rsidRPr="0081406E" w:rsidRDefault="00B116FF" w:rsidP="00E62BD3">
            <w:pPr>
              <w:rPr>
                <w:rFonts w:ascii="Arial" w:eastAsia="Calibri" w:hAnsi="Arial" w:cs="Arial"/>
                <w:noProof/>
                <w:sz w:val="20"/>
              </w:rPr>
            </w:pPr>
            <w:r w:rsidRPr="0081406E">
              <w:rPr>
                <w:rFonts w:ascii="Arial" w:eastAsia="Calibri" w:hAnsi="Arial" w:cs="Arial"/>
                <w:noProof/>
                <w:sz w:val="20"/>
              </w:rPr>
              <w:t>Direct costs</w:t>
            </w:r>
          </w:p>
        </w:tc>
        <w:tc>
          <w:tcPr>
            <w:tcW w:w="850" w:type="dxa"/>
            <w:tcBorders>
              <w:top w:val="double" w:sz="4" w:space="0" w:color="auto"/>
              <w:left w:val="double" w:sz="4" w:space="0" w:color="auto"/>
            </w:tcBorders>
            <w:tcMar>
              <w:top w:w="57" w:type="dxa"/>
              <w:left w:w="57" w:type="dxa"/>
              <w:bottom w:w="57" w:type="dxa"/>
              <w:right w:w="57" w:type="dxa"/>
            </w:tcMar>
          </w:tcPr>
          <w:p w14:paraId="4AE060BC" w14:textId="77777777" w:rsidR="00B116FF" w:rsidRPr="0081406E" w:rsidRDefault="00B116FF" w:rsidP="00E62BD3">
            <w:pPr>
              <w:rPr>
                <w:rFonts w:ascii="Arial" w:eastAsia="Calibri" w:hAnsi="Arial" w:cs="Arial"/>
                <w:noProof/>
                <w:sz w:val="20"/>
              </w:rPr>
            </w:pPr>
          </w:p>
        </w:tc>
        <w:tc>
          <w:tcPr>
            <w:tcW w:w="1985" w:type="dxa"/>
            <w:tcBorders>
              <w:top w:val="double" w:sz="4" w:space="0" w:color="auto"/>
            </w:tcBorders>
            <w:tcMar>
              <w:top w:w="57" w:type="dxa"/>
              <w:left w:w="57" w:type="dxa"/>
              <w:bottom w:w="57" w:type="dxa"/>
              <w:right w:w="57" w:type="dxa"/>
            </w:tcMar>
          </w:tcPr>
          <w:p w14:paraId="1CEBEC6F" w14:textId="476C2B2B" w:rsidR="00B116FF" w:rsidRPr="0081406E" w:rsidRDefault="004A7CD0" w:rsidP="00E62BD3">
            <w:pPr>
              <w:rPr>
                <w:rFonts w:ascii="Arial" w:eastAsia="Calibri" w:hAnsi="Arial" w:cs="Arial"/>
                <w:noProof/>
                <w:sz w:val="20"/>
              </w:rPr>
            </w:pPr>
            <w:r w:rsidRPr="004A7CD0">
              <w:rPr>
                <w:rFonts w:ascii="Arial" w:eastAsia="Calibri" w:hAnsi="Arial" w:cs="Arial"/>
                <w:noProof/>
                <w:sz w:val="20"/>
                <w:u w:val="single"/>
              </w:rPr>
              <w:t>Adjustment costs</w:t>
            </w:r>
            <w:r>
              <w:rPr>
                <w:rFonts w:ascii="Arial" w:eastAsia="Calibri" w:hAnsi="Arial" w:cs="Arial"/>
                <w:noProof/>
                <w:sz w:val="20"/>
              </w:rPr>
              <w:t xml:space="preserve">: </w:t>
            </w:r>
            <w:r w:rsidR="00B116FF" w:rsidRPr="0081406E">
              <w:rPr>
                <w:rFonts w:ascii="Arial" w:eastAsia="Calibri" w:hAnsi="Arial" w:cs="Arial"/>
                <w:noProof/>
                <w:sz w:val="20"/>
              </w:rPr>
              <w:t xml:space="preserve">Increased HFC refill cost until ~2030 for EU car owners of </w:t>
            </w:r>
            <w:r w:rsidR="00B116FF">
              <w:rPr>
                <w:rFonts w:ascii="Arial" w:eastAsia="Calibri" w:hAnsi="Arial" w:cs="Arial"/>
                <w:noProof/>
                <w:sz w:val="20"/>
              </w:rPr>
              <w:t xml:space="preserve">ACs in </w:t>
            </w:r>
            <w:r w:rsidR="00B116FF" w:rsidRPr="0081406E">
              <w:rPr>
                <w:rFonts w:ascii="Arial" w:eastAsia="Calibri" w:hAnsi="Arial" w:cs="Arial"/>
                <w:noProof/>
                <w:sz w:val="20"/>
              </w:rPr>
              <w:t>old vehicles (new cars not affected due to MAC Directive)</w:t>
            </w:r>
          </w:p>
        </w:tc>
        <w:tc>
          <w:tcPr>
            <w:tcW w:w="992" w:type="dxa"/>
            <w:tcBorders>
              <w:top w:val="double" w:sz="4" w:space="0" w:color="auto"/>
            </w:tcBorders>
            <w:tcMar>
              <w:top w:w="57" w:type="dxa"/>
              <w:left w:w="57" w:type="dxa"/>
              <w:bottom w:w="57" w:type="dxa"/>
              <w:right w:w="57" w:type="dxa"/>
            </w:tcMar>
          </w:tcPr>
          <w:p w14:paraId="21DA1387" w14:textId="2513B4D4" w:rsidR="00B116FF" w:rsidRPr="0081406E" w:rsidRDefault="00B116FF" w:rsidP="00295E9F">
            <w:pPr>
              <w:rPr>
                <w:rFonts w:ascii="Arial" w:eastAsia="Calibri" w:hAnsi="Arial" w:cs="Arial"/>
                <w:noProof/>
                <w:sz w:val="20"/>
              </w:rPr>
            </w:pPr>
            <w:r>
              <w:rPr>
                <w:rFonts w:ascii="Arial" w:eastAsia="Calibri" w:hAnsi="Arial" w:cs="Arial"/>
                <w:noProof/>
                <w:sz w:val="20"/>
                <w:u w:val="single"/>
              </w:rPr>
              <w:t>Admin</w:t>
            </w:r>
            <w:r w:rsidRPr="0081406E">
              <w:rPr>
                <w:rFonts w:ascii="Arial" w:eastAsia="Calibri" w:hAnsi="Arial" w:cs="Arial"/>
                <w:noProof/>
                <w:sz w:val="20"/>
                <w:u w:val="single"/>
              </w:rPr>
              <w:t xml:space="preserve"> burden:</w:t>
            </w:r>
            <w:r>
              <w:rPr>
                <w:rFonts w:ascii="Arial" w:eastAsia="Calibri" w:hAnsi="Arial" w:cs="Arial"/>
                <w:noProof/>
                <w:sz w:val="20"/>
              </w:rPr>
              <w:t xml:space="preserve"> €3</w:t>
            </w:r>
            <w:r w:rsidR="00744E93">
              <w:rPr>
                <w:rFonts w:ascii="Arial" w:eastAsia="Calibri" w:hAnsi="Arial" w:cs="Arial"/>
                <w:noProof/>
                <w:sz w:val="20"/>
              </w:rPr>
              <w:t xml:space="preserve"> </w:t>
            </w:r>
            <w:r>
              <w:rPr>
                <w:rFonts w:ascii="Arial" w:eastAsia="Calibri" w:hAnsi="Arial" w:cs="Arial"/>
                <w:noProof/>
                <w:sz w:val="20"/>
              </w:rPr>
              <w:t>m</w:t>
            </w:r>
            <w:r w:rsidR="00744E93">
              <w:rPr>
                <w:rFonts w:ascii="Arial" w:eastAsia="Calibri" w:hAnsi="Arial" w:cs="Arial"/>
                <w:noProof/>
                <w:sz w:val="20"/>
              </w:rPr>
              <w:t>illion</w:t>
            </w:r>
            <w:r>
              <w:rPr>
                <w:rFonts w:ascii="Arial" w:eastAsia="Calibri" w:hAnsi="Arial" w:cs="Arial"/>
                <w:noProof/>
                <w:sz w:val="20"/>
              </w:rPr>
              <w:t xml:space="preserve"> </w:t>
            </w:r>
          </w:p>
        </w:tc>
        <w:tc>
          <w:tcPr>
            <w:tcW w:w="1418" w:type="dxa"/>
            <w:tcBorders>
              <w:top w:val="double" w:sz="4" w:space="0" w:color="auto"/>
            </w:tcBorders>
            <w:tcMar>
              <w:top w:w="57" w:type="dxa"/>
              <w:left w:w="57" w:type="dxa"/>
              <w:bottom w:w="57" w:type="dxa"/>
              <w:right w:w="57" w:type="dxa"/>
            </w:tcMar>
          </w:tcPr>
          <w:p w14:paraId="1A776352" w14:textId="317F33BA" w:rsidR="00B116FF" w:rsidRDefault="00B116FF" w:rsidP="00E62BD3">
            <w:pPr>
              <w:rPr>
                <w:rFonts w:ascii="Arial" w:eastAsia="Calibri" w:hAnsi="Arial" w:cs="Arial"/>
                <w:noProof/>
                <w:sz w:val="20"/>
              </w:rPr>
            </w:pPr>
            <w:r>
              <w:rPr>
                <w:rFonts w:ascii="Arial" w:eastAsia="Calibri" w:hAnsi="Arial" w:cs="Arial"/>
                <w:noProof/>
                <w:sz w:val="20"/>
                <w:u w:val="single"/>
              </w:rPr>
              <w:t>Admin</w:t>
            </w:r>
            <w:r w:rsidRPr="0081406E">
              <w:rPr>
                <w:rFonts w:ascii="Arial" w:eastAsia="Calibri" w:hAnsi="Arial" w:cs="Arial"/>
                <w:noProof/>
                <w:sz w:val="20"/>
                <w:u w:val="single"/>
              </w:rPr>
              <w:t xml:space="preserve"> burden:</w:t>
            </w:r>
            <w:r w:rsidR="00744E93">
              <w:rPr>
                <w:rFonts w:ascii="Arial" w:eastAsia="Calibri" w:hAnsi="Arial" w:cs="Arial"/>
                <w:noProof/>
                <w:sz w:val="20"/>
              </w:rPr>
              <w:t xml:space="preserve"> €12.1 </w:t>
            </w:r>
            <w:r w:rsidR="00361933">
              <w:rPr>
                <w:rFonts w:ascii="Arial" w:eastAsia="Calibri" w:hAnsi="Arial" w:cs="Arial"/>
                <w:noProof/>
                <w:sz w:val="20"/>
              </w:rPr>
              <w:t>m</w:t>
            </w:r>
            <w:r w:rsidR="00744E93">
              <w:rPr>
                <w:rFonts w:ascii="Arial" w:eastAsia="Calibri" w:hAnsi="Arial" w:cs="Arial"/>
                <w:noProof/>
                <w:sz w:val="20"/>
              </w:rPr>
              <w:t>illion</w:t>
            </w:r>
            <w:r w:rsidR="00361933">
              <w:rPr>
                <w:rFonts w:ascii="Arial" w:eastAsia="Calibri" w:hAnsi="Arial" w:cs="Arial"/>
                <w:noProof/>
                <w:sz w:val="20"/>
              </w:rPr>
              <w:t xml:space="preserve"> per year</w:t>
            </w:r>
            <w:r w:rsidR="00744E93">
              <w:rPr>
                <w:rFonts w:ascii="Arial" w:eastAsia="Calibri" w:hAnsi="Arial" w:cs="Arial"/>
                <w:noProof/>
                <w:sz w:val="20"/>
              </w:rPr>
              <w:t xml:space="preserve"> (plus €20.8 million for training costs) (the cost savings of €</w:t>
            </w:r>
            <w:r w:rsidR="002B56AA">
              <w:rPr>
                <w:rFonts w:ascii="Arial" w:eastAsia="Calibri" w:hAnsi="Arial" w:cs="Arial"/>
                <w:noProof/>
                <w:sz w:val="20"/>
              </w:rPr>
              <w:t>4</w:t>
            </w:r>
            <w:r w:rsidR="00744E93">
              <w:rPr>
                <w:rFonts w:ascii="Arial" w:eastAsia="Calibri" w:hAnsi="Arial" w:cs="Arial"/>
                <w:noProof/>
                <w:sz w:val="20"/>
              </w:rPr>
              <w:t xml:space="preserve">.5 million </w:t>
            </w:r>
            <w:r w:rsidR="002B56AA">
              <w:rPr>
                <w:rStyle w:val="FootnoteReference"/>
                <w:rFonts w:ascii="Arial" w:eastAsia="Calibri" w:hAnsi="Arial" w:cs="Arial"/>
                <w:noProof/>
                <w:sz w:val="20"/>
              </w:rPr>
              <w:footnoteReference w:id="131"/>
            </w:r>
            <w:r w:rsidR="00F6079D">
              <w:rPr>
                <w:rFonts w:ascii="Arial" w:eastAsia="Calibri" w:hAnsi="Arial" w:cs="Arial"/>
                <w:noProof/>
                <w:sz w:val="20"/>
              </w:rPr>
              <w:t xml:space="preserve"> </w:t>
            </w:r>
            <w:r w:rsidR="00744E93">
              <w:rPr>
                <w:rFonts w:ascii="Arial" w:eastAsia="Calibri" w:hAnsi="Arial" w:cs="Arial"/>
                <w:noProof/>
                <w:sz w:val="20"/>
              </w:rPr>
              <w:t xml:space="preserve">are not </w:t>
            </w:r>
            <w:r w:rsidR="007C7FDA">
              <w:rPr>
                <w:rFonts w:ascii="Arial" w:eastAsia="Calibri" w:hAnsi="Arial" w:cs="Arial"/>
                <w:noProof/>
                <w:sz w:val="20"/>
              </w:rPr>
              <w:t xml:space="preserve">subtracted </w:t>
            </w:r>
            <w:r w:rsidR="00744E93">
              <w:rPr>
                <w:rFonts w:ascii="Arial" w:eastAsia="Calibri" w:hAnsi="Arial" w:cs="Arial"/>
                <w:noProof/>
                <w:sz w:val="20"/>
              </w:rPr>
              <w:t>here, see benefits above)</w:t>
            </w:r>
          </w:p>
          <w:p w14:paraId="43D483ED" w14:textId="6F2446CF" w:rsidR="00B116FF" w:rsidRDefault="0075000F" w:rsidP="004A7CD0">
            <w:pPr>
              <w:rPr>
                <w:rFonts w:ascii="Arial" w:eastAsia="Calibri" w:hAnsi="Arial" w:cs="Arial"/>
                <w:noProof/>
                <w:sz w:val="20"/>
              </w:rPr>
            </w:pPr>
            <w:r w:rsidRPr="00322072">
              <w:rPr>
                <w:rFonts w:ascii="Arial" w:eastAsia="Calibri" w:hAnsi="Arial" w:cs="Arial"/>
                <w:i/>
                <w:noProof/>
                <w:sz w:val="20"/>
              </w:rPr>
              <w:t>Thereof:</w:t>
            </w:r>
            <w:r>
              <w:rPr>
                <w:rFonts w:ascii="Arial" w:eastAsia="Calibri" w:hAnsi="Arial" w:cs="Arial"/>
                <w:noProof/>
                <w:sz w:val="20"/>
              </w:rPr>
              <w:t xml:space="preserve"> </w:t>
            </w:r>
            <w:r w:rsidR="007C7FDA">
              <w:rPr>
                <w:rFonts w:ascii="Arial" w:eastAsia="Calibri" w:hAnsi="Arial" w:cs="Arial"/>
                <w:noProof/>
                <w:sz w:val="20"/>
              </w:rPr>
              <w:t>€1.9 million relate to alignment with international rules and/or improving enforcement to reduce illegal activities</w:t>
            </w:r>
            <w:r w:rsidR="005D374C">
              <w:rPr>
                <w:rFonts w:ascii="Arial" w:eastAsia="Calibri" w:hAnsi="Arial" w:cs="Arial"/>
                <w:noProof/>
                <w:sz w:val="20"/>
              </w:rPr>
              <w:t xml:space="preserve">. </w:t>
            </w:r>
            <w:r w:rsidR="004A7CD0">
              <w:rPr>
                <w:rFonts w:ascii="Arial" w:eastAsia="Calibri" w:hAnsi="Arial" w:cs="Arial"/>
                <w:noProof/>
                <w:sz w:val="20"/>
                <w:u w:val="single"/>
              </w:rPr>
              <w:t>Adjustment costs</w:t>
            </w:r>
            <w:r w:rsidR="00B116FF" w:rsidRPr="0081406E">
              <w:rPr>
                <w:rFonts w:ascii="Arial" w:eastAsia="Calibri" w:hAnsi="Arial" w:cs="Arial"/>
                <w:noProof/>
                <w:sz w:val="20"/>
              </w:rPr>
              <w:t xml:space="preserve"> to </w:t>
            </w:r>
            <w:r w:rsidR="004A7CD0">
              <w:rPr>
                <w:rFonts w:ascii="Arial" w:eastAsia="Calibri" w:hAnsi="Arial" w:cs="Arial"/>
                <w:noProof/>
                <w:sz w:val="20"/>
              </w:rPr>
              <w:t xml:space="preserve">business </w:t>
            </w:r>
            <w:r w:rsidR="00FF082D">
              <w:rPr>
                <w:rFonts w:ascii="Arial" w:eastAsia="Calibri" w:hAnsi="Arial" w:cs="Arial"/>
                <w:noProof/>
                <w:sz w:val="20"/>
              </w:rPr>
              <w:t>end-user</w:t>
            </w:r>
            <w:r w:rsidR="00361933">
              <w:rPr>
                <w:rFonts w:ascii="Arial" w:eastAsia="Calibri" w:hAnsi="Arial" w:cs="Arial"/>
                <w:noProof/>
                <w:sz w:val="20"/>
              </w:rPr>
              <w:t>s (sum of capex &amp; opex) ~421 Mio € per year</w:t>
            </w:r>
            <w:r w:rsidR="00B116FF" w:rsidRPr="0081406E">
              <w:rPr>
                <w:rFonts w:ascii="Arial" w:eastAsia="Calibri" w:hAnsi="Arial" w:cs="Arial"/>
                <w:noProof/>
                <w:sz w:val="20"/>
              </w:rPr>
              <w:t xml:space="preserve"> (2024-2036 average), t</w:t>
            </w:r>
            <w:r w:rsidR="00361933">
              <w:rPr>
                <w:rFonts w:ascii="Arial" w:eastAsia="Calibri" w:hAnsi="Arial" w:cs="Arial"/>
                <w:noProof/>
                <w:sz w:val="20"/>
              </w:rPr>
              <w:t>urning into cost savings of ~835 Mio € per year</w:t>
            </w:r>
            <w:r w:rsidR="00B116FF" w:rsidRPr="0081406E">
              <w:rPr>
                <w:rFonts w:ascii="Arial" w:eastAsia="Calibri" w:hAnsi="Arial" w:cs="Arial"/>
                <w:noProof/>
                <w:sz w:val="20"/>
              </w:rPr>
              <w:t xml:space="preserve"> by 2050.</w:t>
            </w:r>
          </w:p>
          <w:p w14:paraId="7129F144" w14:textId="1B3774C0" w:rsidR="00A831BF" w:rsidRPr="0081406E" w:rsidRDefault="00A831BF" w:rsidP="004A7CD0">
            <w:pPr>
              <w:rPr>
                <w:rFonts w:ascii="Arial" w:eastAsia="Calibri" w:hAnsi="Arial" w:cs="Arial"/>
                <w:noProof/>
                <w:sz w:val="20"/>
              </w:rPr>
            </w:pPr>
            <w:r>
              <w:rPr>
                <w:rFonts w:ascii="Arial" w:eastAsia="Calibri" w:hAnsi="Arial" w:cs="Arial"/>
                <w:noProof/>
                <w:sz w:val="20"/>
              </w:rPr>
              <w:t>Also, distributional costs linked to HFC gas prices</w:t>
            </w:r>
          </w:p>
        </w:tc>
        <w:tc>
          <w:tcPr>
            <w:tcW w:w="1134" w:type="dxa"/>
            <w:tcBorders>
              <w:top w:val="double" w:sz="4" w:space="0" w:color="auto"/>
            </w:tcBorders>
            <w:tcMar>
              <w:top w:w="57" w:type="dxa"/>
              <w:left w:w="57" w:type="dxa"/>
              <w:bottom w:w="57" w:type="dxa"/>
              <w:right w:w="57" w:type="dxa"/>
            </w:tcMar>
          </w:tcPr>
          <w:p w14:paraId="7119AB8C" w14:textId="28B0F0A0" w:rsidR="00B116FF" w:rsidRPr="0081406E" w:rsidRDefault="00B116FF" w:rsidP="00E62BD3">
            <w:pPr>
              <w:rPr>
                <w:rFonts w:ascii="Arial" w:eastAsia="Calibri" w:hAnsi="Arial" w:cs="Arial"/>
                <w:noProof/>
                <w:sz w:val="20"/>
              </w:rPr>
            </w:pPr>
            <w:r>
              <w:rPr>
                <w:rFonts w:ascii="Arial" w:eastAsia="Calibri" w:hAnsi="Arial" w:cs="Arial"/>
                <w:noProof/>
                <w:sz w:val="20"/>
                <w:u w:val="single"/>
              </w:rPr>
              <w:t>Admin</w:t>
            </w:r>
            <w:r w:rsidRPr="0081406E">
              <w:rPr>
                <w:rFonts w:ascii="Arial" w:eastAsia="Calibri" w:hAnsi="Arial" w:cs="Arial"/>
                <w:noProof/>
                <w:sz w:val="20"/>
                <w:u w:val="single"/>
              </w:rPr>
              <w:t xml:space="preserve"> burden:</w:t>
            </w:r>
            <w:r w:rsidRPr="0081406E">
              <w:rPr>
                <w:rFonts w:ascii="Arial" w:eastAsia="Calibri" w:hAnsi="Arial" w:cs="Arial"/>
                <w:noProof/>
                <w:sz w:val="20"/>
              </w:rPr>
              <w:t xml:space="preserve"> 2,600 days</w:t>
            </w:r>
          </w:p>
        </w:tc>
        <w:tc>
          <w:tcPr>
            <w:tcW w:w="1134" w:type="dxa"/>
            <w:tcBorders>
              <w:top w:val="double" w:sz="4" w:space="0" w:color="auto"/>
            </w:tcBorders>
            <w:tcMar>
              <w:top w:w="57" w:type="dxa"/>
              <w:left w:w="57" w:type="dxa"/>
              <w:bottom w:w="57" w:type="dxa"/>
              <w:right w:w="57" w:type="dxa"/>
            </w:tcMar>
          </w:tcPr>
          <w:p w14:paraId="00D6FECB" w14:textId="6BC4BE3A" w:rsidR="00B116FF" w:rsidRPr="0081406E" w:rsidRDefault="00B116FF" w:rsidP="00E62BD3">
            <w:pPr>
              <w:rPr>
                <w:rFonts w:ascii="Arial" w:eastAsia="Calibri" w:hAnsi="Arial" w:cs="Arial"/>
                <w:noProof/>
                <w:sz w:val="20"/>
              </w:rPr>
            </w:pPr>
            <w:r>
              <w:rPr>
                <w:rFonts w:ascii="Arial" w:eastAsia="Calibri" w:hAnsi="Arial" w:cs="Arial"/>
                <w:noProof/>
                <w:sz w:val="20"/>
                <w:u w:val="single"/>
              </w:rPr>
              <w:t>Admin</w:t>
            </w:r>
            <w:r w:rsidRPr="0081406E">
              <w:rPr>
                <w:rFonts w:ascii="Arial" w:eastAsia="Calibri" w:hAnsi="Arial" w:cs="Arial"/>
                <w:noProof/>
                <w:sz w:val="20"/>
                <w:u w:val="single"/>
              </w:rPr>
              <w:t xml:space="preserve"> burden:</w:t>
            </w:r>
            <w:r w:rsidR="00361933">
              <w:rPr>
                <w:rFonts w:ascii="Arial" w:eastAsia="Calibri" w:hAnsi="Arial" w:cs="Arial"/>
                <w:noProof/>
                <w:sz w:val="20"/>
              </w:rPr>
              <w:t xml:space="preserve"> 13,500 days per year (does not include savings of 2,850, see benefits above)</w:t>
            </w:r>
          </w:p>
        </w:tc>
      </w:tr>
      <w:tr w:rsidR="00B116FF" w:rsidRPr="0081406E" w14:paraId="0F51C2E1" w14:textId="77777777" w:rsidTr="00B116FF">
        <w:tc>
          <w:tcPr>
            <w:tcW w:w="1418" w:type="dxa"/>
            <w:tcBorders>
              <w:right w:val="double" w:sz="4" w:space="0" w:color="auto"/>
            </w:tcBorders>
            <w:tcMar>
              <w:top w:w="57" w:type="dxa"/>
              <w:left w:w="57" w:type="dxa"/>
              <w:bottom w:w="57" w:type="dxa"/>
              <w:right w:w="57" w:type="dxa"/>
            </w:tcMar>
          </w:tcPr>
          <w:p w14:paraId="5FB1A975" w14:textId="77777777" w:rsidR="00B116FF" w:rsidRPr="0081406E" w:rsidRDefault="00B116FF" w:rsidP="00E62BD3">
            <w:pPr>
              <w:rPr>
                <w:rFonts w:ascii="Arial" w:eastAsia="Calibri" w:hAnsi="Arial" w:cs="Arial"/>
                <w:noProof/>
                <w:sz w:val="20"/>
              </w:rPr>
            </w:pPr>
            <w:r w:rsidRPr="0081406E">
              <w:rPr>
                <w:rFonts w:ascii="Arial" w:eastAsia="Calibri" w:hAnsi="Arial" w:cs="Arial"/>
                <w:noProof/>
                <w:sz w:val="20"/>
              </w:rPr>
              <w:t>Indirect costs</w:t>
            </w:r>
          </w:p>
        </w:tc>
        <w:tc>
          <w:tcPr>
            <w:tcW w:w="850" w:type="dxa"/>
            <w:tcBorders>
              <w:left w:val="double" w:sz="4" w:space="0" w:color="auto"/>
            </w:tcBorders>
            <w:tcMar>
              <w:top w:w="57" w:type="dxa"/>
              <w:left w:w="57" w:type="dxa"/>
              <w:bottom w:w="57" w:type="dxa"/>
              <w:right w:w="57" w:type="dxa"/>
            </w:tcMar>
          </w:tcPr>
          <w:p w14:paraId="3DBEE7DD" w14:textId="77777777" w:rsidR="00B116FF" w:rsidRPr="0081406E" w:rsidRDefault="00B116FF" w:rsidP="00E62BD3">
            <w:pPr>
              <w:rPr>
                <w:rFonts w:ascii="Arial" w:eastAsia="Calibri" w:hAnsi="Arial" w:cs="Arial"/>
                <w:noProof/>
                <w:sz w:val="20"/>
              </w:rPr>
            </w:pPr>
          </w:p>
        </w:tc>
        <w:tc>
          <w:tcPr>
            <w:tcW w:w="1985" w:type="dxa"/>
            <w:tcMar>
              <w:top w:w="57" w:type="dxa"/>
              <w:left w:w="57" w:type="dxa"/>
              <w:bottom w:w="57" w:type="dxa"/>
              <w:right w:w="57" w:type="dxa"/>
            </w:tcMar>
          </w:tcPr>
          <w:p w14:paraId="5FD1D483" w14:textId="7903A589" w:rsidR="00B116FF" w:rsidRPr="0081406E" w:rsidRDefault="00A831BF" w:rsidP="00A87833">
            <w:pPr>
              <w:rPr>
                <w:rFonts w:ascii="Arial" w:eastAsia="Calibri" w:hAnsi="Arial" w:cs="Arial"/>
                <w:noProof/>
                <w:sz w:val="20"/>
              </w:rPr>
            </w:pPr>
            <w:r>
              <w:rPr>
                <w:rFonts w:ascii="Arial" w:eastAsia="Calibri" w:hAnsi="Arial" w:cs="Arial"/>
                <w:noProof/>
                <w:sz w:val="20"/>
              </w:rPr>
              <w:t xml:space="preserve">Adjustment costs: </w:t>
            </w:r>
            <w:r w:rsidR="00B116FF" w:rsidRPr="0081406E">
              <w:rPr>
                <w:rFonts w:ascii="Arial" w:eastAsia="Calibri" w:hAnsi="Arial" w:cs="Arial"/>
                <w:noProof/>
                <w:sz w:val="20"/>
              </w:rPr>
              <w:t>Potential pass-through</w:t>
            </w:r>
            <w:r w:rsidR="00B116FF">
              <w:rPr>
                <w:rFonts w:ascii="Arial" w:eastAsia="Calibri" w:hAnsi="Arial" w:cs="Arial"/>
                <w:noProof/>
                <w:sz w:val="20"/>
              </w:rPr>
              <w:t xml:space="preserve"> to consumers (e.g. ACs, </w:t>
            </w:r>
            <w:r w:rsidR="00761D8A">
              <w:rPr>
                <w:rFonts w:ascii="Arial" w:eastAsia="Calibri" w:hAnsi="Arial" w:cs="Arial"/>
                <w:noProof/>
                <w:sz w:val="20"/>
              </w:rPr>
              <w:t>heat pumps</w:t>
            </w:r>
            <w:r w:rsidR="00B116FF">
              <w:rPr>
                <w:rFonts w:ascii="Arial" w:eastAsia="Calibri" w:hAnsi="Arial" w:cs="Arial"/>
                <w:noProof/>
                <w:sz w:val="20"/>
              </w:rPr>
              <w:t>)</w:t>
            </w:r>
            <w:r w:rsidR="00B116FF" w:rsidRPr="0081406E">
              <w:rPr>
                <w:rFonts w:ascii="Arial" w:eastAsia="Calibri" w:hAnsi="Arial" w:cs="Arial"/>
                <w:noProof/>
                <w:sz w:val="20"/>
              </w:rPr>
              <w:t xml:space="preserve"> of higher compliance cost for businesses not </w:t>
            </w:r>
            <w:r w:rsidR="00B116FF">
              <w:rPr>
                <w:rFonts w:ascii="Arial" w:eastAsia="Calibri" w:hAnsi="Arial" w:cs="Arial"/>
                <w:noProof/>
                <w:sz w:val="20"/>
              </w:rPr>
              <w:t xml:space="preserve">significant in most sectors as </w:t>
            </w:r>
            <w:r w:rsidR="00B116FF" w:rsidRPr="0081406E">
              <w:rPr>
                <w:rFonts w:ascii="Arial" w:eastAsia="Calibri" w:hAnsi="Arial" w:cs="Arial"/>
                <w:noProof/>
                <w:sz w:val="20"/>
              </w:rPr>
              <w:t>additional cost &lt;</w:t>
            </w:r>
            <w:r w:rsidR="009E024D">
              <w:rPr>
                <w:rFonts w:ascii="Arial" w:eastAsia="Calibri" w:hAnsi="Arial" w:cs="Arial"/>
                <w:noProof/>
                <w:sz w:val="20"/>
              </w:rPr>
              <w:t>1% of total operating cost</w:t>
            </w:r>
            <w:r w:rsidR="00A87833">
              <w:rPr>
                <w:rFonts w:ascii="Arial" w:eastAsia="Calibri" w:hAnsi="Arial" w:cs="Arial"/>
                <w:noProof/>
                <w:sz w:val="20"/>
              </w:rPr>
              <w:t xml:space="preserve"> (</w:t>
            </w:r>
            <w:r w:rsidR="009E024D">
              <w:rPr>
                <w:rFonts w:ascii="Arial" w:eastAsia="Calibri" w:hAnsi="Arial" w:cs="Arial"/>
                <w:noProof/>
                <w:sz w:val="20"/>
              </w:rPr>
              <w:t>including for</w:t>
            </w:r>
            <w:r w:rsidR="00B116FF">
              <w:rPr>
                <w:rFonts w:ascii="Arial" w:eastAsia="Calibri" w:hAnsi="Arial" w:cs="Arial"/>
                <w:noProof/>
                <w:sz w:val="20"/>
              </w:rPr>
              <w:t xml:space="preserve"> MDIs where the HFC </w:t>
            </w:r>
            <w:r w:rsidR="00A87833">
              <w:rPr>
                <w:rFonts w:ascii="Arial" w:eastAsia="Calibri" w:hAnsi="Arial" w:cs="Arial"/>
                <w:noProof/>
                <w:sz w:val="20"/>
              </w:rPr>
              <w:t xml:space="preserve">propellant gas costs a </w:t>
            </w:r>
            <w:r>
              <w:rPr>
                <w:rFonts w:ascii="Arial" w:eastAsia="Calibri" w:hAnsi="Arial" w:cs="Arial"/>
                <w:noProof/>
                <w:sz w:val="20"/>
              </w:rPr>
              <w:t xml:space="preserve">very </w:t>
            </w:r>
            <w:r w:rsidR="00A87833">
              <w:rPr>
                <w:rFonts w:ascii="Arial" w:eastAsia="Calibri" w:hAnsi="Arial" w:cs="Arial"/>
                <w:noProof/>
                <w:sz w:val="20"/>
              </w:rPr>
              <w:t xml:space="preserve">small fraction of </w:t>
            </w:r>
            <w:r w:rsidR="00B116FF">
              <w:rPr>
                <w:rFonts w:ascii="Arial" w:eastAsia="Calibri" w:hAnsi="Arial" w:cs="Arial"/>
                <w:noProof/>
                <w:sz w:val="20"/>
              </w:rPr>
              <w:t>the total price</w:t>
            </w:r>
            <w:r w:rsidR="00A87833">
              <w:rPr>
                <w:rFonts w:ascii="Arial" w:eastAsia="Calibri" w:hAnsi="Arial" w:cs="Arial"/>
                <w:noProof/>
                <w:sz w:val="20"/>
              </w:rPr>
              <w:t>)</w:t>
            </w:r>
            <w:r w:rsidR="00B116FF" w:rsidRPr="0081406E">
              <w:rPr>
                <w:rFonts w:ascii="Arial" w:eastAsia="Calibri" w:hAnsi="Arial" w:cs="Arial"/>
                <w:noProof/>
                <w:sz w:val="20"/>
              </w:rPr>
              <w:t xml:space="preserve"> </w:t>
            </w:r>
          </w:p>
        </w:tc>
        <w:tc>
          <w:tcPr>
            <w:tcW w:w="992" w:type="dxa"/>
            <w:tcMar>
              <w:top w:w="57" w:type="dxa"/>
              <w:left w:w="57" w:type="dxa"/>
              <w:bottom w:w="57" w:type="dxa"/>
              <w:right w:w="57" w:type="dxa"/>
            </w:tcMar>
          </w:tcPr>
          <w:p w14:paraId="0FD28D85" w14:textId="77777777" w:rsidR="00B116FF" w:rsidRPr="0081406E" w:rsidRDefault="00B116FF" w:rsidP="00E62BD3">
            <w:pPr>
              <w:rPr>
                <w:rFonts w:ascii="Arial" w:eastAsia="Calibri" w:hAnsi="Arial" w:cs="Arial"/>
                <w:noProof/>
                <w:sz w:val="20"/>
              </w:rPr>
            </w:pPr>
          </w:p>
        </w:tc>
        <w:tc>
          <w:tcPr>
            <w:tcW w:w="1418" w:type="dxa"/>
            <w:tcMar>
              <w:top w:w="57" w:type="dxa"/>
              <w:left w:w="57" w:type="dxa"/>
              <w:bottom w:w="57" w:type="dxa"/>
              <w:right w:w="57" w:type="dxa"/>
            </w:tcMar>
          </w:tcPr>
          <w:p w14:paraId="1B8BD852" w14:textId="77777777" w:rsidR="00B116FF" w:rsidRPr="0081406E" w:rsidRDefault="00B116FF" w:rsidP="00E62BD3">
            <w:pPr>
              <w:rPr>
                <w:rFonts w:ascii="Arial" w:eastAsia="Calibri" w:hAnsi="Arial" w:cs="Arial"/>
                <w:noProof/>
                <w:sz w:val="20"/>
              </w:rPr>
            </w:pPr>
          </w:p>
        </w:tc>
        <w:tc>
          <w:tcPr>
            <w:tcW w:w="1134" w:type="dxa"/>
            <w:tcMar>
              <w:top w:w="57" w:type="dxa"/>
              <w:left w:w="57" w:type="dxa"/>
              <w:bottom w:w="57" w:type="dxa"/>
              <w:right w:w="57" w:type="dxa"/>
            </w:tcMar>
          </w:tcPr>
          <w:p w14:paraId="5EF693AF" w14:textId="77777777" w:rsidR="00B116FF" w:rsidRPr="0081406E" w:rsidRDefault="00B116FF" w:rsidP="00E62BD3">
            <w:pPr>
              <w:rPr>
                <w:rFonts w:ascii="Arial" w:eastAsia="Calibri" w:hAnsi="Arial" w:cs="Arial"/>
                <w:noProof/>
                <w:sz w:val="20"/>
              </w:rPr>
            </w:pPr>
          </w:p>
        </w:tc>
        <w:tc>
          <w:tcPr>
            <w:tcW w:w="1134" w:type="dxa"/>
            <w:tcMar>
              <w:top w:w="57" w:type="dxa"/>
              <w:left w:w="57" w:type="dxa"/>
              <w:bottom w:w="57" w:type="dxa"/>
              <w:right w:w="57" w:type="dxa"/>
            </w:tcMar>
          </w:tcPr>
          <w:p w14:paraId="348C8EDF" w14:textId="77777777" w:rsidR="00B116FF" w:rsidRPr="0081406E" w:rsidRDefault="00B116FF" w:rsidP="00E62BD3">
            <w:pPr>
              <w:rPr>
                <w:rFonts w:ascii="Arial" w:eastAsia="Calibri" w:hAnsi="Arial" w:cs="Arial"/>
                <w:noProof/>
                <w:sz w:val="20"/>
              </w:rPr>
            </w:pPr>
          </w:p>
        </w:tc>
      </w:tr>
    </w:tbl>
    <w:p w14:paraId="799729EE" w14:textId="77777777" w:rsidR="006236AE" w:rsidRPr="006236AE" w:rsidRDefault="3982CBDC" w:rsidP="00102442">
      <w:pPr>
        <w:pStyle w:val="AppendixHeadingLevel1"/>
        <w:numPr>
          <w:ilvl w:val="0"/>
          <w:numId w:val="3"/>
        </w:numPr>
        <w:rPr>
          <w:noProof/>
        </w:rPr>
      </w:pPr>
      <w:bookmarkStart w:id="472" w:name="_Ref81904453"/>
      <w:bookmarkStart w:id="473" w:name="_Toc88571940"/>
      <w:bookmarkStart w:id="474" w:name="_Toc94629533"/>
      <w:bookmarkStart w:id="475" w:name="_Toc98857777"/>
      <w:r>
        <w:rPr>
          <w:noProof/>
        </w:rPr>
        <w:t>Analytical methods</w:t>
      </w:r>
      <w:bookmarkEnd w:id="472"/>
      <w:bookmarkEnd w:id="473"/>
      <w:bookmarkEnd w:id="474"/>
      <w:bookmarkEnd w:id="475"/>
    </w:p>
    <w:p w14:paraId="37308C24" w14:textId="77777777" w:rsidR="006236AE" w:rsidRDefault="3982CBDC" w:rsidP="00F6079D">
      <w:pPr>
        <w:pStyle w:val="AppendixHeadingLevel2"/>
        <w:numPr>
          <w:ilvl w:val="1"/>
          <w:numId w:val="3"/>
        </w:numPr>
        <w:rPr>
          <w:noProof/>
        </w:rPr>
      </w:pPr>
      <w:bookmarkStart w:id="476" w:name="_Toc71559443"/>
      <w:bookmarkStart w:id="477" w:name="_Toc71561880"/>
      <w:r>
        <w:rPr>
          <w:noProof/>
        </w:rPr>
        <w:t>Data sources</w:t>
      </w:r>
      <w:bookmarkEnd w:id="476"/>
      <w:bookmarkEnd w:id="477"/>
    </w:p>
    <w:p w14:paraId="5C7D2482" w14:textId="20F401EF" w:rsidR="00F5514A" w:rsidRDefault="00EB5A41" w:rsidP="00EB5A41">
      <w:pPr>
        <w:spacing w:after="0"/>
        <w:textAlignment w:val="baseline"/>
        <w:rPr>
          <w:rFonts w:ascii="Trebuchet MS" w:hAnsi="Trebuchet MS"/>
          <w:noProof/>
          <w:lang w:eastAsia="nl-NL"/>
        </w:rPr>
      </w:pPr>
      <w:bookmarkStart w:id="478" w:name="_Hlk23433209"/>
      <w:r>
        <w:rPr>
          <w:noProof/>
          <w:lang w:eastAsia="nl-NL"/>
        </w:rPr>
        <w:t>Data sources included</w:t>
      </w:r>
    </w:p>
    <w:p w14:paraId="47EE6A7D" w14:textId="162F81BB" w:rsidR="00F5514A" w:rsidRDefault="00EB5A41" w:rsidP="00AD5F1B">
      <w:pPr>
        <w:numPr>
          <w:ilvl w:val="0"/>
          <w:numId w:val="59"/>
        </w:numPr>
        <w:spacing w:after="0"/>
        <w:jc w:val="left"/>
        <w:textAlignment w:val="baseline"/>
        <w:rPr>
          <w:noProof/>
          <w:lang w:eastAsia="nl-NL"/>
        </w:rPr>
      </w:pPr>
      <w:r>
        <w:rPr>
          <w:noProof/>
          <w:lang w:eastAsia="nl-NL"/>
        </w:rPr>
        <w:t>Referenced literature as per the support study;</w:t>
      </w:r>
    </w:p>
    <w:p w14:paraId="46BC341B" w14:textId="462186A3" w:rsidR="00D6501F" w:rsidRDefault="00D6501F" w:rsidP="00AD5F1B">
      <w:pPr>
        <w:numPr>
          <w:ilvl w:val="0"/>
          <w:numId w:val="59"/>
        </w:numPr>
        <w:spacing w:after="0"/>
        <w:jc w:val="left"/>
        <w:textAlignment w:val="baseline"/>
        <w:rPr>
          <w:noProof/>
          <w:lang w:eastAsia="nl-NL"/>
        </w:rPr>
      </w:pPr>
      <w:r>
        <w:rPr>
          <w:noProof/>
        </w:rPr>
        <w:t>EEA’s yearly reports on fluorinated gases</w:t>
      </w:r>
      <w:r>
        <w:rPr>
          <w:rStyle w:val="FootnoteReference"/>
          <w:noProof/>
        </w:rPr>
        <w:footnoteReference w:id="132"/>
      </w:r>
      <w:r>
        <w:rPr>
          <w:noProof/>
        </w:rPr>
        <w:t>;</w:t>
      </w:r>
    </w:p>
    <w:p w14:paraId="262BB674" w14:textId="62C5D785" w:rsidR="00D6501F" w:rsidRDefault="00D6501F" w:rsidP="00AD5F1B">
      <w:pPr>
        <w:numPr>
          <w:ilvl w:val="0"/>
          <w:numId w:val="59"/>
        </w:numPr>
        <w:spacing w:after="0"/>
        <w:jc w:val="left"/>
        <w:textAlignment w:val="baseline"/>
        <w:rPr>
          <w:noProof/>
          <w:lang w:eastAsia="nl-NL"/>
        </w:rPr>
      </w:pPr>
      <w:r>
        <w:rPr>
          <w:noProof/>
          <w:lang w:eastAsia="nl-NL"/>
        </w:rPr>
        <w:t xml:space="preserve">Recent technical </w:t>
      </w:r>
      <w:r w:rsidRPr="3982CBDC">
        <w:rPr>
          <w:noProof/>
          <w:lang w:eastAsia="nl-NL"/>
        </w:rPr>
        <w:t xml:space="preserve">reports </w:t>
      </w:r>
      <w:r>
        <w:rPr>
          <w:noProof/>
          <w:lang w:eastAsia="nl-NL"/>
        </w:rPr>
        <w:t>published</w:t>
      </w:r>
      <w:r w:rsidRPr="3982CBDC">
        <w:rPr>
          <w:noProof/>
          <w:lang w:eastAsia="nl-NL"/>
        </w:rPr>
        <w:t xml:space="preserve"> by </w:t>
      </w:r>
      <w:r>
        <w:rPr>
          <w:noProof/>
          <w:lang w:eastAsia="nl-NL"/>
        </w:rPr>
        <w:t>the EC</w:t>
      </w:r>
      <w:r w:rsidR="002F2084">
        <w:rPr>
          <w:noProof/>
          <w:lang w:eastAsia="nl-NL"/>
        </w:rPr>
        <w:t xml:space="preserve"> (see footnote </w:t>
      </w:r>
      <w:r w:rsidR="002F2084">
        <w:rPr>
          <w:noProof/>
          <w:lang w:eastAsia="nl-NL"/>
        </w:rPr>
        <w:fldChar w:fldCharType="begin"/>
      </w:r>
      <w:r w:rsidR="002F2084">
        <w:rPr>
          <w:noProof/>
          <w:lang w:eastAsia="nl-NL"/>
        </w:rPr>
        <w:instrText xml:space="preserve"> NOTEREF _Ref87259592 \h </w:instrText>
      </w:r>
      <w:r w:rsidR="00F120D0">
        <w:rPr>
          <w:noProof/>
          <w:lang w:eastAsia="nl-NL"/>
        </w:rPr>
        <w:instrText xml:space="preserve"> \* MERGEFORMAT </w:instrText>
      </w:r>
      <w:r w:rsidR="002F2084">
        <w:rPr>
          <w:noProof/>
          <w:lang w:eastAsia="nl-NL"/>
        </w:rPr>
      </w:r>
      <w:r w:rsidR="002F2084">
        <w:rPr>
          <w:noProof/>
          <w:lang w:eastAsia="nl-NL"/>
        </w:rPr>
        <w:fldChar w:fldCharType="separate"/>
      </w:r>
      <w:r w:rsidR="00C66A21">
        <w:rPr>
          <w:noProof/>
          <w:lang w:eastAsia="nl-NL"/>
        </w:rPr>
        <w:t>128</w:t>
      </w:r>
      <w:r w:rsidR="002F2084">
        <w:rPr>
          <w:noProof/>
          <w:lang w:eastAsia="nl-NL"/>
        </w:rPr>
        <w:fldChar w:fldCharType="end"/>
      </w:r>
      <w:r w:rsidR="00FA4B81">
        <w:rPr>
          <w:noProof/>
          <w:lang w:eastAsia="nl-NL"/>
        </w:rPr>
        <w:t>)</w:t>
      </w:r>
      <w:r>
        <w:rPr>
          <w:noProof/>
          <w:lang w:eastAsia="nl-NL"/>
        </w:rPr>
        <w:t>;</w:t>
      </w:r>
    </w:p>
    <w:p w14:paraId="0A23F21C" w14:textId="032EF7E8" w:rsidR="002F2084" w:rsidRDefault="002F2084" w:rsidP="00AD5F1B">
      <w:pPr>
        <w:numPr>
          <w:ilvl w:val="0"/>
          <w:numId w:val="59"/>
        </w:numPr>
        <w:spacing w:after="0"/>
        <w:jc w:val="left"/>
        <w:textAlignment w:val="baseline"/>
        <w:rPr>
          <w:noProof/>
          <w:lang w:eastAsia="nl-NL"/>
        </w:rPr>
      </w:pPr>
      <w:r>
        <w:rPr>
          <w:noProof/>
          <w:lang w:eastAsia="nl-NL"/>
        </w:rPr>
        <w:t>The extensive stakeholder consultations</w:t>
      </w:r>
      <w:r w:rsidRPr="3982CBDC">
        <w:rPr>
          <w:noProof/>
          <w:lang w:eastAsia="nl-NL"/>
        </w:rPr>
        <w:t xml:space="preserve"> </w:t>
      </w:r>
      <w:r>
        <w:rPr>
          <w:noProof/>
          <w:lang w:eastAsia="nl-NL"/>
        </w:rPr>
        <w:t xml:space="preserve">carried out </w:t>
      </w:r>
      <w:r w:rsidRPr="3982CBDC">
        <w:rPr>
          <w:noProof/>
          <w:lang w:eastAsia="nl-NL"/>
        </w:rPr>
        <w:t>for this study</w:t>
      </w:r>
      <w:r>
        <w:rPr>
          <w:noProof/>
          <w:lang w:eastAsia="nl-NL"/>
        </w:rPr>
        <w:t>;</w:t>
      </w:r>
    </w:p>
    <w:p w14:paraId="20782065" w14:textId="7C390DC9" w:rsidR="00F5514A" w:rsidRDefault="002F2084" w:rsidP="00AD5F1B">
      <w:pPr>
        <w:numPr>
          <w:ilvl w:val="0"/>
          <w:numId w:val="59"/>
        </w:numPr>
        <w:spacing w:after="0"/>
        <w:jc w:val="left"/>
        <w:textAlignment w:val="baseline"/>
        <w:rPr>
          <w:noProof/>
          <w:lang w:eastAsia="nl-NL"/>
        </w:rPr>
      </w:pPr>
      <w:r>
        <w:rPr>
          <w:noProof/>
          <w:lang w:eastAsia="nl-NL"/>
        </w:rPr>
        <w:t>Previous</w:t>
      </w:r>
      <w:r>
        <w:rPr>
          <w:noProof/>
        </w:rPr>
        <w:t xml:space="preserve"> expertise including</w:t>
      </w:r>
      <w:r w:rsidR="00EB5A41">
        <w:rPr>
          <w:noProof/>
        </w:rPr>
        <w:t xml:space="preserve"> past and current proje</w:t>
      </w:r>
      <w:r>
        <w:rPr>
          <w:noProof/>
        </w:rPr>
        <w:t>cts of the external consultants.</w:t>
      </w:r>
    </w:p>
    <w:p w14:paraId="33D2DDD8" w14:textId="19D0F5BB" w:rsidR="00F847A6" w:rsidRDefault="00F847A6" w:rsidP="00F120D0">
      <w:pPr>
        <w:spacing w:after="0"/>
        <w:jc w:val="left"/>
        <w:textAlignment w:val="baseline"/>
        <w:rPr>
          <w:noProof/>
          <w:lang w:eastAsia="nl-NL"/>
        </w:rPr>
      </w:pPr>
    </w:p>
    <w:p w14:paraId="006FD829" w14:textId="0C4FF870" w:rsidR="00F847A6" w:rsidRDefault="00F847A6" w:rsidP="00F120D0">
      <w:pPr>
        <w:spacing w:after="0"/>
        <w:textAlignment w:val="baseline"/>
        <w:rPr>
          <w:noProof/>
          <w:lang w:eastAsia="nl-NL"/>
        </w:rPr>
      </w:pPr>
      <w:r>
        <w:rPr>
          <w:noProof/>
          <w:lang w:eastAsia="nl-NL"/>
        </w:rPr>
        <w:t>The following impacts were examined making use of the above information as well as modelling based on AnaFgas and the JRC’s GEM-E3 model (see below for information on these modelling activities).</w:t>
      </w:r>
    </w:p>
    <w:p w14:paraId="72FA8B18" w14:textId="5B9978A5" w:rsidR="00F847A6" w:rsidRDefault="00F847A6" w:rsidP="00F847A6">
      <w:pPr>
        <w:spacing w:after="0" w:line="300" w:lineRule="atLeast"/>
        <w:jc w:val="left"/>
        <w:textAlignment w:val="baseline"/>
        <w:rPr>
          <w:noProof/>
          <w:lang w:eastAsia="nl-NL"/>
        </w:rPr>
      </w:pPr>
    </w:p>
    <w:p w14:paraId="52758C7B" w14:textId="209ED090" w:rsidR="00F847A6" w:rsidRPr="00AF23C4" w:rsidRDefault="00F847A6" w:rsidP="00F847A6">
      <w:pPr>
        <w:pStyle w:val="Caption"/>
        <w:rPr>
          <w:rFonts w:asciiTheme="minorHAnsi" w:eastAsia="Calibri" w:hAnsiTheme="minorHAnsi" w:cstheme="minorHAnsi"/>
          <w:noProof/>
        </w:rPr>
      </w:pPr>
      <w:bookmarkStart w:id="479" w:name="_Ref85643278"/>
      <w:bookmarkStart w:id="480" w:name="_Toc77095665"/>
      <w:bookmarkStart w:id="481" w:name="_Toc81166391"/>
      <w:r w:rsidRPr="00AF23C4">
        <w:rPr>
          <w:rFonts w:asciiTheme="minorHAnsi" w:hAnsiTheme="minorHAnsi" w:cstheme="minorHAnsi"/>
          <w:b/>
          <w:noProof/>
        </w:rPr>
        <w:t xml:space="preserve">Table </w:t>
      </w:r>
      <w:r w:rsidR="003E483C" w:rsidRPr="00AF23C4">
        <w:rPr>
          <w:rFonts w:asciiTheme="minorHAnsi" w:hAnsiTheme="minorHAnsi" w:cstheme="minorHAnsi"/>
          <w:b/>
          <w:noProof/>
        </w:rPr>
        <w:fldChar w:fldCharType="begin"/>
      </w:r>
      <w:r w:rsidR="003E483C" w:rsidRPr="00AF23C4">
        <w:rPr>
          <w:rFonts w:asciiTheme="minorHAnsi" w:hAnsiTheme="minorHAnsi" w:cstheme="minorHAnsi"/>
          <w:b/>
          <w:noProof/>
        </w:rPr>
        <w:instrText xml:space="preserve"> SEQ Table \* ARABIC </w:instrText>
      </w:r>
      <w:r w:rsidR="003E483C" w:rsidRPr="00AF23C4">
        <w:rPr>
          <w:rFonts w:asciiTheme="minorHAnsi" w:hAnsiTheme="minorHAnsi" w:cstheme="minorHAnsi"/>
          <w:b/>
          <w:noProof/>
        </w:rPr>
        <w:fldChar w:fldCharType="separate"/>
      </w:r>
      <w:r w:rsidR="00830261">
        <w:rPr>
          <w:rFonts w:asciiTheme="minorHAnsi" w:hAnsiTheme="minorHAnsi" w:cstheme="minorHAnsi"/>
          <w:b/>
          <w:noProof/>
        </w:rPr>
        <w:t>14</w:t>
      </w:r>
      <w:r w:rsidR="003E483C" w:rsidRPr="00AF23C4">
        <w:rPr>
          <w:rFonts w:asciiTheme="minorHAnsi" w:hAnsiTheme="minorHAnsi" w:cstheme="minorHAnsi"/>
          <w:b/>
          <w:noProof/>
        </w:rPr>
        <w:fldChar w:fldCharType="end"/>
      </w:r>
      <w:bookmarkEnd w:id="479"/>
      <w:r w:rsidRPr="00AF23C4">
        <w:rPr>
          <w:rFonts w:asciiTheme="minorHAnsi" w:hAnsiTheme="minorHAnsi" w:cstheme="minorHAnsi"/>
          <w:b/>
          <w:noProof/>
        </w:rPr>
        <w:t>.</w:t>
      </w:r>
      <w:r w:rsidRPr="00AF23C4">
        <w:rPr>
          <w:rFonts w:asciiTheme="minorHAnsi" w:hAnsiTheme="minorHAnsi" w:cstheme="minorHAnsi"/>
          <w:noProof/>
        </w:rPr>
        <w:t xml:space="preserve"> </w:t>
      </w:r>
      <w:r w:rsidRPr="00AF23C4">
        <w:rPr>
          <w:rFonts w:asciiTheme="minorHAnsi" w:eastAsia="Calibri" w:hAnsiTheme="minorHAnsi" w:cstheme="minorHAnsi"/>
          <w:noProof/>
        </w:rPr>
        <w:t xml:space="preserve">List of </w:t>
      </w:r>
      <w:bookmarkEnd w:id="480"/>
      <w:r w:rsidRPr="00AF23C4">
        <w:rPr>
          <w:rFonts w:asciiTheme="minorHAnsi" w:eastAsia="Calibri" w:hAnsiTheme="minorHAnsi" w:cstheme="minorHAnsi"/>
          <w:noProof/>
        </w:rPr>
        <w:t>impacts</w:t>
      </w:r>
      <w:bookmarkEnd w:id="481"/>
      <w:r w:rsidRPr="00AF23C4">
        <w:rPr>
          <w:rFonts w:asciiTheme="minorHAnsi" w:eastAsia="Calibri" w:hAnsiTheme="minorHAnsi" w:cstheme="minorHAnsi"/>
          <w:noProof/>
        </w:rPr>
        <w:t xml:space="preserve"> examined</w:t>
      </w:r>
    </w:p>
    <w:tbl>
      <w:tblPr>
        <w:tblStyle w:val="HTG1"/>
        <w:tblW w:w="0" w:type="auto"/>
        <w:jc w:val="center"/>
        <w:tblLook w:val="04A0" w:firstRow="1" w:lastRow="0" w:firstColumn="1" w:lastColumn="0" w:noHBand="0" w:noVBand="1"/>
      </w:tblPr>
      <w:tblGrid>
        <w:gridCol w:w="6516"/>
      </w:tblGrid>
      <w:tr w:rsidR="00F847A6" w:rsidRPr="0023227F" w14:paraId="1381C99D" w14:textId="77777777" w:rsidTr="001F27BA">
        <w:trPr>
          <w:jc w:val="center"/>
        </w:trPr>
        <w:tc>
          <w:tcPr>
            <w:tcW w:w="6516" w:type="dxa"/>
            <w:shd w:val="clear" w:color="auto" w:fill="C2D69B" w:themeFill="accent3" w:themeFillTint="99"/>
          </w:tcPr>
          <w:p w14:paraId="029B1BAF" w14:textId="77777777" w:rsidR="00F847A6" w:rsidRPr="0023227F" w:rsidRDefault="00F847A6" w:rsidP="001F27BA">
            <w:pPr>
              <w:spacing w:before="20" w:after="20"/>
              <w:jc w:val="left"/>
              <w:rPr>
                <w:rFonts w:ascii="Arial" w:eastAsia="Calibri" w:hAnsi="Arial" w:cs="Arial"/>
                <w:b/>
                <w:bCs/>
                <w:noProof/>
                <w:sz w:val="17"/>
                <w:szCs w:val="17"/>
              </w:rPr>
            </w:pPr>
            <w:r w:rsidRPr="3982CBDC">
              <w:rPr>
                <w:rFonts w:ascii="Arial" w:eastAsia="Calibri" w:hAnsi="Arial" w:cs="Arial"/>
                <w:b/>
                <w:bCs/>
                <w:noProof/>
                <w:sz w:val="17"/>
                <w:szCs w:val="17"/>
              </w:rPr>
              <w:t>Environmental impacts</w:t>
            </w:r>
          </w:p>
        </w:tc>
      </w:tr>
      <w:tr w:rsidR="00F847A6" w:rsidRPr="0023227F" w14:paraId="7502C14A" w14:textId="77777777" w:rsidTr="001F27BA">
        <w:trPr>
          <w:jc w:val="center"/>
        </w:trPr>
        <w:tc>
          <w:tcPr>
            <w:tcW w:w="6516" w:type="dxa"/>
            <w:shd w:val="clear" w:color="auto" w:fill="EAF1DD" w:themeFill="accent3" w:themeFillTint="33"/>
          </w:tcPr>
          <w:p w14:paraId="752058FC" w14:textId="77777777" w:rsidR="00F847A6" w:rsidRPr="0023227F" w:rsidRDefault="00F847A6" w:rsidP="001F27BA">
            <w:pPr>
              <w:spacing w:before="20" w:after="20"/>
              <w:ind w:left="308"/>
              <w:jc w:val="left"/>
              <w:rPr>
                <w:rFonts w:ascii="Arial" w:eastAsia="Calibri" w:hAnsi="Arial" w:cs="Arial"/>
                <w:noProof/>
                <w:sz w:val="17"/>
                <w:szCs w:val="17"/>
              </w:rPr>
            </w:pPr>
            <w:r w:rsidRPr="3982CBDC">
              <w:rPr>
                <w:rFonts w:ascii="Arial" w:eastAsia="Calibri" w:hAnsi="Arial" w:cs="Arial"/>
                <w:noProof/>
                <w:sz w:val="17"/>
                <w:szCs w:val="17"/>
              </w:rPr>
              <w:t>Direct F-gas emissions</w:t>
            </w:r>
          </w:p>
        </w:tc>
      </w:tr>
      <w:tr w:rsidR="00F847A6" w:rsidRPr="0023227F" w14:paraId="6E34327A" w14:textId="77777777" w:rsidTr="001F27BA">
        <w:trPr>
          <w:jc w:val="center"/>
        </w:trPr>
        <w:tc>
          <w:tcPr>
            <w:tcW w:w="6516" w:type="dxa"/>
            <w:shd w:val="clear" w:color="auto" w:fill="EAF1DD" w:themeFill="accent3" w:themeFillTint="33"/>
          </w:tcPr>
          <w:p w14:paraId="05BE3CEE" w14:textId="77777777" w:rsidR="00F847A6" w:rsidRPr="0023227F" w:rsidRDefault="00F847A6" w:rsidP="001F27BA">
            <w:pPr>
              <w:spacing w:before="20" w:after="20"/>
              <w:ind w:left="308"/>
              <w:jc w:val="left"/>
              <w:rPr>
                <w:rFonts w:ascii="Arial" w:eastAsia="Calibri" w:hAnsi="Arial" w:cs="Arial"/>
                <w:noProof/>
                <w:sz w:val="17"/>
                <w:szCs w:val="17"/>
              </w:rPr>
            </w:pPr>
            <w:r w:rsidRPr="3982CBDC">
              <w:rPr>
                <w:rFonts w:ascii="Arial" w:eastAsia="Calibri" w:hAnsi="Arial" w:cs="Arial"/>
                <w:noProof/>
                <w:sz w:val="17"/>
                <w:szCs w:val="17"/>
              </w:rPr>
              <w:t>Energy use / indirect emissions</w:t>
            </w:r>
          </w:p>
        </w:tc>
      </w:tr>
      <w:tr w:rsidR="00F847A6" w:rsidRPr="0023227F" w14:paraId="752AD1D8" w14:textId="77777777" w:rsidTr="001F27BA">
        <w:trPr>
          <w:jc w:val="center"/>
        </w:trPr>
        <w:tc>
          <w:tcPr>
            <w:tcW w:w="6516" w:type="dxa"/>
            <w:shd w:val="clear" w:color="auto" w:fill="EAF1DD" w:themeFill="accent3" w:themeFillTint="33"/>
          </w:tcPr>
          <w:p w14:paraId="63815F1D" w14:textId="77777777" w:rsidR="00F847A6" w:rsidRPr="0023227F" w:rsidRDefault="00F847A6" w:rsidP="001F27BA">
            <w:pPr>
              <w:spacing w:before="20" w:after="20"/>
              <w:ind w:left="308"/>
              <w:jc w:val="left"/>
              <w:rPr>
                <w:rFonts w:ascii="Arial" w:eastAsia="Calibri" w:hAnsi="Arial" w:cs="Arial"/>
                <w:noProof/>
                <w:sz w:val="17"/>
                <w:szCs w:val="17"/>
              </w:rPr>
            </w:pPr>
            <w:r>
              <w:rPr>
                <w:rFonts w:ascii="Arial" w:eastAsia="Calibri" w:hAnsi="Arial" w:cs="Arial"/>
                <w:noProof/>
                <w:sz w:val="17"/>
                <w:szCs w:val="17"/>
              </w:rPr>
              <w:t>Eco</w:t>
            </w:r>
            <w:r w:rsidRPr="3982CBDC">
              <w:rPr>
                <w:rFonts w:ascii="Arial" w:eastAsia="Calibri" w:hAnsi="Arial" w:cs="Arial"/>
                <w:noProof/>
                <w:sz w:val="17"/>
                <w:szCs w:val="17"/>
              </w:rPr>
              <w:t xml:space="preserve">toxicity </w:t>
            </w:r>
          </w:p>
        </w:tc>
      </w:tr>
      <w:tr w:rsidR="00F847A6" w:rsidRPr="0023227F" w14:paraId="3F6A03DA" w14:textId="77777777" w:rsidTr="001F27BA">
        <w:trPr>
          <w:jc w:val="center"/>
        </w:trPr>
        <w:tc>
          <w:tcPr>
            <w:tcW w:w="6516" w:type="dxa"/>
            <w:shd w:val="clear" w:color="auto" w:fill="8DB3E2" w:themeFill="text2" w:themeFillTint="66"/>
          </w:tcPr>
          <w:p w14:paraId="06C14468" w14:textId="77777777" w:rsidR="00F847A6" w:rsidRPr="0023227F" w:rsidRDefault="00F847A6" w:rsidP="001F27BA">
            <w:pPr>
              <w:spacing w:before="20" w:after="20"/>
              <w:jc w:val="left"/>
              <w:rPr>
                <w:rFonts w:ascii="Arial" w:eastAsia="Calibri" w:hAnsi="Arial" w:cs="Arial"/>
                <w:b/>
                <w:bCs/>
                <w:noProof/>
                <w:sz w:val="17"/>
                <w:szCs w:val="17"/>
              </w:rPr>
            </w:pPr>
            <w:r w:rsidRPr="3982CBDC">
              <w:rPr>
                <w:rFonts w:ascii="Arial" w:eastAsia="Calibri" w:hAnsi="Arial" w:cs="Arial"/>
                <w:b/>
                <w:bCs/>
                <w:noProof/>
                <w:sz w:val="17"/>
                <w:szCs w:val="17"/>
              </w:rPr>
              <w:t>Economic impacts</w:t>
            </w:r>
          </w:p>
        </w:tc>
      </w:tr>
      <w:tr w:rsidR="00F847A6" w:rsidRPr="0023227F" w14:paraId="06788614" w14:textId="77777777" w:rsidTr="001F27BA">
        <w:trPr>
          <w:jc w:val="center"/>
        </w:trPr>
        <w:tc>
          <w:tcPr>
            <w:tcW w:w="6516" w:type="dxa"/>
            <w:shd w:val="clear" w:color="auto" w:fill="DBE5F1" w:themeFill="accent1" w:themeFillTint="33"/>
          </w:tcPr>
          <w:p w14:paraId="61229344" w14:textId="77777777" w:rsidR="00F847A6" w:rsidRPr="0023227F" w:rsidRDefault="00F847A6" w:rsidP="001F27BA">
            <w:pPr>
              <w:spacing w:before="20" w:after="20"/>
              <w:ind w:left="308"/>
              <w:jc w:val="left"/>
              <w:rPr>
                <w:rFonts w:ascii="Arial" w:eastAsia="Calibri" w:hAnsi="Arial" w:cs="Arial"/>
                <w:noProof/>
                <w:sz w:val="17"/>
                <w:szCs w:val="17"/>
                <w:lang w:val="en-GB"/>
              </w:rPr>
            </w:pPr>
            <w:r w:rsidRPr="3982CBDC">
              <w:rPr>
                <w:rFonts w:ascii="Arial" w:eastAsia="Calibri" w:hAnsi="Arial" w:cs="Arial"/>
                <w:noProof/>
                <w:sz w:val="17"/>
                <w:szCs w:val="17"/>
                <w:lang w:val="en-US"/>
              </w:rPr>
              <w:t xml:space="preserve">Operative adjustment costs of F-gas using industries </w:t>
            </w:r>
          </w:p>
        </w:tc>
      </w:tr>
      <w:tr w:rsidR="00F847A6" w:rsidRPr="0023227F" w14:paraId="4B4BA80D" w14:textId="77777777" w:rsidTr="001F27BA">
        <w:trPr>
          <w:jc w:val="center"/>
        </w:trPr>
        <w:tc>
          <w:tcPr>
            <w:tcW w:w="6516" w:type="dxa"/>
            <w:shd w:val="clear" w:color="auto" w:fill="DBE5F1" w:themeFill="accent1" w:themeFillTint="33"/>
          </w:tcPr>
          <w:p w14:paraId="58BC4FBB" w14:textId="77777777" w:rsidR="00F847A6" w:rsidRPr="0023227F" w:rsidRDefault="00F847A6" w:rsidP="001F27BA">
            <w:pPr>
              <w:spacing w:before="20" w:after="20"/>
              <w:ind w:left="308"/>
              <w:jc w:val="left"/>
              <w:rPr>
                <w:rFonts w:ascii="Arial" w:eastAsia="Calibri" w:hAnsi="Arial" w:cs="Arial"/>
                <w:noProof/>
                <w:sz w:val="17"/>
                <w:szCs w:val="17"/>
              </w:rPr>
            </w:pPr>
            <w:r w:rsidRPr="3982CBDC">
              <w:rPr>
                <w:rFonts w:ascii="Arial" w:eastAsia="Calibri" w:hAnsi="Arial" w:cs="Arial"/>
                <w:noProof/>
                <w:sz w:val="17"/>
                <w:szCs w:val="17"/>
              </w:rPr>
              <w:t>Administrative costs</w:t>
            </w:r>
          </w:p>
        </w:tc>
      </w:tr>
      <w:tr w:rsidR="00F847A6" w:rsidRPr="0023227F" w14:paraId="755E7148" w14:textId="77777777" w:rsidTr="001F27BA">
        <w:trPr>
          <w:jc w:val="center"/>
        </w:trPr>
        <w:tc>
          <w:tcPr>
            <w:tcW w:w="6516" w:type="dxa"/>
            <w:shd w:val="clear" w:color="auto" w:fill="DBE5F1" w:themeFill="accent1" w:themeFillTint="33"/>
          </w:tcPr>
          <w:p w14:paraId="307AE2E0" w14:textId="77777777" w:rsidR="00F847A6" w:rsidRPr="0023227F" w:rsidRDefault="00F847A6" w:rsidP="00AD5F1B">
            <w:pPr>
              <w:numPr>
                <w:ilvl w:val="0"/>
                <w:numId w:val="22"/>
              </w:numPr>
              <w:spacing w:before="20" w:after="20"/>
              <w:jc w:val="left"/>
              <w:rPr>
                <w:rFonts w:ascii="Arial" w:eastAsia="Calibri" w:hAnsi="Arial" w:cs="Arial"/>
                <w:noProof/>
                <w:sz w:val="17"/>
                <w:szCs w:val="17"/>
              </w:rPr>
            </w:pPr>
            <w:r w:rsidRPr="3982CBDC">
              <w:rPr>
                <w:rFonts w:ascii="Arial" w:eastAsia="Calibri" w:hAnsi="Arial" w:cs="Arial"/>
                <w:noProof/>
                <w:sz w:val="17"/>
                <w:szCs w:val="17"/>
              </w:rPr>
              <w:t>to businesses</w:t>
            </w:r>
          </w:p>
        </w:tc>
      </w:tr>
      <w:tr w:rsidR="00F847A6" w:rsidRPr="0023227F" w14:paraId="2743B925" w14:textId="77777777" w:rsidTr="001F27BA">
        <w:trPr>
          <w:jc w:val="center"/>
        </w:trPr>
        <w:tc>
          <w:tcPr>
            <w:tcW w:w="6516" w:type="dxa"/>
            <w:shd w:val="clear" w:color="auto" w:fill="DBE5F1" w:themeFill="accent1" w:themeFillTint="33"/>
          </w:tcPr>
          <w:p w14:paraId="432CC30E" w14:textId="77777777" w:rsidR="00F847A6" w:rsidRPr="0023227F" w:rsidRDefault="00F847A6" w:rsidP="00AD5F1B">
            <w:pPr>
              <w:numPr>
                <w:ilvl w:val="0"/>
                <w:numId w:val="22"/>
              </w:numPr>
              <w:spacing w:before="20" w:after="20"/>
              <w:jc w:val="left"/>
              <w:rPr>
                <w:rFonts w:ascii="Arial" w:eastAsia="Calibri" w:hAnsi="Arial" w:cs="Arial"/>
                <w:noProof/>
                <w:sz w:val="17"/>
                <w:szCs w:val="17"/>
                <w:lang w:val="en-GB"/>
              </w:rPr>
            </w:pPr>
            <w:r w:rsidRPr="3982CBDC">
              <w:rPr>
                <w:rFonts w:ascii="Arial" w:eastAsia="Calibri" w:hAnsi="Arial" w:cs="Arial"/>
                <w:noProof/>
                <w:sz w:val="17"/>
                <w:szCs w:val="17"/>
                <w:lang w:val="en-US"/>
              </w:rPr>
              <w:t>to Member State competent authorities</w:t>
            </w:r>
          </w:p>
        </w:tc>
      </w:tr>
      <w:tr w:rsidR="00F847A6" w:rsidRPr="0023227F" w14:paraId="01586974" w14:textId="77777777" w:rsidTr="001F27BA">
        <w:trPr>
          <w:jc w:val="center"/>
        </w:trPr>
        <w:tc>
          <w:tcPr>
            <w:tcW w:w="6516" w:type="dxa"/>
            <w:shd w:val="clear" w:color="auto" w:fill="DBE5F1" w:themeFill="accent1" w:themeFillTint="33"/>
          </w:tcPr>
          <w:p w14:paraId="6C2277BC" w14:textId="77777777" w:rsidR="00F847A6" w:rsidRPr="0023227F" w:rsidRDefault="00F847A6" w:rsidP="00AD5F1B">
            <w:pPr>
              <w:numPr>
                <w:ilvl w:val="0"/>
                <w:numId w:val="22"/>
              </w:numPr>
              <w:spacing w:before="20" w:after="20"/>
              <w:jc w:val="left"/>
              <w:rPr>
                <w:rFonts w:ascii="Arial" w:eastAsia="Calibri" w:hAnsi="Arial" w:cs="Arial"/>
                <w:noProof/>
                <w:sz w:val="17"/>
                <w:szCs w:val="17"/>
                <w:lang w:val="en-GB"/>
              </w:rPr>
            </w:pPr>
            <w:r w:rsidRPr="3982CBDC">
              <w:rPr>
                <w:rFonts w:ascii="Arial" w:eastAsia="Calibri" w:hAnsi="Arial" w:cs="Arial"/>
                <w:noProof/>
                <w:sz w:val="17"/>
                <w:szCs w:val="17"/>
                <w:lang w:val="en-US"/>
              </w:rPr>
              <w:t>to the EU Commission and the E</w:t>
            </w:r>
            <w:r>
              <w:rPr>
                <w:rFonts w:ascii="Arial" w:eastAsia="Calibri" w:hAnsi="Arial" w:cs="Arial"/>
                <w:noProof/>
                <w:sz w:val="17"/>
                <w:szCs w:val="17"/>
                <w:lang w:val="en-US"/>
              </w:rPr>
              <w:t xml:space="preserve">uropean </w:t>
            </w:r>
            <w:r w:rsidRPr="3982CBDC">
              <w:rPr>
                <w:rFonts w:ascii="Arial" w:eastAsia="Calibri" w:hAnsi="Arial" w:cs="Arial"/>
                <w:noProof/>
                <w:sz w:val="17"/>
                <w:szCs w:val="17"/>
                <w:lang w:val="en-US"/>
              </w:rPr>
              <w:t>E</w:t>
            </w:r>
            <w:r>
              <w:rPr>
                <w:rFonts w:ascii="Arial" w:eastAsia="Calibri" w:hAnsi="Arial" w:cs="Arial"/>
                <w:noProof/>
                <w:sz w:val="17"/>
                <w:szCs w:val="17"/>
                <w:lang w:val="en-US"/>
              </w:rPr>
              <w:t xml:space="preserve">nvironmental </w:t>
            </w:r>
            <w:r w:rsidRPr="3982CBDC">
              <w:rPr>
                <w:rFonts w:ascii="Arial" w:eastAsia="Calibri" w:hAnsi="Arial" w:cs="Arial"/>
                <w:noProof/>
                <w:sz w:val="17"/>
                <w:szCs w:val="17"/>
                <w:lang w:val="en-US"/>
              </w:rPr>
              <w:t>A</w:t>
            </w:r>
            <w:r>
              <w:rPr>
                <w:rFonts w:ascii="Arial" w:eastAsia="Calibri" w:hAnsi="Arial" w:cs="Arial"/>
                <w:noProof/>
                <w:sz w:val="17"/>
                <w:szCs w:val="17"/>
                <w:lang w:val="en-US"/>
              </w:rPr>
              <w:t>gency (EEA)</w:t>
            </w:r>
          </w:p>
        </w:tc>
      </w:tr>
      <w:tr w:rsidR="00F847A6" w:rsidRPr="0023227F" w14:paraId="1450F168" w14:textId="77777777" w:rsidTr="001F27BA">
        <w:trPr>
          <w:jc w:val="center"/>
        </w:trPr>
        <w:tc>
          <w:tcPr>
            <w:tcW w:w="6516" w:type="dxa"/>
            <w:shd w:val="clear" w:color="auto" w:fill="DBE5F1" w:themeFill="accent1" w:themeFillTint="33"/>
          </w:tcPr>
          <w:p w14:paraId="37D227E3" w14:textId="77777777" w:rsidR="00F847A6" w:rsidRPr="0023227F" w:rsidRDefault="00F847A6" w:rsidP="001F27BA">
            <w:pPr>
              <w:spacing w:before="20" w:after="20"/>
              <w:ind w:left="308"/>
              <w:jc w:val="left"/>
              <w:rPr>
                <w:rFonts w:ascii="Arial" w:eastAsia="Calibri" w:hAnsi="Arial" w:cs="Arial"/>
                <w:noProof/>
                <w:sz w:val="17"/>
                <w:szCs w:val="17"/>
              </w:rPr>
            </w:pPr>
            <w:r w:rsidRPr="3982CBDC">
              <w:rPr>
                <w:rFonts w:ascii="Arial" w:eastAsia="Calibri" w:hAnsi="Arial" w:cs="Arial"/>
                <w:noProof/>
                <w:sz w:val="17"/>
                <w:szCs w:val="17"/>
              </w:rPr>
              <w:t>Distribution of costs</w:t>
            </w:r>
          </w:p>
        </w:tc>
      </w:tr>
      <w:tr w:rsidR="00F847A6" w:rsidRPr="0023227F" w14:paraId="2C7F4A36" w14:textId="77777777" w:rsidTr="001F27BA">
        <w:trPr>
          <w:jc w:val="center"/>
        </w:trPr>
        <w:tc>
          <w:tcPr>
            <w:tcW w:w="6516" w:type="dxa"/>
            <w:shd w:val="clear" w:color="auto" w:fill="DBE5F1" w:themeFill="accent1" w:themeFillTint="33"/>
          </w:tcPr>
          <w:p w14:paraId="0049DBBB" w14:textId="77777777" w:rsidR="00F847A6" w:rsidRPr="0023227F" w:rsidRDefault="00F847A6" w:rsidP="00AD5F1B">
            <w:pPr>
              <w:numPr>
                <w:ilvl w:val="0"/>
                <w:numId w:val="22"/>
              </w:numPr>
              <w:spacing w:before="20" w:after="20"/>
              <w:jc w:val="left"/>
              <w:rPr>
                <w:rFonts w:ascii="Arial" w:eastAsia="Calibri" w:hAnsi="Arial" w:cs="Arial"/>
                <w:noProof/>
                <w:sz w:val="17"/>
                <w:szCs w:val="17"/>
              </w:rPr>
            </w:pPr>
            <w:r w:rsidRPr="3982CBDC">
              <w:rPr>
                <w:rFonts w:ascii="Arial" w:eastAsia="Calibri" w:hAnsi="Arial" w:cs="Arial"/>
                <w:noProof/>
                <w:sz w:val="17"/>
                <w:szCs w:val="17"/>
              </w:rPr>
              <w:t>across business size</w:t>
            </w:r>
          </w:p>
        </w:tc>
      </w:tr>
      <w:tr w:rsidR="00F847A6" w:rsidRPr="0023227F" w14:paraId="282AE814" w14:textId="77777777" w:rsidTr="001F27BA">
        <w:trPr>
          <w:jc w:val="center"/>
        </w:trPr>
        <w:tc>
          <w:tcPr>
            <w:tcW w:w="6516" w:type="dxa"/>
            <w:shd w:val="clear" w:color="auto" w:fill="DBE5F1" w:themeFill="accent1" w:themeFillTint="33"/>
          </w:tcPr>
          <w:p w14:paraId="2A4EB2B7" w14:textId="77777777" w:rsidR="00F847A6" w:rsidRPr="0023227F" w:rsidRDefault="00F847A6" w:rsidP="00AD5F1B">
            <w:pPr>
              <w:numPr>
                <w:ilvl w:val="0"/>
                <w:numId w:val="22"/>
              </w:numPr>
              <w:spacing w:before="20" w:after="20"/>
              <w:jc w:val="left"/>
              <w:rPr>
                <w:rFonts w:ascii="Arial" w:eastAsia="Calibri" w:hAnsi="Arial" w:cs="Arial"/>
                <w:noProof/>
                <w:sz w:val="17"/>
                <w:szCs w:val="17"/>
              </w:rPr>
            </w:pPr>
            <w:r w:rsidRPr="3982CBDC">
              <w:rPr>
                <w:rFonts w:ascii="Arial" w:eastAsia="Calibri" w:hAnsi="Arial" w:cs="Arial"/>
                <w:noProof/>
                <w:sz w:val="17"/>
                <w:szCs w:val="17"/>
              </w:rPr>
              <w:t>across EU regions</w:t>
            </w:r>
          </w:p>
        </w:tc>
      </w:tr>
      <w:tr w:rsidR="00F847A6" w:rsidRPr="0023227F" w14:paraId="17E44749" w14:textId="77777777" w:rsidTr="001F27BA">
        <w:trPr>
          <w:jc w:val="center"/>
        </w:trPr>
        <w:tc>
          <w:tcPr>
            <w:tcW w:w="6516" w:type="dxa"/>
            <w:shd w:val="clear" w:color="auto" w:fill="DBE5F1" w:themeFill="accent1" w:themeFillTint="33"/>
          </w:tcPr>
          <w:p w14:paraId="111619B1" w14:textId="77777777" w:rsidR="00F847A6" w:rsidRPr="0023227F" w:rsidRDefault="00F847A6" w:rsidP="001F27BA">
            <w:pPr>
              <w:spacing w:before="20" w:after="20"/>
              <w:ind w:left="308"/>
              <w:jc w:val="left"/>
              <w:rPr>
                <w:rFonts w:ascii="Arial" w:eastAsia="Calibri" w:hAnsi="Arial" w:cs="Arial"/>
                <w:noProof/>
                <w:sz w:val="17"/>
                <w:szCs w:val="17"/>
                <w:lang w:val="en-GB"/>
              </w:rPr>
            </w:pPr>
            <w:r w:rsidRPr="3982CBDC">
              <w:rPr>
                <w:rFonts w:ascii="Arial" w:eastAsia="Calibri" w:hAnsi="Arial" w:cs="Arial"/>
                <w:noProof/>
                <w:sz w:val="17"/>
                <w:szCs w:val="17"/>
                <w:lang w:val="en-US"/>
              </w:rPr>
              <w:t xml:space="preserve">Macroeconomic impacts on the EU </w:t>
            </w:r>
          </w:p>
        </w:tc>
      </w:tr>
      <w:tr w:rsidR="00F847A6" w:rsidRPr="0023227F" w14:paraId="3C36F50E" w14:textId="77777777" w:rsidTr="001F27BA">
        <w:trPr>
          <w:jc w:val="center"/>
        </w:trPr>
        <w:tc>
          <w:tcPr>
            <w:tcW w:w="6516" w:type="dxa"/>
            <w:shd w:val="clear" w:color="auto" w:fill="DBE5F1" w:themeFill="accent1" w:themeFillTint="33"/>
          </w:tcPr>
          <w:p w14:paraId="2B8F86E6" w14:textId="77777777" w:rsidR="00F847A6" w:rsidRPr="0023227F" w:rsidRDefault="00F847A6" w:rsidP="001F27BA">
            <w:pPr>
              <w:spacing w:before="20" w:after="20"/>
              <w:ind w:left="308"/>
              <w:jc w:val="left"/>
              <w:rPr>
                <w:rFonts w:ascii="Arial" w:eastAsia="Calibri" w:hAnsi="Arial" w:cs="Arial"/>
                <w:noProof/>
                <w:sz w:val="17"/>
                <w:szCs w:val="17"/>
                <w:lang w:val="en-GB"/>
              </w:rPr>
            </w:pPr>
            <w:r w:rsidRPr="3982CBDC">
              <w:rPr>
                <w:rFonts w:ascii="Arial" w:eastAsia="Calibri" w:hAnsi="Arial" w:cs="Arial"/>
                <w:noProof/>
                <w:sz w:val="17"/>
                <w:szCs w:val="17"/>
                <w:lang w:val="en-US"/>
              </w:rPr>
              <w:t>Distributional effects between equipment operators and undertakings of the HFC supply chain</w:t>
            </w:r>
          </w:p>
        </w:tc>
      </w:tr>
      <w:tr w:rsidR="00F847A6" w:rsidRPr="0023227F" w14:paraId="4AF68F43" w14:textId="77777777" w:rsidTr="001F27BA">
        <w:trPr>
          <w:jc w:val="center"/>
        </w:trPr>
        <w:tc>
          <w:tcPr>
            <w:tcW w:w="6516" w:type="dxa"/>
            <w:shd w:val="clear" w:color="auto" w:fill="DBE5F1" w:themeFill="accent1" w:themeFillTint="33"/>
          </w:tcPr>
          <w:p w14:paraId="2363E936" w14:textId="77777777" w:rsidR="00F847A6" w:rsidRPr="0023227F" w:rsidRDefault="00F847A6" w:rsidP="001F27BA">
            <w:pPr>
              <w:spacing w:before="20" w:after="20"/>
              <w:ind w:left="308"/>
              <w:jc w:val="left"/>
              <w:rPr>
                <w:rFonts w:ascii="Arial" w:eastAsia="Calibri" w:hAnsi="Arial" w:cs="Arial"/>
                <w:noProof/>
                <w:sz w:val="17"/>
                <w:szCs w:val="17"/>
              </w:rPr>
            </w:pPr>
            <w:r w:rsidRPr="3982CBDC">
              <w:rPr>
                <w:rFonts w:ascii="Arial" w:eastAsia="Calibri" w:hAnsi="Arial" w:cs="Arial"/>
                <w:noProof/>
                <w:sz w:val="17"/>
                <w:szCs w:val="17"/>
              </w:rPr>
              <w:t>Impact on consumer prices</w:t>
            </w:r>
          </w:p>
        </w:tc>
      </w:tr>
      <w:tr w:rsidR="00F847A6" w:rsidRPr="0023227F" w14:paraId="6E685A3B" w14:textId="77777777" w:rsidTr="001F27BA">
        <w:trPr>
          <w:jc w:val="center"/>
        </w:trPr>
        <w:tc>
          <w:tcPr>
            <w:tcW w:w="6516" w:type="dxa"/>
            <w:shd w:val="clear" w:color="auto" w:fill="DBE5F1" w:themeFill="accent1" w:themeFillTint="33"/>
          </w:tcPr>
          <w:p w14:paraId="6FE2E497" w14:textId="77777777" w:rsidR="00F847A6" w:rsidRPr="0023227F" w:rsidRDefault="00F847A6" w:rsidP="001F27BA">
            <w:pPr>
              <w:spacing w:before="20" w:after="20"/>
              <w:ind w:left="308"/>
              <w:jc w:val="left"/>
              <w:rPr>
                <w:rFonts w:ascii="Arial" w:eastAsia="Calibri" w:hAnsi="Arial" w:cs="Arial"/>
                <w:noProof/>
                <w:sz w:val="17"/>
                <w:szCs w:val="17"/>
                <w:lang w:val="en-GB"/>
              </w:rPr>
            </w:pPr>
            <w:r w:rsidRPr="3982CBDC">
              <w:rPr>
                <w:rFonts w:ascii="Arial" w:eastAsia="Calibri" w:hAnsi="Arial" w:cs="Arial"/>
                <w:noProof/>
                <w:sz w:val="17"/>
                <w:szCs w:val="17"/>
                <w:lang w:val="en-US"/>
              </w:rPr>
              <w:t>Impact on trade flows (imports and exports)</w:t>
            </w:r>
          </w:p>
        </w:tc>
      </w:tr>
      <w:tr w:rsidR="00F847A6" w:rsidRPr="0023227F" w14:paraId="0F0053BE" w14:textId="77777777" w:rsidTr="001F27BA">
        <w:trPr>
          <w:jc w:val="center"/>
        </w:trPr>
        <w:tc>
          <w:tcPr>
            <w:tcW w:w="6516" w:type="dxa"/>
            <w:shd w:val="clear" w:color="auto" w:fill="DBE5F1" w:themeFill="accent1" w:themeFillTint="33"/>
          </w:tcPr>
          <w:p w14:paraId="345A807F" w14:textId="77777777" w:rsidR="00F847A6" w:rsidRPr="0023227F" w:rsidRDefault="00F847A6" w:rsidP="001F27BA">
            <w:pPr>
              <w:spacing w:before="20" w:after="20"/>
              <w:ind w:left="308"/>
              <w:jc w:val="left"/>
              <w:rPr>
                <w:rFonts w:ascii="Arial" w:eastAsia="Calibri" w:hAnsi="Arial" w:cs="Arial"/>
                <w:noProof/>
                <w:sz w:val="17"/>
                <w:szCs w:val="17"/>
                <w:lang w:val="en-GB"/>
              </w:rPr>
            </w:pPr>
            <w:r w:rsidRPr="3982CBDC">
              <w:rPr>
                <w:rFonts w:ascii="Arial" w:eastAsia="Calibri" w:hAnsi="Arial" w:cs="Arial"/>
                <w:noProof/>
                <w:sz w:val="17"/>
                <w:szCs w:val="17"/>
                <w:lang w:val="en-US"/>
              </w:rPr>
              <w:t>Impact on R&amp;D and innovation</w:t>
            </w:r>
          </w:p>
        </w:tc>
      </w:tr>
      <w:tr w:rsidR="00F847A6" w:rsidRPr="0023227F" w14:paraId="08BA74F1" w14:textId="77777777" w:rsidTr="001F27BA">
        <w:trPr>
          <w:jc w:val="center"/>
        </w:trPr>
        <w:tc>
          <w:tcPr>
            <w:tcW w:w="6516" w:type="dxa"/>
            <w:shd w:val="clear" w:color="auto" w:fill="DBE5F1" w:themeFill="accent1" w:themeFillTint="33"/>
          </w:tcPr>
          <w:p w14:paraId="1A995E11" w14:textId="77777777" w:rsidR="00F847A6" w:rsidRPr="0023227F" w:rsidRDefault="00F847A6" w:rsidP="001F27BA">
            <w:pPr>
              <w:spacing w:before="20" w:after="20"/>
              <w:ind w:left="308"/>
              <w:jc w:val="left"/>
              <w:rPr>
                <w:rFonts w:ascii="Arial" w:eastAsia="Calibri" w:hAnsi="Arial" w:cs="Arial"/>
                <w:noProof/>
                <w:sz w:val="17"/>
                <w:szCs w:val="17"/>
              </w:rPr>
            </w:pPr>
            <w:r w:rsidRPr="3982CBDC">
              <w:rPr>
                <w:rFonts w:ascii="Arial" w:eastAsia="Calibri" w:hAnsi="Arial" w:cs="Arial"/>
                <w:noProof/>
                <w:sz w:val="17"/>
                <w:szCs w:val="17"/>
              </w:rPr>
              <w:t>Impact on competitiveness</w:t>
            </w:r>
          </w:p>
        </w:tc>
      </w:tr>
      <w:tr w:rsidR="00F847A6" w:rsidRPr="0023227F" w14:paraId="47F009B1" w14:textId="77777777" w:rsidTr="001F27BA">
        <w:trPr>
          <w:jc w:val="center"/>
        </w:trPr>
        <w:tc>
          <w:tcPr>
            <w:tcW w:w="6516" w:type="dxa"/>
            <w:shd w:val="clear" w:color="auto" w:fill="E5B8B7" w:themeFill="accent2" w:themeFillTint="66"/>
          </w:tcPr>
          <w:p w14:paraId="7424EEF4" w14:textId="77777777" w:rsidR="00F847A6" w:rsidRPr="0023227F" w:rsidRDefault="00F847A6" w:rsidP="001F27BA">
            <w:pPr>
              <w:spacing w:before="20" w:after="20"/>
              <w:jc w:val="left"/>
              <w:rPr>
                <w:rFonts w:ascii="Arial" w:eastAsia="Calibri" w:hAnsi="Arial" w:cs="Arial"/>
                <w:b/>
                <w:bCs/>
                <w:noProof/>
                <w:sz w:val="17"/>
                <w:szCs w:val="17"/>
              </w:rPr>
            </w:pPr>
            <w:r w:rsidRPr="3982CBDC">
              <w:rPr>
                <w:rFonts w:ascii="Arial" w:eastAsia="Calibri" w:hAnsi="Arial" w:cs="Arial"/>
                <w:b/>
                <w:bCs/>
                <w:noProof/>
                <w:sz w:val="17"/>
                <w:szCs w:val="17"/>
              </w:rPr>
              <w:t>Social impacts</w:t>
            </w:r>
          </w:p>
        </w:tc>
      </w:tr>
      <w:tr w:rsidR="00F847A6" w:rsidRPr="0023227F" w14:paraId="37F5FC2F" w14:textId="77777777" w:rsidTr="001F27BA">
        <w:trPr>
          <w:jc w:val="center"/>
        </w:trPr>
        <w:tc>
          <w:tcPr>
            <w:tcW w:w="6516" w:type="dxa"/>
            <w:shd w:val="clear" w:color="auto" w:fill="F2DBDB" w:themeFill="accent2" w:themeFillTint="33"/>
          </w:tcPr>
          <w:p w14:paraId="5EB0994D" w14:textId="77777777" w:rsidR="00F847A6" w:rsidRPr="0023227F" w:rsidRDefault="00F847A6" w:rsidP="001F27BA">
            <w:pPr>
              <w:spacing w:before="20" w:after="20"/>
              <w:ind w:left="308"/>
              <w:jc w:val="left"/>
              <w:rPr>
                <w:rFonts w:ascii="Arial" w:eastAsia="Calibri" w:hAnsi="Arial" w:cs="Arial"/>
                <w:noProof/>
                <w:sz w:val="17"/>
                <w:szCs w:val="17"/>
              </w:rPr>
            </w:pPr>
            <w:r w:rsidRPr="3982CBDC">
              <w:rPr>
                <w:rFonts w:ascii="Arial" w:eastAsia="Calibri" w:hAnsi="Arial" w:cs="Arial"/>
                <w:noProof/>
                <w:sz w:val="17"/>
                <w:szCs w:val="17"/>
              </w:rPr>
              <w:t>Employment effects</w:t>
            </w:r>
          </w:p>
        </w:tc>
      </w:tr>
      <w:tr w:rsidR="00F847A6" w:rsidRPr="0023227F" w14:paraId="74371543" w14:textId="77777777" w:rsidTr="001F27BA">
        <w:trPr>
          <w:jc w:val="center"/>
        </w:trPr>
        <w:tc>
          <w:tcPr>
            <w:tcW w:w="6516" w:type="dxa"/>
            <w:shd w:val="clear" w:color="auto" w:fill="F2DBDB" w:themeFill="accent2" w:themeFillTint="33"/>
          </w:tcPr>
          <w:p w14:paraId="72D86F69" w14:textId="77777777" w:rsidR="00F847A6" w:rsidRPr="0023227F" w:rsidRDefault="00F847A6" w:rsidP="001F27BA">
            <w:pPr>
              <w:spacing w:before="20" w:after="20"/>
              <w:ind w:left="306"/>
              <w:jc w:val="left"/>
              <w:rPr>
                <w:rFonts w:ascii="Arial" w:eastAsia="Calibri" w:hAnsi="Arial" w:cs="Arial"/>
                <w:noProof/>
                <w:sz w:val="17"/>
                <w:szCs w:val="17"/>
                <w:lang w:val="en-GB"/>
              </w:rPr>
            </w:pPr>
            <w:r w:rsidRPr="3982CBDC">
              <w:rPr>
                <w:rFonts w:ascii="Arial" w:eastAsia="Calibri" w:hAnsi="Arial" w:cs="Arial"/>
                <w:noProof/>
                <w:sz w:val="17"/>
                <w:szCs w:val="17"/>
                <w:lang w:val="en-US"/>
              </w:rPr>
              <w:t>Public health &amp; safety and health systems</w:t>
            </w:r>
          </w:p>
        </w:tc>
      </w:tr>
    </w:tbl>
    <w:p w14:paraId="29B642C9" w14:textId="77777777" w:rsidR="00F847A6" w:rsidRDefault="00F847A6" w:rsidP="00F847A6">
      <w:pPr>
        <w:spacing w:after="0" w:line="300" w:lineRule="atLeast"/>
        <w:jc w:val="left"/>
        <w:textAlignment w:val="baseline"/>
        <w:rPr>
          <w:noProof/>
          <w:lang w:eastAsia="nl-NL"/>
        </w:rPr>
      </w:pPr>
    </w:p>
    <w:p w14:paraId="2460ACF8" w14:textId="77777777" w:rsidR="00F5514A" w:rsidRDefault="00F5514A" w:rsidP="00EB5A41">
      <w:pPr>
        <w:spacing w:after="0" w:line="300" w:lineRule="atLeast"/>
        <w:textAlignment w:val="baseline"/>
        <w:rPr>
          <w:noProof/>
          <w:lang w:eastAsia="nl-NL"/>
        </w:rPr>
      </w:pPr>
    </w:p>
    <w:p w14:paraId="2694E057" w14:textId="5736D50F" w:rsidR="008E12F8" w:rsidRPr="00EB5A41" w:rsidRDefault="3982CBDC" w:rsidP="0017603A">
      <w:pPr>
        <w:pStyle w:val="AppendixHeadingLevel2"/>
        <w:numPr>
          <w:ilvl w:val="1"/>
          <w:numId w:val="111"/>
        </w:numPr>
        <w:rPr>
          <w:bCs w:val="0"/>
          <w:noProof/>
        </w:rPr>
      </w:pPr>
      <w:bookmarkStart w:id="482" w:name="_Ref94084073"/>
      <w:bookmarkEnd w:id="478"/>
      <w:r w:rsidRPr="00EB5A41">
        <w:rPr>
          <w:noProof/>
        </w:rPr>
        <w:t>AnaFgas:</w:t>
      </w:r>
      <w:r w:rsidRPr="005D374C">
        <w:rPr>
          <w:noProof/>
          <w:lang w:val="en-IE"/>
        </w:rPr>
        <w:t xml:space="preserve"> </w:t>
      </w:r>
      <w:r w:rsidR="005D374C" w:rsidRPr="005D374C">
        <w:rPr>
          <w:noProof/>
          <w:lang w:val="en-IE"/>
        </w:rPr>
        <w:t>Modelling</w:t>
      </w:r>
      <w:r w:rsidRPr="00EB5A41">
        <w:rPr>
          <w:noProof/>
        </w:rPr>
        <w:t xml:space="preserve"> F-gas demand and emissions</w:t>
      </w:r>
      <w:bookmarkStart w:id="483" w:name="_Toc77782587"/>
      <w:bookmarkEnd w:id="482"/>
    </w:p>
    <w:p w14:paraId="386F3E46" w14:textId="541EF27E" w:rsidR="008E12F8" w:rsidRPr="00672BCC" w:rsidRDefault="3982CBDC" w:rsidP="0017603A">
      <w:pPr>
        <w:pStyle w:val="AppendixHeadingLevel3"/>
        <w:numPr>
          <w:ilvl w:val="2"/>
          <w:numId w:val="111"/>
        </w:numPr>
        <w:rPr>
          <w:rFonts w:cs="Times New Roman"/>
          <w:noProof/>
        </w:rPr>
      </w:pPr>
      <w:bookmarkStart w:id="484" w:name="_Toc81029638"/>
      <w:bookmarkStart w:id="485" w:name="_Ref94172958"/>
      <w:r w:rsidRPr="3982CBDC">
        <w:rPr>
          <w:rFonts w:ascii="Times New Roman" w:hAnsi="Times New Roman" w:cs="Times New Roman"/>
          <w:noProof/>
        </w:rPr>
        <w:t xml:space="preserve">Overview of the </w:t>
      </w:r>
      <w:bookmarkEnd w:id="484"/>
      <w:r w:rsidR="006D2FF9">
        <w:rPr>
          <w:rFonts w:ascii="Times New Roman" w:hAnsi="Times New Roman" w:cs="Times New Roman"/>
          <w:noProof/>
        </w:rPr>
        <w:t>model</w:t>
      </w:r>
      <w:bookmarkEnd w:id="485"/>
    </w:p>
    <w:p w14:paraId="24578661" w14:textId="35189F79" w:rsidR="006D2FF9" w:rsidRPr="006D2FF9" w:rsidRDefault="006D2FF9" w:rsidP="009A623B">
      <w:pPr>
        <w:spacing w:before="160" w:after="120"/>
        <w:rPr>
          <w:rFonts w:eastAsia="Calibri" w:cs="Times New Roman"/>
          <w:b/>
          <w:noProof/>
          <w:lang w:eastAsia="x-none"/>
        </w:rPr>
      </w:pPr>
      <w:r w:rsidRPr="006D2FF9">
        <w:rPr>
          <w:rFonts w:eastAsia="Calibri" w:cs="Times New Roman"/>
          <w:b/>
          <w:noProof/>
          <w:lang w:eastAsia="x-none"/>
        </w:rPr>
        <w:t>AnaFgas calculates demand and emissions of fluorinated greenhouse gases (F-gases) in the EU27+UK in the period of 2000 to 2050, based on a bottom-up stock model. An attached cost module allows quantification of related cost</w:t>
      </w:r>
      <w:r>
        <w:rPr>
          <w:rFonts w:eastAsia="Calibri" w:cs="Times New Roman"/>
          <w:b/>
          <w:noProof/>
          <w:lang w:eastAsia="x-none"/>
        </w:rPr>
        <w:t>s</w:t>
      </w:r>
      <w:r w:rsidRPr="006D2FF9">
        <w:rPr>
          <w:rFonts w:eastAsia="Calibri" w:cs="Times New Roman"/>
          <w:b/>
          <w:noProof/>
          <w:lang w:eastAsia="x-none"/>
        </w:rPr>
        <w:t xml:space="preserve"> to the operators of equipment relying on F-gases or their alternatives.</w:t>
      </w:r>
    </w:p>
    <w:p w14:paraId="1EB4E703" w14:textId="614F6ECF" w:rsidR="00233E14" w:rsidRPr="00E70060" w:rsidRDefault="008E12F8" w:rsidP="00E70060">
      <w:pPr>
        <w:rPr>
          <w:rFonts w:eastAsia="Calibri" w:cs="Times New Roman"/>
          <w:noProof/>
        </w:rPr>
      </w:pPr>
      <w:r w:rsidRPr="00A41B24">
        <w:rPr>
          <w:rFonts w:eastAsia="Calibri" w:cs="Times New Roman"/>
          <w:noProof/>
          <w:lang w:eastAsia="x-none"/>
        </w:rPr>
        <w:t xml:space="preserve">The model AnaFgas was designed as a </w:t>
      </w:r>
      <w:r w:rsidR="003A09E2" w:rsidRPr="3982CBDC">
        <w:rPr>
          <w:rFonts w:eastAsia="Calibri" w:cs="Times New Roman"/>
          <w:noProof/>
          <w:lang w:eastAsia="x-none"/>
        </w:rPr>
        <w:t xml:space="preserve">detailed </w:t>
      </w:r>
      <w:r w:rsidRPr="00A41B24">
        <w:rPr>
          <w:rFonts w:eastAsia="Calibri" w:cs="Times New Roman"/>
          <w:noProof/>
          <w:lang w:eastAsia="x-none"/>
        </w:rPr>
        <w:t xml:space="preserve">bottom-up stock model to derive demand and emission scenarios for F-gases </w:t>
      </w:r>
      <w:r w:rsidR="003A09E2" w:rsidRPr="3982CBDC">
        <w:rPr>
          <w:rFonts w:eastAsia="Calibri" w:cs="Times New Roman"/>
          <w:noProof/>
          <w:lang w:eastAsia="x-none"/>
        </w:rPr>
        <w:t xml:space="preserve">used </w:t>
      </w:r>
      <w:r w:rsidRPr="00A41B24">
        <w:rPr>
          <w:rFonts w:eastAsia="Calibri" w:cs="Times New Roman"/>
          <w:noProof/>
          <w:lang w:eastAsia="x-none"/>
        </w:rPr>
        <w:t xml:space="preserve">in </w:t>
      </w:r>
      <w:r w:rsidR="003A09E2" w:rsidRPr="3982CBDC">
        <w:rPr>
          <w:rFonts w:eastAsia="Calibri" w:cs="Times New Roman"/>
          <w:noProof/>
          <w:lang w:eastAsia="x-none"/>
        </w:rPr>
        <w:t xml:space="preserve">the most </w:t>
      </w:r>
      <w:r w:rsidRPr="00A41B24">
        <w:rPr>
          <w:rFonts w:eastAsia="Calibri" w:cs="Times New Roman"/>
          <w:noProof/>
          <w:lang w:eastAsia="x-none"/>
        </w:rPr>
        <w:t xml:space="preserve">relevant sectors and sub-sectors </w:t>
      </w:r>
      <w:r w:rsidRPr="002619DA">
        <w:rPr>
          <w:rFonts w:eastAsia="Calibri" w:cs="Times New Roman"/>
          <w:noProof/>
          <w:szCs w:val="24"/>
          <w:lang w:eastAsia="x-none"/>
        </w:rPr>
        <w:t>(</w:t>
      </w:r>
      <w:r w:rsidR="002619DA" w:rsidRPr="002619DA">
        <w:rPr>
          <w:rFonts w:eastAsia="Calibri" w:cs="Times New Roman"/>
          <w:noProof/>
          <w:szCs w:val="24"/>
          <w:lang w:eastAsia="x-none"/>
        </w:rPr>
        <w:fldChar w:fldCharType="begin"/>
      </w:r>
      <w:r w:rsidR="002619DA" w:rsidRPr="002619DA">
        <w:rPr>
          <w:rFonts w:eastAsia="Calibri" w:cs="Times New Roman"/>
          <w:noProof/>
          <w:szCs w:val="24"/>
          <w:lang w:eastAsia="x-none"/>
        </w:rPr>
        <w:instrText xml:space="preserve"> REF _Ref90627304 \h  \* MERGEFORMAT </w:instrText>
      </w:r>
      <w:r w:rsidR="002619DA" w:rsidRPr="002619DA">
        <w:rPr>
          <w:rFonts w:eastAsia="Calibri" w:cs="Times New Roman"/>
          <w:noProof/>
          <w:szCs w:val="24"/>
          <w:lang w:eastAsia="x-none"/>
        </w:rPr>
      </w:r>
      <w:r w:rsidR="002619DA" w:rsidRPr="002619DA">
        <w:rPr>
          <w:rFonts w:eastAsia="Calibri" w:cs="Times New Roman"/>
          <w:noProof/>
          <w:szCs w:val="24"/>
          <w:lang w:eastAsia="x-none"/>
        </w:rPr>
        <w:fldChar w:fldCharType="separate"/>
      </w:r>
      <w:r w:rsidR="00C66A21" w:rsidRPr="00C66A21">
        <w:rPr>
          <w:rFonts w:eastAsia="Calibri" w:cs="Times New Roman"/>
          <w:noProof/>
          <w:color w:val="0070C0"/>
          <w:szCs w:val="24"/>
        </w:rPr>
        <w:t>Figure</w:t>
      </w:r>
      <w:r w:rsidR="00C66A21" w:rsidRPr="00C66A21">
        <w:rPr>
          <w:rFonts w:eastAsia="Calibri" w:cs="Times New Roman"/>
          <w:b/>
          <w:noProof/>
          <w:color w:val="0070C0"/>
          <w:szCs w:val="24"/>
        </w:rPr>
        <w:t xml:space="preserve"> </w:t>
      </w:r>
      <w:r w:rsidR="00C66A21" w:rsidRPr="00C66A21">
        <w:rPr>
          <w:rFonts w:cs="Times New Roman"/>
          <w:noProof/>
          <w:color w:val="0070C0"/>
          <w:szCs w:val="24"/>
        </w:rPr>
        <w:t>8</w:t>
      </w:r>
      <w:r w:rsidR="002619DA" w:rsidRPr="002619DA">
        <w:rPr>
          <w:rFonts w:eastAsia="Calibri" w:cs="Times New Roman"/>
          <w:noProof/>
          <w:szCs w:val="24"/>
          <w:lang w:eastAsia="x-none"/>
        </w:rPr>
        <w:fldChar w:fldCharType="end"/>
      </w:r>
      <w:r w:rsidRPr="00EB5A41">
        <w:rPr>
          <w:rFonts w:eastAsia="Calibri" w:cs="Times New Roman"/>
          <w:noProof/>
          <w:lang w:eastAsia="x-none"/>
        </w:rPr>
        <w:t xml:space="preserve">) </w:t>
      </w:r>
      <w:r w:rsidRPr="3982CBDC">
        <w:rPr>
          <w:rFonts w:eastAsia="Calibri" w:cs="Times New Roman"/>
          <w:noProof/>
          <w:lang w:eastAsia="x-none"/>
        </w:rPr>
        <w:t>for the EU Member States</w:t>
      </w:r>
      <w:r w:rsidRPr="00A41B24">
        <w:rPr>
          <w:rFonts w:eastAsia="Calibri" w:cs="Times New Roman"/>
          <w:noProof/>
          <w:lang w:eastAsia="x-none"/>
        </w:rPr>
        <w:t xml:space="preserve">. </w:t>
      </w:r>
      <w:r w:rsidR="00233E14" w:rsidRPr="3982CBDC">
        <w:rPr>
          <w:noProof/>
        </w:rPr>
        <w:t xml:space="preserve">The original model set up for the 2011 preparatory study for the impact assessment of the current Regulation includes the UK, while Croatia was not yet a Member State of the EU and thus not included. However, Croatia was added in a later update of the </w:t>
      </w:r>
      <w:r w:rsidR="00233E14" w:rsidRPr="00E70060">
        <w:rPr>
          <w:rFonts w:eastAsia="Calibri" w:cs="Times New Roman"/>
          <w:noProof/>
        </w:rPr>
        <w:t>model in the period 2017 to 2020. The current model represents a thoroughly updated version of the original model, with the latest available data and assumptions as described further below.</w:t>
      </w:r>
    </w:p>
    <w:p w14:paraId="063F55B1" w14:textId="4787DCEE" w:rsidR="006D2FF9" w:rsidRPr="00BD68CB" w:rsidRDefault="3982CBDC" w:rsidP="006D2FF9">
      <w:pPr>
        <w:rPr>
          <w:rFonts w:eastAsia="Calibri" w:cs="Times New Roman"/>
          <w:noProof/>
        </w:rPr>
      </w:pPr>
      <w:r w:rsidRPr="3982CBDC">
        <w:rPr>
          <w:rFonts w:eastAsia="Calibri" w:cs="Times New Roman"/>
          <w:noProof/>
        </w:rPr>
        <w:t xml:space="preserve">The AnaFgas model is designed to calculate demand and emissions of F-gas gases under different scenarios and was used to derive a baseline, as well as a counterfactual scenario for relevant sectors in the EU. </w:t>
      </w:r>
      <w:r w:rsidR="00BD68CB" w:rsidRPr="00BD68CB">
        <w:rPr>
          <w:rFonts w:eastAsia="Calibri" w:cs="Times New Roman"/>
          <w:noProof/>
        </w:rPr>
        <w:t>Demand is the sum of quantities of F-gases used in the initial first filling of equipment and the re-filling in the servicing of equipment during the lifetime. Emissions are the sum of emissions of F-gases during the lifetime of equipment (lifetime emissions) and F-gases that are released to the atmosphere during disposal of old equipment (disposal emissions).</w:t>
      </w:r>
      <w:r w:rsidR="00BD68CB">
        <w:rPr>
          <w:rFonts w:eastAsia="Calibri" w:cs="Times New Roman"/>
          <w:noProof/>
        </w:rPr>
        <w:t xml:space="preserve"> </w:t>
      </w:r>
      <w:r w:rsidRPr="3982CBDC">
        <w:rPr>
          <w:rFonts w:eastAsia="Calibri" w:cs="Times New Roman"/>
          <w:noProof/>
        </w:rPr>
        <w:t xml:space="preserve">In AnaFgas, all emission and demand estimates are derived from bottom-up approaches, i.e. by estimating demand and emissions per sector through the use of underlying driving factors. These include annual changes in equipment stock, composition and charge of the equipment, leakage during equipment lifetime and during disposal. Some of these components are driven by other factors such as population development, GDP growth or technological changes. Based on these </w:t>
      </w:r>
      <w:r w:rsidRPr="00BD68CB">
        <w:rPr>
          <w:rFonts w:eastAsia="Calibri" w:cs="Times New Roman"/>
          <w:noProof/>
        </w:rPr>
        <w:t>drivers, annual emissions and banks as well as use can be calculated for each year, sub-sector and EU Member State.</w:t>
      </w:r>
      <w:r w:rsidR="006D2FF9" w:rsidRPr="00BD68CB">
        <w:rPr>
          <w:rFonts w:eastAsia="Calibri" w:cs="Times New Roman"/>
          <w:noProof/>
          <w:color w:val="00000A"/>
          <w:sz w:val="22"/>
        </w:rPr>
        <w:t xml:space="preserve"> </w:t>
      </w:r>
    </w:p>
    <w:p w14:paraId="686EFED5" w14:textId="272A6F1C" w:rsidR="008E12F8" w:rsidRPr="006D2FF9" w:rsidRDefault="006D2FF9" w:rsidP="006D2FF9">
      <w:pPr>
        <w:spacing w:after="120"/>
        <w:rPr>
          <w:rFonts w:eastAsia="Calibri" w:cs="Times New Roman"/>
          <w:noProof/>
          <w:color w:val="00000A"/>
          <w:szCs w:val="24"/>
        </w:rPr>
      </w:pPr>
      <w:r w:rsidRPr="006D2FF9">
        <w:rPr>
          <w:rFonts w:eastAsia="Calibri" w:cs="Times New Roman"/>
          <w:noProof/>
          <w:color w:val="00000A"/>
          <w:szCs w:val="24"/>
        </w:rPr>
        <w:t>AnaFgas makes use of market information to build an inventory of the in-use stocks of the equipment in each of the end-uses in each country. This includes the percentage of the equipment stock that contains each F-gas. These modelled stock inventories are maintained through the annual addition of new equipment/new F-gas quantities and the retirement of equipment after an appropriate number of years. Annual leak rates, servicing emissions, and disposal emissions are estimated for each of the end-uses. The AnaFgas cost module is based on model installations per sector and respective assumptions investment and operating expenditures for available options of used F-gases or F-gas alternatives. Specific cost at model installation level can be recalculated into total sectoral cost in the EU27+UK AnaFgas scope by means of AnaFgas data on equipment stocks. AnaFgas can be used to quantify the effects and costs of policy interventions to reduce emissions of fluorinated greenhouse gases by comparing different scenarios (e.g. policy options, baseline and counterfactual).</w:t>
      </w:r>
    </w:p>
    <w:p w14:paraId="17D11501" w14:textId="77777777" w:rsidR="008E12F8" w:rsidRPr="008E12F8" w:rsidRDefault="008E12F8" w:rsidP="008E12F8">
      <w:pPr>
        <w:keepNext/>
        <w:spacing w:before="60" w:after="0" w:line="288" w:lineRule="auto"/>
        <w:jc w:val="center"/>
        <w:rPr>
          <w:rFonts w:ascii="Arial" w:eastAsia="Calibri" w:hAnsi="Arial" w:cs="Arial"/>
          <w:noProof/>
          <w:sz w:val="20"/>
        </w:rPr>
      </w:pPr>
      <w:r w:rsidRPr="008E12F8">
        <w:rPr>
          <w:rFonts w:ascii="Arial" w:eastAsia="Calibri" w:hAnsi="Arial" w:cs="Arial"/>
          <w:noProof/>
          <w:sz w:val="20"/>
          <w:lang w:eastAsia="en-GB"/>
        </w:rPr>
        <w:drawing>
          <wp:inline distT="0" distB="0" distL="0" distR="0" wp14:anchorId="2913E488" wp14:editId="7B3310AA">
            <wp:extent cx="5151120" cy="2764990"/>
            <wp:effectExtent l="0" t="0" r="0" b="0"/>
            <wp:docPr id="41"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
                    <pic:cNvPicPr>
                      <a:picLocks noChangeAspect="1" noChangeArrowheads="1"/>
                    </pic:cNvPicPr>
                  </pic:nvPicPr>
                  <pic:blipFill>
                    <a:blip r:embed="rId51" cstate="print">
                      <a:extLst>
                        <a:ext uri="{28A0092B-C50C-407E-A947-70E740481C1C}">
                          <a14:useLocalDpi xmlns:a14="http://schemas.microsoft.com/office/drawing/2010/main" val="0"/>
                        </a:ext>
                      </a:extLst>
                    </a:blip>
                    <a:srcRect t="3622" b="3967"/>
                    <a:stretch>
                      <a:fillRect/>
                    </a:stretch>
                  </pic:blipFill>
                  <pic:spPr bwMode="auto">
                    <a:xfrm>
                      <a:off x="0" y="0"/>
                      <a:ext cx="5157292" cy="2768303"/>
                    </a:xfrm>
                    <a:prstGeom prst="rect">
                      <a:avLst/>
                    </a:prstGeom>
                    <a:noFill/>
                    <a:ln>
                      <a:noFill/>
                    </a:ln>
                  </pic:spPr>
                </pic:pic>
              </a:graphicData>
            </a:graphic>
          </wp:inline>
        </w:drawing>
      </w:r>
    </w:p>
    <w:p w14:paraId="51D643BD" w14:textId="16FF6F8E" w:rsidR="004655EE" w:rsidRPr="002E1EBB" w:rsidRDefault="004655EE" w:rsidP="004655EE">
      <w:pPr>
        <w:keepNext/>
        <w:spacing w:before="240" w:after="120"/>
        <w:jc w:val="left"/>
        <w:rPr>
          <w:rFonts w:asciiTheme="minorHAnsi" w:eastAsia="Calibri" w:hAnsiTheme="minorHAnsi" w:cstheme="minorHAnsi"/>
          <w:b/>
          <w:noProof/>
          <w:color w:val="0070C0"/>
          <w:sz w:val="20"/>
          <w:szCs w:val="20"/>
        </w:rPr>
      </w:pPr>
      <w:bookmarkStart w:id="486" w:name="_Ref31793370"/>
      <w:bookmarkStart w:id="487" w:name="_Ref66121299"/>
      <w:bookmarkStart w:id="488" w:name="_Ref83018453"/>
      <w:bookmarkStart w:id="489" w:name="_Ref90627304"/>
      <w:bookmarkStart w:id="490" w:name="_Toc81029909"/>
      <w:bookmarkStart w:id="491" w:name="_Toc74938069"/>
      <w:bookmarkStart w:id="492" w:name="_Toc74593857"/>
      <w:bookmarkStart w:id="493" w:name="_Toc64443757"/>
      <w:bookmarkStart w:id="494" w:name="_Toc32257656"/>
      <w:bookmarkStart w:id="495" w:name="_Toc32076235"/>
      <w:bookmarkStart w:id="496" w:name="_Ref83018446"/>
      <w:bookmarkStart w:id="497" w:name="_Ref90627291"/>
      <w:r w:rsidRPr="002E1EBB">
        <w:rPr>
          <w:rFonts w:asciiTheme="minorHAnsi" w:eastAsia="Calibri" w:hAnsiTheme="minorHAnsi" w:cstheme="minorHAnsi"/>
          <w:b/>
          <w:noProof/>
          <w:color w:val="0070C0"/>
          <w:sz w:val="20"/>
          <w:szCs w:val="20"/>
        </w:rPr>
        <w:t xml:space="preserve">Figure </w:t>
      </w:r>
      <w:bookmarkEnd w:id="486"/>
      <w:bookmarkEnd w:id="487"/>
      <w:bookmarkEnd w:id="488"/>
      <w:r w:rsidRPr="002E1EBB">
        <w:rPr>
          <w:rFonts w:asciiTheme="minorHAnsi" w:hAnsiTheme="minorHAnsi" w:cstheme="minorHAnsi"/>
          <w:noProof/>
          <w:color w:val="0070C0"/>
          <w:sz w:val="20"/>
          <w:szCs w:val="20"/>
        </w:rPr>
        <w:fldChar w:fldCharType="begin"/>
      </w:r>
      <w:r w:rsidRPr="002E1EBB">
        <w:rPr>
          <w:rFonts w:asciiTheme="minorHAnsi" w:hAnsiTheme="minorHAnsi" w:cstheme="minorHAnsi"/>
          <w:noProof/>
          <w:color w:val="0070C0"/>
          <w:sz w:val="20"/>
          <w:szCs w:val="20"/>
        </w:rPr>
        <w:instrText xml:space="preserve"> SEQ Figure \* ARABIC  </w:instrText>
      </w:r>
      <w:r w:rsidRPr="002E1EBB">
        <w:rPr>
          <w:rFonts w:asciiTheme="minorHAnsi" w:hAnsiTheme="minorHAnsi" w:cstheme="minorHAnsi"/>
          <w:noProof/>
          <w:color w:val="0070C0"/>
          <w:sz w:val="20"/>
          <w:szCs w:val="20"/>
        </w:rPr>
        <w:fldChar w:fldCharType="separate"/>
      </w:r>
      <w:r w:rsidR="00C66A21">
        <w:rPr>
          <w:rFonts w:asciiTheme="minorHAnsi" w:hAnsiTheme="minorHAnsi" w:cstheme="minorHAnsi"/>
          <w:noProof/>
          <w:color w:val="0070C0"/>
          <w:sz w:val="20"/>
          <w:szCs w:val="20"/>
        </w:rPr>
        <w:t>8</w:t>
      </w:r>
      <w:r w:rsidRPr="002E1EBB">
        <w:rPr>
          <w:rFonts w:asciiTheme="minorHAnsi" w:hAnsiTheme="minorHAnsi" w:cstheme="minorHAnsi"/>
          <w:noProof/>
          <w:color w:val="0070C0"/>
          <w:sz w:val="20"/>
          <w:szCs w:val="20"/>
        </w:rPr>
        <w:fldChar w:fldCharType="end"/>
      </w:r>
      <w:bookmarkEnd w:id="489"/>
      <w:r w:rsidRPr="002E1EBB">
        <w:rPr>
          <w:rFonts w:asciiTheme="minorHAnsi" w:eastAsia="Calibri" w:hAnsiTheme="minorHAnsi" w:cstheme="minorHAnsi"/>
          <w:b/>
          <w:noProof/>
          <w:color w:val="0070C0"/>
          <w:sz w:val="20"/>
          <w:szCs w:val="20"/>
        </w:rPr>
        <w:t>:</w:t>
      </w:r>
      <w:r w:rsidRPr="002E1EBB">
        <w:rPr>
          <w:rFonts w:asciiTheme="minorHAnsi" w:eastAsia="Calibri" w:hAnsiTheme="minorHAnsi" w:cstheme="minorHAnsi"/>
          <w:noProof/>
          <w:color w:val="0070C0"/>
          <w:sz w:val="20"/>
          <w:szCs w:val="20"/>
        </w:rPr>
        <w:t xml:space="preserve"> Overview of the sectors and subsectors covered by the AnaFgas model</w:t>
      </w:r>
      <w:bookmarkEnd w:id="490"/>
      <w:bookmarkEnd w:id="491"/>
      <w:bookmarkEnd w:id="492"/>
      <w:bookmarkEnd w:id="493"/>
      <w:bookmarkEnd w:id="494"/>
      <w:bookmarkEnd w:id="495"/>
      <w:bookmarkEnd w:id="496"/>
      <w:bookmarkEnd w:id="497"/>
    </w:p>
    <w:p w14:paraId="4B1F73B8" w14:textId="77777777" w:rsidR="008E12F8" w:rsidRPr="0085241A" w:rsidRDefault="3982CBDC" w:rsidP="3982CBDC">
      <w:pPr>
        <w:keepNext/>
        <w:spacing w:before="60" w:after="0" w:line="288" w:lineRule="auto"/>
        <w:jc w:val="left"/>
        <w:rPr>
          <w:rFonts w:asciiTheme="minorHAnsi" w:hAnsiTheme="minorHAnsi"/>
          <w:i/>
          <w:noProof/>
          <w:sz w:val="20"/>
        </w:rPr>
      </w:pPr>
      <w:r w:rsidRPr="0085241A">
        <w:rPr>
          <w:rFonts w:asciiTheme="minorHAnsi" w:hAnsiTheme="minorHAnsi"/>
          <w:b/>
          <w:i/>
          <w:noProof/>
          <w:sz w:val="20"/>
          <w:lang w:val="fr-BE"/>
        </w:rPr>
        <w:t>Source:</w:t>
      </w:r>
      <w:r w:rsidRPr="0085241A">
        <w:rPr>
          <w:rFonts w:asciiTheme="minorHAnsi" w:hAnsiTheme="minorHAnsi"/>
          <w:i/>
          <w:noProof/>
          <w:sz w:val="20"/>
          <w:lang w:val="fr-BE"/>
        </w:rPr>
        <w:t xml:space="preserve"> OekoRecherche et al. (2021), based on Schwarz et al. </w:t>
      </w:r>
      <w:r w:rsidRPr="0085241A">
        <w:rPr>
          <w:rFonts w:asciiTheme="minorHAnsi" w:hAnsiTheme="minorHAnsi"/>
          <w:i/>
          <w:noProof/>
          <w:sz w:val="20"/>
        </w:rPr>
        <w:t>(2011)</w:t>
      </w:r>
    </w:p>
    <w:p w14:paraId="10A74811" w14:textId="04AC1AEB" w:rsidR="008E12F8" w:rsidRPr="008E12F8" w:rsidRDefault="008E12F8" w:rsidP="006D2FF9">
      <w:pPr>
        <w:spacing w:before="160" w:after="120"/>
        <w:rPr>
          <w:rFonts w:eastAsia="Calibri" w:cs="Times New Roman"/>
          <w:noProof/>
        </w:rPr>
      </w:pPr>
      <w:r w:rsidRPr="00A41B24">
        <w:rPr>
          <w:rFonts w:eastAsia="Calibri" w:cs="Times New Roman"/>
          <w:noProof/>
          <w:lang w:eastAsia="x-none"/>
        </w:rPr>
        <w:t xml:space="preserve">Certain sub-sectors in </w:t>
      </w:r>
      <w:r w:rsidRPr="3982CBDC">
        <w:rPr>
          <w:noProof/>
        </w:rPr>
        <w:fldChar w:fldCharType="begin"/>
      </w:r>
      <w:r w:rsidRPr="00A41B24">
        <w:rPr>
          <w:rFonts w:eastAsia="Calibri" w:cs="Times New Roman"/>
          <w:noProof/>
          <w:szCs w:val="24"/>
          <w:lang w:eastAsia="x-none"/>
        </w:rPr>
        <w:instrText xml:space="preserve"> REF _Ref66121299 \h  \* MERGEFORMAT </w:instrText>
      </w:r>
      <w:r w:rsidRPr="3982CBDC">
        <w:rPr>
          <w:noProof/>
        </w:rPr>
      </w:r>
      <w:r w:rsidRPr="3982CBDC">
        <w:rPr>
          <w:rFonts w:eastAsia="Calibri" w:cs="Times New Roman"/>
          <w:noProof/>
          <w:szCs w:val="24"/>
          <w:lang w:eastAsia="x-none"/>
        </w:rPr>
        <w:fldChar w:fldCharType="separate"/>
      </w:r>
      <w:r w:rsidR="00C66A21" w:rsidRPr="00C66A21">
        <w:rPr>
          <w:rFonts w:eastAsia="Calibri" w:cs="Times New Roman"/>
          <w:noProof/>
        </w:rPr>
        <w:t xml:space="preserve">Figure </w:t>
      </w:r>
      <w:r w:rsidRPr="3982CBDC">
        <w:rPr>
          <w:noProof/>
        </w:rPr>
        <w:fldChar w:fldCharType="end"/>
      </w:r>
      <w:r w:rsidRPr="00A41B24">
        <w:rPr>
          <w:rFonts w:eastAsia="Calibri" w:cs="Times New Roman"/>
          <w:noProof/>
          <w:lang w:eastAsia="x-none"/>
        </w:rPr>
        <w:t xml:space="preserve"> are represented in more detail in the model:</w:t>
      </w:r>
    </w:p>
    <w:p w14:paraId="7C846F11" w14:textId="77777777" w:rsidR="008E12F8" w:rsidRPr="003A09E2" w:rsidRDefault="3982CBDC" w:rsidP="00AD5F1B">
      <w:pPr>
        <w:numPr>
          <w:ilvl w:val="0"/>
          <w:numId w:val="35"/>
        </w:numPr>
        <w:spacing w:before="160" w:after="160" w:line="288" w:lineRule="auto"/>
        <w:contextualSpacing/>
        <w:jc w:val="left"/>
        <w:rPr>
          <w:rFonts w:eastAsia="Calibri" w:cs="Times New Roman"/>
          <w:b/>
          <w:bCs/>
          <w:noProof/>
          <w:sz w:val="16"/>
          <w:szCs w:val="16"/>
        </w:rPr>
      </w:pPr>
      <w:r w:rsidRPr="3982CBDC">
        <w:rPr>
          <w:rFonts w:eastAsia="Calibri" w:cs="Times New Roman"/>
          <w:b/>
          <w:bCs/>
          <w:noProof/>
          <w:sz w:val="16"/>
          <w:szCs w:val="16"/>
        </w:rPr>
        <w:t>Commercial refrigeration</w:t>
      </w:r>
    </w:p>
    <w:p w14:paraId="7FA5D688" w14:textId="77777777" w:rsidR="008E12F8" w:rsidRPr="003A09E2" w:rsidRDefault="3982CBDC" w:rsidP="00AD5F1B">
      <w:pPr>
        <w:numPr>
          <w:ilvl w:val="1"/>
          <w:numId w:val="35"/>
        </w:numPr>
        <w:spacing w:before="160" w:after="160" w:line="288" w:lineRule="auto"/>
        <w:contextualSpacing/>
        <w:jc w:val="left"/>
        <w:rPr>
          <w:rFonts w:eastAsia="Calibri" w:cs="Times New Roman"/>
          <w:noProof/>
          <w:sz w:val="16"/>
          <w:szCs w:val="16"/>
        </w:rPr>
      </w:pPr>
      <w:r w:rsidRPr="3982CBDC">
        <w:rPr>
          <w:rFonts w:eastAsia="Calibri" w:cs="Times New Roman"/>
          <w:noProof/>
          <w:sz w:val="16"/>
          <w:szCs w:val="16"/>
        </w:rPr>
        <w:t>Central systems</w:t>
      </w:r>
    </w:p>
    <w:p w14:paraId="18242D40" w14:textId="77777777" w:rsidR="008E12F8" w:rsidRPr="003A09E2" w:rsidRDefault="3982CBDC" w:rsidP="00AD5F1B">
      <w:pPr>
        <w:numPr>
          <w:ilvl w:val="1"/>
          <w:numId w:val="35"/>
        </w:numPr>
        <w:spacing w:before="160" w:after="160" w:line="288" w:lineRule="auto"/>
        <w:contextualSpacing/>
        <w:jc w:val="left"/>
        <w:rPr>
          <w:rFonts w:eastAsia="Calibri" w:cs="Times New Roman"/>
          <w:noProof/>
          <w:sz w:val="16"/>
          <w:szCs w:val="16"/>
        </w:rPr>
      </w:pPr>
      <w:r w:rsidRPr="3982CBDC">
        <w:rPr>
          <w:rFonts w:eastAsia="Calibri" w:cs="Times New Roman"/>
          <w:noProof/>
          <w:sz w:val="16"/>
          <w:szCs w:val="16"/>
        </w:rPr>
        <w:t>Condensing units</w:t>
      </w:r>
    </w:p>
    <w:p w14:paraId="3EE89DE2" w14:textId="77777777" w:rsidR="008E12F8" w:rsidRPr="003A09E2" w:rsidRDefault="3982CBDC" w:rsidP="00AD5F1B">
      <w:pPr>
        <w:numPr>
          <w:ilvl w:val="1"/>
          <w:numId w:val="35"/>
        </w:numPr>
        <w:spacing w:before="160" w:after="160" w:line="288" w:lineRule="auto"/>
        <w:contextualSpacing/>
        <w:jc w:val="left"/>
        <w:rPr>
          <w:rFonts w:eastAsia="Calibri" w:cs="Times New Roman"/>
          <w:noProof/>
          <w:sz w:val="16"/>
          <w:szCs w:val="16"/>
        </w:rPr>
      </w:pPr>
      <w:r w:rsidRPr="3982CBDC">
        <w:rPr>
          <w:rFonts w:eastAsia="Calibri" w:cs="Times New Roman"/>
          <w:noProof/>
          <w:sz w:val="16"/>
          <w:szCs w:val="16"/>
        </w:rPr>
        <w:t>Hermetic units</w:t>
      </w:r>
    </w:p>
    <w:p w14:paraId="7CFDB254" w14:textId="77777777" w:rsidR="008E12F8" w:rsidRPr="003A09E2" w:rsidRDefault="3982CBDC" w:rsidP="00AD5F1B">
      <w:pPr>
        <w:numPr>
          <w:ilvl w:val="0"/>
          <w:numId w:val="35"/>
        </w:numPr>
        <w:spacing w:before="160" w:after="160" w:line="288" w:lineRule="auto"/>
        <w:contextualSpacing/>
        <w:jc w:val="left"/>
        <w:rPr>
          <w:rFonts w:eastAsia="Calibri" w:cs="Times New Roman"/>
          <w:b/>
          <w:bCs/>
          <w:noProof/>
          <w:sz w:val="16"/>
          <w:szCs w:val="16"/>
        </w:rPr>
      </w:pPr>
      <w:r w:rsidRPr="3982CBDC">
        <w:rPr>
          <w:rFonts w:eastAsia="Calibri" w:cs="Times New Roman"/>
          <w:b/>
          <w:bCs/>
          <w:noProof/>
          <w:sz w:val="16"/>
          <w:szCs w:val="16"/>
        </w:rPr>
        <w:t>Industrial refrigeration</w:t>
      </w:r>
    </w:p>
    <w:p w14:paraId="2BAF2871" w14:textId="77777777" w:rsidR="008E12F8" w:rsidRPr="003A09E2" w:rsidRDefault="3982CBDC" w:rsidP="00AD5F1B">
      <w:pPr>
        <w:numPr>
          <w:ilvl w:val="1"/>
          <w:numId w:val="35"/>
        </w:numPr>
        <w:spacing w:before="160" w:after="160" w:line="288" w:lineRule="auto"/>
        <w:contextualSpacing/>
        <w:jc w:val="left"/>
        <w:rPr>
          <w:rFonts w:eastAsia="Calibri" w:cs="Times New Roman"/>
          <w:noProof/>
          <w:sz w:val="16"/>
          <w:szCs w:val="16"/>
        </w:rPr>
      </w:pPr>
      <w:r w:rsidRPr="3982CBDC">
        <w:rPr>
          <w:rFonts w:eastAsia="Calibri" w:cs="Times New Roman"/>
          <w:noProof/>
          <w:sz w:val="16"/>
          <w:szCs w:val="16"/>
        </w:rPr>
        <w:t>Food industry</w:t>
      </w:r>
    </w:p>
    <w:p w14:paraId="79AF4E7D" w14:textId="77777777" w:rsidR="008E12F8" w:rsidRPr="003A09E2" w:rsidRDefault="3982CBDC" w:rsidP="00AD5F1B">
      <w:pPr>
        <w:numPr>
          <w:ilvl w:val="2"/>
          <w:numId w:val="35"/>
        </w:numPr>
        <w:spacing w:before="160" w:after="160" w:line="288" w:lineRule="auto"/>
        <w:contextualSpacing/>
        <w:jc w:val="left"/>
        <w:rPr>
          <w:rFonts w:eastAsia="Calibri" w:cs="Times New Roman"/>
          <w:noProof/>
          <w:sz w:val="16"/>
          <w:szCs w:val="16"/>
        </w:rPr>
      </w:pPr>
      <w:r w:rsidRPr="3982CBDC">
        <w:rPr>
          <w:rFonts w:eastAsia="Calibri" w:cs="Times New Roman"/>
          <w:noProof/>
          <w:sz w:val="16"/>
          <w:szCs w:val="16"/>
        </w:rPr>
        <w:t>Beer production</w:t>
      </w:r>
    </w:p>
    <w:p w14:paraId="556310A3" w14:textId="77777777" w:rsidR="008E12F8" w:rsidRPr="003A09E2" w:rsidRDefault="3982CBDC" w:rsidP="00AD5F1B">
      <w:pPr>
        <w:numPr>
          <w:ilvl w:val="2"/>
          <w:numId w:val="35"/>
        </w:numPr>
        <w:spacing w:before="160" w:after="160" w:line="288" w:lineRule="auto"/>
        <w:contextualSpacing/>
        <w:jc w:val="left"/>
        <w:rPr>
          <w:rFonts w:eastAsia="Calibri" w:cs="Times New Roman"/>
          <w:noProof/>
          <w:sz w:val="16"/>
          <w:szCs w:val="16"/>
        </w:rPr>
      </w:pPr>
      <w:r w:rsidRPr="3982CBDC">
        <w:rPr>
          <w:rFonts w:eastAsia="Calibri" w:cs="Times New Roman"/>
          <w:noProof/>
          <w:sz w:val="16"/>
          <w:szCs w:val="16"/>
        </w:rPr>
        <w:t>Wine production</w:t>
      </w:r>
    </w:p>
    <w:p w14:paraId="5482278A" w14:textId="77777777" w:rsidR="008E12F8" w:rsidRPr="003A09E2" w:rsidRDefault="3982CBDC" w:rsidP="00AD5F1B">
      <w:pPr>
        <w:numPr>
          <w:ilvl w:val="2"/>
          <w:numId w:val="35"/>
        </w:numPr>
        <w:spacing w:before="160" w:after="160" w:line="288" w:lineRule="auto"/>
        <w:contextualSpacing/>
        <w:jc w:val="left"/>
        <w:rPr>
          <w:rFonts w:eastAsia="Calibri" w:cs="Times New Roman"/>
          <w:noProof/>
          <w:sz w:val="16"/>
          <w:szCs w:val="16"/>
        </w:rPr>
      </w:pPr>
      <w:r w:rsidRPr="3982CBDC">
        <w:rPr>
          <w:rFonts w:eastAsia="Calibri" w:cs="Times New Roman"/>
          <w:noProof/>
          <w:sz w:val="16"/>
          <w:szCs w:val="16"/>
        </w:rPr>
        <w:t>Meat production</w:t>
      </w:r>
    </w:p>
    <w:p w14:paraId="2033A94F" w14:textId="77777777" w:rsidR="008E12F8" w:rsidRPr="003A09E2" w:rsidRDefault="3982CBDC" w:rsidP="00AD5F1B">
      <w:pPr>
        <w:numPr>
          <w:ilvl w:val="2"/>
          <w:numId w:val="35"/>
        </w:numPr>
        <w:spacing w:before="160" w:after="160" w:line="288" w:lineRule="auto"/>
        <w:contextualSpacing/>
        <w:jc w:val="left"/>
        <w:rPr>
          <w:rFonts w:eastAsia="Calibri" w:cs="Times New Roman"/>
          <w:noProof/>
          <w:sz w:val="16"/>
          <w:szCs w:val="16"/>
        </w:rPr>
      </w:pPr>
      <w:r w:rsidRPr="3982CBDC">
        <w:rPr>
          <w:rFonts w:eastAsia="Calibri" w:cs="Times New Roman"/>
          <w:noProof/>
          <w:sz w:val="16"/>
          <w:szCs w:val="16"/>
        </w:rPr>
        <w:t>Dairy industry</w:t>
      </w:r>
    </w:p>
    <w:p w14:paraId="78F2FCCF" w14:textId="77777777" w:rsidR="008E12F8" w:rsidRPr="003A09E2" w:rsidRDefault="3982CBDC" w:rsidP="00AD5F1B">
      <w:pPr>
        <w:numPr>
          <w:ilvl w:val="2"/>
          <w:numId w:val="35"/>
        </w:numPr>
        <w:spacing w:before="160" w:after="160" w:line="288" w:lineRule="auto"/>
        <w:contextualSpacing/>
        <w:jc w:val="left"/>
        <w:rPr>
          <w:rFonts w:eastAsia="Calibri" w:cs="Times New Roman"/>
          <w:noProof/>
          <w:sz w:val="16"/>
          <w:szCs w:val="16"/>
        </w:rPr>
      </w:pPr>
      <w:r w:rsidRPr="3982CBDC">
        <w:rPr>
          <w:rFonts w:eastAsia="Calibri" w:cs="Times New Roman"/>
          <w:noProof/>
          <w:sz w:val="16"/>
          <w:szCs w:val="16"/>
        </w:rPr>
        <w:t>Chocolate production</w:t>
      </w:r>
    </w:p>
    <w:p w14:paraId="1CD98B7C" w14:textId="77777777" w:rsidR="008E12F8" w:rsidRPr="003A09E2" w:rsidRDefault="3982CBDC" w:rsidP="00AD5F1B">
      <w:pPr>
        <w:numPr>
          <w:ilvl w:val="2"/>
          <w:numId w:val="35"/>
        </w:numPr>
        <w:spacing w:before="160" w:after="160" w:line="288" w:lineRule="auto"/>
        <w:contextualSpacing/>
        <w:jc w:val="left"/>
        <w:rPr>
          <w:rFonts w:eastAsia="Calibri" w:cs="Times New Roman"/>
          <w:noProof/>
          <w:sz w:val="16"/>
          <w:szCs w:val="16"/>
        </w:rPr>
      </w:pPr>
      <w:r w:rsidRPr="3982CBDC">
        <w:rPr>
          <w:rFonts w:eastAsia="Calibri" w:cs="Times New Roman"/>
          <w:noProof/>
          <w:sz w:val="16"/>
          <w:szCs w:val="16"/>
        </w:rPr>
        <w:t>Frozen food</w:t>
      </w:r>
    </w:p>
    <w:p w14:paraId="60C8D84E" w14:textId="77777777" w:rsidR="008E12F8" w:rsidRPr="003A09E2" w:rsidRDefault="3982CBDC" w:rsidP="00AD5F1B">
      <w:pPr>
        <w:numPr>
          <w:ilvl w:val="2"/>
          <w:numId w:val="35"/>
        </w:numPr>
        <w:spacing w:before="160" w:after="160" w:line="288" w:lineRule="auto"/>
        <w:contextualSpacing/>
        <w:jc w:val="left"/>
        <w:rPr>
          <w:rFonts w:eastAsia="Calibri" w:cs="Times New Roman"/>
          <w:noProof/>
          <w:sz w:val="16"/>
          <w:szCs w:val="16"/>
        </w:rPr>
      </w:pPr>
      <w:r w:rsidRPr="3982CBDC">
        <w:rPr>
          <w:rFonts w:eastAsia="Calibri" w:cs="Times New Roman"/>
          <w:noProof/>
          <w:sz w:val="16"/>
          <w:szCs w:val="16"/>
        </w:rPr>
        <w:t>Fruit juice / Gaseous drinks</w:t>
      </w:r>
    </w:p>
    <w:p w14:paraId="141F1463" w14:textId="77777777" w:rsidR="008E12F8" w:rsidRPr="003A09E2" w:rsidRDefault="3982CBDC" w:rsidP="00AD5F1B">
      <w:pPr>
        <w:numPr>
          <w:ilvl w:val="2"/>
          <w:numId w:val="35"/>
        </w:numPr>
        <w:spacing w:before="160" w:after="160" w:line="288" w:lineRule="auto"/>
        <w:contextualSpacing/>
        <w:jc w:val="left"/>
        <w:rPr>
          <w:rFonts w:eastAsia="Calibri" w:cs="Times New Roman"/>
          <w:noProof/>
          <w:sz w:val="16"/>
          <w:szCs w:val="16"/>
        </w:rPr>
      </w:pPr>
      <w:r w:rsidRPr="3982CBDC">
        <w:rPr>
          <w:rFonts w:eastAsia="Calibri" w:cs="Times New Roman"/>
          <w:noProof/>
          <w:sz w:val="16"/>
          <w:szCs w:val="16"/>
        </w:rPr>
        <w:t>Milk farms</w:t>
      </w:r>
    </w:p>
    <w:p w14:paraId="075DCA99" w14:textId="77777777" w:rsidR="008E12F8" w:rsidRPr="003A09E2" w:rsidRDefault="3982CBDC" w:rsidP="00AD5F1B">
      <w:pPr>
        <w:numPr>
          <w:ilvl w:val="1"/>
          <w:numId w:val="35"/>
        </w:numPr>
        <w:spacing w:before="160" w:after="160" w:line="288" w:lineRule="auto"/>
        <w:contextualSpacing/>
        <w:jc w:val="left"/>
        <w:rPr>
          <w:rFonts w:eastAsia="Calibri" w:cs="Times New Roman"/>
          <w:noProof/>
          <w:sz w:val="16"/>
          <w:szCs w:val="16"/>
        </w:rPr>
      </w:pPr>
      <w:r w:rsidRPr="3982CBDC">
        <w:rPr>
          <w:rFonts w:eastAsia="Calibri" w:cs="Times New Roman"/>
          <w:noProof/>
          <w:sz w:val="16"/>
          <w:szCs w:val="16"/>
        </w:rPr>
        <w:t>Other industry</w:t>
      </w:r>
    </w:p>
    <w:p w14:paraId="3431FEA3" w14:textId="77777777" w:rsidR="008E12F8" w:rsidRPr="003A09E2" w:rsidRDefault="3982CBDC" w:rsidP="00AD5F1B">
      <w:pPr>
        <w:numPr>
          <w:ilvl w:val="2"/>
          <w:numId w:val="35"/>
        </w:numPr>
        <w:spacing w:before="160" w:after="160" w:line="288" w:lineRule="auto"/>
        <w:contextualSpacing/>
        <w:jc w:val="left"/>
        <w:rPr>
          <w:rFonts w:eastAsia="Calibri" w:cs="Times New Roman"/>
          <w:noProof/>
          <w:sz w:val="16"/>
          <w:szCs w:val="16"/>
        </w:rPr>
      </w:pPr>
      <w:r w:rsidRPr="3982CBDC">
        <w:rPr>
          <w:rFonts w:eastAsia="Calibri" w:cs="Times New Roman"/>
          <w:noProof/>
          <w:sz w:val="16"/>
          <w:szCs w:val="16"/>
        </w:rPr>
        <w:t>Cold storage</w:t>
      </w:r>
    </w:p>
    <w:p w14:paraId="7D028FBF" w14:textId="77777777" w:rsidR="008E12F8" w:rsidRPr="003A09E2" w:rsidRDefault="3982CBDC" w:rsidP="00AD5F1B">
      <w:pPr>
        <w:numPr>
          <w:ilvl w:val="2"/>
          <w:numId w:val="35"/>
        </w:numPr>
        <w:spacing w:before="160" w:after="160" w:line="288" w:lineRule="auto"/>
        <w:contextualSpacing/>
        <w:jc w:val="left"/>
        <w:rPr>
          <w:rFonts w:eastAsia="Calibri" w:cs="Times New Roman"/>
          <w:noProof/>
          <w:sz w:val="16"/>
          <w:szCs w:val="16"/>
        </w:rPr>
      </w:pPr>
      <w:r w:rsidRPr="3982CBDC">
        <w:rPr>
          <w:rFonts w:eastAsia="Calibri" w:cs="Times New Roman"/>
          <w:noProof/>
          <w:sz w:val="16"/>
          <w:szCs w:val="16"/>
        </w:rPr>
        <w:t>Ice rinks</w:t>
      </w:r>
    </w:p>
    <w:p w14:paraId="66519F1A" w14:textId="77777777" w:rsidR="008E12F8" w:rsidRPr="003A09E2" w:rsidRDefault="3982CBDC" w:rsidP="00AD5F1B">
      <w:pPr>
        <w:numPr>
          <w:ilvl w:val="2"/>
          <w:numId w:val="35"/>
        </w:numPr>
        <w:spacing w:before="160" w:after="160" w:line="288" w:lineRule="auto"/>
        <w:contextualSpacing/>
        <w:jc w:val="left"/>
        <w:rPr>
          <w:rFonts w:eastAsia="Calibri" w:cs="Times New Roman"/>
          <w:noProof/>
          <w:sz w:val="16"/>
          <w:szCs w:val="16"/>
        </w:rPr>
      </w:pPr>
      <w:r w:rsidRPr="3982CBDC">
        <w:rPr>
          <w:rFonts w:eastAsia="Calibri" w:cs="Times New Roman"/>
          <w:noProof/>
          <w:sz w:val="16"/>
          <w:szCs w:val="16"/>
        </w:rPr>
        <w:t>Other industry (50 % chemical)</w:t>
      </w:r>
    </w:p>
    <w:p w14:paraId="64518714" w14:textId="77777777" w:rsidR="008E12F8" w:rsidRPr="003A09E2" w:rsidRDefault="3982CBDC" w:rsidP="00AD5F1B">
      <w:pPr>
        <w:numPr>
          <w:ilvl w:val="0"/>
          <w:numId w:val="35"/>
        </w:numPr>
        <w:spacing w:before="160" w:after="160" w:line="288" w:lineRule="auto"/>
        <w:contextualSpacing/>
        <w:jc w:val="left"/>
        <w:rPr>
          <w:rFonts w:eastAsia="Calibri" w:cs="Times New Roman"/>
          <w:b/>
          <w:bCs/>
          <w:noProof/>
          <w:sz w:val="16"/>
          <w:szCs w:val="16"/>
        </w:rPr>
      </w:pPr>
      <w:r w:rsidRPr="3982CBDC">
        <w:rPr>
          <w:rFonts w:eastAsia="Calibri" w:cs="Times New Roman"/>
          <w:b/>
          <w:bCs/>
          <w:noProof/>
          <w:sz w:val="16"/>
          <w:szCs w:val="16"/>
        </w:rPr>
        <w:t>Transport refrigeration</w:t>
      </w:r>
    </w:p>
    <w:p w14:paraId="26B7F3EB" w14:textId="77777777" w:rsidR="008E12F8" w:rsidRPr="003A09E2" w:rsidRDefault="3982CBDC" w:rsidP="00AD5F1B">
      <w:pPr>
        <w:numPr>
          <w:ilvl w:val="1"/>
          <w:numId w:val="35"/>
        </w:numPr>
        <w:spacing w:before="160" w:after="160" w:line="288" w:lineRule="auto"/>
        <w:contextualSpacing/>
        <w:jc w:val="left"/>
        <w:rPr>
          <w:rFonts w:eastAsia="Calibri" w:cs="Times New Roman"/>
          <w:noProof/>
          <w:sz w:val="16"/>
          <w:szCs w:val="16"/>
        </w:rPr>
      </w:pPr>
      <w:r w:rsidRPr="3982CBDC">
        <w:rPr>
          <w:rFonts w:eastAsia="Calibri" w:cs="Times New Roman"/>
          <w:noProof/>
          <w:sz w:val="16"/>
          <w:szCs w:val="16"/>
        </w:rPr>
        <w:t>Vans</w:t>
      </w:r>
    </w:p>
    <w:p w14:paraId="7A153631" w14:textId="77777777" w:rsidR="008E12F8" w:rsidRPr="003A09E2" w:rsidRDefault="3982CBDC" w:rsidP="00AD5F1B">
      <w:pPr>
        <w:numPr>
          <w:ilvl w:val="1"/>
          <w:numId w:val="35"/>
        </w:numPr>
        <w:spacing w:before="160" w:after="160" w:line="288" w:lineRule="auto"/>
        <w:contextualSpacing/>
        <w:jc w:val="left"/>
        <w:rPr>
          <w:rFonts w:eastAsia="Calibri" w:cs="Times New Roman"/>
          <w:noProof/>
          <w:sz w:val="16"/>
          <w:szCs w:val="16"/>
        </w:rPr>
      </w:pPr>
      <w:r w:rsidRPr="3982CBDC">
        <w:rPr>
          <w:rFonts w:eastAsia="Calibri" w:cs="Times New Roman"/>
          <w:noProof/>
          <w:sz w:val="16"/>
          <w:szCs w:val="16"/>
        </w:rPr>
        <w:t>Trucks and trailers</w:t>
      </w:r>
    </w:p>
    <w:p w14:paraId="1ACCDC01" w14:textId="77777777" w:rsidR="008E12F8" w:rsidRPr="003A09E2" w:rsidRDefault="3982CBDC" w:rsidP="00AD5F1B">
      <w:pPr>
        <w:numPr>
          <w:ilvl w:val="1"/>
          <w:numId w:val="35"/>
        </w:numPr>
        <w:spacing w:before="160" w:after="160" w:line="288" w:lineRule="auto"/>
        <w:contextualSpacing/>
        <w:jc w:val="left"/>
        <w:rPr>
          <w:rFonts w:eastAsia="Calibri" w:cs="Times New Roman"/>
          <w:noProof/>
          <w:sz w:val="16"/>
          <w:szCs w:val="16"/>
        </w:rPr>
      </w:pPr>
      <w:r w:rsidRPr="3982CBDC">
        <w:rPr>
          <w:rFonts w:eastAsia="Calibri" w:cs="Times New Roman"/>
          <w:noProof/>
          <w:sz w:val="16"/>
          <w:szCs w:val="16"/>
        </w:rPr>
        <w:t>Fishing vessels</w:t>
      </w:r>
    </w:p>
    <w:p w14:paraId="4020E2E9" w14:textId="77777777" w:rsidR="008E12F8" w:rsidRPr="003A09E2" w:rsidRDefault="3982CBDC" w:rsidP="00AD5F1B">
      <w:pPr>
        <w:numPr>
          <w:ilvl w:val="0"/>
          <w:numId w:val="35"/>
        </w:numPr>
        <w:spacing w:before="160" w:after="160" w:line="288" w:lineRule="auto"/>
        <w:contextualSpacing/>
        <w:jc w:val="left"/>
        <w:rPr>
          <w:rFonts w:eastAsia="Calibri" w:cs="Times New Roman"/>
          <w:b/>
          <w:bCs/>
          <w:noProof/>
          <w:sz w:val="16"/>
          <w:szCs w:val="16"/>
        </w:rPr>
      </w:pPr>
      <w:r w:rsidRPr="3982CBDC">
        <w:rPr>
          <w:rFonts w:eastAsia="Calibri" w:cs="Times New Roman"/>
          <w:b/>
          <w:bCs/>
          <w:noProof/>
          <w:sz w:val="16"/>
          <w:szCs w:val="16"/>
        </w:rPr>
        <w:t>Room air conditioning</w:t>
      </w:r>
    </w:p>
    <w:p w14:paraId="48ADE899" w14:textId="77777777" w:rsidR="008E12F8" w:rsidRPr="003A09E2" w:rsidRDefault="3982CBDC" w:rsidP="00AD5F1B">
      <w:pPr>
        <w:numPr>
          <w:ilvl w:val="1"/>
          <w:numId w:val="35"/>
        </w:numPr>
        <w:spacing w:before="160" w:after="160" w:line="288" w:lineRule="auto"/>
        <w:contextualSpacing/>
        <w:jc w:val="left"/>
        <w:rPr>
          <w:rFonts w:eastAsia="Calibri" w:cs="Times New Roman"/>
          <w:noProof/>
          <w:sz w:val="16"/>
          <w:szCs w:val="16"/>
        </w:rPr>
      </w:pPr>
      <w:r w:rsidRPr="3982CBDC">
        <w:rPr>
          <w:rFonts w:eastAsia="Calibri" w:cs="Times New Roman"/>
          <w:noProof/>
          <w:sz w:val="16"/>
          <w:szCs w:val="16"/>
        </w:rPr>
        <w:t>Moveable (portable) units</w:t>
      </w:r>
    </w:p>
    <w:p w14:paraId="52C11B42" w14:textId="77777777" w:rsidR="008E12F8" w:rsidRPr="003A09E2" w:rsidRDefault="3982CBDC" w:rsidP="00AD5F1B">
      <w:pPr>
        <w:numPr>
          <w:ilvl w:val="1"/>
          <w:numId w:val="35"/>
        </w:numPr>
        <w:spacing w:before="160" w:after="160" w:line="288" w:lineRule="auto"/>
        <w:contextualSpacing/>
        <w:jc w:val="left"/>
        <w:rPr>
          <w:rFonts w:eastAsia="Calibri" w:cs="Times New Roman"/>
          <w:noProof/>
          <w:sz w:val="16"/>
          <w:szCs w:val="16"/>
        </w:rPr>
      </w:pPr>
      <w:r w:rsidRPr="3982CBDC">
        <w:rPr>
          <w:rFonts w:eastAsia="Calibri" w:cs="Times New Roman"/>
          <w:noProof/>
          <w:sz w:val="16"/>
          <w:szCs w:val="16"/>
        </w:rPr>
        <w:t>Small split units including reversible air-to-air heat pumps (average charge of 1.5 kg)</w:t>
      </w:r>
    </w:p>
    <w:p w14:paraId="553F9F79" w14:textId="77777777" w:rsidR="008E12F8" w:rsidRPr="003A09E2" w:rsidRDefault="3982CBDC" w:rsidP="00AD5F1B">
      <w:pPr>
        <w:numPr>
          <w:ilvl w:val="0"/>
          <w:numId w:val="35"/>
        </w:numPr>
        <w:spacing w:before="160" w:after="160" w:line="288" w:lineRule="auto"/>
        <w:contextualSpacing/>
        <w:jc w:val="left"/>
        <w:rPr>
          <w:rFonts w:eastAsia="Calibri" w:cs="Times New Roman"/>
          <w:b/>
          <w:bCs/>
          <w:noProof/>
          <w:sz w:val="16"/>
          <w:szCs w:val="16"/>
        </w:rPr>
      </w:pPr>
      <w:r w:rsidRPr="3982CBDC">
        <w:rPr>
          <w:rFonts w:eastAsia="Calibri" w:cs="Times New Roman"/>
          <w:b/>
          <w:bCs/>
          <w:noProof/>
          <w:sz w:val="16"/>
          <w:szCs w:val="16"/>
        </w:rPr>
        <w:t>Commercial air conditioning</w:t>
      </w:r>
    </w:p>
    <w:p w14:paraId="04D5BF66" w14:textId="77777777" w:rsidR="008E12F8" w:rsidRPr="003A09E2" w:rsidRDefault="3982CBDC" w:rsidP="00AD5F1B">
      <w:pPr>
        <w:numPr>
          <w:ilvl w:val="1"/>
          <w:numId w:val="35"/>
        </w:numPr>
        <w:spacing w:before="160" w:after="160" w:line="288" w:lineRule="auto"/>
        <w:contextualSpacing/>
        <w:jc w:val="left"/>
        <w:rPr>
          <w:rFonts w:eastAsia="Calibri" w:cs="Times New Roman"/>
          <w:noProof/>
          <w:sz w:val="16"/>
          <w:szCs w:val="16"/>
        </w:rPr>
      </w:pPr>
      <w:r w:rsidRPr="3982CBDC">
        <w:rPr>
          <w:rFonts w:eastAsia="Calibri" w:cs="Times New Roman"/>
          <w:noProof/>
          <w:sz w:val="16"/>
          <w:szCs w:val="16"/>
        </w:rPr>
        <w:t>Large split and variable refrigerant flow (VRF) systems</w:t>
      </w:r>
    </w:p>
    <w:p w14:paraId="171C68C0" w14:textId="77777777" w:rsidR="008E12F8" w:rsidRPr="003A09E2" w:rsidRDefault="3982CBDC" w:rsidP="00AD5F1B">
      <w:pPr>
        <w:numPr>
          <w:ilvl w:val="1"/>
          <w:numId w:val="35"/>
        </w:numPr>
        <w:spacing w:before="160" w:after="160" w:line="288" w:lineRule="auto"/>
        <w:contextualSpacing/>
        <w:jc w:val="left"/>
        <w:rPr>
          <w:rFonts w:eastAsia="Calibri" w:cs="Times New Roman"/>
          <w:noProof/>
          <w:sz w:val="16"/>
          <w:szCs w:val="16"/>
        </w:rPr>
      </w:pPr>
      <w:r w:rsidRPr="3982CBDC">
        <w:rPr>
          <w:rFonts w:eastAsia="Calibri" w:cs="Times New Roman"/>
          <w:noProof/>
          <w:sz w:val="16"/>
          <w:szCs w:val="16"/>
        </w:rPr>
        <w:t>Packaged equipment (incl. rooftop units)</w:t>
      </w:r>
    </w:p>
    <w:p w14:paraId="37EB462C" w14:textId="77777777" w:rsidR="008E12F8" w:rsidRPr="003A09E2" w:rsidRDefault="3982CBDC" w:rsidP="00AD5F1B">
      <w:pPr>
        <w:numPr>
          <w:ilvl w:val="0"/>
          <w:numId w:val="35"/>
        </w:numPr>
        <w:spacing w:before="160" w:after="160" w:line="288" w:lineRule="auto"/>
        <w:contextualSpacing/>
        <w:jc w:val="left"/>
        <w:rPr>
          <w:rFonts w:eastAsia="Calibri" w:cs="Times New Roman"/>
          <w:b/>
          <w:bCs/>
          <w:noProof/>
          <w:sz w:val="16"/>
          <w:szCs w:val="16"/>
        </w:rPr>
      </w:pPr>
      <w:r w:rsidRPr="3982CBDC">
        <w:rPr>
          <w:rFonts w:eastAsia="Calibri" w:cs="Times New Roman"/>
          <w:b/>
          <w:bCs/>
          <w:noProof/>
          <w:sz w:val="16"/>
          <w:szCs w:val="16"/>
        </w:rPr>
        <w:t>Chiller</w:t>
      </w:r>
    </w:p>
    <w:p w14:paraId="57EFD735" w14:textId="77777777" w:rsidR="008E12F8" w:rsidRPr="003A09E2" w:rsidRDefault="3982CBDC" w:rsidP="00AD5F1B">
      <w:pPr>
        <w:numPr>
          <w:ilvl w:val="1"/>
          <w:numId w:val="35"/>
        </w:numPr>
        <w:spacing w:before="160" w:after="160" w:line="288" w:lineRule="auto"/>
        <w:contextualSpacing/>
        <w:jc w:val="left"/>
        <w:rPr>
          <w:rFonts w:eastAsia="Calibri" w:cs="Times New Roman"/>
          <w:noProof/>
          <w:sz w:val="16"/>
          <w:szCs w:val="16"/>
        </w:rPr>
      </w:pPr>
      <w:r w:rsidRPr="3982CBDC">
        <w:rPr>
          <w:rFonts w:eastAsia="Calibri" w:cs="Times New Roman"/>
          <w:noProof/>
          <w:sz w:val="16"/>
          <w:szCs w:val="16"/>
        </w:rPr>
        <w:t>Displacement compressor type</w:t>
      </w:r>
    </w:p>
    <w:p w14:paraId="271FE233" w14:textId="77777777" w:rsidR="008E12F8" w:rsidRPr="003A09E2" w:rsidRDefault="3982CBDC" w:rsidP="00AD5F1B">
      <w:pPr>
        <w:numPr>
          <w:ilvl w:val="2"/>
          <w:numId w:val="35"/>
        </w:numPr>
        <w:spacing w:before="160" w:after="160" w:line="288" w:lineRule="auto"/>
        <w:contextualSpacing/>
        <w:jc w:val="left"/>
        <w:rPr>
          <w:rFonts w:eastAsia="Calibri" w:cs="Times New Roman"/>
          <w:noProof/>
          <w:sz w:val="16"/>
          <w:szCs w:val="16"/>
        </w:rPr>
      </w:pPr>
      <w:r w:rsidRPr="3982CBDC">
        <w:rPr>
          <w:rFonts w:eastAsia="Calibri" w:cs="Times New Roman"/>
          <w:noProof/>
          <w:sz w:val="16"/>
          <w:szCs w:val="16"/>
        </w:rPr>
        <w:t>Mini-chiller</w:t>
      </w:r>
    </w:p>
    <w:p w14:paraId="0D357F1E" w14:textId="77777777" w:rsidR="008E12F8" w:rsidRPr="003A09E2" w:rsidRDefault="3982CBDC" w:rsidP="00AD5F1B">
      <w:pPr>
        <w:numPr>
          <w:ilvl w:val="2"/>
          <w:numId w:val="35"/>
        </w:numPr>
        <w:spacing w:before="160" w:after="160" w:line="288" w:lineRule="auto"/>
        <w:contextualSpacing/>
        <w:jc w:val="left"/>
        <w:rPr>
          <w:rFonts w:eastAsia="Calibri" w:cs="Times New Roman"/>
          <w:noProof/>
          <w:sz w:val="16"/>
          <w:szCs w:val="16"/>
        </w:rPr>
      </w:pPr>
      <w:r w:rsidRPr="3982CBDC">
        <w:rPr>
          <w:rFonts w:eastAsia="Calibri" w:cs="Times New Roman"/>
          <w:noProof/>
          <w:sz w:val="16"/>
          <w:szCs w:val="16"/>
        </w:rPr>
        <w:t>&lt;100 kW chiller</w:t>
      </w:r>
    </w:p>
    <w:p w14:paraId="585A6B67" w14:textId="77777777" w:rsidR="008E12F8" w:rsidRPr="003A09E2" w:rsidRDefault="3982CBDC" w:rsidP="00AD5F1B">
      <w:pPr>
        <w:numPr>
          <w:ilvl w:val="2"/>
          <w:numId w:val="35"/>
        </w:numPr>
        <w:spacing w:before="160" w:after="160" w:line="288" w:lineRule="auto"/>
        <w:contextualSpacing/>
        <w:jc w:val="left"/>
        <w:rPr>
          <w:rFonts w:eastAsia="Calibri" w:cs="Times New Roman"/>
          <w:noProof/>
          <w:sz w:val="16"/>
          <w:szCs w:val="16"/>
        </w:rPr>
      </w:pPr>
      <w:r w:rsidRPr="3982CBDC">
        <w:rPr>
          <w:rFonts w:eastAsia="Calibri" w:cs="Times New Roman"/>
          <w:noProof/>
          <w:sz w:val="16"/>
          <w:szCs w:val="16"/>
        </w:rPr>
        <w:t>&gt;100 kW chiller</w:t>
      </w:r>
    </w:p>
    <w:p w14:paraId="1FD72F87" w14:textId="77777777" w:rsidR="008E12F8" w:rsidRPr="003A09E2" w:rsidRDefault="3982CBDC" w:rsidP="00AD5F1B">
      <w:pPr>
        <w:numPr>
          <w:ilvl w:val="1"/>
          <w:numId w:val="35"/>
        </w:numPr>
        <w:spacing w:before="160" w:after="160" w:line="288" w:lineRule="auto"/>
        <w:contextualSpacing/>
        <w:jc w:val="left"/>
        <w:rPr>
          <w:rFonts w:eastAsia="Calibri" w:cs="Times New Roman"/>
          <w:noProof/>
          <w:sz w:val="16"/>
          <w:szCs w:val="16"/>
        </w:rPr>
      </w:pPr>
      <w:r w:rsidRPr="3982CBDC">
        <w:rPr>
          <w:rFonts w:eastAsia="Calibri" w:cs="Times New Roman"/>
          <w:noProof/>
          <w:sz w:val="16"/>
          <w:szCs w:val="16"/>
        </w:rPr>
        <w:t>Centrifugal compressor type</w:t>
      </w:r>
    </w:p>
    <w:p w14:paraId="1D47111B" w14:textId="77777777" w:rsidR="008E12F8" w:rsidRPr="003A09E2" w:rsidRDefault="3982CBDC" w:rsidP="00DE2A57">
      <w:pPr>
        <w:keepNext/>
        <w:numPr>
          <w:ilvl w:val="0"/>
          <w:numId w:val="35"/>
        </w:numPr>
        <w:spacing w:before="160" w:after="160" w:line="288" w:lineRule="auto"/>
        <w:ind w:left="714" w:hanging="357"/>
        <w:contextualSpacing/>
        <w:jc w:val="left"/>
        <w:rPr>
          <w:rFonts w:eastAsia="Calibri" w:cs="Times New Roman"/>
          <w:b/>
          <w:bCs/>
          <w:noProof/>
          <w:sz w:val="16"/>
          <w:szCs w:val="16"/>
        </w:rPr>
      </w:pPr>
      <w:r w:rsidRPr="3982CBDC">
        <w:rPr>
          <w:rFonts w:eastAsia="Calibri" w:cs="Times New Roman"/>
          <w:b/>
          <w:bCs/>
          <w:noProof/>
          <w:sz w:val="16"/>
          <w:szCs w:val="16"/>
        </w:rPr>
        <w:t>Heat pumps</w:t>
      </w:r>
    </w:p>
    <w:p w14:paraId="4A680217" w14:textId="77777777" w:rsidR="008E12F8" w:rsidRPr="003A09E2" w:rsidRDefault="3982CBDC" w:rsidP="00AD5F1B">
      <w:pPr>
        <w:numPr>
          <w:ilvl w:val="1"/>
          <w:numId w:val="35"/>
        </w:numPr>
        <w:spacing w:before="160" w:after="160" w:line="288" w:lineRule="auto"/>
        <w:contextualSpacing/>
        <w:jc w:val="left"/>
        <w:rPr>
          <w:rFonts w:eastAsia="Calibri" w:cs="Times New Roman"/>
          <w:noProof/>
          <w:sz w:val="16"/>
          <w:szCs w:val="16"/>
        </w:rPr>
      </w:pPr>
      <w:r w:rsidRPr="3982CBDC">
        <w:rPr>
          <w:rFonts w:eastAsia="Calibri" w:cs="Times New Roman"/>
          <w:noProof/>
          <w:sz w:val="16"/>
          <w:szCs w:val="16"/>
        </w:rPr>
        <w:t>Small (average charge of 2.6 kg) and medium (average charge of 26 kg) heat pumps (95% small and 5% medium units)</w:t>
      </w:r>
    </w:p>
    <w:p w14:paraId="1324F890" w14:textId="77777777" w:rsidR="008E12F8" w:rsidRPr="003A09E2" w:rsidRDefault="3982CBDC" w:rsidP="00AD5F1B">
      <w:pPr>
        <w:numPr>
          <w:ilvl w:val="2"/>
          <w:numId w:val="35"/>
        </w:numPr>
        <w:spacing w:before="160" w:after="160" w:line="288" w:lineRule="auto"/>
        <w:contextualSpacing/>
        <w:jc w:val="left"/>
        <w:rPr>
          <w:rFonts w:eastAsia="Calibri" w:cs="Times New Roman"/>
          <w:noProof/>
          <w:sz w:val="16"/>
          <w:szCs w:val="16"/>
        </w:rPr>
      </w:pPr>
      <w:r w:rsidRPr="3982CBDC">
        <w:rPr>
          <w:rFonts w:eastAsia="Calibri" w:cs="Times New Roman"/>
          <w:noProof/>
          <w:sz w:val="16"/>
          <w:szCs w:val="16"/>
        </w:rPr>
        <w:t>Air/water (heating only and reversible)</w:t>
      </w:r>
    </w:p>
    <w:p w14:paraId="0C605560" w14:textId="77777777" w:rsidR="008E12F8" w:rsidRPr="003A09E2" w:rsidRDefault="3982CBDC" w:rsidP="00AD5F1B">
      <w:pPr>
        <w:numPr>
          <w:ilvl w:val="2"/>
          <w:numId w:val="35"/>
        </w:numPr>
        <w:spacing w:before="160" w:after="160" w:line="288" w:lineRule="auto"/>
        <w:contextualSpacing/>
        <w:jc w:val="left"/>
        <w:rPr>
          <w:rFonts w:eastAsia="Calibri" w:cs="Times New Roman"/>
          <w:noProof/>
          <w:sz w:val="16"/>
          <w:szCs w:val="16"/>
        </w:rPr>
      </w:pPr>
      <w:r w:rsidRPr="3982CBDC">
        <w:rPr>
          <w:rFonts w:eastAsia="Calibri" w:cs="Times New Roman"/>
          <w:noProof/>
          <w:sz w:val="16"/>
          <w:szCs w:val="16"/>
        </w:rPr>
        <w:t>Water/water (heating only)</w:t>
      </w:r>
    </w:p>
    <w:p w14:paraId="66B80C07" w14:textId="77777777" w:rsidR="008E12F8" w:rsidRPr="003A09E2" w:rsidRDefault="3982CBDC" w:rsidP="00AD5F1B">
      <w:pPr>
        <w:numPr>
          <w:ilvl w:val="2"/>
          <w:numId w:val="35"/>
        </w:numPr>
        <w:spacing w:before="160" w:after="160" w:line="288" w:lineRule="auto"/>
        <w:contextualSpacing/>
        <w:jc w:val="left"/>
        <w:rPr>
          <w:rFonts w:eastAsia="Calibri" w:cs="Times New Roman"/>
          <w:noProof/>
          <w:sz w:val="16"/>
          <w:szCs w:val="16"/>
        </w:rPr>
      </w:pPr>
      <w:r w:rsidRPr="3982CBDC">
        <w:rPr>
          <w:rFonts w:eastAsia="Calibri" w:cs="Times New Roman"/>
          <w:noProof/>
          <w:sz w:val="16"/>
          <w:szCs w:val="16"/>
        </w:rPr>
        <w:t>Brine/water (heating only and reversible)</w:t>
      </w:r>
    </w:p>
    <w:p w14:paraId="3DB265AC" w14:textId="77777777" w:rsidR="008E12F8" w:rsidRPr="003A09E2" w:rsidRDefault="3982CBDC" w:rsidP="00AD5F1B">
      <w:pPr>
        <w:numPr>
          <w:ilvl w:val="2"/>
          <w:numId w:val="35"/>
        </w:numPr>
        <w:spacing w:before="160" w:after="160" w:line="288" w:lineRule="auto"/>
        <w:contextualSpacing/>
        <w:jc w:val="left"/>
        <w:rPr>
          <w:rFonts w:eastAsia="Calibri" w:cs="Times New Roman"/>
          <w:noProof/>
          <w:sz w:val="16"/>
          <w:szCs w:val="16"/>
        </w:rPr>
      </w:pPr>
      <w:r w:rsidRPr="3982CBDC">
        <w:rPr>
          <w:rFonts w:eastAsia="Calibri" w:cs="Times New Roman"/>
          <w:noProof/>
          <w:sz w:val="16"/>
          <w:szCs w:val="16"/>
        </w:rPr>
        <w:t>Direct exchange</w:t>
      </w:r>
    </w:p>
    <w:p w14:paraId="7FF35E5B" w14:textId="77777777" w:rsidR="008E12F8" w:rsidRPr="003A09E2" w:rsidRDefault="3982CBDC" w:rsidP="00AD5F1B">
      <w:pPr>
        <w:numPr>
          <w:ilvl w:val="2"/>
          <w:numId w:val="35"/>
        </w:numPr>
        <w:spacing w:before="160" w:after="160" w:line="288" w:lineRule="auto"/>
        <w:contextualSpacing/>
        <w:jc w:val="left"/>
        <w:rPr>
          <w:rFonts w:eastAsia="Calibri" w:cs="Times New Roman"/>
          <w:noProof/>
          <w:sz w:val="16"/>
          <w:szCs w:val="16"/>
        </w:rPr>
      </w:pPr>
      <w:r w:rsidRPr="3982CBDC">
        <w:rPr>
          <w:rFonts w:eastAsia="Calibri" w:cs="Times New Roman"/>
          <w:noProof/>
          <w:sz w:val="16"/>
          <w:szCs w:val="16"/>
        </w:rPr>
        <w:t>Exhaust air</w:t>
      </w:r>
    </w:p>
    <w:p w14:paraId="3677D853" w14:textId="77777777" w:rsidR="008E12F8" w:rsidRPr="003A09E2" w:rsidRDefault="3982CBDC" w:rsidP="00AD5F1B">
      <w:pPr>
        <w:numPr>
          <w:ilvl w:val="2"/>
          <w:numId w:val="35"/>
        </w:numPr>
        <w:spacing w:before="160" w:after="160" w:line="288" w:lineRule="auto"/>
        <w:contextualSpacing/>
        <w:jc w:val="left"/>
        <w:rPr>
          <w:rFonts w:eastAsia="Calibri" w:cs="Times New Roman"/>
          <w:noProof/>
          <w:sz w:val="16"/>
          <w:szCs w:val="16"/>
        </w:rPr>
      </w:pPr>
      <w:r w:rsidRPr="3982CBDC">
        <w:rPr>
          <w:rFonts w:eastAsia="Calibri" w:cs="Times New Roman"/>
          <w:noProof/>
          <w:sz w:val="16"/>
          <w:szCs w:val="16"/>
        </w:rPr>
        <w:t>Sanitary hot water</w:t>
      </w:r>
    </w:p>
    <w:p w14:paraId="2EB2A705" w14:textId="77777777" w:rsidR="008E12F8" w:rsidRPr="003A09E2" w:rsidRDefault="3982CBDC" w:rsidP="00AD5F1B">
      <w:pPr>
        <w:numPr>
          <w:ilvl w:val="1"/>
          <w:numId w:val="35"/>
        </w:numPr>
        <w:spacing w:before="160" w:after="160" w:line="288" w:lineRule="auto"/>
        <w:contextualSpacing/>
        <w:jc w:val="left"/>
        <w:rPr>
          <w:rFonts w:eastAsia="Calibri" w:cs="Times New Roman"/>
          <w:noProof/>
          <w:sz w:val="16"/>
          <w:szCs w:val="16"/>
        </w:rPr>
      </w:pPr>
      <w:r w:rsidRPr="3982CBDC">
        <w:rPr>
          <w:rFonts w:eastAsia="Calibri" w:cs="Times New Roman"/>
          <w:noProof/>
          <w:sz w:val="16"/>
          <w:szCs w:val="16"/>
        </w:rPr>
        <w:t>Large commercial heat pumps (average charge of 750 kg)</w:t>
      </w:r>
    </w:p>
    <w:p w14:paraId="16BE2D81" w14:textId="77777777" w:rsidR="008E12F8" w:rsidRPr="003A09E2" w:rsidRDefault="3982CBDC" w:rsidP="00AD5F1B">
      <w:pPr>
        <w:numPr>
          <w:ilvl w:val="2"/>
          <w:numId w:val="35"/>
        </w:numPr>
        <w:spacing w:before="160" w:after="160" w:line="288" w:lineRule="auto"/>
        <w:contextualSpacing/>
        <w:jc w:val="left"/>
        <w:rPr>
          <w:rFonts w:eastAsia="Calibri" w:cs="Times New Roman"/>
          <w:noProof/>
          <w:sz w:val="16"/>
          <w:szCs w:val="16"/>
        </w:rPr>
      </w:pPr>
      <w:r w:rsidRPr="3982CBDC">
        <w:rPr>
          <w:rFonts w:eastAsia="Calibri" w:cs="Times New Roman"/>
          <w:noProof/>
          <w:sz w:val="16"/>
          <w:szCs w:val="16"/>
        </w:rPr>
        <w:t>District heating</w:t>
      </w:r>
    </w:p>
    <w:p w14:paraId="18E47AAB" w14:textId="77777777" w:rsidR="008E12F8" w:rsidRPr="003A09E2" w:rsidRDefault="3982CBDC" w:rsidP="00AD5F1B">
      <w:pPr>
        <w:numPr>
          <w:ilvl w:val="2"/>
          <w:numId w:val="35"/>
        </w:numPr>
        <w:spacing w:before="160" w:after="160" w:line="288" w:lineRule="auto"/>
        <w:contextualSpacing/>
        <w:jc w:val="left"/>
        <w:rPr>
          <w:rFonts w:eastAsia="Calibri" w:cs="Times New Roman"/>
          <w:noProof/>
          <w:sz w:val="16"/>
          <w:szCs w:val="16"/>
        </w:rPr>
      </w:pPr>
      <w:r w:rsidRPr="3982CBDC">
        <w:rPr>
          <w:rFonts w:eastAsia="Calibri" w:cs="Times New Roman"/>
          <w:noProof/>
          <w:sz w:val="16"/>
          <w:szCs w:val="16"/>
        </w:rPr>
        <w:t>Industrial</w:t>
      </w:r>
    </w:p>
    <w:p w14:paraId="1042AC92" w14:textId="77777777" w:rsidR="008E12F8" w:rsidRPr="003A09E2" w:rsidRDefault="3982CBDC" w:rsidP="00AD5F1B">
      <w:pPr>
        <w:numPr>
          <w:ilvl w:val="0"/>
          <w:numId w:val="35"/>
        </w:numPr>
        <w:spacing w:before="160" w:after="160" w:line="288" w:lineRule="auto"/>
        <w:contextualSpacing/>
        <w:jc w:val="left"/>
        <w:rPr>
          <w:rFonts w:eastAsia="Calibri" w:cs="Times New Roman"/>
          <w:b/>
          <w:bCs/>
          <w:noProof/>
          <w:sz w:val="16"/>
          <w:szCs w:val="16"/>
        </w:rPr>
      </w:pPr>
      <w:r w:rsidRPr="3982CBDC">
        <w:rPr>
          <w:rFonts w:eastAsia="Calibri" w:cs="Times New Roman"/>
          <w:b/>
          <w:bCs/>
          <w:noProof/>
          <w:sz w:val="16"/>
          <w:szCs w:val="16"/>
        </w:rPr>
        <w:t>Road mobile air conditioning</w:t>
      </w:r>
    </w:p>
    <w:p w14:paraId="68E30439" w14:textId="77777777" w:rsidR="008E12F8" w:rsidRPr="003A09E2" w:rsidRDefault="3982CBDC" w:rsidP="00AD5F1B">
      <w:pPr>
        <w:numPr>
          <w:ilvl w:val="1"/>
          <w:numId w:val="35"/>
        </w:numPr>
        <w:spacing w:before="160" w:after="160" w:line="288" w:lineRule="auto"/>
        <w:contextualSpacing/>
        <w:jc w:val="left"/>
        <w:rPr>
          <w:rFonts w:eastAsia="Calibri" w:cs="Times New Roman"/>
          <w:noProof/>
          <w:sz w:val="16"/>
          <w:szCs w:val="16"/>
        </w:rPr>
      </w:pPr>
      <w:r w:rsidRPr="3982CBDC">
        <w:rPr>
          <w:rFonts w:eastAsia="Calibri" w:cs="Times New Roman"/>
          <w:noProof/>
          <w:sz w:val="16"/>
          <w:szCs w:val="16"/>
        </w:rPr>
        <w:t>Passenger cars</w:t>
      </w:r>
    </w:p>
    <w:p w14:paraId="6825FED5" w14:textId="77777777" w:rsidR="008E12F8" w:rsidRPr="003A09E2" w:rsidRDefault="3982CBDC" w:rsidP="00AD5F1B">
      <w:pPr>
        <w:numPr>
          <w:ilvl w:val="1"/>
          <w:numId w:val="35"/>
        </w:numPr>
        <w:spacing w:before="160" w:after="160" w:line="288" w:lineRule="auto"/>
        <w:contextualSpacing/>
        <w:jc w:val="left"/>
        <w:rPr>
          <w:rFonts w:eastAsia="Calibri" w:cs="Times New Roman"/>
          <w:noProof/>
          <w:sz w:val="16"/>
          <w:szCs w:val="16"/>
        </w:rPr>
      </w:pPr>
      <w:r w:rsidRPr="3982CBDC">
        <w:rPr>
          <w:rFonts w:eastAsia="Calibri" w:cs="Times New Roman"/>
          <w:noProof/>
          <w:sz w:val="16"/>
          <w:szCs w:val="16"/>
        </w:rPr>
        <w:t>Commercial transport vehicles</w:t>
      </w:r>
    </w:p>
    <w:p w14:paraId="14AE2273" w14:textId="77777777" w:rsidR="008E12F8" w:rsidRPr="003A09E2" w:rsidRDefault="3982CBDC" w:rsidP="00AD5F1B">
      <w:pPr>
        <w:numPr>
          <w:ilvl w:val="2"/>
          <w:numId w:val="35"/>
        </w:numPr>
        <w:spacing w:before="160" w:after="160" w:line="288" w:lineRule="auto"/>
        <w:contextualSpacing/>
        <w:jc w:val="left"/>
        <w:rPr>
          <w:rFonts w:eastAsia="Calibri" w:cs="Times New Roman"/>
          <w:noProof/>
          <w:sz w:val="16"/>
          <w:szCs w:val="16"/>
        </w:rPr>
      </w:pPr>
      <w:r w:rsidRPr="3982CBDC">
        <w:rPr>
          <w:rFonts w:eastAsia="Calibri" w:cs="Times New Roman"/>
          <w:noProof/>
          <w:sz w:val="16"/>
          <w:szCs w:val="16"/>
        </w:rPr>
        <w:t>Trucks N1</w:t>
      </w:r>
    </w:p>
    <w:p w14:paraId="776C4CEC" w14:textId="77777777" w:rsidR="008E12F8" w:rsidRPr="003A09E2" w:rsidRDefault="3982CBDC" w:rsidP="00AD5F1B">
      <w:pPr>
        <w:numPr>
          <w:ilvl w:val="2"/>
          <w:numId w:val="35"/>
        </w:numPr>
        <w:spacing w:before="160" w:after="160" w:line="288" w:lineRule="auto"/>
        <w:contextualSpacing/>
        <w:jc w:val="left"/>
        <w:rPr>
          <w:rFonts w:eastAsia="Calibri" w:cs="Times New Roman"/>
          <w:noProof/>
          <w:sz w:val="16"/>
          <w:szCs w:val="16"/>
        </w:rPr>
      </w:pPr>
      <w:r w:rsidRPr="3982CBDC">
        <w:rPr>
          <w:rFonts w:eastAsia="Calibri" w:cs="Times New Roman"/>
          <w:noProof/>
          <w:sz w:val="16"/>
          <w:szCs w:val="16"/>
        </w:rPr>
        <w:t>Trucks N2</w:t>
      </w:r>
    </w:p>
    <w:p w14:paraId="10CFEDF4" w14:textId="77777777" w:rsidR="008E12F8" w:rsidRPr="003A09E2" w:rsidRDefault="3982CBDC" w:rsidP="00AD5F1B">
      <w:pPr>
        <w:numPr>
          <w:ilvl w:val="2"/>
          <w:numId w:val="35"/>
        </w:numPr>
        <w:spacing w:before="160" w:after="160" w:line="288" w:lineRule="auto"/>
        <w:contextualSpacing/>
        <w:jc w:val="left"/>
        <w:rPr>
          <w:rFonts w:eastAsia="Calibri" w:cs="Times New Roman"/>
          <w:noProof/>
          <w:sz w:val="16"/>
          <w:szCs w:val="16"/>
        </w:rPr>
      </w:pPr>
      <w:r w:rsidRPr="3982CBDC">
        <w:rPr>
          <w:rFonts w:eastAsia="Calibri" w:cs="Times New Roman"/>
          <w:noProof/>
          <w:sz w:val="16"/>
          <w:szCs w:val="16"/>
        </w:rPr>
        <w:t>Trucks N3</w:t>
      </w:r>
    </w:p>
    <w:p w14:paraId="13E852A1" w14:textId="77777777" w:rsidR="008E12F8" w:rsidRPr="003A09E2" w:rsidRDefault="3982CBDC" w:rsidP="00AD5F1B">
      <w:pPr>
        <w:numPr>
          <w:ilvl w:val="1"/>
          <w:numId w:val="35"/>
        </w:numPr>
        <w:spacing w:before="160" w:after="160" w:line="288" w:lineRule="auto"/>
        <w:contextualSpacing/>
        <w:jc w:val="left"/>
        <w:rPr>
          <w:rFonts w:eastAsia="Calibri" w:cs="Times New Roman"/>
          <w:noProof/>
          <w:sz w:val="16"/>
          <w:szCs w:val="16"/>
        </w:rPr>
      </w:pPr>
      <w:r w:rsidRPr="3982CBDC">
        <w:rPr>
          <w:rFonts w:eastAsia="Calibri" w:cs="Times New Roman"/>
          <w:noProof/>
          <w:sz w:val="16"/>
          <w:szCs w:val="16"/>
        </w:rPr>
        <w:t>Buses</w:t>
      </w:r>
    </w:p>
    <w:p w14:paraId="52B6ABAD" w14:textId="77777777" w:rsidR="008E12F8" w:rsidRPr="003A09E2" w:rsidRDefault="3982CBDC" w:rsidP="00AD5F1B">
      <w:pPr>
        <w:numPr>
          <w:ilvl w:val="1"/>
          <w:numId w:val="35"/>
        </w:numPr>
        <w:spacing w:before="160" w:after="160" w:line="288" w:lineRule="auto"/>
        <w:contextualSpacing/>
        <w:jc w:val="left"/>
        <w:rPr>
          <w:rFonts w:eastAsia="Calibri" w:cs="Times New Roman"/>
          <w:noProof/>
          <w:sz w:val="16"/>
          <w:szCs w:val="16"/>
        </w:rPr>
      </w:pPr>
      <w:r w:rsidRPr="3982CBDC">
        <w:rPr>
          <w:rFonts w:eastAsia="Calibri" w:cs="Times New Roman"/>
          <w:noProof/>
          <w:sz w:val="16"/>
          <w:szCs w:val="16"/>
        </w:rPr>
        <w:t>Ships</w:t>
      </w:r>
    </w:p>
    <w:p w14:paraId="44E4E6BC" w14:textId="77777777" w:rsidR="008E12F8" w:rsidRPr="003A09E2" w:rsidRDefault="3982CBDC" w:rsidP="00AD5F1B">
      <w:pPr>
        <w:numPr>
          <w:ilvl w:val="2"/>
          <w:numId w:val="35"/>
        </w:numPr>
        <w:spacing w:before="160" w:after="160" w:line="288" w:lineRule="auto"/>
        <w:contextualSpacing/>
        <w:jc w:val="left"/>
        <w:rPr>
          <w:rFonts w:eastAsia="Calibri" w:cs="Times New Roman"/>
          <w:noProof/>
          <w:sz w:val="16"/>
          <w:szCs w:val="16"/>
        </w:rPr>
      </w:pPr>
      <w:r w:rsidRPr="3982CBDC">
        <w:rPr>
          <w:rFonts w:eastAsia="Calibri" w:cs="Times New Roman"/>
          <w:noProof/>
          <w:sz w:val="16"/>
          <w:szCs w:val="16"/>
        </w:rPr>
        <w:t>Cruise ships</w:t>
      </w:r>
    </w:p>
    <w:p w14:paraId="1C74A0CD" w14:textId="77777777" w:rsidR="008E12F8" w:rsidRPr="003A09E2" w:rsidRDefault="3982CBDC" w:rsidP="00AD5F1B">
      <w:pPr>
        <w:numPr>
          <w:ilvl w:val="2"/>
          <w:numId w:val="35"/>
        </w:numPr>
        <w:spacing w:before="160" w:after="160" w:line="288" w:lineRule="auto"/>
        <w:contextualSpacing/>
        <w:jc w:val="left"/>
        <w:rPr>
          <w:rFonts w:eastAsia="Calibri" w:cs="Times New Roman"/>
          <w:noProof/>
          <w:sz w:val="16"/>
          <w:szCs w:val="16"/>
        </w:rPr>
      </w:pPr>
      <w:r w:rsidRPr="3982CBDC">
        <w:rPr>
          <w:rFonts w:eastAsia="Calibri" w:cs="Times New Roman"/>
          <w:noProof/>
          <w:sz w:val="16"/>
          <w:szCs w:val="16"/>
        </w:rPr>
        <w:t>Passenger ships</w:t>
      </w:r>
    </w:p>
    <w:p w14:paraId="41499E88" w14:textId="77777777" w:rsidR="008E12F8" w:rsidRPr="003A09E2" w:rsidRDefault="3982CBDC" w:rsidP="00AD5F1B">
      <w:pPr>
        <w:numPr>
          <w:ilvl w:val="2"/>
          <w:numId w:val="35"/>
        </w:numPr>
        <w:spacing w:before="160" w:after="160" w:line="288" w:lineRule="auto"/>
        <w:contextualSpacing/>
        <w:jc w:val="left"/>
        <w:rPr>
          <w:rFonts w:eastAsia="Calibri" w:cs="Times New Roman"/>
          <w:noProof/>
          <w:sz w:val="16"/>
          <w:szCs w:val="16"/>
        </w:rPr>
      </w:pPr>
      <w:r w:rsidRPr="3982CBDC">
        <w:rPr>
          <w:rFonts w:eastAsia="Calibri" w:cs="Times New Roman"/>
          <w:noProof/>
          <w:sz w:val="16"/>
          <w:szCs w:val="16"/>
        </w:rPr>
        <w:t>Container ships</w:t>
      </w:r>
    </w:p>
    <w:p w14:paraId="40539AE0" w14:textId="77777777" w:rsidR="008E12F8" w:rsidRPr="003A09E2" w:rsidRDefault="3982CBDC" w:rsidP="00AD5F1B">
      <w:pPr>
        <w:numPr>
          <w:ilvl w:val="2"/>
          <w:numId w:val="35"/>
        </w:numPr>
        <w:spacing w:before="160" w:after="160" w:line="288" w:lineRule="auto"/>
        <w:contextualSpacing/>
        <w:jc w:val="left"/>
        <w:rPr>
          <w:rFonts w:eastAsia="Calibri" w:cs="Times New Roman"/>
          <w:noProof/>
          <w:sz w:val="16"/>
          <w:szCs w:val="16"/>
        </w:rPr>
      </w:pPr>
      <w:r w:rsidRPr="3982CBDC">
        <w:rPr>
          <w:rFonts w:eastAsia="Calibri" w:cs="Times New Roman"/>
          <w:noProof/>
          <w:sz w:val="16"/>
          <w:szCs w:val="16"/>
        </w:rPr>
        <w:t>Cargo ships</w:t>
      </w:r>
    </w:p>
    <w:p w14:paraId="62696A8D" w14:textId="77777777" w:rsidR="008E12F8" w:rsidRPr="003A09E2" w:rsidRDefault="3982CBDC" w:rsidP="00AD5F1B">
      <w:pPr>
        <w:numPr>
          <w:ilvl w:val="1"/>
          <w:numId w:val="35"/>
        </w:numPr>
        <w:spacing w:before="160" w:after="160" w:line="288" w:lineRule="auto"/>
        <w:contextualSpacing/>
        <w:jc w:val="left"/>
        <w:rPr>
          <w:rFonts w:eastAsia="Calibri" w:cs="Times New Roman"/>
          <w:noProof/>
          <w:sz w:val="16"/>
          <w:szCs w:val="16"/>
        </w:rPr>
      </w:pPr>
      <w:r w:rsidRPr="3982CBDC">
        <w:rPr>
          <w:rFonts w:eastAsia="Calibri" w:cs="Times New Roman"/>
          <w:noProof/>
          <w:sz w:val="16"/>
          <w:szCs w:val="16"/>
        </w:rPr>
        <w:t>Rail</w:t>
      </w:r>
    </w:p>
    <w:p w14:paraId="012981A3" w14:textId="77777777" w:rsidR="008E12F8" w:rsidRPr="003A09E2" w:rsidRDefault="3982CBDC" w:rsidP="00AD5F1B">
      <w:pPr>
        <w:numPr>
          <w:ilvl w:val="2"/>
          <w:numId w:val="35"/>
        </w:numPr>
        <w:spacing w:before="160" w:after="160" w:line="288" w:lineRule="auto"/>
        <w:contextualSpacing/>
        <w:jc w:val="left"/>
        <w:rPr>
          <w:rFonts w:eastAsia="Calibri" w:cs="Times New Roman"/>
          <w:noProof/>
          <w:sz w:val="16"/>
          <w:szCs w:val="16"/>
        </w:rPr>
      </w:pPr>
      <w:r w:rsidRPr="3982CBDC">
        <w:rPr>
          <w:rFonts w:eastAsia="Calibri" w:cs="Times New Roman"/>
          <w:noProof/>
          <w:sz w:val="16"/>
          <w:szCs w:val="16"/>
        </w:rPr>
        <w:t>Trams</w:t>
      </w:r>
    </w:p>
    <w:p w14:paraId="305EF899" w14:textId="77777777" w:rsidR="008E12F8" w:rsidRPr="003A09E2" w:rsidRDefault="3982CBDC" w:rsidP="00AD5F1B">
      <w:pPr>
        <w:numPr>
          <w:ilvl w:val="2"/>
          <w:numId w:val="35"/>
        </w:numPr>
        <w:spacing w:before="160" w:after="160" w:line="288" w:lineRule="auto"/>
        <w:contextualSpacing/>
        <w:jc w:val="left"/>
        <w:rPr>
          <w:rFonts w:eastAsia="Calibri" w:cs="Times New Roman"/>
          <w:noProof/>
          <w:sz w:val="16"/>
          <w:szCs w:val="16"/>
        </w:rPr>
      </w:pPr>
      <w:r w:rsidRPr="3982CBDC">
        <w:rPr>
          <w:rFonts w:eastAsia="Calibri" w:cs="Times New Roman"/>
          <w:noProof/>
          <w:sz w:val="16"/>
          <w:szCs w:val="16"/>
        </w:rPr>
        <w:t>Metros</w:t>
      </w:r>
    </w:p>
    <w:p w14:paraId="4673C9C5" w14:textId="77777777" w:rsidR="008E12F8" w:rsidRPr="003A09E2" w:rsidRDefault="3982CBDC" w:rsidP="00AD5F1B">
      <w:pPr>
        <w:numPr>
          <w:ilvl w:val="2"/>
          <w:numId w:val="35"/>
        </w:numPr>
        <w:spacing w:before="160" w:after="160" w:line="288" w:lineRule="auto"/>
        <w:contextualSpacing/>
        <w:jc w:val="left"/>
        <w:rPr>
          <w:rFonts w:eastAsia="Calibri" w:cs="Times New Roman"/>
          <w:noProof/>
          <w:sz w:val="16"/>
          <w:szCs w:val="16"/>
        </w:rPr>
      </w:pPr>
      <w:r w:rsidRPr="3982CBDC">
        <w:rPr>
          <w:rFonts w:eastAsia="Calibri" w:cs="Times New Roman"/>
          <w:noProof/>
          <w:sz w:val="16"/>
          <w:szCs w:val="16"/>
        </w:rPr>
        <w:t>Trains</w:t>
      </w:r>
    </w:p>
    <w:p w14:paraId="631054C8" w14:textId="77777777" w:rsidR="008E12F8" w:rsidRPr="00A41B24" w:rsidRDefault="008E12F8" w:rsidP="008E12F8">
      <w:pPr>
        <w:spacing w:before="160" w:after="0"/>
        <w:rPr>
          <w:rFonts w:eastAsia="Calibri" w:cs="Times New Roman"/>
          <w:noProof/>
          <w:szCs w:val="24"/>
          <w:lang w:eastAsia="x-none"/>
        </w:rPr>
      </w:pPr>
    </w:p>
    <w:p w14:paraId="04916675" w14:textId="77777777" w:rsidR="008E12F8" w:rsidRPr="009C415A" w:rsidRDefault="00233E14" w:rsidP="009C415A">
      <w:pPr>
        <w:spacing w:before="160" w:after="0"/>
        <w:rPr>
          <w:rFonts w:eastAsia="Calibri" w:cs="Times New Roman"/>
          <w:noProof/>
          <w:szCs w:val="24"/>
        </w:rPr>
      </w:pPr>
      <w:r w:rsidRPr="009C415A">
        <w:rPr>
          <w:rFonts w:eastAsia="Calibri" w:cs="Times New Roman"/>
          <w:noProof/>
          <w:szCs w:val="24"/>
          <w:lang w:eastAsia="x-none"/>
        </w:rPr>
        <w:t>In the current model</w:t>
      </w:r>
      <w:r w:rsidR="008E12F8" w:rsidRPr="009C415A">
        <w:rPr>
          <w:rFonts w:eastAsia="Calibri" w:cs="Times New Roman"/>
          <w:noProof/>
          <w:szCs w:val="24"/>
          <w:lang w:eastAsia="x-none"/>
        </w:rPr>
        <w:t>, the heat pumps sector was extended to cover medium and large equipment. All sales data for heat pumps were gathered from data provided by the European Heat Pumps Association (EHPA</w:t>
      </w:r>
      <w:r w:rsidR="008E12F8" w:rsidRPr="009C415A">
        <w:rPr>
          <w:rFonts w:eastAsia="Calibri" w:cs="Times New Roman"/>
          <w:noProof/>
          <w:szCs w:val="24"/>
          <w:vertAlign w:val="superscript"/>
          <w:lang w:val="de-DE"/>
        </w:rPr>
        <w:footnoteReference w:id="133"/>
      </w:r>
      <w:r w:rsidR="008E12F8" w:rsidRPr="009C415A">
        <w:rPr>
          <w:rFonts w:eastAsia="Calibri" w:cs="Times New Roman"/>
          <w:noProof/>
          <w:szCs w:val="24"/>
          <w:lang w:eastAsia="x-none"/>
        </w:rPr>
        <w:t>) and the German Bundesverband Wärmepumpe (bwp</w:t>
      </w:r>
      <w:r w:rsidR="008E12F8" w:rsidRPr="009C415A">
        <w:rPr>
          <w:rFonts w:eastAsia="Calibri" w:cs="Times New Roman"/>
          <w:noProof/>
          <w:szCs w:val="24"/>
          <w:vertAlign w:val="superscript"/>
          <w:lang w:val="de-DE"/>
        </w:rPr>
        <w:footnoteReference w:id="134"/>
      </w:r>
      <w:r w:rsidR="008E12F8" w:rsidRPr="009C415A">
        <w:rPr>
          <w:rFonts w:eastAsia="Calibri" w:cs="Times New Roman"/>
          <w:noProof/>
          <w:szCs w:val="24"/>
          <w:lang w:eastAsia="x-none"/>
        </w:rPr>
        <w:t>). For small and medium heat pumps, the sales data was identical, since data grouped by charge size was not available. A share of 95 % of sold units for small heat pumps and 5 % for medium heat pumps was assumed. For all heat pumps, an annual increase in sales of 5 % was assumed from 2020 to 2050.</w:t>
      </w:r>
    </w:p>
    <w:p w14:paraId="59145C43" w14:textId="77777777" w:rsidR="008E12F8" w:rsidRPr="009C415A" w:rsidRDefault="008E12F8" w:rsidP="009C415A">
      <w:pPr>
        <w:spacing w:before="160" w:after="120"/>
        <w:rPr>
          <w:rFonts w:eastAsia="Calibri" w:cs="Times New Roman"/>
          <w:noProof/>
          <w:szCs w:val="24"/>
        </w:rPr>
      </w:pPr>
      <w:r w:rsidRPr="009C415A">
        <w:rPr>
          <w:rFonts w:eastAsia="Calibri" w:cs="Times New Roman"/>
          <w:noProof/>
          <w:szCs w:val="24"/>
          <w:lang w:eastAsia="x-none"/>
        </w:rPr>
        <w:t>For electrical equipment (including switchgear), the assumed saturation of the growth in the market in Schwarz et al. (2011) for Western and Eastern European countries in 2015 and 2020, respectively, was replaced by an assumed growth rate of 2 % per year until 2050 for all EU countries based on ZVEI (2020)</w:t>
      </w:r>
      <w:r w:rsidRPr="009C415A">
        <w:rPr>
          <w:rFonts w:eastAsia="Calibri" w:cs="Times New Roman"/>
          <w:noProof/>
          <w:szCs w:val="24"/>
          <w:vertAlign w:val="superscript"/>
          <w:lang w:val="de-DE"/>
        </w:rPr>
        <w:footnoteReference w:id="135"/>
      </w:r>
      <w:r w:rsidRPr="009C415A">
        <w:rPr>
          <w:rFonts w:eastAsia="Calibri" w:cs="Times New Roman"/>
          <w:noProof/>
          <w:szCs w:val="24"/>
          <w:lang w:eastAsia="x-none"/>
        </w:rPr>
        <w:t xml:space="preserve"> and expert opinion.</w:t>
      </w:r>
    </w:p>
    <w:p w14:paraId="186B4405" w14:textId="77777777" w:rsidR="00BD68CB" w:rsidRPr="0085241A" w:rsidRDefault="3982CBDC" w:rsidP="009C415A">
      <w:pPr>
        <w:spacing w:after="120"/>
        <w:rPr>
          <w:noProof/>
        </w:rPr>
      </w:pPr>
      <w:r w:rsidRPr="009C415A">
        <w:rPr>
          <w:rFonts w:eastAsia="Calibri" w:cs="Times New Roman"/>
          <w:noProof/>
          <w:szCs w:val="24"/>
        </w:rPr>
        <w:t xml:space="preserve">The latest model version features </w:t>
      </w:r>
      <w:r w:rsidR="00BD68CB" w:rsidRPr="0085241A">
        <w:rPr>
          <w:noProof/>
        </w:rPr>
        <w:t>AnaFgas calculates demand and emissions individually for 33 different F-gases and 12 different blends, including HFCs, H(C)FOs, PFCs and SF</w:t>
      </w:r>
      <w:r w:rsidR="00BD68CB" w:rsidRPr="00F6079D">
        <w:rPr>
          <w:noProof/>
          <w:vertAlign w:val="subscript"/>
        </w:rPr>
        <w:t>6</w:t>
      </w:r>
      <w:r w:rsidR="00BD68CB" w:rsidRPr="0085241A">
        <w:rPr>
          <w:noProof/>
        </w:rPr>
        <w:t xml:space="preserve">, for </w:t>
      </w:r>
      <w:r w:rsidR="00BD68CB" w:rsidRPr="009C415A">
        <w:rPr>
          <w:rFonts w:eastAsia="Calibri" w:cs="Times New Roman"/>
          <w:noProof/>
          <w:szCs w:val="24"/>
        </w:rPr>
        <w:t>the period 2010 to 2050 based on market data and estimates of the quantity of equipment or products sold each year containing these substances, and the quantity of substances required in the EU to manufacture and/or maintain equipment and products over time.</w:t>
      </w:r>
    </w:p>
    <w:p w14:paraId="2ED3D54F" w14:textId="7B8A5686" w:rsidR="008E12F8" w:rsidRPr="009C415A" w:rsidRDefault="3982CBDC" w:rsidP="009C415A">
      <w:pPr>
        <w:spacing w:after="120"/>
        <w:rPr>
          <w:rFonts w:eastAsia="Calibri" w:cs="Times New Roman"/>
          <w:noProof/>
          <w:szCs w:val="24"/>
        </w:rPr>
      </w:pPr>
      <w:r w:rsidRPr="009C415A">
        <w:rPr>
          <w:rFonts w:eastAsia="Calibri" w:cs="Times New Roman"/>
          <w:noProof/>
          <w:szCs w:val="24"/>
        </w:rPr>
        <w:t>Projections by EU Member States and IPCC/TEAP SROC Report 8 and the recent TEAP reports are included in the growth assumptions for the model scenarios until 2050. For the projections of activity data including charges and F-gas split, and emission factors until 2050, AnaFgas generally distinguishes between three different time periods:</w:t>
      </w:r>
    </w:p>
    <w:p w14:paraId="0FAB118B" w14:textId="77777777" w:rsidR="008E12F8" w:rsidRPr="009C415A" w:rsidRDefault="3982CBDC" w:rsidP="00AD5F1B">
      <w:pPr>
        <w:numPr>
          <w:ilvl w:val="0"/>
          <w:numId w:val="37"/>
        </w:numPr>
        <w:spacing w:before="160" w:after="160"/>
        <w:contextualSpacing/>
        <w:rPr>
          <w:rFonts w:eastAsia="Calibri" w:cs="Times New Roman"/>
          <w:noProof/>
          <w:szCs w:val="24"/>
        </w:rPr>
      </w:pPr>
      <w:r w:rsidRPr="009C415A">
        <w:rPr>
          <w:rFonts w:eastAsia="Calibri" w:cs="Times New Roman"/>
          <w:noProof/>
          <w:szCs w:val="24"/>
        </w:rPr>
        <w:t>Near past (5-10 years) is calculated by adjusting the stock model using data reported under Article 19 of the F-gas Regulation (reporting on supply of F-gases) and the National Inventory Reports (NIRs) submitted by the EU under the United Nations Framework Convention on Climate Change (UNFCCC, reporting on emissions and partially on first fill quantities). It must be noted, however, that the reported data is not equivalent to the modelled metrics. Under the F-gas Regulation, supply of F-gases is reported, which does not directly translate to demand. Further, the NIRs only contain data based on estimates that are not frequently changed to reflect market developments. Thus, deviations between the reported and modelled data are to be expected.</w:t>
      </w:r>
    </w:p>
    <w:p w14:paraId="30CCACCE" w14:textId="77777777" w:rsidR="008E12F8" w:rsidRPr="009C415A" w:rsidRDefault="3982CBDC" w:rsidP="00AD5F1B">
      <w:pPr>
        <w:numPr>
          <w:ilvl w:val="0"/>
          <w:numId w:val="37"/>
        </w:numPr>
        <w:spacing w:before="160" w:after="160"/>
        <w:contextualSpacing/>
        <w:rPr>
          <w:rFonts w:eastAsia="Calibri" w:cs="Times New Roman"/>
          <w:noProof/>
          <w:szCs w:val="24"/>
        </w:rPr>
      </w:pPr>
      <w:r w:rsidRPr="009C415A">
        <w:rPr>
          <w:rFonts w:eastAsia="Calibri" w:cs="Times New Roman"/>
          <w:noProof/>
          <w:szCs w:val="24"/>
        </w:rPr>
        <w:t>Near future (5-10 years) is modelled on known policies and measures, technological changes, substitution patterns and expected changes in use patterns.</w:t>
      </w:r>
    </w:p>
    <w:p w14:paraId="370E343A" w14:textId="77777777" w:rsidR="008E12F8" w:rsidRPr="009C415A" w:rsidRDefault="3982CBDC" w:rsidP="00AD5F1B">
      <w:pPr>
        <w:numPr>
          <w:ilvl w:val="0"/>
          <w:numId w:val="37"/>
        </w:numPr>
        <w:spacing w:before="120" w:after="120"/>
        <w:ind w:left="714" w:hanging="357"/>
        <w:rPr>
          <w:rFonts w:eastAsia="Calibri" w:cs="Times New Roman"/>
          <w:noProof/>
          <w:szCs w:val="24"/>
        </w:rPr>
      </w:pPr>
      <w:r w:rsidRPr="009C415A">
        <w:rPr>
          <w:rFonts w:eastAsia="Calibri" w:cs="Times New Roman"/>
          <w:noProof/>
          <w:szCs w:val="24"/>
        </w:rPr>
        <w:t>Distant future (until 2050) is based on a continuation of trends observed, external projections of driving forces such as GDP and population and follows a business-as-usual trend as the model does not consider changes in technologies which are likely to happen within such a long timeframe.</w:t>
      </w:r>
    </w:p>
    <w:p w14:paraId="36F6634C" w14:textId="5D20F49D" w:rsidR="008E12F8" w:rsidRPr="009C415A" w:rsidRDefault="008E12F8" w:rsidP="009C415A">
      <w:pPr>
        <w:spacing w:before="160" w:after="0"/>
        <w:rPr>
          <w:rFonts w:eastAsia="Calibri" w:cs="Times New Roman"/>
          <w:noProof/>
          <w:szCs w:val="24"/>
        </w:rPr>
      </w:pPr>
      <w:r w:rsidRPr="009C415A">
        <w:rPr>
          <w:rFonts w:eastAsia="Calibri" w:cs="Times New Roman"/>
          <w:noProof/>
          <w:szCs w:val="24"/>
          <w:lang w:eastAsia="x-none"/>
        </w:rPr>
        <w:t xml:space="preserve">Underlying assumptions for each sector in the model AnaFgas are outlined in detail in the model description in Annex III to the preparatory study (Schwarz et al. 2011). </w:t>
      </w:r>
      <w:r w:rsidR="0010060A" w:rsidRPr="0010060A">
        <w:rPr>
          <w:rFonts w:eastAsia="Calibri" w:cs="Times New Roman"/>
          <w:noProof/>
          <w:szCs w:val="24"/>
          <w:lang w:eastAsia="x-none"/>
        </w:rPr>
        <w:t xml:space="preserve">The model is limited by the fact that (i) it assumes yearly re-fillings of emitted quantities not necessarily reflecting common practice, which may cause deviations from actual demand in the short term (i.e. at annual level) while accurately predicting </w:t>
      </w:r>
      <w:r w:rsidR="0010060A">
        <w:rPr>
          <w:rFonts w:eastAsia="Calibri" w:cs="Times New Roman"/>
          <w:noProof/>
          <w:szCs w:val="24"/>
          <w:lang w:eastAsia="x-none"/>
        </w:rPr>
        <w:t xml:space="preserve">medium and </w:t>
      </w:r>
      <w:r w:rsidR="0010060A" w:rsidRPr="0010060A">
        <w:rPr>
          <w:rFonts w:eastAsia="Calibri" w:cs="Times New Roman"/>
          <w:noProof/>
          <w:szCs w:val="24"/>
          <w:lang w:eastAsia="x-none"/>
        </w:rPr>
        <w:t xml:space="preserve">longer term trends, (ii) each modelled sector is represented by one typical installation size to represent the whole sector, and (iii) assumptions on parameters affecting investment and operating costs rely on expert judgement and industry input. </w:t>
      </w:r>
      <w:r w:rsidRPr="009C415A">
        <w:rPr>
          <w:rFonts w:eastAsia="Calibri" w:cs="Times New Roman"/>
          <w:noProof/>
          <w:szCs w:val="24"/>
          <w:lang w:eastAsia="x-none"/>
        </w:rPr>
        <w:t xml:space="preserve">Specific information on each sector for the EU is summarized in the </w:t>
      </w:r>
      <w:r w:rsidR="00C63F49" w:rsidRPr="009C415A">
        <w:rPr>
          <w:rFonts w:eastAsia="Calibri" w:cs="Times New Roman"/>
          <w:noProof/>
          <w:szCs w:val="24"/>
          <w:lang w:eastAsia="x-none"/>
        </w:rPr>
        <w:t>Annex to the support study</w:t>
      </w:r>
      <w:r w:rsidRPr="009C415A">
        <w:rPr>
          <w:rFonts w:eastAsia="Calibri" w:cs="Times New Roman"/>
          <w:noProof/>
          <w:szCs w:val="24"/>
          <w:lang w:eastAsia="x-none"/>
        </w:rPr>
        <w:t>.</w:t>
      </w:r>
      <w:r w:rsidRPr="009C415A">
        <w:rPr>
          <w:rFonts w:eastAsia="Calibri" w:cs="Times New Roman"/>
          <w:noProof/>
          <w:szCs w:val="24"/>
          <w:vertAlign w:val="superscript"/>
          <w:lang w:val="de-DE"/>
        </w:rPr>
        <w:footnoteReference w:id="136"/>
      </w:r>
      <w:r w:rsidRPr="009C415A">
        <w:rPr>
          <w:rFonts w:eastAsia="Calibri" w:cs="Times New Roman"/>
          <w:noProof/>
          <w:szCs w:val="24"/>
          <w:lang w:eastAsia="x-none"/>
        </w:rPr>
        <w:t xml:space="preserve"> These sector sheets cover economic assessments of standard and F-gas substitution technologies and allow the calculation of abatement cost for substitution technologies and thus the generation of cost curves and cost-driven abatement scenarios, for example in response to economic interventions like the EU HFC phase-down.</w:t>
      </w:r>
      <w:r w:rsidR="005D3F81" w:rsidRPr="009C415A">
        <w:rPr>
          <w:rFonts w:eastAsia="Calibri" w:cs="Times New Roman"/>
          <w:noProof/>
          <w:szCs w:val="24"/>
          <w:lang w:eastAsia="x-none"/>
        </w:rPr>
        <w:t xml:space="preserve"> These data were updated as relevant in the current version of the model.</w:t>
      </w:r>
    </w:p>
    <w:p w14:paraId="756889C2" w14:textId="0F25DDEA" w:rsidR="008E12F8" w:rsidRPr="009C415A" w:rsidRDefault="005D3F81" w:rsidP="009C415A">
      <w:pPr>
        <w:spacing w:before="160" w:after="0"/>
        <w:rPr>
          <w:rFonts w:eastAsia="Calibri" w:cs="Times New Roman"/>
          <w:noProof/>
          <w:szCs w:val="24"/>
        </w:rPr>
      </w:pPr>
      <w:r w:rsidRPr="009C415A">
        <w:rPr>
          <w:rFonts w:cs="Times New Roman"/>
          <w:noProof/>
          <w:szCs w:val="24"/>
        </w:rPr>
        <w:fldChar w:fldCharType="begin"/>
      </w:r>
      <w:r w:rsidRPr="009C415A">
        <w:rPr>
          <w:rFonts w:eastAsia="Calibri" w:cs="Times New Roman"/>
          <w:noProof/>
          <w:szCs w:val="24"/>
          <w:lang w:eastAsia="x-none"/>
        </w:rPr>
        <w:instrText xml:space="preserve"> REF _Ref83019457 \h  \* MERGEFORMAT </w:instrText>
      </w:r>
      <w:r w:rsidRPr="009C415A">
        <w:rPr>
          <w:rFonts w:cs="Times New Roman"/>
          <w:noProof/>
          <w:szCs w:val="24"/>
        </w:rPr>
      </w:r>
      <w:r w:rsidRPr="009C415A">
        <w:rPr>
          <w:rFonts w:eastAsia="Calibri" w:cs="Times New Roman"/>
          <w:noProof/>
          <w:szCs w:val="24"/>
          <w:lang w:eastAsia="x-none"/>
        </w:rPr>
        <w:fldChar w:fldCharType="separate"/>
      </w:r>
      <w:r w:rsidR="00C66A21" w:rsidRPr="00C66A21">
        <w:rPr>
          <w:noProof/>
        </w:rPr>
        <w:t>Figure 9</w:t>
      </w:r>
      <w:r w:rsidRPr="009C415A">
        <w:rPr>
          <w:rFonts w:cs="Times New Roman"/>
          <w:noProof/>
          <w:szCs w:val="24"/>
        </w:rPr>
        <w:fldChar w:fldCharType="end"/>
      </w:r>
      <w:r w:rsidRPr="009C415A">
        <w:rPr>
          <w:rFonts w:eastAsia="Calibri" w:cs="Times New Roman"/>
          <w:noProof/>
          <w:szCs w:val="24"/>
          <w:lang w:eastAsia="x-none"/>
        </w:rPr>
        <w:t xml:space="preserve"> gives a </w:t>
      </w:r>
      <w:r w:rsidR="008E12F8" w:rsidRPr="009C415A">
        <w:rPr>
          <w:rFonts w:eastAsia="Calibri" w:cs="Times New Roman"/>
          <w:noProof/>
          <w:szCs w:val="24"/>
          <w:lang w:eastAsia="x-none"/>
        </w:rPr>
        <w:t xml:space="preserve">simplified overview of the general logic behind AnaFgas. In the model, each sector has unique adaptations that add to the logic outlined below. The result, however, is always the calculation of the demand and emissions in metric tonnes for each gas in each sector/subsector for each year. Based on the GWP of the different gases, the demand and emissions can then be easily converted into </w:t>
      </w:r>
      <w:r w:rsidR="00C63F49" w:rsidRPr="009C415A">
        <w:rPr>
          <w:rFonts w:eastAsia="Calibri" w:cs="Times New Roman"/>
          <w:noProof/>
          <w:szCs w:val="24"/>
          <w:lang w:eastAsia="x-none"/>
        </w:rPr>
        <w:t>t</w:t>
      </w:r>
      <w:r w:rsidR="008E12F8" w:rsidRPr="009C415A">
        <w:rPr>
          <w:rFonts w:eastAsia="Calibri" w:cs="Times New Roman"/>
          <w:noProof/>
          <w:szCs w:val="24"/>
          <w:lang w:eastAsia="x-none"/>
        </w:rPr>
        <w:t>CO</w:t>
      </w:r>
      <w:r w:rsidR="008E12F8" w:rsidRPr="009C415A">
        <w:rPr>
          <w:rFonts w:eastAsia="Calibri" w:cs="Times New Roman"/>
          <w:noProof/>
          <w:szCs w:val="24"/>
          <w:vertAlign w:val="subscript"/>
          <w:lang w:eastAsia="x-none"/>
        </w:rPr>
        <w:t>2</w:t>
      </w:r>
      <w:r w:rsidR="00C63F49" w:rsidRPr="009C415A">
        <w:rPr>
          <w:rFonts w:eastAsia="Calibri" w:cs="Times New Roman"/>
          <w:noProof/>
          <w:szCs w:val="24"/>
          <w:lang w:eastAsia="x-none"/>
        </w:rPr>
        <w:t>e</w:t>
      </w:r>
      <w:r w:rsidR="008E12F8" w:rsidRPr="009C415A">
        <w:rPr>
          <w:rFonts w:eastAsia="Calibri" w:cs="Times New Roman"/>
          <w:noProof/>
          <w:szCs w:val="24"/>
          <w:lang w:eastAsia="x-none"/>
        </w:rPr>
        <w:t>.</w:t>
      </w:r>
      <w:r w:rsidR="00C63F49" w:rsidRPr="009C415A">
        <w:rPr>
          <w:rFonts w:eastAsia="Calibri" w:cs="Times New Roman"/>
          <w:noProof/>
          <w:szCs w:val="24"/>
        </w:rPr>
        <w:t xml:space="preserve"> </w:t>
      </w:r>
      <w:r w:rsidR="3982CBDC" w:rsidRPr="009C415A">
        <w:rPr>
          <w:rFonts w:eastAsia="Calibri" w:cs="Times New Roman"/>
          <w:noProof/>
          <w:szCs w:val="24"/>
        </w:rPr>
        <w:t>In its latest version, 33 different ga</w:t>
      </w:r>
      <w:r w:rsidR="00C63F49" w:rsidRPr="009C415A">
        <w:rPr>
          <w:rFonts w:eastAsia="Calibri" w:cs="Times New Roman"/>
          <w:noProof/>
          <w:szCs w:val="24"/>
        </w:rPr>
        <w:t>ses and 12 blends are covered by</w:t>
      </w:r>
      <w:r w:rsidR="3982CBDC" w:rsidRPr="009C415A">
        <w:rPr>
          <w:rFonts w:eastAsia="Calibri" w:cs="Times New Roman"/>
          <w:noProof/>
          <w:szCs w:val="24"/>
        </w:rPr>
        <w:t xml:space="preserve"> the model. Those include the most relevant HFCs, PFCs and SF</w:t>
      </w:r>
      <w:r w:rsidR="3982CBDC" w:rsidRPr="009C415A">
        <w:rPr>
          <w:rFonts w:eastAsia="Calibri" w:cs="Times New Roman"/>
          <w:noProof/>
          <w:szCs w:val="24"/>
          <w:vertAlign w:val="subscript"/>
        </w:rPr>
        <w:t>6</w:t>
      </w:r>
      <w:r w:rsidR="3982CBDC" w:rsidRPr="009C415A">
        <w:rPr>
          <w:rFonts w:eastAsia="Calibri" w:cs="Times New Roman"/>
          <w:noProof/>
          <w:szCs w:val="24"/>
        </w:rPr>
        <w:t xml:space="preserve"> and blends of HFCs. </w:t>
      </w:r>
    </w:p>
    <w:p w14:paraId="4C6233CD" w14:textId="77777777" w:rsidR="008E12F8" w:rsidRPr="008E12F8" w:rsidRDefault="008E12F8" w:rsidP="008E12F8">
      <w:pPr>
        <w:keepNext/>
        <w:keepLines/>
        <w:spacing w:before="60" w:after="0" w:line="288" w:lineRule="auto"/>
        <w:jc w:val="center"/>
        <w:rPr>
          <w:rFonts w:ascii="Arial" w:eastAsia="Calibri" w:hAnsi="Arial" w:cs="Arial"/>
          <w:noProof/>
          <w:sz w:val="20"/>
        </w:rPr>
      </w:pPr>
      <w:r>
        <w:rPr>
          <w:noProof/>
          <w:lang w:eastAsia="en-GB"/>
        </w:rPr>
        <w:drawing>
          <wp:inline distT="0" distB="0" distL="0" distR="0" wp14:anchorId="71135319" wp14:editId="57F546EC">
            <wp:extent cx="3800475" cy="3975735"/>
            <wp:effectExtent l="0" t="0" r="9525" b="5715"/>
            <wp:docPr id="18594983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800475" cy="3975735"/>
                    </a:xfrm>
                    <a:prstGeom prst="rect">
                      <a:avLst/>
                    </a:prstGeom>
                  </pic:spPr>
                </pic:pic>
              </a:graphicData>
            </a:graphic>
          </wp:inline>
        </w:drawing>
      </w:r>
    </w:p>
    <w:p w14:paraId="392645FC" w14:textId="52A4BAC5" w:rsidR="004655EE" w:rsidRPr="004655EE" w:rsidRDefault="004655EE" w:rsidP="0085241A">
      <w:pPr>
        <w:keepNext/>
        <w:spacing w:before="240" w:after="120"/>
        <w:rPr>
          <w:rFonts w:asciiTheme="minorHAnsi" w:eastAsia="Calibri" w:hAnsiTheme="minorHAnsi" w:cstheme="minorHAnsi"/>
          <w:b/>
          <w:bCs/>
          <w:noProof/>
          <w:color w:val="0070C0"/>
          <w:sz w:val="20"/>
          <w:szCs w:val="20"/>
        </w:rPr>
      </w:pPr>
      <w:bookmarkStart w:id="498" w:name="_Ref31793436"/>
      <w:bookmarkStart w:id="499" w:name="_Ref66121569"/>
      <w:bookmarkStart w:id="500" w:name="_Ref83019457"/>
      <w:bookmarkStart w:id="501" w:name="_Toc81029910"/>
      <w:bookmarkStart w:id="502" w:name="_Toc74938070"/>
      <w:bookmarkStart w:id="503" w:name="_Toc74593858"/>
      <w:bookmarkStart w:id="504" w:name="_Toc64443758"/>
      <w:bookmarkStart w:id="505" w:name="_Toc32257657"/>
      <w:bookmarkStart w:id="506" w:name="_Toc32076236"/>
      <w:r w:rsidRPr="004655EE">
        <w:rPr>
          <w:rFonts w:asciiTheme="minorHAnsi" w:eastAsia="Calibri" w:hAnsiTheme="minorHAnsi" w:cstheme="minorHAnsi"/>
          <w:b/>
          <w:bCs/>
          <w:noProof/>
          <w:color w:val="0070C0"/>
          <w:sz w:val="20"/>
          <w:szCs w:val="20"/>
        </w:rPr>
        <w:t xml:space="preserve">Figure </w:t>
      </w:r>
      <w:bookmarkEnd w:id="498"/>
      <w:bookmarkEnd w:id="499"/>
      <w:r w:rsidRPr="004655EE">
        <w:rPr>
          <w:rFonts w:asciiTheme="minorHAnsi" w:hAnsiTheme="minorHAnsi" w:cstheme="minorHAnsi"/>
          <w:noProof/>
          <w:color w:val="0070C0"/>
          <w:sz w:val="20"/>
          <w:szCs w:val="20"/>
        </w:rPr>
        <w:fldChar w:fldCharType="begin"/>
      </w:r>
      <w:r w:rsidRPr="004655EE">
        <w:rPr>
          <w:rFonts w:asciiTheme="minorHAnsi" w:eastAsia="Calibri" w:hAnsiTheme="minorHAnsi" w:cstheme="minorHAnsi"/>
          <w:b/>
          <w:bCs/>
          <w:noProof/>
          <w:color w:val="0070C0"/>
          <w:sz w:val="20"/>
          <w:szCs w:val="20"/>
        </w:rPr>
        <w:instrText xml:space="preserve"> SEQ Figure \* ARABIC \n </w:instrText>
      </w:r>
      <w:r w:rsidRPr="004655EE">
        <w:rPr>
          <w:rFonts w:asciiTheme="minorHAnsi" w:eastAsia="Calibri" w:hAnsiTheme="minorHAnsi" w:cstheme="minorHAnsi"/>
          <w:b/>
          <w:bCs/>
          <w:noProof/>
          <w:color w:val="0070C0"/>
          <w:sz w:val="20"/>
          <w:szCs w:val="20"/>
        </w:rPr>
        <w:fldChar w:fldCharType="separate"/>
      </w:r>
      <w:r w:rsidR="00C66A21">
        <w:rPr>
          <w:rFonts w:asciiTheme="minorHAnsi" w:eastAsia="Calibri" w:hAnsiTheme="minorHAnsi" w:cstheme="minorHAnsi"/>
          <w:b/>
          <w:bCs/>
          <w:noProof/>
          <w:color w:val="0070C0"/>
          <w:sz w:val="20"/>
          <w:szCs w:val="20"/>
        </w:rPr>
        <w:t>9</w:t>
      </w:r>
      <w:r w:rsidRPr="004655EE">
        <w:rPr>
          <w:rFonts w:asciiTheme="minorHAnsi" w:hAnsiTheme="minorHAnsi" w:cstheme="minorHAnsi"/>
          <w:noProof/>
          <w:color w:val="0070C0"/>
          <w:sz w:val="20"/>
          <w:szCs w:val="20"/>
        </w:rPr>
        <w:fldChar w:fldCharType="end"/>
      </w:r>
      <w:bookmarkEnd w:id="500"/>
      <w:r w:rsidRPr="004655EE">
        <w:rPr>
          <w:rFonts w:asciiTheme="minorHAnsi" w:eastAsia="Calibri" w:hAnsiTheme="minorHAnsi" w:cstheme="minorHAnsi"/>
          <w:b/>
          <w:bCs/>
          <w:noProof/>
          <w:color w:val="0070C0"/>
          <w:sz w:val="20"/>
          <w:szCs w:val="20"/>
        </w:rPr>
        <w:t xml:space="preserve">: </w:t>
      </w:r>
      <w:r w:rsidRPr="004655EE">
        <w:rPr>
          <w:rFonts w:asciiTheme="minorHAnsi" w:eastAsia="Calibri" w:hAnsiTheme="minorHAnsi" w:cstheme="minorHAnsi"/>
          <w:bCs/>
          <w:noProof/>
          <w:color w:val="0070C0"/>
          <w:sz w:val="20"/>
          <w:szCs w:val="20"/>
        </w:rPr>
        <w:t>Simplified overview of the AnaFgas logic to project demand and emissions of F-gases in the EU</w:t>
      </w:r>
      <w:bookmarkEnd w:id="501"/>
      <w:bookmarkEnd w:id="502"/>
      <w:bookmarkEnd w:id="503"/>
      <w:bookmarkEnd w:id="504"/>
      <w:bookmarkEnd w:id="505"/>
      <w:bookmarkEnd w:id="506"/>
    </w:p>
    <w:p w14:paraId="6E6A1C15" w14:textId="77777777" w:rsidR="008E12F8" w:rsidRPr="0085241A" w:rsidRDefault="3982CBDC" w:rsidP="3982CBDC">
      <w:pPr>
        <w:keepNext/>
        <w:keepLines/>
        <w:spacing w:before="60" w:after="0" w:line="288" w:lineRule="auto"/>
        <w:jc w:val="left"/>
        <w:rPr>
          <w:rFonts w:asciiTheme="minorHAnsi" w:hAnsiTheme="minorHAnsi"/>
          <w:i/>
          <w:noProof/>
          <w:sz w:val="20"/>
          <w:lang w:val="fr-BE"/>
        </w:rPr>
      </w:pPr>
      <w:r w:rsidRPr="0085241A">
        <w:rPr>
          <w:rFonts w:asciiTheme="minorHAnsi" w:hAnsiTheme="minorHAnsi"/>
          <w:b/>
          <w:i/>
          <w:noProof/>
          <w:sz w:val="20"/>
          <w:lang w:val="fr-BE"/>
        </w:rPr>
        <w:t>Source:</w:t>
      </w:r>
      <w:r w:rsidRPr="0085241A">
        <w:rPr>
          <w:rFonts w:asciiTheme="minorHAnsi" w:hAnsiTheme="minorHAnsi"/>
          <w:i/>
          <w:noProof/>
          <w:sz w:val="20"/>
          <w:lang w:val="fr-BE"/>
        </w:rPr>
        <w:t xml:space="preserve"> Oeko-Recherche et al., 2021</w:t>
      </w:r>
    </w:p>
    <w:p w14:paraId="77C43EF2" w14:textId="255CBB26" w:rsidR="008E12F8" w:rsidRDefault="008E12F8" w:rsidP="008E12F8">
      <w:pPr>
        <w:spacing w:before="60" w:after="0" w:line="288" w:lineRule="auto"/>
        <w:jc w:val="left"/>
        <w:rPr>
          <w:rFonts w:ascii="Arial" w:eastAsia="Calibri" w:hAnsi="Arial" w:cs="Arial"/>
          <w:noProof/>
          <w:sz w:val="20"/>
          <w:lang w:val="fr-BE"/>
        </w:rPr>
      </w:pPr>
    </w:p>
    <w:p w14:paraId="6D5D65A8" w14:textId="77777777" w:rsidR="00BD68CB" w:rsidRPr="00BD68CB" w:rsidRDefault="00BD68CB" w:rsidP="0085241A">
      <w:pPr>
        <w:spacing w:before="60" w:after="0"/>
        <w:rPr>
          <w:rFonts w:eastAsia="Calibri" w:cs="Times New Roman"/>
          <w:noProof/>
          <w:szCs w:val="24"/>
        </w:rPr>
      </w:pPr>
      <w:r w:rsidRPr="00BD68CB">
        <w:rPr>
          <w:rFonts w:eastAsia="Calibri" w:cs="Times New Roman"/>
          <w:noProof/>
          <w:szCs w:val="24"/>
        </w:rPr>
        <w:t>In the model structure of AnaFgas, it is assumed that emissions from leakage during a year are replaced in the same year, irrespective of the age of the equipment. In reality, it can be assumed that leakage rates increase over the course of the lifetime of equipment. AnaFgas uses the average leakage rate over the entire lifetime of equipment for each year. This can lead to deviations from observed emissions for specific years but should even out when looking at longer time periods.</w:t>
      </w:r>
    </w:p>
    <w:p w14:paraId="4EF1FC45" w14:textId="77777777" w:rsidR="00BD68CB" w:rsidRPr="00BD68CB" w:rsidRDefault="00BD68CB" w:rsidP="0085241A">
      <w:pPr>
        <w:spacing w:before="60" w:after="0"/>
        <w:rPr>
          <w:rFonts w:eastAsia="Calibri" w:cs="Times New Roman"/>
          <w:noProof/>
          <w:szCs w:val="24"/>
        </w:rPr>
      </w:pPr>
      <w:r w:rsidRPr="00BD68CB">
        <w:rPr>
          <w:rFonts w:eastAsia="Calibri" w:cs="Times New Roman"/>
          <w:noProof/>
          <w:szCs w:val="24"/>
        </w:rPr>
        <w:t>The AnaFgas cost module is based on model installations per sector and respective assumptions investment and operating expenditures for available options of used F-gases or F-gas alternatives. Specific cost at model installation level can be recalculated into total sectoral cost in the EU27+UK AnaFgas scope by means of AnaFgas data on equipment stocks.</w:t>
      </w:r>
    </w:p>
    <w:p w14:paraId="3467B38A" w14:textId="77777777" w:rsidR="00BD68CB" w:rsidRPr="009C415A" w:rsidRDefault="00BD68CB" w:rsidP="0085241A">
      <w:pPr>
        <w:spacing w:before="60" w:after="0"/>
        <w:jc w:val="left"/>
        <w:rPr>
          <w:rFonts w:eastAsia="Calibri" w:cs="Times New Roman"/>
          <w:noProof/>
          <w:szCs w:val="24"/>
          <w:u w:val="single"/>
        </w:rPr>
      </w:pPr>
      <w:r w:rsidRPr="009C415A">
        <w:rPr>
          <w:rFonts w:eastAsia="Calibri" w:cs="Times New Roman"/>
          <w:b/>
          <w:noProof/>
          <w:szCs w:val="24"/>
          <w:u w:val="single"/>
        </w:rPr>
        <w:t xml:space="preserve">Input and parametrization </w:t>
      </w:r>
    </w:p>
    <w:p w14:paraId="095F921F" w14:textId="77777777" w:rsidR="00BD68CB" w:rsidRPr="0085241A" w:rsidRDefault="00BD68CB" w:rsidP="0085241A">
      <w:pPr>
        <w:spacing w:before="60" w:after="0"/>
        <w:jc w:val="left"/>
        <w:rPr>
          <w:noProof/>
        </w:rPr>
      </w:pPr>
      <w:r w:rsidRPr="0085241A">
        <w:rPr>
          <w:noProof/>
        </w:rPr>
        <w:t>Key inputs used for the model.</w:t>
      </w:r>
    </w:p>
    <w:p w14:paraId="327572B3" w14:textId="77777777" w:rsidR="00BD68CB" w:rsidRPr="0085241A" w:rsidRDefault="00BD68CB" w:rsidP="0017603A">
      <w:pPr>
        <w:numPr>
          <w:ilvl w:val="0"/>
          <w:numId w:val="88"/>
        </w:numPr>
        <w:spacing w:before="60" w:after="0"/>
        <w:jc w:val="left"/>
        <w:rPr>
          <w:noProof/>
        </w:rPr>
      </w:pPr>
      <w:r w:rsidRPr="0085241A">
        <w:rPr>
          <w:noProof/>
        </w:rPr>
        <w:t>Lifetime emission rates</w:t>
      </w:r>
    </w:p>
    <w:p w14:paraId="5EBE02C9" w14:textId="77777777" w:rsidR="00BD68CB" w:rsidRPr="0085241A" w:rsidRDefault="00BD68CB" w:rsidP="0017603A">
      <w:pPr>
        <w:numPr>
          <w:ilvl w:val="0"/>
          <w:numId w:val="88"/>
        </w:numPr>
        <w:spacing w:before="60" w:after="0"/>
        <w:jc w:val="left"/>
        <w:rPr>
          <w:noProof/>
        </w:rPr>
      </w:pPr>
      <w:r w:rsidRPr="0085241A">
        <w:rPr>
          <w:noProof/>
        </w:rPr>
        <w:t>Disposal emission rates</w:t>
      </w:r>
    </w:p>
    <w:p w14:paraId="3A7DB6FB" w14:textId="77777777" w:rsidR="00BD68CB" w:rsidRPr="0085241A" w:rsidRDefault="00BD68CB" w:rsidP="0017603A">
      <w:pPr>
        <w:numPr>
          <w:ilvl w:val="0"/>
          <w:numId w:val="88"/>
        </w:numPr>
        <w:spacing w:before="60" w:after="0"/>
        <w:jc w:val="left"/>
        <w:rPr>
          <w:noProof/>
        </w:rPr>
      </w:pPr>
      <w:r w:rsidRPr="0085241A">
        <w:rPr>
          <w:noProof/>
        </w:rPr>
        <w:t>Sales of equipment</w:t>
      </w:r>
    </w:p>
    <w:p w14:paraId="03E18C7C" w14:textId="77777777" w:rsidR="00BD68CB" w:rsidRPr="0085241A" w:rsidRDefault="00BD68CB" w:rsidP="0017603A">
      <w:pPr>
        <w:numPr>
          <w:ilvl w:val="0"/>
          <w:numId w:val="88"/>
        </w:numPr>
        <w:spacing w:before="60" w:after="0"/>
        <w:jc w:val="left"/>
        <w:rPr>
          <w:noProof/>
        </w:rPr>
      </w:pPr>
      <w:r w:rsidRPr="0085241A">
        <w:rPr>
          <w:noProof/>
        </w:rPr>
        <w:t>Disposal of equipment</w:t>
      </w:r>
    </w:p>
    <w:p w14:paraId="7ED72797" w14:textId="77777777" w:rsidR="00BD68CB" w:rsidRPr="0085241A" w:rsidRDefault="00BD68CB" w:rsidP="0017603A">
      <w:pPr>
        <w:numPr>
          <w:ilvl w:val="0"/>
          <w:numId w:val="88"/>
        </w:numPr>
        <w:spacing w:before="60" w:after="0"/>
        <w:jc w:val="left"/>
        <w:rPr>
          <w:noProof/>
        </w:rPr>
      </w:pPr>
      <w:r w:rsidRPr="0085241A">
        <w:rPr>
          <w:noProof/>
        </w:rPr>
        <w:t>Market penetration rate of F-gases and blends in new equipment</w:t>
      </w:r>
    </w:p>
    <w:p w14:paraId="1F16D50D" w14:textId="77777777" w:rsidR="00BD68CB" w:rsidRPr="0085241A" w:rsidRDefault="00BD68CB" w:rsidP="0017603A">
      <w:pPr>
        <w:numPr>
          <w:ilvl w:val="0"/>
          <w:numId w:val="88"/>
        </w:numPr>
        <w:spacing w:before="60" w:after="0"/>
        <w:jc w:val="left"/>
        <w:rPr>
          <w:noProof/>
        </w:rPr>
      </w:pPr>
      <w:r w:rsidRPr="0085241A">
        <w:rPr>
          <w:noProof/>
        </w:rPr>
        <w:t>Prices for F-gases and their alternatives</w:t>
      </w:r>
    </w:p>
    <w:p w14:paraId="49F81DAD" w14:textId="77777777" w:rsidR="00BD68CB" w:rsidRPr="0085241A" w:rsidRDefault="00BD68CB" w:rsidP="0017603A">
      <w:pPr>
        <w:numPr>
          <w:ilvl w:val="0"/>
          <w:numId w:val="88"/>
        </w:numPr>
        <w:spacing w:before="60" w:after="0"/>
        <w:jc w:val="left"/>
        <w:rPr>
          <w:noProof/>
        </w:rPr>
      </w:pPr>
      <w:r w:rsidRPr="0085241A">
        <w:rPr>
          <w:noProof/>
        </w:rPr>
        <w:t>Investment cost for model installations</w:t>
      </w:r>
    </w:p>
    <w:p w14:paraId="4E975A67" w14:textId="15E6AE65" w:rsidR="00BD68CB" w:rsidRPr="0085241A" w:rsidRDefault="00BD68CB" w:rsidP="0017603A">
      <w:pPr>
        <w:numPr>
          <w:ilvl w:val="0"/>
          <w:numId w:val="88"/>
        </w:numPr>
        <w:spacing w:before="60" w:after="0"/>
        <w:jc w:val="left"/>
        <w:rPr>
          <w:noProof/>
        </w:rPr>
      </w:pPr>
      <w:r w:rsidRPr="0085241A">
        <w:rPr>
          <w:noProof/>
        </w:rPr>
        <w:t>Operating cost for model installations (energy and servicing)</w:t>
      </w:r>
    </w:p>
    <w:p w14:paraId="4DBD0D97" w14:textId="77777777" w:rsidR="00BD68CB" w:rsidRPr="0085241A" w:rsidRDefault="00BD68CB" w:rsidP="0085241A">
      <w:pPr>
        <w:spacing w:before="60" w:after="0"/>
        <w:ind w:left="720"/>
        <w:jc w:val="left"/>
        <w:rPr>
          <w:noProof/>
        </w:rPr>
      </w:pPr>
    </w:p>
    <w:p w14:paraId="1F73F21E" w14:textId="77777777" w:rsidR="00BD68CB" w:rsidRPr="0085241A" w:rsidRDefault="00BD68CB" w:rsidP="0085241A">
      <w:pPr>
        <w:spacing w:before="60" w:after="0"/>
        <w:jc w:val="left"/>
        <w:rPr>
          <w:noProof/>
          <w:u w:val="single"/>
        </w:rPr>
      </w:pPr>
      <w:r w:rsidRPr="0085241A">
        <w:rPr>
          <w:b/>
          <w:noProof/>
          <w:u w:val="single"/>
        </w:rPr>
        <w:t>Main output</w:t>
      </w:r>
    </w:p>
    <w:p w14:paraId="3E1C346D" w14:textId="77777777" w:rsidR="00BD68CB" w:rsidRPr="0085241A" w:rsidRDefault="00BD68CB" w:rsidP="0085241A">
      <w:pPr>
        <w:spacing w:before="60" w:after="0"/>
        <w:jc w:val="left"/>
        <w:rPr>
          <w:noProof/>
        </w:rPr>
      </w:pPr>
      <w:r w:rsidRPr="0085241A">
        <w:rPr>
          <w:noProof/>
        </w:rPr>
        <w:t>Key outputs produced by the model.</w:t>
      </w:r>
    </w:p>
    <w:p w14:paraId="5B141708" w14:textId="77777777" w:rsidR="00BD68CB" w:rsidRPr="0085241A" w:rsidRDefault="00BD68CB" w:rsidP="0017603A">
      <w:pPr>
        <w:numPr>
          <w:ilvl w:val="0"/>
          <w:numId w:val="88"/>
        </w:numPr>
        <w:spacing w:before="60" w:after="0"/>
        <w:jc w:val="left"/>
        <w:rPr>
          <w:noProof/>
        </w:rPr>
      </w:pPr>
      <w:r w:rsidRPr="0085241A">
        <w:rPr>
          <w:noProof/>
        </w:rPr>
        <w:t>Yearly demand for 33 different F-gases in the EU27/EU27+UK from 2000 to 2050</w:t>
      </w:r>
    </w:p>
    <w:p w14:paraId="2CC47B27" w14:textId="77777777" w:rsidR="00BD68CB" w:rsidRPr="0085241A" w:rsidRDefault="00BD68CB" w:rsidP="0017603A">
      <w:pPr>
        <w:numPr>
          <w:ilvl w:val="0"/>
          <w:numId w:val="88"/>
        </w:numPr>
        <w:spacing w:before="60" w:after="0"/>
        <w:jc w:val="left"/>
        <w:rPr>
          <w:noProof/>
        </w:rPr>
      </w:pPr>
      <w:r w:rsidRPr="0085241A">
        <w:rPr>
          <w:noProof/>
        </w:rPr>
        <w:t>Yearly emissions of 33 different F-gases in the EU27/EU27+UK from 2000 to 2050</w:t>
      </w:r>
    </w:p>
    <w:p w14:paraId="08B55A91" w14:textId="267B1930" w:rsidR="00BD68CB" w:rsidRPr="0085241A" w:rsidRDefault="00BD68CB" w:rsidP="0017603A">
      <w:pPr>
        <w:numPr>
          <w:ilvl w:val="0"/>
          <w:numId w:val="88"/>
        </w:numPr>
        <w:spacing w:before="60" w:after="0"/>
        <w:jc w:val="left"/>
        <w:rPr>
          <w:noProof/>
        </w:rPr>
      </w:pPr>
      <w:r w:rsidRPr="0085241A">
        <w:rPr>
          <w:noProof/>
        </w:rPr>
        <w:t>Equipment operators’ total expenditures under different scenarios / policy options</w:t>
      </w:r>
    </w:p>
    <w:p w14:paraId="5B8208D3" w14:textId="77777777" w:rsidR="00BD68CB" w:rsidRPr="0085241A" w:rsidRDefault="00BD68CB" w:rsidP="0085241A">
      <w:pPr>
        <w:spacing w:before="60" w:after="0"/>
        <w:ind w:left="720"/>
        <w:jc w:val="left"/>
        <w:rPr>
          <w:noProof/>
        </w:rPr>
      </w:pPr>
    </w:p>
    <w:p w14:paraId="73B29ED8" w14:textId="108CFE41" w:rsidR="00BD68CB" w:rsidRPr="0085241A" w:rsidRDefault="00BD68CB" w:rsidP="0085241A">
      <w:pPr>
        <w:spacing w:before="60" w:after="0"/>
        <w:jc w:val="left"/>
        <w:rPr>
          <w:b/>
          <w:noProof/>
          <w:u w:val="single"/>
        </w:rPr>
      </w:pPr>
      <w:r w:rsidRPr="0085241A">
        <w:rPr>
          <w:b/>
          <w:noProof/>
          <w:u w:val="single"/>
        </w:rPr>
        <w:t xml:space="preserve">Spatial - temporal extent </w:t>
      </w:r>
    </w:p>
    <w:p w14:paraId="0C02BBBD" w14:textId="77777777" w:rsidR="00BD68CB" w:rsidRPr="00BD68CB" w:rsidRDefault="00BD68CB" w:rsidP="00BD68CB">
      <w:pPr>
        <w:spacing w:before="60" w:after="0" w:line="288" w:lineRule="auto"/>
        <w:jc w:val="left"/>
        <w:rPr>
          <w:rFonts w:ascii="Arial" w:eastAsia="Calibri" w:hAnsi="Arial" w:cs="Arial"/>
          <w:b/>
          <w:noProof/>
          <w:sz w:val="20"/>
          <w:u w:val="single"/>
        </w:rPr>
      </w:pPr>
    </w:p>
    <w:tbl>
      <w:tblPr>
        <w:tblStyle w:val="MediumShading2-Accent1"/>
        <w:tblW w:w="0" w:type="dxa"/>
        <w:tblLayout w:type="fixed"/>
        <w:tblLook w:val="04A0" w:firstRow="1" w:lastRow="0" w:firstColumn="1" w:lastColumn="0" w:noHBand="0" w:noVBand="1"/>
      </w:tblPr>
      <w:tblGrid>
        <w:gridCol w:w="3224"/>
        <w:gridCol w:w="5955"/>
      </w:tblGrid>
      <w:tr w:rsidR="00BD68CB" w:rsidRPr="00BD68CB" w14:paraId="3F8B81A5" w14:textId="77777777" w:rsidTr="3F3807E4">
        <w:trPr>
          <w:cnfStyle w:val="100000000000" w:firstRow="1" w:lastRow="0" w:firstColumn="0" w:lastColumn="0" w:oddVBand="0" w:evenVBand="0" w:oddHBand="0" w:evenHBand="0" w:firstRowFirstColumn="0" w:firstRowLastColumn="0" w:lastRowFirstColumn="0" w:lastRowLastColumn="0"/>
          <w:trHeight w:val="450"/>
        </w:trPr>
        <w:tc>
          <w:tcPr>
            <w:cnfStyle w:val="001000000100" w:firstRow="0" w:lastRow="0" w:firstColumn="1" w:lastColumn="0" w:oddVBand="0" w:evenVBand="0" w:oddHBand="0" w:evenHBand="0" w:firstRowFirstColumn="1" w:firstRowLastColumn="0" w:lastRowFirstColumn="0" w:lastRowLastColumn="0"/>
            <w:tcW w:w="3224" w:type="dxa"/>
            <w:tcBorders>
              <w:left w:val="single" w:sz="4" w:space="0" w:color="000000" w:themeColor="text1"/>
            </w:tcBorders>
            <w:hideMark/>
          </w:tcPr>
          <w:p w14:paraId="2684BF34" w14:textId="77777777" w:rsidR="00BD68CB" w:rsidRPr="00BD68CB" w:rsidRDefault="00BD68CB" w:rsidP="00BD68CB">
            <w:pPr>
              <w:spacing w:before="60" w:line="288" w:lineRule="auto"/>
              <w:jc w:val="left"/>
              <w:rPr>
                <w:rFonts w:ascii="Arial" w:eastAsia="Calibri" w:hAnsi="Arial" w:cs="Arial"/>
                <w:noProof/>
                <w:sz w:val="20"/>
              </w:rPr>
            </w:pPr>
            <w:r w:rsidRPr="00BD68CB">
              <w:rPr>
                <w:rFonts w:ascii="Arial" w:eastAsia="Calibri" w:hAnsi="Arial" w:cs="Arial"/>
                <w:noProof/>
                <w:sz w:val="20"/>
              </w:rPr>
              <w:t>Parameter</w:t>
            </w:r>
          </w:p>
        </w:tc>
        <w:tc>
          <w:tcPr>
            <w:tcW w:w="5955" w:type="dxa"/>
            <w:tcBorders>
              <w:right w:val="single" w:sz="4" w:space="0" w:color="000000" w:themeColor="text1"/>
            </w:tcBorders>
            <w:hideMark/>
          </w:tcPr>
          <w:p w14:paraId="4DA7F5BF" w14:textId="77777777" w:rsidR="00BD68CB" w:rsidRPr="00BD68CB" w:rsidRDefault="00BD68CB" w:rsidP="00BD68CB">
            <w:pPr>
              <w:spacing w:before="60" w:line="288" w:lineRule="auto"/>
              <w:jc w:val="left"/>
              <w:cnfStyle w:val="100000000000" w:firstRow="1" w:lastRow="0" w:firstColumn="0" w:lastColumn="0" w:oddVBand="0" w:evenVBand="0" w:oddHBand="0" w:evenHBand="0" w:firstRowFirstColumn="0" w:firstRowLastColumn="0" w:lastRowFirstColumn="0" w:lastRowLastColumn="0"/>
              <w:rPr>
                <w:rFonts w:ascii="Arial" w:eastAsia="Calibri" w:hAnsi="Arial" w:cs="Arial"/>
                <w:noProof/>
                <w:sz w:val="20"/>
              </w:rPr>
            </w:pPr>
            <w:r w:rsidRPr="00BD68CB">
              <w:rPr>
                <w:rFonts w:ascii="Arial" w:eastAsia="Calibri" w:hAnsi="Arial" w:cs="Arial"/>
                <w:noProof/>
                <w:sz w:val="20"/>
              </w:rPr>
              <w:t>Description</w:t>
            </w:r>
          </w:p>
        </w:tc>
      </w:tr>
      <w:tr w:rsidR="00BD68CB" w:rsidRPr="00BD68CB" w14:paraId="47B4F2CF" w14:textId="77777777" w:rsidTr="3F3807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4" w:type="dxa"/>
            <w:tcBorders>
              <w:left w:val="single" w:sz="4" w:space="0" w:color="000000" w:themeColor="text1"/>
            </w:tcBorders>
            <w:hideMark/>
          </w:tcPr>
          <w:p w14:paraId="65F967F0" w14:textId="77777777" w:rsidR="00BD68CB" w:rsidRPr="00BD68CB" w:rsidRDefault="00BD68CB" w:rsidP="00BD68CB">
            <w:pPr>
              <w:spacing w:before="60" w:line="288" w:lineRule="auto"/>
              <w:jc w:val="left"/>
              <w:rPr>
                <w:rFonts w:ascii="Arial" w:eastAsia="Calibri" w:hAnsi="Arial" w:cs="Arial"/>
                <w:noProof/>
                <w:sz w:val="20"/>
              </w:rPr>
            </w:pPr>
            <w:r w:rsidRPr="00BD68CB">
              <w:rPr>
                <w:rFonts w:ascii="Arial" w:eastAsia="Calibri" w:hAnsi="Arial" w:cs="Arial"/>
                <w:noProof/>
                <w:sz w:val="20"/>
              </w:rPr>
              <w:t>Spatial Extent / Country Coverage</w:t>
            </w:r>
          </w:p>
        </w:tc>
        <w:tc>
          <w:tcPr>
            <w:tcW w:w="5955" w:type="dxa"/>
            <w:tcBorders>
              <w:top w:val="nil"/>
              <w:left w:val="nil"/>
              <w:bottom w:val="nil"/>
              <w:right w:val="single" w:sz="4" w:space="0" w:color="000000" w:themeColor="text1"/>
            </w:tcBorders>
            <w:hideMark/>
          </w:tcPr>
          <w:p w14:paraId="2C154997" w14:textId="77777777" w:rsidR="00BD68CB" w:rsidRPr="00BD68CB" w:rsidRDefault="00BD68CB" w:rsidP="00BD68CB">
            <w:pPr>
              <w:spacing w:before="60" w:line="288" w:lineRule="auto"/>
              <w:jc w:val="left"/>
              <w:cnfStyle w:val="000000100000" w:firstRow="0" w:lastRow="0" w:firstColumn="0" w:lastColumn="0" w:oddVBand="0" w:evenVBand="0" w:oddHBand="1" w:evenHBand="0" w:firstRowFirstColumn="0" w:firstRowLastColumn="0" w:lastRowFirstColumn="0" w:lastRowLastColumn="0"/>
              <w:rPr>
                <w:rFonts w:ascii="Arial" w:eastAsia="Calibri" w:hAnsi="Arial" w:cs="Arial"/>
                <w:noProof/>
                <w:sz w:val="20"/>
              </w:rPr>
            </w:pPr>
            <w:r w:rsidRPr="00BD68CB">
              <w:rPr>
                <w:rFonts w:ascii="Arial" w:eastAsia="Calibri" w:hAnsi="Arial" w:cs="Arial"/>
                <w:noProof/>
                <w:sz w:val="20"/>
              </w:rPr>
              <w:t>EU Member states 27 and UK</w:t>
            </w:r>
          </w:p>
        </w:tc>
      </w:tr>
      <w:tr w:rsidR="00BD68CB" w:rsidRPr="00BD68CB" w14:paraId="04E96734" w14:textId="77777777" w:rsidTr="3F3807E4">
        <w:tc>
          <w:tcPr>
            <w:cnfStyle w:val="001000000000" w:firstRow="0" w:lastRow="0" w:firstColumn="1" w:lastColumn="0" w:oddVBand="0" w:evenVBand="0" w:oddHBand="0" w:evenHBand="0" w:firstRowFirstColumn="0" w:firstRowLastColumn="0" w:lastRowFirstColumn="0" w:lastRowLastColumn="0"/>
            <w:tcW w:w="3224" w:type="dxa"/>
            <w:tcBorders>
              <w:left w:val="single" w:sz="4" w:space="0" w:color="000000" w:themeColor="text1"/>
            </w:tcBorders>
            <w:hideMark/>
          </w:tcPr>
          <w:p w14:paraId="03D3B795" w14:textId="77777777" w:rsidR="00BD68CB" w:rsidRPr="00BD68CB" w:rsidRDefault="00BD68CB" w:rsidP="00BD68CB">
            <w:pPr>
              <w:spacing w:before="60" w:line="288" w:lineRule="auto"/>
              <w:jc w:val="left"/>
              <w:rPr>
                <w:rFonts w:ascii="Arial" w:eastAsia="Calibri" w:hAnsi="Arial" w:cs="Arial"/>
                <w:noProof/>
                <w:sz w:val="20"/>
              </w:rPr>
            </w:pPr>
            <w:r w:rsidRPr="00BD68CB">
              <w:rPr>
                <w:rFonts w:ascii="Arial" w:eastAsia="Calibri" w:hAnsi="Arial" w:cs="Arial"/>
                <w:noProof/>
                <w:sz w:val="20"/>
              </w:rPr>
              <w:t>(Spatial) resolution</w:t>
            </w:r>
          </w:p>
        </w:tc>
        <w:tc>
          <w:tcPr>
            <w:tcW w:w="5955" w:type="dxa"/>
            <w:tcBorders>
              <w:top w:val="nil"/>
              <w:left w:val="nil"/>
              <w:bottom w:val="nil"/>
              <w:right w:val="single" w:sz="4" w:space="0" w:color="000000" w:themeColor="text1"/>
            </w:tcBorders>
            <w:hideMark/>
          </w:tcPr>
          <w:p w14:paraId="6C36946F" w14:textId="77777777" w:rsidR="00BD68CB" w:rsidRPr="00BD68CB" w:rsidRDefault="00BD68CB" w:rsidP="00BD68CB">
            <w:pPr>
              <w:spacing w:before="60" w:line="288"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20"/>
              </w:rPr>
            </w:pPr>
            <w:r w:rsidRPr="00BD68CB">
              <w:rPr>
                <w:rFonts w:ascii="Arial" w:eastAsia="Calibri" w:hAnsi="Arial" w:cs="Arial"/>
                <w:noProof/>
                <w:sz w:val="20"/>
              </w:rPr>
              <w:t>National</w:t>
            </w:r>
          </w:p>
        </w:tc>
      </w:tr>
      <w:tr w:rsidR="00BD68CB" w:rsidRPr="00BD68CB" w14:paraId="39C98610" w14:textId="77777777" w:rsidTr="3F3807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4" w:type="dxa"/>
            <w:tcBorders>
              <w:left w:val="single" w:sz="4" w:space="0" w:color="000000" w:themeColor="text1"/>
            </w:tcBorders>
            <w:hideMark/>
          </w:tcPr>
          <w:p w14:paraId="0928F98E" w14:textId="77777777" w:rsidR="00BD68CB" w:rsidRPr="00BD68CB" w:rsidRDefault="00BD68CB" w:rsidP="00BD68CB">
            <w:pPr>
              <w:spacing w:before="60" w:line="288" w:lineRule="auto"/>
              <w:jc w:val="left"/>
              <w:rPr>
                <w:rFonts w:ascii="Arial" w:eastAsia="Calibri" w:hAnsi="Arial" w:cs="Arial"/>
                <w:noProof/>
                <w:sz w:val="20"/>
              </w:rPr>
            </w:pPr>
            <w:r w:rsidRPr="00BD68CB">
              <w:rPr>
                <w:rFonts w:ascii="Arial" w:eastAsia="Calibri" w:hAnsi="Arial" w:cs="Arial"/>
                <w:noProof/>
                <w:sz w:val="20"/>
              </w:rPr>
              <w:t>Temporal extent</w:t>
            </w:r>
          </w:p>
        </w:tc>
        <w:tc>
          <w:tcPr>
            <w:tcW w:w="5955" w:type="dxa"/>
            <w:tcBorders>
              <w:top w:val="nil"/>
              <w:left w:val="nil"/>
              <w:bottom w:val="nil"/>
              <w:right w:val="single" w:sz="4" w:space="0" w:color="000000" w:themeColor="text1"/>
            </w:tcBorders>
            <w:hideMark/>
          </w:tcPr>
          <w:p w14:paraId="03FA70E4" w14:textId="77777777" w:rsidR="00BD68CB" w:rsidRPr="00BD68CB" w:rsidRDefault="00BD68CB" w:rsidP="00BD68CB">
            <w:pPr>
              <w:spacing w:before="60" w:line="288" w:lineRule="auto"/>
              <w:jc w:val="left"/>
              <w:cnfStyle w:val="000000100000" w:firstRow="0" w:lastRow="0" w:firstColumn="0" w:lastColumn="0" w:oddVBand="0" w:evenVBand="0" w:oddHBand="1" w:evenHBand="0" w:firstRowFirstColumn="0" w:firstRowLastColumn="0" w:lastRowFirstColumn="0" w:lastRowLastColumn="0"/>
              <w:rPr>
                <w:rFonts w:ascii="Arial" w:eastAsia="Calibri" w:hAnsi="Arial" w:cs="Arial"/>
                <w:noProof/>
                <w:sz w:val="20"/>
              </w:rPr>
            </w:pPr>
            <w:r w:rsidRPr="00BD68CB">
              <w:rPr>
                <w:rFonts w:ascii="Arial" w:eastAsia="Calibri" w:hAnsi="Arial" w:cs="Arial"/>
                <w:noProof/>
                <w:sz w:val="20"/>
              </w:rPr>
              <w:t>Long-term (more than 15 years)</w:t>
            </w:r>
          </w:p>
        </w:tc>
      </w:tr>
      <w:tr w:rsidR="00BD68CB" w:rsidRPr="00BD68CB" w14:paraId="75C97CD2" w14:textId="77777777" w:rsidTr="3F3807E4">
        <w:tc>
          <w:tcPr>
            <w:cnfStyle w:val="001000000000" w:firstRow="0" w:lastRow="0" w:firstColumn="1" w:lastColumn="0" w:oddVBand="0" w:evenVBand="0" w:oddHBand="0" w:evenHBand="0" w:firstRowFirstColumn="0" w:firstRowLastColumn="0" w:lastRowFirstColumn="0" w:lastRowLastColumn="0"/>
            <w:tcW w:w="3224" w:type="dxa"/>
            <w:tcBorders>
              <w:left w:val="single" w:sz="4" w:space="0" w:color="000000" w:themeColor="text1"/>
            </w:tcBorders>
            <w:hideMark/>
          </w:tcPr>
          <w:p w14:paraId="0328E63D" w14:textId="77777777" w:rsidR="00BD68CB" w:rsidRPr="00BD68CB" w:rsidRDefault="00BD68CB" w:rsidP="00BD68CB">
            <w:pPr>
              <w:spacing w:before="60" w:line="288" w:lineRule="auto"/>
              <w:jc w:val="left"/>
              <w:rPr>
                <w:rFonts w:ascii="Arial" w:eastAsia="Calibri" w:hAnsi="Arial" w:cs="Arial"/>
                <w:noProof/>
                <w:sz w:val="20"/>
              </w:rPr>
            </w:pPr>
            <w:r w:rsidRPr="00BD68CB">
              <w:rPr>
                <w:rFonts w:ascii="Arial" w:eastAsia="Calibri" w:hAnsi="Arial" w:cs="Arial"/>
                <w:noProof/>
                <w:sz w:val="20"/>
              </w:rPr>
              <w:t>Temporal resolution</w:t>
            </w:r>
          </w:p>
        </w:tc>
        <w:tc>
          <w:tcPr>
            <w:tcW w:w="5955" w:type="dxa"/>
            <w:tcBorders>
              <w:top w:val="nil"/>
              <w:left w:val="nil"/>
              <w:bottom w:val="single" w:sz="18" w:space="0" w:color="auto"/>
              <w:right w:val="single" w:sz="4" w:space="0" w:color="000000" w:themeColor="text1"/>
            </w:tcBorders>
            <w:hideMark/>
          </w:tcPr>
          <w:p w14:paraId="53155E24" w14:textId="77777777" w:rsidR="00BD68CB" w:rsidRPr="00BD68CB" w:rsidRDefault="00BD68CB" w:rsidP="00BD68CB">
            <w:pPr>
              <w:spacing w:before="60" w:line="288"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20"/>
              </w:rPr>
            </w:pPr>
            <w:r w:rsidRPr="00BD68CB">
              <w:rPr>
                <w:rFonts w:ascii="Arial" w:eastAsia="Calibri" w:hAnsi="Arial" w:cs="Arial"/>
                <w:noProof/>
                <w:sz w:val="20"/>
              </w:rPr>
              <w:t>Years</w:t>
            </w:r>
          </w:p>
        </w:tc>
      </w:tr>
    </w:tbl>
    <w:p w14:paraId="4DC66ACA" w14:textId="77777777" w:rsidR="00BD68CB" w:rsidRPr="00BD68CB" w:rsidRDefault="00BD68CB" w:rsidP="00BD68CB">
      <w:pPr>
        <w:spacing w:before="60" w:after="0" w:line="288" w:lineRule="auto"/>
        <w:jc w:val="left"/>
        <w:rPr>
          <w:rFonts w:ascii="Arial" w:eastAsia="Calibri" w:hAnsi="Arial" w:cs="Arial"/>
          <w:b/>
          <w:i/>
          <w:iCs/>
          <w:noProof/>
          <w:sz w:val="20"/>
        </w:rPr>
      </w:pPr>
    </w:p>
    <w:p w14:paraId="4FFBB3CE" w14:textId="77777777" w:rsidR="00BD68CB" w:rsidRPr="00BD68CB" w:rsidRDefault="00BD68CB" w:rsidP="00BD68CB">
      <w:pPr>
        <w:spacing w:before="60" w:after="0" w:line="288" w:lineRule="auto"/>
        <w:jc w:val="left"/>
        <w:rPr>
          <w:rFonts w:ascii="Arial" w:eastAsia="Calibri" w:hAnsi="Arial" w:cs="Arial"/>
          <w:noProof/>
          <w:sz w:val="20"/>
        </w:rPr>
      </w:pPr>
      <w:r w:rsidRPr="00BD68CB">
        <w:rPr>
          <w:rFonts w:ascii="Arial" w:eastAsia="Calibri" w:hAnsi="Arial" w:cs="Arial"/>
          <w:noProof/>
          <w:sz w:val="20"/>
        </w:rPr>
        <w:br w:type="page"/>
      </w:r>
    </w:p>
    <w:p w14:paraId="3EAFCAB7" w14:textId="77777777" w:rsidR="008E12F8" w:rsidRPr="008E12F8" w:rsidRDefault="3982CBDC" w:rsidP="0017603A">
      <w:pPr>
        <w:pStyle w:val="AppendixHeadingLevel3"/>
        <w:numPr>
          <w:ilvl w:val="2"/>
          <w:numId w:val="112"/>
        </w:numPr>
        <w:rPr>
          <w:noProof/>
        </w:rPr>
      </w:pPr>
      <w:bookmarkStart w:id="507" w:name="_Toc81029639"/>
      <w:r>
        <w:rPr>
          <w:noProof/>
        </w:rPr>
        <w:t xml:space="preserve">Emission rates used in the AnaFgas model </w:t>
      </w:r>
      <w:bookmarkEnd w:id="507"/>
    </w:p>
    <w:p w14:paraId="2AAA936D" w14:textId="51D90E07" w:rsidR="008E12F8" w:rsidRPr="004C3E1B" w:rsidRDefault="3982CBDC" w:rsidP="00225664">
      <w:pPr>
        <w:spacing w:after="120"/>
        <w:rPr>
          <w:rFonts w:eastAsia="Calibri" w:cs="Times New Roman"/>
          <w:noProof/>
          <w:szCs w:val="24"/>
        </w:rPr>
      </w:pPr>
      <w:r w:rsidRPr="004C3E1B">
        <w:rPr>
          <w:rFonts w:eastAsia="Calibri" w:cs="Times New Roman"/>
          <w:noProof/>
          <w:szCs w:val="24"/>
        </w:rPr>
        <w:t>Although leakage rates can be used to estimate the emissions over time, lifetime emissions go beyond leakage rates since they also include emissions that are not covered by refill, e.g. during recovery and decommiss</w:t>
      </w:r>
      <w:r w:rsidR="005D374C">
        <w:rPr>
          <w:rFonts w:eastAsia="Calibri" w:cs="Times New Roman"/>
          <w:noProof/>
          <w:szCs w:val="24"/>
        </w:rPr>
        <w:t>ion</w:t>
      </w:r>
      <w:r w:rsidRPr="004C3E1B">
        <w:rPr>
          <w:rFonts w:eastAsia="Calibri" w:cs="Times New Roman"/>
          <w:noProof/>
          <w:szCs w:val="24"/>
        </w:rPr>
        <w:t>ing at end of life. The table below shows the annual emission factors applied in the AnaFgas model for the period since 2010 for lifetime, disposal and manufacturing emissions by sector and sub-sector. Lifetime emission rates decreased for many, but not all, sectors following the application of the Regulation in 2015. Disposal emission factors have also decreased since 2015 in several applications since collection and recycling of both bulk and equipment containing F-gases has been improved. For many sectors, a reduction in emission rates is also expected under the counterfactual scenario, albeit not always as pronounced. This is because technological developments are also expected to occur in the absence of the Regulation.</w:t>
      </w:r>
    </w:p>
    <w:p w14:paraId="6CE689D9" w14:textId="474E7E74" w:rsidR="008E12F8" w:rsidRPr="004C3E1B" w:rsidRDefault="008E12F8" w:rsidP="00225664">
      <w:pPr>
        <w:spacing w:before="60" w:after="160"/>
        <w:rPr>
          <w:rFonts w:eastAsia="Calibri" w:cs="Times New Roman"/>
          <w:noProof/>
          <w:szCs w:val="24"/>
        </w:rPr>
      </w:pPr>
      <w:r w:rsidRPr="004C3E1B">
        <w:rPr>
          <w:rFonts w:eastAsia="Calibri" w:cs="Times New Roman"/>
          <w:noProof/>
          <w:szCs w:val="24"/>
        </w:rPr>
        <w:t xml:space="preserve">The assumptions provided in </w:t>
      </w:r>
      <w:r w:rsidR="003F4EA5" w:rsidRPr="3982CBDC">
        <w:rPr>
          <w:noProof/>
        </w:rPr>
        <w:fldChar w:fldCharType="begin"/>
      </w:r>
      <w:r w:rsidR="003F4EA5" w:rsidRPr="004C3E1B">
        <w:rPr>
          <w:rFonts w:eastAsia="Calibri" w:cs="Times New Roman"/>
          <w:noProof/>
          <w:szCs w:val="24"/>
        </w:rPr>
        <w:instrText xml:space="preserve"> REF _Ref83020327 \h  \* MERGEFORMAT </w:instrText>
      </w:r>
      <w:r w:rsidR="003F4EA5" w:rsidRPr="3982CBDC">
        <w:rPr>
          <w:noProof/>
        </w:rPr>
      </w:r>
      <w:r w:rsidR="003F4EA5" w:rsidRPr="3982CBDC">
        <w:rPr>
          <w:rFonts w:eastAsia="Calibri" w:cs="Times New Roman"/>
          <w:noProof/>
          <w:szCs w:val="24"/>
        </w:rPr>
        <w:fldChar w:fldCharType="separate"/>
      </w:r>
      <w:r w:rsidR="00C66A21" w:rsidRPr="00C66A21">
        <w:rPr>
          <w:rFonts w:eastAsia="Calibri" w:cs="Times New Roman"/>
          <w:noProof/>
          <w:szCs w:val="24"/>
        </w:rPr>
        <w:t>Table 14</w:t>
      </w:r>
      <w:r w:rsidR="003F4EA5" w:rsidRPr="3982CBDC">
        <w:rPr>
          <w:noProof/>
        </w:rPr>
        <w:fldChar w:fldCharType="end"/>
      </w:r>
      <w:r w:rsidR="003F4EA5" w:rsidRPr="004C3E1B">
        <w:rPr>
          <w:rFonts w:eastAsia="Calibri" w:cs="Times New Roman"/>
          <w:noProof/>
          <w:szCs w:val="24"/>
        </w:rPr>
        <w:t xml:space="preserve"> </w:t>
      </w:r>
      <w:r w:rsidRPr="004C3E1B">
        <w:rPr>
          <w:rFonts w:eastAsia="Calibri" w:cs="Times New Roman"/>
          <w:noProof/>
          <w:szCs w:val="24"/>
        </w:rPr>
        <w:t xml:space="preserve">have been developed based on previous modelling as well as national emission reporting to the UNFCCC, literature and input from industry experts. There are no emission rates assumed for the sector “PFC and other halocarbons”. For this sector, emissions are directly taken from the UNFCCC data (National Inventory Reports, NIRs). The table shows annual emission factors for lifetime (LE), disposal (DE) and manufacturing (ME) for the baseline and the counterfactual scenario in 2015 and 2019 used in the model, while differences between scenarios are highlighted. </w:t>
      </w:r>
    </w:p>
    <w:p w14:paraId="63432E16" w14:textId="77777777" w:rsidR="008E12F8" w:rsidRPr="008E12F8" w:rsidRDefault="008E12F8" w:rsidP="008E12F8">
      <w:pPr>
        <w:spacing w:before="60" w:after="0" w:line="288" w:lineRule="auto"/>
        <w:jc w:val="left"/>
        <w:rPr>
          <w:rFonts w:ascii="Arial" w:eastAsia="Calibri" w:hAnsi="Arial" w:cs="Arial"/>
          <w:b/>
          <w:iCs/>
          <w:noProof/>
          <w:sz w:val="18"/>
          <w:szCs w:val="18"/>
        </w:rPr>
      </w:pPr>
      <w:r w:rsidRPr="008E12F8">
        <w:rPr>
          <w:rFonts w:ascii="Arial" w:eastAsia="Calibri" w:hAnsi="Arial" w:cs="Arial"/>
          <w:noProof/>
          <w:sz w:val="20"/>
        </w:rPr>
        <w:br w:type="page"/>
      </w:r>
      <w:bookmarkStart w:id="508" w:name="_Ref65684826"/>
      <w:bookmarkStart w:id="509" w:name="_Toc74592738"/>
      <w:bookmarkStart w:id="510" w:name="_Toc64443731"/>
    </w:p>
    <w:p w14:paraId="234BDD55" w14:textId="04814F22" w:rsidR="008E12F8" w:rsidRPr="0085241A" w:rsidRDefault="008E12F8" w:rsidP="3982CBDC">
      <w:pPr>
        <w:spacing w:before="120" w:after="120"/>
        <w:rPr>
          <w:rFonts w:asciiTheme="minorHAnsi" w:hAnsiTheme="minorHAnsi"/>
          <w:b/>
          <w:noProof/>
          <w:color w:val="0070C0"/>
          <w:sz w:val="20"/>
        </w:rPr>
      </w:pPr>
      <w:bookmarkStart w:id="511" w:name="_Ref74938977"/>
      <w:bookmarkStart w:id="512" w:name="_Ref83020327"/>
      <w:bookmarkStart w:id="513" w:name="_Toc81029698"/>
      <w:bookmarkStart w:id="514" w:name="_Toc74938913"/>
      <w:bookmarkStart w:id="515" w:name="_Ref83019747"/>
      <w:r w:rsidRPr="0085241A">
        <w:rPr>
          <w:rFonts w:asciiTheme="minorHAnsi" w:hAnsiTheme="minorHAnsi"/>
          <w:b/>
          <w:noProof/>
          <w:color w:val="0070C0"/>
          <w:sz w:val="20"/>
        </w:rPr>
        <w:t xml:space="preserve">Table </w:t>
      </w:r>
      <w:bookmarkEnd w:id="508"/>
      <w:bookmarkEnd w:id="511"/>
      <w:r w:rsidR="005D3F81" w:rsidRPr="0085241A">
        <w:rPr>
          <w:rFonts w:asciiTheme="minorHAnsi" w:hAnsiTheme="minorHAnsi"/>
          <w:noProof/>
          <w:color w:val="0070C0"/>
          <w:sz w:val="20"/>
        </w:rPr>
        <w:fldChar w:fldCharType="begin"/>
      </w:r>
      <w:r w:rsidR="005D3F81" w:rsidRPr="0085241A">
        <w:rPr>
          <w:rFonts w:asciiTheme="minorHAnsi" w:hAnsiTheme="minorHAnsi"/>
          <w:b/>
          <w:noProof/>
          <w:color w:val="0070C0"/>
          <w:sz w:val="20"/>
        </w:rPr>
        <w:instrText xml:space="preserve"> SEQ Table \* ARABIC \n </w:instrText>
      </w:r>
      <w:r w:rsidR="005D3F81" w:rsidRPr="0085241A">
        <w:rPr>
          <w:rFonts w:asciiTheme="minorHAnsi" w:hAnsiTheme="minorHAnsi"/>
          <w:b/>
          <w:noProof/>
          <w:color w:val="0070C0"/>
          <w:sz w:val="20"/>
        </w:rPr>
        <w:fldChar w:fldCharType="separate"/>
      </w:r>
      <w:r w:rsidR="00830261">
        <w:rPr>
          <w:rFonts w:asciiTheme="minorHAnsi" w:hAnsiTheme="minorHAnsi"/>
          <w:b/>
          <w:noProof/>
          <w:color w:val="0070C0"/>
          <w:sz w:val="20"/>
        </w:rPr>
        <w:t>15</w:t>
      </w:r>
      <w:r w:rsidR="005D3F81" w:rsidRPr="0085241A">
        <w:rPr>
          <w:rFonts w:asciiTheme="minorHAnsi" w:hAnsiTheme="minorHAnsi"/>
          <w:noProof/>
          <w:color w:val="0070C0"/>
          <w:sz w:val="20"/>
        </w:rPr>
        <w:fldChar w:fldCharType="end"/>
      </w:r>
      <w:bookmarkEnd w:id="512"/>
      <w:r w:rsidRPr="0085241A">
        <w:rPr>
          <w:rFonts w:asciiTheme="minorHAnsi" w:hAnsiTheme="minorHAnsi"/>
          <w:b/>
          <w:noProof/>
          <w:color w:val="0070C0"/>
          <w:sz w:val="20"/>
        </w:rPr>
        <w:t xml:space="preserve">: </w:t>
      </w:r>
      <w:r w:rsidRPr="0085241A">
        <w:rPr>
          <w:rFonts w:asciiTheme="minorHAnsi" w:hAnsiTheme="minorHAnsi"/>
          <w:noProof/>
          <w:color w:val="0070C0"/>
          <w:sz w:val="20"/>
        </w:rPr>
        <w:t>Annual lifetime, disposal and manufacturing emission factors for all scenarios from 2020 used in the model</w:t>
      </w:r>
      <w:bookmarkEnd w:id="509"/>
      <w:bookmarkEnd w:id="510"/>
      <w:bookmarkEnd w:id="513"/>
      <w:bookmarkEnd w:id="514"/>
      <w:bookmarkEnd w:id="515"/>
    </w:p>
    <w:tbl>
      <w:tblPr>
        <w:tblStyle w:val="David"/>
        <w:tblW w:w="5000" w:type="pct"/>
        <w:tblInd w:w="0" w:type="dxa"/>
        <w:tblLook w:val="04A0" w:firstRow="1" w:lastRow="0" w:firstColumn="1" w:lastColumn="0" w:noHBand="0" w:noVBand="1"/>
      </w:tblPr>
      <w:tblGrid>
        <w:gridCol w:w="5258"/>
        <w:gridCol w:w="1294"/>
        <w:gridCol w:w="1294"/>
        <w:gridCol w:w="1294"/>
      </w:tblGrid>
      <w:tr w:rsidR="008E12F8" w:rsidRPr="008E12F8" w14:paraId="38EC32D1" w14:textId="77777777" w:rsidTr="3F3807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76" w:type="pct"/>
            <w:vMerge w:val="restart"/>
            <w:shd w:val="clear" w:color="auto" w:fill="003300"/>
            <w:hideMark/>
          </w:tcPr>
          <w:p w14:paraId="3076C977" w14:textId="77777777" w:rsidR="008E12F8" w:rsidRPr="003F4EA5" w:rsidRDefault="3982CBDC" w:rsidP="3982CBDC">
            <w:pPr>
              <w:spacing w:before="20" w:after="20"/>
              <w:jc w:val="left"/>
              <w:rPr>
                <w:rFonts w:ascii="Arial" w:eastAsia="Calibri" w:hAnsi="Arial"/>
                <w:noProof/>
                <w:sz w:val="16"/>
                <w:szCs w:val="16"/>
              </w:rPr>
            </w:pPr>
            <w:r w:rsidRPr="3982CBDC">
              <w:rPr>
                <w:rFonts w:ascii="Arial" w:eastAsia="Calibri" w:hAnsi="Arial"/>
                <w:noProof/>
                <w:sz w:val="16"/>
                <w:szCs w:val="16"/>
              </w:rPr>
              <w:t>Sectors and subsectors</w:t>
            </w:r>
          </w:p>
        </w:tc>
        <w:tc>
          <w:tcPr>
            <w:tcW w:w="2124" w:type="pct"/>
            <w:gridSpan w:val="3"/>
            <w:tcBorders>
              <w:top w:val="single" w:sz="6" w:space="0" w:color="auto"/>
              <w:left w:val="single" w:sz="6" w:space="0" w:color="auto"/>
              <w:bottom w:val="single" w:sz="6" w:space="0" w:color="auto"/>
              <w:right w:val="single" w:sz="6" w:space="0" w:color="auto"/>
            </w:tcBorders>
            <w:shd w:val="clear" w:color="auto" w:fill="003300"/>
            <w:hideMark/>
          </w:tcPr>
          <w:p w14:paraId="581BADED" w14:textId="77777777" w:rsidR="008E12F8" w:rsidRPr="003F4EA5" w:rsidRDefault="3982CBDC" w:rsidP="3982CBDC">
            <w:pPr>
              <w:spacing w:before="20" w:after="20"/>
              <w:jc w:val="center"/>
              <w:cnfStyle w:val="100000000000" w:firstRow="1" w:lastRow="0" w:firstColumn="0" w:lastColumn="0" w:oddVBand="0" w:evenVBand="0" w:oddHBand="0" w:evenHBand="0" w:firstRowFirstColumn="0" w:firstRowLastColumn="0" w:lastRowFirstColumn="0" w:lastRowLastColumn="0"/>
              <w:rPr>
                <w:rFonts w:ascii="Arial" w:eastAsia="Calibri" w:hAnsi="Arial"/>
                <w:noProof/>
                <w:sz w:val="16"/>
                <w:szCs w:val="16"/>
              </w:rPr>
            </w:pPr>
            <w:r w:rsidRPr="3982CBDC">
              <w:rPr>
                <w:rFonts w:ascii="Arial" w:eastAsia="Calibri" w:hAnsi="Arial"/>
                <w:noProof/>
                <w:sz w:val="16"/>
                <w:szCs w:val="16"/>
              </w:rPr>
              <w:t>Emission rates from 2020</w:t>
            </w:r>
          </w:p>
        </w:tc>
      </w:tr>
      <w:tr w:rsidR="008E12F8" w:rsidRPr="008E12F8" w14:paraId="50209323" w14:textId="77777777" w:rsidTr="3F3807E4">
        <w:trPr>
          <w:cnfStyle w:val="100000000000" w:firstRow="1" w:lastRow="0" w:firstColumn="0" w:lastColumn="0" w:oddVBand="0" w:evenVBand="0" w:oddHBand="0" w:evenHBand="0" w:firstRowFirstColumn="0" w:firstRowLastColumn="0" w:lastRowFirstColumn="0" w:lastRowLastColumn="0"/>
          <w:trHeight w:val="638"/>
          <w:tblHeader/>
        </w:trPr>
        <w:tc>
          <w:tcPr>
            <w:cnfStyle w:val="001000000000" w:firstRow="0" w:lastRow="0" w:firstColumn="1" w:lastColumn="0" w:oddVBand="0" w:evenVBand="0" w:oddHBand="0" w:evenHBand="0" w:firstRowFirstColumn="0" w:firstRowLastColumn="0" w:lastRowFirstColumn="0" w:lastRowLastColumn="0"/>
            <w:tcW w:w="0" w:type="auto"/>
            <w:vMerge/>
            <w:hideMark/>
          </w:tcPr>
          <w:p w14:paraId="58664DF9" w14:textId="77777777" w:rsidR="008E12F8" w:rsidRPr="003F4EA5" w:rsidRDefault="008E12F8" w:rsidP="008E12F8">
            <w:pPr>
              <w:jc w:val="left"/>
              <w:rPr>
                <w:rFonts w:ascii="Arial" w:hAnsi="Arial"/>
                <w:bCs/>
                <w:noProof/>
                <w:sz w:val="16"/>
                <w:szCs w:val="16"/>
              </w:rPr>
            </w:pPr>
          </w:p>
        </w:tc>
        <w:tc>
          <w:tcPr>
            <w:tcW w:w="2124" w:type="pct"/>
            <w:gridSpan w:val="3"/>
            <w:tcBorders>
              <w:top w:val="single" w:sz="6" w:space="0" w:color="auto"/>
              <w:left w:val="single" w:sz="6" w:space="0" w:color="auto"/>
              <w:bottom w:val="single" w:sz="6" w:space="0" w:color="auto"/>
              <w:right w:val="single" w:sz="6" w:space="0" w:color="auto"/>
            </w:tcBorders>
            <w:shd w:val="clear" w:color="auto" w:fill="003300"/>
            <w:hideMark/>
          </w:tcPr>
          <w:p w14:paraId="67CA1F53" w14:textId="77777777" w:rsidR="008E12F8" w:rsidRPr="003F4EA5" w:rsidRDefault="3982CBDC" w:rsidP="3982CBDC">
            <w:pPr>
              <w:spacing w:before="60"/>
              <w:jc w:val="center"/>
              <w:cnfStyle w:val="100000000000" w:firstRow="1" w:lastRow="0" w:firstColumn="0" w:lastColumn="0" w:oddVBand="0" w:evenVBand="0" w:oddHBand="0" w:evenHBand="0" w:firstRowFirstColumn="0" w:firstRowLastColumn="0" w:lastRowFirstColumn="0" w:lastRowLastColumn="0"/>
              <w:rPr>
                <w:rFonts w:ascii="Arial" w:eastAsia="Calibri" w:hAnsi="Arial"/>
                <w:noProof/>
                <w:sz w:val="16"/>
                <w:szCs w:val="16"/>
              </w:rPr>
            </w:pPr>
            <w:r w:rsidRPr="3982CBDC">
              <w:rPr>
                <w:rFonts w:ascii="Arial" w:eastAsia="Calibri" w:hAnsi="Arial"/>
                <w:noProof/>
                <w:sz w:val="16"/>
                <w:szCs w:val="16"/>
              </w:rPr>
              <w:t>LE = lifetime emissions, DE = disposal emissions, ME = manufacturing emissions</w:t>
            </w:r>
          </w:p>
        </w:tc>
      </w:tr>
      <w:tr w:rsidR="008E12F8" w:rsidRPr="008E12F8" w14:paraId="766E727B" w14:textId="77777777" w:rsidTr="3F3807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Merge/>
            <w:hideMark/>
          </w:tcPr>
          <w:p w14:paraId="0CB97358" w14:textId="77777777" w:rsidR="008E12F8" w:rsidRPr="003F4EA5" w:rsidRDefault="008E12F8" w:rsidP="008E12F8">
            <w:pPr>
              <w:jc w:val="left"/>
              <w:rPr>
                <w:rFonts w:ascii="Arial" w:hAnsi="Arial"/>
                <w:bCs/>
                <w:noProof/>
                <w:sz w:val="16"/>
                <w:szCs w:val="16"/>
              </w:rPr>
            </w:pPr>
          </w:p>
        </w:tc>
        <w:tc>
          <w:tcPr>
            <w:tcW w:w="708" w:type="pct"/>
            <w:tcBorders>
              <w:top w:val="single" w:sz="6" w:space="0" w:color="auto"/>
              <w:left w:val="single" w:sz="6" w:space="0" w:color="auto"/>
              <w:bottom w:val="single" w:sz="6" w:space="0" w:color="auto"/>
              <w:right w:val="single" w:sz="6" w:space="0" w:color="auto"/>
            </w:tcBorders>
            <w:shd w:val="clear" w:color="auto" w:fill="003300"/>
            <w:hideMark/>
          </w:tcPr>
          <w:p w14:paraId="418AB157" w14:textId="77777777" w:rsidR="008E12F8" w:rsidRPr="003F4EA5" w:rsidRDefault="3982CBDC" w:rsidP="3982CBDC">
            <w:pPr>
              <w:spacing w:before="20" w:after="20"/>
              <w:jc w:val="center"/>
              <w:cnfStyle w:val="100000000000" w:firstRow="1" w:lastRow="0" w:firstColumn="0" w:lastColumn="0" w:oddVBand="0" w:evenVBand="0" w:oddHBand="0" w:evenHBand="0" w:firstRowFirstColumn="0" w:firstRowLastColumn="0" w:lastRowFirstColumn="0" w:lastRowLastColumn="0"/>
              <w:rPr>
                <w:rFonts w:ascii="Arial" w:eastAsia="Calibri" w:hAnsi="Arial"/>
                <w:noProof/>
                <w:sz w:val="16"/>
                <w:szCs w:val="16"/>
              </w:rPr>
            </w:pPr>
            <w:r w:rsidRPr="3982CBDC">
              <w:rPr>
                <w:rFonts w:ascii="Arial" w:eastAsia="Calibri" w:hAnsi="Arial"/>
                <w:noProof/>
                <w:sz w:val="16"/>
                <w:szCs w:val="16"/>
              </w:rPr>
              <w:t>LE (%)</w:t>
            </w:r>
          </w:p>
        </w:tc>
        <w:tc>
          <w:tcPr>
            <w:tcW w:w="708" w:type="pct"/>
            <w:tcBorders>
              <w:top w:val="single" w:sz="6" w:space="0" w:color="auto"/>
              <w:left w:val="single" w:sz="6" w:space="0" w:color="auto"/>
              <w:bottom w:val="single" w:sz="6" w:space="0" w:color="auto"/>
              <w:right w:val="single" w:sz="6" w:space="0" w:color="auto"/>
            </w:tcBorders>
            <w:shd w:val="clear" w:color="auto" w:fill="003300"/>
            <w:hideMark/>
          </w:tcPr>
          <w:p w14:paraId="00C21D31" w14:textId="77777777" w:rsidR="008E12F8" w:rsidRPr="003F4EA5" w:rsidRDefault="3982CBDC" w:rsidP="3982CBDC">
            <w:pPr>
              <w:spacing w:before="20" w:after="20"/>
              <w:jc w:val="center"/>
              <w:cnfStyle w:val="100000000000" w:firstRow="1" w:lastRow="0" w:firstColumn="0" w:lastColumn="0" w:oddVBand="0" w:evenVBand="0" w:oddHBand="0" w:evenHBand="0" w:firstRowFirstColumn="0" w:firstRowLastColumn="0" w:lastRowFirstColumn="0" w:lastRowLastColumn="0"/>
              <w:rPr>
                <w:rFonts w:ascii="Arial" w:eastAsia="Calibri" w:hAnsi="Arial"/>
                <w:noProof/>
                <w:sz w:val="16"/>
                <w:szCs w:val="16"/>
              </w:rPr>
            </w:pPr>
            <w:r w:rsidRPr="3982CBDC">
              <w:rPr>
                <w:rFonts w:ascii="Arial" w:eastAsia="Calibri" w:hAnsi="Arial"/>
                <w:noProof/>
                <w:sz w:val="16"/>
                <w:szCs w:val="16"/>
              </w:rPr>
              <w:t>DE (%)</w:t>
            </w:r>
          </w:p>
        </w:tc>
        <w:tc>
          <w:tcPr>
            <w:tcW w:w="708" w:type="pct"/>
            <w:tcBorders>
              <w:top w:val="single" w:sz="6" w:space="0" w:color="auto"/>
              <w:left w:val="single" w:sz="6" w:space="0" w:color="auto"/>
              <w:bottom w:val="single" w:sz="6" w:space="0" w:color="auto"/>
              <w:right w:val="single" w:sz="6" w:space="0" w:color="auto"/>
            </w:tcBorders>
            <w:shd w:val="clear" w:color="auto" w:fill="003300"/>
            <w:hideMark/>
          </w:tcPr>
          <w:p w14:paraId="31E69853" w14:textId="77777777" w:rsidR="008E12F8" w:rsidRPr="003F4EA5" w:rsidRDefault="3982CBDC" w:rsidP="3982CBDC">
            <w:pPr>
              <w:spacing w:before="20" w:after="20"/>
              <w:jc w:val="center"/>
              <w:cnfStyle w:val="100000000000" w:firstRow="1" w:lastRow="0" w:firstColumn="0" w:lastColumn="0" w:oddVBand="0" w:evenVBand="0" w:oddHBand="0" w:evenHBand="0" w:firstRowFirstColumn="0" w:firstRowLastColumn="0" w:lastRowFirstColumn="0" w:lastRowLastColumn="0"/>
              <w:rPr>
                <w:rFonts w:ascii="Arial" w:eastAsia="Calibri" w:hAnsi="Arial"/>
                <w:noProof/>
                <w:sz w:val="16"/>
                <w:szCs w:val="16"/>
              </w:rPr>
            </w:pPr>
            <w:r w:rsidRPr="3982CBDC">
              <w:rPr>
                <w:rFonts w:ascii="Arial" w:eastAsia="Calibri" w:hAnsi="Arial"/>
                <w:noProof/>
                <w:sz w:val="16"/>
                <w:szCs w:val="16"/>
              </w:rPr>
              <w:t>ME (%)</w:t>
            </w:r>
          </w:p>
        </w:tc>
      </w:tr>
      <w:tr w:rsidR="008E12F8" w:rsidRPr="008E12F8" w14:paraId="3578570A" w14:textId="77777777" w:rsidTr="3F3807E4">
        <w:tc>
          <w:tcPr>
            <w:cnfStyle w:val="001000000000" w:firstRow="0" w:lastRow="0" w:firstColumn="1" w:lastColumn="0" w:oddVBand="0" w:evenVBand="0" w:oddHBand="0" w:evenHBand="0" w:firstRowFirstColumn="0" w:firstRowLastColumn="0" w:lastRowFirstColumn="0" w:lastRowLastColumn="0"/>
            <w:tcW w:w="2876" w:type="pct"/>
            <w:hideMark/>
          </w:tcPr>
          <w:p w14:paraId="062AC539" w14:textId="77777777" w:rsidR="008E12F8" w:rsidRPr="003F4EA5" w:rsidRDefault="3982CBDC" w:rsidP="3982CBDC">
            <w:pPr>
              <w:jc w:val="left"/>
              <w:rPr>
                <w:rFonts w:ascii="Arial" w:eastAsia="Calibri" w:hAnsi="Arial"/>
                <w:b/>
                <w:bCs/>
                <w:noProof/>
                <w:sz w:val="16"/>
                <w:szCs w:val="16"/>
              </w:rPr>
            </w:pPr>
            <w:r w:rsidRPr="3982CBDC">
              <w:rPr>
                <w:rFonts w:ascii="Arial" w:eastAsia="Calibri" w:hAnsi="Arial"/>
                <w:b/>
                <w:bCs/>
                <w:noProof/>
                <w:sz w:val="16"/>
                <w:szCs w:val="16"/>
              </w:rPr>
              <w:t>Refrigeration</w:t>
            </w:r>
          </w:p>
        </w:tc>
        <w:tc>
          <w:tcPr>
            <w:tcW w:w="708" w:type="pct"/>
            <w:tcBorders>
              <w:top w:val="single" w:sz="6" w:space="0" w:color="auto"/>
              <w:left w:val="single" w:sz="6" w:space="0" w:color="auto"/>
              <w:bottom w:val="single" w:sz="6" w:space="0" w:color="auto"/>
              <w:right w:val="single" w:sz="6" w:space="0" w:color="auto"/>
            </w:tcBorders>
          </w:tcPr>
          <w:p w14:paraId="31DCC033" w14:textId="77777777" w:rsidR="008E12F8" w:rsidRPr="003F4EA5" w:rsidRDefault="008E12F8" w:rsidP="008E12F8">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p>
        </w:tc>
        <w:tc>
          <w:tcPr>
            <w:tcW w:w="708" w:type="pct"/>
            <w:tcBorders>
              <w:top w:val="single" w:sz="6" w:space="0" w:color="auto"/>
              <w:left w:val="single" w:sz="6" w:space="0" w:color="auto"/>
              <w:bottom w:val="single" w:sz="6" w:space="0" w:color="auto"/>
              <w:right w:val="single" w:sz="6" w:space="0" w:color="auto"/>
            </w:tcBorders>
          </w:tcPr>
          <w:p w14:paraId="7CC6299C" w14:textId="77777777" w:rsidR="008E12F8" w:rsidRPr="003F4EA5" w:rsidRDefault="008E12F8" w:rsidP="008E12F8">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p>
        </w:tc>
        <w:tc>
          <w:tcPr>
            <w:tcW w:w="708" w:type="pct"/>
            <w:tcBorders>
              <w:top w:val="single" w:sz="6" w:space="0" w:color="auto"/>
              <w:left w:val="single" w:sz="6" w:space="0" w:color="auto"/>
              <w:bottom w:val="single" w:sz="6" w:space="0" w:color="auto"/>
              <w:right w:val="single" w:sz="6" w:space="0" w:color="auto"/>
            </w:tcBorders>
          </w:tcPr>
          <w:p w14:paraId="593731A4" w14:textId="77777777" w:rsidR="008E12F8" w:rsidRPr="003F4EA5" w:rsidRDefault="008E12F8" w:rsidP="008E12F8">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p>
        </w:tc>
      </w:tr>
      <w:tr w:rsidR="008E12F8" w:rsidRPr="008E12F8" w14:paraId="10E27454" w14:textId="77777777" w:rsidTr="3F3807E4">
        <w:tc>
          <w:tcPr>
            <w:cnfStyle w:val="001000000000" w:firstRow="0" w:lastRow="0" w:firstColumn="1" w:lastColumn="0" w:oddVBand="0" w:evenVBand="0" w:oddHBand="0" w:evenHBand="0" w:firstRowFirstColumn="0" w:firstRowLastColumn="0" w:lastRowFirstColumn="0" w:lastRowLastColumn="0"/>
            <w:tcW w:w="2876" w:type="pct"/>
            <w:hideMark/>
          </w:tcPr>
          <w:p w14:paraId="64AFFB23" w14:textId="77777777" w:rsidR="008E12F8" w:rsidRPr="003F4EA5" w:rsidRDefault="3982CBDC" w:rsidP="3982CBDC">
            <w:pPr>
              <w:ind w:left="221"/>
              <w:jc w:val="left"/>
              <w:rPr>
                <w:rFonts w:ascii="Arial" w:eastAsia="Calibri" w:hAnsi="Arial"/>
                <w:i/>
                <w:iCs/>
                <w:noProof/>
                <w:sz w:val="16"/>
                <w:szCs w:val="16"/>
              </w:rPr>
            </w:pPr>
            <w:r w:rsidRPr="3982CBDC">
              <w:rPr>
                <w:rFonts w:ascii="Arial" w:eastAsia="Calibri" w:hAnsi="Arial"/>
                <w:noProof/>
                <w:sz w:val="16"/>
                <w:szCs w:val="16"/>
              </w:rPr>
              <w:t>Domestic</w:t>
            </w:r>
          </w:p>
        </w:tc>
        <w:tc>
          <w:tcPr>
            <w:tcW w:w="708" w:type="pct"/>
            <w:tcBorders>
              <w:top w:val="single" w:sz="6" w:space="0" w:color="auto"/>
              <w:left w:val="single" w:sz="6" w:space="0" w:color="auto"/>
              <w:bottom w:val="single" w:sz="6" w:space="0" w:color="auto"/>
              <w:right w:val="single" w:sz="6" w:space="0" w:color="auto"/>
            </w:tcBorders>
            <w:hideMark/>
          </w:tcPr>
          <w:p w14:paraId="4E426C1E"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0.3</w:t>
            </w:r>
          </w:p>
        </w:tc>
        <w:tc>
          <w:tcPr>
            <w:tcW w:w="708" w:type="pct"/>
            <w:tcBorders>
              <w:top w:val="single" w:sz="6" w:space="0" w:color="auto"/>
              <w:left w:val="single" w:sz="6" w:space="0" w:color="auto"/>
              <w:bottom w:val="single" w:sz="6" w:space="0" w:color="auto"/>
              <w:right w:val="single" w:sz="6" w:space="0" w:color="auto"/>
            </w:tcBorders>
            <w:hideMark/>
          </w:tcPr>
          <w:p w14:paraId="653AA525"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29</w:t>
            </w:r>
          </w:p>
        </w:tc>
        <w:tc>
          <w:tcPr>
            <w:tcW w:w="708" w:type="pct"/>
            <w:tcBorders>
              <w:top w:val="single" w:sz="6" w:space="0" w:color="auto"/>
              <w:left w:val="single" w:sz="6" w:space="0" w:color="auto"/>
              <w:bottom w:val="single" w:sz="6" w:space="0" w:color="auto"/>
              <w:right w:val="single" w:sz="6" w:space="0" w:color="auto"/>
            </w:tcBorders>
          </w:tcPr>
          <w:p w14:paraId="15DE6C03" w14:textId="77777777" w:rsidR="008E12F8" w:rsidRPr="003F4EA5" w:rsidRDefault="008E12F8" w:rsidP="008E12F8">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p>
        </w:tc>
      </w:tr>
      <w:tr w:rsidR="008E12F8" w:rsidRPr="008E12F8" w14:paraId="158DA213" w14:textId="77777777" w:rsidTr="3F3807E4">
        <w:tc>
          <w:tcPr>
            <w:cnfStyle w:val="001000000000" w:firstRow="0" w:lastRow="0" w:firstColumn="1" w:lastColumn="0" w:oddVBand="0" w:evenVBand="0" w:oddHBand="0" w:evenHBand="0" w:firstRowFirstColumn="0" w:firstRowLastColumn="0" w:lastRowFirstColumn="0" w:lastRowLastColumn="0"/>
            <w:tcW w:w="2876" w:type="pct"/>
            <w:hideMark/>
          </w:tcPr>
          <w:p w14:paraId="5A9567B2" w14:textId="77777777" w:rsidR="008E12F8" w:rsidRPr="003F4EA5" w:rsidRDefault="3982CBDC" w:rsidP="3982CBDC">
            <w:pPr>
              <w:ind w:left="221"/>
              <w:jc w:val="left"/>
              <w:rPr>
                <w:rFonts w:ascii="Arial" w:eastAsia="Calibri" w:hAnsi="Arial"/>
                <w:noProof/>
                <w:sz w:val="16"/>
                <w:szCs w:val="16"/>
              </w:rPr>
            </w:pPr>
            <w:r w:rsidRPr="3982CBDC">
              <w:rPr>
                <w:rFonts w:ascii="Arial" w:eastAsia="Calibri" w:hAnsi="Arial"/>
                <w:noProof/>
                <w:sz w:val="16"/>
                <w:szCs w:val="16"/>
              </w:rPr>
              <w:t>Central systems</w:t>
            </w:r>
          </w:p>
        </w:tc>
        <w:tc>
          <w:tcPr>
            <w:tcW w:w="708" w:type="pct"/>
            <w:tcBorders>
              <w:top w:val="single" w:sz="6" w:space="0" w:color="auto"/>
              <w:left w:val="single" w:sz="6" w:space="0" w:color="auto"/>
              <w:bottom w:val="single" w:sz="6" w:space="0" w:color="auto"/>
              <w:right w:val="single" w:sz="6" w:space="0" w:color="auto"/>
            </w:tcBorders>
            <w:hideMark/>
          </w:tcPr>
          <w:p w14:paraId="30B805CF"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9</w:t>
            </w:r>
          </w:p>
        </w:tc>
        <w:tc>
          <w:tcPr>
            <w:tcW w:w="708" w:type="pct"/>
            <w:tcBorders>
              <w:top w:val="single" w:sz="6" w:space="0" w:color="auto"/>
              <w:left w:val="single" w:sz="6" w:space="0" w:color="auto"/>
              <w:bottom w:val="single" w:sz="6" w:space="0" w:color="auto"/>
              <w:right w:val="single" w:sz="6" w:space="0" w:color="auto"/>
            </w:tcBorders>
            <w:hideMark/>
          </w:tcPr>
          <w:p w14:paraId="1EC3B07D"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b/>
                <w:bCs/>
                <w:noProof/>
                <w:sz w:val="16"/>
                <w:szCs w:val="16"/>
              </w:rPr>
            </w:pPr>
            <w:r w:rsidRPr="3982CBDC">
              <w:rPr>
                <w:rFonts w:ascii="Arial" w:eastAsia="Calibri" w:hAnsi="Arial" w:cs="Arial"/>
                <w:noProof/>
                <w:sz w:val="16"/>
                <w:szCs w:val="16"/>
              </w:rPr>
              <w:t>18</w:t>
            </w:r>
          </w:p>
        </w:tc>
        <w:tc>
          <w:tcPr>
            <w:tcW w:w="708" w:type="pct"/>
            <w:tcBorders>
              <w:top w:val="single" w:sz="6" w:space="0" w:color="auto"/>
              <w:left w:val="single" w:sz="6" w:space="0" w:color="auto"/>
              <w:bottom w:val="single" w:sz="6" w:space="0" w:color="auto"/>
              <w:right w:val="single" w:sz="6" w:space="0" w:color="auto"/>
            </w:tcBorders>
          </w:tcPr>
          <w:p w14:paraId="54568087" w14:textId="77777777" w:rsidR="008E12F8" w:rsidRPr="003F4EA5" w:rsidRDefault="008E12F8" w:rsidP="008E12F8">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p>
        </w:tc>
      </w:tr>
      <w:tr w:rsidR="008E12F8" w:rsidRPr="008E12F8" w14:paraId="12F52BA9" w14:textId="77777777" w:rsidTr="3F3807E4">
        <w:tc>
          <w:tcPr>
            <w:cnfStyle w:val="001000000000" w:firstRow="0" w:lastRow="0" w:firstColumn="1" w:lastColumn="0" w:oddVBand="0" w:evenVBand="0" w:oddHBand="0" w:evenHBand="0" w:firstRowFirstColumn="0" w:firstRowLastColumn="0" w:lastRowFirstColumn="0" w:lastRowLastColumn="0"/>
            <w:tcW w:w="2876" w:type="pct"/>
            <w:hideMark/>
          </w:tcPr>
          <w:p w14:paraId="758F5D02" w14:textId="77777777" w:rsidR="008E12F8" w:rsidRPr="003F4EA5" w:rsidRDefault="3982CBDC" w:rsidP="3982CBDC">
            <w:pPr>
              <w:ind w:left="221"/>
              <w:jc w:val="left"/>
              <w:rPr>
                <w:rFonts w:ascii="Arial" w:eastAsia="Calibri" w:hAnsi="Arial"/>
                <w:noProof/>
                <w:sz w:val="16"/>
                <w:szCs w:val="16"/>
              </w:rPr>
            </w:pPr>
            <w:r w:rsidRPr="3982CBDC">
              <w:rPr>
                <w:rFonts w:ascii="Arial" w:eastAsia="Calibri" w:hAnsi="Arial"/>
                <w:noProof/>
                <w:sz w:val="16"/>
                <w:szCs w:val="16"/>
              </w:rPr>
              <w:t>Condensing units</w:t>
            </w:r>
          </w:p>
        </w:tc>
        <w:tc>
          <w:tcPr>
            <w:tcW w:w="708" w:type="pct"/>
            <w:tcBorders>
              <w:top w:val="single" w:sz="6" w:space="0" w:color="auto"/>
              <w:left w:val="single" w:sz="6" w:space="0" w:color="auto"/>
              <w:bottom w:val="single" w:sz="6" w:space="0" w:color="auto"/>
              <w:right w:val="single" w:sz="6" w:space="0" w:color="auto"/>
            </w:tcBorders>
            <w:hideMark/>
          </w:tcPr>
          <w:p w14:paraId="17F01914"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6</w:t>
            </w:r>
          </w:p>
        </w:tc>
        <w:tc>
          <w:tcPr>
            <w:tcW w:w="708" w:type="pct"/>
            <w:tcBorders>
              <w:top w:val="single" w:sz="6" w:space="0" w:color="auto"/>
              <w:left w:val="single" w:sz="6" w:space="0" w:color="auto"/>
              <w:bottom w:val="single" w:sz="6" w:space="0" w:color="auto"/>
              <w:right w:val="single" w:sz="6" w:space="0" w:color="auto"/>
            </w:tcBorders>
            <w:hideMark/>
          </w:tcPr>
          <w:p w14:paraId="70FED7C6"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25</w:t>
            </w:r>
          </w:p>
        </w:tc>
        <w:tc>
          <w:tcPr>
            <w:tcW w:w="708" w:type="pct"/>
            <w:tcBorders>
              <w:top w:val="single" w:sz="6" w:space="0" w:color="auto"/>
              <w:left w:val="single" w:sz="6" w:space="0" w:color="auto"/>
              <w:bottom w:val="single" w:sz="6" w:space="0" w:color="auto"/>
              <w:right w:val="single" w:sz="6" w:space="0" w:color="auto"/>
            </w:tcBorders>
          </w:tcPr>
          <w:p w14:paraId="7BA8BA04" w14:textId="77777777" w:rsidR="008E12F8" w:rsidRPr="003F4EA5" w:rsidRDefault="008E12F8" w:rsidP="008E12F8">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p>
        </w:tc>
      </w:tr>
      <w:tr w:rsidR="008E12F8" w:rsidRPr="008E12F8" w14:paraId="513596E7" w14:textId="77777777" w:rsidTr="3F3807E4">
        <w:tc>
          <w:tcPr>
            <w:cnfStyle w:val="001000000000" w:firstRow="0" w:lastRow="0" w:firstColumn="1" w:lastColumn="0" w:oddVBand="0" w:evenVBand="0" w:oddHBand="0" w:evenHBand="0" w:firstRowFirstColumn="0" w:firstRowLastColumn="0" w:lastRowFirstColumn="0" w:lastRowLastColumn="0"/>
            <w:tcW w:w="2876" w:type="pct"/>
            <w:hideMark/>
          </w:tcPr>
          <w:p w14:paraId="62989DC7" w14:textId="77777777" w:rsidR="008E12F8" w:rsidRPr="003F4EA5" w:rsidRDefault="3982CBDC" w:rsidP="3982CBDC">
            <w:pPr>
              <w:ind w:left="221"/>
              <w:jc w:val="left"/>
              <w:rPr>
                <w:rFonts w:ascii="Arial" w:eastAsia="Calibri" w:hAnsi="Arial"/>
                <w:noProof/>
                <w:sz w:val="16"/>
                <w:szCs w:val="16"/>
              </w:rPr>
            </w:pPr>
            <w:r w:rsidRPr="3982CBDC">
              <w:rPr>
                <w:rFonts w:ascii="Arial" w:eastAsia="Calibri" w:hAnsi="Arial"/>
                <w:noProof/>
                <w:sz w:val="16"/>
                <w:szCs w:val="16"/>
              </w:rPr>
              <w:t>Hermetic units</w:t>
            </w:r>
          </w:p>
        </w:tc>
        <w:tc>
          <w:tcPr>
            <w:tcW w:w="708" w:type="pct"/>
            <w:tcBorders>
              <w:top w:val="single" w:sz="6" w:space="0" w:color="auto"/>
              <w:left w:val="single" w:sz="6" w:space="0" w:color="auto"/>
              <w:bottom w:val="single" w:sz="6" w:space="0" w:color="auto"/>
              <w:right w:val="single" w:sz="6" w:space="0" w:color="auto"/>
            </w:tcBorders>
            <w:hideMark/>
          </w:tcPr>
          <w:p w14:paraId="13E9BBA7"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1</w:t>
            </w:r>
          </w:p>
        </w:tc>
        <w:tc>
          <w:tcPr>
            <w:tcW w:w="708" w:type="pct"/>
            <w:tcBorders>
              <w:top w:val="single" w:sz="6" w:space="0" w:color="auto"/>
              <w:left w:val="single" w:sz="6" w:space="0" w:color="auto"/>
              <w:bottom w:val="single" w:sz="6" w:space="0" w:color="auto"/>
              <w:right w:val="single" w:sz="6" w:space="0" w:color="auto"/>
            </w:tcBorders>
            <w:hideMark/>
          </w:tcPr>
          <w:p w14:paraId="08D0BFC7"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35</w:t>
            </w:r>
          </w:p>
        </w:tc>
        <w:tc>
          <w:tcPr>
            <w:tcW w:w="708" w:type="pct"/>
            <w:tcBorders>
              <w:top w:val="single" w:sz="6" w:space="0" w:color="auto"/>
              <w:left w:val="single" w:sz="6" w:space="0" w:color="auto"/>
              <w:bottom w:val="single" w:sz="6" w:space="0" w:color="auto"/>
              <w:right w:val="single" w:sz="6" w:space="0" w:color="auto"/>
            </w:tcBorders>
          </w:tcPr>
          <w:p w14:paraId="4B59DB0E" w14:textId="77777777" w:rsidR="008E12F8" w:rsidRPr="003F4EA5" w:rsidRDefault="008E12F8" w:rsidP="008E12F8">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p>
        </w:tc>
      </w:tr>
      <w:tr w:rsidR="008E12F8" w:rsidRPr="008E12F8" w14:paraId="033E7739" w14:textId="77777777" w:rsidTr="3F3807E4">
        <w:tc>
          <w:tcPr>
            <w:cnfStyle w:val="001000000000" w:firstRow="0" w:lastRow="0" w:firstColumn="1" w:lastColumn="0" w:oddVBand="0" w:evenVBand="0" w:oddHBand="0" w:evenHBand="0" w:firstRowFirstColumn="0" w:firstRowLastColumn="0" w:lastRowFirstColumn="0" w:lastRowLastColumn="0"/>
            <w:tcW w:w="2876" w:type="pct"/>
            <w:hideMark/>
          </w:tcPr>
          <w:p w14:paraId="0FEB0E90" w14:textId="77777777" w:rsidR="008E12F8" w:rsidRPr="003F4EA5" w:rsidRDefault="3982CBDC" w:rsidP="3982CBDC">
            <w:pPr>
              <w:ind w:left="221"/>
              <w:jc w:val="left"/>
              <w:rPr>
                <w:rFonts w:ascii="Arial" w:eastAsia="Calibri" w:hAnsi="Arial"/>
                <w:noProof/>
                <w:sz w:val="16"/>
                <w:szCs w:val="16"/>
              </w:rPr>
            </w:pPr>
            <w:r w:rsidRPr="3982CBDC">
              <w:rPr>
                <w:rFonts w:ascii="Arial" w:eastAsia="Calibri" w:hAnsi="Arial"/>
                <w:noProof/>
                <w:sz w:val="16"/>
                <w:szCs w:val="16"/>
              </w:rPr>
              <w:t>Industrial (food)</w:t>
            </w:r>
          </w:p>
        </w:tc>
        <w:tc>
          <w:tcPr>
            <w:tcW w:w="708" w:type="pct"/>
            <w:tcBorders>
              <w:top w:val="single" w:sz="6" w:space="0" w:color="auto"/>
              <w:left w:val="single" w:sz="6" w:space="0" w:color="auto"/>
              <w:bottom w:val="single" w:sz="6" w:space="0" w:color="auto"/>
              <w:right w:val="single" w:sz="6" w:space="0" w:color="auto"/>
            </w:tcBorders>
            <w:hideMark/>
          </w:tcPr>
          <w:p w14:paraId="479A5A57"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4</w:t>
            </w:r>
          </w:p>
        </w:tc>
        <w:tc>
          <w:tcPr>
            <w:tcW w:w="708" w:type="pct"/>
            <w:tcBorders>
              <w:top w:val="single" w:sz="6" w:space="0" w:color="auto"/>
              <w:left w:val="single" w:sz="6" w:space="0" w:color="auto"/>
              <w:bottom w:val="single" w:sz="6" w:space="0" w:color="auto"/>
              <w:right w:val="single" w:sz="6" w:space="0" w:color="auto"/>
            </w:tcBorders>
            <w:hideMark/>
          </w:tcPr>
          <w:p w14:paraId="0788A602"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30</w:t>
            </w:r>
          </w:p>
        </w:tc>
        <w:tc>
          <w:tcPr>
            <w:tcW w:w="708" w:type="pct"/>
            <w:tcBorders>
              <w:top w:val="single" w:sz="6" w:space="0" w:color="auto"/>
              <w:left w:val="single" w:sz="6" w:space="0" w:color="auto"/>
              <w:bottom w:val="single" w:sz="6" w:space="0" w:color="auto"/>
              <w:right w:val="single" w:sz="6" w:space="0" w:color="auto"/>
            </w:tcBorders>
          </w:tcPr>
          <w:p w14:paraId="20554B82" w14:textId="77777777" w:rsidR="008E12F8" w:rsidRPr="003F4EA5" w:rsidRDefault="008E12F8" w:rsidP="008E12F8">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p>
        </w:tc>
      </w:tr>
      <w:tr w:rsidR="008E12F8" w:rsidRPr="008E12F8" w14:paraId="243BE233" w14:textId="77777777" w:rsidTr="3F3807E4">
        <w:tc>
          <w:tcPr>
            <w:cnfStyle w:val="001000000000" w:firstRow="0" w:lastRow="0" w:firstColumn="1" w:lastColumn="0" w:oddVBand="0" w:evenVBand="0" w:oddHBand="0" w:evenHBand="0" w:firstRowFirstColumn="0" w:firstRowLastColumn="0" w:lastRowFirstColumn="0" w:lastRowLastColumn="0"/>
            <w:tcW w:w="2876" w:type="pct"/>
            <w:hideMark/>
          </w:tcPr>
          <w:p w14:paraId="0E7073A4" w14:textId="77777777" w:rsidR="008E12F8" w:rsidRPr="003F4EA5" w:rsidRDefault="3982CBDC" w:rsidP="3982CBDC">
            <w:pPr>
              <w:ind w:left="221"/>
              <w:jc w:val="left"/>
              <w:rPr>
                <w:rFonts w:ascii="Arial" w:eastAsia="Calibri" w:hAnsi="Arial"/>
                <w:noProof/>
                <w:sz w:val="16"/>
                <w:szCs w:val="16"/>
              </w:rPr>
            </w:pPr>
            <w:r w:rsidRPr="3982CBDC">
              <w:rPr>
                <w:rFonts w:ascii="Arial" w:eastAsia="Calibri" w:hAnsi="Arial"/>
                <w:noProof/>
                <w:sz w:val="16"/>
                <w:szCs w:val="16"/>
              </w:rPr>
              <w:t>Industrial (other)</w:t>
            </w:r>
          </w:p>
        </w:tc>
        <w:tc>
          <w:tcPr>
            <w:tcW w:w="708" w:type="pct"/>
            <w:tcBorders>
              <w:top w:val="single" w:sz="6" w:space="0" w:color="auto"/>
              <w:left w:val="single" w:sz="6" w:space="0" w:color="auto"/>
              <w:bottom w:val="single" w:sz="6" w:space="0" w:color="auto"/>
              <w:right w:val="single" w:sz="6" w:space="0" w:color="auto"/>
            </w:tcBorders>
            <w:hideMark/>
          </w:tcPr>
          <w:p w14:paraId="0B111B52"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5</w:t>
            </w:r>
          </w:p>
        </w:tc>
        <w:tc>
          <w:tcPr>
            <w:tcW w:w="708" w:type="pct"/>
            <w:tcBorders>
              <w:top w:val="single" w:sz="6" w:space="0" w:color="auto"/>
              <w:left w:val="single" w:sz="6" w:space="0" w:color="auto"/>
              <w:bottom w:val="single" w:sz="6" w:space="0" w:color="auto"/>
              <w:right w:val="single" w:sz="6" w:space="0" w:color="auto"/>
            </w:tcBorders>
            <w:hideMark/>
          </w:tcPr>
          <w:p w14:paraId="2A51E0DF"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30</w:t>
            </w:r>
          </w:p>
        </w:tc>
        <w:tc>
          <w:tcPr>
            <w:tcW w:w="708" w:type="pct"/>
            <w:tcBorders>
              <w:top w:val="single" w:sz="6" w:space="0" w:color="auto"/>
              <w:left w:val="single" w:sz="6" w:space="0" w:color="auto"/>
              <w:bottom w:val="single" w:sz="6" w:space="0" w:color="auto"/>
              <w:right w:val="single" w:sz="6" w:space="0" w:color="auto"/>
            </w:tcBorders>
          </w:tcPr>
          <w:p w14:paraId="222C9AD0" w14:textId="77777777" w:rsidR="008E12F8" w:rsidRPr="003F4EA5" w:rsidRDefault="008E12F8" w:rsidP="008E12F8">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p>
        </w:tc>
      </w:tr>
      <w:tr w:rsidR="008E12F8" w:rsidRPr="008E12F8" w14:paraId="3885ACD7" w14:textId="77777777" w:rsidTr="3F3807E4">
        <w:tc>
          <w:tcPr>
            <w:cnfStyle w:val="001000000000" w:firstRow="0" w:lastRow="0" w:firstColumn="1" w:lastColumn="0" w:oddVBand="0" w:evenVBand="0" w:oddHBand="0" w:evenHBand="0" w:firstRowFirstColumn="0" w:firstRowLastColumn="0" w:lastRowFirstColumn="0" w:lastRowLastColumn="0"/>
            <w:tcW w:w="2876" w:type="pct"/>
            <w:hideMark/>
          </w:tcPr>
          <w:p w14:paraId="286180B1" w14:textId="77777777" w:rsidR="008E12F8" w:rsidRPr="003F4EA5" w:rsidRDefault="3982CBDC" w:rsidP="3982CBDC">
            <w:pPr>
              <w:ind w:left="221"/>
              <w:jc w:val="left"/>
              <w:rPr>
                <w:rFonts w:ascii="Arial" w:eastAsia="Calibri" w:hAnsi="Arial"/>
                <w:noProof/>
                <w:sz w:val="16"/>
                <w:szCs w:val="16"/>
              </w:rPr>
            </w:pPr>
            <w:r w:rsidRPr="3982CBDC">
              <w:rPr>
                <w:rFonts w:ascii="Arial" w:eastAsia="Calibri" w:hAnsi="Arial"/>
                <w:noProof/>
                <w:sz w:val="16"/>
                <w:szCs w:val="16"/>
              </w:rPr>
              <w:t>Vans</w:t>
            </w:r>
          </w:p>
        </w:tc>
        <w:tc>
          <w:tcPr>
            <w:tcW w:w="708" w:type="pct"/>
            <w:tcBorders>
              <w:top w:val="single" w:sz="6" w:space="0" w:color="auto"/>
              <w:left w:val="single" w:sz="6" w:space="0" w:color="auto"/>
              <w:bottom w:val="single" w:sz="6" w:space="0" w:color="auto"/>
              <w:right w:val="single" w:sz="6" w:space="0" w:color="auto"/>
            </w:tcBorders>
            <w:hideMark/>
          </w:tcPr>
          <w:p w14:paraId="3F92C8B0"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25</w:t>
            </w:r>
          </w:p>
        </w:tc>
        <w:tc>
          <w:tcPr>
            <w:tcW w:w="708" w:type="pct"/>
            <w:tcBorders>
              <w:top w:val="single" w:sz="6" w:space="0" w:color="auto"/>
              <w:left w:val="single" w:sz="6" w:space="0" w:color="auto"/>
              <w:bottom w:val="single" w:sz="6" w:space="0" w:color="auto"/>
              <w:right w:val="single" w:sz="6" w:space="0" w:color="auto"/>
            </w:tcBorders>
            <w:hideMark/>
          </w:tcPr>
          <w:p w14:paraId="7D29DF3A"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30</w:t>
            </w:r>
          </w:p>
        </w:tc>
        <w:tc>
          <w:tcPr>
            <w:tcW w:w="708" w:type="pct"/>
            <w:tcBorders>
              <w:top w:val="single" w:sz="6" w:space="0" w:color="auto"/>
              <w:left w:val="single" w:sz="6" w:space="0" w:color="auto"/>
              <w:bottom w:val="single" w:sz="6" w:space="0" w:color="auto"/>
              <w:right w:val="single" w:sz="6" w:space="0" w:color="auto"/>
            </w:tcBorders>
          </w:tcPr>
          <w:p w14:paraId="4A65A55D" w14:textId="77777777" w:rsidR="008E12F8" w:rsidRPr="003F4EA5" w:rsidRDefault="008E12F8" w:rsidP="008E12F8">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p>
        </w:tc>
      </w:tr>
      <w:tr w:rsidR="008E12F8" w:rsidRPr="008E12F8" w14:paraId="43BD8E3C" w14:textId="77777777" w:rsidTr="3F3807E4">
        <w:tc>
          <w:tcPr>
            <w:cnfStyle w:val="001000000000" w:firstRow="0" w:lastRow="0" w:firstColumn="1" w:lastColumn="0" w:oddVBand="0" w:evenVBand="0" w:oddHBand="0" w:evenHBand="0" w:firstRowFirstColumn="0" w:firstRowLastColumn="0" w:lastRowFirstColumn="0" w:lastRowLastColumn="0"/>
            <w:tcW w:w="2876" w:type="pct"/>
            <w:hideMark/>
          </w:tcPr>
          <w:p w14:paraId="7B447597" w14:textId="77777777" w:rsidR="008E12F8" w:rsidRPr="003F4EA5" w:rsidRDefault="3982CBDC" w:rsidP="3982CBDC">
            <w:pPr>
              <w:ind w:left="221"/>
              <w:jc w:val="left"/>
              <w:rPr>
                <w:rFonts w:ascii="Arial" w:eastAsia="Calibri" w:hAnsi="Arial"/>
                <w:noProof/>
                <w:sz w:val="16"/>
                <w:szCs w:val="16"/>
              </w:rPr>
            </w:pPr>
            <w:r w:rsidRPr="3982CBDC">
              <w:rPr>
                <w:rFonts w:ascii="Arial" w:eastAsia="Calibri" w:hAnsi="Arial"/>
                <w:noProof/>
                <w:sz w:val="16"/>
                <w:szCs w:val="16"/>
              </w:rPr>
              <w:t>Trucks and trailers</w:t>
            </w:r>
          </w:p>
        </w:tc>
        <w:tc>
          <w:tcPr>
            <w:tcW w:w="708" w:type="pct"/>
            <w:tcBorders>
              <w:top w:val="single" w:sz="6" w:space="0" w:color="auto"/>
              <w:left w:val="single" w:sz="6" w:space="0" w:color="auto"/>
              <w:bottom w:val="single" w:sz="6" w:space="0" w:color="auto"/>
              <w:right w:val="single" w:sz="6" w:space="0" w:color="auto"/>
            </w:tcBorders>
            <w:hideMark/>
          </w:tcPr>
          <w:p w14:paraId="0C60189F"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18</w:t>
            </w:r>
          </w:p>
        </w:tc>
        <w:tc>
          <w:tcPr>
            <w:tcW w:w="708" w:type="pct"/>
            <w:tcBorders>
              <w:top w:val="single" w:sz="6" w:space="0" w:color="auto"/>
              <w:left w:val="single" w:sz="6" w:space="0" w:color="auto"/>
              <w:bottom w:val="single" w:sz="6" w:space="0" w:color="auto"/>
              <w:right w:val="single" w:sz="6" w:space="0" w:color="auto"/>
            </w:tcBorders>
            <w:hideMark/>
          </w:tcPr>
          <w:p w14:paraId="5D9D3B7D"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30</w:t>
            </w:r>
          </w:p>
        </w:tc>
        <w:tc>
          <w:tcPr>
            <w:tcW w:w="708" w:type="pct"/>
            <w:tcBorders>
              <w:top w:val="single" w:sz="6" w:space="0" w:color="auto"/>
              <w:left w:val="single" w:sz="6" w:space="0" w:color="auto"/>
              <w:bottom w:val="single" w:sz="6" w:space="0" w:color="auto"/>
              <w:right w:val="single" w:sz="6" w:space="0" w:color="auto"/>
            </w:tcBorders>
          </w:tcPr>
          <w:p w14:paraId="74001F4C" w14:textId="77777777" w:rsidR="008E12F8" w:rsidRPr="003F4EA5" w:rsidRDefault="008E12F8" w:rsidP="008E12F8">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p>
        </w:tc>
      </w:tr>
      <w:tr w:rsidR="008E12F8" w:rsidRPr="008E12F8" w14:paraId="4F6B419F" w14:textId="77777777" w:rsidTr="3F3807E4">
        <w:tc>
          <w:tcPr>
            <w:cnfStyle w:val="001000000000" w:firstRow="0" w:lastRow="0" w:firstColumn="1" w:lastColumn="0" w:oddVBand="0" w:evenVBand="0" w:oddHBand="0" w:evenHBand="0" w:firstRowFirstColumn="0" w:firstRowLastColumn="0" w:lastRowFirstColumn="0" w:lastRowLastColumn="0"/>
            <w:tcW w:w="2876" w:type="pct"/>
            <w:hideMark/>
          </w:tcPr>
          <w:p w14:paraId="5A0675BA" w14:textId="77777777" w:rsidR="008E12F8" w:rsidRPr="003F4EA5" w:rsidRDefault="3982CBDC" w:rsidP="3982CBDC">
            <w:pPr>
              <w:ind w:left="221"/>
              <w:jc w:val="left"/>
              <w:rPr>
                <w:rFonts w:ascii="Arial" w:eastAsia="Calibri" w:hAnsi="Arial"/>
                <w:noProof/>
                <w:sz w:val="16"/>
                <w:szCs w:val="16"/>
              </w:rPr>
            </w:pPr>
            <w:r w:rsidRPr="3982CBDC">
              <w:rPr>
                <w:rFonts w:ascii="Arial" w:eastAsia="Calibri" w:hAnsi="Arial"/>
                <w:noProof/>
                <w:sz w:val="16"/>
                <w:szCs w:val="16"/>
              </w:rPr>
              <w:t>Fishing vessels</w:t>
            </w:r>
          </w:p>
        </w:tc>
        <w:tc>
          <w:tcPr>
            <w:tcW w:w="708"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44DF49EB"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30</w:t>
            </w:r>
          </w:p>
        </w:tc>
        <w:tc>
          <w:tcPr>
            <w:tcW w:w="708"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4523A50C"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30</w:t>
            </w:r>
          </w:p>
        </w:tc>
        <w:tc>
          <w:tcPr>
            <w:tcW w:w="708" w:type="pct"/>
            <w:tcBorders>
              <w:top w:val="single" w:sz="6" w:space="0" w:color="auto"/>
              <w:left w:val="single" w:sz="6" w:space="0" w:color="auto"/>
              <w:bottom w:val="single" w:sz="6" w:space="0" w:color="auto"/>
              <w:right w:val="single" w:sz="6" w:space="0" w:color="auto"/>
            </w:tcBorders>
            <w:shd w:val="clear" w:color="auto" w:fill="FFFFFF" w:themeFill="background1"/>
          </w:tcPr>
          <w:p w14:paraId="037F8DB0" w14:textId="77777777" w:rsidR="008E12F8" w:rsidRPr="003F4EA5" w:rsidRDefault="008E12F8" w:rsidP="008E12F8">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p>
        </w:tc>
      </w:tr>
      <w:tr w:rsidR="008E12F8" w:rsidRPr="008E12F8" w14:paraId="5055E89C" w14:textId="77777777" w:rsidTr="3F3807E4">
        <w:tc>
          <w:tcPr>
            <w:cnfStyle w:val="001000000000" w:firstRow="0" w:lastRow="0" w:firstColumn="1" w:lastColumn="0" w:oddVBand="0" w:evenVBand="0" w:oddHBand="0" w:evenHBand="0" w:firstRowFirstColumn="0" w:firstRowLastColumn="0" w:lastRowFirstColumn="0" w:lastRowLastColumn="0"/>
            <w:tcW w:w="2876" w:type="pct"/>
            <w:hideMark/>
          </w:tcPr>
          <w:p w14:paraId="60C162CD" w14:textId="77777777" w:rsidR="008E12F8" w:rsidRPr="003F4EA5" w:rsidRDefault="3982CBDC" w:rsidP="3982CBDC">
            <w:pPr>
              <w:jc w:val="left"/>
              <w:rPr>
                <w:rFonts w:ascii="Arial" w:eastAsia="Calibri" w:hAnsi="Arial"/>
                <w:noProof/>
                <w:sz w:val="16"/>
                <w:szCs w:val="16"/>
                <w:lang w:val="en-GB"/>
              </w:rPr>
            </w:pPr>
            <w:r w:rsidRPr="3982CBDC">
              <w:rPr>
                <w:rFonts w:ascii="Arial" w:eastAsia="Calibri" w:hAnsi="Arial"/>
                <w:b/>
                <w:bCs/>
                <w:noProof/>
                <w:sz w:val="16"/>
                <w:szCs w:val="16"/>
                <w:lang w:val="en-US"/>
              </w:rPr>
              <w:t>Stationary air conditioning (incl. heat pumps)</w:t>
            </w:r>
          </w:p>
        </w:tc>
        <w:tc>
          <w:tcPr>
            <w:tcW w:w="708" w:type="pct"/>
            <w:tcBorders>
              <w:top w:val="single" w:sz="6" w:space="0" w:color="auto"/>
              <w:left w:val="single" w:sz="6" w:space="0" w:color="auto"/>
              <w:bottom w:val="single" w:sz="6" w:space="0" w:color="auto"/>
              <w:right w:val="single" w:sz="6" w:space="0" w:color="auto"/>
            </w:tcBorders>
          </w:tcPr>
          <w:p w14:paraId="75F83DD8" w14:textId="77777777" w:rsidR="008E12F8" w:rsidRPr="00A41B24" w:rsidRDefault="008E12F8" w:rsidP="008E12F8">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lang w:val="en-GB"/>
              </w:rPr>
            </w:pPr>
          </w:p>
        </w:tc>
        <w:tc>
          <w:tcPr>
            <w:tcW w:w="708" w:type="pct"/>
            <w:tcBorders>
              <w:top w:val="single" w:sz="6" w:space="0" w:color="auto"/>
              <w:left w:val="single" w:sz="6" w:space="0" w:color="auto"/>
              <w:bottom w:val="single" w:sz="6" w:space="0" w:color="auto"/>
              <w:right w:val="single" w:sz="6" w:space="0" w:color="auto"/>
            </w:tcBorders>
          </w:tcPr>
          <w:p w14:paraId="4F696C79" w14:textId="77777777" w:rsidR="008E12F8" w:rsidRPr="00A41B24" w:rsidRDefault="008E12F8" w:rsidP="008E12F8">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lang w:val="en-GB"/>
              </w:rPr>
            </w:pPr>
          </w:p>
        </w:tc>
        <w:tc>
          <w:tcPr>
            <w:tcW w:w="708" w:type="pct"/>
            <w:tcBorders>
              <w:top w:val="single" w:sz="6" w:space="0" w:color="auto"/>
              <w:left w:val="single" w:sz="6" w:space="0" w:color="auto"/>
              <w:bottom w:val="single" w:sz="6" w:space="0" w:color="auto"/>
              <w:right w:val="single" w:sz="6" w:space="0" w:color="auto"/>
            </w:tcBorders>
          </w:tcPr>
          <w:p w14:paraId="1A73321B" w14:textId="77777777" w:rsidR="008E12F8" w:rsidRPr="00A41B24" w:rsidRDefault="008E12F8" w:rsidP="008E12F8">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lang w:val="en-GB"/>
              </w:rPr>
            </w:pPr>
          </w:p>
        </w:tc>
      </w:tr>
      <w:tr w:rsidR="008E12F8" w:rsidRPr="008E12F8" w14:paraId="613F0F4C" w14:textId="77777777" w:rsidTr="3F3807E4">
        <w:tc>
          <w:tcPr>
            <w:cnfStyle w:val="001000000000" w:firstRow="0" w:lastRow="0" w:firstColumn="1" w:lastColumn="0" w:oddVBand="0" w:evenVBand="0" w:oddHBand="0" w:evenHBand="0" w:firstRowFirstColumn="0" w:firstRowLastColumn="0" w:lastRowFirstColumn="0" w:lastRowLastColumn="0"/>
            <w:tcW w:w="2876" w:type="pct"/>
            <w:hideMark/>
          </w:tcPr>
          <w:p w14:paraId="0AC9885C" w14:textId="77777777" w:rsidR="008E12F8" w:rsidRPr="003F4EA5" w:rsidRDefault="3982CBDC" w:rsidP="3982CBDC">
            <w:pPr>
              <w:ind w:left="221"/>
              <w:jc w:val="left"/>
              <w:rPr>
                <w:rFonts w:ascii="Arial" w:eastAsia="Calibri" w:hAnsi="Arial"/>
                <w:b/>
                <w:bCs/>
                <w:noProof/>
                <w:sz w:val="16"/>
                <w:szCs w:val="16"/>
              </w:rPr>
            </w:pPr>
            <w:r w:rsidRPr="3982CBDC">
              <w:rPr>
                <w:rFonts w:ascii="Arial" w:eastAsia="Calibri" w:hAnsi="Arial"/>
                <w:noProof/>
                <w:sz w:val="16"/>
                <w:szCs w:val="16"/>
              </w:rPr>
              <w:t>Moveable units</w:t>
            </w:r>
          </w:p>
        </w:tc>
        <w:tc>
          <w:tcPr>
            <w:tcW w:w="708" w:type="pct"/>
            <w:tcBorders>
              <w:top w:val="single" w:sz="6" w:space="0" w:color="auto"/>
              <w:left w:val="single" w:sz="6" w:space="0" w:color="auto"/>
              <w:bottom w:val="single" w:sz="6" w:space="0" w:color="auto"/>
              <w:right w:val="single" w:sz="6" w:space="0" w:color="auto"/>
            </w:tcBorders>
            <w:hideMark/>
          </w:tcPr>
          <w:p w14:paraId="7080E32C"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3</w:t>
            </w:r>
          </w:p>
        </w:tc>
        <w:tc>
          <w:tcPr>
            <w:tcW w:w="708" w:type="pct"/>
            <w:tcBorders>
              <w:top w:val="single" w:sz="6" w:space="0" w:color="auto"/>
              <w:left w:val="single" w:sz="6" w:space="0" w:color="auto"/>
              <w:bottom w:val="single" w:sz="6" w:space="0" w:color="auto"/>
              <w:right w:val="single" w:sz="6" w:space="0" w:color="auto"/>
            </w:tcBorders>
            <w:hideMark/>
          </w:tcPr>
          <w:p w14:paraId="1B980034"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35</w:t>
            </w:r>
          </w:p>
        </w:tc>
        <w:tc>
          <w:tcPr>
            <w:tcW w:w="708" w:type="pct"/>
            <w:tcBorders>
              <w:top w:val="single" w:sz="6" w:space="0" w:color="auto"/>
              <w:left w:val="single" w:sz="6" w:space="0" w:color="auto"/>
              <w:bottom w:val="single" w:sz="6" w:space="0" w:color="auto"/>
              <w:right w:val="single" w:sz="6" w:space="0" w:color="auto"/>
            </w:tcBorders>
          </w:tcPr>
          <w:p w14:paraId="314C900D" w14:textId="77777777" w:rsidR="008E12F8" w:rsidRPr="003F4EA5" w:rsidRDefault="008E12F8" w:rsidP="008E12F8">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p>
        </w:tc>
      </w:tr>
      <w:tr w:rsidR="008E12F8" w:rsidRPr="008E12F8" w14:paraId="28EEE3E1" w14:textId="77777777" w:rsidTr="3F3807E4">
        <w:tc>
          <w:tcPr>
            <w:cnfStyle w:val="001000000000" w:firstRow="0" w:lastRow="0" w:firstColumn="1" w:lastColumn="0" w:oddVBand="0" w:evenVBand="0" w:oddHBand="0" w:evenHBand="0" w:firstRowFirstColumn="0" w:firstRowLastColumn="0" w:lastRowFirstColumn="0" w:lastRowLastColumn="0"/>
            <w:tcW w:w="2876" w:type="pct"/>
            <w:hideMark/>
          </w:tcPr>
          <w:p w14:paraId="4B3AC8E0" w14:textId="77777777" w:rsidR="008E12F8" w:rsidRPr="003F4EA5" w:rsidRDefault="3982CBDC" w:rsidP="3982CBDC">
            <w:pPr>
              <w:ind w:left="221"/>
              <w:jc w:val="left"/>
              <w:rPr>
                <w:rFonts w:ascii="Arial" w:eastAsia="Calibri" w:hAnsi="Arial"/>
                <w:noProof/>
                <w:sz w:val="16"/>
                <w:szCs w:val="16"/>
                <w:lang w:val="en-GB"/>
              </w:rPr>
            </w:pPr>
            <w:r w:rsidRPr="3982CBDC">
              <w:rPr>
                <w:rFonts w:ascii="Arial" w:eastAsia="Calibri" w:hAnsi="Arial"/>
                <w:noProof/>
                <w:sz w:val="16"/>
                <w:szCs w:val="16"/>
                <w:lang w:val="en-US"/>
              </w:rPr>
              <w:t>Small split units incl. air/air heat pumps</w:t>
            </w:r>
          </w:p>
        </w:tc>
        <w:tc>
          <w:tcPr>
            <w:tcW w:w="708" w:type="pct"/>
            <w:tcBorders>
              <w:top w:val="single" w:sz="6" w:space="0" w:color="auto"/>
              <w:left w:val="single" w:sz="6" w:space="0" w:color="auto"/>
              <w:bottom w:val="single" w:sz="6" w:space="0" w:color="auto"/>
              <w:right w:val="single" w:sz="6" w:space="0" w:color="auto"/>
            </w:tcBorders>
            <w:hideMark/>
          </w:tcPr>
          <w:p w14:paraId="2939134A"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5</w:t>
            </w:r>
          </w:p>
        </w:tc>
        <w:tc>
          <w:tcPr>
            <w:tcW w:w="708" w:type="pct"/>
            <w:tcBorders>
              <w:top w:val="single" w:sz="6" w:space="0" w:color="auto"/>
              <w:left w:val="single" w:sz="6" w:space="0" w:color="auto"/>
              <w:bottom w:val="single" w:sz="6" w:space="0" w:color="auto"/>
              <w:right w:val="single" w:sz="6" w:space="0" w:color="auto"/>
            </w:tcBorders>
            <w:hideMark/>
          </w:tcPr>
          <w:p w14:paraId="0DA5D687"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35</w:t>
            </w:r>
          </w:p>
        </w:tc>
        <w:tc>
          <w:tcPr>
            <w:tcW w:w="708" w:type="pct"/>
            <w:tcBorders>
              <w:top w:val="single" w:sz="6" w:space="0" w:color="auto"/>
              <w:left w:val="single" w:sz="6" w:space="0" w:color="auto"/>
              <w:bottom w:val="single" w:sz="6" w:space="0" w:color="auto"/>
              <w:right w:val="single" w:sz="6" w:space="0" w:color="auto"/>
            </w:tcBorders>
          </w:tcPr>
          <w:p w14:paraId="2E23A7F3" w14:textId="77777777" w:rsidR="008E12F8" w:rsidRPr="003F4EA5" w:rsidRDefault="008E12F8" w:rsidP="008E12F8">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p>
        </w:tc>
      </w:tr>
      <w:tr w:rsidR="008E12F8" w:rsidRPr="008E12F8" w14:paraId="60E891B3" w14:textId="77777777" w:rsidTr="3F3807E4">
        <w:tc>
          <w:tcPr>
            <w:cnfStyle w:val="001000000000" w:firstRow="0" w:lastRow="0" w:firstColumn="1" w:lastColumn="0" w:oddVBand="0" w:evenVBand="0" w:oddHBand="0" w:evenHBand="0" w:firstRowFirstColumn="0" w:firstRowLastColumn="0" w:lastRowFirstColumn="0" w:lastRowLastColumn="0"/>
            <w:tcW w:w="2876" w:type="pct"/>
            <w:hideMark/>
          </w:tcPr>
          <w:p w14:paraId="6FA8F6F7" w14:textId="77777777" w:rsidR="008E12F8" w:rsidRPr="003F4EA5" w:rsidRDefault="3982CBDC" w:rsidP="3982CBDC">
            <w:pPr>
              <w:ind w:left="221"/>
              <w:jc w:val="left"/>
              <w:rPr>
                <w:rFonts w:ascii="Arial" w:eastAsia="Calibri" w:hAnsi="Arial"/>
                <w:noProof/>
                <w:sz w:val="16"/>
                <w:szCs w:val="16"/>
                <w:lang w:val="en-GB"/>
              </w:rPr>
            </w:pPr>
            <w:r w:rsidRPr="3982CBDC">
              <w:rPr>
                <w:rFonts w:ascii="Arial" w:eastAsia="Calibri" w:hAnsi="Arial"/>
                <w:noProof/>
                <w:sz w:val="16"/>
                <w:szCs w:val="16"/>
                <w:lang w:val="en-US"/>
              </w:rPr>
              <w:t>Large split and VRF units</w:t>
            </w:r>
          </w:p>
        </w:tc>
        <w:tc>
          <w:tcPr>
            <w:tcW w:w="708" w:type="pct"/>
            <w:tcBorders>
              <w:top w:val="single" w:sz="6" w:space="0" w:color="auto"/>
              <w:left w:val="single" w:sz="6" w:space="0" w:color="auto"/>
              <w:bottom w:val="single" w:sz="6" w:space="0" w:color="auto"/>
              <w:right w:val="single" w:sz="6" w:space="0" w:color="auto"/>
            </w:tcBorders>
            <w:hideMark/>
          </w:tcPr>
          <w:p w14:paraId="401765D4"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5</w:t>
            </w:r>
          </w:p>
        </w:tc>
        <w:tc>
          <w:tcPr>
            <w:tcW w:w="708" w:type="pct"/>
            <w:tcBorders>
              <w:top w:val="single" w:sz="6" w:space="0" w:color="auto"/>
              <w:left w:val="single" w:sz="6" w:space="0" w:color="auto"/>
              <w:bottom w:val="single" w:sz="6" w:space="0" w:color="auto"/>
              <w:right w:val="single" w:sz="6" w:space="0" w:color="auto"/>
            </w:tcBorders>
            <w:hideMark/>
          </w:tcPr>
          <w:p w14:paraId="5CAA58D8"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20</w:t>
            </w:r>
          </w:p>
        </w:tc>
        <w:tc>
          <w:tcPr>
            <w:tcW w:w="708" w:type="pct"/>
            <w:tcBorders>
              <w:top w:val="single" w:sz="6" w:space="0" w:color="auto"/>
              <w:left w:val="single" w:sz="6" w:space="0" w:color="auto"/>
              <w:bottom w:val="single" w:sz="6" w:space="0" w:color="auto"/>
              <w:right w:val="single" w:sz="6" w:space="0" w:color="auto"/>
            </w:tcBorders>
          </w:tcPr>
          <w:p w14:paraId="0E1F46B7" w14:textId="77777777" w:rsidR="008E12F8" w:rsidRPr="003F4EA5" w:rsidRDefault="008E12F8" w:rsidP="008E12F8">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p>
        </w:tc>
      </w:tr>
      <w:tr w:rsidR="008E12F8" w:rsidRPr="008E12F8" w14:paraId="32665E25" w14:textId="77777777" w:rsidTr="3F3807E4">
        <w:tc>
          <w:tcPr>
            <w:cnfStyle w:val="001000000000" w:firstRow="0" w:lastRow="0" w:firstColumn="1" w:lastColumn="0" w:oddVBand="0" w:evenVBand="0" w:oddHBand="0" w:evenHBand="0" w:firstRowFirstColumn="0" w:firstRowLastColumn="0" w:lastRowFirstColumn="0" w:lastRowLastColumn="0"/>
            <w:tcW w:w="2876" w:type="pct"/>
            <w:hideMark/>
          </w:tcPr>
          <w:p w14:paraId="552A7B35" w14:textId="77777777" w:rsidR="008E12F8" w:rsidRPr="003F4EA5" w:rsidRDefault="3982CBDC" w:rsidP="3982CBDC">
            <w:pPr>
              <w:ind w:left="221"/>
              <w:jc w:val="left"/>
              <w:rPr>
                <w:rFonts w:ascii="Arial" w:eastAsia="Calibri" w:hAnsi="Arial"/>
                <w:noProof/>
                <w:sz w:val="16"/>
                <w:szCs w:val="16"/>
                <w:lang w:val="en-GB"/>
              </w:rPr>
            </w:pPr>
            <w:r w:rsidRPr="3982CBDC">
              <w:rPr>
                <w:rFonts w:ascii="Arial" w:eastAsia="Calibri" w:hAnsi="Arial"/>
                <w:noProof/>
                <w:sz w:val="16"/>
                <w:szCs w:val="16"/>
                <w:lang w:val="en-US"/>
              </w:rPr>
              <w:t>Packaged equipment (incl. rooftop units)</w:t>
            </w:r>
          </w:p>
        </w:tc>
        <w:tc>
          <w:tcPr>
            <w:tcW w:w="708" w:type="pct"/>
            <w:tcBorders>
              <w:top w:val="single" w:sz="6" w:space="0" w:color="auto"/>
              <w:left w:val="single" w:sz="6" w:space="0" w:color="auto"/>
              <w:bottom w:val="single" w:sz="6" w:space="0" w:color="auto"/>
              <w:right w:val="single" w:sz="6" w:space="0" w:color="auto"/>
            </w:tcBorders>
            <w:hideMark/>
          </w:tcPr>
          <w:p w14:paraId="59C591C5"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3</w:t>
            </w:r>
          </w:p>
        </w:tc>
        <w:tc>
          <w:tcPr>
            <w:tcW w:w="708" w:type="pct"/>
            <w:tcBorders>
              <w:top w:val="single" w:sz="6" w:space="0" w:color="auto"/>
              <w:left w:val="single" w:sz="6" w:space="0" w:color="auto"/>
              <w:bottom w:val="single" w:sz="6" w:space="0" w:color="auto"/>
              <w:right w:val="single" w:sz="6" w:space="0" w:color="auto"/>
            </w:tcBorders>
            <w:hideMark/>
          </w:tcPr>
          <w:p w14:paraId="0B761387"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20</w:t>
            </w:r>
          </w:p>
        </w:tc>
        <w:tc>
          <w:tcPr>
            <w:tcW w:w="708" w:type="pct"/>
            <w:tcBorders>
              <w:top w:val="single" w:sz="6" w:space="0" w:color="auto"/>
              <w:left w:val="single" w:sz="6" w:space="0" w:color="auto"/>
              <w:bottom w:val="single" w:sz="6" w:space="0" w:color="auto"/>
              <w:right w:val="single" w:sz="6" w:space="0" w:color="auto"/>
            </w:tcBorders>
          </w:tcPr>
          <w:p w14:paraId="4BD7D72B" w14:textId="77777777" w:rsidR="008E12F8" w:rsidRPr="003F4EA5" w:rsidRDefault="008E12F8" w:rsidP="008E12F8">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p>
        </w:tc>
      </w:tr>
      <w:tr w:rsidR="008E12F8" w:rsidRPr="008E12F8" w14:paraId="6F475580" w14:textId="77777777" w:rsidTr="3F3807E4">
        <w:tc>
          <w:tcPr>
            <w:cnfStyle w:val="001000000000" w:firstRow="0" w:lastRow="0" w:firstColumn="1" w:lastColumn="0" w:oddVBand="0" w:evenVBand="0" w:oddHBand="0" w:evenHBand="0" w:firstRowFirstColumn="0" w:firstRowLastColumn="0" w:lastRowFirstColumn="0" w:lastRowLastColumn="0"/>
            <w:tcW w:w="2876" w:type="pct"/>
            <w:hideMark/>
          </w:tcPr>
          <w:p w14:paraId="1C367CE6" w14:textId="77777777" w:rsidR="008E12F8" w:rsidRPr="003F4EA5" w:rsidRDefault="3982CBDC" w:rsidP="3982CBDC">
            <w:pPr>
              <w:ind w:left="221"/>
              <w:jc w:val="left"/>
              <w:rPr>
                <w:rFonts w:ascii="Arial" w:eastAsia="Calibri" w:hAnsi="Arial"/>
                <w:noProof/>
                <w:sz w:val="16"/>
                <w:szCs w:val="16"/>
              </w:rPr>
            </w:pPr>
            <w:r w:rsidRPr="3982CBDC">
              <w:rPr>
                <w:rFonts w:ascii="Arial" w:eastAsia="Calibri" w:hAnsi="Arial"/>
                <w:noProof/>
                <w:sz w:val="16"/>
                <w:szCs w:val="16"/>
              </w:rPr>
              <w:t>Chillers</w:t>
            </w:r>
          </w:p>
        </w:tc>
        <w:tc>
          <w:tcPr>
            <w:tcW w:w="708" w:type="pct"/>
            <w:tcBorders>
              <w:top w:val="single" w:sz="6" w:space="0" w:color="auto"/>
              <w:left w:val="single" w:sz="6" w:space="0" w:color="auto"/>
              <w:bottom w:val="single" w:sz="6" w:space="0" w:color="auto"/>
              <w:right w:val="single" w:sz="6" w:space="0" w:color="auto"/>
            </w:tcBorders>
            <w:hideMark/>
          </w:tcPr>
          <w:p w14:paraId="716233A8"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2.4</w:t>
            </w:r>
          </w:p>
        </w:tc>
        <w:tc>
          <w:tcPr>
            <w:tcW w:w="708" w:type="pct"/>
            <w:tcBorders>
              <w:top w:val="single" w:sz="6" w:space="0" w:color="auto"/>
              <w:left w:val="single" w:sz="6" w:space="0" w:color="auto"/>
              <w:bottom w:val="single" w:sz="6" w:space="0" w:color="auto"/>
              <w:right w:val="single" w:sz="6" w:space="0" w:color="auto"/>
            </w:tcBorders>
            <w:hideMark/>
          </w:tcPr>
          <w:p w14:paraId="5F64A565"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20</w:t>
            </w:r>
          </w:p>
        </w:tc>
        <w:tc>
          <w:tcPr>
            <w:tcW w:w="708" w:type="pct"/>
            <w:tcBorders>
              <w:top w:val="single" w:sz="6" w:space="0" w:color="auto"/>
              <w:left w:val="single" w:sz="6" w:space="0" w:color="auto"/>
              <w:bottom w:val="single" w:sz="6" w:space="0" w:color="auto"/>
              <w:right w:val="single" w:sz="6" w:space="0" w:color="auto"/>
            </w:tcBorders>
          </w:tcPr>
          <w:p w14:paraId="332A0D27" w14:textId="77777777" w:rsidR="008E12F8" w:rsidRPr="003F4EA5" w:rsidRDefault="008E12F8" w:rsidP="008E12F8">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p>
        </w:tc>
      </w:tr>
      <w:tr w:rsidR="008E12F8" w:rsidRPr="008E12F8" w14:paraId="6B12CBE8" w14:textId="77777777" w:rsidTr="3F3807E4">
        <w:tc>
          <w:tcPr>
            <w:cnfStyle w:val="001000000000" w:firstRow="0" w:lastRow="0" w:firstColumn="1" w:lastColumn="0" w:oddVBand="0" w:evenVBand="0" w:oddHBand="0" w:evenHBand="0" w:firstRowFirstColumn="0" w:firstRowLastColumn="0" w:lastRowFirstColumn="0" w:lastRowLastColumn="0"/>
            <w:tcW w:w="2876" w:type="pct"/>
            <w:hideMark/>
          </w:tcPr>
          <w:p w14:paraId="1EA80284" w14:textId="77777777" w:rsidR="008E12F8" w:rsidRPr="003F4EA5" w:rsidRDefault="3982CBDC" w:rsidP="3982CBDC">
            <w:pPr>
              <w:ind w:left="221"/>
              <w:jc w:val="left"/>
              <w:rPr>
                <w:rFonts w:ascii="Arial" w:eastAsia="Calibri" w:hAnsi="Arial"/>
                <w:noProof/>
                <w:sz w:val="16"/>
                <w:szCs w:val="16"/>
              </w:rPr>
            </w:pPr>
            <w:r w:rsidRPr="3982CBDC">
              <w:rPr>
                <w:rFonts w:ascii="Arial" w:eastAsia="Calibri" w:hAnsi="Arial"/>
                <w:noProof/>
                <w:sz w:val="16"/>
                <w:szCs w:val="16"/>
              </w:rPr>
              <w:t>Heat pumps (small)</w:t>
            </w:r>
          </w:p>
        </w:tc>
        <w:tc>
          <w:tcPr>
            <w:tcW w:w="708" w:type="pct"/>
            <w:tcBorders>
              <w:top w:val="single" w:sz="6" w:space="0" w:color="auto"/>
              <w:left w:val="single" w:sz="6" w:space="0" w:color="auto"/>
              <w:bottom w:val="single" w:sz="6" w:space="0" w:color="auto"/>
              <w:right w:val="single" w:sz="6" w:space="0" w:color="auto"/>
            </w:tcBorders>
            <w:hideMark/>
          </w:tcPr>
          <w:p w14:paraId="2E7554E6"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3.5</w:t>
            </w:r>
          </w:p>
        </w:tc>
        <w:tc>
          <w:tcPr>
            <w:tcW w:w="708" w:type="pct"/>
            <w:tcBorders>
              <w:top w:val="single" w:sz="6" w:space="0" w:color="auto"/>
              <w:left w:val="single" w:sz="6" w:space="0" w:color="auto"/>
              <w:bottom w:val="single" w:sz="6" w:space="0" w:color="auto"/>
              <w:right w:val="single" w:sz="6" w:space="0" w:color="auto"/>
            </w:tcBorders>
            <w:hideMark/>
          </w:tcPr>
          <w:p w14:paraId="6646D850"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35</w:t>
            </w:r>
          </w:p>
        </w:tc>
        <w:tc>
          <w:tcPr>
            <w:tcW w:w="708" w:type="pct"/>
            <w:tcBorders>
              <w:top w:val="single" w:sz="6" w:space="0" w:color="auto"/>
              <w:left w:val="single" w:sz="6" w:space="0" w:color="auto"/>
              <w:bottom w:val="single" w:sz="6" w:space="0" w:color="auto"/>
              <w:right w:val="single" w:sz="6" w:space="0" w:color="auto"/>
            </w:tcBorders>
          </w:tcPr>
          <w:p w14:paraId="46E57052" w14:textId="77777777" w:rsidR="008E12F8" w:rsidRPr="003F4EA5" w:rsidRDefault="008E12F8" w:rsidP="008E12F8">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p>
        </w:tc>
      </w:tr>
      <w:tr w:rsidR="008E12F8" w:rsidRPr="008E12F8" w14:paraId="6BCF41A2" w14:textId="77777777" w:rsidTr="3F3807E4">
        <w:tc>
          <w:tcPr>
            <w:cnfStyle w:val="001000000000" w:firstRow="0" w:lastRow="0" w:firstColumn="1" w:lastColumn="0" w:oddVBand="0" w:evenVBand="0" w:oddHBand="0" w:evenHBand="0" w:firstRowFirstColumn="0" w:firstRowLastColumn="0" w:lastRowFirstColumn="0" w:lastRowLastColumn="0"/>
            <w:tcW w:w="2876" w:type="pct"/>
            <w:hideMark/>
          </w:tcPr>
          <w:p w14:paraId="4B25867B" w14:textId="77777777" w:rsidR="008E12F8" w:rsidRPr="003F4EA5" w:rsidRDefault="3982CBDC" w:rsidP="3982CBDC">
            <w:pPr>
              <w:ind w:left="221"/>
              <w:jc w:val="left"/>
              <w:rPr>
                <w:rFonts w:ascii="Arial" w:eastAsia="Calibri" w:hAnsi="Arial"/>
                <w:noProof/>
                <w:sz w:val="16"/>
                <w:szCs w:val="16"/>
              </w:rPr>
            </w:pPr>
            <w:r w:rsidRPr="3982CBDC">
              <w:rPr>
                <w:rFonts w:ascii="Arial" w:eastAsia="Calibri" w:hAnsi="Arial"/>
                <w:noProof/>
                <w:sz w:val="16"/>
                <w:szCs w:val="16"/>
              </w:rPr>
              <w:t>Heat pumps (medium)</w:t>
            </w:r>
          </w:p>
        </w:tc>
        <w:tc>
          <w:tcPr>
            <w:tcW w:w="708" w:type="pct"/>
            <w:tcBorders>
              <w:top w:val="single" w:sz="6" w:space="0" w:color="auto"/>
              <w:left w:val="single" w:sz="6" w:space="0" w:color="auto"/>
              <w:bottom w:val="single" w:sz="6" w:space="0" w:color="auto"/>
              <w:right w:val="single" w:sz="6" w:space="0" w:color="auto"/>
            </w:tcBorders>
            <w:hideMark/>
          </w:tcPr>
          <w:p w14:paraId="79A4F89E"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4.5</w:t>
            </w:r>
          </w:p>
        </w:tc>
        <w:tc>
          <w:tcPr>
            <w:tcW w:w="708" w:type="pct"/>
            <w:tcBorders>
              <w:top w:val="single" w:sz="6" w:space="0" w:color="auto"/>
              <w:left w:val="single" w:sz="6" w:space="0" w:color="auto"/>
              <w:bottom w:val="single" w:sz="6" w:space="0" w:color="auto"/>
              <w:right w:val="single" w:sz="6" w:space="0" w:color="auto"/>
            </w:tcBorders>
            <w:hideMark/>
          </w:tcPr>
          <w:p w14:paraId="48E2C0BB"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35</w:t>
            </w:r>
          </w:p>
        </w:tc>
        <w:tc>
          <w:tcPr>
            <w:tcW w:w="708" w:type="pct"/>
            <w:tcBorders>
              <w:top w:val="single" w:sz="6" w:space="0" w:color="auto"/>
              <w:left w:val="single" w:sz="6" w:space="0" w:color="auto"/>
              <w:bottom w:val="single" w:sz="6" w:space="0" w:color="auto"/>
              <w:right w:val="single" w:sz="6" w:space="0" w:color="auto"/>
            </w:tcBorders>
          </w:tcPr>
          <w:p w14:paraId="3E089F2C" w14:textId="77777777" w:rsidR="008E12F8" w:rsidRPr="003F4EA5" w:rsidRDefault="008E12F8" w:rsidP="008E12F8">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p>
        </w:tc>
      </w:tr>
      <w:tr w:rsidR="008E12F8" w:rsidRPr="008E12F8" w14:paraId="30FFD1A0" w14:textId="77777777" w:rsidTr="3F3807E4">
        <w:tc>
          <w:tcPr>
            <w:cnfStyle w:val="001000000000" w:firstRow="0" w:lastRow="0" w:firstColumn="1" w:lastColumn="0" w:oddVBand="0" w:evenVBand="0" w:oddHBand="0" w:evenHBand="0" w:firstRowFirstColumn="0" w:firstRowLastColumn="0" w:lastRowFirstColumn="0" w:lastRowLastColumn="0"/>
            <w:tcW w:w="2876" w:type="pct"/>
            <w:hideMark/>
          </w:tcPr>
          <w:p w14:paraId="0915DE37" w14:textId="77777777" w:rsidR="008E12F8" w:rsidRPr="003F4EA5" w:rsidRDefault="3982CBDC" w:rsidP="3982CBDC">
            <w:pPr>
              <w:ind w:left="221"/>
              <w:jc w:val="left"/>
              <w:rPr>
                <w:rFonts w:ascii="Arial" w:eastAsia="Calibri" w:hAnsi="Arial"/>
                <w:noProof/>
                <w:sz w:val="16"/>
                <w:szCs w:val="16"/>
              </w:rPr>
            </w:pPr>
            <w:r w:rsidRPr="3982CBDC">
              <w:rPr>
                <w:rFonts w:ascii="Arial" w:eastAsia="Calibri" w:hAnsi="Arial"/>
                <w:noProof/>
                <w:sz w:val="16"/>
                <w:szCs w:val="16"/>
              </w:rPr>
              <w:t>Heat pumps (large)</w:t>
            </w:r>
          </w:p>
        </w:tc>
        <w:tc>
          <w:tcPr>
            <w:tcW w:w="708" w:type="pct"/>
            <w:tcBorders>
              <w:top w:val="single" w:sz="6" w:space="0" w:color="auto"/>
              <w:left w:val="single" w:sz="6" w:space="0" w:color="auto"/>
              <w:bottom w:val="single" w:sz="6" w:space="0" w:color="auto"/>
              <w:right w:val="single" w:sz="6" w:space="0" w:color="auto"/>
            </w:tcBorders>
            <w:hideMark/>
          </w:tcPr>
          <w:p w14:paraId="26FA88EC"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6</w:t>
            </w:r>
          </w:p>
        </w:tc>
        <w:tc>
          <w:tcPr>
            <w:tcW w:w="708" w:type="pct"/>
            <w:tcBorders>
              <w:top w:val="single" w:sz="6" w:space="0" w:color="auto"/>
              <w:left w:val="single" w:sz="6" w:space="0" w:color="auto"/>
              <w:bottom w:val="single" w:sz="6" w:space="0" w:color="auto"/>
              <w:right w:val="single" w:sz="6" w:space="0" w:color="auto"/>
            </w:tcBorders>
            <w:hideMark/>
          </w:tcPr>
          <w:p w14:paraId="74638E43"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20</w:t>
            </w:r>
          </w:p>
        </w:tc>
        <w:tc>
          <w:tcPr>
            <w:tcW w:w="708" w:type="pct"/>
            <w:tcBorders>
              <w:top w:val="single" w:sz="6" w:space="0" w:color="auto"/>
              <w:left w:val="single" w:sz="6" w:space="0" w:color="auto"/>
              <w:bottom w:val="single" w:sz="6" w:space="0" w:color="auto"/>
              <w:right w:val="single" w:sz="6" w:space="0" w:color="auto"/>
            </w:tcBorders>
          </w:tcPr>
          <w:p w14:paraId="2A5599F3" w14:textId="77777777" w:rsidR="008E12F8" w:rsidRPr="003F4EA5" w:rsidRDefault="008E12F8" w:rsidP="008E12F8">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p>
        </w:tc>
      </w:tr>
      <w:tr w:rsidR="008E12F8" w:rsidRPr="008E12F8" w14:paraId="061BDB23" w14:textId="77777777" w:rsidTr="3F3807E4">
        <w:tc>
          <w:tcPr>
            <w:cnfStyle w:val="001000000000" w:firstRow="0" w:lastRow="0" w:firstColumn="1" w:lastColumn="0" w:oddVBand="0" w:evenVBand="0" w:oddHBand="0" w:evenHBand="0" w:firstRowFirstColumn="0" w:firstRowLastColumn="0" w:lastRowFirstColumn="0" w:lastRowLastColumn="0"/>
            <w:tcW w:w="2876" w:type="pct"/>
            <w:hideMark/>
          </w:tcPr>
          <w:p w14:paraId="6119B280" w14:textId="77777777" w:rsidR="008E12F8" w:rsidRPr="003F4EA5" w:rsidRDefault="3982CBDC" w:rsidP="3982CBDC">
            <w:pPr>
              <w:jc w:val="left"/>
              <w:rPr>
                <w:rFonts w:ascii="Arial" w:eastAsia="Calibri" w:hAnsi="Arial"/>
                <w:noProof/>
                <w:sz w:val="16"/>
                <w:szCs w:val="16"/>
              </w:rPr>
            </w:pPr>
            <w:r w:rsidRPr="3982CBDC">
              <w:rPr>
                <w:rFonts w:ascii="Arial" w:eastAsia="Calibri" w:hAnsi="Arial"/>
                <w:b/>
                <w:bCs/>
                <w:noProof/>
                <w:sz w:val="16"/>
                <w:szCs w:val="16"/>
              </w:rPr>
              <w:t>Mobile air conditioning</w:t>
            </w:r>
          </w:p>
        </w:tc>
        <w:tc>
          <w:tcPr>
            <w:tcW w:w="708" w:type="pct"/>
            <w:tcBorders>
              <w:top w:val="single" w:sz="6" w:space="0" w:color="auto"/>
              <w:left w:val="single" w:sz="6" w:space="0" w:color="auto"/>
              <w:bottom w:val="single" w:sz="6" w:space="0" w:color="auto"/>
              <w:right w:val="single" w:sz="6" w:space="0" w:color="auto"/>
            </w:tcBorders>
          </w:tcPr>
          <w:p w14:paraId="31E1CE5D" w14:textId="77777777" w:rsidR="008E12F8" w:rsidRPr="003F4EA5" w:rsidRDefault="008E12F8" w:rsidP="008E12F8">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p>
        </w:tc>
        <w:tc>
          <w:tcPr>
            <w:tcW w:w="708" w:type="pct"/>
            <w:tcBorders>
              <w:top w:val="single" w:sz="6" w:space="0" w:color="auto"/>
              <w:left w:val="single" w:sz="6" w:space="0" w:color="auto"/>
              <w:bottom w:val="single" w:sz="6" w:space="0" w:color="auto"/>
              <w:right w:val="single" w:sz="6" w:space="0" w:color="auto"/>
            </w:tcBorders>
          </w:tcPr>
          <w:p w14:paraId="3EB694E9" w14:textId="77777777" w:rsidR="008E12F8" w:rsidRPr="003F4EA5" w:rsidRDefault="008E12F8" w:rsidP="008E12F8">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p>
        </w:tc>
        <w:tc>
          <w:tcPr>
            <w:tcW w:w="708" w:type="pct"/>
            <w:tcBorders>
              <w:top w:val="single" w:sz="6" w:space="0" w:color="auto"/>
              <w:left w:val="single" w:sz="6" w:space="0" w:color="auto"/>
              <w:bottom w:val="single" w:sz="6" w:space="0" w:color="auto"/>
              <w:right w:val="single" w:sz="6" w:space="0" w:color="auto"/>
            </w:tcBorders>
          </w:tcPr>
          <w:p w14:paraId="7D7B8149" w14:textId="77777777" w:rsidR="008E12F8" w:rsidRPr="003F4EA5" w:rsidRDefault="008E12F8" w:rsidP="008E12F8">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p>
        </w:tc>
      </w:tr>
      <w:tr w:rsidR="008E12F8" w:rsidRPr="008E12F8" w14:paraId="463A900C" w14:textId="77777777" w:rsidTr="3F3807E4">
        <w:tc>
          <w:tcPr>
            <w:cnfStyle w:val="001000000000" w:firstRow="0" w:lastRow="0" w:firstColumn="1" w:lastColumn="0" w:oddVBand="0" w:evenVBand="0" w:oddHBand="0" w:evenHBand="0" w:firstRowFirstColumn="0" w:firstRowLastColumn="0" w:lastRowFirstColumn="0" w:lastRowLastColumn="0"/>
            <w:tcW w:w="2876" w:type="pct"/>
            <w:hideMark/>
          </w:tcPr>
          <w:p w14:paraId="75B28CE0" w14:textId="77777777" w:rsidR="008E12F8" w:rsidRPr="003F4EA5" w:rsidRDefault="3982CBDC" w:rsidP="3982CBDC">
            <w:pPr>
              <w:ind w:left="221"/>
              <w:jc w:val="left"/>
              <w:rPr>
                <w:rFonts w:ascii="Arial" w:eastAsia="Calibri" w:hAnsi="Arial"/>
                <w:noProof/>
                <w:sz w:val="16"/>
                <w:szCs w:val="16"/>
              </w:rPr>
            </w:pPr>
            <w:r w:rsidRPr="3982CBDC">
              <w:rPr>
                <w:rFonts w:ascii="Arial" w:eastAsia="Calibri" w:hAnsi="Arial"/>
                <w:noProof/>
                <w:sz w:val="16"/>
                <w:szCs w:val="16"/>
              </w:rPr>
              <w:t>Passenger cars</w:t>
            </w:r>
          </w:p>
        </w:tc>
        <w:tc>
          <w:tcPr>
            <w:tcW w:w="708" w:type="pct"/>
            <w:tcBorders>
              <w:top w:val="single" w:sz="6" w:space="0" w:color="auto"/>
              <w:left w:val="single" w:sz="6" w:space="0" w:color="auto"/>
              <w:bottom w:val="single" w:sz="6" w:space="0" w:color="auto"/>
              <w:right w:val="single" w:sz="6" w:space="0" w:color="auto"/>
            </w:tcBorders>
            <w:hideMark/>
          </w:tcPr>
          <w:p w14:paraId="5DD3724C"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10</w:t>
            </w:r>
          </w:p>
        </w:tc>
        <w:tc>
          <w:tcPr>
            <w:tcW w:w="708" w:type="pct"/>
            <w:tcBorders>
              <w:top w:val="single" w:sz="6" w:space="0" w:color="auto"/>
              <w:left w:val="single" w:sz="6" w:space="0" w:color="auto"/>
              <w:bottom w:val="single" w:sz="6" w:space="0" w:color="auto"/>
              <w:right w:val="single" w:sz="6" w:space="0" w:color="auto"/>
            </w:tcBorders>
            <w:hideMark/>
          </w:tcPr>
          <w:p w14:paraId="13D4B071"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40</w:t>
            </w:r>
          </w:p>
        </w:tc>
        <w:tc>
          <w:tcPr>
            <w:tcW w:w="708" w:type="pct"/>
            <w:tcBorders>
              <w:top w:val="single" w:sz="6" w:space="0" w:color="auto"/>
              <w:left w:val="single" w:sz="6" w:space="0" w:color="auto"/>
              <w:bottom w:val="single" w:sz="6" w:space="0" w:color="auto"/>
              <w:right w:val="single" w:sz="6" w:space="0" w:color="auto"/>
            </w:tcBorders>
          </w:tcPr>
          <w:p w14:paraId="6181A8EE" w14:textId="77777777" w:rsidR="008E12F8" w:rsidRPr="003F4EA5" w:rsidRDefault="008E12F8" w:rsidP="008E12F8">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p>
        </w:tc>
      </w:tr>
      <w:tr w:rsidR="008E12F8" w:rsidRPr="008E12F8" w14:paraId="6DED355A" w14:textId="77777777" w:rsidTr="3F3807E4">
        <w:tc>
          <w:tcPr>
            <w:cnfStyle w:val="001000000000" w:firstRow="0" w:lastRow="0" w:firstColumn="1" w:lastColumn="0" w:oddVBand="0" w:evenVBand="0" w:oddHBand="0" w:evenHBand="0" w:firstRowFirstColumn="0" w:firstRowLastColumn="0" w:lastRowFirstColumn="0" w:lastRowLastColumn="0"/>
            <w:tcW w:w="2876" w:type="pct"/>
            <w:hideMark/>
          </w:tcPr>
          <w:p w14:paraId="4FB4F12D" w14:textId="77777777" w:rsidR="008E12F8" w:rsidRPr="003F4EA5" w:rsidRDefault="3982CBDC" w:rsidP="3982CBDC">
            <w:pPr>
              <w:ind w:left="221"/>
              <w:jc w:val="left"/>
              <w:rPr>
                <w:rFonts w:ascii="Arial" w:eastAsia="Calibri" w:hAnsi="Arial"/>
                <w:noProof/>
                <w:sz w:val="16"/>
                <w:szCs w:val="16"/>
              </w:rPr>
            </w:pPr>
            <w:r w:rsidRPr="3982CBDC">
              <w:rPr>
                <w:rFonts w:ascii="Arial" w:eastAsia="Calibri" w:hAnsi="Arial"/>
                <w:noProof/>
                <w:sz w:val="16"/>
                <w:szCs w:val="16"/>
              </w:rPr>
              <w:t>Buses</w:t>
            </w:r>
          </w:p>
        </w:tc>
        <w:tc>
          <w:tcPr>
            <w:tcW w:w="708" w:type="pct"/>
            <w:tcBorders>
              <w:top w:val="single" w:sz="6" w:space="0" w:color="auto"/>
              <w:left w:val="single" w:sz="6" w:space="0" w:color="auto"/>
              <w:bottom w:val="single" w:sz="6" w:space="0" w:color="auto"/>
              <w:right w:val="single" w:sz="6" w:space="0" w:color="auto"/>
            </w:tcBorders>
            <w:hideMark/>
          </w:tcPr>
          <w:p w14:paraId="6B953CDD"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15</w:t>
            </w:r>
          </w:p>
        </w:tc>
        <w:tc>
          <w:tcPr>
            <w:tcW w:w="708" w:type="pct"/>
            <w:tcBorders>
              <w:top w:val="single" w:sz="6" w:space="0" w:color="auto"/>
              <w:left w:val="single" w:sz="6" w:space="0" w:color="auto"/>
              <w:bottom w:val="single" w:sz="6" w:space="0" w:color="auto"/>
              <w:right w:val="single" w:sz="6" w:space="0" w:color="auto"/>
            </w:tcBorders>
            <w:hideMark/>
          </w:tcPr>
          <w:p w14:paraId="574CCB3E"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30</w:t>
            </w:r>
          </w:p>
        </w:tc>
        <w:tc>
          <w:tcPr>
            <w:tcW w:w="708" w:type="pct"/>
            <w:tcBorders>
              <w:top w:val="single" w:sz="6" w:space="0" w:color="auto"/>
              <w:left w:val="single" w:sz="6" w:space="0" w:color="auto"/>
              <w:bottom w:val="single" w:sz="6" w:space="0" w:color="auto"/>
              <w:right w:val="single" w:sz="6" w:space="0" w:color="auto"/>
            </w:tcBorders>
          </w:tcPr>
          <w:p w14:paraId="381DE529" w14:textId="77777777" w:rsidR="008E12F8" w:rsidRPr="003F4EA5" w:rsidRDefault="008E12F8" w:rsidP="008E12F8">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p>
        </w:tc>
      </w:tr>
      <w:tr w:rsidR="008E12F8" w:rsidRPr="008E12F8" w14:paraId="3809203D" w14:textId="77777777" w:rsidTr="3F3807E4">
        <w:tc>
          <w:tcPr>
            <w:cnfStyle w:val="001000000000" w:firstRow="0" w:lastRow="0" w:firstColumn="1" w:lastColumn="0" w:oddVBand="0" w:evenVBand="0" w:oddHBand="0" w:evenHBand="0" w:firstRowFirstColumn="0" w:firstRowLastColumn="0" w:lastRowFirstColumn="0" w:lastRowLastColumn="0"/>
            <w:tcW w:w="2876" w:type="pct"/>
            <w:hideMark/>
          </w:tcPr>
          <w:p w14:paraId="4024A745" w14:textId="77777777" w:rsidR="008E12F8" w:rsidRPr="003F4EA5" w:rsidRDefault="3982CBDC" w:rsidP="3982CBDC">
            <w:pPr>
              <w:ind w:left="221"/>
              <w:jc w:val="left"/>
              <w:rPr>
                <w:rFonts w:ascii="Arial" w:eastAsia="Calibri" w:hAnsi="Arial"/>
                <w:noProof/>
                <w:sz w:val="16"/>
                <w:szCs w:val="16"/>
              </w:rPr>
            </w:pPr>
            <w:r w:rsidRPr="3982CBDC">
              <w:rPr>
                <w:rFonts w:ascii="Arial" w:eastAsia="Calibri" w:hAnsi="Arial"/>
                <w:noProof/>
                <w:sz w:val="16"/>
                <w:szCs w:val="16"/>
              </w:rPr>
              <w:t>Trucks (N1)</w:t>
            </w:r>
          </w:p>
        </w:tc>
        <w:tc>
          <w:tcPr>
            <w:tcW w:w="708" w:type="pct"/>
            <w:tcBorders>
              <w:top w:val="single" w:sz="6" w:space="0" w:color="auto"/>
              <w:left w:val="single" w:sz="6" w:space="0" w:color="auto"/>
              <w:bottom w:val="single" w:sz="6" w:space="0" w:color="auto"/>
              <w:right w:val="single" w:sz="6" w:space="0" w:color="auto"/>
            </w:tcBorders>
            <w:hideMark/>
          </w:tcPr>
          <w:p w14:paraId="5931D95B"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10</w:t>
            </w:r>
          </w:p>
        </w:tc>
        <w:tc>
          <w:tcPr>
            <w:tcW w:w="708" w:type="pct"/>
            <w:tcBorders>
              <w:top w:val="single" w:sz="6" w:space="0" w:color="auto"/>
              <w:left w:val="single" w:sz="6" w:space="0" w:color="auto"/>
              <w:bottom w:val="single" w:sz="6" w:space="0" w:color="auto"/>
              <w:right w:val="single" w:sz="6" w:space="0" w:color="auto"/>
            </w:tcBorders>
            <w:hideMark/>
          </w:tcPr>
          <w:p w14:paraId="686C6959"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70</w:t>
            </w:r>
          </w:p>
        </w:tc>
        <w:tc>
          <w:tcPr>
            <w:tcW w:w="708" w:type="pct"/>
            <w:tcBorders>
              <w:top w:val="single" w:sz="6" w:space="0" w:color="auto"/>
              <w:left w:val="single" w:sz="6" w:space="0" w:color="auto"/>
              <w:bottom w:val="single" w:sz="6" w:space="0" w:color="auto"/>
              <w:right w:val="single" w:sz="6" w:space="0" w:color="auto"/>
            </w:tcBorders>
          </w:tcPr>
          <w:p w14:paraId="22126DC0" w14:textId="77777777" w:rsidR="008E12F8" w:rsidRPr="003F4EA5" w:rsidRDefault="008E12F8" w:rsidP="008E12F8">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p>
        </w:tc>
      </w:tr>
      <w:tr w:rsidR="008E12F8" w:rsidRPr="008E12F8" w14:paraId="67434C34" w14:textId="77777777" w:rsidTr="3F3807E4">
        <w:tc>
          <w:tcPr>
            <w:cnfStyle w:val="001000000000" w:firstRow="0" w:lastRow="0" w:firstColumn="1" w:lastColumn="0" w:oddVBand="0" w:evenVBand="0" w:oddHBand="0" w:evenHBand="0" w:firstRowFirstColumn="0" w:firstRowLastColumn="0" w:lastRowFirstColumn="0" w:lastRowLastColumn="0"/>
            <w:tcW w:w="2876" w:type="pct"/>
            <w:hideMark/>
          </w:tcPr>
          <w:p w14:paraId="5126948F" w14:textId="77777777" w:rsidR="008E12F8" w:rsidRPr="003F4EA5" w:rsidRDefault="3982CBDC" w:rsidP="3982CBDC">
            <w:pPr>
              <w:ind w:left="221"/>
              <w:jc w:val="left"/>
              <w:rPr>
                <w:rFonts w:ascii="Arial" w:eastAsia="Calibri" w:hAnsi="Arial"/>
                <w:noProof/>
                <w:sz w:val="16"/>
                <w:szCs w:val="16"/>
              </w:rPr>
            </w:pPr>
            <w:r w:rsidRPr="3982CBDC">
              <w:rPr>
                <w:rFonts w:ascii="Arial" w:eastAsia="Calibri" w:hAnsi="Arial"/>
                <w:noProof/>
                <w:sz w:val="16"/>
                <w:szCs w:val="16"/>
              </w:rPr>
              <w:t>Trucks (N2, N3)</w:t>
            </w:r>
          </w:p>
        </w:tc>
        <w:tc>
          <w:tcPr>
            <w:tcW w:w="708" w:type="pct"/>
            <w:tcBorders>
              <w:top w:val="single" w:sz="6" w:space="0" w:color="auto"/>
              <w:left w:val="single" w:sz="6" w:space="0" w:color="auto"/>
              <w:bottom w:val="single" w:sz="6" w:space="0" w:color="auto"/>
              <w:right w:val="single" w:sz="6" w:space="0" w:color="auto"/>
            </w:tcBorders>
            <w:hideMark/>
          </w:tcPr>
          <w:p w14:paraId="501E07F7"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15</w:t>
            </w:r>
          </w:p>
        </w:tc>
        <w:tc>
          <w:tcPr>
            <w:tcW w:w="708" w:type="pct"/>
            <w:tcBorders>
              <w:top w:val="single" w:sz="6" w:space="0" w:color="auto"/>
              <w:left w:val="single" w:sz="6" w:space="0" w:color="auto"/>
              <w:bottom w:val="single" w:sz="6" w:space="0" w:color="auto"/>
              <w:right w:val="single" w:sz="6" w:space="0" w:color="auto"/>
            </w:tcBorders>
            <w:hideMark/>
          </w:tcPr>
          <w:p w14:paraId="2B247CA7"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70</w:t>
            </w:r>
          </w:p>
        </w:tc>
        <w:tc>
          <w:tcPr>
            <w:tcW w:w="708" w:type="pct"/>
            <w:tcBorders>
              <w:top w:val="single" w:sz="6" w:space="0" w:color="auto"/>
              <w:left w:val="single" w:sz="6" w:space="0" w:color="auto"/>
              <w:bottom w:val="single" w:sz="6" w:space="0" w:color="auto"/>
              <w:right w:val="single" w:sz="6" w:space="0" w:color="auto"/>
            </w:tcBorders>
          </w:tcPr>
          <w:p w14:paraId="31CED80E" w14:textId="77777777" w:rsidR="008E12F8" w:rsidRPr="003F4EA5" w:rsidRDefault="008E12F8" w:rsidP="008E12F8">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p>
        </w:tc>
      </w:tr>
      <w:tr w:rsidR="008E12F8" w:rsidRPr="008E12F8" w14:paraId="5FA09697" w14:textId="77777777" w:rsidTr="3F3807E4">
        <w:tc>
          <w:tcPr>
            <w:cnfStyle w:val="001000000000" w:firstRow="0" w:lastRow="0" w:firstColumn="1" w:lastColumn="0" w:oddVBand="0" w:evenVBand="0" w:oddHBand="0" w:evenHBand="0" w:firstRowFirstColumn="0" w:firstRowLastColumn="0" w:lastRowFirstColumn="0" w:lastRowLastColumn="0"/>
            <w:tcW w:w="2876" w:type="pct"/>
            <w:hideMark/>
          </w:tcPr>
          <w:p w14:paraId="1BCF4CCC" w14:textId="77777777" w:rsidR="008E12F8" w:rsidRPr="003F4EA5" w:rsidRDefault="3982CBDC" w:rsidP="3982CBDC">
            <w:pPr>
              <w:ind w:left="221"/>
              <w:jc w:val="left"/>
              <w:rPr>
                <w:rFonts w:ascii="Arial" w:eastAsia="Calibri" w:hAnsi="Arial"/>
                <w:noProof/>
                <w:sz w:val="16"/>
                <w:szCs w:val="16"/>
                <w:lang w:val="en-GB"/>
              </w:rPr>
            </w:pPr>
            <w:r w:rsidRPr="3982CBDC">
              <w:rPr>
                <w:rFonts w:ascii="Arial" w:eastAsia="Calibri" w:hAnsi="Arial"/>
                <w:noProof/>
                <w:sz w:val="16"/>
                <w:szCs w:val="16"/>
                <w:lang w:val="en-US"/>
              </w:rPr>
              <w:t>Rail (trams, metros and trains)</w:t>
            </w:r>
          </w:p>
        </w:tc>
        <w:tc>
          <w:tcPr>
            <w:tcW w:w="708" w:type="pct"/>
            <w:tcBorders>
              <w:top w:val="single" w:sz="6" w:space="0" w:color="auto"/>
              <w:left w:val="single" w:sz="6" w:space="0" w:color="auto"/>
              <w:bottom w:val="single" w:sz="6" w:space="0" w:color="auto"/>
              <w:right w:val="single" w:sz="6" w:space="0" w:color="auto"/>
            </w:tcBorders>
            <w:hideMark/>
          </w:tcPr>
          <w:p w14:paraId="7AC1E2C8"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7</w:t>
            </w:r>
          </w:p>
        </w:tc>
        <w:tc>
          <w:tcPr>
            <w:tcW w:w="708" w:type="pct"/>
            <w:tcBorders>
              <w:top w:val="single" w:sz="6" w:space="0" w:color="auto"/>
              <w:left w:val="single" w:sz="6" w:space="0" w:color="auto"/>
              <w:bottom w:val="single" w:sz="6" w:space="0" w:color="auto"/>
              <w:right w:val="single" w:sz="6" w:space="0" w:color="auto"/>
            </w:tcBorders>
            <w:hideMark/>
          </w:tcPr>
          <w:p w14:paraId="7B260717"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30</w:t>
            </w:r>
          </w:p>
        </w:tc>
        <w:tc>
          <w:tcPr>
            <w:tcW w:w="708" w:type="pct"/>
            <w:tcBorders>
              <w:top w:val="single" w:sz="6" w:space="0" w:color="auto"/>
              <w:left w:val="single" w:sz="6" w:space="0" w:color="auto"/>
              <w:bottom w:val="single" w:sz="6" w:space="0" w:color="auto"/>
              <w:right w:val="single" w:sz="6" w:space="0" w:color="auto"/>
            </w:tcBorders>
          </w:tcPr>
          <w:p w14:paraId="7CEB080B" w14:textId="77777777" w:rsidR="008E12F8" w:rsidRPr="003F4EA5" w:rsidRDefault="008E12F8" w:rsidP="008E12F8">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p>
        </w:tc>
      </w:tr>
      <w:tr w:rsidR="008E12F8" w:rsidRPr="008E12F8" w14:paraId="1A752B1D" w14:textId="77777777" w:rsidTr="3F3807E4">
        <w:tc>
          <w:tcPr>
            <w:cnfStyle w:val="001000000000" w:firstRow="0" w:lastRow="0" w:firstColumn="1" w:lastColumn="0" w:oddVBand="0" w:evenVBand="0" w:oddHBand="0" w:evenHBand="0" w:firstRowFirstColumn="0" w:firstRowLastColumn="0" w:lastRowFirstColumn="0" w:lastRowLastColumn="0"/>
            <w:tcW w:w="2876" w:type="pct"/>
            <w:hideMark/>
          </w:tcPr>
          <w:p w14:paraId="2EBDFDCA" w14:textId="77777777" w:rsidR="008E12F8" w:rsidRPr="003F4EA5" w:rsidRDefault="3982CBDC" w:rsidP="3982CBDC">
            <w:pPr>
              <w:ind w:left="221"/>
              <w:jc w:val="left"/>
              <w:rPr>
                <w:rFonts w:ascii="Arial" w:eastAsia="Calibri" w:hAnsi="Arial"/>
                <w:noProof/>
                <w:sz w:val="16"/>
                <w:szCs w:val="16"/>
              </w:rPr>
            </w:pPr>
            <w:r w:rsidRPr="3982CBDC">
              <w:rPr>
                <w:rFonts w:ascii="Arial" w:eastAsia="Calibri" w:hAnsi="Arial"/>
                <w:noProof/>
                <w:sz w:val="16"/>
                <w:szCs w:val="16"/>
              </w:rPr>
              <w:t>Ships</w:t>
            </w:r>
          </w:p>
        </w:tc>
        <w:tc>
          <w:tcPr>
            <w:tcW w:w="708" w:type="pct"/>
            <w:tcBorders>
              <w:top w:val="single" w:sz="6" w:space="0" w:color="auto"/>
              <w:left w:val="single" w:sz="6" w:space="0" w:color="auto"/>
              <w:bottom w:val="single" w:sz="6" w:space="0" w:color="auto"/>
              <w:right w:val="single" w:sz="6" w:space="0" w:color="auto"/>
            </w:tcBorders>
            <w:hideMark/>
          </w:tcPr>
          <w:p w14:paraId="49BE0D8B"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40</w:t>
            </w:r>
          </w:p>
        </w:tc>
        <w:tc>
          <w:tcPr>
            <w:tcW w:w="708" w:type="pct"/>
            <w:tcBorders>
              <w:top w:val="single" w:sz="6" w:space="0" w:color="auto"/>
              <w:left w:val="single" w:sz="6" w:space="0" w:color="auto"/>
              <w:bottom w:val="single" w:sz="6" w:space="0" w:color="auto"/>
              <w:right w:val="single" w:sz="6" w:space="0" w:color="auto"/>
            </w:tcBorders>
            <w:hideMark/>
          </w:tcPr>
          <w:p w14:paraId="1B1A5B33"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30</w:t>
            </w:r>
          </w:p>
        </w:tc>
        <w:tc>
          <w:tcPr>
            <w:tcW w:w="708" w:type="pct"/>
            <w:tcBorders>
              <w:top w:val="single" w:sz="6" w:space="0" w:color="auto"/>
              <w:left w:val="single" w:sz="6" w:space="0" w:color="auto"/>
              <w:bottom w:val="single" w:sz="6" w:space="0" w:color="auto"/>
              <w:right w:val="single" w:sz="6" w:space="0" w:color="auto"/>
            </w:tcBorders>
          </w:tcPr>
          <w:p w14:paraId="5D2974DD" w14:textId="77777777" w:rsidR="008E12F8" w:rsidRPr="003F4EA5" w:rsidRDefault="008E12F8" w:rsidP="008E12F8">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p>
        </w:tc>
      </w:tr>
      <w:tr w:rsidR="008E12F8" w:rsidRPr="008E12F8" w14:paraId="2A12C3EB" w14:textId="77777777" w:rsidTr="3F3807E4">
        <w:tc>
          <w:tcPr>
            <w:cnfStyle w:val="001000000000" w:firstRow="0" w:lastRow="0" w:firstColumn="1" w:lastColumn="0" w:oddVBand="0" w:evenVBand="0" w:oddHBand="0" w:evenHBand="0" w:firstRowFirstColumn="0" w:firstRowLastColumn="0" w:lastRowFirstColumn="0" w:lastRowLastColumn="0"/>
            <w:tcW w:w="2876" w:type="pct"/>
            <w:hideMark/>
          </w:tcPr>
          <w:p w14:paraId="1C03AF6F" w14:textId="77777777" w:rsidR="008E12F8" w:rsidRPr="003F4EA5" w:rsidRDefault="3982CBDC" w:rsidP="3982CBDC">
            <w:pPr>
              <w:jc w:val="left"/>
              <w:rPr>
                <w:rFonts w:ascii="Arial" w:eastAsia="Calibri" w:hAnsi="Arial"/>
                <w:noProof/>
                <w:sz w:val="16"/>
                <w:szCs w:val="16"/>
              </w:rPr>
            </w:pPr>
            <w:r w:rsidRPr="3982CBDC">
              <w:rPr>
                <w:rFonts w:ascii="Arial" w:eastAsia="Calibri" w:hAnsi="Arial"/>
                <w:b/>
                <w:bCs/>
                <w:noProof/>
                <w:sz w:val="16"/>
                <w:szCs w:val="16"/>
              </w:rPr>
              <w:t>Foams</w:t>
            </w:r>
          </w:p>
        </w:tc>
        <w:tc>
          <w:tcPr>
            <w:tcW w:w="708" w:type="pct"/>
            <w:tcBorders>
              <w:top w:val="single" w:sz="6" w:space="0" w:color="auto"/>
              <w:left w:val="single" w:sz="6" w:space="0" w:color="auto"/>
              <w:bottom w:val="single" w:sz="6" w:space="0" w:color="auto"/>
              <w:right w:val="single" w:sz="6" w:space="0" w:color="auto"/>
            </w:tcBorders>
          </w:tcPr>
          <w:p w14:paraId="546DFC21" w14:textId="77777777" w:rsidR="008E12F8" w:rsidRPr="003F4EA5" w:rsidRDefault="008E12F8" w:rsidP="008E12F8">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p>
        </w:tc>
        <w:tc>
          <w:tcPr>
            <w:tcW w:w="708" w:type="pct"/>
            <w:tcBorders>
              <w:top w:val="single" w:sz="6" w:space="0" w:color="auto"/>
              <w:left w:val="single" w:sz="6" w:space="0" w:color="auto"/>
              <w:bottom w:val="single" w:sz="6" w:space="0" w:color="auto"/>
              <w:right w:val="single" w:sz="6" w:space="0" w:color="auto"/>
            </w:tcBorders>
          </w:tcPr>
          <w:p w14:paraId="1A6E70C8" w14:textId="77777777" w:rsidR="008E12F8" w:rsidRPr="003F4EA5" w:rsidRDefault="008E12F8" w:rsidP="008E12F8">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p>
        </w:tc>
        <w:tc>
          <w:tcPr>
            <w:tcW w:w="708" w:type="pct"/>
            <w:tcBorders>
              <w:top w:val="single" w:sz="6" w:space="0" w:color="auto"/>
              <w:left w:val="single" w:sz="6" w:space="0" w:color="auto"/>
              <w:bottom w:val="single" w:sz="6" w:space="0" w:color="auto"/>
              <w:right w:val="single" w:sz="6" w:space="0" w:color="auto"/>
            </w:tcBorders>
          </w:tcPr>
          <w:p w14:paraId="19E966A0" w14:textId="77777777" w:rsidR="008E12F8" w:rsidRPr="003F4EA5" w:rsidRDefault="008E12F8" w:rsidP="008E12F8">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p>
        </w:tc>
      </w:tr>
      <w:tr w:rsidR="008E12F8" w:rsidRPr="008E12F8" w14:paraId="137E9D10" w14:textId="77777777" w:rsidTr="3F3807E4">
        <w:tc>
          <w:tcPr>
            <w:cnfStyle w:val="001000000000" w:firstRow="0" w:lastRow="0" w:firstColumn="1" w:lastColumn="0" w:oddVBand="0" w:evenVBand="0" w:oddHBand="0" w:evenHBand="0" w:firstRowFirstColumn="0" w:firstRowLastColumn="0" w:lastRowFirstColumn="0" w:lastRowLastColumn="0"/>
            <w:tcW w:w="2876" w:type="pct"/>
            <w:hideMark/>
          </w:tcPr>
          <w:p w14:paraId="2CF2E643" w14:textId="77777777" w:rsidR="008E12F8" w:rsidRPr="003F4EA5" w:rsidRDefault="3982CBDC" w:rsidP="3982CBDC">
            <w:pPr>
              <w:ind w:left="221"/>
              <w:jc w:val="left"/>
              <w:rPr>
                <w:rFonts w:ascii="Arial" w:eastAsia="Calibri" w:hAnsi="Arial"/>
                <w:noProof/>
                <w:sz w:val="16"/>
                <w:szCs w:val="16"/>
              </w:rPr>
            </w:pPr>
            <w:r w:rsidRPr="3982CBDC">
              <w:rPr>
                <w:rFonts w:ascii="Arial" w:eastAsia="Calibri" w:hAnsi="Arial"/>
                <w:noProof/>
                <w:sz w:val="16"/>
                <w:szCs w:val="16"/>
              </w:rPr>
              <w:t>One-component</w:t>
            </w:r>
          </w:p>
        </w:tc>
        <w:tc>
          <w:tcPr>
            <w:tcW w:w="708" w:type="pct"/>
            <w:tcBorders>
              <w:top w:val="single" w:sz="6" w:space="0" w:color="auto"/>
              <w:left w:val="single" w:sz="6" w:space="0" w:color="auto"/>
              <w:bottom w:val="single" w:sz="6" w:space="0" w:color="auto"/>
              <w:right w:val="single" w:sz="6" w:space="0" w:color="auto"/>
            </w:tcBorders>
            <w:hideMark/>
          </w:tcPr>
          <w:p w14:paraId="7D7874A6"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100</w:t>
            </w:r>
          </w:p>
        </w:tc>
        <w:tc>
          <w:tcPr>
            <w:tcW w:w="708" w:type="pct"/>
            <w:tcBorders>
              <w:top w:val="single" w:sz="6" w:space="0" w:color="auto"/>
              <w:left w:val="single" w:sz="6" w:space="0" w:color="auto"/>
              <w:bottom w:val="single" w:sz="6" w:space="0" w:color="auto"/>
              <w:right w:val="single" w:sz="6" w:space="0" w:color="auto"/>
            </w:tcBorders>
          </w:tcPr>
          <w:p w14:paraId="111FFC1E" w14:textId="77777777" w:rsidR="008E12F8" w:rsidRPr="003F4EA5" w:rsidRDefault="008E12F8" w:rsidP="008E12F8">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p>
        </w:tc>
        <w:tc>
          <w:tcPr>
            <w:tcW w:w="708" w:type="pct"/>
            <w:tcBorders>
              <w:top w:val="single" w:sz="6" w:space="0" w:color="auto"/>
              <w:left w:val="single" w:sz="6" w:space="0" w:color="auto"/>
              <w:bottom w:val="single" w:sz="6" w:space="0" w:color="auto"/>
              <w:right w:val="single" w:sz="6" w:space="0" w:color="auto"/>
            </w:tcBorders>
          </w:tcPr>
          <w:p w14:paraId="1317CF76" w14:textId="77777777" w:rsidR="008E12F8" w:rsidRPr="003F4EA5" w:rsidRDefault="008E12F8" w:rsidP="008E12F8">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p>
        </w:tc>
      </w:tr>
      <w:tr w:rsidR="008E12F8" w:rsidRPr="008E12F8" w14:paraId="5A2DC2D6" w14:textId="77777777" w:rsidTr="3F3807E4">
        <w:tc>
          <w:tcPr>
            <w:cnfStyle w:val="001000000000" w:firstRow="0" w:lastRow="0" w:firstColumn="1" w:lastColumn="0" w:oddVBand="0" w:evenVBand="0" w:oddHBand="0" w:evenHBand="0" w:firstRowFirstColumn="0" w:firstRowLastColumn="0" w:lastRowFirstColumn="0" w:lastRowLastColumn="0"/>
            <w:tcW w:w="2876" w:type="pct"/>
            <w:hideMark/>
          </w:tcPr>
          <w:p w14:paraId="7B5C3551" w14:textId="77777777" w:rsidR="008E12F8" w:rsidRPr="003F4EA5" w:rsidRDefault="3982CBDC" w:rsidP="3982CBDC">
            <w:pPr>
              <w:ind w:left="221"/>
              <w:jc w:val="left"/>
              <w:rPr>
                <w:rFonts w:ascii="Arial" w:eastAsia="Calibri" w:hAnsi="Arial"/>
                <w:noProof/>
                <w:sz w:val="16"/>
                <w:szCs w:val="16"/>
              </w:rPr>
            </w:pPr>
            <w:r w:rsidRPr="3982CBDC">
              <w:rPr>
                <w:rFonts w:ascii="Arial" w:eastAsia="Calibri" w:hAnsi="Arial"/>
                <w:noProof/>
                <w:sz w:val="16"/>
                <w:szCs w:val="16"/>
              </w:rPr>
              <w:t>Extruded polystyrene (XPS)</w:t>
            </w:r>
          </w:p>
        </w:tc>
        <w:tc>
          <w:tcPr>
            <w:tcW w:w="708" w:type="pct"/>
            <w:tcBorders>
              <w:top w:val="single" w:sz="6" w:space="0" w:color="auto"/>
              <w:left w:val="single" w:sz="6" w:space="0" w:color="auto"/>
              <w:bottom w:val="single" w:sz="6" w:space="0" w:color="auto"/>
              <w:right w:val="single" w:sz="6" w:space="0" w:color="auto"/>
            </w:tcBorders>
          </w:tcPr>
          <w:p w14:paraId="1B7661B5" w14:textId="77777777" w:rsidR="008E12F8" w:rsidRPr="003F4EA5" w:rsidRDefault="008E12F8" w:rsidP="008E12F8">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p>
        </w:tc>
        <w:tc>
          <w:tcPr>
            <w:tcW w:w="708" w:type="pct"/>
            <w:tcBorders>
              <w:top w:val="single" w:sz="6" w:space="0" w:color="auto"/>
              <w:left w:val="single" w:sz="6" w:space="0" w:color="auto"/>
              <w:bottom w:val="single" w:sz="6" w:space="0" w:color="auto"/>
              <w:right w:val="single" w:sz="6" w:space="0" w:color="auto"/>
            </w:tcBorders>
          </w:tcPr>
          <w:p w14:paraId="278F2B35" w14:textId="77777777" w:rsidR="008E12F8" w:rsidRPr="003F4EA5" w:rsidRDefault="008E12F8" w:rsidP="008E12F8">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p>
        </w:tc>
        <w:tc>
          <w:tcPr>
            <w:tcW w:w="708" w:type="pct"/>
            <w:tcBorders>
              <w:top w:val="single" w:sz="6" w:space="0" w:color="auto"/>
              <w:left w:val="single" w:sz="6" w:space="0" w:color="auto"/>
              <w:bottom w:val="single" w:sz="6" w:space="0" w:color="auto"/>
              <w:right w:val="single" w:sz="6" w:space="0" w:color="auto"/>
            </w:tcBorders>
          </w:tcPr>
          <w:p w14:paraId="3A794A8C" w14:textId="77777777" w:rsidR="008E12F8" w:rsidRPr="003F4EA5" w:rsidRDefault="008E12F8" w:rsidP="008E12F8">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p>
        </w:tc>
      </w:tr>
      <w:tr w:rsidR="008E12F8" w:rsidRPr="008E12F8" w14:paraId="5D3FA34E" w14:textId="77777777" w:rsidTr="3F3807E4">
        <w:tc>
          <w:tcPr>
            <w:cnfStyle w:val="001000000000" w:firstRow="0" w:lastRow="0" w:firstColumn="1" w:lastColumn="0" w:oddVBand="0" w:evenVBand="0" w:oddHBand="0" w:evenHBand="0" w:firstRowFirstColumn="0" w:firstRowLastColumn="0" w:lastRowFirstColumn="0" w:lastRowLastColumn="0"/>
            <w:tcW w:w="2876" w:type="pct"/>
            <w:hideMark/>
          </w:tcPr>
          <w:p w14:paraId="28986DC0" w14:textId="77777777" w:rsidR="008E12F8" w:rsidRPr="008B6FEE" w:rsidRDefault="3982CBDC" w:rsidP="3982CBDC">
            <w:pPr>
              <w:ind w:left="221" w:firstLine="142"/>
              <w:jc w:val="left"/>
              <w:rPr>
                <w:rFonts w:ascii="Arial" w:eastAsia="Calibri" w:hAnsi="Arial"/>
                <w:noProof/>
                <w:sz w:val="16"/>
                <w:szCs w:val="16"/>
                <w:lang w:val="pt-PT"/>
              </w:rPr>
            </w:pPr>
            <w:r w:rsidRPr="008B6FEE">
              <w:rPr>
                <w:rFonts w:ascii="Arial" w:eastAsia="Calibri" w:hAnsi="Arial"/>
                <w:noProof/>
                <w:sz w:val="16"/>
                <w:szCs w:val="16"/>
                <w:lang w:val="pt-PT"/>
              </w:rPr>
              <w:t>HFC-134a, HFC-1234ze(E)</w:t>
            </w:r>
          </w:p>
        </w:tc>
        <w:tc>
          <w:tcPr>
            <w:tcW w:w="708" w:type="pct"/>
            <w:tcBorders>
              <w:top w:val="single" w:sz="6" w:space="0" w:color="auto"/>
              <w:left w:val="single" w:sz="6" w:space="0" w:color="auto"/>
              <w:bottom w:val="single" w:sz="6" w:space="0" w:color="auto"/>
              <w:right w:val="single" w:sz="6" w:space="0" w:color="auto"/>
            </w:tcBorders>
            <w:hideMark/>
          </w:tcPr>
          <w:p w14:paraId="7AB728B3"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0.75</w:t>
            </w:r>
          </w:p>
        </w:tc>
        <w:tc>
          <w:tcPr>
            <w:tcW w:w="708" w:type="pct"/>
            <w:tcBorders>
              <w:top w:val="single" w:sz="6" w:space="0" w:color="auto"/>
              <w:left w:val="single" w:sz="6" w:space="0" w:color="auto"/>
              <w:bottom w:val="single" w:sz="6" w:space="0" w:color="auto"/>
              <w:right w:val="single" w:sz="6" w:space="0" w:color="auto"/>
            </w:tcBorders>
          </w:tcPr>
          <w:p w14:paraId="5FA165F1" w14:textId="77777777" w:rsidR="008E12F8" w:rsidRPr="003F4EA5" w:rsidRDefault="008E12F8" w:rsidP="008E12F8">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p>
        </w:tc>
        <w:tc>
          <w:tcPr>
            <w:tcW w:w="708" w:type="pct"/>
            <w:tcBorders>
              <w:top w:val="single" w:sz="6" w:space="0" w:color="auto"/>
              <w:left w:val="single" w:sz="6" w:space="0" w:color="auto"/>
              <w:bottom w:val="single" w:sz="6" w:space="0" w:color="auto"/>
              <w:right w:val="single" w:sz="6" w:space="0" w:color="auto"/>
            </w:tcBorders>
            <w:hideMark/>
          </w:tcPr>
          <w:p w14:paraId="4DD0C5C3"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30</w:t>
            </w:r>
          </w:p>
        </w:tc>
      </w:tr>
      <w:tr w:rsidR="008E12F8" w:rsidRPr="008E12F8" w14:paraId="71BEF68E" w14:textId="77777777" w:rsidTr="3F3807E4">
        <w:tc>
          <w:tcPr>
            <w:cnfStyle w:val="001000000000" w:firstRow="0" w:lastRow="0" w:firstColumn="1" w:lastColumn="0" w:oddVBand="0" w:evenVBand="0" w:oddHBand="0" w:evenHBand="0" w:firstRowFirstColumn="0" w:firstRowLastColumn="0" w:lastRowFirstColumn="0" w:lastRowLastColumn="0"/>
            <w:tcW w:w="2876" w:type="pct"/>
            <w:hideMark/>
          </w:tcPr>
          <w:p w14:paraId="6D68BC87" w14:textId="77777777" w:rsidR="008E12F8" w:rsidRPr="003F4EA5" w:rsidRDefault="3982CBDC" w:rsidP="3982CBDC">
            <w:pPr>
              <w:ind w:left="221" w:firstLine="142"/>
              <w:jc w:val="left"/>
              <w:rPr>
                <w:rFonts w:ascii="Arial" w:eastAsia="Calibri" w:hAnsi="Arial"/>
                <w:noProof/>
                <w:sz w:val="16"/>
                <w:szCs w:val="16"/>
              </w:rPr>
            </w:pPr>
            <w:r w:rsidRPr="3982CBDC">
              <w:rPr>
                <w:rFonts w:ascii="Arial" w:eastAsia="Calibri" w:hAnsi="Arial"/>
                <w:noProof/>
                <w:sz w:val="16"/>
                <w:szCs w:val="16"/>
              </w:rPr>
              <w:t>HFC-125</w:t>
            </w:r>
          </w:p>
        </w:tc>
        <w:tc>
          <w:tcPr>
            <w:tcW w:w="708" w:type="pct"/>
            <w:tcBorders>
              <w:top w:val="single" w:sz="6" w:space="0" w:color="auto"/>
              <w:left w:val="single" w:sz="6" w:space="0" w:color="auto"/>
              <w:bottom w:val="single" w:sz="6" w:space="0" w:color="auto"/>
              <w:right w:val="single" w:sz="6" w:space="0" w:color="auto"/>
            </w:tcBorders>
            <w:hideMark/>
          </w:tcPr>
          <w:p w14:paraId="66157509"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25</w:t>
            </w:r>
          </w:p>
        </w:tc>
        <w:tc>
          <w:tcPr>
            <w:tcW w:w="708" w:type="pct"/>
            <w:tcBorders>
              <w:top w:val="single" w:sz="6" w:space="0" w:color="auto"/>
              <w:left w:val="single" w:sz="6" w:space="0" w:color="auto"/>
              <w:bottom w:val="single" w:sz="6" w:space="0" w:color="auto"/>
              <w:right w:val="single" w:sz="6" w:space="0" w:color="auto"/>
            </w:tcBorders>
          </w:tcPr>
          <w:p w14:paraId="6037CCFC" w14:textId="77777777" w:rsidR="008E12F8" w:rsidRPr="003F4EA5" w:rsidRDefault="008E12F8" w:rsidP="008E12F8">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p>
        </w:tc>
        <w:tc>
          <w:tcPr>
            <w:tcW w:w="708" w:type="pct"/>
            <w:tcBorders>
              <w:top w:val="single" w:sz="6" w:space="0" w:color="auto"/>
              <w:left w:val="single" w:sz="6" w:space="0" w:color="auto"/>
              <w:bottom w:val="single" w:sz="6" w:space="0" w:color="auto"/>
              <w:right w:val="single" w:sz="6" w:space="0" w:color="auto"/>
            </w:tcBorders>
            <w:hideMark/>
          </w:tcPr>
          <w:p w14:paraId="57BFBCE8"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100</w:t>
            </w:r>
          </w:p>
        </w:tc>
      </w:tr>
      <w:tr w:rsidR="008E12F8" w:rsidRPr="008E12F8" w14:paraId="516ADA2C" w14:textId="77777777" w:rsidTr="3F3807E4">
        <w:tc>
          <w:tcPr>
            <w:cnfStyle w:val="001000000000" w:firstRow="0" w:lastRow="0" w:firstColumn="1" w:lastColumn="0" w:oddVBand="0" w:evenVBand="0" w:oddHBand="0" w:evenHBand="0" w:firstRowFirstColumn="0" w:firstRowLastColumn="0" w:lastRowFirstColumn="0" w:lastRowLastColumn="0"/>
            <w:tcW w:w="2876" w:type="pct"/>
            <w:hideMark/>
          </w:tcPr>
          <w:p w14:paraId="4605A377" w14:textId="77777777" w:rsidR="008E12F8" w:rsidRPr="003F4EA5" w:rsidRDefault="3982CBDC" w:rsidP="3982CBDC">
            <w:pPr>
              <w:ind w:left="221"/>
              <w:jc w:val="left"/>
              <w:rPr>
                <w:rFonts w:ascii="Arial" w:eastAsia="Calibri" w:hAnsi="Arial"/>
                <w:noProof/>
                <w:sz w:val="16"/>
                <w:szCs w:val="16"/>
                <w:lang w:val="en-GB"/>
              </w:rPr>
            </w:pPr>
            <w:r w:rsidRPr="3982CBDC">
              <w:rPr>
                <w:rFonts w:ascii="Arial" w:eastAsia="Calibri" w:hAnsi="Arial"/>
                <w:noProof/>
                <w:sz w:val="16"/>
                <w:szCs w:val="16"/>
                <w:lang w:val="en-US"/>
              </w:rPr>
              <w:t>Polyurethane (spray and non-spray)</w:t>
            </w:r>
          </w:p>
        </w:tc>
        <w:tc>
          <w:tcPr>
            <w:tcW w:w="708" w:type="pct"/>
            <w:tcBorders>
              <w:top w:val="single" w:sz="6" w:space="0" w:color="auto"/>
              <w:left w:val="single" w:sz="6" w:space="0" w:color="auto"/>
              <w:bottom w:val="single" w:sz="6" w:space="0" w:color="auto"/>
              <w:right w:val="single" w:sz="6" w:space="0" w:color="auto"/>
            </w:tcBorders>
            <w:hideMark/>
          </w:tcPr>
          <w:p w14:paraId="615CEC10"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1</w:t>
            </w:r>
          </w:p>
        </w:tc>
        <w:tc>
          <w:tcPr>
            <w:tcW w:w="708" w:type="pct"/>
            <w:tcBorders>
              <w:top w:val="single" w:sz="6" w:space="0" w:color="auto"/>
              <w:left w:val="single" w:sz="6" w:space="0" w:color="auto"/>
              <w:bottom w:val="single" w:sz="6" w:space="0" w:color="auto"/>
              <w:right w:val="single" w:sz="6" w:space="0" w:color="auto"/>
            </w:tcBorders>
          </w:tcPr>
          <w:p w14:paraId="44D907DD" w14:textId="77777777" w:rsidR="008E12F8" w:rsidRPr="003F4EA5" w:rsidRDefault="008E12F8" w:rsidP="008E12F8">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p>
        </w:tc>
        <w:tc>
          <w:tcPr>
            <w:tcW w:w="708" w:type="pct"/>
            <w:tcBorders>
              <w:top w:val="single" w:sz="6" w:space="0" w:color="auto"/>
              <w:left w:val="single" w:sz="6" w:space="0" w:color="auto"/>
              <w:bottom w:val="single" w:sz="6" w:space="0" w:color="auto"/>
              <w:right w:val="single" w:sz="6" w:space="0" w:color="auto"/>
            </w:tcBorders>
            <w:hideMark/>
          </w:tcPr>
          <w:p w14:paraId="550F9242"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10</w:t>
            </w:r>
          </w:p>
        </w:tc>
      </w:tr>
      <w:tr w:rsidR="008E12F8" w:rsidRPr="008E12F8" w14:paraId="52E07592" w14:textId="77777777" w:rsidTr="3F3807E4">
        <w:tc>
          <w:tcPr>
            <w:cnfStyle w:val="001000000000" w:firstRow="0" w:lastRow="0" w:firstColumn="1" w:lastColumn="0" w:oddVBand="0" w:evenVBand="0" w:oddHBand="0" w:evenHBand="0" w:firstRowFirstColumn="0" w:firstRowLastColumn="0" w:lastRowFirstColumn="0" w:lastRowLastColumn="0"/>
            <w:tcW w:w="2876" w:type="pct"/>
            <w:hideMark/>
          </w:tcPr>
          <w:p w14:paraId="0B40AEEB" w14:textId="77777777" w:rsidR="008E12F8" w:rsidRPr="003F4EA5" w:rsidRDefault="3982CBDC" w:rsidP="3982CBDC">
            <w:pPr>
              <w:jc w:val="left"/>
              <w:rPr>
                <w:rFonts w:ascii="Arial" w:eastAsia="Calibri" w:hAnsi="Arial"/>
                <w:b/>
                <w:bCs/>
                <w:noProof/>
                <w:sz w:val="16"/>
                <w:szCs w:val="16"/>
              </w:rPr>
            </w:pPr>
            <w:r w:rsidRPr="3982CBDC">
              <w:rPr>
                <w:rFonts w:ascii="Arial" w:eastAsia="Calibri" w:hAnsi="Arial"/>
                <w:b/>
                <w:bCs/>
                <w:noProof/>
                <w:sz w:val="16"/>
                <w:szCs w:val="16"/>
              </w:rPr>
              <w:t>Other HFC</w:t>
            </w:r>
          </w:p>
        </w:tc>
        <w:tc>
          <w:tcPr>
            <w:tcW w:w="708" w:type="pct"/>
            <w:tcBorders>
              <w:top w:val="single" w:sz="6" w:space="0" w:color="auto"/>
              <w:left w:val="single" w:sz="6" w:space="0" w:color="auto"/>
              <w:bottom w:val="single" w:sz="6" w:space="0" w:color="auto"/>
              <w:right w:val="single" w:sz="6" w:space="0" w:color="auto"/>
            </w:tcBorders>
          </w:tcPr>
          <w:p w14:paraId="4B83142F" w14:textId="77777777" w:rsidR="008E12F8" w:rsidRPr="003F4EA5" w:rsidRDefault="008E12F8" w:rsidP="008E12F8">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p>
        </w:tc>
        <w:tc>
          <w:tcPr>
            <w:tcW w:w="708" w:type="pct"/>
            <w:tcBorders>
              <w:top w:val="single" w:sz="6" w:space="0" w:color="auto"/>
              <w:left w:val="single" w:sz="6" w:space="0" w:color="auto"/>
              <w:bottom w:val="single" w:sz="6" w:space="0" w:color="auto"/>
              <w:right w:val="single" w:sz="6" w:space="0" w:color="auto"/>
            </w:tcBorders>
          </w:tcPr>
          <w:p w14:paraId="7EAA2C5B" w14:textId="77777777" w:rsidR="008E12F8" w:rsidRPr="003F4EA5" w:rsidRDefault="008E12F8" w:rsidP="008E12F8">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p>
        </w:tc>
        <w:tc>
          <w:tcPr>
            <w:tcW w:w="708" w:type="pct"/>
            <w:tcBorders>
              <w:top w:val="single" w:sz="6" w:space="0" w:color="auto"/>
              <w:left w:val="single" w:sz="6" w:space="0" w:color="auto"/>
              <w:bottom w:val="single" w:sz="6" w:space="0" w:color="auto"/>
              <w:right w:val="single" w:sz="6" w:space="0" w:color="auto"/>
            </w:tcBorders>
          </w:tcPr>
          <w:p w14:paraId="6174A4BB" w14:textId="77777777" w:rsidR="008E12F8" w:rsidRPr="003F4EA5" w:rsidRDefault="008E12F8" w:rsidP="008E12F8">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p>
        </w:tc>
      </w:tr>
      <w:tr w:rsidR="008E12F8" w:rsidRPr="008E12F8" w14:paraId="2C56D111" w14:textId="77777777" w:rsidTr="3F3807E4">
        <w:tc>
          <w:tcPr>
            <w:cnfStyle w:val="001000000000" w:firstRow="0" w:lastRow="0" w:firstColumn="1" w:lastColumn="0" w:oddVBand="0" w:evenVBand="0" w:oddHBand="0" w:evenHBand="0" w:firstRowFirstColumn="0" w:firstRowLastColumn="0" w:lastRowFirstColumn="0" w:lastRowLastColumn="0"/>
            <w:tcW w:w="2876" w:type="pct"/>
            <w:hideMark/>
          </w:tcPr>
          <w:p w14:paraId="080B4180" w14:textId="77777777" w:rsidR="008E12F8" w:rsidRPr="003F4EA5" w:rsidRDefault="3982CBDC" w:rsidP="3982CBDC">
            <w:pPr>
              <w:ind w:left="221"/>
              <w:jc w:val="left"/>
              <w:rPr>
                <w:rFonts w:ascii="Arial" w:eastAsia="Calibri" w:hAnsi="Arial"/>
                <w:noProof/>
                <w:sz w:val="16"/>
                <w:szCs w:val="16"/>
              </w:rPr>
            </w:pPr>
            <w:r w:rsidRPr="3982CBDC">
              <w:rPr>
                <w:rFonts w:ascii="Arial" w:eastAsia="Calibri" w:hAnsi="Arial"/>
                <w:noProof/>
                <w:sz w:val="16"/>
                <w:szCs w:val="16"/>
              </w:rPr>
              <w:t>Aerosols and solvents</w:t>
            </w:r>
          </w:p>
        </w:tc>
        <w:tc>
          <w:tcPr>
            <w:tcW w:w="708" w:type="pct"/>
            <w:tcBorders>
              <w:top w:val="single" w:sz="6" w:space="0" w:color="auto"/>
              <w:left w:val="single" w:sz="6" w:space="0" w:color="auto"/>
              <w:bottom w:val="single" w:sz="6" w:space="0" w:color="auto"/>
              <w:right w:val="single" w:sz="6" w:space="0" w:color="auto"/>
            </w:tcBorders>
            <w:hideMark/>
          </w:tcPr>
          <w:p w14:paraId="32DC8EB6"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100</w:t>
            </w:r>
          </w:p>
        </w:tc>
        <w:tc>
          <w:tcPr>
            <w:tcW w:w="708" w:type="pct"/>
            <w:tcBorders>
              <w:top w:val="single" w:sz="6" w:space="0" w:color="auto"/>
              <w:left w:val="single" w:sz="6" w:space="0" w:color="auto"/>
              <w:bottom w:val="single" w:sz="6" w:space="0" w:color="auto"/>
              <w:right w:val="single" w:sz="6" w:space="0" w:color="auto"/>
            </w:tcBorders>
          </w:tcPr>
          <w:p w14:paraId="525BB355" w14:textId="77777777" w:rsidR="008E12F8" w:rsidRPr="003F4EA5" w:rsidRDefault="008E12F8" w:rsidP="008E12F8">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p>
        </w:tc>
        <w:tc>
          <w:tcPr>
            <w:tcW w:w="708" w:type="pct"/>
            <w:tcBorders>
              <w:top w:val="single" w:sz="6" w:space="0" w:color="auto"/>
              <w:left w:val="single" w:sz="6" w:space="0" w:color="auto"/>
              <w:bottom w:val="single" w:sz="6" w:space="0" w:color="auto"/>
              <w:right w:val="single" w:sz="6" w:space="0" w:color="auto"/>
            </w:tcBorders>
          </w:tcPr>
          <w:p w14:paraId="22FBAE34" w14:textId="77777777" w:rsidR="008E12F8" w:rsidRPr="003F4EA5" w:rsidRDefault="008E12F8" w:rsidP="008E12F8">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p>
        </w:tc>
      </w:tr>
      <w:tr w:rsidR="008E12F8" w:rsidRPr="008E12F8" w14:paraId="5CF81158" w14:textId="77777777" w:rsidTr="3F3807E4">
        <w:tc>
          <w:tcPr>
            <w:cnfStyle w:val="001000000000" w:firstRow="0" w:lastRow="0" w:firstColumn="1" w:lastColumn="0" w:oddVBand="0" w:evenVBand="0" w:oddHBand="0" w:evenHBand="0" w:firstRowFirstColumn="0" w:firstRowLastColumn="0" w:lastRowFirstColumn="0" w:lastRowLastColumn="0"/>
            <w:tcW w:w="2876" w:type="pct"/>
            <w:hideMark/>
          </w:tcPr>
          <w:p w14:paraId="199F3A4B" w14:textId="77777777" w:rsidR="008E12F8" w:rsidRPr="003F4EA5" w:rsidRDefault="3982CBDC" w:rsidP="3982CBDC">
            <w:pPr>
              <w:ind w:left="221"/>
              <w:jc w:val="left"/>
              <w:rPr>
                <w:rFonts w:ascii="Arial" w:eastAsia="Calibri" w:hAnsi="Arial"/>
                <w:noProof/>
                <w:sz w:val="16"/>
                <w:szCs w:val="16"/>
              </w:rPr>
            </w:pPr>
            <w:r w:rsidRPr="3982CBDC">
              <w:rPr>
                <w:rFonts w:ascii="Arial" w:eastAsia="Calibri" w:hAnsi="Arial"/>
                <w:noProof/>
                <w:sz w:val="16"/>
                <w:szCs w:val="16"/>
              </w:rPr>
              <w:t>Fire extinguishers</w:t>
            </w:r>
          </w:p>
        </w:tc>
        <w:tc>
          <w:tcPr>
            <w:tcW w:w="708" w:type="pct"/>
            <w:tcBorders>
              <w:top w:val="single" w:sz="6" w:space="0" w:color="auto"/>
              <w:left w:val="single" w:sz="6" w:space="0" w:color="auto"/>
              <w:bottom w:val="single" w:sz="6" w:space="0" w:color="auto"/>
              <w:right w:val="single" w:sz="6" w:space="0" w:color="auto"/>
            </w:tcBorders>
          </w:tcPr>
          <w:p w14:paraId="0C8BFCCE" w14:textId="77777777" w:rsidR="008E12F8" w:rsidRPr="003F4EA5" w:rsidRDefault="008E12F8" w:rsidP="008E12F8">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p>
        </w:tc>
        <w:tc>
          <w:tcPr>
            <w:tcW w:w="708" w:type="pct"/>
            <w:tcBorders>
              <w:top w:val="single" w:sz="6" w:space="0" w:color="auto"/>
              <w:left w:val="single" w:sz="6" w:space="0" w:color="auto"/>
              <w:bottom w:val="single" w:sz="6" w:space="0" w:color="auto"/>
              <w:right w:val="single" w:sz="6" w:space="0" w:color="auto"/>
            </w:tcBorders>
          </w:tcPr>
          <w:p w14:paraId="716E2F18" w14:textId="77777777" w:rsidR="008E12F8" w:rsidRPr="003F4EA5" w:rsidRDefault="008E12F8" w:rsidP="008E12F8">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p>
        </w:tc>
        <w:tc>
          <w:tcPr>
            <w:tcW w:w="708" w:type="pct"/>
            <w:tcBorders>
              <w:top w:val="single" w:sz="6" w:space="0" w:color="auto"/>
              <w:left w:val="single" w:sz="6" w:space="0" w:color="auto"/>
              <w:bottom w:val="single" w:sz="6" w:space="0" w:color="auto"/>
              <w:right w:val="single" w:sz="6" w:space="0" w:color="auto"/>
            </w:tcBorders>
          </w:tcPr>
          <w:p w14:paraId="2B1197C4" w14:textId="77777777" w:rsidR="008E12F8" w:rsidRPr="003F4EA5" w:rsidRDefault="008E12F8" w:rsidP="008E12F8">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p>
        </w:tc>
      </w:tr>
      <w:tr w:rsidR="008E12F8" w:rsidRPr="008E12F8" w14:paraId="59D72E8E" w14:textId="77777777" w:rsidTr="3F3807E4">
        <w:tc>
          <w:tcPr>
            <w:cnfStyle w:val="001000000000" w:firstRow="0" w:lastRow="0" w:firstColumn="1" w:lastColumn="0" w:oddVBand="0" w:evenVBand="0" w:oddHBand="0" w:evenHBand="0" w:firstRowFirstColumn="0" w:firstRowLastColumn="0" w:lastRowFirstColumn="0" w:lastRowLastColumn="0"/>
            <w:tcW w:w="2876" w:type="pct"/>
            <w:hideMark/>
          </w:tcPr>
          <w:p w14:paraId="33BE4053" w14:textId="77777777" w:rsidR="008E12F8" w:rsidRPr="003F4EA5" w:rsidRDefault="3982CBDC" w:rsidP="3982CBDC">
            <w:pPr>
              <w:ind w:left="221" w:firstLine="142"/>
              <w:jc w:val="left"/>
              <w:rPr>
                <w:rFonts w:ascii="Arial" w:eastAsia="Calibri" w:hAnsi="Arial"/>
                <w:noProof/>
                <w:sz w:val="16"/>
                <w:szCs w:val="16"/>
              </w:rPr>
            </w:pPr>
            <w:r w:rsidRPr="3982CBDC">
              <w:rPr>
                <w:rFonts w:ascii="Arial" w:eastAsia="Calibri" w:hAnsi="Arial"/>
                <w:noProof/>
                <w:sz w:val="16"/>
                <w:szCs w:val="16"/>
              </w:rPr>
              <w:t>HFC-227ea, HFC-125, HFC-23</w:t>
            </w:r>
          </w:p>
        </w:tc>
        <w:tc>
          <w:tcPr>
            <w:tcW w:w="708" w:type="pct"/>
            <w:tcBorders>
              <w:top w:val="single" w:sz="6" w:space="0" w:color="auto"/>
              <w:left w:val="single" w:sz="6" w:space="0" w:color="auto"/>
              <w:bottom w:val="single" w:sz="6" w:space="0" w:color="auto"/>
              <w:right w:val="single" w:sz="6" w:space="0" w:color="auto"/>
            </w:tcBorders>
            <w:hideMark/>
          </w:tcPr>
          <w:p w14:paraId="24B68473"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2</w:t>
            </w:r>
          </w:p>
        </w:tc>
        <w:tc>
          <w:tcPr>
            <w:tcW w:w="708" w:type="pct"/>
            <w:tcBorders>
              <w:top w:val="single" w:sz="6" w:space="0" w:color="auto"/>
              <w:left w:val="single" w:sz="6" w:space="0" w:color="auto"/>
              <w:bottom w:val="single" w:sz="6" w:space="0" w:color="auto"/>
              <w:right w:val="single" w:sz="6" w:space="0" w:color="auto"/>
            </w:tcBorders>
            <w:hideMark/>
          </w:tcPr>
          <w:p w14:paraId="0903F085"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9</w:t>
            </w:r>
          </w:p>
        </w:tc>
        <w:tc>
          <w:tcPr>
            <w:tcW w:w="708" w:type="pct"/>
            <w:tcBorders>
              <w:top w:val="single" w:sz="6" w:space="0" w:color="auto"/>
              <w:left w:val="single" w:sz="6" w:space="0" w:color="auto"/>
              <w:bottom w:val="single" w:sz="6" w:space="0" w:color="auto"/>
              <w:right w:val="single" w:sz="6" w:space="0" w:color="auto"/>
            </w:tcBorders>
          </w:tcPr>
          <w:p w14:paraId="772ECF64" w14:textId="77777777" w:rsidR="008E12F8" w:rsidRPr="003F4EA5" w:rsidRDefault="008E12F8" w:rsidP="008E12F8">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p>
        </w:tc>
      </w:tr>
      <w:tr w:rsidR="008E12F8" w:rsidRPr="008E12F8" w14:paraId="46FB1EDD" w14:textId="77777777" w:rsidTr="3F3807E4">
        <w:tc>
          <w:tcPr>
            <w:cnfStyle w:val="001000000000" w:firstRow="0" w:lastRow="0" w:firstColumn="1" w:lastColumn="0" w:oddVBand="0" w:evenVBand="0" w:oddHBand="0" w:evenHBand="0" w:firstRowFirstColumn="0" w:firstRowLastColumn="0" w:lastRowFirstColumn="0" w:lastRowLastColumn="0"/>
            <w:tcW w:w="2876" w:type="pct"/>
            <w:hideMark/>
          </w:tcPr>
          <w:p w14:paraId="2F21E7E9" w14:textId="77777777" w:rsidR="008E12F8" w:rsidRPr="003F4EA5" w:rsidRDefault="3982CBDC" w:rsidP="3982CBDC">
            <w:pPr>
              <w:ind w:left="221" w:firstLine="142"/>
              <w:jc w:val="left"/>
              <w:rPr>
                <w:rFonts w:ascii="Arial" w:eastAsia="Calibri" w:hAnsi="Arial"/>
                <w:noProof/>
                <w:sz w:val="16"/>
                <w:szCs w:val="16"/>
              </w:rPr>
            </w:pPr>
            <w:r w:rsidRPr="3982CBDC">
              <w:rPr>
                <w:rFonts w:ascii="Arial" w:eastAsia="Calibri" w:hAnsi="Arial"/>
                <w:noProof/>
                <w:sz w:val="16"/>
                <w:szCs w:val="16"/>
              </w:rPr>
              <w:t>HFC-134a</w:t>
            </w:r>
          </w:p>
        </w:tc>
        <w:tc>
          <w:tcPr>
            <w:tcW w:w="708" w:type="pct"/>
            <w:tcBorders>
              <w:top w:val="single" w:sz="6" w:space="0" w:color="auto"/>
              <w:left w:val="single" w:sz="6" w:space="0" w:color="auto"/>
              <w:bottom w:val="single" w:sz="6" w:space="0" w:color="auto"/>
              <w:right w:val="single" w:sz="6" w:space="0" w:color="auto"/>
            </w:tcBorders>
            <w:hideMark/>
          </w:tcPr>
          <w:p w14:paraId="42CAA5D1"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4</w:t>
            </w:r>
          </w:p>
        </w:tc>
        <w:tc>
          <w:tcPr>
            <w:tcW w:w="708" w:type="pct"/>
            <w:tcBorders>
              <w:top w:val="single" w:sz="6" w:space="0" w:color="auto"/>
              <w:left w:val="single" w:sz="6" w:space="0" w:color="auto"/>
              <w:bottom w:val="single" w:sz="6" w:space="0" w:color="auto"/>
              <w:right w:val="single" w:sz="6" w:space="0" w:color="auto"/>
            </w:tcBorders>
            <w:hideMark/>
          </w:tcPr>
          <w:p w14:paraId="73482A66"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9</w:t>
            </w:r>
          </w:p>
        </w:tc>
        <w:tc>
          <w:tcPr>
            <w:tcW w:w="708" w:type="pct"/>
            <w:tcBorders>
              <w:top w:val="single" w:sz="6" w:space="0" w:color="auto"/>
              <w:left w:val="single" w:sz="6" w:space="0" w:color="auto"/>
              <w:bottom w:val="single" w:sz="6" w:space="0" w:color="auto"/>
              <w:right w:val="single" w:sz="6" w:space="0" w:color="auto"/>
            </w:tcBorders>
          </w:tcPr>
          <w:p w14:paraId="328F8557" w14:textId="77777777" w:rsidR="008E12F8" w:rsidRPr="003F4EA5" w:rsidRDefault="008E12F8" w:rsidP="008E12F8">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p>
        </w:tc>
      </w:tr>
      <w:tr w:rsidR="008E12F8" w:rsidRPr="008E12F8" w14:paraId="32DFF57D" w14:textId="77777777" w:rsidTr="3F3807E4">
        <w:tc>
          <w:tcPr>
            <w:cnfStyle w:val="001000000000" w:firstRow="0" w:lastRow="0" w:firstColumn="1" w:lastColumn="0" w:oddVBand="0" w:evenVBand="0" w:oddHBand="0" w:evenHBand="0" w:firstRowFirstColumn="0" w:firstRowLastColumn="0" w:lastRowFirstColumn="0" w:lastRowLastColumn="0"/>
            <w:tcW w:w="2876" w:type="pct"/>
            <w:hideMark/>
          </w:tcPr>
          <w:p w14:paraId="2ADBF055" w14:textId="77777777" w:rsidR="008E12F8" w:rsidRPr="003F4EA5" w:rsidRDefault="3982CBDC" w:rsidP="3982CBDC">
            <w:pPr>
              <w:ind w:left="221" w:firstLine="142"/>
              <w:jc w:val="left"/>
              <w:rPr>
                <w:rFonts w:ascii="Arial" w:eastAsia="Calibri" w:hAnsi="Arial"/>
                <w:noProof/>
                <w:sz w:val="16"/>
                <w:szCs w:val="16"/>
              </w:rPr>
            </w:pPr>
            <w:r w:rsidRPr="3982CBDC">
              <w:rPr>
                <w:rFonts w:ascii="Arial" w:eastAsia="Calibri" w:hAnsi="Arial"/>
                <w:noProof/>
                <w:sz w:val="16"/>
                <w:szCs w:val="16"/>
              </w:rPr>
              <w:t>HFC-236fa</w:t>
            </w:r>
          </w:p>
        </w:tc>
        <w:tc>
          <w:tcPr>
            <w:tcW w:w="708" w:type="pct"/>
            <w:tcBorders>
              <w:top w:val="single" w:sz="6" w:space="0" w:color="auto"/>
              <w:left w:val="single" w:sz="6" w:space="0" w:color="auto"/>
              <w:bottom w:val="single" w:sz="6" w:space="0" w:color="auto"/>
              <w:right w:val="single" w:sz="6" w:space="0" w:color="auto"/>
            </w:tcBorders>
            <w:hideMark/>
          </w:tcPr>
          <w:p w14:paraId="529FC3DF"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5</w:t>
            </w:r>
          </w:p>
        </w:tc>
        <w:tc>
          <w:tcPr>
            <w:tcW w:w="708" w:type="pct"/>
            <w:tcBorders>
              <w:top w:val="single" w:sz="6" w:space="0" w:color="auto"/>
              <w:left w:val="single" w:sz="6" w:space="0" w:color="auto"/>
              <w:bottom w:val="single" w:sz="6" w:space="0" w:color="auto"/>
              <w:right w:val="single" w:sz="6" w:space="0" w:color="auto"/>
            </w:tcBorders>
            <w:hideMark/>
          </w:tcPr>
          <w:p w14:paraId="562A176E"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9</w:t>
            </w:r>
          </w:p>
        </w:tc>
        <w:tc>
          <w:tcPr>
            <w:tcW w:w="708" w:type="pct"/>
            <w:tcBorders>
              <w:top w:val="single" w:sz="6" w:space="0" w:color="auto"/>
              <w:left w:val="single" w:sz="6" w:space="0" w:color="auto"/>
              <w:bottom w:val="single" w:sz="6" w:space="0" w:color="auto"/>
              <w:right w:val="single" w:sz="6" w:space="0" w:color="auto"/>
            </w:tcBorders>
          </w:tcPr>
          <w:p w14:paraId="27D1B380" w14:textId="77777777" w:rsidR="008E12F8" w:rsidRPr="003F4EA5" w:rsidRDefault="008E12F8" w:rsidP="008E12F8">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p>
        </w:tc>
      </w:tr>
      <w:tr w:rsidR="008E12F8" w:rsidRPr="008E12F8" w14:paraId="745FE1D3" w14:textId="77777777" w:rsidTr="3F3807E4">
        <w:tc>
          <w:tcPr>
            <w:cnfStyle w:val="001000000000" w:firstRow="0" w:lastRow="0" w:firstColumn="1" w:lastColumn="0" w:oddVBand="0" w:evenVBand="0" w:oddHBand="0" w:evenHBand="0" w:firstRowFirstColumn="0" w:firstRowLastColumn="0" w:lastRowFirstColumn="0" w:lastRowLastColumn="0"/>
            <w:tcW w:w="2876" w:type="pct"/>
            <w:hideMark/>
          </w:tcPr>
          <w:p w14:paraId="54D99AE5" w14:textId="77777777" w:rsidR="008E12F8" w:rsidRPr="003F4EA5" w:rsidRDefault="3982CBDC" w:rsidP="3982CBDC">
            <w:pPr>
              <w:jc w:val="left"/>
              <w:rPr>
                <w:rFonts w:ascii="Arial" w:eastAsia="Calibri" w:hAnsi="Arial"/>
                <w:b/>
                <w:bCs/>
                <w:noProof/>
                <w:sz w:val="16"/>
                <w:szCs w:val="16"/>
              </w:rPr>
            </w:pPr>
            <w:r w:rsidRPr="3982CBDC">
              <w:rPr>
                <w:rFonts w:ascii="Arial" w:eastAsia="Calibri" w:hAnsi="Arial"/>
                <w:b/>
                <w:bCs/>
                <w:noProof/>
                <w:sz w:val="16"/>
                <w:szCs w:val="16"/>
              </w:rPr>
              <w:t>SF</w:t>
            </w:r>
            <w:r w:rsidRPr="3982CBDC">
              <w:rPr>
                <w:rFonts w:ascii="Arial" w:eastAsia="Calibri" w:hAnsi="Arial"/>
                <w:b/>
                <w:bCs/>
                <w:noProof/>
                <w:sz w:val="16"/>
                <w:szCs w:val="16"/>
                <w:vertAlign w:val="subscript"/>
              </w:rPr>
              <w:t>6</w:t>
            </w:r>
          </w:p>
        </w:tc>
        <w:tc>
          <w:tcPr>
            <w:tcW w:w="708" w:type="pct"/>
            <w:tcBorders>
              <w:top w:val="single" w:sz="6" w:space="0" w:color="auto"/>
              <w:left w:val="single" w:sz="6" w:space="0" w:color="auto"/>
              <w:bottom w:val="single" w:sz="6" w:space="0" w:color="auto"/>
              <w:right w:val="single" w:sz="6" w:space="0" w:color="auto"/>
            </w:tcBorders>
          </w:tcPr>
          <w:p w14:paraId="3B181EE7" w14:textId="77777777" w:rsidR="008E12F8" w:rsidRPr="003F4EA5" w:rsidRDefault="008E12F8" w:rsidP="008E12F8">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p>
        </w:tc>
        <w:tc>
          <w:tcPr>
            <w:tcW w:w="708" w:type="pct"/>
            <w:tcBorders>
              <w:top w:val="single" w:sz="6" w:space="0" w:color="auto"/>
              <w:left w:val="single" w:sz="6" w:space="0" w:color="auto"/>
              <w:bottom w:val="single" w:sz="6" w:space="0" w:color="auto"/>
              <w:right w:val="single" w:sz="6" w:space="0" w:color="auto"/>
            </w:tcBorders>
          </w:tcPr>
          <w:p w14:paraId="27666A59" w14:textId="77777777" w:rsidR="008E12F8" w:rsidRPr="003F4EA5" w:rsidRDefault="008E12F8" w:rsidP="008E12F8">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p>
        </w:tc>
        <w:tc>
          <w:tcPr>
            <w:tcW w:w="708" w:type="pct"/>
            <w:tcBorders>
              <w:top w:val="single" w:sz="6" w:space="0" w:color="auto"/>
              <w:left w:val="single" w:sz="6" w:space="0" w:color="auto"/>
              <w:bottom w:val="single" w:sz="6" w:space="0" w:color="auto"/>
              <w:right w:val="single" w:sz="6" w:space="0" w:color="auto"/>
            </w:tcBorders>
          </w:tcPr>
          <w:p w14:paraId="1F0A976D" w14:textId="77777777" w:rsidR="008E12F8" w:rsidRPr="003F4EA5" w:rsidRDefault="008E12F8" w:rsidP="008E12F8">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p>
        </w:tc>
      </w:tr>
      <w:tr w:rsidR="008E12F8" w:rsidRPr="008E12F8" w14:paraId="618E3767" w14:textId="77777777" w:rsidTr="3F3807E4">
        <w:tc>
          <w:tcPr>
            <w:cnfStyle w:val="001000000000" w:firstRow="0" w:lastRow="0" w:firstColumn="1" w:lastColumn="0" w:oddVBand="0" w:evenVBand="0" w:oddHBand="0" w:evenHBand="0" w:firstRowFirstColumn="0" w:firstRowLastColumn="0" w:lastRowFirstColumn="0" w:lastRowLastColumn="0"/>
            <w:tcW w:w="2876" w:type="pct"/>
            <w:hideMark/>
          </w:tcPr>
          <w:p w14:paraId="1D674275" w14:textId="77777777" w:rsidR="008E12F8" w:rsidRPr="003F4EA5" w:rsidRDefault="3982CBDC" w:rsidP="3982CBDC">
            <w:pPr>
              <w:ind w:left="221"/>
              <w:jc w:val="left"/>
              <w:rPr>
                <w:rFonts w:ascii="Arial" w:eastAsia="Calibri" w:hAnsi="Arial"/>
                <w:noProof/>
                <w:sz w:val="16"/>
                <w:szCs w:val="16"/>
              </w:rPr>
            </w:pPr>
            <w:r w:rsidRPr="3982CBDC">
              <w:rPr>
                <w:rFonts w:ascii="Arial" w:eastAsia="Calibri" w:hAnsi="Arial"/>
                <w:noProof/>
                <w:sz w:val="16"/>
                <w:szCs w:val="16"/>
              </w:rPr>
              <w:t>Electrical equipment</w:t>
            </w:r>
          </w:p>
        </w:tc>
        <w:tc>
          <w:tcPr>
            <w:tcW w:w="708" w:type="pct"/>
            <w:tcBorders>
              <w:top w:val="single" w:sz="6" w:space="0" w:color="auto"/>
              <w:left w:val="single" w:sz="6" w:space="0" w:color="auto"/>
              <w:bottom w:val="single" w:sz="6" w:space="0" w:color="auto"/>
              <w:right w:val="single" w:sz="6" w:space="0" w:color="auto"/>
            </w:tcBorders>
            <w:hideMark/>
          </w:tcPr>
          <w:p w14:paraId="1D6D3E13"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1</w:t>
            </w:r>
          </w:p>
        </w:tc>
        <w:tc>
          <w:tcPr>
            <w:tcW w:w="708" w:type="pct"/>
            <w:tcBorders>
              <w:top w:val="single" w:sz="6" w:space="0" w:color="auto"/>
              <w:left w:val="single" w:sz="6" w:space="0" w:color="auto"/>
              <w:bottom w:val="single" w:sz="6" w:space="0" w:color="auto"/>
              <w:right w:val="single" w:sz="6" w:space="0" w:color="auto"/>
            </w:tcBorders>
            <w:hideMark/>
          </w:tcPr>
          <w:p w14:paraId="02F321E4"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5</w:t>
            </w:r>
          </w:p>
        </w:tc>
        <w:tc>
          <w:tcPr>
            <w:tcW w:w="708" w:type="pct"/>
            <w:tcBorders>
              <w:top w:val="single" w:sz="6" w:space="0" w:color="auto"/>
              <w:left w:val="single" w:sz="6" w:space="0" w:color="auto"/>
              <w:bottom w:val="single" w:sz="6" w:space="0" w:color="auto"/>
              <w:right w:val="single" w:sz="6" w:space="0" w:color="auto"/>
            </w:tcBorders>
            <w:hideMark/>
          </w:tcPr>
          <w:p w14:paraId="4467EA24"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4</w:t>
            </w:r>
          </w:p>
        </w:tc>
      </w:tr>
      <w:tr w:rsidR="008E12F8" w:rsidRPr="008E12F8" w14:paraId="789BB7BA" w14:textId="77777777" w:rsidTr="3F3807E4">
        <w:tc>
          <w:tcPr>
            <w:cnfStyle w:val="001000000000" w:firstRow="0" w:lastRow="0" w:firstColumn="1" w:lastColumn="0" w:oddVBand="0" w:evenVBand="0" w:oddHBand="0" w:evenHBand="0" w:firstRowFirstColumn="0" w:firstRowLastColumn="0" w:lastRowFirstColumn="0" w:lastRowLastColumn="0"/>
            <w:tcW w:w="2876" w:type="pct"/>
            <w:hideMark/>
          </w:tcPr>
          <w:p w14:paraId="27F05079" w14:textId="77777777" w:rsidR="008E12F8" w:rsidRPr="003F4EA5" w:rsidRDefault="3982CBDC" w:rsidP="3982CBDC">
            <w:pPr>
              <w:ind w:left="221"/>
              <w:jc w:val="left"/>
              <w:rPr>
                <w:rFonts w:ascii="Arial" w:eastAsia="Calibri" w:hAnsi="Arial"/>
                <w:noProof/>
                <w:sz w:val="16"/>
                <w:szCs w:val="16"/>
              </w:rPr>
            </w:pPr>
            <w:r w:rsidRPr="3982CBDC">
              <w:rPr>
                <w:rFonts w:ascii="Arial" w:eastAsia="Calibri" w:hAnsi="Arial"/>
                <w:noProof/>
                <w:sz w:val="16"/>
                <w:szCs w:val="16"/>
              </w:rPr>
              <w:t>Soundproof windows</w:t>
            </w:r>
          </w:p>
        </w:tc>
        <w:tc>
          <w:tcPr>
            <w:tcW w:w="708" w:type="pct"/>
            <w:tcBorders>
              <w:top w:val="single" w:sz="6" w:space="0" w:color="auto"/>
              <w:left w:val="single" w:sz="6" w:space="0" w:color="auto"/>
              <w:bottom w:val="single" w:sz="6" w:space="0" w:color="auto"/>
              <w:right w:val="single" w:sz="6" w:space="0" w:color="auto"/>
            </w:tcBorders>
            <w:hideMark/>
          </w:tcPr>
          <w:p w14:paraId="494BF491"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1</w:t>
            </w:r>
          </w:p>
        </w:tc>
        <w:tc>
          <w:tcPr>
            <w:tcW w:w="708" w:type="pct"/>
            <w:tcBorders>
              <w:top w:val="single" w:sz="6" w:space="0" w:color="auto"/>
              <w:left w:val="single" w:sz="6" w:space="0" w:color="auto"/>
              <w:bottom w:val="single" w:sz="6" w:space="0" w:color="auto"/>
              <w:right w:val="single" w:sz="6" w:space="0" w:color="auto"/>
            </w:tcBorders>
            <w:hideMark/>
          </w:tcPr>
          <w:p w14:paraId="01F24AE0"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100</w:t>
            </w:r>
          </w:p>
        </w:tc>
        <w:tc>
          <w:tcPr>
            <w:tcW w:w="708" w:type="pct"/>
            <w:tcBorders>
              <w:top w:val="single" w:sz="6" w:space="0" w:color="auto"/>
              <w:left w:val="single" w:sz="6" w:space="0" w:color="auto"/>
              <w:bottom w:val="single" w:sz="6" w:space="0" w:color="auto"/>
              <w:right w:val="single" w:sz="6" w:space="0" w:color="auto"/>
            </w:tcBorders>
            <w:hideMark/>
          </w:tcPr>
          <w:p w14:paraId="472F31F1"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33</w:t>
            </w:r>
          </w:p>
        </w:tc>
      </w:tr>
      <w:tr w:rsidR="008E12F8" w:rsidRPr="008E12F8" w14:paraId="712250AD" w14:textId="77777777" w:rsidTr="3F3807E4">
        <w:tc>
          <w:tcPr>
            <w:cnfStyle w:val="001000000000" w:firstRow="0" w:lastRow="0" w:firstColumn="1" w:lastColumn="0" w:oddVBand="0" w:evenVBand="0" w:oddHBand="0" w:evenHBand="0" w:firstRowFirstColumn="0" w:firstRowLastColumn="0" w:lastRowFirstColumn="0" w:lastRowLastColumn="0"/>
            <w:tcW w:w="2876" w:type="pct"/>
            <w:hideMark/>
          </w:tcPr>
          <w:p w14:paraId="08E44EDD" w14:textId="77777777" w:rsidR="008E12F8" w:rsidRPr="003F4EA5" w:rsidRDefault="3982CBDC" w:rsidP="3982CBDC">
            <w:pPr>
              <w:ind w:left="221"/>
              <w:jc w:val="left"/>
              <w:rPr>
                <w:rFonts w:ascii="Arial" w:eastAsia="Calibri" w:hAnsi="Arial"/>
                <w:noProof/>
                <w:sz w:val="16"/>
                <w:szCs w:val="16"/>
              </w:rPr>
            </w:pPr>
            <w:r w:rsidRPr="3982CBDC">
              <w:rPr>
                <w:rFonts w:ascii="Arial" w:eastAsia="Calibri" w:hAnsi="Arial"/>
                <w:noProof/>
                <w:sz w:val="16"/>
                <w:szCs w:val="16"/>
              </w:rPr>
              <w:t>Aluminium and magnesium casting</w:t>
            </w:r>
          </w:p>
        </w:tc>
        <w:tc>
          <w:tcPr>
            <w:tcW w:w="708" w:type="pct"/>
            <w:tcBorders>
              <w:top w:val="single" w:sz="6" w:space="0" w:color="auto"/>
              <w:left w:val="single" w:sz="6" w:space="0" w:color="auto"/>
              <w:bottom w:val="single" w:sz="6" w:space="0" w:color="auto"/>
              <w:right w:val="single" w:sz="6" w:space="0" w:color="auto"/>
            </w:tcBorders>
          </w:tcPr>
          <w:p w14:paraId="39B2242A" w14:textId="77777777" w:rsidR="008E12F8" w:rsidRPr="003F4EA5" w:rsidRDefault="008E12F8" w:rsidP="008E12F8">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p>
        </w:tc>
        <w:tc>
          <w:tcPr>
            <w:tcW w:w="708" w:type="pct"/>
            <w:tcBorders>
              <w:top w:val="single" w:sz="6" w:space="0" w:color="auto"/>
              <w:left w:val="single" w:sz="6" w:space="0" w:color="auto"/>
              <w:bottom w:val="single" w:sz="6" w:space="0" w:color="auto"/>
              <w:right w:val="single" w:sz="6" w:space="0" w:color="auto"/>
            </w:tcBorders>
          </w:tcPr>
          <w:p w14:paraId="02223BB9" w14:textId="77777777" w:rsidR="008E12F8" w:rsidRPr="003F4EA5" w:rsidRDefault="008E12F8" w:rsidP="008E12F8">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p>
        </w:tc>
        <w:tc>
          <w:tcPr>
            <w:tcW w:w="708" w:type="pct"/>
            <w:tcBorders>
              <w:top w:val="single" w:sz="6" w:space="0" w:color="auto"/>
              <w:left w:val="single" w:sz="6" w:space="0" w:color="auto"/>
              <w:bottom w:val="single" w:sz="6" w:space="0" w:color="auto"/>
              <w:right w:val="single" w:sz="6" w:space="0" w:color="auto"/>
            </w:tcBorders>
            <w:hideMark/>
          </w:tcPr>
          <w:p w14:paraId="7659E139" w14:textId="77777777" w:rsidR="008E12F8" w:rsidRPr="003F4EA5" w:rsidRDefault="3982CBDC" w:rsidP="3982CBD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6"/>
                <w:szCs w:val="16"/>
              </w:rPr>
            </w:pPr>
            <w:r w:rsidRPr="3982CBDC">
              <w:rPr>
                <w:rFonts w:ascii="Arial" w:eastAsia="Calibri" w:hAnsi="Arial" w:cs="Arial"/>
                <w:noProof/>
                <w:sz w:val="16"/>
                <w:szCs w:val="16"/>
              </w:rPr>
              <w:t>3</w:t>
            </w:r>
          </w:p>
        </w:tc>
      </w:tr>
    </w:tbl>
    <w:p w14:paraId="1650C545" w14:textId="10F1C329" w:rsidR="008E12F8" w:rsidRPr="008E12F8" w:rsidRDefault="008E12F8" w:rsidP="008E12F8">
      <w:pPr>
        <w:spacing w:after="180" w:line="280" w:lineRule="atLeast"/>
        <w:jc w:val="left"/>
        <w:rPr>
          <w:rFonts w:ascii="Arial" w:eastAsia="Arial" w:hAnsi="Arial" w:cs="Arial"/>
          <w:noProof/>
          <w:sz w:val="22"/>
          <w:szCs w:val="20"/>
        </w:rPr>
      </w:pPr>
    </w:p>
    <w:p w14:paraId="7F79196F" w14:textId="71B297B6" w:rsidR="00F66DB0" w:rsidRPr="00672BCC" w:rsidRDefault="3982CBDC" w:rsidP="0017603A">
      <w:pPr>
        <w:pStyle w:val="AppendixHeadingLevel3"/>
        <w:numPr>
          <w:ilvl w:val="2"/>
          <w:numId w:val="112"/>
        </w:numPr>
        <w:rPr>
          <w:noProof/>
        </w:rPr>
      </w:pPr>
      <w:bookmarkStart w:id="516" w:name="_Toc81029640"/>
      <w:r>
        <w:rPr>
          <w:noProof/>
        </w:rPr>
        <w:t xml:space="preserve">Validation of the AnaFgas model </w:t>
      </w:r>
      <w:bookmarkEnd w:id="516"/>
    </w:p>
    <w:p w14:paraId="63D1A59E" w14:textId="77777777" w:rsidR="008E12F8" w:rsidRPr="00F66DB0" w:rsidRDefault="3982CBDC" w:rsidP="00225664">
      <w:pPr>
        <w:spacing w:after="120"/>
        <w:rPr>
          <w:rFonts w:eastAsia="Calibri" w:cs="Times New Roman"/>
          <w:noProof/>
        </w:rPr>
      </w:pPr>
      <w:r w:rsidRPr="3982CBDC">
        <w:rPr>
          <w:rFonts w:eastAsia="Calibri" w:cs="Times New Roman"/>
          <w:noProof/>
        </w:rPr>
        <w:t>Validating the results from the AnaFgas baseline model is crucial but there only exist very limited data for comparison. In the following, demand and emissions are contrasted with supply, as calculated by the EEA based on reporting data under the Regulation, and emissions data extracted from the National Inventory Reports (NIR) for the EU under UNFCCC. However, some systematic differences between the compared data set should be noted:</w:t>
      </w:r>
    </w:p>
    <w:p w14:paraId="7CCB869F" w14:textId="515ACE04" w:rsidR="008E12F8" w:rsidRPr="00F66DB0" w:rsidRDefault="00C63F49" w:rsidP="00AD5F1B">
      <w:pPr>
        <w:numPr>
          <w:ilvl w:val="0"/>
          <w:numId w:val="38"/>
        </w:numPr>
        <w:spacing w:before="60" w:after="160"/>
        <w:ind w:left="714" w:hanging="357"/>
        <w:contextualSpacing/>
        <w:rPr>
          <w:rFonts w:eastAsia="Calibri" w:cs="Times New Roman"/>
          <w:noProof/>
        </w:rPr>
      </w:pPr>
      <w:r>
        <w:rPr>
          <w:rFonts w:eastAsia="Calibri" w:cs="Times New Roman"/>
          <w:noProof/>
        </w:rPr>
        <w:t>S</w:t>
      </w:r>
      <w:r w:rsidR="3982CBDC" w:rsidRPr="3982CBDC">
        <w:rPr>
          <w:rFonts w:eastAsia="Calibri" w:cs="Times New Roman"/>
          <w:noProof/>
        </w:rPr>
        <w:t xml:space="preserve">upply as defined and calculated by the EEA [EEA 2020 public report] is not the same metric as demand used in the AnaFgas modelling. The AnaFgas demand covers the gases which are needed for the operation of equipment in the EU. In the supply metric, additionally, those gas amounts are accounted for which are charged into equipment in the EU and subsequently exported for use outside the EU. Furthermore, some </w:t>
      </w:r>
      <w:r>
        <w:rPr>
          <w:rFonts w:eastAsia="Calibri" w:cs="Times New Roman"/>
          <w:noProof/>
        </w:rPr>
        <w:t>interannual discrepancies may occur</w:t>
      </w:r>
      <w:r w:rsidR="3982CBDC" w:rsidRPr="3982CBDC">
        <w:rPr>
          <w:rFonts w:eastAsia="Calibri" w:cs="Times New Roman"/>
          <w:noProof/>
        </w:rPr>
        <w:t xml:space="preserve"> due to stocks. The EEA supply metric is cleared of amounts stockpiled at the end of the year by producers or importers of gas. However, gases stockpiled further downstream e.g. by distributors and also gases contained in stockpiled imported equipment are contained in the supply of the year of import rather than for the year of actual use. </w:t>
      </w:r>
    </w:p>
    <w:p w14:paraId="26F87501" w14:textId="1C76F3AE" w:rsidR="008E12F8" w:rsidRPr="00F66DB0" w:rsidRDefault="3982CBDC" w:rsidP="00AD5F1B">
      <w:pPr>
        <w:numPr>
          <w:ilvl w:val="0"/>
          <w:numId w:val="38"/>
        </w:numPr>
        <w:spacing w:after="160"/>
        <w:ind w:left="714" w:hanging="357"/>
        <w:rPr>
          <w:rFonts w:eastAsia="Calibri" w:cs="Times New Roman"/>
          <w:noProof/>
        </w:rPr>
      </w:pPr>
      <w:r w:rsidRPr="3982CBDC">
        <w:rPr>
          <w:rFonts w:eastAsia="Calibri" w:cs="Times New Roman"/>
          <w:noProof/>
        </w:rPr>
        <w:t>UNFCCC data on emissions of F-gases are estimated val</w:t>
      </w:r>
      <w:r w:rsidR="00C63F49">
        <w:rPr>
          <w:rFonts w:eastAsia="Calibri" w:cs="Times New Roman"/>
          <w:noProof/>
        </w:rPr>
        <w:t>ues only, and Member States use</w:t>
      </w:r>
      <w:r w:rsidRPr="3982CBDC">
        <w:rPr>
          <w:rFonts w:eastAsia="Calibri" w:cs="Times New Roman"/>
          <w:noProof/>
        </w:rPr>
        <w:t xml:space="preserve"> very different methods to obtain this data, from databases of actual emissions, to surveys or the use of very generalised emission factors as per UNFCCC methodology. This data therefore also carries an inherent amount of uncertainty.</w:t>
      </w:r>
    </w:p>
    <w:p w14:paraId="24AD68ED" w14:textId="62C80708" w:rsidR="008E12F8" w:rsidRPr="00F66DB0" w:rsidRDefault="008E12F8" w:rsidP="00225664">
      <w:pPr>
        <w:spacing w:after="160"/>
        <w:rPr>
          <w:rFonts w:eastAsia="Calibri" w:cs="Times New Roman"/>
          <w:noProof/>
        </w:rPr>
      </w:pPr>
      <w:r w:rsidRPr="00A41B24">
        <w:rPr>
          <w:rFonts w:eastAsia="Calibri" w:cs="Times New Roman"/>
          <w:noProof/>
          <w:lang w:eastAsia="x-none"/>
        </w:rPr>
        <w:t>When comparing de</w:t>
      </w:r>
      <w:r w:rsidR="00C63F49">
        <w:rPr>
          <w:rFonts w:eastAsia="Calibri" w:cs="Times New Roman"/>
          <w:noProof/>
          <w:lang w:eastAsia="x-none"/>
        </w:rPr>
        <w:t xml:space="preserve">mand and supply, the metrics </w:t>
      </w:r>
      <w:r w:rsidRPr="00A41B24">
        <w:rPr>
          <w:rFonts w:eastAsia="Calibri" w:cs="Times New Roman"/>
          <w:noProof/>
          <w:lang w:eastAsia="x-none"/>
        </w:rPr>
        <w:t>align closely for certain years but deviate for others (</w:t>
      </w:r>
      <w:r w:rsidRPr="3982CBDC">
        <w:rPr>
          <w:noProof/>
        </w:rPr>
        <w:fldChar w:fldCharType="begin"/>
      </w:r>
      <w:r w:rsidRPr="00A41B24">
        <w:rPr>
          <w:rFonts w:eastAsia="Calibri" w:cs="Times New Roman"/>
          <w:noProof/>
          <w:szCs w:val="24"/>
          <w:lang w:eastAsia="x-none"/>
        </w:rPr>
        <w:instrText xml:space="preserve"> REF _Ref65673768 \h  \* MERGEFORMAT </w:instrText>
      </w:r>
      <w:r w:rsidRPr="3982CBDC">
        <w:rPr>
          <w:noProof/>
        </w:rPr>
      </w:r>
      <w:r w:rsidRPr="3982CBDC">
        <w:rPr>
          <w:rFonts w:eastAsia="Calibri" w:cs="Times New Roman"/>
          <w:noProof/>
          <w:szCs w:val="24"/>
          <w:lang w:eastAsia="x-none"/>
        </w:rPr>
        <w:fldChar w:fldCharType="separate"/>
      </w:r>
      <w:r w:rsidR="00C66A21" w:rsidRPr="00C66A21">
        <w:rPr>
          <w:rFonts w:eastAsia="Calibri" w:cs="Times New Roman"/>
          <w:noProof/>
        </w:rPr>
        <w:t>Figure 10</w:t>
      </w:r>
      <w:r w:rsidRPr="3982CBDC">
        <w:rPr>
          <w:noProof/>
        </w:rPr>
        <w:fldChar w:fldCharType="end"/>
      </w:r>
      <w:r w:rsidRPr="00A41B24">
        <w:rPr>
          <w:rFonts w:eastAsia="Calibri" w:cs="Times New Roman"/>
          <w:noProof/>
          <w:lang w:eastAsia="x-none"/>
        </w:rPr>
        <w:t xml:space="preserve"> and</w:t>
      </w:r>
      <w:r w:rsidR="00C63F49" w:rsidRPr="00C63F49">
        <w:rPr>
          <w:noProof/>
        </w:rPr>
        <w:t xml:space="preserve"> </w:t>
      </w:r>
      <w:r w:rsidR="00C63F49" w:rsidRPr="00C63F49">
        <w:rPr>
          <w:rFonts w:cs="Times New Roman"/>
          <w:noProof/>
          <w:szCs w:val="24"/>
        </w:rPr>
        <w:fldChar w:fldCharType="begin"/>
      </w:r>
      <w:r w:rsidR="00C63F49" w:rsidRPr="00C63F49">
        <w:rPr>
          <w:rFonts w:cs="Times New Roman"/>
          <w:noProof/>
          <w:szCs w:val="24"/>
        </w:rPr>
        <w:instrText xml:space="preserve"> REF _Ref87015466 \h  \* MERGEFORMAT </w:instrText>
      </w:r>
      <w:r w:rsidR="00C63F49" w:rsidRPr="00C63F49">
        <w:rPr>
          <w:rFonts w:cs="Times New Roman"/>
          <w:noProof/>
          <w:szCs w:val="24"/>
        </w:rPr>
      </w:r>
      <w:r w:rsidR="00C63F49" w:rsidRPr="00C63F49">
        <w:rPr>
          <w:rFonts w:cs="Times New Roman"/>
          <w:noProof/>
          <w:szCs w:val="24"/>
        </w:rPr>
        <w:fldChar w:fldCharType="separate"/>
      </w:r>
      <w:r w:rsidR="00C66A21" w:rsidRPr="00C66A21">
        <w:rPr>
          <w:rFonts w:eastAsia="Calibri" w:cs="Times New Roman"/>
          <w:bCs/>
          <w:noProof/>
          <w:szCs w:val="24"/>
        </w:rPr>
        <w:t>Table 15</w:t>
      </w:r>
      <w:r w:rsidR="00C63F49" w:rsidRPr="00C63F49">
        <w:rPr>
          <w:rFonts w:cs="Times New Roman"/>
          <w:noProof/>
          <w:szCs w:val="24"/>
        </w:rPr>
        <w:fldChar w:fldCharType="end"/>
      </w:r>
      <w:r w:rsidRPr="00A41B24">
        <w:rPr>
          <w:rFonts w:eastAsia="Calibri" w:cs="Times New Roman"/>
          <w:noProof/>
          <w:lang w:eastAsia="x-none"/>
        </w:rPr>
        <w:t>). Especially in 2014, the supply is substantially higher than the modelled demand, while in</w:t>
      </w:r>
      <w:r w:rsidR="0099300A" w:rsidRPr="3982CBDC">
        <w:rPr>
          <w:rFonts w:eastAsia="Calibri" w:cs="Times New Roman"/>
          <w:noProof/>
          <w:lang w:eastAsia="x-none"/>
        </w:rPr>
        <w:t xml:space="preserve"> 2019 the reverse is the case. I</w:t>
      </w:r>
      <w:r w:rsidRPr="00A41B24">
        <w:rPr>
          <w:rFonts w:eastAsia="Calibri" w:cs="Times New Roman"/>
          <w:noProof/>
          <w:lang w:eastAsia="x-none"/>
        </w:rPr>
        <w:t>n 2014, large quantities of F-gas supply were reported that most certainly were not actually used in equipment in that year. These quantities were very likely stockpiled in anticipation of shortages</w:t>
      </w:r>
      <w:r w:rsidR="00F66DB0" w:rsidRPr="3982CBDC">
        <w:rPr>
          <w:rFonts w:eastAsia="Calibri" w:cs="Times New Roman"/>
          <w:noProof/>
          <w:lang w:eastAsia="x-none"/>
        </w:rPr>
        <w:t xml:space="preserve"> anticipated</w:t>
      </w:r>
      <w:r w:rsidRPr="00A41B24">
        <w:rPr>
          <w:rFonts w:eastAsia="Calibri" w:cs="Times New Roman"/>
          <w:noProof/>
          <w:lang w:eastAsia="x-none"/>
        </w:rPr>
        <w:t xml:space="preserve"> because of the phase-down</w:t>
      </w:r>
      <w:r w:rsidR="00F66DB0" w:rsidRPr="3982CBDC">
        <w:rPr>
          <w:rFonts w:eastAsia="Calibri" w:cs="Times New Roman"/>
          <w:noProof/>
          <w:lang w:eastAsia="x-none"/>
        </w:rPr>
        <w:t xml:space="preserve"> that started the following year</w:t>
      </w:r>
      <w:r w:rsidRPr="00A41B24">
        <w:rPr>
          <w:rFonts w:eastAsia="Calibri" w:cs="Times New Roman"/>
          <w:noProof/>
          <w:lang w:eastAsia="x-none"/>
        </w:rPr>
        <w:t xml:space="preserve">. Stocks are not part of the derivation of demand, however, and this is the reason why 2014 shows no increase in the modelling. </w:t>
      </w:r>
      <w:r w:rsidR="00E949B6" w:rsidRPr="3982CBDC">
        <w:rPr>
          <w:rFonts w:eastAsia="Calibri" w:cs="Times New Roman"/>
          <w:noProof/>
          <w:lang w:eastAsia="x-none"/>
        </w:rPr>
        <w:t>Some of the differences can also be explained by yearly carry-over effects. The modelling is not designed to accurately predict single years, or outliers, but rather the general development over time.</w:t>
      </w:r>
    </w:p>
    <w:p w14:paraId="2B9F2377" w14:textId="77777777" w:rsidR="00F66DB0" w:rsidRPr="0099300A" w:rsidRDefault="3982CBDC" w:rsidP="00225664">
      <w:pPr>
        <w:spacing w:after="160"/>
        <w:rPr>
          <w:rFonts w:eastAsia="Calibri" w:cs="Times New Roman"/>
          <w:b/>
          <w:bCs/>
          <w:noProof/>
        </w:rPr>
      </w:pPr>
      <w:r w:rsidRPr="3982CBDC">
        <w:rPr>
          <w:rFonts w:eastAsia="Calibri" w:cs="Times New Roman"/>
          <w:b/>
          <w:bCs/>
          <w:noProof/>
        </w:rPr>
        <w:t>In general, a very good fit is obtained between model and reported data, with the exception of the special year 2014 (see explanation on stock building above).</w:t>
      </w:r>
    </w:p>
    <w:p w14:paraId="5BC7DFEB" w14:textId="2036289B" w:rsidR="008E12F8" w:rsidRPr="008E12F8" w:rsidRDefault="008E12F8" w:rsidP="008E12F8">
      <w:pPr>
        <w:keepNext/>
        <w:keepLines/>
        <w:spacing w:before="240" w:after="0"/>
        <w:rPr>
          <w:rFonts w:ascii="Arial" w:eastAsia="Calibri" w:hAnsi="Arial" w:cs="Arial"/>
          <w:noProof/>
          <w:sz w:val="20"/>
          <w:szCs w:val="20"/>
          <w:lang w:eastAsia="x-none"/>
        </w:rPr>
      </w:pPr>
      <w:r w:rsidRPr="008E12F8">
        <w:rPr>
          <w:rFonts w:ascii="Arial" w:eastAsia="Calibri" w:hAnsi="Arial" w:cs="Arial"/>
          <w:noProof/>
          <w:sz w:val="20"/>
          <w:lang w:eastAsia="en-GB"/>
        </w:rPr>
        <w:drawing>
          <wp:inline distT="0" distB="0" distL="0" distR="0" wp14:anchorId="65AF93A0" wp14:editId="1BBF5FE8">
            <wp:extent cx="4580255" cy="2743200"/>
            <wp:effectExtent l="0" t="0" r="0" b="0"/>
            <wp:docPr id="43"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80255" cy="2743200"/>
                    </a:xfrm>
                    <a:prstGeom prst="rect">
                      <a:avLst/>
                    </a:prstGeom>
                    <a:noFill/>
                    <a:ln>
                      <a:noFill/>
                    </a:ln>
                  </pic:spPr>
                </pic:pic>
              </a:graphicData>
            </a:graphic>
          </wp:inline>
        </w:drawing>
      </w:r>
    </w:p>
    <w:p w14:paraId="58C07E40" w14:textId="5816879A" w:rsidR="004655EE" w:rsidRPr="004655EE" w:rsidRDefault="004655EE" w:rsidP="0085241A">
      <w:pPr>
        <w:keepNext/>
        <w:keepLines/>
        <w:spacing w:before="240" w:after="120"/>
        <w:rPr>
          <w:rFonts w:ascii="Calibri" w:eastAsia="Calibri" w:hAnsi="Calibri" w:cs="Calibri"/>
          <w:b/>
          <w:bCs/>
          <w:noProof/>
          <w:color w:val="0070C0"/>
          <w:sz w:val="20"/>
          <w:szCs w:val="20"/>
        </w:rPr>
      </w:pPr>
      <w:bookmarkStart w:id="517" w:name="_Ref65673768"/>
      <w:bookmarkStart w:id="518" w:name="_Toc81029911"/>
      <w:bookmarkStart w:id="519" w:name="_Toc74938071"/>
      <w:bookmarkStart w:id="520" w:name="_Toc74593859"/>
      <w:r w:rsidRPr="004655EE">
        <w:rPr>
          <w:rFonts w:ascii="Calibri" w:eastAsia="Calibri" w:hAnsi="Calibri" w:cs="Calibri"/>
          <w:b/>
          <w:bCs/>
          <w:noProof/>
          <w:color w:val="0070C0"/>
          <w:sz w:val="20"/>
          <w:szCs w:val="20"/>
        </w:rPr>
        <w:t xml:space="preserve">Figure </w:t>
      </w:r>
      <w:r w:rsidRPr="004655EE">
        <w:rPr>
          <w:rFonts w:ascii="Calibri" w:hAnsi="Calibri" w:cs="Calibri"/>
          <w:noProof/>
          <w:color w:val="0070C0"/>
          <w:sz w:val="20"/>
          <w:szCs w:val="20"/>
        </w:rPr>
        <w:fldChar w:fldCharType="begin"/>
      </w:r>
      <w:r w:rsidRPr="004655EE">
        <w:rPr>
          <w:rFonts w:ascii="Calibri" w:eastAsia="Calibri" w:hAnsi="Calibri" w:cs="Calibri"/>
          <w:b/>
          <w:bCs/>
          <w:noProof/>
          <w:color w:val="0070C0"/>
          <w:sz w:val="20"/>
          <w:szCs w:val="20"/>
        </w:rPr>
        <w:instrText xml:space="preserve"> SEQ Figure \* ARABIC </w:instrText>
      </w:r>
      <w:r w:rsidRPr="004655EE">
        <w:rPr>
          <w:rFonts w:ascii="Calibri" w:eastAsia="Calibri" w:hAnsi="Calibri" w:cs="Calibri"/>
          <w:b/>
          <w:bCs/>
          <w:noProof/>
          <w:color w:val="0070C0"/>
          <w:sz w:val="20"/>
          <w:szCs w:val="20"/>
        </w:rPr>
        <w:fldChar w:fldCharType="separate"/>
      </w:r>
      <w:r w:rsidR="00C66A21">
        <w:rPr>
          <w:rFonts w:ascii="Calibri" w:eastAsia="Calibri" w:hAnsi="Calibri" w:cs="Calibri"/>
          <w:b/>
          <w:bCs/>
          <w:noProof/>
          <w:color w:val="0070C0"/>
          <w:sz w:val="20"/>
          <w:szCs w:val="20"/>
        </w:rPr>
        <w:t>10</w:t>
      </w:r>
      <w:r w:rsidRPr="004655EE">
        <w:rPr>
          <w:rFonts w:ascii="Calibri" w:hAnsi="Calibri" w:cs="Calibri"/>
          <w:noProof/>
          <w:color w:val="0070C0"/>
          <w:sz w:val="20"/>
          <w:szCs w:val="20"/>
        </w:rPr>
        <w:fldChar w:fldCharType="end"/>
      </w:r>
      <w:bookmarkEnd w:id="517"/>
      <w:r w:rsidRPr="004655EE">
        <w:rPr>
          <w:rFonts w:ascii="Calibri" w:eastAsia="Calibri" w:hAnsi="Calibri" w:cs="Calibri"/>
          <w:b/>
          <w:bCs/>
          <w:noProof/>
          <w:color w:val="0070C0"/>
          <w:sz w:val="20"/>
          <w:szCs w:val="20"/>
        </w:rPr>
        <w:t xml:space="preserve">: </w:t>
      </w:r>
      <w:r w:rsidRPr="004655EE">
        <w:rPr>
          <w:rFonts w:ascii="Calibri" w:eastAsia="Calibri" w:hAnsi="Calibri" w:cs="Calibri"/>
          <w:bCs/>
          <w:noProof/>
          <w:color w:val="0070C0"/>
          <w:sz w:val="20"/>
          <w:szCs w:val="20"/>
        </w:rPr>
        <w:t>Comparison between the reported F-gas supply for the EU-28 and the results from the AnaFgas baseline modelling for F-gas demand</w:t>
      </w:r>
      <w:bookmarkEnd w:id="518"/>
      <w:bookmarkEnd w:id="519"/>
      <w:bookmarkEnd w:id="520"/>
    </w:p>
    <w:p w14:paraId="1DE62299" w14:textId="77777777" w:rsidR="008E12F8" w:rsidRPr="0085241A" w:rsidRDefault="3982CBDC" w:rsidP="3982CBDC">
      <w:pPr>
        <w:keepNext/>
        <w:keepLines/>
        <w:spacing w:before="60" w:after="240"/>
        <w:rPr>
          <w:rFonts w:asciiTheme="minorHAnsi" w:hAnsiTheme="minorHAnsi"/>
          <w:i/>
          <w:noProof/>
          <w:sz w:val="20"/>
        </w:rPr>
      </w:pPr>
      <w:r w:rsidRPr="0085241A">
        <w:rPr>
          <w:rFonts w:asciiTheme="minorHAnsi" w:hAnsiTheme="minorHAnsi"/>
          <w:b/>
          <w:i/>
          <w:noProof/>
          <w:sz w:val="20"/>
        </w:rPr>
        <w:t>Sources:</w:t>
      </w:r>
      <w:r w:rsidRPr="0085241A">
        <w:rPr>
          <w:rFonts w:asciiTheme="minorHAnsi" w:hAnsiTheme="minorHAnsi"/>
          <w:i/>
          <w:noProof/>
          <w:sz w:val="20"/>
        </w:rPr>
        <w:t xml:space="preserve"> AnaFgas modelling, Data from EEA 2020</w:t>
      </w:r>
    </w:p>
    <w:p w14:paraId="037FB449" w14:textId="3FDD575B" w:rsidR="008E12F8" w:rsidRPr="0085241A" w:rsidRDefault="008E12F8" w:rsidP="0085241A">
      <w:pPr>
        <w:keepNext/>
        <w:keepLines/>
        <w:spacing w:before="240" w:after="120"/>
        <w:rPr>
          <w:rFonts w:ascii="Calibri" w:hAnsi="Calibri"/>
          <w:b/>
          <w:noProof/>
          <w:color w:val="0070C0"/>
          <w:sz w:val="20"/>
        </w:rPr>
      </w:pPr>
      <w:bookmarkStart w:id="521" w:name="_Ref65684864"/>
      <w:bookmarkStart w:id="522" w:name="_Ref87015466"/>
      <w:bookmarkStart w:id="523" w:name="_Toc81029699"/>
      <w:bookmarkStart w:id="524" w:name="_Toc74938914"/>
      <w:bookmarkStart w:id="525" w:name="_Toc74592739"/>
      <w:bookmarkStart w:id="526" w:name="_Ref87015461"/>
      <w:r w:rsidRPr="0085241A">
        <w:rPr>
          <w:rFonts w:ascii="Calibri" w:hAnsi="Calibri"/>
          <w:b/>
          <w:noProof/>
          <w:color w:val="0070C0"/>
          <w:sz w:val="20"/>
        </w:rPr>
        <w:t xml:space="preserve">Table </w:t>
      </w:r>
      <w:bookmarkEnd w:id="521"/>
      <w:r w:rsidR="00E949B6" w:rsidRPr="0085241A">
        <w:rPr>
          <w:rFonts w:ascii="Calibri" w:hAnsi="Calibri"/>
          <w:b/>
          <w:noProof/>
          <w:color w:val="0070C0"/>
          <w:sz w:val="20"/>
        </w:rPr>
        <w:fldChar w:fldCharType="begin"/>
      </w:r>
      <w:r w:rsidR="00E949B6" w:rsidRPr="0085241A">
        <w:rPr>
          <w:rFonts w:ascii="Calibri" w:hAnsi="Calibri"/>
          <w:b/>
          <w:noProof/>
          <w:color w:val="0070C0"/>
          <w:sz w:val="20"/>
        </w:rPr>
        <w:instrText xml:space="preserve"> SEQ Table \* ARABIC \n </w:instrText>
      </w:r>
      <w:r w:rsidR="00E949B6" w:rsidRPr="0085241A">
        <w:rPr>
          <w:rFonts w:ascii="Calibri" w:hAnsi="Calibri"/>
          <w:b/>
          <w:noProof/>
          <w:color w:val="0070C0"/>
          <w:sz w:val="20"/>
        </w:rPr>
        <w:fldChar w:fldCharType="separate"/>
      </w:r>
      <w:r w:rsidR="00830261">
        <w:rPr>
          <w:rFonts w:ascii="Calibri" w:hAnsi="Calibri"/>
          <w:b/>
          <w:noProof/>
          <w:color w:val="0070C0"/>
          <w:sz w:val="20"/>
        </w:rPr>
        <w:t>16</w:t>
      </w:r>
      <w:r w:rsidR="00E949B6" w:rsidRPr="0085241A">
        <w:rPr>
          <w:rFonts w:ascii="Calibri" w:hAnsi="Calibri"/>
          <w:b/>
          <w:noProof/>
          <w:color w:val="0070C0"/>
          <w:sz w:val="20"/>
        </w:rPr>
        <w:fldChar w:fldCharType="end"/>
      </w:r>
      <w:bookmarkEnd w:id="522"/>
      <w:r w:rsidRPr="0085241A">
        <w:rPr>
          <w:rFonts w:ascii="Calibri" w:hAnsi="Calibri"/>
          <w:b/>
          <w:noProof/>
          <w:color w:val="0070C0"/>
          <w:sz w:val="20"/>
        </w:rPr>
        <w:t xml:space="preserve">: </w:t>
      </w:r>
      <w:r w:rsidRPr="0085241A">
        <w:rPr>
          <w:rFonts w:ascii="Calibri" w:hAnsi="Calibri"/>
          <w:noProof/>
          <w:color w:val="0070C0"/>
          <w:sz w:val="20"/>
        </w:rPr>
        <w:t>Comparison of the modelled baseline F-gas demand and the reported F-gas supply in the EU-28</w:t>
      </w:r>
      <w:bookmarkEnd w:id="523"/>
      <w:bookmarkEnd w:id="524"/>
      <w:bookmarkEnd w:id="525"/>
      <w:bookmarkEnd w:id="526"/>
    </w:p>
    <w:tbl>
      <w:tblPr>
        <w:tblStyle w:val="David"/>
        <w:tblW w:w="9075" w:type="dxa"/>
        <w:tblInd w:w="0" w:type="dxa"/>
        <w:tblLook w:val="04A0" w:firstRow="1" w:lastRow="0" w:firstColumn="1" w:lastColumn="0" w:noHBand="0" w:noVBand="1"/>
      </w:tblPr>
      <w:tblGrid>
        <w:gridCol w:w="2835"/>
        <w:gridCol w:w="624"/>
        <w:gridCol w:w="624"/>
        <w:gridCol w:w="624"/>
        <w:gridCol w:w="624"/>
        <w:gridCol w:w="624"/>
        <w:gridCol w:w="624"/>
        <w:gridCol w:w="624"/>
        <w:gridCol w:w="624"/>
        <w:gridCol w:w="624"/>
        <w:gridCol w:w="624"/>
      </w:tblGrid>
      <w:tr w:rsidR="008E12F8" w:rsidRPr="008E12F8" w14:paraId="23DAA7BA" w14:textId="77777777" w:rsidTr="3F3807E4">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835" w:type="dxa"/>
            <w:shd w:val="clear" w:color="auto" w:fill="003300"/>
            <w:hideMark/>
          </w:tcPr>
          <w:p w14:paraId="5533F796" w14:textId="77777777" w:rsidR="008E12F8" w:rsidRPr="008E12F8" w:rsidRDefault="3982CBDC" w:rsidP="3982CBDC">
            <w:pPr>
              <w:keepNext/>
              <w:keepLines/>
              <w:spacing w:before="60" w:after="60"/>
              <w:jc w:val="left"/>
              <w:rPr>
                <w:rFonts w:ascii="Arial" w:eastAsia="Calibri" w:hAnsi="Arial"/>
                <w:noProof/>
                <w:sz w:val="18"/>
                <w:szCs w:val="18"/>
              </w:rPr>
            </w:pPr>
            <w:r w:rsidRPr="3982CBDC">
              <w:rPr>
                <w:rFonts w:ascii="Arial" w:eastAsia="Calibri" w:hAnsi="Arial"/>
                <w:noProof/>
                <w:sz w:val="18"/>
                <w:szCs w:val="18"/>
              </w:rPr>
              <w:t>Mt CO</w:t>
            </w:r>
            <w:r w:rsidRPr="3982CBDC">
              <w:rPr>
                <w:rFonts w:ascii="Arial" w:eastAsia="Calibri" w:hAnsi="Arial"/>
                <w:noProof/>
                <w:sz w:val="18"/>
                <w:szCs w:val="18"/>
                <w:vertAlign w:val="subscript"/>
              </w:rPr>
              <w:t xml:space="preserve">2 </w:t>
            </w:r>
            <w:r w:rsidRPr="3982CBDC">
              <w:rPr>
                <w:rFonts w:ascii="Arial" w:eastAsia="Calibri" w:hAnsi="Arial"/>
                <w:noProof/>
                <w:sz w:val="18"/>
                <w:szCs w:val="18"/>
              </w:rPr>
              <w:t>eq</w:t>
            </w:r>
          </w:p>
        </w:tc>
        <w:tc>
          <w:tcPr>
            <w:tcW w:w="624" w:type="dxa"/>
            <w:tcBorders>
              <w:top w:val="single" w:sz="6" w:space="0" w:color="auto"/>
              <w:left w:val="single" w:sz="6" w:space="0" w:color="auto"/>
              <w:bottom w:val="single" w:sz="6" w:space="0" w:color="auto"/>
              <w:right w:val="single" w:sz="6" w:space="0" w:color="auto"/>
            </w:tcBorders>
            <w:shd w:val="clear" w:color="auto" w:fill="003300"/>
            <w:hideMark/>
          </w:tcPr>
          <w:p w14:paraId="45AE0FA2" w14:textId="77777777" w:rsidR="008E12F8" w:rsidRPr="008E12F8" w:rsidRDefault="3982CBDC" w:rsidP="3982CBDC">
            <w:pPr>
              <w:keepNext/>
              <w:keepLines/>
              <w:spacing w:before="60" w:after="60"/>
              <w:jc w:val="right"/>
              <w:cnfStyle w:val="100000000000" w:firstRow="1" w:lastRow="0" w:firstColumn="0" w:lastColumn="0" w:oddVBand="0" w:evenVBand="0" w:oddHBand="0" w:evenHBand="0" w:firstRowFirstColumn="0" w:firstRowLastColumn="0" w:lastRowFirstColumn="0" w:lastRowLastColumn="0"/>
              <w:rPr>
                <w:rFonts w:ascii="Arial" w:eastAsia="Calibri" w:hAnsi="Arial"/>
                <w:noProof/>
                <w:sz w:val="18"/>
                <w:szCs w:val="18"/>
              </w:rPr>
            </w:pPr>
            <w:r w:rsidRPr="3982CBDC">
              <w:rPr>
                <w:rFonts w:ascii="Arial" w:eastAsia="Calibri" w:hAnsi="Arial"/>
                <w:noProof/>
                <w:sz w:val="18"/>
                <w:szCs w:val="18"/>
              </w:rPr>
              <w:t>2010</w:t>
            </w:r>
          </w:p>
        </w:tc>
        <w:tc>
          <w:tcPr>
            <w:tcW w:w="624" w:type="dxa"/>
            <w:tcBorders>
              <w:top w:val="single" w:sz="6" w:space="0" w:color="auto"/>
              <w:left w:val="single" w:sz="6" w:space="0" w:color="auto"/>
              <w:bottom w:val="single" w:sz="6" w:space="0" w:color="auto"/>
              <w:right w:val="single" w:sz="6" w:space="0" w:color="auto"/>
            </w:tcBorders>
            <w:shd w:val="clear" w:color="auto" w:fill="003300"/>
            <w:hideMark/>
          </w:tcPr>
          <w:p w14:paraId="419A8109" w14:textId="77777777" w:rsidR="008E12F8" w:rsidRPr="008E12F8" w:rsidRDefault="3982CBDC" w:rsidP="3982CBDC">
            <w:pPr>
              <w:keepNext/>
              <w:keepLines/>
              <w:spacing w:before="60" w:after="60"/>
              <w:jc w:val="right"/>
              <w:cnfStyle w:val="100000000000" w:firstRow="1" w:lastRow="0" w:firstColumn="0" w:lastColumn="0" w:oddVBand="0" w:evenVBand="0" w:oddHBand="0" w:evenHBand="0" w:firstRowFirstColumn="0" w:firstRowLastColumn="0" w:lastRowFirstColumn="0" w:lastRowLastColumn="0"/>
              <w:rPr>
                <w:rFonts w:ascii="Arial" w:eastAsia="Calibri" w:hAnsi="Arial"/>
                <w:noProof/>
                <w:sz w:val="18"/>
                <w:szCs w:val="18"/>
              </w:rPr>
            </w:pPr>
            <w:r w:rsidRPr="3982CBDC">
              <w:rPr>
                <w:rFonts w:ascii="Arial" w:eastAsia="Calibri" w:hAnsi="Arial"/>
                <w:noProof/>
                <w:sz w:val="18"/>
                <w:szCs w:val="18"/>
              </w:rPr>
              <w:t>2011</w:t>
            </w:r>
          </w:p>
        </w:tc>
        <w:tc>
          <w:tcPr>
            <w:tcW w:w="624" w:type="dxa"/>
            <w:tcBorders>
              <w:top w:val="single" w:sz="6" w:space="0" w:color="auto"/>
              <w:left w:val="single" w:sz="6" w:space="0" w:color="auto"/>
              <w:bottom w:val="single" w:sz="6" w:space="0" w:color="auto"/>
              <w:right w:val="single" w:sz="6" w:space="0" w:color="auto"/>
            </w:tcBorders>
            <w:shd w:val="clear" w:color="auto" w:fill="003300"/>
            <w:hideMark/>
          </w:tcPr>
          <w:p w14:paraId="5F54FF2C" w14:textId="77777777" w:rsidR="008E12F8" w:rsidRPr="008E12F8" w:rsidRDefault="3982CBDC" w:rsidP="3982CBDC">
            <w:pPr>
              <w:keepNext/>
              <w:keepLines/>
              <w:spacing w:before="60" w:after="60"/>
              <w:jc w:val="right"/>
              <w:cnfStyle w:val="100000000000" w:firstRow="1" w:lastRow="0" w:firstColumn="0" w:lastColumn="0" w:oddVBand="0" w:evenVBand="0" w:oddHBand="0" w:evenHBand="0" w:firstRowFirstColumn="0" w:firstRowLastColumn="0" w:lastRowFirstColumn="0" w:lastRowLastColumn="0"/>
              <w:rPr>
                <w:rFonts w:ascii="Arial" w:eastAsia="Calibri" w:hAnsi="Arial"/>
                <w:noProof/>
                <w:sz w:val="18"/>
                <w:szCs w:val="18"/>
              </w:rPr>
            </w:pPr>
            <w:r w:rsidRPr="3982CBDC">
              <w:rPr>
                <w:rFonts w:ascii="Arial" w:eastAsia="Calibri" w:hAnsi="Arial"/>
                <w:noProof/>
                <w:sz w:val="18"/>
                <w:szCs w:val="18"/>
              </w:rPr>
              <w:t>2012</w:t>
            </w:r>
          </w:p>
        </w:tc>
        <w:tc>
          <w:tcPr>
            <w:tcW w:w="624" w:type="dxa"/>
            <w:tcBorders>
              <w:top w:val="single" w:sz="6" w:space="0" w:color="auto"/>
              <w:left w:val="single" w:sz="6" w:space="0" w:color="auto"/>
              <w:bottom w:val="single" w:sz="6" w:space="0" w:color="auto"/>
              <w:right w:val="single" w:sz="6" w:space="0" w:color="auto"/>
            </w:tcBorders>
            <w:shd w:val="clear" w:color="auto" w:fill="003300"/>
            <w:hideMark/>
          </w:tcPr>
          <w:p w14:paraId="5ACE3112" w14:textId="77777777" w:rsidR="008E12F8" w:rsidRPr="008E12F8" w:rsidRDefault="3982CBDC" w:rsidP="3982CBDC">
            <w:pPr>
              <w:keepNext/>
              <w:keepLines/>
              <w:spacing w:before="60" w:after="60"/>
              <w:jc w:val="right"/>
              <w:cnfStyle w:val="100000000000" w:firstRow="1" w:lastRow="0" w:firstColumn="0" w:lastColumn="0" w:oddVBand="0" w:evenVBand="0" w:oddHBand="0" w:evenHBand="0" w:firstRowFirstColumn="0" w:firstRowLastColumn="0" w:lastRowFirstColumn="0" w:lastRowLastColumn="0"/>
              <w:rPr>
                <w:rFonts w:ascii="Arial" w:eastAsia="Calibri" w:hAnsi="Arial"/>
                <w:noProof/>
                <w:sz w:val="18"/>
                <w:szCs w:val="18"/>
              </w:rPr>
            </w:pPr>
            <w:r w:rsidRPr="3982CBDC">
              <w:rPr>
                <w:rFonts w:ascii="Arial" w:eastAsia="Calibri" w:hAnsi="Arial"/>
                <w:noProof/>
                <w:sz w:val="18"/>
                <w:szCs w:val="18"/>
              </w:rPr>
              <w:t>2013</w:t>
            </w:r>
          </w:p>
        </w:tc>
        <w:tc>
          <w:tcPr>
            <w:tcW w:w="624" w:type="dxa"/>
            <w:tcBorders>
              <w:top w:val="single" w:sz="6" w:space="0" w:color="auto"/>
              <w:left w:val="single" w:sz="6" w:space="0" w:color="auto"/>
              <w:bottom w:val="single" w:sz="6" w:space="0" w:color="auto"/>
              <w:right w:val="single" w:sz="6" w:space="0" w:color="auto"/>
            </w:tcBorders>
            <w:shd w:val="clear" w:color="auto" w:fill="003300"/>
            <w:hideMark/>
          </w:tcPr>
          <w:p w14:paraId="333D6392" w14:textId="77777777" w:rsidR="008E12F8" w:rsidRPr="008E12F8" w:rsidRDefault="3982CBDC" w:rsidP="3982CBDC">
            <w:pPr>
              <w:keepNext/>
              <w:keepLines/>
              <w:spacing w:before="60" w:after="60"/>
              <w:jc w:val="right"/>
              <w:cnfStyle w:val="100000000000" w:firstRow="1" w:lastRow="0" w:firstColumn="0" w:lastColumn="0" w:oddVBand="0" w:evenVBand="0" w:oddHBand="0" w:evenHBand="0" w:firstRowFirstColumn="0" w:firstRowLastColumn="0" w:lastRowFirstColumn="0" w:lastRowLastColumn="0"/>
              <w:rPr>
                <w:rFonts w:ascii="Arial" w:eastAsia="Calibri" w:hAnsi="Arial"/>
                <w:noProof/>
                <w:sz w:val="18"/>
                <w:szCs w:val="18"/>
              </w:rPr>
            </w:pPr>
            <w:r w:rsidRPr="3982CBDC">
              <w:rPr>
                <w:rFonts w:ascii="Arial" w:eastAsia="Calibri" w:hAnsi="Arial"/>
                <w:noProof/>
                <w:sz w:val="18"/>
                <w:szCs w:val="18"/>
              </w:rPr>
              <w:t>2014</w:t>
            </w:r>
          </w:p>
        </w:tc>
        <w:tc>
          <w:tcPr>
            <w:tcW w:w="624" w:type="dxa"/>
            <w:tcBorders>
              <w:top w:val="single" w:sz="6" w:space="0" w:color="auto"/>
              <w:left w:val="single" w:sz="6" w:space="0" w:color="auto"/>
              <w:bottom w:val="single" w:sz="6" w:space="0" w:color="auto"/>
              <w:right w:val="single" w:sz="6" w:space="0" w:color="auto"/>
            </w:tcBorders>
            <w:shd w:val="clear" w:color="auto" w:fill="003300"/>
            <w:hideMark/>
          </w:tcPr>
          <w:p w14:paraId="55219E52" w14:textId="77777777" w:rsidR="008E12F8" w:rsidRPr="008E12F8" w:rsidRDefault="3982CBDC" w:rsidP="3982CBDC">
            <w:pPr>
              <w:keepNext/>
              <w:keepLines/>
              <w:spacing w:before="60" w:after="60"/>
              <w:jc w:val="right"/>
              <w:cnfStyle w:val="100000000000" w:firstRow="1" w:lastRow="0" w:firstColumn="0" w:lastColumn="0" w:oddVBand="0" w:evenVBand="0" w:oddHBand="0" w:evenHBand="0" w:firstRowFirstColumn="0" w:firstRowLastColumn="0" w:lastRowFirstColumn="0" w:lastRowLastColumn="0"/>
              <w:rPr>
                <w:rFonts w:ascii="Arial" w:eastAsia="Calibri" w:hAnsi="Arial"/>
                <w:noProof/>
                <w:sz w:val="18"/>
                <w:szCs w:val="18"/>
              </w:rPr>
            </w:pPr>
            <w:r w:rsidRPr="3982CBDC">
              <w:rPr>
                <w:rFonts w:ascii="Arial" w:eastAsia="Calibri" w:hAnsi="Arial"/>
                <w:noProof/>
                <w:sz w:val="18"/>
                <w:szCs w:val="18"/>
              </w:rPr>
              <w:t>2015</w:t>
            </w:r>
          </w:p>
        </w:tc>
        <w:tc>
          <w:tcPr>
            <w:tcW w:w="624" w:type="dxa"/>
            <w:tcBorders>
              <w:top w:val="single" w:sz="6" w:space="0" w:color="auto"/>
              <w:left w:val="single" w:sz="6" w:space="0" w:color="auto"/>
              <w:bottom w:val="single" w:sz="6" w:space="0" w:color="auto"/>
              <w:right w:val="single" w:sz="6" w:space="0" w:color="auto"/>
            </w:tcBorders>
            <w:shd w:val="clear" w:color="auto" w:fill="003300"/>
            <w:hideMark/>
          </w:tcPr>
          <w:p w14:paraId="05C3982B" w14:textId="77777777" w:rsidR="008E12F8" w:rsidRPr="008E12F8" w:rsidRDefault="3982CBDC" w:rsidP="3982CBDC">
            <w:pPr>
              <w:keepNext/>
              <w:keepLines/>
              <w:spacing w:before="60" w:after="60"/>
              <w:jc w:val="right"/>
              <w:cnfStyle w:val="100000000000" w:firstRow="1" w:lastRow="0" w:firstColumn="0" w:lastColumn="0" w:oddVBand="0" w:evenVBand="0" w:oddHBand="0" w:evenHBand="0" w:firstRowFirstColumn="0" w:firstRowLastColumn="0" w:lastRowFirstColumn="0" w:lastRowLastColumn="0"/>
              <w:rPr>
                <w:rFonts w:ascii="Arial" w:eastAsia="Calibri" w:hAnsi="Arial"/>
                <w:noProof/>
                <w:sz w:val="18"/>
                <w:szCs w:val="18"/>
              </w:rPr>
            </w:pPr>
            <w:r w:rsidRPr="3982CBDC">
              <w:rPr>
                <w:rFonts w:ascii="Arial" w:eastAsia="Calibri" w:hAnsi="Arial"/>
                <w:noProof/>
                <w:sz w:val="18"/>
                <w:szCs w:val="18"/>
              </w:rPr>
              <w:t>2016</w:t>
            </w:r>
          </w:p>
        </w:tc>
        <w:tc>
          <w:tcPr>
            <w:tcW w:w="624" w:type="dxa"/>
            <w:tcBorders>
              <w:top w:val="single" w:sz="6" w:space="0" w:color="auto"/>
              <w:left w:val="single" w:sz="6" w:space="0" w:color="auto"/>
              <w:bottom w:val="single" w:sz="6" w:space="0" w:color="auto"/>
              <w:right w:val="single" w:sz="6" w:space="0" w:color="auto"/>
            </w:tcBorders>
            <w:shd w:val="clear" w:color="auto" w:fill="003300"/>
            <w:hideMark/>
          </w:tcPr>
          <w:p w14:paraId="3BB15E12" w14:textId="77777777" w:rsidR="008E12F8" w:rsidRPr="008E12F8" w:rsidRDefault="3982CBDC" w:rsidP="3982CBDC">
            <w:pPr>
              <w:keepNext/>
              <w:keepLines/>
              <w:spacing w:before="60" w:after="60"/>
              <w:jc w:val="right"/>
              <w:cnfStyle w:val="100000000000" w:firstRow="1" w:lastRow="0" w:firstColumn="0" w:lastColumn="0" w:oddVBand="0" w:evenVBand="0" w:oddHBand="0" w:evenHBand="0" w:firstRowFirstColumn="0" w:firstRowLastColumn="0" w:lastRowFirstColumn="0" w:lastRowLastColumn="0"/>
              <w:rPr>
                <w:rFonts w:ascii="Arial" w:eastAsia="Calibri" w:hAnsi="Arial"/>
                <w:noProof/>
                <w:sz w:val="18"/>
                <w:szCs w:val="18"/>
              </w:rPr>
            </w:pPr>
            <w:r w:rsidRPr="3982CBDC">
              <w:rPr>
                <w:rFonts w:ascii="Arial" w:eastAsia="Calibri" w:hAnsi="Arial"/>
                <w:noProof/>
                <w:sz w:val="18"/>
                <w:szCs w:val="18"/>
              </w:rPr>
              <w:t>2017</w:t>
            </w:r>
          </w:p>
        </w:tc>
        <w:tc>
          <w:tcPr>
            <w:tcW w:w="624" w:type="dxa"/>
            <w:tcBorders>
              <w:top w:val="single" w:sz="6" w:space="0" w:color="auto"/>
              <w:left w:val="single" w:sz="6" w:space="0" w:color="auto"/>
              <w:bottom w:val="single" w:sz="6" w:space="0" w:color="auto"/>
              <w:right w:val="single" w:sz="6" w:space="0" w:color="auto"/>
            </w:tcBorders>
            <w:shd w:val="clear" w:color="auto" w:fill="003300"/>
            <w:hideMark/>
          </w:tcPr>
          <w:p w14:paraId="1E72B813" w14:textId="77777777" w:rsidR="008E12F8" w:rsidRPr="008E12F8" w:rsidRDefault="3982CBDC" w:rsidP="3982CBDC">
            <w:pPr>
              <w:keepNext/>
              <w:keepLines/>
              <w:spacing w:before="60" w:after="60"/>
              <w:jc w:val="right"/>
              <w:cnfStyle w:val="100000000000" w:firstRow="1" w:lastRow="0" w:firstColumn="0" w:lastColumn="0" w:oddVBand="0" w:evenVBand="0" w:oddHBand="0" w:evenHBand="0" w:firstRowFirstColumn="0" w:firstRowLastColumn="0" w:lastRowFirstColumn="0" w:lastRowLastColumn="0"/>
              <w:rPr>
                <w:rFonts w:ascii="Arial" w:eastAsia="Calibri" w:hAnsi="Arial"/>
                <w:noProof/>
                <w:sz w:val="18"/>
                <w:szCs w:val="18"/>
              </w:rPr>
            </w:pPr>
            <w:r w:rsidRPr="3982CBDC">
              <w:rPr>
                <w:rFonts w:ascii="Arial" w:eastAsia="Calibri" w:hAnsi="Arial"/>
                <w:noProof/>
                <w:sz w:val="18"/>
                <w:szCs w:val="18"/>
              </w:rPr>
              <w:t>2018</w:t>
            </w:r>
          </w:p>
        </w:tc>
        <w:tc>
          <w:tcPr>
            <w:tcW w:w="624" w:type="dxa"/>
            <w:tcBorders>
              <w:top w:val="single" w:sz="6" w:space="0" w:color="auto"/>
              <w:left w:val="single" w:sz="6" w:space="0" w:color="auto"/>
              <w:bottom w:val="single" w:sz="6" w:space="0" w:color="auto"/>
              <w:right w:val="single" w:sz="6" w:space="0" w:color="auto"/>
            </w:tcBorders>
            <w:shd w:val="clear" w:color="auto" w:fill="003300"/>
            <w:hideMark/>
          </w:tcPr>
          <w:p w14:paraId="320C7B15" w14:textId="77777777" w:rsidR="008E12F8" w:rsidRPr="008E12F8" w:rsidRDefault="3982CBDC" w:rsidP="3982CBDC">
            <w:pPr>
              <w:keepNext/>
              <w:keepLines/>
              <w:spacing w:before="60" w:after="60"/>
              <w:jc w:val="right"/>
              <w:cnfStyle w:val="100000000000" w:firstRow="1" w:lastRow="0" w:firstColumn="0" w:lastColumn="0" w:oddVBand="0" w:evenVBand="0" w:oddHBand="0" w:evenHBand="0" w:firstRowFirstColumn="0" w:firstRowLastColumn="0" w:lastRowFirstColumn="0" w:lastRowLastColumn="0"/>
              <w:rPr>
                <w:rFonts w:ascii="Arial" w:eastAsia="Calibri" w:hAnsi="Arial"/>
                <w:noProof/>
                <w:sz w:val="18"/>
                <w:szCs w:val="18"/>
              </w:rPr>
            </w:pPr>
            <w:r w:rsidRPr="3982CBDC">
              <w:rPr>
                <w:rFonts w:ascii="Arial" w:eastAsia="Calibri" w:hAnsi="Arial"/>
                <w:noProof/>
                <w:sz w:val="18"/>
                <w:szCs w:val="18"/>
              </w:rPr>
              <w:t>2019</w:t>
            </w:r>
          </w:p>
        </w:tc>
      </w:tr>
      <w:tr w:rsidR="008E12F8" w:rsidRPr="008E12F8" w14:paraId="6A5A8757" w14:textId="77777777" w:rsidTr="3F3807E4">
        <w:trPr>
          <w:trHeight w:val="113"/>
        </w:trPr>
        <w:tc>
          <w:tcPr>
            <w:cnfStyle w:val="001000000000" w:firstRow="0" w:lastRow="0" w:firstColumn="1" w:lastColumn="0" w:oddVBand="0" w:evenVBand="0" w:oddHBand="0" w:evenHBand="0" w:firstRowFirstColumn="0" w:firstRowLastColumn="0" w:lastRowFirstColumn="0" w:lastRowLastColumn="0"/>
            <w:tcW w:w="2835" w:type="dxa"/>
            <w:hideMark/>
          </w:tcPr>
          <w:p w14:paraId="16614EE8" w14:textId="77777777" w:rsidR="008E12F8" w:rsidRPr="008E12F8" w:rsidRDefault="3982CBDC" w:rsidP="3982CBDC">
            <w:pPr>
              <w:keepNext/>
              <w:keepLines/>
              <w:spacing w:before="60" w:after="60"/>
              <w:rPr>
                <w:rFonts w:ascii="Arial" w:eastAsia="Calibri" w:hAnsi="Arial"/>
                <w:noProof/>
                <w:sz w:val="18"/>
                <w:szCs w:val="18"/>
                <w:lang w:val="en-GB"/>
              </w:rPr>
            </w:pPr>
            <w:r w:rsidRPr="3982CBDC">
              <w:rPr>
                <w:rFonts w:ascii="Arial" w:eastAsia="Calibri" w:hAnsi="Arial"/>
                <w:noProof/>
                <w:sz w:val="18"/>
                <w:szCs w:val="18"/>
                <w:lang w:val="en-US"/>
              </w:rPr>
              <w:t>F-gas supply (F-gas reporting)</w:t>
            </w:r>
          </w:p>
        </w:tc>
        <w:tc>
          <w:tcPr>
            <w:tcW w:w="624" w:type="dxa"/>
            <w:tcBorders>
              <w:top w:val="single" w:sz="6" w:space="0" w:color="auto"/>
              <w:left w:val="single" w:sz="6" w:space="0" w:color="auto"/>
              <w:bottom w:val="single" w:sz="6" w:space="0" w:color="auto"/>
              <w:right w:val="single" w:sz="6" w:space="0" w:color="auto"/>
            </w:tcBorders>
            <w:hideMark/>
          </w:tcPr>
          <w:p w14:paraId="2E1CE6EF"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8"/>
                <w:szCs w:val="18"/>
              </w:rPr>
            </w:pPr>
            <w:r w:rsidRPr="3982CBDC">
              <w:rPr>
                <w:rFonts w:ascii="Arial" w:eastAsia="Calibri" w:hAnsi="Arial" w:cs="Arial"/>
                <w:noProof/>
                <w:sz w:val="18"/>
                <w:szCs w:val="18"/>
              </w:rPr>
              <w:t>231</w:t>
            </w:r>
          </w:p>
        </w:tc>
        <w:tc>
          <w:tcPr>
            <w:tcW w:w="624" w:type="dxa"/>
            <w:tcBorders>
              <w:top w:val="single" w:sz="6" w:space="0" w:color="auto"/>
              <w:left w:val="single" w:sz="6" w:space="0" w:color="auto"/>
              <w:bottom w:val="single" w:sz="6" w:space="0" w:color="auto"/>
              <w:right w:val="single" w:sz="6" w:space="0" w:color="auto"/>
            </w:tcBorders>
            <w:hideMark/>
          </w:tcPr>
          <w:p w14:paraId="25D431B2"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8"/>
                <w:szCs w:val="18"/>
              </w:rPr>
            </w:pPr>
            <w:r w:rsidRPr="3982CBDC">
              <w:rPr>
                <w:rFonts w:ascii="Arial" w:eastAsia="Calibri" w:hAnsi="Arial" w:cs="Arial"/>
                <w:noProof/>
                <w:sz w:val="18"/>
                <w:szCs w:val="18"/>
              </w:rPr>
              <w:t>208</w:t>
            </w:r>
          </w:p>
        </w:tc>
        <w:tc>
          <w:tcPr>
            <w:tcW w:w="624" w:type="dxa"/>
            <w:tcBorders>
              <w:top w:val="single" w:sz="6" w:space="0" w:color="auto"/>
              <w:left w:val="single" w:sz="6" w:space="0" w:color="auto"/>
              <w:bottom w:val="single" w:sz="6" w:space="0" w:color="auto"/>
              <w:right w:val="single" w:sz="6" w:space="0" w:color="auto"/>
            </w:tcBorders>
            <w:hideMark/>
          </w:tcPr>
          <w:p w14:paraId="58834F75"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8"/>
                <w:szCs w:val="18"/>
              </w:rPr>
            </w:pPr>
            <w:r w:rsidRPr="3982CBDC">
              <w:rPr>
                <w:rFonts w:ascii="Arial" w:eastAsia="Calibri" w:hAnsi="Arial" w:cs="Arial"/>
                <w:noProof/>
                <w:sz w:val="18"/>
                <w:szCs w:val="18"/>
              </w:rPr>
              <w:t>204</w:t>
            </w:r>
          </w:p>
        </w:tc>
        <w:tc>
          <w:tcPr>
            <w:tcW w:w="624" w:type="dxa"/>
            <w:tcBorders>
              <w:top w:val="single" w:sz="6" w:space="0" w:color="auto"/>
              <w:left w:val="single" w:sz="6" w:space="0" w:color="auto"/>
              <w:bottom w:val="single" w:sz="6" w:space="0" w:color="auto"/>
              <w:right w:val="single" w:sz="6" w:space="0" w:color="auto"/>
            </w:tcBorders>
            <w:hideMark/>
          </w:tcPr>
          <w:p w14:paraId="408C1485"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8"/>
                <w:szCs w:val="18"/>
              </w:rPr>
            </w:pPr>
            <w:r w:rsidRPr="3982CBDC">
              <w:rPr>
                <w:rFonts w:ascii="Arial" w:eastAsia="Calibri" w:hAnsi="Arial" w:cs="Arial"/>
                <w:noProof/>
                <w:sz w:val="18"/>
                <w:szCs w:val="18"/>
              </w:rPr>
              <w:t>200</w:t>
            </w:r>
          </w:p>
        </w:tc>
        <w:tc>
          <w:tcPr>
            <w:tcW w:w="624" w:type="dxa"/>
            <w:tcBorders>
              <w:top w:val="single" w:sz="6" w:space="0" w:color="auto"/>
              <w:left w:val="single" w:sz="6" w:space="0" w:color="auto"/>
              <w:bottom w:val="single" w:sz="6" w:space="0" w:color="auto"/>
              <w:right w:val="single" w:sz="6" w:space="0" w:color="auto"/>
            </w:tcBorders>
            <w:hideMark/>
          </w:tcPr>
          <w:p w14:paraId="58FC0410"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8"/>
                <w:szCs w:val="18"/>
              </w:rPr>
            </w:pPr>
            <w:r w:rsidRPr="3982CBDC">
              <w:rPr>
                <w:rFonts w:ascii="Arial" w:eastAsia="Calibri" w:hAnsi="Arial" w:cs="Arial"/>
                <w:noProof/>
                <w:sz w:val="18"/>
                <w:szCs w:val="18"/>
              </w:rPr>
              <w:t>286</w:t>
            </w:r>
          </w:p>
        </w:tc>
        <w:tc>
          <w:tcPr>
            <w:tcW w:w="624" w:type="dxa"/>
            <w:tcBorders>
              <w:top w:val="single" w:sz="6" w:space="0" w:color="auto"/>
              <w:left w:val="single" w:sz="6" w:space="0" w:color="auto"/>
              <w:bottom w:val="single" w:sz="6" w:space="0" w:color="auto"/>
              <w:right w:val="single" w:sz="6" w:space="0" w:color="auto"/>
            </w:tcBorders>
            <w:hideMark/>
          </w:tcPr>
          <w:p w14:paraId="5734BA2B"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8"/>
                <w:szCs w:val="18"/>
              </w:rPr>
            </w:pPr>
            <w:r w:rsidRPr="3982CBDC">
              <w:rPr>
                <w:rFonts w:ascii="Arial" w:eastAsia="Calibri" w:hAnsi="Arial" w:cs="Arial"/>
                <w:noProof/>
                <w:sz w:val="18"/>
                <w:szCs w:val="18"/>
              </w:rPr>
              <w:t>212</w:t>
            </w:r>
          </w:p>
        </w:tc>
        <w:tc>
          <w:tcPr>
            <w:tcW w:w="624" w:type="dxa"/>
            <w:tcBorders>
              <w:top w:val="single" w:sz="6" w:space="0" w:color="auto"/>
              <w:left w:val="single" w:sz="6" w:space="0" w:color="auto"/>
              <w:bottom w:val="single" w:sz="6" w:space="0" w:color="auto"/>
              <w:right w:val="single" w:sz="6" w:space="0" w:color="auto"/>
            </w:tcBorders>
            <w:hideMark/>
          </w:tcPr>
          <w:p w14:paraId="1CD6F417"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8"/>
                <w:szCs w:val="18"/>
              </w:rPr>
            </w:pPr>
            <w:r w:rsidRPr="3982CBDC">
              <w:rPr>
                <w:rFonts w:ascii="Arial" w:eastAsia="Calibri" w:hAnsi="Arial" w:cs="Arial"/>
                <w:noProof/>
                <w:sz w:val="18"/>
                <w:szCs w:val="18"/>
              </w:rPr>
              <w:t>214</w:t>
            </w:r>
          </w:p>
        </w:tc>
        <w:tc>
          <w:tcPr>
            <w:tcW w:w="624" w:type="dxa"/>
            <w:tcBorders>
              <w:top w:val="single" w:sz="6" w:space="0" w:color="auto"/>
              <w:left w:val="single" w:sz="6" w:space="0" w:color="auto"/>
              <w:bottom w:val="single" w:sz="6" w:space="0" w:color="auto"/>
              <w:right w:val="single" w:sz="6" w:space="0" w:color="auto"/>
            </w:tcBorders>
            <w:hideMark/>
          </w:tcPr>
          <w:p w14:paraId="7D5EE27B"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8"/>
                <w:szCs w:val="18"/>
              </w:rPr>
            </w:pPr>
            <w:r w:rsidRPr="3982CBDC">
              <w:rPr>
                <w:rFonts w:ascii="Arial" w:eastAsia="Calibri" w:hAnsi="Arial" w:cs="Arial"/>
                <w:noProof/>
                <w:sz w:val="18"/>
                <w:szCs w:val="18"/>
              </w:rPr>
              <w:t>210</w:t>
            </w:r>
          </w:p>
        </w:tc>
        <w:tc>
          <w:tcPr>
            <w:tcW w:w="624" w:type="dxa"/>
            <w:tcBorders>
              <w:top w:val="single" w:sz="6" w:space="0" w:color="auto"/>
              <w:left w:val="single" w:sz="6" w:space="0" w:color="auto"/>
              <w:bottom w:val="single" w:sz="6" w:space="0" w:color="auto"/>
              <w:right w:val="single" w:sz="6" w:space="0" w:color="auto"/>
            </w:tcBorders>
            <w:hideMark/>
          </w:tcPr>
          <w:p w14:paraId="3C237781"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8"/>
                <w:szCs w:val="18"/>
              </w:rPr>
            </w:pPr>
            <w:r w:rsidRPr="3982CBDC">
              <w:rPr>
                <w:rFonts w:ascii="Arial" w:eastAsia="Calibri" w:hAnsi="Arial" w:cs="Arial"/>
                <w:noProof/>
                <w:sz w:val="18"/>
                <w:szCs w:val="18"/>
              </w:rPr>
              <w:t>153</w:t>
            </w:r>
          </w:p>
        </w:tc>
        <w:tc>
          <w:tcPr>
            <w:tcW w:w="624" w:type="dxa"/>
            <w:tcBorders>
              <w:top w:val="single" w:sz="6" w:space="0" w:color="auto"/>
              <w:left w:val="single" w:sz="6" w:space="0" w:color="auto"/>
              <w:bottom w:val="single" w:sz="6" w:space="0" w:color="auto"/>
              <w:right w:val="single" w:sz="6" w:space="0" w:color="auto"/>
            </w:tcBorders>
            <w:hideMark/>
          </w:tcPr>
          <w:p w14:paraId="37AC5C37"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color w:val="000000" w:themeColor="text1"/>
                <w:sz w:val="18"/>
                <w:szCs w:val="18"/>
              </w:rPr>
            </w:pPr>
            <w:r w:rsidRPr="3982CBDC">
              <w:rPr>
                <w:rFonts w:ascii="Arial" w:eastAsia="Calibri" w:hAnsi="Arial" w:cs="Arial"/>
                <w:noProof/>
                <w:sz w:val="18"/>
                <w:szCs w:val="18"/>
              </w:rPr>
              <w:t>122</w:t>
            </w:r>
          </w:p>
        </w:tc>
      </w:tr>
      <w:tr w:rsidR="008E12F8" w:rsidRPr="008E12F8" w14:paraId="6201D588" w14:textId="77777777" w:rsidTr="3F3807E4">
        <w:trPr>
          <w:trHeight w:val="113"/>
        </w:trPr>
        <w:tc>
          <w:tcPr>
            <w:cnfStyle w:val="001000000000" w:firstRow="0" w:lastRow="0" w:firstColumn="1" w:lastColumn="0" w:oddVBand="0" w:evenVBand="0" w:oddHBand="0" w:evenHBand="0" w:firstRowFirstColumn="0" w:firstRowLastColumn="0" w:lastRowFirstColumn="0" w:lastRowLastColumn="0"/>
            <w:tcW w:w="2835" w:type="dxa"/>
            <w:hideMark/>
          </w:tcPr>
          <w:p w14:paraId="2E06FAE2" w14:textId="77777777" w:rsidR="008E12F8" w:rsidRPr="008E12F8" w:rsidRDefault="3982CBDC" w:rsidP="3982CBDC">
            <w:pPr>
              <w:keepNext/>
              <w:keepLines/>
              <w:spacing w:before="60" w:after="60"/>
              <w:rPr>
                <w:rFonts w:ascii="Arial" w:eastAsia="Calibri" w:hAnsi="Arial"/>
                <w:noProof/>
                <w:sz w:val="18"/>
                <w:szCs w:val="18"/>
              </w:rPr>
            </w:pPr>
            <w:r w:rsidRPr="3982CBDC">
              <w:rPr>
                <w:rFonts w:ascii="Arial" w:eastAsia="Calibri" w:hAnsi="Arial"/>
                <w:noProof/>
                <w:sz w:val="18"/>
                <w:szCs w:val="18"/>
              </w:rPr>
              <w:t>F-gas demand (AnaFgas)</w:t>
            </w:r>
          </w:p>
        </w:tc>
        <w:tc>
          <w:tcPr>
            <w:tcW w:w="624" w:type="dxa"/>
            <w:tcBorders>
              <w:top w:val="single" w:sz="6" w:space="0" w:color="auto"/>
              <w:left w:val="single" w:sz="6" w:space="0" w:color="auto"/>
              <w:bottom w:val="single" w:sz="6" w:space="0" w:color="auto"/>
              <w:right w:val="single" w:sz="6" w:space="0" w:color="auto"/>
            </w:tcBorders>
            <w:hideMark/>
          </w:tcPr>
          <w:p w14:paraId="5CD3879E"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8"/>
                <w:szCs w:val="18"/>
              </w:rPr>
            </w:pPr>
            <w:r w:rsidRPr="3982CBDC">
              <w:rPr>
                <w:rFonts w:ascii="Arial" w:eastAsia="Calibri" w:hAnsi="Arial" w:cs="Arial"/>
                <w:noProof/>
                <w:sz w:val="18"/>
                <w:szCs w:val="18"/>
              </w:rPr>
              <w:t>221</w:t>
            </w:r>
          </w:p>
        </w:tc>
        <w:tc>
          <w:tcPr>
            <w:tcW w:w="624" w:type="dxa"/>
            <w:tcBorders>
              <w:top w:val="single" w:sz="6" w:space="0" w:color="auto"/>
              <w:left w:val="single" w:sz="6" w:space="0" w:color="auto"/>
              <w:bottom w:val="single" w:sz="6" w:space="0" w:color="auto"/>
              <w:right w:val="single" w:sz="6" w:space="0" w:color="auto"/>
            </w:tcBorders>
            <w:hideMark/>
          </w:tcPr>
          <w:p w14:paraId="3A06983B"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8"/>
                <w:szCs w:val="18"/>
              </w:rPr>
            </w:pPr>
            <w:r w:rsidRPr="3982CBDC">
              <w:rPr>
                <w:rFonts w:ascii="Arial" w:eastAsia="Calibri" w:hAnsi="Arial" w:cs="Arial"/>
                <w:noProof/>
                <w:sz w:val="18"/>
                <w:szCs w:val="18"/>
              </w:rPr>
              <w:t>224</w:t>
            </w:r>
          </w:p>
        </w:tc>
        <w:tc>
          <w:tcPr>
            <w:tcW w:w="624" w:type="dxa"/>
            <w:tcBorders>
              <w:top w:val="single" w:sz="6" w:space="0" w:color="auto"/>
              <w:left w:val="single" w:sz="6" w:space="0" w:color="auto"/>
              <w:bottom w:val="single" w:sz="6" w:space="0" w:color="auto"/>
              <w:right w:val="single" w:sz="6" w:space="0" w:color="auto"/>
            </w:tcBorders>
            <w:hideMark/>
          </w:tcPr>
          <w:p w14:paraId="2A0AF57D"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8"/>
                <w:szCs w:val="18"/>
              </w:rPr>
            </w:pPr>
            <w:r w:rsidRPr="3982CBDC">
              <w:rPr>
                <w:rFonts w:ascii="Arial" w:eastAsia="Calibri" w:hAnsi="Arial" w:cs="Arial"/>
                <w:noProof/>
                <w:sz w:val="18"/>
                <w:szCs w:val="18"/>
              </w:rPr>
              <w:t>227</w:t>
            </w:r>
          </w:p>
        </w:tc>
        <w:tc>
          <w:tcPr>
            <w:tcW w:w="624" w:type="dxa"/>
            <w:tcBorders>
              <w:top w:val="single" w:sz="6" w:space="0" w:color="auto"/>
              <w:left w:val="single" w:sz="6" w:space="0" w:color="auto"/>
              <w:bottom w:val="single" w:sz="6" w:space="0" w:color="auto"/>
              <w:right w:val="single" w:sz="6" w:space="0" w:color="auto"/>
            </w:tcBorders>
            <w:hideMark/>
          </w:tcPr>
          <w:p w14:paraId="01787F07"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8"/>
                <w:szCs w:val="18"/>
              </w:rPr>
            </w:pPr>
            <w:r w:rsidRPr="3982CBDC">
              <w:rPr>
                <w:rFonts w:ascii="Arial" w:eastAsia="Calibri" w:hAnsi="Arial" w:cs="Arial"/>
                <w:noProof/>
                <w:sz w:val="18"/>
                <w:szCs w:val="18"/>
              </w:rPr>
              <w:t>216</w:t>
            </w:r>
          </w:p>
        </w:tc>
        <w:tc>
          <w:tcPr>
            <w:tcW w:w="624" w:type="dxa"/>
            <w:tcBorders>
              <w:top w:val="single" w:sz="6" w:space="0" w:color="auto"/>
              <w:left w:val="single" w:sz="6" w:space="0" w:color="auto"/>
              <w:bottom w:val="single" w:sz="6" w:space="0" w:color="auto"/>
              <w:right w:val="single" w:sz="6" w:space="0" w:color="auto"/>
            </w:tcBorders>
            <w:hideMark/>
          </w:tcPr>
          <w:p w14:paraId="06ADCF04"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8"/>
                <w:szCs w:val="18"/>
              </w:rPr>
            </w:pPr>
            <w:r w:rsidRPr="3982CBDC">
              <w:rPr>
                <w:rFonts w:ascii="Arial" w:eastAsia="Calibri" w:hAnsi="Arial" w:cs="Arial"/>
                <w:noProof/>
                <w:sz w:val="18"/>
                <w:szCs w:val="18"/>
              </w:rPr>
              <w:t>206</w:t>
            </w:r>
          </w:p>
        </w:tc>
        <w:tc>
          <w:tcPr>
            <w:tcW w:w="624" w:type="dxa"/>
            <w:tcBorders>
              <w:top w:val="single" w:sz="6" w:space="0" w:color="auto"/>
              <w:left w:val="single" w:sz="6" w:space="0" w:color="auto"/>
              <w:bottom w:val="single" w:sz="6" w:space="0" w:color="auto"/>
              <w:right w:val="single" w:sz="6" w:space="0" w:color="auto"/>
            </w:tcBorders>
            <w:hideMark/>
          </w:tcPr>
          <w:p w14:paraId="54EB8B05"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8"/>
                <w:szCs w:val="18"/>
              </w:rPr>
            </w:pPr>
            <w:r w:rsidRPr="3982CBDC">
              <w:rPr>
                <w:rFonts w:ascii="Arial" w:eastAsia="Calibri" w:hAnsi="Arial" w:cs="Arial"/>
                <w:noProof/>
                <w:sz w:val="18"/>
                <w:szCs w:val="18"/>
              </w:rPr>
              <w:t>206</w:t>
            </w:r>
          </w:p>
        </w:tc>
        <w:tc>
          <w:tcPr>
            <w:tcW w:w="624" w:type="dxa"/>
            <w:tcBorders>
              <w:top w:val="single" w:sz="6" w:space="0" w:color="auto"/>
              <w:left w:val="single" w:sz="6" w:space="0" w:color="auto"/>
              <w:bottom w:val="single" w:sz="6" w:space="0" w:color="auto"/>
              <w:right w:val="single" w:sz="6" w:space="0" w:color="auto"/>
            </w:tcBorders>
            <w:hideMark/>
          </w:tcPr>
          <w:p w14:paraId="6B41177E"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8"/>
                <w:szCs w:val="18"/>
              </w:rPr>
            </w:pPr>
            <w:r w:rsidRPr="3982CBDC">
              <w:rPr>
                <w:rFonts w:ascii="Arial" w:eastAsia="Calibri" w:hAnsi="Arial" w:cs="Arial"/>
                <w:noProof/>
                <w:sz w:val="18"/>
                <w:szCs w:val="18"/>
              </w:rPr>
              <w:t>198</w:t>
            </w:r>
          </w:p>
        </w:tc>
        <w:tc>
          <w:tcPr>
            <w:tcW w:w="624" w:type="dxa"/>
            <w:tcBorders>
              <w:top w:val="single" w:sz="6" w:space="0" w:color="auto"/>
              <w:left w:val="single" w:sz="6" w:space="0" w:color="auto"/>
              <w:bottom w:val="single" w:sz="6" w:space="0" w:color="auto"/>
              <w:right w:val="single" w:sz="6" w:space="0" w:color="auto"/>
            </w:tcBorders>
            <w:hideMark/>
          </w:tcPr>
          <w:p w14:paraId="3B2F28AC"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8"/>
                <w:szCs w:val="18"/>
              </w:rPr>
            </w:pPr>
            <w:r w:rsidRPr="3982CBDC">
              <w:rPr>
                <w:rFonts w:ascii="Arial" w:eastAsia="Calibri" w:hAnsi="Arial" w:cs="Arial"/>
                <w:noProof/>
                <w:sz w:val="18"/>
                <w:szCs w:val="18"/>
              </w:rPr>
              <w:t>176</w:t>
            </w:r>
          </w:p>
        </w:tc>
        <w:tc>
          <w:tcPr>
            <w:tcW w:w="624" w:type="dxa"/>
            <w:tcBorders>
              <w:top w:val="single" w:sz="6" w:space="0" w:color="auto"/>
              <w:left w:val="single" w:sz="6" w:space="0" w:color="auto"/>
              <w:bottom w:val="single" w:sz="6" w:space="0" w:color="auto"/>
              <w:right w:val="single" w:sz="6" w:space="0" w:color="auto"/>
            </w:tcBorders>
            <w:hideMark/>
          </w:tcPr>
          <w:p w14:paraId="1B38178B"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8"/>
                <w:szCs w:val="18"/>
              </w:rPr>
            </w:pPr>
            <w:r w:rsidRPr="3982CBDC">
              <w:rPr>
                <w:rFonts w:ascii="Arial" w:eastAsia="Calibri" w:hAnsi="Arial" w:cs="Arial"/>
                <w:noProof/>
                <w:sz w:val="18"/>
                <w:szCs w:val="18"/>
              </w:rPr>
              <w:t>157</w:t>
            </w:r>
          </w:p>
        </w:tc>
        <w:tc>
          <w:tcPr>
            <w:tcW w:w="624" w:type="dxa"/>
            <w:tcBorders>
              <w:top w:val="single" w:sz="6" w:space="0" w:color="auto"/>
              <w:left w:val="single" w:sz="6" w:space="0" w:color="auto"/>
              <w:bottom w:val="single" w:sz="6" w:space="0" w:color="auto"/>
              <w:right w:val="single" w:sz="6" w:space="0" w:color="auto"/>
            </w:tcBorders>
            <w:hideMark/>
          </w:tcPr>
          <w:p w14:paraId="51EBE6CB"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8"/>
                <w:szCs w:val="18"/>
              </w:rPr>
            </w:pPr>
            <w:r w:rsidRPr="3982CBDC">
              <w:rPr>
                <w:rFonts w:ascii="Arial" w:eastAsia="Calibri" w:hAnsi="Arial" w:cs="Arial"/>
                <w:noProof/>
                <w:sz w:val="18"/>
                <w:szCs w:val="18"/>
              </w:rPr>
              <w:t>145</w:t>
            </w:r>
          </w:p>
        </w:tc>
      </w:tr>
      <w:tr w:rsidR="008E12F8" w:rsidRPr="008E12F8" w14:paraId="38473367" w14:textId="77777777" w:rsidTr="3F3807E4">
        <w:trPr>
          <w:trHeight w:val="113"/>
        </w:trPr>
        <w:tc>
          <w:tcPr>
            <w:cnfStyle w:val="001000000000" w:firstRow="0" w:lastRow="0" w:firstColumn="1" w:lastColumn="0" w:oddVBand="0" w:evenVBand="0" w:oddHBand="0" w:evenHBand="0" w:firstRowFirstColumn="0" w:firstRowLastColumn="0" w:lastRowFirstColumn="0" w:lastRowLastColumn="0"/>
            <w:tcW w:w="2835" w:type="dxa"/>
            <w:hideMark/>
          </w:tcPr>
          <w:p w14:paraId="7B69AFCC" w14:textId="77777777" w:rsidR="008E12F8" w:rsidRPr="008E12F8" w:rsidRDefault="3982CBDC" w:rsidP="3982CBDC">
            <w:pPr>
              <w:keepNext/>
              <w:keepLines/>
              <w:spacing w:before="60" w:after="60"/>
              <w:rPr>
                <w:rFonts w:ascii="Arial" w:eastAsia="Calibri" w:hAnsi="Arial"/>
                <w:noProof/>
                <w:sz w:val="18"/>
                <w:szCs w:val="18"/>
              </w:rPr>
            </w:pPr>
            <w:r w:rsidRPr="3982CBDC">
              <w:rPr>
                <w:rFonts w:ascii="Arial" w:eastAsia="Calibri" w:hAnsi="Arial"/>
                <w:noProof/>
                <w:sz w:val="18"/>
                <w:szCs w:val="18"/>
              </w:rPr>
              <w:t xml:space="preserve">Difference </w:t>
            </w:r>
          </w:p>
        </w:tc>
        <w:tc>
          <w:tcPr>
            <w:tcW w:w="624" w:type="dxa"/>
            <w:tcBorders>
              <w:top w:val="single" w:sz="6" w:space="0" w:color="auto"/>
              <w:left w:val="single" w:sz="6" w:space="0" w:color="auto"/>
              <w:bottom w:val="single" w:sz="6" w:space="0" w:color="auto"/>
              <w:right w:val="single" w:sz="6" w:space="0" w:color="auto"/>
            </w:tcBorders>
            <w:hideMark/>
          </w:tcPr>
          <w:p w14:paraId="208A2CCF"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8"/>
                <w:szCs w:val="18"/>
              </w:rPr>
            </w:pPr>
            <w:r w:rsidRPr="3982CBDC">
              <w:rPr>
                <w:rFonts w:ascii="Arial" w:eastAsia="Calibri" w:hAnsi="Arial" w:cs="Arial"/>
                <w:noProof/>
                <w:sz w:val="18"/>
                <w:szCs w:val="18"/>
              </w:rPr>
              <w:t>5%</w:t>
            </w:r>
          </w:p>
        </w:tc>
        <w:tc>
          <w:tcPr>
            <w:tcW w:w="624" w:type="dxa"/>
            <w:tcBorders>
              <w:top w:val="single" w:sz="6" w:space="0" w:color="auto"/>
              <w:left w:val="single" w:sz="6" w:space="0" w:color="auto"/>
              <w:bottom w:val="single" w:sz="6" w:space="0" w:color="auto"/>
              <w:right w:val="single" w:sz="6" w:space="0" w:color="auto"/>
            </w:tcBorders>
            <w:hideMark/>
          </w:tcPr>
          <w:p w14:paraId="6FE5B2E0"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8"/>
                <w:szCs w:val="18"/>
              </w:rPr>
            </w:pPr>
            <w:r w:rsidRPr="3982CBDC">
              <w:rPr>
                <w:rFonts w:ascii="Arial" w:eastAsia="Calibri" w:hAnsi="Arial" w:cs="Arial"/>
                <w:noProof/>
                <w:sz w:val="18"/>
                <w:szCs w:val="18"/>
              </w:rPr>
              <w:t>-7%</w:t>
            </w:r>
          </w:p>
        </w:tc>
        <w:tc>
          <w:tcPr>
            <w:tcW w:w="624" w:type="dxa"/>
            <w:tcBorders>
              <w:top w:val="single" w:sz="6" w:space="0" w:color="auto"/>
              <w:left w:val="single" w:sz="6" w:space="0" w:color="auto"/>
              <w:bottom w:val="single" w:sz="6" w:space="0" w:color="auto"/>
              <w:right w:val="single" w:sz="6" w:space="0" w:color="auto"/>
            </w:tcBorders>
            <w:hideMark/>
          </w:tcPr>
          <w:p w14:paraId="5A0C259F"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8"/>
                <w:szCs w:val="18"/>
              </w:rPr>
            </w:pPr>
            <w:r w:rsidRPr="3982CBDC">
              <w:rPr>
                <w:rFonts w:ascii="Arial" w:eastAsia="Calibri" w:hAnsi="Arial" w:cs="Arial"/>
                <w:noProof/>
                <w:sz w:val="18"/>
                <w:szCs w:val="18"/>
              </w:rPr>
              <w:t>-10%</w:t>
            </w:r>
          </w:p>
        </w:tc>
        <w:tc>
          <w:tcPr>
            <w:tcW w:w="624" w:type="dxa"/>
            <w:tcBorders>
              <w:top w:val="single" w:sz="6" w:space="0" w:color="auto"/>
              <w:left w:val="single" w:sz="6" w:space="0" w:color="auto"/>
              <w:bottom w:val="single" w:sz="6" w:space="0" w:color="auto"/>
              <w:right w:val="single" w:sz="6" w:space="0" w:color="auto"/>
            </w:tcBorders>
            <w:hideMark/>
          </w:tcPr>
          <w:p w14:paraId="1F0C347B"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8"/>
                <w:szCs w:val="18"/>
              </w:rPr>
            </w:pPr>
            <w:r w:rsidRPr="3982CBDC">
              <w:rPr>
                <w:rFonts w:ascii="Arial" w:eastAsia="Calibri" w:hAnsi="Arial" w:cs="Arial"/>
                <w:noProof/>
                <w:sz w:val="18"/>
                <w:szCs w:val="18"/>
              </w:rPr>
              <w:t>-7%</w:t>
            </w:r>
          </w:p>
        </w:tc>
        <w:tc>
          <w:tcPr>
            <w:tcW w:w="624" w:type="dxa"/>
            <w:tcBorders>
              <w:top w:val="single" w:sz="6" w:space="0" w:color="auto"/>
              <w:left w:val="single" w:sz="6" w:space="0" w:color="auto"/>
              <w:bottom w:val="single" w:sz="6" w:space="0" w:color="auto"/>
              <w:right w:val="single" w:sz="6" w:space="0" w:color="auto"/>
            </w:tcBorders>
            <w:hideMark/>
          </w:tcPr>
          <w:p w14:paraId="324625DB"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8"/>
                <w:szCs w:val="18"/>
              </w:rPr>
            </w:pPr>
            <w:r w:rsidRPr="3982CBDC">
              <w:rPr>
                <w:rFonts w:ascii="Arial" w:eastAsia="Calibri" w:hAnsi="Arial" w:cs="Arial"/>
                <w:noProof/>
                <w:sz w:val="18"/>
                <w:szCs w:val="18"/>
              </w:rPr>
              <w:t>39%</w:t>
            </w:r>
          </w:p>
        </w:tc>
        <w:tc>
          <w:tcPr>
            <w:tcW w:w="624" w:type="dxa"/>
            <w:tcBorders>
              <w:top w:val="single" w:sz="6" w:space="0" w:color="auto"/>
              <w:left w:val="single" w:sz="6" w:space="0" w:color="auto"/>
              <w:bottom w:val="single" w:sz="6" w:space="0" w:color="auto"/>
              <w:right w:val="single" w:sz="6" w:space="0" w:color="auto"/>
            </w:tcBorders>
            <w:hideMark/>
          </w:tcPr>
          <w:p w14:paraId="48270DDD"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8"/>
                <w:szCs w:val="18"/>
              </w:rPr>
            </w:pPr>
            <w:r w:rsidRPr="3982CBDC">
              <w:rPr>
                <w:rFonts w:ascii="Arial" w:eastAsia="Calibri" w:hAnsi="Arial" w:cs="Arial"/>
                <w:noProof/>
                <w:sz w:val="18"/>
                <w:szCs w:val="18"/>
              </w:rPr>
              <w:t>3%</w:t>
            </w:r>
          </w:p>
        </w:tc>
        <w:tc>
          <w:tcPr>
            <w:tcW w:w="624" w:type="dxa"/>
            <w:tcBorders>
              <w:top w:val="single" w:sz="6" w:space="0" w:color="auto"/>
              <w:left w:val="single" w:sz="6" w:space="0" w:color="auto"/>
              <w:bottom w:val="single" w:sz="6" w:space="0" w:color="auto"/>
              <w:right w:val="single" w:sz="6" w:space="0" w:color="auto"/>
            </w:tcBorders>
            <w:hideMark/>
          </w:tcPr>
          <w:p w14:paraId="1D4B9FD1"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8"/>
                <w:szCs w:val="18"/>
              </w:rPr>
            </w:pPr>
            <w:r w:rsidRPr="3982CBDC">
              <w:rPr>
                <w:rFonts w:ascii="Arial" w:eastAsia="Calibri" w:hAnsi="Arial" w:cs="Arial"/>
                <w:noProof/>
                <w:sz w:val="18"/>
                <w:szCs w:val="18"/>
              </w:rPr>
              <w:t>8%</w:t>
            </w:r>
          </w:p>
        </w:tc>
        <w:tc>
          <w:tcPr>
            <w:tcW w:w="624" w:type="dxa"/>
            <w:tcBorders>
              <w:top w:val="single" w:sz="6" w:space="0" w:color="auto"/>
              <w:left w:val="single" w:sz="6" w:space="0" w:color="auto"/>
              <w:bottom w:val="single" w:sz="6" w:space="0" w:color="auto"/>
              <w:right w:val="single" w:sz="6" w:space="0" w:color="auto"/>
            </w:tcBorders>
            <w:hideMark/>
          </w:tcPr>
          <w:p w14:paraId="793EE82B"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8"/>
                <w:szCs w:val="18"/>
              </w:rPr>
            </w:pPr>
            <w:r w:rsidRPr="3982CBDC">
              <w:rPr>
                <w:rFonts w:ascii="Arial" w:eastAsia="Calibri" w:hAnsi="Arial" w:cs="Arial"/>
                <w:noProof/>
                <w:sz w:val="18"/>
                <w:szCs w:val="18"/>
              </w:rPr>
              <w:t>19%</w:t>
            </w:r>
          </w:p>
        </w:tc>
        <w:tc>
          <w:tcPr>
            <w:tcW w:w="624" w:type="dxa"/>
            <w:tcBorders>
              <w:top w:val="single" w:sz="6" w:space="0" w:color="auto"/>
              <w:left w:val="single" w:sz="6" w:space="0" w:color="auto"/>
              <w:bottom w:val="single" w:sz="6" w:space="0" w:color="auto"/>
              <w:right w:val="single" w:sz="6" w:space="0" w:color="auto"/>
            </w:tcBorders>
            <w:hideMark/>
          </w:tcPr>
          <w:p w14:paraId="7D5DB241"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8"/>
                <w:szCs w:val="18"/>
              </w:rPr>
            </w:pPr>
            <w:r w:rsidRPr="3982CBDC">
              <w:rPr>
                <w:rFonts w:ascii="Arial" w:eastAsia="Calibri" w:hAnsi="Arial" w:cs="Arial"/>
                <w:noProof/>
                <w:sz w:val="18"/>
                <w:szCs w:val="18"/>
              </w:rPr>
              <w:t>-2%</w:t>
            </w:r>
          </w:p>
        </w:tc>
        <w:tc>
          <w:tcPr>
            <w:tcW w:w="624" w:type="dxa"/>
            <w:tcBorders>
              <w:top w:val="single" w:sz="6" w:space="0" w:color="auto"/>
              <w:left w:val="single" w:sz="6" w:space="0" w:color="auto"/>
              <w:bottom w:val="single" w:sz="6" w:space="0" w:color="auto"/>
              <w:right w:val="single" w:sz="6" w:space="0" w:color="auto"/>
            </w:tcBorders>
            <w:hideMark/>
          </w:tcPr>
          <w:p w14:paraId="0E8C528A"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8"/>
                <w:szCs w:val="18"/>
              </w:rPr>
            </w:pPr>
            <w:r w:rsidRPr="3982CBDC">
              <w:rPr>
                <w:rFonts w:ascii="Arial" w:eastAsia="Calibri" w:hAnsi="Arial" w:cs="Arial"/>
                <w:noProof/>
                <w:sz w:val="18"/>
                <w:szCs w:val="18"/>
              </w:rPr>
              <w:t>-16%</w:t>
            </w:r>
          </w:p>
        </w:tc>
      </w:tr>
    </w:tbl>
    <w:p w14:paraId="1E8BC3E5" w14:textId="77777777" w:rsidR="008E12F8" w:rsidRPr="0085241A" w:rsidRDefault="3982CBDC" w:rsidP="3982CBDC">
      <w:pPr>
        <w:keepNext/>
        <w:keepLines/>
        <w:spacing w:before="60" w:after="0"/>
        <w:rPr>
          <w:rFonts w:asciiTheme="minorHAnsi" w:hAnsiTheme="minorHAnsi"/>
          <w:i/>
          <w:noProof/>
          <w:sz w:val="20"/>
        </w:rPr>
      </w:pPr>
      <w:r w:rsidRPr="0085241A">
        <w:rPr>
          <w:rFonts w:asciiTheme="minorHAnsi" w:hAnsiTheme="minorHAnsi"/>
          <w:b/>
          <w:i/>
          <w:noProof/>
          <w:sz w:val="20"/>
        </w:rPr>
        <w:t>Source:</w:t>
      </w:r>
      <w:r w:rsidRPr="0085241A">
        <w:rPr>
          <w:rFonts w:asciiTheme="minorHAnsi" w:hAnsiTheme="minorHAnsi"/>
          <w:i/>
          <w:noProof/>
          <w:sz w:val="20"/>
        </w:rPr>
        <w:t xml:space="preserve"> AnaFgas modelling, EEA 2020</w:t>
      </w:r>
    </w:p>
    <w:p w14:paraId="72E6FAFC" w14:textId="6F5EE893" w:rsidR="008E12F8" w:rsidRPr="00C63F49" w:rsidRDefault="008E12F8" w:rsidP="00225664">
      <w:pPr>
        <w:spacing w:before="240" w:after="240"/>
        <w:rPr>
          <w:rFonts w:eastAsia="Calibri" w:cs="Times New Roman"/>
          <w:noProof/>
          <w:szCs w:val="24"/>
        </w:rPr>
      </w:pPr>
      <w:r w:rsidRPr="00C63F49">
        <w:rPr>
          <w:rFonts w:eastAsia="Calibri" w:cs="Times New Roman"/>
          <w:noProof/>
          <w:szCs w:val="24"/>
          <w:lang w:eastAsia="x-none"/>
        </w:rPr>
        <w:t xml:space="preserve">Regarding emissions, the AnaFgas model consistently calculates higher quantities in </w:t>
      </w:r>
      <w:r w:rsidR="00C63F49">
        <w:rPr>
          <w:rFonts w:eastAsia="Calibri" w:cs="Times New Roman"/>
          <w:noProof/>
          <w:szCs w:val="24"/>
          <w:lang w:eastAsia="x-none"/>
        </w:rPr>
        <w:t>t</w:t>
      </w:r>
      <w:r w:rsidRPr="00C63F49">
        <w:rPr>
          <w:rFonts w:eastAsia="Calibri" w:cs="Times New Roman"/>
          <w:noProof/>
          <w:szCs w:val="24"/>
          <w:lang w:eastAsia="x-none"/>
        </w:rPr>
        <w:t>CO</w:t>
      </w:r>
      <w:r w:rsidRPr="00C63F49">
        <w:rPr>
          <w:rFonts w:eastAsia="Calibri" w:cs="Times New Roman"/>
          <w:noProof/>
          <w:szCs w:val="24"/>
          <w:vertAlign w:val="subscript"/>
          <w:lang w:eastAsia="x-none"/>
        </w:rPr>
        <w:t>2</w:t>
      </w:r>
      <w:r w:rsidR="00C63F49">
        <w:rPr>
          <w:rFonts w:eastAsia="Calibri" w:cs="Times New Roman"/>
          <w:noProof/>
          <w:szCs w:val="24"/>
          <w:lang w:eastAsia="x-none"/>
        </w:rPr>
        <w:t>e</w:t>
      </w:r>
      <w:r w:rsidRPr="00C63F49">
        <w:rPr>
          <w:rFonts w:eastAsia="Calibri" w:cs="Times New Roman"/>
          <w:noProof/>
          <w:szCs w:val="24"/>
          <w:lang w:eastAsia="x-none"/>
        </w:rPr>
        <w:t xml:space="preserve"> than stated in the UNFCCC NIR (</w:t>
      </w:r>
      <w:r w:rsidR="004655EE" w:rsidRPr="004655EE">
        <w:rPr>
          <w:rFonts w:cs="Times New Roman"/>
          <w:noProof/>
          <w:szCs w:val="24"/>
        </w:rPr>
        <w:fldChar w:fldCharType="begin"/>
      </w:r>
      <w:r w:rsidR="004655EE" w:rsidRPr="004655EE">
        <w:rPr>
          <w:rFonts w:cs="Times New Roman"/>
          <w:noProof/>
          <w:szCs w:val="24"/>
        </w:rPr>
        <w:instrText xml:space="preserve"> REF _Ref89700983 \h  \* MERGEFORMAT </w:instrText>
      </w:r>
      <w:r w:rsidR="004655EE" w:rsidRPr="004655EE">
        <w:rPr>
          <w:rFonts w:cs="Times New Roman"/>
          <w:noProof/>
          <w:szCs w:val="24"/>
        </w:rPr>
      </w:r>
      <w:r w:rsidR="004655EE" w:rsidRPr="004655EE">
        <w:rPr>
          <w:rFonts w:cs="Times New Roman"/>
          <w:noProof/>
          <w:szCs w:val="24"/>
        </w:rPr>
        <w:fldChar w:fldCharType="separate"/>
      </w:r>
      <w:r w:rsidR="00C66A21" w:rsidRPr="00C66A21">
        <w:rPr>
          <w:rFonts w:eastAsia="Calibri" w:cs="Times New Roman"/>
          <w:bCs/>
          <w:noProof/>
          <w:szCs w:val="24"/>
        </w:rPr>
        <w:t xml:space="preserve">Figure </w:t>
      </w:r>
      <w:r w:rsidR="00C66A21" w:rsidRPr="00C66A21">
        <w:rPr>
          <w:rFonts w:cs="Times New Roman"/>
          <w:noProof/>
          <w:szCs w:val="24"/>
        </w:rPr>
        <w:t>11</w:t>
      </w:r>
      <w:r w:rsidR="004655EE" w:rsidRPr="004655EE">
        <w:rPr>
          <w:rFonts w:cs="Times New Roman"/>
          <w:noProof/>
          <w:szCs w:val="24"/>
        </w:rPr>
        <w:fldChar w:fldCharType="end"/>
      </w:r>
      <w:r w:rsidRPr="00C63F49">
        <w:rPr>
          <w:rFonts w:eastAsia="Calibri" w:cs="Times New Roman"/>
          <w:noProof/>
          <w:szCs w:val="24"/>
          <w:lang w:eastAsia="x-none"/>
        </w:rPr>
        <w:t xml:space="preserve"> and </w:t>
      </w:r>
      <w:r w:rsidR="00C63F49" w:rsidRPr="00C63F49">
        <w:rPr>
          <w:rFonts w:eastAsia="Calibri" w:cs="Times New Roman"/>
          <w:noProof/>
          <w:szCs w:val="24"/>
          <w:lang w:eastAsia="x-none"/>
        </w:rPr>
        <w:fldChar w:fldCharType="begin"/>
      </w:r>
      <w:r w:rsidR="00C63F49" w:rsidRPr="00C63F49">
        <w:rPr>
          <w:rFonts w:eastAsia="Calibri" w:cs="Times New Roman"/>
          <w:noProof/>
          <w:szCs w:val="24"/>
          <w:lang w:eastAsia="x-none"/>
        </w:rPr>
        <w:instrText xml:space="preserve"> REF _Ref87015680 \h  \* MERGEFORMAT </w:instrText>
      </w:r>
      <w:r w:rsidR="00C63F49" w:rsidRPr="00C63F49">
        <w:rPr>
          <w:rFonts w:eastAsia="Calibri" w:cs="Times New Roman"/>
          <w:noProof/>
          <w:szCs w:val="24"/>
          <w:lang w:eastAsia="x-none"/>
        </w:rPr>
      </w:r>
      <w:r w:rsidR="00C63F49" w:rsidRPr="00C63F49">
        <w:rPr>
          <w:rFonts w:eastAsia="Calibri" w:cs="Times New Roman"/>
          <w:noProof/>
          <w:szCs w:val="24"/>
          <w:lang w:eastAsia="x-none"/>
        </w:rPr>
        <w:fldChar w:fldCharType="separate"/>
      </w:r>
      <w:r w:rsidR="00C66A21" w:rsidRPr="00C66A21">
        <w:rPr>
          <w:rFonts w:eastAsia="Calibri" w:cs="Times New Roman"/>
          <w:bCs/>
          <w:noProof/>
          <w:szCs w:val="24"/>
        </w:rPr>
        <w:t xml:space="preserve">Table </w:t>
      </w:r>
      <w:r w:rsidR="00C66A21" w:rsidRPr="00C66A21">
        <w:rPr>
          <w:rFonts w:cs="Times New Roman"/>
          <w:noProof/>
          <w:szCs w:val="24"/>
        </w:rPr>
        <w:t>16</w:t>
      </w:r>
      <w:r w:rsidR="00C63F49" w:rsidRPr="00C63F49">
        <w:rPr>
          <w:rFonts w:eastAsia="Calibri" w:cs="Times New Roman"/>
          <w:noProof/>
          <w:szCs w:val="24"/>
          <w:lang w:eastAsia="x-none"/>
        </w:rPr>
        <w:fldChar w:fldCharType="end"/>
      </w:r>
      <w:r w:rsidRPr="00C63F49">
        <w:rPr>
          <w:rFonts w:eastAsia="Calibri" w:cs="Times New Roman"/>
          <w:noProof/>
          <w:szCs w:val="24"/>
          <w:lang w:eastAsia="x-none"/>
        </w:rPr>
        <w:t>)</w:t>
      </w:r>
      <w:r w:rsidR="00F66DB0" w:rsidRPr="00C63F49">
        <w:rPr>
          <w:rFonts w:eastAsia="Calibri" w:cs="Times New Roman"/>
          <w:noProof/>
          <w:szCs w:val="24"/>
          <w:lang w:eastAsia="x-none"/>
        </w:rPr>
        <w:t>,</w:t>
      </w:r>
      <w:r w:rsidRPr="00C63F49">
        <w:rPr>
          <w:rFonts w:eastAsia="Calibri" w:cs="Times New Roman"/>
          <w:noProof/>
          <w:szCs w:val="24"/>
          <w:lang w:eastAsia="x-none"/>
        </w:rPr>
        <w:t xml:space="preserve"> but the deviations are </w:t>
      </w:r>
      <w:r w:rsidR="00F66DB0" w:rsidRPr="00C63F49">
        <w:rPr>
          <w:rFonts w:eastAsia="Calibri" w:cs="Times New Roman"/>
          <w:noProof/>
          <w:szCs w:val="24"/>
          <w:lang w:eastAsia="x-none"/>
        </w:rPr>
        <w:t xml:space="preserve">very </w:t>
      </w:r>
      <w:r w:rsidRPr="00C63F49">
        <w:rPr>
          <w:rFonts w:eastAsia="Calibri" w:cs="Times New Roman"/>
          <w:noProof/>
          <w:szCs w:val="24"/>
          <w:lang w:eastAsia="x-none"/>
        </w:rPr>
        <w:t xml:space="preserve">small (on average 3 %). Since the UNFCCC data is based on estimations, </w:t>
      </w:r>
      <w:r w:rsidR="00F66DB0" w:rsidRPr="00C63F49">
        <w:rPr>
          <w:rFonts w:eastAsia="Calibri" w:cs="Times New Roman"/>
          <w:noProof/>
          <w:szCs w:val="24"/>
          <w:lang w:eastAsia="x-none"/>
        </w:rPr>
        <w:t>the methodology of collecting this data is very different for different member States (surveys, estimations, actual emissions databases</w:t>
      </w:r>
      <w:r w:rsidR="00E949B6" w:rsidRPr="00C63F49">
        <w:rPr>
          <w:rFonts w:eastAsia="Calibri" w:cs="Times New Roman"/>
          <w:noProof/>
          <w:szCs w:val="24"/>
          <w:lang w:eastAsia="x-none"/>
        </w:rPr>
        <w:t>)</w:t>
      </w:r>
      <w:r w:rsidR="00F66DB0" w:rsidRPr="00C63F49">
        <w:rPr>
          <w:rFonts w:eastAsia="Calibri" w:cs="Times New Roman"/>
          <w:noProof/>
          <w:szCs w:val="24"/>
          <w:lang w:eastAsia="x-none"/>
        </w:rPr>
        <w:t xml:space="preserve">. </w:t>
      </w:r>
      <w:r w:rsidRPr="00C63F49">
        <w:rPr>
          <w:rFonts w:eastAsia="Calibri" w:cs="Times New Roman"/>
          <w:noProof/>
          <w:szCs w:val="24"/>
          <w:lang w:eastAsia="x-none"/>
        </w:rPr>
        <w:t>Possible explanations could be differences in the assumed emission rates for different sectors and subsectors or charge sizes for different equipment</w:t>
      </w:r>
      <w:r w:rsidR="00F66DB0" w:rsidRPr="00C63F49">
        <w:rPr>
          <w:rFonts w:eastAsia="Calibri" w:cs="Times New Roman"/>
          <w:noProof/>
          <w:szCs w:val="24"/>
          <w:lang w:eastAsia="x-none"/>
        </w:rPr>
        <w:t xml:space="preserve"> where these are used to determine the </w:t>
      </w:r>
      <w:r w:rsidR="00E949B6" w:rsidRPr="00C63F49">
        <w:rPr>
          <w:rFonts w:eastAsia="Calibri" w:cs="Times New Roman"/>
          <w:noProof/>
          <w:szCs w:val="24"/>
          <w:lang w:eastAsia="x-none"/>
        </w:rPr>
        <w:t>emissions</w:t>
      </w:r>
      <w:r w:rsidR="00F66DB0" w:rsidRPr="00C63F49">
        <w:rPr>
          <w:rFonts w:eastAsia="Calibri" w:cs="Times New Roman"/>
          <w:noProof/>
          <w:szCs w:val="24"/>
          <w:lang w:eastAsia="x-none"/>
        </w:rPr>
        <w:t xml:space="preserve"> reported to the UNFCCC</w:t>
      </w:r>
      <w:r w:rsidRPr="00C63F49">
        <w:rPr>
          <w:rFonts w:eastAsia="Calibri" w:cs="Times New Roman"/>
          <w:noProof/>
          <w:szCs w:val="24"/>
          <w:lang w:eastAsia="x-none"/>
        </w:rPr>
        <w:t xml:space="preserve">. In any case, the deviations are small and are likely within the uncertainties. </w:t>
      </w:r>
      <w:bookmarkStart w:id="527" w:name="_Ref65653943"/>
    </w:p>
    <w:bookmarkEnd w:id="527"/>
    <w:p w14:paraId="47D22B6F" w14:textId="77777777" w:rsidR="008E12F8" w:rsidRPr="008E12F8" w:rsidRDefault="008E12F8" w:rsidP="008E12F8">
      <w:pPr>
        <w:keepNext/>
        <w:keepLines/>
        <w:spacing w:before="60" w:after="0"/>
        <w:rPr>
          <w:rFonts w:ascii="Arial" w:eastAsia="Calibri" w:hAnsi="Arial" w:cs="Arial"/>
          <w:noProof/>
          <w:sz w:val="20"/>
        </w:rPr>
      </w:pPr>
      <w:r>
        <w:rPr>
          <w:noProof/>
          <w:lang w:eastAsia="en-GB"/>
        </w:rPr>
        <w:drawing>
          <wp:inline distT="0" distB="0" distL="0" distR="0" wp14:anchorId="17CF07A6" wp14:editId="3D0F86A5">
            <wp:extent cx="5716906" cy="3673475"/>
            <wp:effectExtent l="0" t="0" r="0" b="3175"/>
            <wp:docPr id="200415157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16906" cy="3673475"/>
                    </a:xfrm>
                    <a:prstGeom prst="rect">
                      <a:avLst/>
                    </a:prstGeom>
                  </pic:spPr>
                </pic:pic>
              </a:graphicData>
            </a:graphic>
          </wp:inline>
        </w:drawing>
      </w:r>
    </w:p>
    <w:p w14:paraId="0F320BE1" w14:textId="21BDE65F" w:rsidR="004655EE" w:rsidRPr="00C63F49" w:rsidRDefault="004655EE" w:rsidP="0085241A">
      <w:pPr>
        <w:keepNext/>
        <w:spacing w:before="240" w:after="120"/>
        <w:rPr>
          <w:rFonts w:asciiTheme="minorHAnsi" w:eastAsia="Calibri" w:hAnsiTheme="minorHAnsi" w:cs="Times New Roman"/>
          <w:b/>
          <w:bCs/>
          <w:noProof/>
          <w:color w:val="0070C0"/>
          <w:sz w:val="20"/>
          <w:szCs w:val="20"/>
        </w:rPr>
      </w:pPr>
      <w:bookmarkStart w:id="528" w:name="_Ref67935669"/>
      <w:bookmarkStart w:id="529" w:name="_Ref89700983"/>
      <w:bookmarkStart w:id="530" w:name="_Toc81029912"/>
      <w:bookmarkStart w:id="531" w:name="_Toc74938072"/>
      <w:bookmarkStart w:id="532" w:name="_Toc74593860"/>
      <w:bookmarkStart w:id="533" w:name="_Ref89700976"/>
      <w:r w:rsidRPr="00C63F49">
        <w:rPr>
          <w:rFonts w:asciiTheme="minorHAnsi" w:eastAsia="Calibri" w:hAnsiTheme="minorHAnsi" w:cs="Times New Roman"/>
          <w:b/>
          <w:bCs/>
          <w:noProof/>
          <w:color w:val="0070C0"/>
          <w:sz w:val="20"/>
          <w:szCs w:val="20"/>
        </w:rPr>
        <w:t xml:space="preserve">Figure </w:t>
      </w:r>
      <w:bookmarkEnd w:id="528"/>
      <w:r>
        <w:rPr>
          <w:rFonts w:asciiTheme="minorHAnsi" w:hAnsiTheme="minorHAnsi"/>
          <w:noProof/>
          <w:color w:val="0070C0"/>
          <w:sz w:val="20"/>
          <w:szCs w:val="20"/>
        </w:rPr>
        <w:fldChar w:fldCharType="begin"/>
      </w:r>
      <w:r>
        <w:rPr>
          <w:rFonts w:asciiTheme="minorHAnsi" w:hAnsiTheme="minorHAnsi"/>
          <w:noProof/>
          <w:color w:val="0070C0"/>
          <w:sz w:val="20"/>
          <w:szCs w:val="20"/>
        </w:rPr>
        <w:instrText xml:space="preserve"> SEQ Figure \* ARABIC </w:instrText>
      </w:r>
      <w:r>
        <w:rPr>
          <w:rFonts w:asciiTheme="minorHAnsi" w:hAnsiTheme="minorHAnsi"/>
          <w:noProof/>
          <w:color w:val="0070C0"/>
          <w:sz w:val="20"/>
          <w:szCs w:val="20"/>
        </w:rPr>
        <w:fldChar w:fldCharType="separate"/>
      </w:r>
      <w:r w:rsidR="00C66A21">
        <w:rPr>
          <w:rFonts w:asciiTheme="minorHAnsi" w:hAnsiTheme="minorHAnsi"/>
          <w:noProof/>
          <w:color w:val="0070C0"/>
          <w:sz w:val="20"/>
          <w:szCs w:val="20"/>
        </w:rPr>
        <w:t>11</w:t>
      </w:r>
      <w:r>
        <w:rPr>
          <w:rFonts w:asciiTheme="minorHAnsi" w:hAnsiTheme="minorHAnsi"/>
          <w:noProof/>
          <w:color w:val="0070C0"/>
          <w:sz w:val="20"/>
          <w:szCs w:val="20"/>
        </w:rPr>
        <w:fldChar w:fldCharType="end"/>
      </w:r>
      <w:bookmarkEnd w:id="529"/>
      <w:r w:rsidRPr="00C63F49">
        <w:rPr>
          <w:rFonts w:asciiTheme="minorHAnsi" w:eastAsia="Calibri" w:hAnsiTheme="minorHAnsi" w:cs="Times New Roman"/>
          <w:b/>
          <w:bCs/>
          <w:noProof/>
          <w:color w:val="0070C0"/>
          <w:sz w:val="20"/>
          <w:szCs w:val="20"/>
        </w:rPr>
        <w:t xml:space="preserve">: </w:t>
      </w:r>
      <w:r w:rsidRPr="00C63F49">
        <w:rPr>
          <w:rFonts w:asciiTheme="minorHAnsi" w:eastAsia="Calibri" w:hAnsiTheme="minorHAnsi" w:cs="Times New Roman"/>
          <w:bCs/>
          <w:noProof/>
          <w:color w:val="0070C0"/>
          <w:sz w:val="20"/>
          <w:szCs w:val="20"/>
        </w:rPr>
        <w:t>Comparison between the results from the AnaFgas baseline modelling and the reported emissions under UNFCCC (NIR) for the EU-28</w:t>
      </w:r>
      <w:bookmarkEnd w:id="530"/>
      <w:bookmarkEnd w:id="531"/>
      <w:bookmarkEnd w:id="532"/>
      <w:bookmarkEnd w:id="533"/>
    </w:p>
    <w:p w14:paraId="64D912B2" w14:textId="3A7071F8" w:rsidR="008E12F8" w:rsidRPr="0085241A" w:rsidRDefault="008E12F8" w:rsidP="3982CBDC">
      <w:pPr>
        <w:keepNext/>
        <w:keepLines/>
        <w:spacing w:before="60" w:after="0"/>
        <w:rPr>
          <w:rFonts w:asciiTheme="minorHAnsi" w:hAnsiTheme="minorHAnsi"/>
          <w:i/>
          <w:noProof/>
          <w:sz w:val="20"/>
        </w:rPr>
      </w:pPr>
      <w:r w:rsidRPr="0085241A">
        <w:rPr>
          <w:rFonts w:asciiTheme="minorHAnsi" w:hAnsiTheme="minorHAnsi"/>
          <w:b/>
          <w:i/>
          <w:noProof/>
          <w:sz w:val="20"/>
        </w:rPr>
        <w:t>Source:</w:t>
      </w:r>
      <w:r w:rsidRPr="0085241A">
        <w:rPr>
          <w:rFonts w:asciiTheme="minorHAnsi" w:hAnsiTheme="minorHAnsi"/>
          <w:i/>
          <w:noProof/>
          <w:sz w:val="20"/>
        </w:rPr>
        <w:t xml:space="preserve"> AnaFgas modelling, UNFCCC (</w:t>
      </w:r>
      <w:hyperlink r:id="rId55" w:history="1">
        <w:r w:rsidRPr="0085241A">
          <w:rPr>
            <w:rFonts w:asciiTheme="minorHAnsi" w:hAnsiTheme="minorHAnsi"/>
            <w:i/>
            <w:noProof/>
            <w:color w:val="0000FF"/>
            <w:sz w:val="20"/>
            <w:u w:val="single"/>
          </w:rPr>
          <w:t>https://unfccc.int/documents/275968</w:t>
        </w:r>
      </w:hyperlink>
      <w:r w:rsidRPr="0085241A">
        <w:rPr>
          <w:rFonts w:asciiTheme="minorHAnsi" w:hAnsiTheme="minorHAnsi"/>
          <w:i/>
          <w:noProof/>
          <w:sz w:val="20"/>
        </w:rPr>
        <w:t>)</w:t>
      </w:r>
    </w:p>
    <w:p w14:paraId="76AF1A8A" w14:textId="77777777" w:rsidR="008E12F8" w:rsidRPr="008E12F8" w:rsidRDefault="008E12F8" w:rsidP="008E12F8">
      <w:pPr>
        <w:keepNext/>
        <w:keepLines/>
        <w:spacing w:before="60" w:after="0"/>
        <w:rPr>
          <w:rFonts w:ascii="Arial" w:eastAsia="Calibri" w:hAnsi="Arial" w:cs="Arial"/>
          <w:noProof/>
          <w:sz w:val="18"/>
          <w:szCs w:val="20"/>
        </w:rPr>
      </w:pPr>
    </w:p>
    <w:p w14:paraId="369A2535" w14:textId="22E2653E" w:rsidR="008E12F8" w:rsidRPr="0085241A" w:rsidRDefault="008E12F8" w:rsidP="3982CBDC">
      <w:pPr>
        <w:keepNext/>
        <w:keepLines/>
        <w:spacing w:after="0"/>
        <w:rPr>
          <w:rFonts w:asciiTheme="minorHAnsi" w:hAnsiTheme="minorHAnsi"/>
          <w:noProof/>
          <w:color w:val="0070C0"/>
          <w:sz w:val="20"/>
        </w:rPr>
      </w:pPr>
      <w:bookmarkStart w:id="534" w:name="_Ref65684895"/>
      <w:bookmarkStart w:id="535" w:name="_Ref87015680"/>
      <w:bookmarkStart w:id="536" w:name="_Toc81029700"/>
      <w:bookmarkStart w:id="537" w:name="_Toc74938915"/>
      <w:bookmarkStart w:id="538" w:name="_Toc74592740"/>
      <w:r w:rsidRPr="0085241A">
        <w:rPr>
          <w:rFonts w:asciiTheme="minorHAnsi" w:hAnsiTheme="minorHAnsi"/>
          <w:b/>
          <w:noProof/>
          <w:color w:val="0070C0"/>
          <w:sz w:val="20"/>
        </w:rPr>
        <w:t xml:space="preserve">Table </w:t>
      </w:r>
      <w:bookmarkEnd w:id="534"/>
      <w:r w:rsidR="00C63F49" w:rsidRPr="0085241A">
        <w:rPr>
          <w:rFonts w:asciiTheme="minorHAnsi" w:hAnsiTheme="minorHAnsi"/>
          <w:b/>
          <w:noProof/>
          <w:color w:val="0070C0"/>
          <w:sz w:val="20"/>
        </w:rPr>
        <w:fldChar w:fldCharType="begin"/>
      </w:r>
      <w:r w:rsidR="00C63F49" w:rsidRPr="0085241A">
        <w:rPr>
          <w:rFonts w:asciiTheme="minorHAnsi" w:hAnsiTheme="minorHAnsi"/>
          <w:b/>
          <w:noProof/>
          <w:color w:val="0070C0"/>
          <w:sz w:val="20"/>
        </w:rPr>
        <w:instrText xml:space="preserve"> SEQ Table \* ARABIC \s </w:instrText>
      </w:r>
      <w:r w:rsidR="00C63F49" w:rsidRPr="0085241A">
        <w:rPr>
          <w:rFonts w:asciiTheme="minorHAnsi" w:hAnsiTheme="minorHAnsi"/>
          <w:b/>
          <w:noProof/>
          <w:color w:val="0070C0"/>
          <w:sz w:val="20"/>
        </w:rPr>
        <w:fldChar w:fldCharType="separate"/>
      </w:r>
      <w:r w:rsidR="00830261">
        <w:rPr>
          <w:rFonts w:asciiTheme="minorHAnsi" w:hAnsiTheme="minorHAnsi"/>
          <w:b/>
          <w:noProof/>
          <w:color w:val="0070C0"/>
          <w:sz w:val="20"/>
        </w:rPr>
        <w:t>17</w:t>
      </w:r>
      <w:r w:rsidR="00C63F49" w:rsidRPr="0085241A">
        <w:rPr>
          <w:rFonts w:asciiTheme="minorHAnsi" w:hAnsiTheme="minorHAnsi"/>
          <w:b/>
          <w:noProof/>
          <w:color w:val="0070C0"/>
          <w:sz w:val="20"/>
        </w:rPr>
        <w:fldChar w:fldCharType="end"/>
      </w:r>
      <w:bookmarkEnd w:id="535"/>
      <w:r w:rsidRPr="0085241A">
        <w:rPr>
          <w:rFonts w:asciiTheme="minorHAnsi" w:hAnsiTheme="minorHAnsi"/>
          <w:b/>
          <w:noProof/>
          <w:color w:val="0070C0"/>
          <w:sz w:val="20"/>
        </w:rPr>
        <w:t xml:space="preserve">: </w:t>
      </w:r>
      <w:r w:rsidRPr="0085241A">
        <w:rPr>
          <w:rFonts w:asciiTheme="minorHAnsi" w:hAnsiTheme="minorHAnsi"/>
          <w:noProof/>
          <w:color w:val="0070C0"/>
          <w:sz w:val="20"/>
        </w:rPr>
        <w:t>Comparison of AnaFgas baseline modelling output with the NIR reported EU-28 F-gas emissions</w:t>
      </w:r>
      <w:bookmarkEnd w:id="536"/>
      <w:bookmarkEnd w:id="537"/>
      <w:bookmarkEnd w:id="538"/>
    </w:p>
    <w:tbl>
      <w:tblPr>
        <w:tblStyle w:val="David"/>
        <w:tblW w:w="0" w:type="auto"/>
        <w:tblInd w:w="0" w:type="dxa"/>
        <w:tblLook w:val="04A0" w:firstRow="1" w:lastRow="0" w:firstColumn="1" w:lastColumn="0" w:noHBand="0" w:noVBand="1"/>
      </w:tblPr>
      <w:tblGrid>
        <w:gridCol w:w="2501"/>
        <w:gridCol w:w="653"/>
        <w:gridCol w:w="652"/>
        <w:gridCol w:w="652"/>
        <w:gridCol w:w="652"/>
        <w:gridCol w:w="651"/>
        <w:gridCol w:w="651"/>
        <w:gridCol w:w="651"/>
        <w:gridCol w:w="651"/>
        <w:gridCol w:w="651"/>
        <w:gridCol w:w="645"/>
      </w:tblGrid>
      <w:tr w:rsidR="008E12F8" w:rsidRPr="008E12F8" w14:paraId="09FBB8D5" w14:textId="77777777" w:rsidTr="3F3807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dxa"/>
            <w:shd w:val="clear" w:color="auto" w:fill="003300"/>
            <w:hideMark/>
          </w:tcPr>
          <w:p w14:paraId="52922C82" w14:textId="77777777" w:rsidR="008E12F8" w:rsidRPr="008E12F8" w:rsidRDefault="3982CBDC" w:rsidP="3982CBDC">
            <w:pPr>
              <w:keepNext/>
              <w:keepLines/>
              <w:spacing w:before="60" w:after="60"/>
              <w:rPr>
                <w:rFonts w:ascii="Arial" w:eastAsia="Calibri" w:hAnsi="Arial"/>
                <w:noProof/>
                <w:sz w:val="18"/>
                <w:szCs w:val="18"/>
              </w:rPr>
            </w:pPr>
            <w:r w:rsidRPr="3982CBDC">
              <w:rPr>
                <w:rFonts w:ascii="Arial" w:eastAsia="Calibri" w:hAnsi="Arial"/>
                <w:noProof/>
                <w:sz w:val="18"/>
                <w:szCs w:val="18"/>
              </w:rPr>
              <w:t>Mt CO</w:t>
            </w:r>
            <w:r w:rsidRPr="3982CBDC">
              <w:rPr>
                <w:rFonts w:ascii="Arial" w:eastAsia="Calibri" w:hAnsi="Arial"/>
                <w:noProof/>
                <w:sz w:val="18"/>
                <w:szCs w:val="18"/>
                <w:vertAlign w:val="subscript"/>
              </w:rPr>
              <w:t xml:space="preserve">2 </w:t>
            </w:r>
            <w:r w:rsidRPr="3982CBDC">
              <w:rPr>
                <w:rFonts w:ascii="Arial" w:eastAsia="Calibri" w:hAnsi="Arial"/>
                <w:noProof/>
                <w:sz w:val="18"/>
                <w:szCs w:val="18"/>
              </w:rPr>
              <w:t xml:space="preserve">eq </w:t>
            </w:r>
          </w:p>
        </w:tc>
        <w:tc>
          <w:tcPr>
            <w:tcW w:w="653" w:type="dxa"/>
            <w:tcBorders>
              <w:top w:val="single" w:sz="6" w:space="0" w:color="auto"/>
              <w:left w:val="single" w:sz="6" w:space="0" w:color="auto"/>
              <w:bottom w:val="single" w:sz="6" w:space="0" w:color="auto"/>
              <w:right w:val="single" w:sz="6" w:space="0" w:color="auto"/>
            </w:tcBorders>
            <w:shd w:val="clear" w:color="auto" w:fill="003300"/>
            <w:hideMark/>
          </w:tcPr>
          <w:p w14:paraId="4CC2514A" w14:textId="77777777" w:rsidR="008E12F8" w:rsidRPr="008E12F8" w:rsidRDefault="3982CBDC" w:rsidP="3982CBDC">
            <w:pPr>
              <w:keepNext/>
              <w:keepLines/>
              <w:spacing w:before="60" w:after="60"/>
              <w:jc w:val="right"/>
              <w:cnfStyle w:val="100000000000" w:firstRow="1" w:lastRow="0" w:firstColumn="0" w:lastColumn="0" w:oddVBand="0" w:evenVBand="0" w:oddHBand="0" w:evenHBand="0" w:firstRowFirstColumn="0" w:firstRowLastColumn="0" w:lastRowFirstColumn="0" w:lastRowLastColumn="0"/>
              <w:rPr>
                <w:rFonts w:ascii="Arial" w:eastAsia="Calibri" w:hAnsi="Arial"/>
                <w:noProof/>
                <w:sz w:val="18"/>
                <w:szCs w:val="18"/>
              </w:rPr>
            </w:pPr>
            <w:r w:rsidRPr="3982CBDC">
              <w:rPr>
                <w:rFonts w:ascii="Arial" w:eastAsia="Calibri" w:hAnsi="Arial"/>
                <w:noProof/>
                <w:sz w:val="18"/>
                <w:szCs w:val="18"/>
              </w:rPr>
              <w:t>2010</w:t>
            </w:r>
          </w:p>
        </w:tc>
        <w:tc>
          <w:tcPr>
            <w:tcW w:w="652" w:type="dxa"/>
            <w:tcBorders>
              <w:top w:val="single" w:sz="6" w:space="0" w:color="auto"/>
              <w:left w:val="single" w:sz="6" w:space="0" w:color="auto"/>
              <w:bottom w:val="single" w:sz="6" w:space="0" w:color="auto"/>
              <w:right w:val="single" w:sz="6" w:space="0" w:color="auto"/>
            </w:tcBorders>
            <w:shd w:val="clear" w:color="auto" w:fill="003300"/>
            <w:hideMark/>
          </w:tcPr>
          <w:p w14:paraId="55B56A75" w14:textId="77777777" w:rsidR="008E12F8" w:rsidRPr="008E12F8" w:rsidRDefault="3982CBDC" w:rsidP="3982CBDC">
            <w:pPr>
              <w:keepNext/>
              <w:keepLines/>
              <w:spacing w:before="60" w:after="60"/>
              <w:jc w:val="right"/>
              <w:cnfStyle w:val="100000000000" w:firstRow="1" w:lastRow="0" w:firstColumn="0" w:lastColumn="0" w:oddVBand="0" w:evenVBand="0" w:oddHBand="0" w:evenHBand="0" w:firstRowFirstColumn="0" w:firstRowLastColumn="0" w:lastRowFirstColumn="0" w:lastRowLastColumn="0"/>
              <w:rPr>
                <w:rFonts w:ascii="Arial" w:eastAsia="Calibri" w:hAnsi="Arial"/>
                <w:noProof/>
                <w:sz w:val="18"/>
                <w:szCs w:val="18"/>
              </w:rPr>
            </w:pPr>
            <w:r w:rsidRPr="3982CBDC">
              <w:rPr>
                <w:rFonts w:ascii="Arial" w:eastAsia="Calibri" w:hAnsi="Arial"/>
                <w:noProof/>
                <w:sz w:val="18"/>
                <w:szCs w:val="18"/>
              </w:rPr>
              <w:t>2011</w:t>
            </w:r>
          </w:p>
        </w:tc>
        <w:tc>
          <w:tcPr>
            <w:tcW w:w="652" w:type="dxa"/>
            <w:tcBorders>
              <w:top w:val="single" w:sz="6" w:space="0" w:color="auto"/>
              <w:left w:val="single" w:sz="6" w:space="0" w:color="auto"/>
              <w:bottom w:val="single" w:sz="6" w:space="0" w:color="auto"/>
              <w:right w:val="single" w:sz="6" w:space="0" w:color="auto"/>
            </w:tcBorders>
            <w:shd w:val="clear" w:color="auto" w:fill="003300"/>
            <w:hideMark/>
          </w:tcPr>
          <w:p w14:paraId="2BC1FDE5" w14:textId="77777777" w:rsidR="008E12F8" w:rsidRPr="008E12F8" w:rsidRDefault="3982CBDC" w:rsidP="3982CBDC">
            <w:pPr>
              <w:keepNext/>
              <w:keepLines/>
              <w:spacing w:before="60" w:after="60"/>
              <w:jc w:val="right"/>
              <w:cnfStyle w:val="100000000000" w:firstRow="1" w:lastRow="0" w:firstColumn="0" w:lastColumn="0" w:oddVBand="0" w:evenVBand="0" w:oddHBand="0" w:evenHBand="0" w:firstRowFirstColumn="0" w:firstRowLastColumn="0" w:lastRowFirstColumn="0" w:lastRowLastColumn="0"/>
              <w:rPr>
                <w:rFonts w:ascii="Arial" w:eastAsia="Calibri" w:hAnsi="Arial"/>
                <w:noProof/>
                <w:sz w:val="18"/>
                <w:szCs w:val="18"/>
              </w:rPr>
            </w:pPr>
            <w:r w:rsidRPr="3982CBDC">
              <w:rPr>
                <w:rFonts w:ascii="Arial" w:eastAsia="Calibri" w:hAnsi="Arial"/>
                <w:noProof/>
                <w:sz w:val="18"/>
                <w:szCs w:val="18"/>
              </w:rPr>
              <w:t>2012</w:t>
            </w:r>
          </w:p>
        </w:tc>
        <w:tc>
          <w:tcPr>
            <w:tcW w:w="652" w:type="dxa"/>
            <w:tcBorders>
              <w:top w:val="single" w:sz="6" w:space="0" w:color="auto"/>
              <w:left w:val="single" w:sz="6" w:space="0" w:color="auto"/>
              <w:bottom w:val="single" w:sz="6" w:space="0" w:color="auto"/>
              <w:right w:val="single" w:sz="6" w:space="0" w:color="auto"/>
            </w:tcBorders>
            <w:shd w:val="clear" w:color="auto" w:fill="003300"/>
            <w:hideMark/>
          </w:tcPr>
          <w:p w14:paraId="4C36098A" w14:textId="77777777" w:rsidR="008E12F8" w:rsidRPr="008E12F8" w:rsidRDefault="3982CBDC" w:rsidP="3982CBDC">
            <w:pPr>
              <w:keepNext/>
              <w:keepLines/>
              <w:spacing w:before="60" w:after="60"/>
              <w:jc w:val="right"/>
              <w:cnfStyle w:val="100000000000" w:firstRow="1" w:lastRow="0" w:firstColumn="0" w:lastColumn="0" w:oddVBand="0" w:evenVBand="0" w:oddHBand="0" w:evenHBand="0" w:firstRowFirstColumn="0" w:firstRowLastColumn="0" w:lastRowFirstColumn="0" w:lastRowLastColumn="0"/>
              <w:rPr>
                <w:rFonts w:ascii="Arial" w:eastAsia="Calibri" w:hAnsi="Arial"/>
                <w:noProof/>
                <w:sz w:val="18"/>
                <w:szCs w:val="18"/>
              </w:rPr>
            </w:pPr>
            <w:r w:rsidRPr="3982CBDC">
              <w:rPr>
                <w:rFonts w:ascii="Arial" w:eastAsia="Calibri" w:hAnsi="Arial"/>
                <w:noProof/>
                <w:sz w:val="18"/>
                <w:szCs w:val="18"/>
              </w:rPr>
              <w:t>2013</w:t>
            </w:r>
          </w:p>
        </w:tc>
        <w:tc>
          <w:tcPr>
            <w:tcW w:w="651" w:type="dxa"/>
            <w:tcBorders>
              <w:top w:val="single" w:sz="6" w:space="0" w:color="auto"/>
              <w:left w:val="single" w:sz="6" w:space="0" w:color="auto"/>
              <w:bottom w:val="single" w:sz="6" w:space="0" w:color="auto"/>
              <w:right w:val="single" w:sz="6" w:space="0" w:color="auto"/>
            </w:tcBorders>
            <w:shd w:val="clear" w:color="auto" w:fill="003300"/>
            <w:hideMark/>
          </w:tcPr>
          <w:p w14:paraId="5018DAAF" w14:textId="77777777" w:rsidR="008E12F8" w:rsidRPr="008E12F8" w:rsidRDefault="3982CBDC" w:rsidP="3982CBDC">
            <w:pPr>
              <w:keepNext/>
              <w:keepLines/>
              <w:spacing w:before="60" w:after="60"/>
              <w:jc w:val="right"/>
              <w:cnfStyle w:val="100000000000" w:firstRow="1" w:lastRow="0" w:firstColumn="0" w:lastColumn="0" w:oddVBand="0" w:evenVBand="0" w:oddHBand="0" w:evenHBand="0" w:firstRowFirstColumn="0" w:firstRowLastColumn="0" w:lastRowFirstColumn="0" w:lastRowLastColumn="0"/>
              <w:rPr>
                <w:rFonts w:ascii="Arial" w:eastAsia="Calibri" w:hAnsi="Arial"/>
                <w:noProof/>
                <w:sz w:val="18"/>
                <w:szCs w:val="18"/>
              </w:rPr>
            </w:pPr>
            <w:r w:rsidRPr="3982CBDC">
              <w:rPr>
                <w:rFonts w:ascii="Arial" w:eastAsia="Calibri" w:hAnsi="Arial"/>
                <w:noProof/>
                <w:sz w:val="18"/>
                <w:szCs w:val="18"/>
              </w:rPr>
              <w:t>2014</w:t>
            </w:r>
          </w:p>
        </w:tc>
        <w:tc>
          <w:tcPr>
            <w:tcW w:w="651" w:type="dxa"/>
            <w:tcBorders>
              <w:top w:val="single" w:sz="6" w:space="0" w:color="auto"/>
              <w:left w:val="single" w:sz="6" w:space="0" w:color="auto"/>
              <w:bottom w:val="single" w:sz="6" w:space="0" w:color="auto"/>
              <w:right w:val="single" w:sz="6" w:space="0" w:color="auto"/>
            </w:tcBorders>
            <w:shd w:val="clear" w:color="auto" w:fill="003300"/>
            <w:hideMark/>
          </w:tcPr>
          <w:p w14:paraId="648A4676" w14:textId="77777777" w:rsidR="008E12F8" w:rsidRPr="008E12F8" w:rsidRDefault="3982CBDC" w:rsidP="3982CBDC">
            <w:pPr>
              <w:keepNext/>
              <w:keepLines/>
              <w:spacing w:before="60" w:after="60"/>
              <w:jc w:val="right"/>
              <w:cnfStyle w:val="100000000000" w:firstRow="1" w:lastRow="0" w:firstColumn="0" w:lastColumn="0" w:oddVBand="0" w:evenVBand="0" w:oddHBand="0" w:evenHBand="0" w:firstRowFirstColumn="0" w:firstRowLastColumn="0" w:lastRowFirstColumn="0" w:lastRowLastColumn="0"/>
              <w:rPr>
                <w:rFonts w:ascii="Arial" w:eastAsia="Calibri" w:hAnsi="Arial"/>
                <w:noProof/>
                <w:sz w:val="18"/>
                <w:szCs w:val="18"/>
              </w:rPr>
            </w:pPr>
            <w:r w:rsidRPr="3982CBDC">
              <w:rPr>
                <w:rFonts w:ascii="Arial" w:eastAsia="Calibri" w:hAnsi="Arial"/>
                <w:noProof/>
                <w:sz w:val="18"/>
                <w:szCs w:val="18"/>
              </w:rPr>
              <w:t>2015</w:t>
            </w:r>
          </w:p>
        </w:tc>
        <w:tc>
          <w:tcPr>
            <w:tcW w:w="651" w:type="dxa"/>
            <w:tcBorders>
              <w:top w:val="single" w:sz="6" w:space="0" w:color="auto"/>
              <w:left w:val="single" w:sz="6" w:space="0" w:color="auto"/>
              <w:bottom w:val="single" w:sz="6" w:space="0" w:color="auto"/>
              <w:right w:val="single" w:sz="6" w:space="0" w:color="auto"/>
            </w:tcBorders>
            <w:shd w:val="clear" w:color="auto" w:fill="003300"/>
            <w:hideMark/>
          </w:tcPr>
          <w:p w14:paraId="27BE035F" w14:textId="77777777" w:rsidR="008E12F8" w:rsidRPr="008E12F8" w:rsidRDefault="3982CBDC" w:rsidP="3982CBDC">
            <w:pPr>
              <w:keepNext/>
              <w:keepLines/>
              <w:spacing w:before="60" w:after="60"/>
              <w:jc w:val="right"/>
              <w:cnfStyle w:val="100000000000" w:firstRow="1" w:lastRow="0" w:firstColumn="0" w:lastColumn="0" w:oddVBand="0" w:evenVBand="0" w:oddHBand="0" w:evenHBand="0" w:firstRowFirstColumn="0" w:firstRowLastColumn="0" w:lastRowFirstColumn="0" w:lastRowLastColumn="0"/>
              <w:rPr>
                <w:rFonts w:ascii="Arial" w:eastAsia="Calibri" w:hAnsi="Arial"/>
                <w:noProof/>
                <w:sz w:val="18"/>
                <w:szCs w:val="18"/>
              </w:rPr>
            </w:pPr>
            <w:r w:rsidRPr="3982CBDC">
              <w:rPr>
                <w:rFonts w:ascii="Arial" w:eastAsia="Calibri" w:hAnsi="Arial"/>
                <w:noProof/>
                <w:sz w:val="18"/>
                <w:szCs w:val="18"/>
              </w:rPr>
              <w:t>2016</w:t>
            </w:r>
          </w:p>
        </w:tc>
        <w:tc>
          <w:tcPr>
            <w:tcW w:w="651" w:type="dxa"/>
            <w:tcBorders>
              <w:top w:val="single" w:sz="6" w:space="0" w:color="auto"/>
              <w:left w:val="single" w:sz="6" w:space="0" w:color="auto"/>
              <w:bottom w:val="single" w:sz="6" w:space="0" w:color="auto"/>
              <w:right w:val="single" w:sz="6" w:space="0" w:color="auto"/>
            </w:tcBorders>
            <w:shd w:val="clear" w:color="auto" w:fill="003300"/>
            <w:hideMark/>
          </w:tcPr>
          <w:p w14:paraId="3F941992" w14:textId="77777777" w:rsidR="008E12F8" w:rsidRPr="008E12F8" w:rsidRDefault="3982CBDC" w:rsidP="3982CBDC">
            <w:pPr>
              <w:keepNext/>
              <w:keepLines/>
              <w:spacing w:before="60" w:after="60"/>
              <w:jc w:val="right"/>
              <w:cnfStyle w:val="100000000000" w:firstRow="1" w:lastRow="0" w:firstColumn="0" w:lastColumn="0" w:oddVBand="0" w:evenVBand="0" w:oddHBand="0" w:evenHBand="0" w:firstRowFirstColumn="0" w:firstRowLastColumn="0" w:lastRowFirstColumn="0" w:lastRowLastColumn="0"/>
              <w:rPr>
                <w:rFonts w:ascii="Arial" w:eastAsia="Calibri" w:hAnsi="Arial"/>
                <w:noProof/>
                <w:sz w:val="18"/>
                <w:szCs w:val="18"/>
              </w:rPr>
            </w:pPr>
            <w:r w:rsidRPr="3982CBDC">
              <w:rPr>
                <w:rFonts w:ascii="Arial" w:eastAsia="Calibri" w:hAnsi="Arial"/>
                <w:noProof/>
                <w:sz w:val="18"/>
                <w:szCs w:val="18"/>
              </w:rPr>
              <w:t>2017</w:t>
            </w:r>
          </w:p>
        </w:tc>
        <w:tc>
          <w:tcPr>
            <w:tcW w:w="651" w:type="dxa"/>
            <w:tcBorders>
              <w:top w:val="single" w:sz="6" w:space="0" w:color="auto"/>
              <w:left w:val="single" w:sz="6" w:space="0" w:color="auto"/>
              <w:bottom w:val="single" w:sz="6" w:space="0" w:color="auto"/>
              <w:right w:val="single" w:sz="6" w:space="0" w:color="auto"/>
            </w:tcBorders>
            <w:shd w:val="clear" w:color="auto" w:fill="003300"/>
            <w:hideMark/>
          </w:tcPr>
          <w:p w14:paraId="2FA5C983" w14:textId="77777777" w:rsidR="008E12F8" w:rsidRPr="008E12F8" w:rsidRDefault="3982CBDC" w:rsidP="3982CBDC">
            <w:pPr>
              <w:keepNext/>
              <w:keepLines/>
              <w:spacing w:before="60" w:after="60"/>
              <w:jc w:val="right"/>
              <w:cnfStyle w:val="100000000000" w:firstRow="1" w:lastRow="0" w:firstColumn="0" w:lastColumn="0" w:oddVBand="0" w:evenVBand="0" w:oddHBand="0" w:evenHBand="0" w:firstRowFirstColumn="0" w:firstRowLastColumn="0" w:lastRowFirstColumn="0" w:lastRowLastColumn="0"/>
              <w:rPr>
                <w:rFonts w:ascii="Arial" w:eastAsia="Calibri" w:hAnsi="Arial"/>
                <w:noProof/>
                <w:sz w:val="18"/>
                <w:szCs w:val="18"/>
              </w:rPr>
            </w:pPr>
            <w:r w:rsidRPr="3982CBDC">
              <w:rPr>
                <w:rFonts w:ascii="Arial" w:eastAsia="Calibri" w:hAnsi="Arial"/>
                <w:noProof/>
                <w:sz w:val="18"/>
                <w:szCs w:val="18"/>
              </w:rPr>
              <w:t>2018</w:t>
            </w:r>
          </w:p>
        </w:tc>
        <w:tc>
          <w:tcPr>
            <w:tcW w:w="645" w:type="dxa"/>
            <w:tcBorders>
              <w:top w:val="single" w:sz="6" w:space="0" w:color="auto"/>
              <w:left w:val="single" w:sz="6" w:space="0" w:color="auto"/>
              <w:bottom w:val="single" w:sz="6" w:space="0" w:color="auto"/>
              <w:right w:val="single" w:sz="6" w:space="0" w:color="auto"/>
            </w:tcBorders>
            <w:shd w:val="clear" w:color="auto" w:fill="003300"/>
            <w:hideMark/>
          </w:tcPr>
          <w:p w14:paraId="06306768" w14:textId="77777777" w:rsidR="008E12F8" w:rsidRPr="008E12F8" w:rsidRDefault="3982CBDC" w:rsidP="3982CBDC">
            <w:pPr>
              <w:keepNext/>
              <w:keepLines/>
              <w:spacing w:before="60" w:after="60"/>
              <w:jc w:val="right"/>
              <w:cnfStyle w:val="100000000000" w:firstRow="1" w:lastRow="0" w:firstColumn="0" w:lastColumn="0" w:oddVBand="0" w:evenVBand="0" w:oddHBand="0" w:evenHBand="0" w:firstRowFirstColumn="0" w:firstRowLastColumn="0" w:lastRowFirstColumn="0" w:lastRowLastColumn="0"/>
              <w:rPr>
                <w:rFonts w:ascii="Arial" w:eastAsia="Calibri" w:hAnsi="Arial"/>
                <w:noProof/>
                <w:sz w:val="18"/>
                <w:szCs w:val="18"/>
              </w:rPr>
            </w:pPr>
            <w:r w:rsidRPr="3982CBDC">
              <w:rPr>
                <w:rFonts w:ascii="Arial" w:eastAsia="Calibri" w:hAnsi="Arial"/>
                <w:noProof/>
                <w:sz w:val="18"/>
                <w:szCs w:val="18"/>
              </w:rPr>
              <w:t>2019</w:t>
            </w:r>
          </w:p>
        </w:tc>
      </w:tr>
      <w:tr w:rsidR="008E12F8" w:rsidRPr="008E12F8" w14:paraId="591C05EF" w14:textId="77777777" w:rsidTr="3F3807E4">
        <w:tc>
          <w:tcPr>
            <w:cnfStyle w:val="001000000000" w:firstRow="0" w:lastRow="0" w:firstColumn="1" w:lastColumn="0" w:oddVBand="0" w:evenVBand="0" w:oddHBand="0" w:evenHBand="0" w:firstRowFirstColumn="0" w:firstRowLastColumn="0" w:lastRowFirstColumn="0" w:lastRowLastColumn="0"/>
            <w:tcW w:w="2501" w:type="dxa"/>
            <w:hideMark/>
          </w:tcPr>
          <w:p w14:paraId="18EE71C3" w14:textId="77777777" w:rsidR="008E12F8" w:rsidRPr="008E12F8" w:rsidRDefault="3982CBDC" w:rsidP="3982CBDC">
            <w:pPr>
              <w:keepNext/>
              <w:keepLines/>
              <w:spacing w:before="60" w:after="60"/>
              <w:rPr>
                <w:rFonts w:ascii="Arial" w:eastAsia="Calibri" w:hAnsi="Arial"/>
                <w:noProof/>
                <w:sz w:val="18"/>
                <w:szCs w:val="18"/>
              </w:rPr>
            </w:pPr>
            <w:r w:rsidRPr="3982CBDC">
              <w:rPr>
                <w:rFonts w:ascii="Arial" w:eastAsia="Calibri" w:hAnsi="Arial"/>
                <w:noProof/>
                <w:sz w:val="18"/>
                <w:szCs w:val="18"/>
              </w:rPr>
              <w:t>UNFCCC</w:t>
            </w:r>
          </w:p>
        </w:tc>
        <w:tc>
          <w:tcPr>
            <w:tcW w:w="653" w:type="dxa"/>
            <w:tcBorders>
              <w:top w:val="single" w:sz="6" w:space="0" w:color="auto"/>
              <w:left w:val="single" w:sz="6" w:space="0" w:color="auto"/>
              <w:bottom w:val="single" w:sz="6" w:space="0" w:color="auto"/>
              <w:right w:val="single" w:sz="6" w:space="0" w:color="auto"/>
            </w:tcBorders>
            <w:hideMark/>
          </w:tcPr>
          <w:p w14:paraId="0E8F0A07"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color w:val="000000" w:themeColor="text1"/>
                <w:sz w:val="18"/>
                <w:szCs w:val="18"/>
              </w:rPr>
            </w:pPr>
            <w:r w:rsidRPr="3982CBDC">
              <w:rPr>
                <w:rFonts w:ascii="Arial" w:eastAsia="Calibri" w:hAnsi="Arial" w:cs="Arial"/>
                <w:noProof/>
                <w:sz w:val="18"/>
                <w:szCs w:val="18"/>
              </w:rPr>
              <w:t>110</w:t>
            </w:r>
          </w:p>
        </w:tc>
        <w:tc>
          <w:tcPr>
            <w:tcW w:w="652" w:type="dxa"/>
            <w:tcBorders>
              <w:top w:val="single" w:sz="6" w:space="0" w:color="auto"/>
              <w:left w:val="single" w:sz="6" w:space="0" w:color="auto"/>
              <w:bottom w:val="single" w:sz="6" w:space="0" w:color="auto"/>
              <w:right w:val="single" w:sz="6" w:space="0" w:color="auto"/>
            </w:tcBorders>
            <w:hideMark/>
          </w:tcPr>
          <w:p w14:paraId="20806D43"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color w:val="000000" w:themeColor="text1"/>
                <w:sz w:val="18"/>
                <w:szCs w:val="18"/>
              </w:rPr>
            </w:pPr>
            <w:r w:rsidRPr="3982CBDC">
              <w:rPr>
                <w:rFonts w:ascii="Arial" w:eastAsia="Calibri" w:hAnsi="Arial" w:cs="Arial"/>
                <w:noProof/>
                <w:sz w:val="18"/>
                <w:szCs w:val="18"/>
              </w:rPr>
              <w:t>114</w:t>
            </w:r>
          </w:p>
        </w:tc>
        <w:tc>
          <w:tcPr>
            <w:tcW w:w="652" w:type="dxa"/>
            <w:tcBorders>
              <w:top w:val="single" w:sz="6" w:space="0" w:color="auto"/>
              <w:left w:val="single" w:sz="6" w:space="0" w:color="auto"/>
              <w:bottom w:val="single" w:sz="6" w:space="0" w:color="auto"/>
              <w:right w:val="single" w:sz="6" w:space="0" w:color="auto"/>
            </w:tcBorders>
            <w:hideMark/>
          </w:tcPr>
          <w:p w14:paraId="79EC5816"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color w:val="000000" w:themeColor="text1"/>
                <w:sz w:val="18"/>
                <w:szCs w:val="18"/>
              </w:rPr>
            </w:pPr>
            <w:r w:rsidRPr="3982CBDC">
              <w:rPr>
                <w:rFonts w:ascii="Arial" w:eastAsia="Calibri" w:hAnsi="Arial" w:cs="Arial"/>
                <w:noProof/>
                <w:sz w:val="18"/>
                <w:szCs w:val="18"/>
              </w:rPr>
              <w:t>117</w:t>
            </w:r>
          </w:p>
        </w:tc>
        <w:tc>
          <w:tcPr>
            <w:tcW w:w="652" w:type="dxa"/>
            <w:tcBorders>
              <w:top w:val="single" w:sz="6" w:space="0" w:color="auto"/>
              <w:left w:val="single" w:sz="6" w:space="0" w:color="auto"/>
              <w:bottom w:val="single" w:sz="6" w:space="0" w:color="auto"/>
              <w:right w:val="single" w:sz="6" w:space="0" w:color="auto"/>
            </w:tcBorders>
            <w:hideMark/>
          </w:tcPr>
          <w:p w14:paraId="7AFC3F65"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color w:val="000000" w:themeColor="text1"/>
                <w:sz w:val="18"/>
                <w:szCs w:val="18"/>
              </w:rPr>
            </w:pPr>
            <w:r w:rsidRPr="3982CBDC">
              <w:rPr>
                <w:rFonts w:ascii="Arial" w:eastAsia="Calibri" w:hAnsi="Arial" w:cs="Arial"/>
                <w:noProof/>
                <w:sz w:val="18"/>
                <w:szCs w:val="18"/>
              </w:rPr>
              <w:t>120</w:t>
            </w:r>
          </w:p>
        </w:tc>
        <w:tc>
          <w:tcPr>
            <w:tcW w:w="651" w:type="dxa"/>
            <w:tcBorders>
              <w:top w:val="single" w:sz="6" w:space="0" w:color="auto"/>
              <w:left w:val="single" w:sz="6" w:space="0" w:color="auto"/>
              <w:bottom w:val="single" w:sz="6" w:space="0" w:color="auto"/>
              <w:right w:val="single" w:sz="6" w:space="0" w:color="auto"/>
            </w:tcBorders>
            <w:hideMark/>
          </w:tcPr>
          <w:p w14:paraId="3A190C30"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color w:val="000000" w:themeColor="text1"/>
                <w:sz w:val="18"/>
                <w:szCs w:val="18"/>
              </w:rPr>
            </w:pPr>
            <w:r w:rsidRPr="3982CBDC">
              <w:rPr>
                <w:rFonts w:ascii="Arial" w:eastAsia="Calibri" w:hAnsi="Arial" w:cs="Arial"/>
                <w:noProof/>
                <w:sz w:val="18"/>
                <w:szCs w:val="18"/>
              </w:rPr>
              <w:t>122</w:t>
            </w:r>
          </w:p>
        </w:tc>
        <w:tc>
          <w:tcPr>
            <w:tcW w:w="651" w:type="dxa"/>
            <w:tcBorders>
              <w:top w:val="single" w:sz="6" w:space="0" w:color="auto"/>
              <w:left w:val="single" w:sz="6" w:space="0" w:color="auto"/>
              <w:bottom w:val="single" w:sz="6" w:space="0" w:color="auto"/>
              <w:right w:val="single" w:sz="6" w:space="0" w:color="auto"/>
            </w:tcBorders>
            <w:hideMark/>
          </w:tcPr>
          <w:p w14:paraId="6DF56913"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color w:val="000000" w:themeColor="text1"/>
                <w:sz w:val="18"/>
                <w:szCs w:val="18"/>
              </w:rPr>
            </w:pPr>
            <w:r w:rsidRPr="3982CBDC">
              <w:rPr>
                <w:rFonts w:ascii="Arial" w:eastAsia="Calibri" w:hAnsi="Arial" w:cs="Arial"/>
                <w:noProof/>
                <w:sz w:val="18"/>
                <w:szCs w:val="18"/>
              </w:rPr>
              <w:t>116</w:t>
            </w:r>
          </w:p>
        </w:tc>
        <w:tc>
          <w:tcPr>
            <w:tcW w:w="651" w:type="dxa"/>
            <w:tcBorders>
              <w:top w:val="single" w:sz="6" w:space="0" w:color="auto"/>
              <w:left w:val="single" w:sz="6" w:space="0" w:color="auto"/>
              <w:bottom w:val="single" w:sz="6" w:space="0" w:color="auto"/>
              <w:right w:val="single" w:sz="6" w:space="0" w:color="auto"/>
            </w:tcBorders>
            <w:hideMark/>
          </w:tcPr>
          <w:p w14:paraId="7ACCDD5C"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color w:val="000000" w:themeColor="text1"/>
                <w:sz w:val="18"/>
                <w:szCs w:val="18"/>
              </w:rPr>
            </w:pPr>
            <w:r w:rsidRPr="3982CBDC">
              <w:rPr>
                <w:rFonts w:ascii="Arial" w:eastAsia="Calibri" w:hAnsi="Arial" w:cs="Arial"/>
                <w:noProof/>
                <w:sz w:val="18"/>
                <w:szCs w:val="18"/>
              </w:rPr>
              <w:t>117</w:t>
            </w:r>
          </w:p>
        </w:tc>
        <w:tc>
          <w:tcPr>
            <w:tcW w:w="651" w:type="dxa"/>
            <w:tcBorders>
              <w:top w:val="single" w:sz="6" w:space="0" w:color="auto"/>
              <w:left w:val="single" w:sz="6" w:space="0" w:color="auto"/>
              <w:bottom w:val="single" w:sz="6" w:space="0" w:color="auto"/>
              <w:right w:val="single" w:sz="6" w:space="0" w:color="auto"/>
            </w:tcBorders>
            <w:hideMark/>
          </w:tcPr>
          <w:p w14:paraId="2054FC26"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color w:val="000000" w:themeColor="text1"/>
                <w:sz w:val="18"/>
                <w:szCs w:val="18"/>
              </w:rPr>
            </w:pPr>
            <w:r w:rsidRPr="3982CBDC">
              <w:rPr>
                <w:rFonts w:ascii="Arial" w:eastAsia="Calibri" w:hAnsi="Arial" w:cs="Arial"/>
                <w:noProof/>
                <w:sz w:val="18"/>
                <w:szCs w:val="18"/>
              </w:rPr>
              <w:t>116</w:t>
            </w:r>
          </w:p>
        </w:tc>
        <w:tc>
          <w:tcPr>
            <w:tcW w:w="651" w:type="dxa"/>
            <w:tcBorders>
              <w:top w:val="single" w:sz="6" w:space="0" w:color="auto"/>
              <w:left w:val="single" w:sz="6" w:space="0" w:color="auto"/>
              <w:bottom w:val="single" w:sz="6" w:space="0" w:color="auto"/>
              <w:right w:val="single" w:sz="6" w:space="0" w:color="auto"/>
            </w:tcBorders>
            <w:hideMark/>
          </w:tcPr>
          <w:p w14:paraId="7759FCAB"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color w:val="000000" w:themeColor="text1"/>
                <w:sz w:val="18"/>
                <w:szCs w:val="18"/>
              </w:rPr>
            </w:pPr>
            <w:r w:rsidRPr="3982CBDC">
              <w:rPr>
                <w:rFonts w:ascii="Arial" w:eastAsia="Calibri" w:hAnsi="Arial" w:cs="Arial"/>
                <w:noProof/>
                <w:sz w:val="18"/>
                <w:szCs w:val="18"/>
              </w:rPr>
              <w:t>111</w:t>
            </w:r>
          </w:p>
        </w:tc>
        <w:tc>
          <w:tcPr>
            <w:tcW w:w="645" w:type="dxa"/>
            <w:tcBorders>
              <w:top w:val="single" w:sz="6" w:space="0" w:color="auto"/>
              <w:left w:val="single" w:sz="6" w:space="0" w:color="auto"/>
              <w:bottom w:val="single" w:sz="6" w:space="0" w:color="auto"/>
              <w:right w:val="single" w:sz="6" w:space="0" w:color="auto"/>
            </w:tcBorders>
            <w:hideMark/>
          </w:tcPr>
          <w:p w14:paraId="523F152B"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noProof/>
                <w:sz w:val="18"/>
                <w:szCs w:val="18"/>
              </w:rPr>
            </w:pPr>
            <w:r w:rsidRPr="3982CBDC">
              <w:rPr>
                <w:rFonts w:ascii="Arial" w:eastAsia="Calibri" w:hAnsi="Arial" w:cs="Arial"/>
                <w:noProof/>
                <w:sz w:val="18"/>
                <w:szCs w:val="18"/>
              </w:rPr>
              <w:t>106</w:t>
            </w:r>
          </w:p>
        </w:tc>
      </w:tr>
      <w:tr w:rsidR="008E12F8" w:rsidRPr="008E12F8" w14:paraId="55B91070" w14:textId="77777777" w:rsidTr="3F3807E4">
        <w:tc>
          <w:tcPr>
            <w:cnfStyle w:val="001000000000" w:firstRow="0" w:lastRow="0" w:firstColumn="1" w:lastColumn="0" w:oddVBand="0" w:evenVBand="0" w:oddHBand="0" w:evenHBand="0" w:firstRowFirstColumn="0" w:firstRowLastColumn="0" w:lastRowFirstColumn="0" w:lastRowLastColumn="0"/>
            <w:tcW w:w="2501" w:type="dxa"/>
            <w:hideMark/>
          </w:tcPr>
          <w:p w14:paraId="231C9092" w14:textId="77777777" w:rsidR="008E12F8" w:rsidRPr="008E12F8" w:rsidRDefault="3982CBDC" w:rsidP="3982CBDC">
            <w:pPr>
              <w:keepNext/>
              <w:keepLines/>
              <w:spacing w:before="60" w:after="60"/>
              <w:rPr>
                <w:rFonts w:ascii="Arial" w:eastAsia="Calibri" w:hAnsi="Arial"/>
                <w:noProof/>
                <w:sz w:val="18"/>
                <w:szCs w:val="18"/>
              </w:rPr>
            </w:pPr>
            <w:r w:rsidRPr="3982CBDC">
              <w:rPr>
                <w:rFonts w:ascii="Arial" w:eastAsia="Calibri" w:hAnsi="Arial"/>
                <w:noProof/>
                <w:sz w:val="18"/>
                <w:szCs w:val="18"/>
              </w:rPr>
              <w:t>AnaFgas</w:t>
            </w:r>
          </w:p>
        </w:tc>
        <w:tc>
          <w:tcPr>
            <w:tcW w:w="653" w:type="dxa"/>
            <w:tcBorders>
              <w:top w:val="single" w:sz="6" w:space="0" w:color="auto"/>
              <w:left w:val="single" w:sz="6" w:space="0" w:color="auto"/>
              <w:bottom w:val="single" w:sz="6" w:space="0" w:color="auto"/>
              <w:right w:val="single" w:sz="6" w:space="0" w:color="auto"/>
            </w:tcBorders>
            <w:hideMark/>
          </w:tcPr>
          <w:p w14:paraId="19E2F65A"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8"/>
                <w:szCs w:val="18"/>
              </w:rPr>
            </w:pPr>
            <w:r w:rsidRPr="3982CBDC">
              <w:rPr>
                <w:rFonts w:ascii="Arial" w:eastAsia="Calibri" w:hAnsi="Arial" w:cs="Arial"/>
                <w:noProof/>
                <w:sz w:val="18"/>
                <w:szCs w:val="18"/>
              </w:rPr>
              <w:t>119</w:t>
            </w:r>
          </w:p>
        </w:tc>
        <w:tc>
          <w:tcPr>
            <w:tcW w:w="652" w:type="dxa"/>
            <w:tcBorders>
              <w:top w:val="single" w:sz="6" w:space="0" w:color="auto"/>
              <w:left w:val="single" w:sz="6" w:space="0" w:color="auto"/>
              <w:bottom w:val="single" w:sz="6" w:space="0" w:color="auto"/>
              <w:right w:val="single" w:sz="6" w:space="0" w:color="auto"/>
            </w:tcBorders>
            <w:hideMark/>
          </w:tcPr>
          <w:p w14:paraId="33118ED9"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8"/>
                <w:szCs w:val="18"/>
              </w:rPr>
            </w:pPr>
            <w:r w:rsidRPr="3982CBDC">
              <w:rPr>
                <w:rFonts w:ascii="Arial" w:eastAsia="Calibri" w:hAnsi="Arial" w:cs="Arial"/>
                <w:noProof/>
                <w:sz w:val="18"/>
                <w:szCs w:val="18"/>
              </w:rPr>
              <w:t>121</w:t>
            </w:r>
          </w:p>
        </w:tc>
        <w:tc>
          <w:tcPr>
            <w:tcW w:w="652" w:type="dxa"/>
            <w:tcBorders>
              <w:top w:val="single" w:sz="6" w:space="0" w:color="auto"/>
              <w:left w:val="single" w:sz="6" w:space="0" w:color="auto"/>
              <w:bottom w:val="single" w:sz="6" w:space="0" w:color="auto"/>
              <w:right w:val="single" w:sz="6" w:space="0" w:color="auto"/>
            </w:tcBorders>
            <w:hideMark/>
          </w:tcPr>
          <w:p w14:paraId="43A1DE7E"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8"/>
                <w:szCs w:val="18"/>
              </w:rPr>
            </w:pPr>
            <w:r w:rsidRPr="3982CBDC">
              <w:rPr>
                <w:rFonts w:ascii="Arial" w:eastAsia="Calibri" w:hAnsi="Arial" w:cs="Arial"/>
                <w:noProof/>
                <w:sz w:val="18"/>
                <w:szCs w:val="18"/>
              </w:rPr>
              <w:t>122</w:t>
            </w:r>
          </w:p>
        </w:tc>
        <w:tc>
          <w:tcPr>
            <w:tcW w:w="652" w:type="dxa"/>
            <w:tcBorders>
              <w:top w:val="single" w:sz="6" w:space="0" w:color="auto"/>
              <w:left w:val="single" w:sz="6" w:space="0" w:color="auto"/>
              <w:bottom w:val="single" w:sz="6" w:space="0" w:color="auto"/>
              <w:right w:val="single" w:sz="6" w:space="0" w:color="auto"/>
            </w:tcBorders>
            <w:hideMark/>
          </w:tcPr>
          <w:p w14:paraId="33E16270"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8"/>
                <w:szCs w:val="18"/>
              </w:rPr>
            </w:pPr>
            <w:r w:rsidRPr="3982CBDC">
              <w:rPr>
                <w:rFonts w:ascii="Arial" w:eastAsia="Calibri" w:hAnsi="Arial" w:cs="Arial"/>
                <w:noProof/>
                <w:sz w:val="18"/>
                <w:szCs w:val="18"/>
              </w:rPr>
              <w:t>122</w:t>
            </w:r>
          </w:p>
        </w:tc>
        <w:tc>
          <w:tcPr>
            <w:tcW w:w="651" w:type="dxa"/>
            <w:tcBorders>
              <w:top w:val="single" w:sz="6" w:space="0" w:color="auto"/>
              <w:left w:val="single" w:sz="6" w:space="0" w:color="auto"/>
              <w:bottom w:val="single" w:sz="6" w:space="0" w:color="auto"/>
              <w:right w:val="single" w:sz="6" w:space="0" w:color="auto"/>
            </w:tcBorders>
            <w:hideMark/>
          </w:tcPr>
          <w:p w14:paraId="688A3448"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8"/>
                <w:szCs w:val="18"/>
              </w:rPr>
            </w:pPr>
            <w:r w:rsidRPr="3982CBDC">
              <w:rPr>
                <w:rFonts w:ascii="Arial" w:eastAsia="Calibri" w:hAnsi="Arial" w:cs="Arial"/>
                <w:noProof/>
                <w:sz w:val="18"/>
                <w:szCs w:val="18"/>
              </w:rPr>
              <w:t>122</w:t>
            </w:r>
          </w:p>
        </w:tc>
        <w:tc>
          <w:tcPr>
            <w:tcW w:w="651" w:type="dxa"/>
            <w:tcBorders>
              <w:top w:val="single" w:sz="6" w:space="0" w:color="auto"/>
              <w:left w:val="single" w:sz="6" w:space="0" w:color="auto"/>
              <w:bottom w:val="single" w:sz="6" w:space="0" w:color="auto"/>
              <w:right w:val="single" w:sz="6" w:space="0" w:color="auto"/>
            </w:tcBorders>
            <w:hideMark/>
          </w:tcPr>
          <w:p w14:paraId="1904A6F1"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8"/>
                <w:szCs w:val="18"/>
              </w:rPr>
            </w:pPr>
            <w:r w:rsidRPr="3982CBDC">
              <w:rPr>
                <w:rFonts w:ascii="Arial" w:eastAsia="Calibri" w:hAnsi="Arial" w:cs="Arial"/>
                <w:noProof/>
                <w:sz w:val="18"/>
                <w:szCs w:val="18"/>
              </w:rPr>
              <w:t>123</w:t>
            </w:r>
          </w:p>
        </w:tc>
        <w:tc>
          <w:tcPr>
            <w:tcW w:w="651" w:type="dxa"/>
            <w:tcBorders>
              <w:top w:val="single" w:sz="6" w:space="0" w:color="auto"/>
              <w:left w:val="single" w:sz="6" w:space="0" w:color="auto"/>
              <w:bottom w:val="single" w:sz="6" w:space="0" w:color="auto"/>
              <w:right w:val="single" w:sz="6" w:space="0" w:color="auto"/>
            </w:tcBorders>
            <w:hideMark/>
          </w:tcPr>
          <w:p w14:paraId="62853DE5"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8"/>
                <w:szCs w:val="18"/>
              </w:rPr>
            </w:pPr>
            <w:r w:rsidRPr="3982CBDC">
              <w:rPr>
                <w:rFonts w:ascii="Arial" w:eastAsia="Calibri" w:hAnsi="Arial" w:cs="Arial"/>
                <w:noProof/>
                <w:sz w:val="18"/>
                <w:szCs w:val="18"/>
              </w:rPr>
              <w:t>122</w:t>
            </w:r>
          </w:p>
        </w:tc>
        <w:tc>
          <w:tcPr>
            <w:tcW w:w="651" w:type="dxa"/>
            <w:tcBorders>
              <w:top w:val="single" w:sz="6" w:space="0" w:color="auto"/>
              <w:left w:val="single" w:sz="6" w:space="0" w:color="auto"/>
              <w:bottom w:val="single" w:sz="6" w:space="0" w:color="auto"/>
              <w:right w:val="single" w:sz="6" w:space="0" w:color="auto"/>
            </w:tcBorders>
            <w:hideMark/>
          </w:tcPr>
          <w:p w14:paraId="2CA46BEF"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8"/>
                <w:szCs w:val="18"/>
              </w:rPr>
            </w:pPr>
            <w:r w:rsidRPr="3982CBDC">
              <w:rPr>
                <w:rFonts w:ascii="Arial" w:eastAsia="Calibri" w:hAnsi="Arial" w:cs="Arial"/>
                <w:noProof/>
                <w:sz w:val="18"/>
                <w:szCs w:val="18"/>
              </w:rPr>
              <w:t>120</w:t>
            </w:r>
          </w:p>
        </w:tc>
        <w:tc>
          <w:tcPr>
            <w:tcW w:w="651" w:type="dxa"/>
            <w:tcBorders>
              <w:top w:val="single" w:sz="6" w:space="0" w:color="auto"/>
              <w:left w:val="single" w:sz="6" w:space="0" w:color="auto"/>
              <w:bottom w:val="single" w:sz="6" w:space="0" w:color="auto"/>
              <w:right w:val="single" w:sz="6" w:space="0" w:color="auto"/>
            </w:tcBorders>
            <w:hideMark/>
          </w:tcPr>
          <w:p w14:paraId="3ACD7F53"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8"/>
                <w:szCs w:val="18"/>
              </w:rPr>
            </w:pPr>
            <w:r w:rsidRPr="3982CBDC">
              <w:rPr>
                <w:rFonts w:ascii="Arial" w:eastAsia="Calibri" w:hAnsi="Arial" w:cs="Arial"/>
                <w:noProof/>
                <w:sz w:val="18"/>
                <w:szCs w:val="18"/>
              </w:rPr>
              <w:t>112</w:t>
            </w:r>
          </w:p>
        </w:tc>
        <w:tc>
          <w:tcPr>
            <w:tcW w:w="645" w:type="dxa"/>
            <w:tcBorders>
              <w:top w:val="single" w:sz="6" w:space="0" w:color="auto"/>
              <w:left w:val="single" w:sz="6" w:space="0" w:color="auto"/>
              <w:bottom w:val="single" w:sz="6" w:space="0" w:color="auto"/>
              <w:right w:val="single" w:sz="6" w:space="0" w:color="auto"/>
            </w:tcBorders>
            <w:hideMark/>
          </w:tcPr>
          <w:p w14:paraId="789A6246"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noProof/>
                <w:sz w:val="18"/>
                <w:szCs w:val="18"/>
              </w:rPr>
            </w:pPr>
            <w:r w:rsidRPr="3982CBDC">
              <w:rPr>
                <w:rFonts w:ascii="Arial" w:eastAsia="Calibri" w:hAnsi="Arial" w:cs="Arial"/>
                <w:noProof/>
                <w:sz w:val="18"/>
                <w:szCs w:val="18"/>
              </w:rPr>
              <w:t>109</w:t>
            </w:r>
          </w:p>
        </w:tc>
      </w:tr>
      <w:tr w:rsidR="008E12F8" w:rsidRPr="008E12F8" w14:paraId="767BC6A0" w14:textId="77777777" w:rsidTr="3F3807E4">
        <w:tc>
          <w:tcPr>
            <w:cnfStyle w:val="001000000000" w:firstRow="0" w:lastRow="0" w:firstColumn="1" w:lastColumn="0" w:oddVBand="0" w:evenVBand="0" w:oddHBand="0" w:evenHBand="0" w:firstRowFirstColumn="0" w:firstRowLastColumn="0" w:lastRowFirstColumn="0" w:lastRowLastColumn="0"/>
            <w:tcW w:w="2501" w:type="dxa"/>
            <w:hideMark/>
          </w:tcPr>
          <w:p w14:paraId="37B88004" w14:textId="77777777" w:rsidR="008E12F8" w:rsidRPr="008E12F8" w:rsidRDefault="3982CBDC" w:rsidP="3982CBDC">
            <w:pPr>
              <w:keepNext/>
              <w:keepLines/>
              <w:spacing w:before="60" w:after="60"/>
              <w:rPr>
                <w:rFonts w:ascii="Arial" w:eastAsia="Calibri" w:hAnsi="Arial"/>
                <w:noProof/>
                <w:sz w:val="18"/>
                <w:szCs w:val="18"/>
              </w:rPr>
            </w:pPr>
            <w:r w:rsidRPr="3982CBDC">
              <w:rPr>
                <w:rFonts w:ascii="Arial" w:eastAsia="Calibri" w:hAnsi="Arial"/>
                <w:noProof/>
                <w:sz w:val="18"/>
                <w:szCs w:val="18"/>
              </w:rPr>
              <w:t xml:space="preserve">Difference </w:t>
            </w:r>
          </w:p>
        </w:tc>
        <w:tc>
          <w:tcPr>
            <w:tcW w:w="653" w:type="dxa"/>
            <w:tcBorders>
              <w:top w:val="single" w:sz="6" w:space="0" w:color="auto"/>
              <w:left w:val="single" w:sz="6" w:space="0" w:color="auto"/>
              <w:bottom w:val="single" w:sz="6" w:space="0" w:color="auto"/>
              <w:right w:val="single" w:sz="6" w:space="0" w:color="auto"/>
            </w:tcBorders>
            <w:hideMark/>
          </w:tcPr>
          <w:p w14:paraId="3C13DF70"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8"/>
                <w:szCs w:val="18"/>
              </w:rPr>
            </w:pPr>
            <w:r w:rsidRPr="3982CBDC">
              <w:rPr>
                <w:rFonts w:ascii="Arial" w:eastAsia="Calibri" w:hAnsi="Arial" w:cs="Arial"/>
                <w:noProof/>
                <w:sz w:val="18"/>
                <w:szCs w:val="18"/>
              </w:rPr>
              <w:t>8%</w:t>
            </w:r>
          </w:p>
        </w:tc>
        <w:tc>
          <w:tcPr>
            <w:tcW w:w="652" w:type="dxa"/>
            <w:tcBorders>
              <w:top w:val="single" w:sz="6" w:space="0" w:color="auto"/>
              <w:left w:val="single" w:sz="6" w:space="0" w:color="auto"/>
              <w:bottom w:val="single" w:sz="6" w:space="0" w:color="auto"/>
              <w:right w:val="single" w:sz="6" w:space="0" w:color="auto"/>
            </w:tcBorders>
            <w:hideMark/>
          </w:tcPr>
          <w:p w14:paraId="616F9830"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8"/>
                <w:szCs w:val="18"/>
              </w:rPr>
            </w:pPr>
            <w:r w:rsidRPr="3982CBDC">
              <w:rPr>
                <w:rFonts w:ascii="Arial" w:eastAsia="Calibri" w:hAnsi="Arial" w:cs="Arial"/>
                <w:noProof/>
                <w:sz w:val="18"/>
                <w:szCs w:val="18"/>
              </w:rPr>
              <w:t>6%</w:t>
            </w:r>
          </w:p>
        </w:tc>
        <w:tc>
          <w:tcPr>
            <w:tcW w:w="652" w:type="dxa"/>
            <w:tcBorders>
              <w:top w:val="single" w:sz="6" w:space="0" w:color="auto"/>
              <w:left w:val="single" w:sz="6" w:space="0" w:color="auto"/>
              <w:bottom w:val="single" w:sz="6" w:space="0" w:color="auto"/>
              <w:right w:val="single" w:sz="6" w:space="0" w:color="auto"/>
            </w:tcBorders>
            <w:hideMark/>
          </w:tcPr>
          <w:p w14:paraId="112E54BD"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8"/>
                <w:szCs w:val="18"/>
              </w:rPr>
            </w:pPr>
            <w:r w:rsidRPr="3982CBDC">
              <w:rPr>
                <w:rFonts w:ascii="Arial" w:eastAsia="Calibri" w:hAnsi="Arial" w:cs="Arial"/>
                <w:noProof/>
                <w:sz w:val="18"/>
                <w:szCs w:val="18"/>
              </w:rPr>
              <w:t>4%</w:t>
            </w:r>
          </w:p>
        </w:tc>
        <w:tc>
          <w:tcPr>
            <w:tcW w:w="652" w:type="dxa"/>
            <w:tcBorders>
              <w:top w:val="single" w:sz="6" w:space="0" w:color="auto"/>
              <w:left w:val="single" w:sz="6" w:space="0" w:color="auto"/>
              <w:bottom w:val="single" w:sz="6" w:space="0" w:color="auto"/>
              <w:right w:val="single" w:sz="6" w:space="0" w:color="auto"/>
            </w:tcBorders>
            <w:hideMark/>
          </w:tcPr>
          <w:p w14:paraId="39758E55"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8"/>
                <w:szCs w:val="18"/>
              </w:rPr>
            </w:pPr>
            <w:r w:rsidRPr="3982CBDC">
              <w:rPr>
                <w:rFonts w:ascii="Arial" w:eastAsia="Calibri" w:hAnsi="Arial" w:cs="Arial"/>
                <w:noProof/>
                <w:sz w:val="18"/>
                <w:szCs w:val="18"/>
              </w:rPr>
              <w:t>2%</w:t>
            </w:r>
          </w:p>
        </w:tc>
        <w:tc>
          <w:tcPr>
            <w:tcW w:w="651" w:type="dxa"/>
            <w:tcBorders>
              <w:top w:val="single" w:sz="6" w:space="0" w:color="auto"/>
              <w:left w:val="single" w:sz="6" w:space="0" w:color="auto"/>
              <w:bottom w:val="single" w:sz="6" w:space="0" w:color="auto"/>
              <w:right w:val="single" w:sz="6" w:space="0" w:color="auto"/>
            </w:tcBorders>
            <w:hideMark/>
          </w:tcPr>
          <w:p w14:paraId="6DE22B24"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8"/>
                <w:szCs w:val="18"/>
              </w:rPr>
            </w:pPr>
            <w:r w:rsidRPr="3982CBDC">
              <w:rPr>
                <w:rFonts w:ascii="Arial" w:eastAsia="Calibri" w:hAnsi="Arial" w:cs="Arial"/>
                <w:noProof/>
                <w:sz w:val="18"/>
                <w:szCs w:val="18"/>
              </w:rPr>
              <w:t>0%</w:t>
            </w:r>
          </w:p>
        </w:tc>
        <w:tc>
          <w:tcPr>
            <w:tcW w:w="651" w:type="dxa"/>
            <w:tcBorders>
              <w:top w:val="single" w:sz="6" w:space="0" w:color="auto"/>
              <w:left w:val="single" w:sz="6" w:space="0" w:color="auto"/>
              <w:bottom w:val="single" w:sz="6" w:space="0" w:color="auto"/>
              <w:right w:val="single" w:sz="6" w:space="0" w:color="auto"/>
            </w:tcBorders>
            <w:hideMark/>
          </w:tcPr>
          <w:p w14:paraId="189E033C"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8"/>
                <w:szCs w:val="18"/>
              </w:rPr>
            </w:pPr>
            <w:r w:rsidRPr="3982CBDC">
              <w:rPr>
                <w:rFonts w:ascii="Arial" w:eastAsia="Calibri" w:hAnsi="Arial" w:cs="Arial"/>
                <w:noProof/>
                <w:sz w:val="18"/>
                <w:szCs w:val="18"/>
              </w:rPr>
              <w:t>6%</w:t>
            </w:r>
          </w:p>
        </w:tc>
        <w:tc>
          <w:tcPr>
            <w:tcW w:w="651" w:type="dxa"/>
            <w:tcBorders>
              <w:top w:val="single" w:sz="6" w:space="0" w:color="auto"/>
              <w:left w:val="single" w:sz="6" w:space="0" w:color="auto"/>
              <w:bottom w:val="single" w:sz="6" w:space="0" w:color="auto"/>
              <w:right w:val="single" w:sz="6" w:space="0" w:color="auto"/>
            </w:tcBorders>
            <w:hideMark/>
          </w:tcPr>
          <w:p w14:paraId="00EED1B8"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8"/>
                <w:szCs w:val="18"/>
              </w:rPr>
            </w:pPr>
            <w:r w:rsidRPr="3982CBDC">
              <w:rPr>
                <w:rFonts w:ascii="Arial" w:eastAsia="Calibri" w:hAnsi="Arial" w:cs="Arial"/>
                <w:noProof/>
                <w:sz w:val="18"/>
                <w:szCs w:val="18"/>
              </w:rPr>
              <w:t>4%</w:t>
            </w:r>
          </w:p>
        </w:tc>
        <w:tc>
          <w:tcPr>
            <w:tcW w:w="651" w:type="dxa"/>
            <w:tcBorders>
              <w:top w:val="single" w:sz="6" w:space="0" w:color="auto"/>
              <w:left w:val="single" w:sz="6" w:space="0" w:color="auto"/>
              <w:bottom w:val="single" w:sz="6" w:space="0" w:color="auto"/>
              <w:right w:val="single" w:sz="6" w:space="0" w:color="auto"/>
            </w:tcBorders>
            <w:hideMark/>
          </w:tcPr>
          <w:p w14:paraId="64F026CE"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8"/>
                <w:szCs w:val="18"/>
              </w:rPr>
            </w:pPr>
            <w:r w:rsidRPr="3982CBDC">
              <w:rPr>
                <w:rFonts w:ascii="Arial" w:eastAsia="Calibri" w:hAnsi="Arial" w:cs="Arial"/>
                <w:noProof/>
                <w:sz w:val="18"/>
                <w:szCs w:val="18"/>
              </w:rPr>
              <w:t>3%</w:t>
            </w:r>
          </w:p>
        </w:tc>
        <w:tc>
          <w:tcPr>
            <w:tcW w:w="651" w:type="dxa"/>
            <w:tcBorders>
              <w:top w:val="single" w:sz="6" w:space="0" w:color="auto"/>
              <w:left w:val="single" w:sz="6" w:space="0" w:color="auto"/>
              <w:bottom w:val="single" w:sz="6" w:space="0" w:color="auto"/>
              <w:right w:val="single" w:sz="6" w:space="0" w:color="auto"/>
            </w:tcBorders>
            <w:hideMark/>
          </w:tcPr>
          <w:p w14:paraId="6C0D980F"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18"/>
                <w:szCs w:val="18"/>
              </w:rPr>
            </w:pPr>
            <w:r w:rsidRPr="3982CBDC">
              <w:rPr>
                <w:rFonts w:ascii="Arial" w:eastAsia="Calibri" w:hAnsi="Arial" w:cs="Arial"/>
                <w:noProof/>
                <w:sz w:val="18"/>
                <w:szCs w:val="18"/>
              </w:rPr>
              <w:t>1%</w:t>
            </w:r>
          </w:p>
        </w:tc>
        <w:tc>
          <w:tcPr>
            <w:tcW w:w="645" w:type="dxa"/>
            <w:tcBorders>
              <w:top w:val="single" w:sz="6" w:space="0" w:color="auto"/>
              <w:left w:val="single" w:sz="6" w:space="0" w:color="auto"/>
              <w:bottom w:val="single" w:sz="6" w:space="0" w:color="auto"/>
              <w:right w:val="single" w:sz="6" w:space="0" w:color="auto"/>
            </w:tcBorders>
            <w:hideMark/>
          </w:tcPr>
          <w:p w14:paraId="608F59FA" w14:textId="77777777" w:rsidR="008E12F8" w:rsidRPr="008E12F8" w:rsidRDefault="3982CBDC" w:rsidP="3982CBDC">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Calibri" w:hAnsi="Arial"/>
                <w:noProof/>
                <w:sz w:val="18"/>
                <w:szCs w:val="18"/>
              </w:rPr>
            </w:pPr>
            <w:r w:rsidRPr="3982CBDC">
              <w:rPr>
                <w:rFonts w:ascii="Arial" w:eastAsia="Calibri" w:hAnsi="Arial" w:cs="Arial"/>
                <w:noProof/>
                <w:sz w:val="18"/>
                <w:szCs w:val="18"/>
              </w:rPr>
              <w:t>4%</w:t>
            </w:r>
          </w:p>
        </w:tc>
      </w:tr>
    </w:tbl>
    <w:p w14:paraId="057FDD2B" w14:textId="06D11C07" w:rsidR="008E12F8" w:rsidRPr="0085241A" w:rsidRDefault="008E12F8" w:rsidP="3982CBDC">
      <w:pPr>
        <w:keepNext/>
        <w:keepLines/>
        <w:spacing w:before="60" w:after="0"/>
        <w:rPr>
          <w:rFonts w:asciiTheme="minorHAnsi" w:hAnsiTheme="minorHAnsi"/>
          <w:i/>
          <w:noProof/>
          <w:sz w:val="20"/>
        </w:rPr>
      </w:pPr>
      <w:r w:rsidRPr="0085241A">
        <w:rPr>
          <w:rFonts w:asciiTheme="minorHAnsi" w:hAnsiTheme="minorHAnsi"/>
          <w:b/>
          <w:i/>
          <w:noProof/>
          <w:sz w:val="20"/>
        </w:rPr>
        <w:t>Source:</w:t>
      </w:r>
      <w:r w:rsidRPr="0085241A">
        <w:rPr>
          <w:rFonts w:asciiTheme="minorHAnsi" w:hAnsiTheme="minorHAnsi"/>
          <w:i/>
          <w:noProof/>
          <w:sz w:val="20"/>
        </w:rPr>
        <w:t xml:space="preserve"> AnaFgas modelling, UNFCCC (</w:t>
      </w:r>
      <w:hyperlink r:id="rId56" w:history="1">
        <w:r w:rsidRPr="0085241A">
          <w:rPr>
            <w:rFonts w:asciiTheme="minorHAnsi" w:hAnsiTheme="minorHAnsi"/>
            <w:i/>
            <w:noProof/>
            <w:color w:val="0000FF"/>
            <w:sz w:val="20"/>
            <w:u w:val="single"/>
          </w:rPr>
          <w:t>https://unfccc.int/documents/275968</w:t>
        </w:r>
      </w:hyperlink>
      <w:r w:rsidRPr="0085241A">
        <w:rPr>
          <w:rFonts w:asciiTheme="minorHAnsi" w:hAnsiTheme="minorHAnsi"/>
          <w:i/>
          <w:noProof/>
          <w:sz w:val="20"/>
        </w:rPr>
        <w:t>)</w:t>
      </w:r>
    </w:p>
    <w:p w14:paraId="1554639C" w14:textId="77777777" w:rsidR="008E12F8" w:rsidRPr="008E12F8" w:rsidRDefault="008E12F8" w:rsidP="008E12F8">
      <w:pPr>
        <w:keepNext/>
        <w:keepLines/>
        <w:spacing w:before="60" w:after="0"/>
        <w:rPr>
          <w:rFonts w:ascii="Arial" w:eastAsia="Calibri" w:hAnsi="Arial" w:cs="Arial"/>
          <w:noProof/>
          <w:sz w:val="18"/>
          <w:szCs w:val="18"/>
        </w:rPr>
      </w:pPr>
    </w:p>
    <w:p w14:paraId="617E18DC" w14:textId="747D5064" w:rsidR="008E12F8" w:rsidRPr="00D770DC" w:rsidRDefault="008E12F8" w:rsidP="00225664">
      <w:pPr>
        <w:spacing w:before="60" w:after="0"/>
        <w:rPr>
          <w:rFonts w:eastAsia="Calibri" w:cs="Times New Roman"/>
          <w:b/>
          <w:bCs/>
          <w:noProof/>
          <w:szCs w:val="24"/>
        </w:rPr>
      </w:pPr>
      <w:r w:rsidRPr="00D770DC">
        <w:rPr>
          <w:rFonts w:eastAsia="Calibri" w:cs="Times New Roman"/>
          <w:noProof/>
          <w:szCs w:val="24"/>
        </w:rPr>
        <w:t>For single gases or gas groups, the modelled emissions show similar trends to the UNFCCC data (</w:t>
      </w:r>
      <w:r w:rsidRPr="00D770DC">
        <w:rPr>
          <w:rFonts w:cs="Times New Roman"/>
          <w:noProof/>
          <w:szCs w:val="24"/>
        </w:rPr>
        <w:fldChar w:fldCharType="begin"/>
      </w:r>
      <w:r w:rsidRPr="00D770DC">
        <w:rPr>
          <w:rFonts w:eastAsia="Calibri" w:cs="Times New Roman"/>
          <w:noProof/>
          <w:szCs w:val="24"/>
        </w:rPr>
        <w:instrText xml:space="preserve"> REF _Ref66123080 \h </w:instrText>
      </w:r>
      <w:r w:rsidR="00D770DC" w:rsidRPr="00D770DC">
        <w:rPr>
          <w:rFonts w:cs="Times New Roman"/>
          <w:noProof/>
          <w:szCs w:val="24"/>
        </w:rPr>
        <w:instrText xml:space="preserve"> \* MERGEFORMAT </w:instrText>
      </w:r>
      <w:r w:rsidRPr="00D770DC">
        <w:rPr>
          <w:rFonts w:cs="Times New Roman"/>
          <w:noProof/>
          <w:szCs w:val="24"/>
        </w:rPr>
      </w:r>
      <w:r w:rsidRPr="00D770DC">
        <w:rPr>
          <w:rFonts w:eastAsia="Calibri" w:cs="Times New Roman"/>
          <w:noProof/>
          <w:szCs w:val="24"/>
        </w:rPr>
        <w:fldChar w:fldCharType="separate"/>
      </w:r>
      <w:r w:rsidR="00C66A21" w:rsidRPr="00C66A21">
        <w:rPr>
          <w:rFonts w:eastAsia="Calibri" w:cs="Times New Roman"/>
          <w:bCs/>
          <w:noProof/>
          <w:szCs w:val="24"/>
        </w:rPr>
        <w:t>Figure 12</w:t>
      </w:r>
      <w:r w:rsidRPr="00D770DC">
        <w:rPr>
          <w:rFonts w:cs="Times New Roman"/>
          <w:noProof/>
          <w:szCs w:val="24"/>
        </w:rPr>
        <w:fldChar w:fldCharType="end"/>
      </w:r>
      <w:r w:rsidRPr="00D770DC">
        <w:rPr>
          <w:rFonts w:eastAsia="Calibri" w:cs="Times New Roman"/>
          <w:noProof/>
          <w:szCs w:val="24"/>
        </w:rPr>
        <w:t xml:space="preserve">). Both data sources show a decline in emissions of high-GWP gases in recent years, especially for HFC-134a, HFC-125 and HFC-143a. The UNFCCC data shows an increase in emissions until the F-gas Regulation took effect in 2014, followed by a rather sharp drop with a second stronger decline from 2017 to 2019. The AnaFgas model, at first, </w:t>
      </w:r>
      <w:r w:rsidR="00F66DB0" w:rsidRPr="00D770DC">
        <w:rPr>
          <w:rFonts w:eastAsia="Calibri" w:cs="Times New Roman"/>
          <w:noProof/>
          <w:szCs w:val="24"/>
        </w:rPr>
        <w:t>shows a</w:t>
      </w:r>
      <w:r w:rsidRPr="00D770DC">
        <w:rPr>
          <w:rFonts w:eastAsia="Calibri" w:cs="Times New Roman"/>
          <w:noProof/>
          <w:szCs w:val="24"/>
        </w:rPr>
        <w:t xml:space="preserve"> more gradual effect of the F-gas Regulation that picks up speed from 2017 to 2018, due to the second phase-down step starting in 2018, cutting the placing on the market quantities by 30 %.</w:t>
      </w:r>
      <w:bookmarkStart w:id="539" w:name="_Ref62647762"/>
      <w:r w:rsidRPr="00D770DC">
        <w:rPr>
          <w:rFonts w:eastAsia="Calibri" w:cs="Times New Roman"/>
          <w:noProof/>
          <w:szCs w:val="24"/>
        </w:rPr>
        <w:t xml:space="preserve"> From 2018 to 2019, the decline in emissions shows a more moderate reduction compared to the previous years.</w:t>
      </w:r>
    </w:p>
    <w:bookmarkEnd w:id="539"/>
    <w:p w14:paraId="53B60DB3" w14:textId="77777777" w:rsidR="008E12F8" w:rsidRPr="008E12F8" w:rsidRDefault="008E12F8" w:rsidP="008E12F8">
      <w:pPr>
        <w:keepNext/>
        <w:keepLines/>
        <w:spacing w:before="60" w:after="0"/>
        <w:rPr>
          <w:rFonts w:ascii="Arial" w:eastAsia="Calibri" w:hAnsi="Arial" w:cs="Arial"/>
          <w:noProof/>
          <w:sz w:val="20"/>
        </w:rPr>
      </w:pPr>
      <w:r>
        <w:rPr>
          <w:noProof/>
          <w:lang w:eastAsia="en-GB"/>
        </w:rPr>
        <w:drawing>
          <wp:inline distT="0" distB="0" distL="0" distR="0" wp14:anchorId="4E85CE63" wp14:editId="19D25708">
            <wp:extent cx="5725159" cy="4086860"/>
            <wp:effectExtent l="0" t="0" r="8890" b="8890"/>
            <wp:docPr id="4138308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25159" cy="4086860"/>
                    </a:xfrm>
                    <a:prstGeom prst="rect">
                      <a:avLst/>
                    </a:prstGeom>
                  </pic:spPr>
                </pic:pic>
              </a:graphicData>
            </a:graphic>
          </wp:inline>
        </w:drawing>
      </w:r>
    </w:p>
    <w:p w14:paraId="61D24C0C" w14:textId="0D0CE383" w:rsidR="004655EE" w:rsidRPr="00D770DC" w:rsidRDefault="004655EE" w:rsidP="004655EE">
      <w:pPr>
        <w:keepNext/>
        <w:spacing w:before="240" w:after="120"/>
        <w:jc w:val="left"/>
        <w:rPr>
          <w:rFonts w:asciiTheme="minorHAnsi" w:eastAsia="Calibri" w:hAnsiTheme="minorHAnsi" w:cs="Times New Roman"/>
          <w:b/>
          <w:bCs/>
          <w:noProof/>
          <w:color w:val="0070C0"/>
          <w:sz w:val="20"/>
          <w:szCs w:val="20"/>
        </w:rPr>
      </w:pPr>
      <w:bookmarkStart w:id="540" w:name="_Ref66123080"/>
      <w:bookmarkStart w:id="541" w:name="_Toc81029913"/>
      <w:bookmarkStart w:id="542" w:name="_Toc74938073"/>
      <w:bookmarkStart w:id="543" w:name="_Toc74593861"/>
      <w:r w:rsidRPr="00D770DC">
        <w:rPr>
          <w:rFonts w:asciiTheme="minorHAnsi" w:eastAsia="Calibri" w:hAnsiTheme="minorHAnsi" w:cs="Times New Roman"/>
          <w:b/>
          <w:bCs/>
          <w:noProof/>
          <w:color w:val="0070C0"/>
          <w:sz w:val="20"/>
          <w:szCs w:val="20"/>
        </w:rPr>
        <w:t xml:space="preserve">Figure </w:t>
      </w:r>
      <w:r w:rsidRPr="00D770DC">
        <w:rPr>
          <w:rFonts w:asciiTheme="minorHAnsi" w:hAnsiTheme="minorHAnsi"/>
          <w:noProof/>
          <w:color w:val="0070C0"/>
          <w:sz w:val="20"/>
          <w:szCs w:val="20"/>
        </w:rPr>
        <w:fldChar w:fldCharType="begin"/>
      </w:r>
      <w:r w:rsidRPr="00D770DC">
        <w:rPr>
          <w:rFonts w:asciiTheme="minorHAnsi" w:eastAsia="Calibri" w:hAnsiTheme="minorHAnsi" w:cs="Times New Roman"/>
          <w:b/>
          <w:bCs/>
          <w:noProof/>
          <w:color w:val="0070C0"/>
          <w:sz w:val="20"/>
          <w:szCs w:val="20"/>
        </w:rPr>
        <w:instrText xml:space="preserve"> SEQ Figure \* ARABIC </w:instrText>
      </w:r>
      <w:r w:rsidRPr="00D770DC">
        <w:rPr>
          <w:rFonts w:asciiTheme="minorHAnsi" w:eastAsia="Calibri" w:hAnsiTheme="minorHAnsi" w:cs="Times New Roman"/>
          <w:b/>
          <w:bCs/>
          <w:noProof/>
          <w:color w:val="0070C0"/>
          <w:sz w:val="20"/>
          <w:szCs w:val="20"/>
        </w:rPr>
        <w:fldChar w:fldCharType="separate"/>
      </w:r>
      <w:r w:rsidR="00C66A21">
        <w:rPr>
          <w:rFonts w:asciiTheme="minorHAnsi" w:eastAsia="Calibri" w:hAnsiTheme="minorHAnsi" w:cs="Times New Roman"/>
          <w:b/>
          <w:bCs/>
          <w:noProof/>
          <w:color w:val="0070C0"/>
          <w:sz w:val="20"/>
          <w:szCs w:val="20"/>
        </w:rPr>
        <w:t>12</w:t>
      </w:r>
      <w:r w:rsidRPr="00D770DC">
        <w:rPr>
          <w:rFonts w:asciiTheme="minorHAnsi" w:hAnsiTheme="minorHAnsi"/>
          <w:noProof/>
          <w:color w:val="0070C0"/>
          <w:sz w:val="20"/>
          <w:szCs w:val="20"/>
        </w:rPr>
        <w:fldChar w:fldCharType="end"/>
      </w:r>
      <w:bookmarkEnd w:id="540"/>
      <w:r w:rsidRPr="00D770DC">
        <w:rPr>
          <w:rFonts w:asciiTheme="minorHAnsi" w:eastAsia="Calibri" w:hAnsiTheme="minorHAnsi" w:cs="Times New Roman"/>
          <w:b/>
          <w:bCs/>
          <w:noProof/>
          <w:color w:val="0070C0"/>
          <w:sz w:val="20"/>
          <w:szCs w:val="20"/>
        </w:rPr>
        <w:t xml:space="preserve">: </w:t>
      </w:r>
      <w:r w:rsidRPr="00D770DC">
        <w:rPr>
          <w:rFonts w:asciiTheme="minorHAnsi" w:eastAsia="Calibri" w:hAnsiTheme="minorHAnsi" w:cs="Times New Roman"/>
          <w:bCs/>
          <w:noProof/>
          <w:color w:val="0070C0"/>
          <w:sz w:val="20"/>
          <w:szCs w:val="20"/>
        </w:rPr>
        <w:t>Comparison of the AnaFgas baseline modelling output with the UNFCCC reported EU-28 F-gas emissions by gas/gas group</w:t>
      </w:r>
      <w:bookmarkEnd w:id="541"/>
      <w:bookmarkEnd w:id="542"/>
      <w:bookmarkEnd w:id="543"/>
    </w:p>
    <w:p w14:paraId="0A387874" w14:textId="1F2B15DA" w:rsidR="008E12F8" w:rsidRPr="0085241A" w:rsidRDefault="008E12F8" w:rsidP="3982CBDC">
      <w:pPr>
        <w:keepLines/>
        <w:spacing w:before="60" w:after="240"/>
        <w:rPr>
          <w:rFonts w:asciiTheme="minorHAnsi" w:hAnsiTheme="minorHAnsi"/>
          <w:i/>
          <w:noProof/>
          <w:sz w:val="20"/>
        </w:rPr>
      </w:pPr>
      <w:r w:rsidRPr="0085241A">
        <w:rPr>
          <w:rFonts w:asciiTheme="minorHAnsi" w:hAnsiTheme="minorHAnsi"/>
          <w:b/>
          <w:i/>
          <w:noProof/>
          <w:sz w:val="20"/>
        </w:rPr>
        <w:t>Source:</w:t>
      </w:r>
      <w:r w:rsidRPr="0085241A">
        <w:rPr>
          <w:rFonts w:asciiTheme="minorHAnsi" w:hAnsiTheme="minorHAnsi"/>
          <w:i/>
          <w:noProof/>
          <w:sz w:val="20"/>
        </w:rPr>
        <w:t xml:space="preserve"> AnaFgas modelling, UNFCCC (</w:t>
      </w:r>
      <w:hyperlink r:id="rId58" w:history="1">
        <w:r w:rsidRPr="0085241A">
          <w:rPr>
            <w:rFonts w:asciiTheme="minorHAnsi" w:hAnsiTheme="minorHAnsi"/>
            <w:i/>
            <w:noProof/>
            <w:color w:val="0000FF"/>
            <w:sz w:val="20"/>
            <w:u w:val="single"/>
          </w:rPr>
          <w:t>https://unfccc.int/documents/194921</w:t>
        </w:r>
      </w:hyperlink>
      <w:r w:rsidRPr="0085241A">
        <w:rPr>
          <w:rFonts w:asciiTheme="minorHAnsi" w:hAnsiTheme="minorHAnsi"/>
          <w:i/>
          <w:noProof/>
          <w:sz w:val="20"/>
        </w:rPr>
        <w:t>)</w:t>
      </w:r>
    </w:p>
    <w:p w14:paraId="3371A740" w14:textId="77777777" w:rsidR="0016610D" w:rsidRDefault="3982CBDC" w:rsidP="0017603A">
      <w:pPr>
        <w:pStyle w:val="AppendixHeadingLevel3"/>
        <w:numPr>
          <w:ilvl w:val="2"/>
          <w:numId w:val="112"/>
        </w:numPr>
        <w:rPr>
          <w:noProof/>
        </w:rPr>
      </w:pPr>
      <w:r>
        <w:rPr>
          <w:noProof/>
        </w:rPr>
        <w:t>Continuation of baseline scenario until 2050</w:t>
      </w:r>
      <w:bookmarkEnd w:id="483"/>
    </w:p>
    <w:p w14:paraId="2A2A0311" w14:textId="4C10F8BA" w:rsidR="0016610D" w:rsidRDefault="0016610D" w:rsidP="00225664">
      <w:pPr>
        <w:rPr>
          <w:noProof/>
        </w:rPr>
      </w:pPr>
      <w:r>
        <w:rPr>
          <w:noProof/>
        </w:rPr>
        <w:t>To assess any impact on demand and emissions of F-gases due to further policy action, a hypothetical reference scenario must be constructed that describes the unchanged continuation of current policy. In the Evaluation report</w:t>
      </w:r>
      <w:r w:rsidR="001602DC">
        <w:rPr>
          <w:noProof/>
        </w:rPr>
        <w:t xml:space="preserve"> (Annex </w:t>
      </w:r>
      <w:r w:rsidR="00C66A21">
        <w:rPr>
          <w:noProof/>
        </w:rPr>
        <w:t>A5</w:t>
      </w:r>
      <w:r w:rsidR="001602DC">
        <w:rPr>
          <w:noProof/>
        </w:rPr>
        <w:t>)</w:t>
      </w:r>
      <w:r>
        <w:rPr>
          <w:noProof/>
        </w:rPr>
        <w:t xml:space="preserve">, the baseline scenario </w:t>
      </w:r>
      <w:r w:rsidR="001602DC">
        <w:rPr>
          <w:noProof/>
        </w:rPr>
        <w:t xml:space="preserve">from the AnaFgas modelling </w:t>
      </w:r>
      <w:r>
        <w:rPr>
          <w:noProof/>
        </w:rPr>
        <w:t xml:space="preserve">represents the effect of the current Regulation until </w:t>
      </w:r>
      <w:r w:rsidR="001602DC">
        <w:rPr>
          <w:noProof/>
        </w:rPr>
        <w:t xml:space="preserve">and including </w:t>
      </w:r>
      <w:r>
        <w:rPr>
          <w:noProof/>
        </w:rPr>
        <w:t>2019. For assessment of the impact of further policy action, this baseline scenario was projected until 2050, under the assumption that there are no future policy changes. As such, compliance with the HF</w:t>
      </w:r>
      <w:r w:rsidR="001602DC">
        <w:rPr>
          <w:noProof/>
        </w:rPr>
        <w:t>C phase-down schedule is assumed</w:t>
      </w:r>
      <w:r>
        <w:rPr>
          <w:noProof/>
        </w:rPr>
        <w:t xml:space="preserve"> and the final 2030 phase-down step to 21 % maximum quantity of HFCs on the market, compared to the reference period of 2009 to 2012, is continued until 2050</w:t>
      </w:r>
      <w:r w:rsidR="001602DC">
        <w:rPr>
          <w:noProof/>
        </w:rPr>
        <w:t xml:space="preserve"> (even though not regulated)</w:t>
      </w:r>
      <w:r>
        <w:rPr>
          <w:noProof/>
        </w:rPr>
        <w:t xml:space="preserve">. </w:t>
      </w:r>
    </w:p>
    <w:p w14:paraId="28C45B39" w14:textId="77777777" w:rsidR="0016610D" w:rsidRPr="0016610D" w:rsidRDefault="3982CBDC" w:rsidP="0017603A">
      <w:pPr>
        <w:pStyle w:val="AppendixHeadingLevel3"/>
        <w:numPr>
          <w:ilvl w:val="2"/>
          <w:numId w:val="112"/>
        </w:numPr>
        <w:rPr>
          <w:noProof/>
        </w:rPr>
      </w:pPr>
      <w:bookmarkStart w:id="544" w:name="_Toc77782588"/>
      <w:r>
        <w:rPr>
          <w:noProof/>
        </w:rPr>
        <w:t>Assumed reclamation of HFCs</w:t>
      </w:r>
      <w:bookmarkEnd w:id="544"/>
    </w:p>
    <w:p w14:paraId="0FEC6E74" w14:textId="77777777" w:rsidR="0016610D" w:rsidRPr="00D770DC" w:rsidRDefault="3982CBDC" w:rsidP="00225664">
      <w:pPr>
        <w:rPr>
          <w:rFonts w:eastAsia="Calibri" w:cs="Times New Roman"/>
          <w:noProof/>
          <w:szCs w:val="24"/>
        </w:rPr>
      </w:pPr>
      <w:r w:rsidRPr="00D770DC">
        <w:rPr>
          <w:rFonts w:eastAsia="Calibri" w:cs="Times New Roman"/>
          <w:noProof/>
          <w:szCs w:val="24"/>
        </w:rPr>
        <w:t>For the modelling exercise, future potential reclamation rates are being assumed for relevant HFCs with the help of expert input. The goal is to project reasonable rates per gas that are informed by the modelled quantities of available HFCs in end-of-life (EoL) equipment in any given year.</w:t>
      </w:r>
    </w:p>
    <w:p w14:paraId="7C561C52" w14:textId="2D2AAE99" w:rsidR="0016610D" w:rsidRPr="00D770DC" w:rsidRDefault="001602DC" w:rsidP="00225664">
      <w:pPr>
        <w:rPr>
          <w:rFonts w:eastAsia="Calibri" w:cs="Times New Roman"/>
          <w:noProof/>
          <w:szCs w:val="24"/>
        </w:rPr>
      </w:pPr>
      <w:r w:rsidRPr="00D770DC">
        <w:rPr>
          <w:rFonts w:cs="Times New Roman"/>
          <w:noProof/>
          <w:szCs w:val="24"/>
        </w:rPr>
        <w:fldChar w:fldCharType="begin"/>
      </w:r>
      <w:r w:rsidRPr="00D770DC">
        <w:rPr>
          <w:rFonts w:eastAsia="Calibri" w:cs="Times New Roman"/>
          <w:noProof/>
          <w:szCs w:val="24"/>
        </w:rPr>
        <w:instrText xml:space="preserve"> REF _Ref77768504 \h </w:instrText>
      </w:r>
      <w:r w:rsidR="00D770DC" w:rsidRPr="00D770DC">
        <w:rPr>
          <w:rFonts w:cs="Times New Roman"/>
          <w:noProof/>
          <w:szCs w:val="24"/>
        </w:rPr>
        <w:instrText xml:space="preserve"> \* MERGEFORMAT </w:instrText>
      </w:r>
      <w:r w:rsidRPr="00D770DC">
        <w:rPr>
          <w:rFonts w:cs="Times New Roman"/>
          <w:noProof/>
          <w:szCs w:val="24"/>
        </w:rPr>
      </w:r>
      <w:r w:rsidRPr="00D770DC">
        <w:rPr>
          <w:rFonts w:eastAsia="Calibri" w:cs="Times New Roman"/>
          <w:noProof/>
          <w:szCs w:val="24"/>
        </w:rPr>
        <w:fldChar w:fldCharType="separate"/>
      </w:r>
      <w:r w:rsidR="00C66A21" w:rsidRPr="00C66A21">
        <w:rPr>
          <w:rFonts w:eastAsia="Calibri" w:cs="Times New Roman"/>
          <w:noProof/>
          <w:szCs w:val="24"/>
        </w:rPr>
        <w:t>Table 17</w:t>
      </w:r>
      <w:r w:rsidRPr="00D770DC">
        <w:rPr>
          <w:rFonts w:cs="Times New Roman"/>
          <w:noProof/>
          <w:szCs w:val="24"/>
        </w:rPr>
        <w:fldChar w:fldCharType="end"/>
      </w:r>
      <w:r w:rsidR="0016610D" w:rsidRPr="00D770DC">
        <w:rPr>
          <w:rFonts w:eastAsia="Calibri" w:cs="Times New Roman"/>
          <w:noProof/>
          <w:szCs w:val="24"/>
        </w:rPr>
        <w:t xml:space="preserve"> shows the assumed reclamation rates of HFCs for the EU-27 that were used in the modelling for the different scenarios. Further, the share of reclaimed gas from the available quantities from EoL equipment and the share of the demand for the respective year are shown. While the baseline and </w:t>
      </w:r>
      <w:r w:rsidR="005E3FF5" w:rsidRPr="00D770DC">
        <w:rPr>
          <w:rFonts w:eastAsia="Calibri" w:cs="Times New Roman"/>
          <w:noProof/>
          <w:szCs w:val="24"/>
        </w:rPr>
        <w:t>Policy Option 1</w:t>
      </w:r>
      <w:r w:rsidR="0016610D" w:rsidRPr="00D770DC">
        <w:rPr>
          <w:rFonts w:eastAsia="Calibri" w:cs="Times New Roman"/>
          <w:noProof/>
          <w:szCs w:val="24"/>
        </w:rPr>
        <w:t xml:space="preserve"> show the highest absolute reclamation quantities in Mt CO</w:t>
      </w:r>
      <w:r w:rsidR="0016610D" w:rsidRPr="00D770DC">
        <w:rPr>
          <w:rFonts w:eastAsia="Calibri" w:cs="Times New Roman"/>
          <w:noProof/>
          <w:szCs w:val="24"/>
          <w:vertAlign w:val="subscript"/>
        </w:rPr>
        <w:t>2</w:t>
      </w:r>
      <w:r w:rsidR="0016610D" w:rsidRPr="00D770DC">
        <w:rPr>
          <w:rFonts w:eastAsia="Calibri" w:cs="Times New Roman"/>
          <w:noProof/>
          <w:szCs w:val="24"/>
        </w:rPr>
        <w:t xml:space="preserve"> eq, the more ambitious</w:t>
      </w:r>
      <w:r w:rsidR="005E3FF5" w:rsidRPr="00D770DC">
        <w:rPr>
          <w:rFonts w:eastAsia="Calibri" w:cs="Times New Roman"/>
          <w:noProof/>
          <w:szCs w:val="24"/>
        </w:rPr>
        <w:t xml:space="preserve"> scenarios (Option 2 and Option 3</w:t>
      </w:r>
      <w:r w:rsidR="0016610D" w:rsidRPr="00D770DC">
        <w:rPr>
          <w:rFonts w:eastAsia="Calibri" w:cs="Times New Roman"/>
          <w:noProof/>
          <w:szCs w:val="24"/>
        </w:rPr>
        <w:t xml:space="preserve">) show </w:t>
      </w:r>
      <w:r w:rsidR="004C2279" w:rsidRPr="00D770DC">
        <w:rPr>
          <w:rFonts w:eastAsia="Calibri" w:cs="Times New Roman"/>
          <w:noProof/>
          <w:szCs w:val="24"/>
        </w:rPr>
        <w:t>a higher share of reclamation in relation to</w:t>
      </w:r>
      <w:r w:rsidR="0016610D" w:rsidRPr="00D770DC">
        <w:rPr>
          <w:rFonts w:eastAsia="Calibri" w:cs="Times New Roman"/>
          <w:noProof/>
          <w:szCs w:val="24"/>
        </w:rPr>
        <w:t xml:space="preserve"> the demand. Higher ambition leads t</w:t>
      </w:r>
      <w:r w:rsidR="005E3FF5" w:rsidRPr="00D770DC">
        <w:rPr>
          <w:rFonts w:eastAsia="Calibri" w:cs="Times New Roman"/>
          <w:noProof/>
          <w:szCs w:val="24"/>
        </w:rPr>
        <w:t xml:space="preserve">o a quicker replacement of high </w:t>
      </w:r>
      <w:r w:rsidR="0016610D" w:rsidRPr="00D770DC">
        <w:rPr>
          <w:rFonts w:eastAsia="Calibri" w:cs="Times New Roman"/>
          <w:noProof/>
          <w:szCs w:val="24"/>
        </w:rPr>
        <w:t>GWP gases in new equipment, which in turn limits the available q</w:t>
      </w:r>
      <w:r w:rsidR="005E3FF5" w:rsidRPr="00D770DC">
        <w:rPr>
          <w:rFonts w:eastAsia="Calibri" w:cs="Times New Roman"/>
          <w:noProof/>
          <w:szCs w:val="24"/>
        </w:rPr>
        <w:t>uantities for reclamation at end of life.</w:t>
      </w:r>
      <w:r w:rsidR="0016610D" w:rsidRPr="00D770DC">
        <w:rPr>
          <w:rFonts w:eastAsia="Calibri" w:cs="Times New Roman"/>
          <w:noProof/>
          <w:szCs w:val="24"/>
        </w:rPr>
        <w:t xml:space="preserve"> This is why the share of reclamation of the demand </w:t>
      </w:r>
      <w:r w:rsidR="004C2279" w:rsidRPr="00D770DC">
        <w:rPr>
          <w:rFonts w:eastAsia="Calibri" w:cs="Times New Roman"/>
          <w:noProof/>
          <w:szCs w:val="24"/>
        </w:rPr>
        <w:t xml:space="preserve">decreases </w:t>
      </w:r>
      <w:r w:rsidR="0016610D" w:rsidRPr="00D770DC">
        <w:rPr>
          <w:rFonts w:eastAsia="Calibri" w:cs="Times New Roman"/>
          <w:noProof/>
          <w:szCs w:val="24"/>
        </w:rPr>
        <w:t>also for the more ambitious scenarios</w:t>
      </w:r>
      <w:r w:rsidR="004C2279" w:rsidRPr="00D770DC">
        <w:rPr>
          <w:rFonts w:eastAsia="Calibri" w:cs="Times New Roman"/>
          <w:noProof/>
          <w:szCs w:val="24"/>
        </w:rPr>
        <w:t xml:space="preserve"> in the long run</w:t>
      </w:r>
      <w:r w:rsidR="0016610D" w:rsidRPr="00D770DC">
        <w:rPr>
          <w:rFonts w:eastAsia="Calibri" w:cs="Times New Roman"/>
          <w:noProof/>
          <w:szCs w:val="24"/>
        </w:rPr>
        <w:t>.</w:t>
      </w:r>
    </w:p>
    <w:p w14:paraId="0E89813C" w14:textId="72B65627" w:rsidR="0016610D" w:rsidRPr="00D770DC" w:rsidRDefault="0016610D" w:rsidP="3982CBDC">
      <w:pPr>
        <w:keepNext/>
        <w:rPr>
          <w:rFonts w:ascii="Calibri" w:eastAsia="Calibri" w:hAnsi="Calibri" w:cs="Arial"/>
          <w:noProof/>
          <w:color w:val="0070C0"/>
          <w:sz w:val="20"/>
          <w:szCs w:val="20"/>
        </w:rPr>
      </w:pPr>
      <w:bookmarkStart w:id="545" w:name="_Ref77768504"/>
      <w:bookmarkStart w:id="546" w:name="_Toc77782519"/>
      <w:r w:rsidRPr="00D770DC">
        <w:rPr>
          <w:rFonts w:ascii="Calibri" w:eastAsia="Calibri" w:hAnsi="Calibri" w:cs="Arial"/>
          <w:b/>
          <w:noProof/>
          <w:color w:val="0070C0"/>
          <w:sz w:val="20"/>
          <w:szCs w:val="20"/>
        </w:rPr>
        <w:t xml:space="preserve">Table </w:t>
      </w:r>
      <w:r w:rsidR="0088605C" w:rsidRPr="00D770DC">
        <w:rPr>
          <w:rFonts w:ascii="Calibri" w:hAnsi="Calibri"/>
          <w:b/>
          <w:noProof/>
          <w:color w:val="0070C0"/>
          <w:sz w:val="20"/>
          <w:szCs w:val="20"/>
        </w:rPr>
        <w:fldChar w:fldCharType="begin"/>
      </w:r>
      <w:r w:rsidR="0088605C" w:rsidRPr="00D770DC">
        <w:rPr>
          <w:rFonts w:ascii="Calibri" w:eastAsia="Calibri" w:hAnsi="Calibri" w:cs="Arial"/>
          <w:b/>
          <w:noProof/>
          <w:color w:val="0070C0"/>
          <w:sz w:val="20"/>
          <w:szCs w:val="20"/>
        </w:rPr>
        <w:instrText xml:space="preserve"> SEQ Table \* ARABIC </w:instrText>
      </w:r>
      <w:r w:rsidR="0088605C" w:rsidRPr="00D770DC">
        <w:rPr>
          <w:rFonts w:ascii="Calibri" w:eastAsia="Calibri" w:hAnsi="Calibri" w:cs="Arial"/>
          <w:b/>
          <w:noProof/>
          <w:color w:val="0070C0"/>
          <w:sz w:val="20"/>
          <w:szCs w:val="20"/>
        </w:rPr>
        <w:fldChar w:fldCharType="separate"/>
      </w:r>
      <w:r w:rsidR="00830261">
        <w:rPr>
          <w:rFonts w:ascii="Calibri" w:eastAsia="Calibri" w:hAnsi="Calibri" w:cs="Arial"/>
          <w:b/>
          <w:noProof/>
          <w:color w:val="0070C0"/>
          <w:sz w:val="20"/>
          <w:szCs w:val="20"/>
        </w:rPr>
        <w:t>18</w:t>
      </w:r>
      <w:r w:rsidR="0088605C" w:rsidRPr="00D770DC">
        <w:rPr>
          <w:rFonts w:ascii="Calibri" w:hAnsi="Calibri"/>
          <w:b/>
          <w:noProof/>
          <w:color w:val="0070C0"/>
          <w:sz w:val="20"/>
          <w:szCs w:val="20"/>
        </w:rPr>
        <w:fldChar w:fldCharType="end"/>
      </w:r>
      <w:bookmarkEnd w:id="545"/>
      <w:r w:rsidR="00D770DC">
        <w:rPr>
          <w:rFonts w:ascii="Calibri" w:eastAsia="Calibri" w:hAnsi="Calibri" w:cs="Arial"/>
          <w:noProof/>
          <w:color w:val="0070C0"/>
          <w:sz w:val="20"/>
          <w:szCs w:val="20"/>
        </w:rPr>
        <w:t>.</w:t>
      </w:r>
      <w:r w:rsidRPr="00D770DC">
        <w:rPr>
          <w:rFonts w:ascii="Calibri" w:eastAsia="Calibri" w:hAnsi="Calibri" w:cs="Arial"/>
          <w:noProof/>
          <w:color w:val="0070C0"/>
          <w:sz w:val="20"/>
          <w:szCs w:val="20"/>
        </w:rPr>
        <w:t xml:space="preserve"> Assumed reclamation quantities of HFCs in the EU-27</w:t>
      </w:r>
      <w:bookmarkEnd w:id="546"/>
    </w:p>
    <w:tbl>
      <w:tblPr>
        <w:tblW w:w="5000" w:type="pct"/>
        <w:tblCellMar>
          <w:left w:w="70" w:type="dxa"/>
          <w:right w:w="70" w:type="dxa"/>
        </w:tblCellMar>
        <w:tblLook w:val="04A0" w:firstRow="1" w:lastRow="0" w:firstColumn="1" w:lastColumn="0" w:noHBand="0" w:noVBand="1"/>
      </w:tblPr>
      <w:tblGrid>
        <w:gridCol w:w="752"/>
        <w:gridCol w:w="522"/>
        <w:gridCol w:w="565"/>
        <w:gridCol w:w="537"/>
        <w:gridCol w:w="550"/>
        <w:gridCol w:w="865"/>
        <w:gridCol w:w="865"/>
        <w:gridCol w:w="865"/>
        <w:gridCol w:w="865"/>
        <w:gridCol w:w="695"/>
        <w:gridCol w:w="695"/>
        <w:gridCol w:w="695"/>
        <w:gridCol w:w="695"/>
      </w:tblGrid>
      <w:tr w:rsidR="0016610D" w:rsidRPr="0016610D" w14:paraId="6874C47C" w14:textId="77777777" w:rsidTr="3F3807E4">
        <w:trPr>
          <w:trHeight w:val="330"/>
        </w:trPr>
        <w:tc>
          <w:tcPr>
            <w:tcW w:w="410" w:type="pct"/>
            <w:tcBorders>
              <w:top w:val="nil"/>
              <w:left w:val="nil"/>
              <w:bottom w:val="nil"/>
              <w:right w:val="nil"/>
            </w:tcBorders>
            <w:shd w:val="clear" w:color="auto" w:fill="003300"/>
            <w:noWrap/>
            <w:vAlign w:val="bottom"/>
            <w:hideMark/>
          </w:tcPr>
          <w:p w14:paraId="4C2F8F9F" w14:textId="77777777" w:rsidR="0016610D" w:rsidRPr="0016610D" w:rsidRDefault="0016610D" w:rsidP="0016610D">
            <w:pPr>
              <w:keepNext/>
              <w:spacing w:after="0" w:line="240" w:lineRule="auto"/>
              <w:jc w:val="left"/>
              <w:rPr>
                <w:rFonts w:eastAsia="Times New Roman" w:cs="Times New Roman"/>
                <w:b/>
                <w:bCs/>
                <w:noProof/>
                <w:szCs w:val="24"/>
                <w:lang w:eastAsia="de-DE"/>
              </w:rPr>
            </w:pPr>
          </w:p>
        </w:tc>
        <w:tc>
          <w:tcPr>
            <w:tcW w:w="1186" w:type="pct"/>
            <w:gridSpan w:val="4"/>
            <w:tcBorders>
              <w:top w:val="nil"/>
              <w:left w:val="nil"/>
              <w:bottom w:val="nil"/>
              <w:right w:val="nil"/>
            </w:tcBorders>
            <w:shd w:val="clear" w:color="auto" w:fill="003300"/>
            <w:vAlign w:val="center"/>
            <w:hideMark/>
          </w:tcPr>
          <w:p w14:paraId="57A5A2C6" w14:textId="77777777" w:rsidR="0016610D" w:rsidRPr="00D770DC" w:rsidRDefault="3F3807E4" w:rsidP="3982CBDC">
            <w:pPr>
              <w:keepNext/>
              <w:spacing w:after="0" w:line="240" w:lineRule="auto"/>
              <w:jc w:val="center"/>
              <w:rPr>
                <w:rFonts w:ascii="Arial" w:eastAsia="Times New Roman" w:hAnsi="Arial" w:cs="Arial"/>
                <w:b/>
                <w:bCs/>
                <w:noProof/>
                <w:color w:val="FFFFFF" w:themeColor="background1"/>
                <w:sz w:val="20"/>
                <w:szCs w:val="20"/>
                <w:lang w:eastAsia="de-DE"/>
              </w:rPr>
            </w:pPr>
            <w:r w:rsidRPr="3F3807E4">
              <w:rPr>
                <w:rFonts w:ascii="Arial" w:eastAsia="Times New Roman" w:hAnsi="Arial" w:cs="Arial"/>
                <w:b/>
                <w:bCs/>
                <w:noProof/>
                <w:sz w:val="20"/>
                <w:szCs w:val="20"/>
                <w:lang w:eastAsia="de-DE"/>
              </w:rPr>
              <w:t>Mt CO</w:t>
            </w:r>
            <w:r w:rsidRPr="3F3807E4">
              <w:rPr>
                <w:rFonts w:ascii="Arial" w:eastAsia="Times New Roman" w:hAnsi="Arial" w:cs="Arial"/>
                <w:b/>
                <w:bCs/>
                <w:noProof/>
                <w:color w:val="FFFFFF" w:themeColor="background1"/>
                <w:sz w:val="20"/>
                <w:szCs w:val="20"/>
                <w:vertAlign w:val="subscript"/>
                <w:lang w:eastAsia="de-DE"/>
              </w:rPr>
              <w:t>2</w:t>
            </w:r>
            <w:r w:rsidRPr="3F3807E4">
              <w:rPr>
                <w:rFonts w:ascii="Arial" w:eastAsia="Times New Roman" w:hAnsi="Arial" w:cs="Arial"/>
                <w:b/>
                <w:bCs/>
                <w:noProof/>
                <w:color w:val="FFFFFF" w:themeColor="background1"/>
                <w:sz w:val="20"/>
                <w:szCs w:val="20"/>
                <w:lang w:eastAsia="de-DE"/>
              </w:rPr>
              <w:t xml:space="preserve"> eq</w:t>
            </w:r>
          </w:p>
        </w:tc>
        <w:tc>
          <w:tcPr>
            <w:tcW w:w="1888" w:type="pct"/>
            <w:gridSpan w:val="4"/>
            <w:tcBorders>
              <w:top w:val="nil"/>
              <w:left w:val="nil"/>
              <w:bottom w:val="nil"/>
              <w:right w:val="nil"/>
            </w:tcBorders>
            <w:shd w:val="clear" w:color="auto" w:fill="538135"/>
            <w:vAlign w:val="center"/>
            <w:hideMark/>
          </w:tcPr>
          <w:p w14:paraId="086261DF" w14:textId="77777777" w:rsidR="0016610D" w:rsidRPr="0016610D" w:rsidRDefault="3F3807E4" w:rsidP="3982CBDC">
            <w:pPr>
              <w:keepNext/>
              <w:spacing w:after="0" w:line="240" w:lineRule="auto"/>
              <w:jc w:val="center"/>
              <w:rPr>
                <w:rFonts w:ascii="Arial" w:eastAsia="Times New Roman" w:hAnsi="Arial" w:cs="Arial"/>
                <w:b/>
                <w:bCs/>
                <w:noProof/>
                <w:color w:val="FFFFFF" w:themeColor="background1"/>
                <w:sz w:val="20"/>
                <w:szCs w:val="20"/>
                <w:lang w:eastAsia="de-DE"/>
              </w:rPr>
            </w:pPr>
            <w:r w:rsidRPr="3F3807E4">
              <w:rPr>
                <w:rFonts w:ascii="Arial" w:eastAsia="Times New Roman" w:hAnsi="Arial" w:cs="Arial"/>
                <w:b/>
                <w:bCs/>
                <w:noProof/>
                <w:color w:val="FFFFFF" w:themeColor="background1"/>
                <w:sz w:val="20"/>
                <w:szCs w:val="20"/>
                <w:lang w:eastAsia="de-DE"/>
              </w:rPr>
              <w:t>% of gas in EoL equipment</w:t>
            </w:r>
          </w:p>
        </w:tc>
        <w:tc>
          <w:tcPr>
            <w:tcW w:w="1516" w:type="pct"/>
            <w:gridSpan w:val="4"/>
            <w:tcBorders>
              <w:top w:val="nil"/>
              <w:left w:val="nil"/>
              <w:bottom w:val="nil"/>
              <w:right w:val="nil"/>
            </w:tcBorders>
            <w:shd w:val="clear" w:color="auto" w:fill="003300"/>
            <w:vAlign w:val="center"/>
            <w:hideMark/>
          </w:tcPr>
          <w:p w14:paraId="4151569E" w14:textId="77777777" w:rsidR="0016610D" w:rsidRPr="00D770DC" w:rsidRDefault="3F3807E4" w:rsidP="3982CBDC">
            <w:pPr>
              <w:keepNext/>
              <w:spacing w:after="0" w:line="240" w:lineRule="auto"/>
              <w:jc w:val="center"/>
              <w:rPr>
                <w:rFonts w:ascii="Arial" w:eastAsia="Times New Roman" w:hAnsi="Arial" w:cs="Arial"/>
                <w:b/>
                <w:bCs/>
                <w:noProof/>
                <w:color w:val="FFFFFF" w:themeColor="background1"/>
                <w:sz w:val="20"/>
                <w:szCs w:val="20"/>
                <w:lang w:eastAsia="de-DE"/>
              </w:rPr>
            </w:pPr>
            <w:r w:rsidRPr="3F3807E4">
              <w:rPr>
                <w:rFonts w:ascii="Arial" w:eastAsia="Times New Roman" w:hAnsi="Arial" w:cs="Arial"/>
                <w:b/>
                <w:bCs/>
                <w:noProof/>
                <w:sz w:val="20"/>
                <w:szCs w:val="20"/>
                <w:lang w:eastAsia="de-DE"/>
              </w:rPr>
              <w:t>% of demand</w:t>
            </w:r>
          </w:p>
        </w:tc>
      </w:tr>
      <w:tr w:rsidR="0016610D" w:rsidRPr="0016610D" w14:paraId="459F90F0" w14:textId="77777777" w:rsidTr="3F3807E4">
        <w:trPr>
          <w:trHeight w:val="315"/>
        </w:trPr>
        <w:tc>
          <w:tcPr>
            <w:tcW w:w="410" w:type="pct"/>
            <w:tcBorders>
              <w:top w:val="nil"/>
              <w:left w:val="single" w:sz="8" w:space="0" w:color="auto"/>
              <w:bottom w:val="single" w:sz="8" w:space="0" w:color="auto"/>
              <w:right w:val="single" w:sz="8" w:space="0" w:color="auto"/>
            </w:tcBorders>
            <w:shd w:val="clear" w:color="auto" w:fill="003300"/>
            <w:vAlign w:val="center"/>
            <w:hideMark/>
          </w:tcPr>
          <w:p w14:paraId="62A2C820" w14:textId="77777777" w:rsidR="0016610D" w:rsidRPr="00D770DC" w:rsidRDefault="3F3807E4" w:rsidP="3982CBDC">
            <w:pPr>
              <w:keepNext/>
              <w:spacing w:after="0" w:line="240" w:lineRule="auto"/>
              <w:jc w:val="center"/>
              <w:rPr>
                <w:rFonts w:ascii="Arial" w:eastAsia="Times New Roman" w:hAnsi="Arial" w:cs="Arial"/>
                <w:b/>
                <w:bCs/>
                <w:noProof/>
                <w:color w:val="FFFFFF" w:themeColor="background1"/>
                <w:sz w:val="20"/>
                <w:szCs w:val="20"/>
                <w:lang w:eastAsia="de-DE"/>
              </w:rPr>
            </w:pPr>
            <w:r w:rsidRPr="3F3807E4">
              <w:rPr>
                <w:rFonts w:ascii="Arial" w:eastAsia="Times New Roman" w:hAnsi="Arial" w:cs="Arial"/>
                <w:b/>
                <w:bCs/>
                <w:noProof/>
                <w:sz w:val="20"/>
                <w:szCs w:val="20"/>
                <w:lang w:eastAsia="de-DE"/>
              </w:rPr>
              <w:t>Year</w:t>
            </w:r>
          </w:p>
        </w:tc>
        <w:tc>
          <w:tcPr>
            <w:tcW w:w="285" w:type="pct"/>
            <w:tcBorders>
              <w:top w:val="nil"/>
              <w:left w:val="nil"/>
              <w:bottom w:val="single" w:sz="8" w:space="0" w:color="auto"/>
              <w:right w:val="single" w:sz="8" w:space="0" w:color="auto"/>
            </w:tcBorders>
            <w:shd w:val="clear" w:color="auto" w:fill="003300"/>
            <w:vAlign w:val="center"/>
            <w:hideMark/>
          </w:tcPr>
          <w:p w14:paraId="19E44FDD" w14:textId="77777777" w:rsidR="0016610D" w:rsidRPr="00D770DC" w:rsidRDefault="3F3807E4" w:rsidP="3982CBDC">
            <w:pPr>
              <w:keepNext/>
              <w:spacing w:after="0" w:line="240" w:lineRule="auto"/>
              <w:jc w:val="center"/>
              <w:rPr>
                <w:rFonts w:ascii="Arial" w:eastAsia="Times New Roman" w:hAnsi="Arial" w:cs="Arial"/>
                <w:b/>
                <w:bCs/>
                <w:noProof/>
                <w:color w:val="FFFFFF" w:themeColor="background1"/>
                <w:sz w:val="20"/>
                <w:szCs w:val="20"/>
                <w:lang w:eastAsia="de-DE"/>
              </w:rPr>
            </w:pPr>
            <w:r w:rsidRPr="3F3807E4">
              <w:rPr>
                <w:rFonts w:ascii="Arial" w:eastAsia="Times New Roman" w:hAnsi="Arial" w:cs="Arial"/>
                <w:b/>
                <w:bCs/>
                <w:noProof/>
                <w:color w:val="FFFFFF" w:themeColor="background1"/>
                <w:sz w:val="20"/>
                <w:szCs w:val="20"/>
                <w:lang w:eastAsia="de-DE"/>
              </w:rPr>
              <w:t>BL</w:t>
            </w:r>
          </w:p>
        </w:tc>
        <w:tc>
          <w:tcPr>
            <w:tcW w:w="308" w:type="pct"/>
            <w:tcBorders>
              <w:top w:val="nil"/>
              <w:left w:val="nil"/>
              <w:bottom w:val="single" w:sz="8" w:space="0" w:color="auto"/>
              <w:right w:val="single" w:sz="8" w:space="0" w:color="auto"/>
            </w:tcBorders>
            <w:shd w:val="clear" w:color="auto" w:fill="003300"/>
            <w:vAlign w:val="center"/>
            <w:hideMark/>
          </w:tcPr>
          <w:p w14:paraId="66D89BC3" w14:textId="77777777" w:rsidR="0016610D" w:rsidRPr="00D770DC" w:rsidRDefault="3F3807E4" w:rsidP="3982CBDC">
            <w:pPr>
              <w:keepNext/>
              <w:spacing w:after="0" w:line="240" w:lineRule="auto"/>
              <w:jc w:val="center"/>
              <w:rPr>
                <w:rFonts w:ascii="Arial" w:eastAsia="Times New Roman" w:hAnsi="Arial" w:cs="Arial"/>
                <w:b/>
                <w:bCs/>
                <w:noProof/>
                <w:color w:val="FFFFFF" w:themeColor="background1"/>
                <w:sz w:val="20"/>
                <w:szCs w:val="20"/>
                <w:lang w:eastAsia="de-DE"/>
              </w:rPr>
            </w:pPr>
            <w:r w:rsidRPr="3F3807E4">
              <w:rPr>
                <w:rFonts w:ascii="Arial" w:eastAsia="Times New Roman" w:hAnsi="Arial" w:cs="Arial"/>
                <w:b/>
                <w:bCs/>
                <w:noProof/>
                <w:color w:val="FFFFFF" w:themeColor="background1"/>
                <w:sz w:val="20"/>
                <w:szCs w:val="20"/>
                <w:lang w:eastAsia="de-DE"/>
              </w:rPr>
              <w:t>O1</w:t>
            </w:r>
          </w:p>
        </w:tc>
        <w:tc>
          <w:tcPr>
            <w:tcW w:w="293" w:type="pct"/>
            <w:tcBorders>
              <w:top w:val="nil"/>
              <w:left w:val="nil"/>
              <w:bottom w:val="single" w:sz="8" w:space="0" w:color="auto"/>
              <w:right w:val="single" w:sz="8" w:space="0" w:color="auto"/>
            </w:tcBorders>
            <w:shd w:val="clear" w:color="auto" w:fill="003300"/>
            <w:vAlign w:val="center"/>
            <w:hideMark/>
          </w:tcPr>
          <w:p w14:paraId="1EDC76D0" w14:textId="77777777" w:rsidR="0016610D" w:rsidRPr="00D770DC" w:rsidRDefault="3F3807E4" w:rsidP="3982CBDC">
            <w:pPr>
              <w:keepNext/>
              <w:spacing w:after="0" w:line="240" w:lineRule="auto"/>
              <w:jc w:val="center"/>
              <w:rPr>
                <w:rFonts w:ascii="Arial" w:eastAsia="Times New Roman" w:hAnsi="Arial" w:cs="Arial"/>
                <w:b/>
                <w:bCs/>
                <w:noProof/>
                <w:color w:val="FFFFFF" w:themeColor="background1"/>
                <w:sz w:val="20"/>
                <w:szCs w:val="20"/>
                <w:lang w:eastAsia="de-DE"/>
              </w:rPr>
            </w:pPr>
            <w:r w:rsidRPr="3F3807E4">
              <w:rPr>
                <w:rFonts w:ascii="Arial" w:eastAsia="Times New Roman" w:hAnsi="Arial" w:cs="Arial"/>
                <w:b/>
                <w:bCs/>
                <w:noProof/>
                <w:color w:val="FFFFFF" w:themeColor="background1"/>
                <w:sz w:val="20"/>
                <w:szCs w:val="20"/>
                <w:lang w:eastAsia="de-DE"/>
              </w:rPr>
              <w:t>O2</w:t>
            </w:r>
          </w:p>
        </w:tc>
        <w:tc>
          <w:tcPr>
            <w:tcW w:w="300" w:type="pct"/>
            <w:tcBorders>
              <w:top w:val="nil"/>
              <w:left w:val="nil"/>
              <w:bottom w:val="single" w:sz="8" w:space="0" w:color="auto"/>
              <w:right w:val="single" w:sz="8" w:space="0" w:color="auto"/>
            </w:tcBorders>
            <w:shd w:val="clear" w:color="auto" w:fill="003300"/>
            <w:vAlign w:val="center"/>
            <w:hideMark/>
          </w:tcPr>
          <w:p w14:paraId="0AC6BD6B" w14:textId="77777777" w:rsidR="0016610D" w:rsidRPr="00D770DC" w:rsidRDefault="3F3807E4" w:rsidP="3982CBDC">
            <w:pPr>
              <w:keepNext/>
              <w:spacing w:after="0" w:line="240" w:lineRule="auto"/>
              <w:jc w:val="center"/>
              <w:rPr>
                <w:rFonts w:ascii="Arial" w:eastAsia="Times New Roman" w:hAnsi="Arial" w:cs="Arial"/>
                <w:b/>
                <w:bCs/>
                <w:noProof/>
                <w:color w:val="FFFFFF" w:themeColor="background1"/>
                <w:sz w:val="20"/>
                <w:szCs w:val="20"/>
                <w:lang w:eastAsia="de-DE"/>
              </w:rPr>
            </w:pPr>
            <w:r w:rsidRPr="3F3807E4">
              <w:rPr>
                <w:rFonts w:ascii="Arial" w:eastAsia="Times New Roman" w:hAnsi="Arial" w:cs="Arial"/>
                <w:b/>
                <w:bCs/>
                <w:noProof/>
                <w:color w:val="FFFFFF" w:themeColor="background1"/>
                <w:sz w:val="20"/>
                <w:szCs w:val="20"/>
                <w:lang w:eastAsia="de-DE"/>
              </w:rPr>
              <w:t>O3</w:t>
            </w:r>
          </w:p>
        </w:tc>
        <w:tc>
          <w:tcPr>
            <w:tcW w:w="472" w:type="pct"/>
            <w:tcBorders>
              <w:top w:val="nil"/>
              <w:left w:val="nil"/>
              <w:bottom w:val="single" w:sz="8" w:space="0" w:color="auto"/>
              <w:right w:val="single" w:sz="8" w:space="0" w:color="auto"/>
            </w:tcBorders>
            <w:shd w:val="clear" w:color="auto" w:fill="538135"/>
            <w:vAlign w:val="center"/>
            <w:hideMark/>
          </w:tcPr>
          <w:p w14:paraId="055D59A9" w14:textId="77777777" w:rsidR="0016610D" w:rsidRPr="00D770DC" w:rsidRDefault="3F3807E4" w:rsidP="3982CBDC">
            <w:pPr>
              <w:keepNext/>
              <w:spacing w:after="0" w:line="240" w:lineRule="auto"/>
              <w:jc w:val="center"/>
              <w:rPr>
                <w:rFonts w:ascii="Arial" w:eastAsia="Times New Roman" w:hAnsi="Arial" w:cs="Arial"/>
                <w:b/>
                <w:bCs/>
                <w:noProof/>
                <w:color w:val="FFFFFF" w:themeColor="background1"/>
                <w:sz w:val="20"/>
                <w:szCs w:val="20"/>
                <w:lang w:eastAsia="de-DE"/>
              </w:rPr>
            </w:pPr>
            <w:r w:rsidRPr="3F3807E4">
              <w:rPr>
                <w:rFonts w:ascii="Arial" w:eastAsia="Times New Roman" w:hAnsi="Arial" w:cs="Arial"/>
                <w:b/>
                <w:bCs/>
                <w:noProof/>
                <w:color w:val="FFFFFF" w:themeColor="background1"/>
                <w:sz w:val="20"/>
                <w:szCs w:val="20"/>
                <w:lang w:eastAsia="de-DE"/>
              </w:rPr>
              <w:t>BL</w:t>
            </w:r>
          </w:p>
        </w:tc>
        <w:tc>
          <w:tcPr>
            <w:tcW w:w="472" w:type="pct"/>
            <w:tcBorders>
              <w:top w:val="nil"/>
              <w:left w:val="nil"/>
              <w:bottom w:val="single" w:sz="8" w:space="0" w:color="auto"/>
              <w:right w:val="single" w:sz="8" w:space="0" w:color="auto"/>
            </w:tcBorders>
            <w:shd w:val="clear" w:color="auto" w:fill="538135"/>
            <w:vAlign w:val="center"/>
            <w:hideMark/>
          </w:tcPr>
          <w:p w14:paraId="69456D2D" w14:textId="77777777" w:rsidR="0016610D" w:rsidRPr="00D770DC" w:rsidRDefault="3F3807E4" w:rsidP="3982CBDC">
            <w:pPr>
              <w:keepNext/>
              <w:spacing w:after="0" w:line="240" w:lineRule="auto"/>
              <w:jc w:val="center"/>
              <w:rPr>
                <w:rFonts w:ascii="Arial" w:eastAsia="Times New Roman" w:hAnsi="Arial" w:cs="Arial"/>
                <w:b/>
                <w:bCs/>
                <w:noProof/>
                <w:color w:val="FFFFFF" w:themeColor="background1"/>
                <w:sz w:val="20"/>
                <w:szCs w:val="20"/>
                <w:lang w:eastAsia="de-DE"/>
              </w:rPr>
            </w:pPr>
            <w:r w:rsidRPr="3F3807E4">
              <w:rPr>
                <w:rFonts w:ascii="Arial" w:eastAsia="Times New Roman" w:hAnsi="Arial" w:cs="Arial"/>
                <w:b/>
                <w:bCs/>
                <w:noProof/>
                <w:color w:val="FFFFFF" w:themeColor="background1"/>
                <w:sz w:val="20"/>
                <w:szCs w:val="20"/>
                <w:lang w:eastAsia="de-DE"/>
              </w:rPr>
              <w:t>O1</w:t>
            </w:r>
          </w:p>
        </w:tc>
        <w:tc>
          <w:tcPr>
            <w:tcW w:w="472" w:type="pct"/>
            <w:tcBorders>
              <w:top w:val="nil"/>
              <w:left w:val="nil"/>
              <w:bottom w:val="single" w:sz="8" w:space="0" w:color="auto"/>
              <w:right w:val="single" w:sz="8" w:space="0" w:color="auto"/>
            </w:tcBorders>
            <w:shd w:val="clear" w:color="auto" w:fill="538135"/>
            <w:vAlign w:val="center"/>
            <w:hideMark/>
          </w:tcPr>
          <w:p w14:paraId="277A4DD0" w14:textId="77777777" w:rsidR="0016610D" w:rsidRPr="00D770DC" w:rsidRDefault="3F3807E4" w:rsidP="3982CBDC">
            <w:pPr>
              <w:keepNext/>
              <w:spacing w:after="0" w:line="240" w:lineRule="auto"/>
              <w:jc w:val="center"/>
              <w:rPr>
                <w:rFonts w:ascii="Arial" w:eastAsia="Times New Roman" w:hAnsi="Arial" w:cs="Arial"/>
                <w:b/>
                <w:bCs/>
                <w:noProof/>
                <w:color w:val="FFFFFF" w:themeColor="background1"/>
                <w:sz w:val="20"/>
                <w:szCs w:val="20"/>
                <w:lang w:eastAsia="de-DE"/>
              </w:rPr>
            </w:pPr>
            <w:r w:rsidRPr="3F3807E4">
              <w:rPr>
                <w:rFonts w:ascii="Arial" w:eastAsia="Times New Roman" w:hAnsi="Arial" w:cs="Arial"/>
                <w:b/>
                <w:bCs/>
                <w:noProof/>
                <w:color w:val="FFFFFF" w:themeColor="background1"/>
                <w:sz w:val="20"/>
                <w:szCs w:val="20"/>
                <w:lang w:eastAsia="de-DE"/>
              </w:rPr>
              <w:t>O2</w:t>
            </w:r>
          </w:p>
        </w:tc>
        <w:tc>
          <w:tcPr>
            <w:tcW w:w="472" w:type="pct"/>
            <w:tcBorders>
              <w:top w:val="nil"/>
              <w:left w:val="nil"/>
              <w:bottom w:val="single" w:sz="8" w:space="0" w:color="auto"/>
              <w:right w:val="single" w:sz="8" w:space="0" w:color="auto"/>
            </w:tcBorders>
            <w:shd w:val="clear" w:color="auto" w:fill="538135"/>
            <w:vAlign w:val="center"/>
            <w:hideMark/>
          </w:tcPr>
          <w:p w14:paraId="1A07DEB6" w14:textId="77777777" w:rsidR="0016610D" w:rsidRPr="00D770DC" w:rsidRDefault="3F3807E4" w:rsidP="3982CBDC">
            <w:pPr>
              <w:keepNext/>
              <w:spacing w:after="0" w:line="240" w:lineRule="auto"/>
              <w:jc w:val="center"/>
              <w:rPr>
                <w:rFonts w:ascii="Arial" w:eastAsia="Times New Roman" w:hAnsi="Arial" w:cs="Arial"/>
                <w:b/>
                <w:bCs/>
                <w:noProof/>
                <w:color w:val="FFFFFF" w:themeColor="background1"/>
                <w:sz w:val="20"/>
                <w:szCs w:val="20"/>
                <w:lang w:eastAsia="de-DE"/>
              </w:rPr>
            </w:pPr>
            <w:r w:rsidRPr="3F3807E4">
              <w:rPr>
                <w:rFonts w:ascii="Arial" w:eastAsia="Times New Roman" w:hAnsi="Arial" w:cs="Arial"/>
                <w:b/>
                <w:bCs/>
                <w:noProof/>
                <w:color w:val="FFFFFF" w:themeColor="background1"/>
                <w:sz w:val="20"/>
                <w:szCs w:val="20"/>
                <w:lang w:eastAsia="de-DE"/>
              </w:rPr>
              <w:t>O3</w:t>
            </w:r>
          </w:p>
        </w:tc>
        <w:tc>
          <w:tcPr>
            <w:tcW w:w="379" w:type="pct"/>
            <w:tcBorders>
              <w:top w:val="nil"/>
              <w:left w:val="nil"/>
              <w:bottom w:val="single" w:sz="8" w:space="0" w:color="auto"/>
              <w:right w:val="single" w:sz="8" w:space="0" w:color="auto"/>
            </w:tcBorders>
            <w:shd w:val="clear" w:color="auto" w:fill="003300"/>
            <w:vAlign w:val="center"/>
            <w:hideMark/>
          </w:tcPr>
          <w:p w14:paraId="3AF79DCC" w14:textId="77777777" w:rsidR="0016610D" w:rsidRPr="00D770DC" w:rsidRDefault="3F3807E4" w:rsidP="3982CBDC">
            <w:pPr>
              <w:keepNext/>
              <w:spacing w:after="0" w:line="240" w:lineRule="auto"/>
              <w:jc w:val="center"/>
              <w:rPr>
                <w:rFonts w:ascii="Arial" w:eastAsia="Times New Roman" w:hAnsi="Arial" w:cs="Arial"/>
                <w:b/>
                <w:bCs/>
                <w:noProof/>
                <w:color w:val="FFFFFF" w:themeColor="background1"/>
                <w:sz w:val="20"/>
                <w:szCs w:val="20"/>
                <w:lang w:eastAsia="de-DE"/>
              </w:rPr>
            </w:pPr>
            <w:r w:rsidRPr="3F3807E4">
              <w:rPr>
                <w:rFonts w:ascii="Arial" w:eastAsia="Times New Roman" w:hAnsi="Arial" w:cs="Arial"/>
                <w:b/>
                <w:bCs/>
                <w:noProof/>
                <w:color w:val="FFFFFF" w:themeColor="background1"/>
                <w:sz w:val="20"/>
                <w:szCs w:val="20"/>
                <w:lang w:eastAsia="de-DE"/>
              </w:rPr>
              <w:t>BL</w:t>
            </w:r>
          </w:p>
        </w:tc>
        <w:tc>
          <w:tcPr>
            <w:tcW w:w="379" w:type="pct"/>
            <w:tcBorders>
              <w:top w:val="nil"/>
              <w:left w:val="nil"/>
              <w:bottom w:val="single" w:sz="8" w:space="0" w:color="auto"/>
              <w:right w:val="single" w:sz="8" w:space="0" w:color="auto"/>
            </w:tcBorders>
            <w:shd w:val="clear" w:color="auto" w:fill="003300"/>
            <w:vAlign w:val="center"/>
            <w:hideMark/>
          </w:tcPr>
          <w:p w14:paraId="486D5EFF" w14:textId="77777777" w:rsidR="0016610D" w:rsidRPr="00D770DC" w:rsidRDefault="3F3807E4" w:rsidP="3982CBDC">
            <w:pPr>
              <w:keepNext/>
              <w:spacing w:after="0" w:line="240" w:lineRule="auto"/>
              <w:jc w:val="center"/>
              <w:rPr>
                <w:rFonts w:ascii="Arial" w:eastAsia="Times New Roman" w:hAnsi="Arial" w:cs="Arial"/>
                <w:b/>
                <w:bCs/>
                <w:noProof/>
                <w:color w:val="FFFFFF" w:themeColor="background1"/>
                <w:sz w:val="20"/>
                <w:szCs w:val="20"/>
                <w:lang w:eastAsia="de-DE"/>
              </w:rPr>
            </w:pPr>
            <w:r w:rsidRPr="3F3807E4">
              <w:rPr>
                <w:rFonts w:ascii="Arial" w:eastAsia="Times New Roman" w:hAnsi="Arial" w:cs="Arial"/>
                <w:b/>
                <w:bCs/>
                <w:noProof/>
                <w:color w:val="FFFFFF" w:themeColor="background1"/>
                <w:sz w:val="20"/>
                <w:szCs w:val="20"/>
                <w:lang w:eastAsia="de-DE"/>
              </w:rPr>
              <w:t>O1</w:t>
            </w:r>
          </w:p>
        </w:tc>
        <w:tc>
          <w:tcPr>
            <w:tcW w:w="379" w:type="pct"/>
            <w:tcBorders>
              <w:top w:val="nil"/>
              <w:left w:val="nil"/>
              <w:bottom w:val="single" w:sz="8" w:space="0" w:color="auto"/>
              <w:right w:val="single" w:sz="8" w:space="0" w:color="auto"/>
            </w:tcBorders>
            <w:shd w:val="clear" w:color="auto" w:fill="003300"/>
            <w:vAlign w:val="center"/>
            <w:hideMark/>
          </w:tcPr>
          <w:p w14:paraId="26E225D8" w14:textId="77777777" w:rsidR="0016610D" w:rsidRPr="00D770DC" w:rsidRDefault="3F3807E4" w:rsidP="3982CBDC">
            <w:pPr>
              <w:keepNext/>
              <w:spacing w:after="0" w:line="240" w:lineRule="auto"/>
              <w:jc w:val="center"/>
              <w:rPr>
                <w:rFonts w:ascii="Arial" w:eastAsia="Times New Roman" w:hAnsi="Arial" w:cs="Arial"/>
                <w:b/>
                <w:bCs/>
                <w:noProof/>
                <w:color w:val="FFFFFF" w:themeColor="background1"/>
                <w:sz w:val="20"/>
                <w:szCs w:val="20"/>
                <w:lang w:eastAsia="de-DE"/>
              </w:rPr>
            </w:pPr>
            <w:r w:rsidRPr="3F3807E4">
              <w:rPr>
                <w:rFonts w:ascii="Arial" w:eastAsia="Times New Roman" w:hAnsi="Arial" w:cs="Arial"/>
                <w:b/>
                <w:bCs/>
                <w:noProof/>
                <w:color w:val="FFFFFF" w:themeColor="background1"/>
                <w:sz w:val="20"/>
                <w:szCs w:val="20"/>
                <w:lang w:eastAsia="de-DE"/>
              </w:rPr>
              <w:t>O2</w:t>
            </w:r>
          </w:p>
        </w:tc>
        <w:tc>
          <w:tcPr>
            <w:tcW w:w="379" w:type="pct"/>
            <w:tcBorders>
              <w:top w:val="nil"/>
              <w:left w:val="nil"/>
              <w:bottom w:val="single" w:sz="8" w:space="0" w:color="auto"/>
              <w:right w:val="single" w:sz="8" w:space="0" w:color="auto"/>
            </w:tcBorders>
            <w:shd w:val="clear" w:color="auto" w:fill="003300"/>
            <w:vAlign w:val="center"/>
            <w:hideMark/>
          </w:tcPr>
          <w:p w14:paraId="4CD294B4" w14:textId="77777777" w:rsidR="0016610D" w:rsidRPr="00D770DC" w:rsidRDefault="3F3807E4" w:rsidP="3982CBDC">
            <w:pPr>
              <w:keepNext/>
              <w:spacing w:after="0" w:line="240" w:lineRule="auto"/>
              <w:jc w:val="center"/>
              <w:rPr>
                <w:rFonts w:ascii="Arial" w:eastAsia="Times New Roman" w:hAnsi="Arial" w:cs="Arial"/>
                <w:b/>
                <w:bCs/>
                <w:noProof/>
                <w:color w:val="FFFFFF" w:themeColor="background1"/>
                <w:sz w:val="20"/>
                <w:szCs w:val="20"/>
                <w:lang w:eastAsia="de-DE"/>
              </w:rPr>
            </w:pPr>
            <w:r w:rsidRPr="3F3807E4">
              <w:rPr>
                <w:rFonts w:ascii="Arial" w:eastAsia="Times New Roman" w:hAnsi="Arial" w:cs="Arial"/>
                <w:b/>
                <w:bCs/>
                <w:noProof/>
                <w:color w:val="FFFFFF" w:themeColor="background1"/>
                <w:sz w:val="20"/>
                <w:szCs w:val="20"/>
                <w:lang w:eastAsia="de-DE"/>
              </w:rPr>
              <w:t>O3</w:t>
            </w:r>
          </w:p>
        </w:tc>
      </w:tr>
      <w:tr w:rsidR="0016610D" w:rsidRPr="0016610D" w14:paraId="451232FE" w14:textId="77777777" w:rsidTr="3F3807E4">
        <w:trPr>
          <w:trHeight w:val="315"/>
        </w:trPr>
        <w:tc>
          <w:tcPr>
            <w:tcW w:w="410" w:type="pct"/>
            <w:tcBorders>
              <w:top w:val="nil"/>
              <w:left w:val="single" w:sz="8" w:space="0" w:color="auto"/>
              <w:bottom w:val="single" w:sz="8" w:space="0" w:color="auto"/>
              <w:right w:val="single" w:sz="8" w:space="0" w:color="auto"/>
            </w:tcBorders>
            <w:shd w:val="clear" w:color="auto" w:fill="auto"/>
            <w:vAlign w:val="center"/>
            <w:hideMark/>
          </w:tcPr>
          <w:p w14:paraId="15880EF9" w14:textId="77777777" w:rsidR="0016610D" w:rsidRPr="00D770DC" w:rsidRDefault="3982CBDC" w:rsidP="3982CBDC">
            <w:pPr>
              <w:keepNext/>
              <w:spacing w:after="0" w:line="240" w:lineRule="auto"/>
              <w:rPr>
                <w:rFonts w:ascii="Arial" w:eastAsia="Times New Roman" w:hAnsi="Arial" w:cs="Arial"/>
                <w:noProof/>
                <w:color w:val="000000" w:themeColor="text1"/>
                <w:sz w:val="20"/>
                <w:szCs w:val="20"/>
                <w:lang w:eastAsia="de-DE"/>
              </w:rPr>
            </w:pPr>
            <w:r w:rsidRPr="3982CBDC">
              <w:rPr>
                <w:rFonts w:ascii="Arial" w:eastAsia="Times New Roman" w:hAnsi="Arial" w:cs="Arial"/>
                <w:noProof/>
                <w:color w:val="000000" w:themeColor="text1"/>
                <w:sz w:val="20"/>
                <w:szCs w:val="20"/>
                <w:lang w:eastAsia="de-DE"/>
              </w:rPr>
              <w:t>2015</w:t>
            </w:r>
          </w:p>
        </w:tc>
        <w:tc>
          <w:tcPr>
            <w:tcW w:w="285" w:type="pct"/>
            <w:tcBorders>
              <w:top w:val="nil"/>
              <w:left w:val="nil"/>
              <w:bottom w:val="single" w:sz="8" w:space="0" w:color="auto"/>
              <w:right w:val="single" w:sz="8" w:space="0" w:color="auto"/>
            </w:tcBorders>
            <w:shd w:val="clear" w:color="auto" w:fill="auto"/>
            <w:vAlign w:val="center"/>
            <w:hideMark/>
          </w:tcPr>
          <w:p w14:paraId="1FB31A62" w14:textId="77777777" w:rsidR="0016610D" w:rsidRPr="00D770DC" w:rsidRDefault="3982CBDC" w:rsidP="3982CBDC">
            <w:pPr>
              <w:keepNext/>
              <w:spacing w:after="0" w:line="240" w:lineRule="auto"/>
              <w:jc w:val="right"/>
              <w:rPr>
                <w:rFonts w:ascii="Arial" w:eastAsia="Times New Roman" w:hAnsi="Arial" w:cs="Arial"/>
                <w:noProof/>
                <w:color w:val="000000" w:themeColor="text1"/>
                <w:sz w:val="20"/>
                <w:szCs w:val="20"/>
                <w:lang w:eastAsia="de-DE"/>
              </w:rPr>
            </w:pPr>
            <w:r w:rsidRPr="3982CBDC">
              <w:rPr>
                <w:rFonts w:ascii="Arial" w:eastAsia="Times New Roman" w:hAnsi="Arial" w:cs="Arial"/>
                <w:noProof/>
                <w:color w:val="000000" w:themeColor="text1"/>
                <w:sz w:val="20"/>
                <w:szCs w:val="20"/>
                <w:lang w:eastAsia="de-DE"/>
              </w:rPr>
              <w:t>3</w:t>
            </w:r>
          </w:p>
        </w:tc>
        <w:tc>
          <w:tcPr>
            <w:tcW w:w="308" w:type="pct"/>
            <w:tcBorders>
              <w:top w:val="nil"/>
              <w:left w:val="nil"/>
              <w:bottom w:val="single" w:sz="8" w:space="0" w:color="auto"/>
              <w:right w:val="single" w:sz="8" w:space="0" w:color="auto"/>
            </w:tcBorders>
            <w:shd w:val="clear" w:color="auto" w:fill="auto"/>
            <w:vAlign w:val="center"/>
            <w:hideMark/>
          </w:tcPr>
          <w:p w14:paraId="3507F6B9" w14:textId="77777777" w:rsidR="0016610D" w:rsidRPr="00D770DC" w:rsidRDefault="3982CBDC" w:rsidP="3982CBDC">
            <w:pPr>
              <w:keepNext/>
              <w:spacing w:after="0" w:line="240" w:lineRule="auto"/>
              <w:jc w:val="right"/>
              <w:rPr>
                <w:rFonts w:ascii="Arial" w:eastAsia="Times New Roman" w:hAnsi="Arial" w:cs="Arial"/>
                <w:noProof/>
                <w:color w:val="000000" w:themeColor="text1"/>
                <w:sz w:val="20"/>
                <w:szCs w:val="20"/>
                <w:lang w:eastAsia="de-DE"/>
              </w:rPr>
            </w:pPr>
            <w:r w:rsidRPr="3982CBDC">
              <w:rPr>
                <w:rFonts w:ascii="Arial" w:eastAsia="Times New Roman" w:hAnsi="Arial" w:cs="Arial"/>
                <w:noProof/>
                <w:color w:val="000000" w:themeColor="text1"/>
                <w:sz w:val="20"/>
                <w:szCs w:val="20"/>
                <w:lang w:eastAsia="de-DE"/>
              </w:rPr>
              <w:t>3</w:t>
            </w:r>
          </w:p>
        </w:tc>
        <w:tc>
          <w:tcPr>
            <w:tcW w:w="293" w:type="pct"/>
            <w:tcBorders>
              <w:top w:val="nil"/>
              <w:left w:val="nil"/>
              <w:bottom w:val="single" w:sz="8" w:space="0" w:color="auto"/>
              <w:right w:val="single" w:sz="8" w:space="0" w:color="auto"/>
            </w:tcBorders>
            <w:shd w:val="clear" w:color="auto" w:fill="auto"/>
            <w:vAlign w:val="center"/>
            <w:hideMark/>
          </w:tcPr>
          <w:p w14:paraId="0D90D7E0" w14:textId="77777777" w:rsidR="0016610D" w:rsidRPr="00D770DC" w:rsidRDefault="3982CBDC" w:rsidP="3982CBDC">
            <w:pPr>
              <w:keepNext/>
              <w:spacing w:after="0" w:line="240" w:lineRule="auto"/>
              <w:jc w:val="right"/>
              <w:rPr>
                <w:rFonts w:ascii="Arial" w:eastAsia="Times New Roman" w:hAnsi="Arial" w:cs="Arial"/>
                <w:noProof/>
                <w:color w:val="000000" w:themeColor="text1"/>
                <w:sz w:val="20"/>
                <w:szCs w:val="20"/>
                <w:lang w:eastAsia="de-DE"/>
              </w:rPr>
            </w:pPr>
            <w:r w:rsidRPr="3982CBDC">
              <w:rPr>
                <w:rFonts w:ascii="Arial" w:eastAsia="Times New Roman" w:hAnsi="Arial" w:cs="Arial"/>
                <w:noProof/>
                <w:color w:val="000000" w:themeColor="text1"/>
                <w:sz w:val="20"/>
                <w:szCs w:val="20"/>
                <w:lang w:eastAsia="de-DE"/>
              </w:rPr>
              <w:t>3</w:t>
            </w:r>
          </w:p>
        </w:tc>
        <w:tc>
          <w:tcPr>
            <w:tcW w:w="300" w:type="pct"/>
            <w:tcBorders>
              <w:top w:val="nil"/>
              <w:left w:val="nil"/>
              <w:bottom w:val="single" w:sz="8" w:space="0" w:color="auto"/>
              <w:right w:val="single" w:sz="8" w:space="0" w:color="auto"/>
            </w:tcBorders>
            <w:shd w:val="clear" w:color="auto" w:fill="auto"/>
            <w:vAlign w:val="center"/>
            <w:hideMark/>
          </w:tcPr>
          <w:p w14:paraId="08B6567D" w14:textId="77777777" w:rsidR="0016610D" w:rsidRPr="00D770DC" w:rsidRDefault="3982CBDC" w:rsidP="3982CBDC">
            <w:pPr>
              <w:keepNext/>
              <w:spacing w:after="0" w:line="240" w:lineRule="auto"/>
              <w:jc w:val="right"/>
              <w:rPr>
                <w:rFonts w:ascii="Arial" w:eastAsia="Times New Roman" w:hAnsi="Arial" w:cs="Arial"/>
                <w:noProof/>
                <w:color w:val="000000" w:themeColor="text1"/>
                <w:sz w:val="20"/>
                <w:szCs w:val="20"/>
                <w:lang w:eastAsia="de-DE"/>
              </w:rPr>
            </w:pPr>
            <w:r w:rsidRPr="3982CBDC">
              <w:rPr>
                <w:rFonts w:ascii="Arial" w:eastAsia="Times New Roman" w:hAnsi="Arial" w:cs="Arial"/>
                <w:noProof/>
                <w:color w:val="000000" w:themeColor="text1"/>
                <w:sz w:val="20"/>
                <w:szCs w:val="20"/>
                <w:lang w:eastAsia="de-DE"/>
              </w:rPr>
              <w:t>3</w:t>
            </w:r>
          </w:p>
        </w:tc>
        <w:tc>
          <w:tcPr>
            <w:tcW w:w="472" w:type="pct"/>
            <w:tcBorders>
              <w:top w:val="nil"/>
              <w:left w:val="nil"/>
              <w:bottom w:val="single" w:sz="8" w:space="0" w:color="auto"/>
              <w:right w:val="single" w:sz="8" w:space="0" w:color="auto"/>
            </w:tcBorders>
            <w:shd w:val="clear" w:color="auto" w:fill="auto"/>
            <w:vAlign w:val="center"/>
            <w:hideMark/>
          </w:tcPr>
          <w:p w14:paraId="5620B008" w14:textId="77777777" w:rsidR="0016610D" w:rsidRPr="00D770DC" w:rsidRDefault="3982CBDC" w:rsidP="3982CBDC">
            <w:pPr>
              <w:keepNext/>
              <w:spacing w:after="0" w:line="240" w:lineRule="auto"/>
              <w:jc w:val="right"/>
              <w:rPr>
                <w:rFonts w:ascii="Arial" w:eastAsia="Times New Roman" w:hAnsi="Arial" w:cs="Arial"/>
                <w:noProof/>
                <w:color w:val="000000" w:themeColor="text1"/>
                <w:sz w:val="20"/>
                <w:szCs w:val="20"/>
                <w:lang w:eastAsia="de-DE"/>
              </w:rPr>
            </w:pPr>
            <w:r w:rsidRPr="3982CBDC">
              <w:rPr>
                <w:rFonts w:ascii="Arial" w:eastAsia="Times New Roman" w:hAnsi="Arial" w:cs="Arial"/>
                <w:noProof/>
                <w:color w:val="000000" w:themeColor="text1"/>
                <w:sz w:val="20"/>
                <w:szCs w:val="20"/>
                <w:lang w:eastAsia="de-DE"/>
              </w:rPr>
              <w:t>10%</w:t>
            </w:r>
          </w:p>
        </w:tc>
        <w:tc>
          <w:tcPr>
            <w:tcW w:w="472" w:type="pct"/>
            <w:tcBorders>
              <w:top w:val="nil"/>
              <w:left w:val="nil"/>
              <w:bottom w:val="single" w:sz="8" w:space="0" w:color="auto"/>
              <w:right w:val="single" w:sz="8" w:space="0" w:color="auto"/>
            </w:tcBorders>
            <w:shd w:val="clear" w:color="auto" w:fill="auto"/>
            <w:vAlign w:val="center"/>
            <w:hideMark/>
          </w:tcPr>
          <w:p w14:paraId="3F0E0CB5" w14:textId="77777777" w:rsidR="0016610D" w:rsidRPr="00D770DC" w:rsidRDefault="3982CBDC" w:rsidP="3982CBDC">
            <w:pPr>
              <w:keepNext/>
              <w:spacing w:after="0" w:line="240" w:lineRule="auto"/>
              <w:jc w:val="right"/>
              <w:rPr>
                <w:rFonts w:ascii="Arial" w:eastAsia="Times New Roman" w:hAnsi="Arial" w:cs="Arial"/>
                <w:noProof/>
                <w:color w:val="000000" w:themeColor="text1"/>
                <w:sz w:val="20"/>
                <w:szCs w:val="20"/>
                <w:lang w:eastAsia="de-DE"/>
              </w:rPr>
            </w:pPr>
            <w:r w:rsidRPr="3982CBDC">
              <w:rPr>
                <w:rFonts w:ascii="Arial" w:eastAsia="Times New Roman" w:hAnsi="Arial" w:cs="Arial"/>
                <w:noProof/>
                <w:color w:val="000000" w:themeColor="text1"/>
                <w:sz w:val="20"/>
                <w:szCs w:val="20"/>
                <w:lang w:eastAsia="de-DE"/>
              </w:rPr>
              <w:t>10%</w:t>
            </w:r>
          </w:p>
        </w:tc>
        <w:tc>
          <w:tcPr>
            <w:tcW w:w="472" w:type="pct"/>
            <w:tcBorders>
              <w:top w:val="nil"/>
              <w:left w:val="nil"/>
              <w:bottom w:val="single" w:sz="8" w:space="0" w:color="auto"/>
              <w:right w:val="single" w:sz="8" w:space="0" w:color="auto"/>
            </w:tcBorders>
            <w:shd w:val="clear" w:color="auto" w:fill="auto"/>
            <w:vAlign w:val="center"/>
            <w:hideMark/>
          </w:tcPr>
          <w:p w14:paraId="190A4184" w14:textId="77777777" w:rsidR="0016610D" w:rsidRPr="00D770DC" w:rsidRDefault="3982CBDC" w:rsidP="3982CBDC">
            <w:pPr>
              <w:keepNext/>
              <w:spacing w:after="0" w:line="240" w:lineRule="auto"/>
              <w:jc w:val="right"/>
              <w:rPr>
                <w:rFonts w:ascii="Arial" w:eastAsia="Times New Roman" w:hAnsi="Arial" w:cs="Arial"/>
                <w:noProof/>
                <w:color w:val="000000" w:themeColor="text1"/>
                <w:sz w:val="20"/>
                <w:szCs w:val="20"/>
                <w:lang w:eastAsia="de-DE"/>
              </w:rPr>
            </w:pPr>
            <w:r w:rsidRPr="3982CBDC">
              <w:rPr>
                <w:rFonts w:ascii="Arial" w:eastAsia="Times New Roman" w:hAnsi="Arial" w:cs="Arial"/>
                <w:noProof/>
                <w:color w:val="000000" w:themeColor="text1"/>
                <w:sz w:val="20"/>
                <w:szCs w:val="20"/>
                <w:lang w:eastAsia="de-DE"/>
              </w:rPr>
              <w:t>10%</w:t>
            </w:r>
          </w:p>
        </w:tc>
        <w:tc>
          <w:tcPr>
            <w:tcW w:w="472" w:type="pct"/>
            <w:tcBorders>
              <w:top w:val="nil"/>
              <w:left w:val="nil"/>
              <w:bottom w:val="single" w:sz="8" w:space="0" w:color="auto"/>
              <w:right w:val="single" w:sz="8" w:space="0" w:color="auto"/>
            </w:tcBorders>
            <w:shd w:val="clear" w:color="auto" w:fill="auto"/>
            <w:vAlign w:val="center"/>
            <w:hideMark/>
          </w:tcPr>
          <w:p w14:paraId="39801C8D" w14:textId="77777777" w:rsidR="0016610D" w:rsidRPr="00D770DC" w:rsidRDefault="3982CBDC" w:rsidP="3982CBDC">
            <w:pPr>
              <w:keepNext/>
              <w:spacing w:after="0" w:line="240" w:lineRule="auto"/>
              <w:jc w:val="right"/>
              <w:rPr>
                <w:rFonts w:ascii="Arial" w:eastAsia="Times New Roman" w:hAnsi="Arial" w:cs="Arial"/>
                <w:noProof/>
                <w:color w:val="000000" w:themeColor="text1"/>
                <w:sz w:val="20"/>
                <w:szCs w:val="20"/>
                <w:lang w:eastAsia="de-DE"/>
              </w:rPr>
            </w:pPr>
            <w:r w:rsidRPr="3982CBDC">
              <w:rPr>
                <w:rFonts w:ascii="Arial" w:eastAsia="Times New Roman" w:hAnsi="Arial" w:cs="Arial"/>
                <w:noProof/>
                <w:color w:val="000000" w:themeColor="text1"/>
                <w:sz w:val="20"/>
                <w:szCs w:val="20"/>
                <w:lang w:eastAsia="de-DE"/>
              </w:rPr>
              <w:t>10%</w:t>
            </w:r>
          </w:p>
        </w:tc>
        <w:tc>
          <w:tcPr>
            <w:tcW w:w="379" w:type="pct"/>
            <w:tcBorders>
              <w:top w:val="nil"/>
              <w:left w:val="nil"/>
              <w:bottom w:val="single" w:sz="8" w:space="0" w:color="auto"/>
              <w:right w:val="single" w:sz="8" w:space="0" w:color="auto"/>
            </w:tcBorders>
            <w:shd w:val="clear" w:color="auto" w:fill="auto"/>
            <w:vAlign w:val="center"/>
            <w:hideMark/>
          </w:tcPr>
          <w:p w14:paraId="02D41E86" w14:textId="77777777" w:rsidR="0016610D" w:rsidRPr="00D770DC" w:rsidRDefault="3982CBDC" w:rsidP="3982CBDC">
            <w:pPr>
              <w:keepNext/>
              <w:spacing w:after="0" w:line="240" w:lineRule="auto"/>
              <w:jc w:val="right"/>
              <w:rPr>
                <w:rFonts w:ascii="Arial" w:eastAsia="Times New Roman" w:hAnsi="Arial" w:cs="Arial"/>
                <w:noProof/>
                <w:color w:val="000000" w:themeColor="text1"/>
                <w:sz w:val="20"/>
                <w:szCs w:val="20"/>
                <w:lang w:eastAsia="de-DE"/>
              </w:rPr>
            </w:pPr>
            <w:r w:rsidRPr="3982CBDC">
              <w:rPr>
                <w:rFonts w:ascii="Arial" w:eastAsia="Times New Roman" w:hAnsi="Arial" w:cs="Arial"/>
                <w:noProof/>
                <w:color w:val="000000" w:themeColor="text1"/>
                <w:sz w:val="20"/>
                <w:szCs w:val="20"/>
                <w:lang w:eastAsia="de-DE"/>
              </w:rPr>
              <w:t>2%</w:t>
            </w:r>
          </w:p>
        </w:tc>
        <w:tc>
          <w:tcPr>
            <w:tcW w:w="379" w:type="pct"/>
            <w:tcBorders>
              <w:top w:val="nil"/>
              <w:left w:val="nil"/>
              <w:bottom w:val="single" w:sz="8" w:space="0" w:color="auto"/>
              <w:right w:val="single" w:sz="8" w:space="0" w:color="auto"/>
            </w:tcBorders>
            <w:shd w:val="clear" w:color="auto" w:fill="auto"/>
            <w:vAlign w:val="center"/>
            <w:hideMark/>
          </w:tcPr>
          <w:p w14:paraId="1EA3B13B" w14:textId="77777777" w:rsidR="0016610D" w:rsidRPr="00D770DC" w:rsidRDefault="3982CBDC" w:rsidP="3982CBDC">
            <w:pPr>
              <w:keepNext/>
              <w:spacing w:after="0" w:line="240" w:lineRule="auto"/>
              <w:jc w:val="right"/>
              <w:rPr>
                <w:rFonts w:ascii="Arial" w:eastAsia="Times New Roman" w:hAnsi="Arial" w:cs="Arial"/>
                <w:noProof/>
                <w:color w:val="000000" w:themeColor="text1"/>
                <w:sz w:val="20"/>
                <w:szCs w:val="20"/>
                <w:lang w:eastAsia="de-DE"/>
              </w:rPr>
            </w:pPr>
            <w:r w:rsidRPr="3982CBDC">
              <w:rPr>
                <w:rFonts w:ascii="Arial" w:eastAsia="Times New Roman" w:hAnsi="Arial" w:cs="Arial"/>
                <w:noProof/>
                <w:color w:val="000000" w:themeColor="text1"/>
                <w:sz w:val="20"/>
                <w:szCs w:val="20"/>
                <w:lang w:eastAsia="de-DE"/>
              </w:rPr>
              <w:t>2%</w:t>
            </w:r>
          </w:p>
        </w:tc>
        <w:tc>
          <w:tcPr>
            <w:tcW w:w="379" w:type="pct"/>
            <w:tcBorders>
              <w:top w:val="nil"/>
              <w:left w:val="nil"/>
              <w:bottom w:val="single" w:sz="8" w:space="0" w:color="auto"/>
              <w:right w:val="single" w:sz="8" w:space="0" w:color="auto"/>
            </w:tcBorders>
            <w:shd w:val="clear" w:color="auto" w:fill="auto"/>
            <w:vAlign w:val="center"/>
            <w:hideMark/>
          </w:tcPr>
          <w:p w14:paraId="08D2E0E8"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2%</w:t>
            </w:r>
          </w:p>
        </w:tc>
        <w:tc>
          <w:tcPr>
            <w:tcW w:w="379" w:type="pct"/>
            <w:tcBorders>
              <w:top w:val="nil"/>
              <w:left w:val="nil"/>
              <w:bottom w:val="single" w:sz="8" w:space="0" w:color="auto"/>
              <w:right w:val="single" w:sz="8" w:space="0" w:color="auto"/>
            </w:tcBorders>
            <w:shd w:val="clear" w:color="auto" w:fill="auto"/>
            <w:vAlign w:val="center"/>
            <w:hideMark/>
          </w:tcPr>
          <w:p w14:paraId="1D0ADECD"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2%</w:t>
            </w:r>
          </w:p>
        </w:tc>
      </w:tr>
      <w:tr w:rsidR="0016610D" w:rsidRPr="0016610D" w14:paraId="0F7DCAC7" w14:textId="77777777" w:rsidTr="3F3807E4">
        <w:trPr>
          <w:trHeight w:val="315"/>
        </w:trPr>
        <w:tc>
          <w:tcPr>
            <w:tcW w:w="410" w:type="pct"/>
            <w:tcBorders>
              <w:top w:val="nil"/>
              <w:left w:val="single" w:sz="8" w:space="0" w:color="auto"/>
              <w:bottom w:val="single" w:sz="8" w:space="0" w:color="auto"/>
              <w:right w:val="single" w:sz="8" w:space="0" w:color="auto"/>
            </w:tcBorders>
            <w:shd w:val="clear" w:color="auto" w:fill="auto"/>
            <w:vAlign w:val="center"/>
            <w:hideMark/>
          </w:tcPr>
          <w:p w14:paraId="663B0FEA" w14:textId="77777777" w:rsidR="0016610D" w:rsidRPr="0016610D" w:rsidRDefault="3982CBDC" w:rsidP="3982CBDC">
            <w:pPr>
              <w:keepNext/>
              <w:spacing w:after="0" w:line="240" w:lineRule="auto"/>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2020</w:t>
            </w:r>
          </w:p>
        </w:tc>
        <w:tc>
          <w:tcPr>
            <w:tcW w:w="285" w:type="pct"/>
            <w:tcBorders>
              <w:top w:val="nil"/>
              <w:left w:val="nil"/>
              <w:bottom w:val="single" w:sz="8" w:space="0" w:color="auto"/>
              <w:right w:val="single" w:sz="8" w:space="0" w:color="auto"/>
            </w:tcBorders>
            <w:shd w:val="clear" w:color="auto" w:fill="auto"/>
            <w:vAlign w:val="center"/>
            <w:hideMark/>
          </w:tcPr>
          <w:p w14:paraId="02DE7574"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8</w:t>
            </w:r>
          </w:p>
        </w:tc>
        <w:tc>
          <w:tcPr>
            <w:tcW w:w="308" w:type="pct"/>
            <w:tcBorders>
              <w:top w:val="nil"/>
              <w:left w:val="nil"/>
              <w:bottom w:val="single" w:sz="8" w:space="0" w:color="auto"/>
              <w:right w:val="single" w:sz="8" w:space="0" w:color="auto"/>
            </w:tcBorders>
            <w:shd w:val="clear" w:color="auto" w:fill="auto"/>
            <w:vAlign w:val="center"/>
            <w:hideMark/>
          </w:tcPr>
          <w:p w14:paraId="2B4C96C5"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8</w:t>
            </w:r>
          </w:p>
        </w:tc>
        <w:tc>
          <w:tcPr>
            <w:tcW w:w="293" w:type="pct"/>
            <w:tcBorders>
              <w:top w:val="nil"/>
              <w:left w:val="nil"/>
              <w:bottom w:val="single" w:sz="8" w:space="0" w:color="auto"/>
              <w:right w:val="single" w:sz="8" w:space="0" w:color="auto"/>
            </w:tcBorders>
            <w:shd w:val="clear" w:color="auto" w:fill="auto"/>
            <w:vAlign w:val="center"/>
            <w:hideMark/>
          </w:tcPr>
          <w:p w14:paraId="3440BCD1"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8</w:t>
            </w:r>
          </w:p>
        </w:tc>
        <w:tc>
          <w:tcPr>
            <w:tcW w:w="300" w:type="pct"/>
            <w:tcBorders>
              <w:top w:val="nil"/>
              <w:left w:val="nil"/>
              <w:bottom w:val="single" w:sz="8" w:space="0" w:color="auto"/>
              <w:right w:val="single" w:sz="8" w:space="0" w:color="auto"/>
            </w:tcBorders>
            <w:shd w:val="clear" w:color="auto" w:fill="auto"/>
            <w:vAlign w:val="center"/>
            <w:hideMark/>
          </w:tcPr>
          <w:p w14:paraId="32985FB7"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8</w:t>
            </w:r>
          </w:p>
        </w:tc>
        <w:tc>
          <w:tcPr>
            <w:tcW w:w="472" w:type="pct"/>
            <w:tcBorders>
              <w:top w:val="nil"/>
              <w:left w:val="nil"/>
              <w:bottom w:val="single" w:sz="8" w:space="0" w:color="auto"/>
              <w:right w:val="single" w:sz="8" w:space="0" w:color="auto"/>
            </w:tcBorders>
            <w:shd w:val="clear" w:color="auto" w:fill="auto"/>
            <w:vAlign w:val="center"/>
            <w:hideMark/>
          </w:tcPr>
          <w:p w14:paraId="1A9CB564"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16%</w:t>
            </w:r>
          </w:p>
        </w:tc>
        <w:tc>
          <w:tcPr>
            <w:tcW w:w="472" w:type="pct"/>
            <w:tcBorders>
              <w:top w:val="nil"/>
              <w:left w:val="nil"/>
              <w:bottom w:val="single" w:sz="8" w:space="0" w:color="auto"/>
              <w:right w:val="single" w:sz="8" w:space="0" w:color="auto"/>
            </w:tcBorders>
            <w:shd w:val="clear" w:color="auto" w:fill="auto"/>
            <w:vAlign w:val="center"/>
            <w:hideMark/>
          </w:tcPr>
          <w:p w14:paraId="08E782DE"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16%</w:t>
            </w:r>
          </w:p>
        </w:tc>
        <w:tc>
          <w:tcPr>
            <w:tcW w:w="472" w:type="pct"/>
            <w:tcBorders>
              <w:top w:val="nil"/>
              <w:left w:val="nil"/>
              <w:bottom w:val="single" w:sz="8" w:space="0" w:color="auto"/>
              <w:right w:val="single" w:sz="8" w:space="0" w:color="auto"/>
            </w:tcBorders>
            <w:shd w:val="clear" w:color="auto" w:fill="auto"/>
            <w:vAlign w:val="center"/>
            <w:hideMark/>
          </w:tcPr>
          <w:p w14:paraId="34942157"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16%</w:t>
            </w:r>
          </w:p>
        </w:tc>
        <w:tc>
          <w:tcPr>
            <w:tcW w:w="472" w:type="pct"/>
            <w:tcBorders>
              <w:top w:val="nil"/>
              <w:left w:val="nil"/>
              <w:bottom w:val="single" w:sz="8" w:space="0" w:color="auto"/>
              <w:right w:val="single" w:sz="8" w:space="0" w:color="auto"/>
            </w:tcBorders>
            <w:shd w:val="clear" w:color="auto" w:fill="auto"/>
            <w:vAlign w:val="center"/>
            <w:hideMark/>
          </w:tcPr>
          <w:p w14:paraId="31CFE444"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16%</w:t>
            </w:r>
          </w:p>
        </w:tc>
        <w:tc>
          <w:tcPr>
            <w:tcW w:w="379" w:type="pct"/>
            <w:tcBorders>
              <w:top w:val="nil"/>
              <w:left w:val="nil"/>
              <w:bottom w:val="single" w:sz="8" w:space="0" w:color="auto"/>
              <w:right w:val="single" w:sz="8" w:space="0" w:color="auto"/>
            </w:tcBorders>
            <w:shd w:val="clear" w:color="auto" w:fill="auto"/>
            <w:vAlign w:val="center"/>
            <w:hideMark/>
          </w:tcPr>
          <w:p w14:paraId="0F74E07E"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10%</w:t>
            </w:r>
          </w:p>
        </w:tc>
        <w:tc>
          <w:tcPr>
            <w:tcW w:w="379" w:type="pct"/>
            <w:tcBorders>
              <w:top w:val="nil"/>
              <w:left w:val="nil"/>
              <w:bottom w:val="single" w:sz="8" w:space="0" w:color="auto"/>
              <w:right w:val="single" w:sz="8" w:space="0" w:color="auto"/>
            </w:tcBorders>
            <w:shd w:val="clear" w:color="auto" w:fill="auto"/>
            <w:vAlign w:val="center"/>
            <w:hideMark/>
          </w:tcPr>
          <w:p w14:paraId="11D508CF"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10%</w:t>
            </w:r>
          </w:p>
        </w:tc>
        <w:tc>
          <w:tcPr>
            <w:tcW w:w="379" w:type="pct"/>
            <w:tcBorders>
              <w:top w:val="nil"/>
              <w:left w:val="nil"/>
              <w:bottom w:val="single" w:sz="8" w:space="0" w:color="auto"/>
              <w:right w:val="single" w:sz="8" w:space="0" w:color="auto"/>
            </w:tcBorders>
            <w:shd w:val="clear" w:color="auto" w:fill="auto"/>
            <w:vAlign w:val="center"/>
            <w:hideMark/>
          </w:tcPr>
          <w:p w14:paraId="34BFA82B"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10%</w:t>
            </w:r>
          </w:p>
        </w:tc>
        <w:tc>
          <w:tcPr>
            <w:tcW w:w="379" w:type="pct"/>
            <w:tcBorders>
              <w:top w:val="nil"/>
              <w:left w:val="nil"/>
              <w:bottom w:val="single" w:sz="8" w:space="0" w:color="auto"/>
              <w:right w:val="single" w:sz="8" w:space="0" w:color="auto"/>
            </w:tcBorders>
            <w:shd w:val="clear" w:color="auto" w:fill="auto"/>
            <w:vAlign w:val="center"/>
            <w:hideMark/>
          </w:tcPr>
          <w:p w14:paraId="37A35196"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10%</w:t>
            </w:r>
          </w:p>
        </w:tc>
      </w:tr>
      <w:tr w:rsidR="0016610D" w:rsidRPr="0016610D" w14:paraId="2022B8EE" w14:textId="77777777" w:rsidTr="3F3807E4">
        <w:trPr>
          <w:trHeight w:val="315"/>
        </w:trPr>
        <w:tc>
          <w:tcPr>
            <w:tcW w:w="410" w:type="pct"/>
            <w:tcBorders>
              <w:top w:val="nil"/>
              <w:left w:val="single" w:sz="8" w:space="0" w:color="auto"/>
              <w:bottom w:val="single" w:sz="8" w:space="0" w:color="auto"/>
              <w:right w:val="single" w:sz="8" w:space="0" w:color="auto"/>
            </w:tcBorders>
            <w:shd w:val="clear" w:color="auto" w:fill="auto"/>
            <w:vAlign w:val="center"/>
            <w:hideMark/>
          </w:tcPr>
          <w:p w14:paraId="67D8DB41" w14:textId="77777777" w:rsidR="0016610D" w:rsidRPr="0016610D" w:rsidRDefault="3982CBDC" w:rsidP="3982CBDC">
            <w:pPr>
              <w:keepNext/>
              <w:spacing w:after="0" w:line="240" w:lineRule="auto"/>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2025</w:t>
            </w:r>
          </w:p>
        </w:tc>
        <w:tc>
          <w:tcPr>
            <w:tcW w:w="285" w:type="pct"/>
            <w:tcBorders>
              <w:top w:val="nil"/>
              <w:left w:val="nil"/>
              <w:bottom w:val="single" w:sz="8" w:space="0" w:color="auto"/>
              <w:right w:val="single" w:sz="8" w:space="0" w:color="auto"/>
            </w:tcBorders>
            <w:shd w:val="clear" w:color="auto" w:fill="auto"/>
            <w:vAlign w:val="center"/>
            <w:hideMark/>
          </w:tcPr>
          <w:p w14:paraId="056037D7"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8</w:t>
            </w:r>
          </w:p>
        </w:tc>
        <w:tc>
          <w:tcPr>
            <w:tcW w:w="308" w:type="pct"/>
            <w:tcBorders>
              <w:top w:val="nil"/>
              <w:left w:val="nil"/>
              <w:bottom w:val="single" w:sz="8" w:space="0" w:color="auto"/>
              <w:right w:val="single" w:sz="8" w:space="0" w:color="auto"/>
            </w:tcBorders>
            <w:shd w:val="clear" w:color="auto" w:fill="auto"/>
            <w:vAlign w:val="center"/>
            <w:hideMark/>
          </w:tcPr>
          <w:p w14:paraId="574AE3CF"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8</w:t>
            </w:r>
          </w:p>
        </w:tc>
        <w:tc>
          <w:tcPr>
            <w:tcW w:w="293" w:type="pct"/>
            <w:tcBorders>
              <w:top w:val="nil"/>
              <w:left w:val="nil"/>
              <w:bottom w:val="single" w:sz="8" w:space="0" w:color="auto"/>
              <w:right w:val="single" w:sz="8" w:space="0" w:color="auto"/>
            </w:tcBorders>
            <w:shd w:val="clear" w:color="auto" w:fill="auto"/>
            <w:vAlign w:val="center"/>
            <w:hideMark/>
          </w:tcPr>
          <w:p w14:paraId="6F125895"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8</w:t>
            </w:r>
          </w:p>
        </w:tc>
        <w:tc>
          <w:tcPr>
            <w:tcW w:w="300" w:type="pct"/>
            <w:tcBorders>
              <w:top w:val="nil"/>
              <w:left w:val="nil"/>
              <w:bottom w:val="single" w:sz="8" w:space="0" w:color="auto"/>
              <w:right w:val="single" w:sz="8" w:space="0" w:color="auto"/>
            </w:tcBorders>
            <w:shd w:val="clear" w:color="auto" w:fill="auto"/>
            <w:vAlign w:val="center"/>
            <w:hideMark/>
          </w:tcPr>
          <w:p w14:paraId="2DDD4AE9"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8</w:t>
            </w:r>
          </w:p>
        </w:tc>
        <w:tc>
          <w:tcPr>
            <w:tcW w:w="472" w:type="pct"/>
            <w:tcBorders>
              <w:top w:val="nil"/>
              <w:left w:val="nil"/>
              <w:bottom w:val="single" w:sz="8" w:space="0" w:color="auto"/>
              <w:right w:val="single" w:sz="8" w:space="0" w:color="auto"/>
            </w:tcBorders>
            <w:shd w:val="clear" w:color="auto" w:fill="auto"/>
            <w:vAlign w:val="center"/>
            <w:hideMark/>
          </w:tcPr>
          <w:p w14:paraId="1D8F8D03"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19%</w:t>
            </w:r>
          </w:p>
        </w:tc>
        <w:tc>
          <w:tcPr>
            <w:tcW w:w="472" w:type="pct"/>
            <w:tcBorders>
              <w:top w:val="nil"/>
              <w:left w:val="nil"/>
              <w:bottom w:val="single" w:sz="8" w:space="0" w:color="auto"/>
              <w:right w:val="single" w:sz="8" w:space="0" w:color="auto"/>
            </w:tcBorders>
            <w:shd w:val="clear" w:color="auto" w:fill="auto"/>
            <w:vAlign w:val="center"/>
            <w:hideMark/>
          </w:tcPr>
          <w:p w14:paraId="272160B1"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19%</w:t>
            </w:r>
          </w:p>
        </w:tc>
        <w:tc>
          <w:tcPr>
            <w:tcW w:w="472" w:type="pct"/>
            <w:tcBorders>
              <w:top w:val="nil"/>
              <w:left w:val="nil"/>
              <w:bottom w:val="single" w:sz="8" w:space="0" w:color="auto"/>
              <w:right w:val="single" w:sz="8" w:space="0" w:color="auto"/>
            </w:tcBorders>
            <w:shd w:val="clear" w:color="auto" w:fill="auto"/>
            <w:vAlign w:val="center"/>
            <w:hideMark/>
          </w:tcPr>
          <w:p w14:paraId="46872D68"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19%</w:t>
            </w:r>
          </w:p>
        </w:tc>
        <w:tc>
          <w:tcPr>
            <w:tcW w:w="472" w:type="pct"/>
            <w:tcBorders>
              <w:top w:val="nil"/>
              <w:left w:val="nil"/>
              <w:bottom w:val="single" w:sz="8" w:space="0" w:color="auto"/>
              <w:right w:val="single" w:sz="8" w:space="0" w:color="auto"/>
            </w:tcBorders>
            <w:shd w:val="clear" w:color="auto" w:fill="auto"/>
            <w:vAlign w:val="center"/>
            <w:hideMark/>
          </w:tcPr>
          <w:p w14:paraId="4AE5D715"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19%</w:t>
            </w:r>
          </w:p>
        </w:tc>
        <w:tc>
          <w:tcPr>
            <w:tcW w:w="379" w:type="pct"/>
            <w:tcBorders>
              <w:top w:val="nil"/>
              <w:left w:val="nil"/>
              <w:bottom w:val="single" w:sz="8" w:space="0" w:color="auto"/>
              <w:right w:val="single" w:sz="8" w:space="0" w:color="auto"/>
            </w:tcBorders>
            <w:shd w:val="clear" w:color="auto" w:fill="auto"/>
            <w:vAlign w:val="center"/>
            <w:hideMark/>
          </w:tcPr>
          <w:p w14:paraId="6E791479"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15%</w:t>
            </w:r>
          </w:p>
        </w:tc>
        <w:tc>
          <w:tcPr>
            <w:tcW w:w="379" w:type="pct"/>
            <w:tcBorders>
              <w:top w:val="nil"/>
              <w:left w:val="nil"/>
              <w:bottom w:val="single" w:sz="8" w:space="0" w:color="auto"/>
              <w:right w:val="single" w:sz="8" w:space="0" w:color="auto"/>
            </w:tcBorders>
            <w:shd w:val="clear" w:color="auto" w:fill="auto"/>
            <w:vAlign w:val="center"/>
            <w:hideMark/>
          </w:tcPr>
          <w:p w14:paraId="3613499D"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14%</w:t>
            </w:r>
          </w:p>
        </w:tc>
        <w:tc>
          <w:tcPr>
            <w:tcW w:w="379" w:type="pct"/>
            <w:tcBorders>
              <w:top w:val="nil"/>
              <w:left w:val="nil"/>
              <w:bottom w:val="single" w:sz="8" w:space="0" w:color="auto"/>
              <w:right w:val="single" w:sz="8" w:space="0" w:color="auto"/>
            </w:tcBorders>
            <w:shd w:val="clear" w:color="auto" w:fill="auto"/>
            <w:vAlign w:val="center"/>
            <w:hideMark/>
          </w:tcPr>
          <w:p w14:paraId="1CFBD5FE"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19%</w:t>
            </w:r>
          </w:p>
        </w:tc>
        <w:tc>
          <w:tcPr>
            <w:tcW w:w="379" w:type="pct"/>
            <w:tcBorders>
              <w:top w:val="nil"/>
              <w:left w:val="nil"/>
              <w:bottom w:val="single" w:sz="8" w:space="0" w:color="auto"/>
              <w:right w:val="single" w:sz="8" w:space="0" w:color="auto"/>
            </w:tcBorders>
            <w:shd w:val="clear" w:color="auto" w:fill="auto"/>
            <w:vAlign w:val="center"/>
            <w:hideMark/>
          </w:tcPr>
          <w:p w14:paraId="044D2F78"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21%</w:t>
            </w:r>
          </w:p>
        </w:tc>
      </w:tr>
      <w:tr w:rsidR="0016610D" w:rsidRPr="0016610D" w14:paraId="499B0F65" w14:textId="77777777" w:rsidTr="3F3807E4">
        <w:trPr>
          <w:trHeight w:val="315"/>
        </w:trPr>
        <w:tc>
          <w:tcPr>
            <w:tcW w:w="410" w:type="pct"/>
            <w:tcBorders>
              <w:top w:val="nil"/>
              <w:left w:val="single" w:sz="8" w:space="0" w:color="auto"/>
              <w:bottom w:val="single" w:sz="8" w:space="0" w:color="auto"/>
              <w:right w:val="single" w:sz="8" w:space="0" w:color="auto"/>
            </w:tcBorders>
            <w:shd w:val="clear" w:color="auto" w:fill="auto"/>
            <w:vAlign w:val="center"/>
            <w:hideMark/>
          </w:tcPr>
          <w:p w14:paraId="6F1D4DFC" w14:textId="77777777" w:rsidR="0016610D" w:rsidRPr="0016610D" w:rsidRDefault="3982CBDC" w:rsidP="3982CBDC">
            <w:pPr>
              <w:keepNext/>
              <w:spacing w:after="0" w:line="240" w:lineRule="auto"/>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2030</w:t>
            </w:r>
          </w:p>
        </w:tc>
        <w:tc>
          <w:tcPr>
            <w:tcW w:w="285" w:type="pct"/>
            <w:tcBorders>
              <w:top w:val="nil"/>
              <w:left w:val="nil"/>
              <w:bottom w:val="single" w:sz="8" w:space="0" w:color="auto"/>
              <w:right w:val="single" w:sz="8" w:space="0" w:color="auto"/>
            </w:tcBorders>
            <w:shd w:val="clear" w:color="auto" w:fill="auto"/>
            <w:vAlign w:val="center"/>
            <w:hideMark/>
          </w:tcPr>
          <w:p w14:paraId="5245C058"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6</w:t>
            </w:r>
          </w:p>
        </w:tc>
        <w:tc>
          <w:tcPr>
            <w:tcW w:w="308" w:type="pct"/>
            <w:tcBorders>
              <w:top w:val="nil"/>
              <w:left w:val="nil"/>
              <w:bottom w:val="single" w:sz="8" w:space="0" w:color="auto"/>
              <w:right w:val="single" w:sz="8" w:space="0" w:color="auto"/>
            </w:tcBorders>
            <w:shd w:val="clear" w:color="auto" w:fill="auto"/>
            <w:vAlign w:val="center"/>
            <w:hideMark/>
          </w:tcPr>
          <w:p w14:paraId="58F0DD4A"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6</w:t>
            </w:r>
          </w:p>
        </w:tc>
        <w:tc>
          <w:tcPr>
            <w:tcW w:w="293" w:type="pct"/>
            <w:tcBorders>
              <w:top w:val="nil"/>
              <w:left w:val="nil"/>
              <w:bottom w:val="single" w:sz="8" w:space="0" w:color="auto"/>
              <w:right w:val="single" w:sz="8" w:space="0" w:color="auto"/>
            </w:tcBorders>
            <w:shd w:val="clear" w:color="auto" w:fill="auto"/>
            <w:vAlign w:val="center"/>
            <w:hideMark/>
          </w:tcPr>
          <w:p w14:paraId="2B663A3F"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5</w:t>
            </w:r>
          </w:p>
        </w:tc>
        <w:tc>
          <w:tcPr>
            <w:tcW w:w="300" w:type="pct"/>
            <w:tcBorders>
              <w:top w:val="nil"/>
              <w:left w:val="nil"/>
              <w:bottom w:val="single" w:sz="8" w:space="0" w:color="auto"/>
              <w:right w:val="single" w:sz="8" w:space="0" w:color="auto"/>
            </w:tcBorders>
            <w:shd w:val="clear" w:color="auto" w:fill="auto"/>
            <w:vAlign w:val="center"/>
            <w:hideMark/>
          </w:tcPr>
          <w:p w14:paraId="0BD55EFA"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6</w:t>
            </w:r>
          </w:p>
        </w:tc>
        <w:tc>
          <w:tcPr>
            <w:tcW w:w="472" w:type="pct"/>
            <w:tcBorders>
              <w:top w:val="nil"/>
              <w:left w:val="nil"/>
              <w:bottom w:val="single" w:sz="8" w:space="0" w:color="auto"/>
              <w:right w:val="single" w:sz="8" w:space="0" w:color="auto"/>
            </w:tcBorders>
            <w:shd w:val="clear" w:color="auto" w:fill="auto"/>
            <w:vAlign w:val="center"/>
            <w:hideMark/>
          </w:tcPr>
          <w:p w14:paraId="13A9595E"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22%</w:t>
            </w:r>
          </w:p>
        </w:tc>
        <w:tc>
          <w:tcPr>
            <w:tcW w:w="472" w:type="pct"/>
            <w:tcBorders>
              <w:top w:val="nil"/>
              <w:left w:val="nil"/>
              <w:bottom w:val="single" w:sz="8" w:space="0" w:color="auto"/>
              <w:right w:val="single" w:sz="8" w:space="0" w:color="auto"/>
            </w:tcBorders>
            <w:shd w:val="clear" w:color="auto" w:fill="auto"/>
            <w:vAlign w:val="center"/>
            <w:hideMark/>
          </w:tcPr>
          <w:p w14:paraId="62D615A2"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22%</w:t>
            </w:r>
          </w:p>
        </w:tc>
        <w:tc>
          <w:tcPr>
            <w:tcW w:w="472" w:type="pct"/>
            <w:tcBorders>
              <w:top w:val="nil"/>
              <w:left w:val="nil"/>
              <w:bottom w:val="single" w:sz="8" w:space="0" w:color="auto"/>
              <w:right w:val="single" w:sz="8" w:space="0" w:color="auto"/>
            </w:tcBorders>
            <w:shd w:val="clear" w:color="auto" w:fill="auto"/>
            <w:vAlign w:val="center"/>
            <w:hideMark/>
          </w:tcPr>
          <w:p w14:paraId="4A08C151"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21%</w:t>
            </w:r>
          </w:p>
        </w:tc>
        <w:tc>
          <w:tcPr>
            <w:tcW w:w="472" w:type="pct"/>
            <w:tcBorders>
              <w:top w:val="nil"/>
              <w:left w:val="nil"/>
              <w:bottom w:val="single" w:sz="8" w:space="0" w:color="auto"/>
              <w:right w:val="single" w:sz="8" w:space="0" w:color="auto"/>
            </w:tcBorders>
            <w:shd w:val="clear" w:color="auto" w:fill="auto"/>
            <w:vAlign w:val="center"/>
            <w:hideMark/>
          </w:tcPr>
          <w:p w14:paraId="4CED159E"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22%</w:t>
            </w:r>
          </w:p>
        </w:tc>
        <w:tc>
          <w:tcPr>
            <w:tcW w:w="379" w:type="pct"/>
            <w:tcBorders>
              <w:top w:val="nil"/>
              <w:left w:val="nil"/>
              <w:bottom w:val="single" w:sz="8" w:space="0" w:color="auto"/>
              <w:right w:val="single" w:sz="8" w:space="0" w:color="auto"/>
            </w:tcBorders>
            <w:shd w:val="clear" w:color="auto" w:fill="auto"/>
            <w:vAlign w:val="center"/>
            <w:hideMark/>
          </w:tcPr>
          <w:p w14:paraId="3E633C65"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20%</w:t>
            </w:r>
          </w:p>
        </w:tc>
        <w:tc>
          <w:tcPr>
            <w:tcW w:w="379" w:type="pct"/>
            <w:tcBorders>
              <w:top w:val="nil"/>
              <w:left w:val="nil"/>
              <w:bottom w:val="single" w:sz="8" w:space="0" w:color="auto"/>
              <w:right w:val="single" w:sz="8" w:space="0" w:color="auto"/>
            </w:tcBorders>
            <w:shd w:val="clear" w:color="auto" w:fill="auto"/>
            <w:vAlign w:val="center"/>
            <w:hideMark/>
          </w:tcPr>
          <w:p w14:paraId="0010BB0C"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16%</w:t>
            </w:r>
          </w:p>
        </w:tc>
        <w:tc>
          <w:tcPr>
            <w:tcW w:w="379" w:type="pct"/>
            <w:tcBorders>
              <w:top w:val="nil"/>
              <w:left w:val="nil"/>
              <w:bottom w:val="single" w:sz="8" w:space="0" w:color="auto"/>
              <w:right w:val="single" w:sz="8" w:space="0" w:color="auto"/>
            </w:tcBorders>
            <w:shd w:val="clear" w:color="auto" w:fill="auto"/>
            <w:vAlign w:val="center"/>
            <w:hideMark/>
          </w:tcPr>
          <w:p w14:paraId="1CE4725C"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31%</w:t>
            </w:r>
          </w:p>
        </w:tc>
        <w:tc>
          <w:tcPr>
            <w:tcW w:w="379" w:type="pct"/>
            <w:tcBorders>
              <w:top w:val="nil"/>
              <w:left w:val="nil"/>
              <w:bottom w:val="single" w:sz="8" w:space="0" w:color="auto"/>
              <w:right w:val="single" w:sz="8" w:space="0" w:color="auto"/>
            </w:tcBorders>
            <w:shd w:val="clear" w:color="auto" w:fill="auto"/>
            <w:vAlign w:val="center"/>
            <w:hideMark/>
          </w:tcPr>
          <w:p w14:paraId="0303F357"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40%</w:t>
            </w:r>
          </w:p>
        </w:tc>
      </w:tr>
      <w:tr w:rsidR="0016610D" w:rsidRPr="0016610D" w14:paraId="72EAB146" w14:textId="77777777" w:rsidTr="3F3807E4">
        <w:trPr>
          <w:trHeight w:val="315"/>
        </w:trPr>
        <w:tc>
          <w:tcPr>
            <w:tcW w:w="410" w:type="pct"/>
            <w:tcBorders>
              <w:top w:val="nil"/>
              <w:left w:val="single" w:sz="8" w:space="0" w:color="auto"/>
              <w:bottom w:val="single" w:sz="8" w:space="0" w:color="auto"/>
              <w:right w:val="single" w:sz="8" w:space="0" w:color="auto"/>
            </w:tcBorders>
            <w:shd w:val="clear" w:color="auto" w:fill="auto"/>
            <w:vAlign w:val="center"/>
            <w:hideMark/>
          </w:tcPr>
          <w:p w14:paraId="5CAA77C6" w14:textId="77777777" w:rsidR="0016610D" w:rsidRPr="0016610D" w:rsidRDefault="3982CBDC" w:rsidP="3982CBDC">
            <w:pPr>
              <w:keepNext/>
              <w:spacing w:after="0" w:line="240" w:lineRule="auto"/>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2035</w:t>
            </w:r>
          </w:p>
        </w:tc>
        <w:tc>
          <w:tcPr>
            <w:tcW w:w="285" w:type="pct"/>
            <w:tcBorders>
              <w:top w:val="nil"/>
              <w:left w:val="nil"/>
              <w:bottom w:val="single" w:sz="8" w:space="0" w:color="auto"/>
              <w:right w:val="single" w:sz="8" w:space="0" w:color="auto"/>
            </w:tcBorders>
            <w:shd w:val="clear" w:color="auto" w:fill="auto"/>
            <w:vAlign w:val="center"/>
            <w:hideMark/>
          </w:tcPr>
          <w:p w14:paraId="12C1CEDC"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6</w:t>
            </w:r>
          </w:p>
        </w:tc>
        <w:tc>
          <w:tcPr>
            <w:tcW w:w="308" w:type="pct"/>
            <w:tcBorders>
              <w:top w:val="nil"/>
              <w:left w:val="nil"/>
              <w:bottom w:val="single" w:sz="8" w:space="0" w:color="auto"/>
              <w:right w:val="single" w:sz="8" w:space="0" w:color="auto"/>
            </w:tcBorders>
            <w:shd w:val="clear" w:color="auto" w:fill="auto"/>
            <w:vAlign w:val="center"/>
            <w:hideMark/>
          </w:tcPr>
          <w:p w14:paraId="30297EED"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6</w:t>
            </w:r>
          </w:p>
        </w:tc>
        <w:tc>
          <w:tcPr>
            <w:tcW w:w="293" w:type="pct"/>
            <w:tcBorders>
              <w:top w:val="nil"/>
              <w:left w:val="nil"/>
              <w:bottom w:val="single" w:sz="8" w:space="0" w:color="auto"/>
              <w:right w:val="single" w:sz="8" w:space="0" w:color="auto"/>
            </w:tcBorders>
            <w:shd w:val="clear" w:color="auto" w:fill="auto"/>
            <w:vAlign w:val="center"/>
            <w:hideMark/>
          </w:tcPr>
          <w:p w14:paraId="42F71BFF"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3</w:t>
            </w:r>
          </w:p>
        </w:tc>
        <w:tc>
          <w:tcPr>
            <w:tcW w:w="300" w:type="pct"/>
            <w:tcBorders>
              <w:top w:val="nil"/>
              <w:left w:val="nil"/>
              <w:bottom w:val="single" w:sz="8" w:space="0" w:color="auto"/>
              <w:right w:val="single" w:sz="8" w:space="0" w:color="auto"/>
            </w:tcBorders>
            <w:shd w:val="clear" w:color="auto" w:fill="auto"/>
            <w:vAlign w:val="center"/>
            <w:hideMark/>
          </w:tcPr>
          <w:p w14:paraId="1CF9CD92"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3</w:t>
            </w:r>
          </w:p>
        </w:tc>
        <w:tc>
          <w:tcPr>
            <w:tcW w:w="472" w:type="pct"/>
            <w:tcBorders>
              <w:top w:val="nil"/>
              <w:left w:val="nil"/>
              <w:bottom w:val="single" w:sz="8" w:space="0" w:color="auto"/>
              <w:right w:val="single" w:sz="8" w:space="0" w:color="auto"/>
            </w:tcBorders>
            <w:shd w:val="clear" w:color="auto" w:fill="auto"/>
            <w:vAlign w:val="center"/>
            <w:hideMark/>
          </w:tcPr>
          <w:p w14:paraId="36501BE7"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32%</w:t>
            </w:r>
          </w:p>
        </w:tc>
        <w:tc>
          <w:tcPr>
            <w:tcW w:w="472" w:type="pct"/>
            <w:tcBorders>
              <w:top w:val="nil"/>
              <w:left w:val="nil"/>
              <w:bottom w:val="single" w:sz="8" w:space="0" w:color="auto"/>
              <w:right w:val="single" w:sz="8" w:space="0" w:color="auto"/>
            </w:tcBorders>
            <w:shd w:val="clear" w:color="auto" w:fill="auto"/>
            <w:vAlign w:val="center"/>
            <w:hideMark/>
          </w:tcPr>
          <w:p w14:paraId="3A4B39CC"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31%</w:t>
            </w:r>
          </w:p>
        </w:tc>
        <w:tc>
          <w:tcPr>
            <w:tcW w:w="472" w:type="pct"/>
            <w:tcBorders>
              <w:top w:val="nil"/>
              <w:left w:val="nil"/>
              <w:bottom w:val="single" w:sz="8" w:space="0" w:color="auto"/>
              <w:right w:val="single" w:sz="8" w:space="0" w:color="auto"/>
            </w:tcBorders>
            <w:shd w:val="clear" w:color="auto" w:fill="auto"/>
            <w:vAlign w:val="center"/>
            <w:hideMark/>
          </w:tcPr>
          <w:p w14:paraId="72F50885"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17%</w:t>
            </w:r>
          </w:p>
        </w:tc>
        <w:tc>
          <w:tcPr>
            <w:tcW w:w="472" w:type="pct"/>
            <w:tcBorders>
              <w:top w:val="nil"/>
              <w:left w:val="nil"/>
              <w:bottom w:val="single" w:sz="8" w:space="0" w:color="auto"/>
              <w:right w:val="single" w:sz="8" w:space="0" w:color="auto"/>
            </w:tcBorders>
            <w:shd w:val="clear" w:color="auto" w:fill="auto"/>
            <w:vAlign w:val="center"/>
            <w:hideMark/>
          </w:tcPr>
          <w:p w14:paraId="3D54C61C"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24%</w:t>
            </w:r>
          </w:p>
        </w:tc>
        <w:tc>
          <w:tcPr>
            <w:tcW w:w="379" w:type="pct"/>
            <w:tcBorders>
              <w:top w:val="nil"/>
              <w:left w:val="nil"/>
              <w:bottom w:val="single" w:sz="8" w:space="0" w:color="auto"/>
              <w:right w:val="single" w:sz="8" w:space="0" w:color="auto"/>
            </w:tcBorders>
            <w:shd w:val="clear" w:color="auto" w:fill="auto"/>
            <w:vAlign w:val="center"/>
            <w:hideMark/>
          </w:tcPr>
          <w:p w14:paraId="7840FA4F"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20%</w:t>
            </w:r>
          </w:p>
        </w:tc>
        <w:tc>
          <w:tcPr>
            <w:tcW w:w="379" w:type="pct"/>
            <w:tcBorders>
              <w:top w:val="nil"/>
              <w:left w:val="nil"/>
              <w:bottom w:val="single" w:sz="8" w:space="0" w:color="auto"/>
              <w:right w:val="single" w:sz="8" w:space="0" w:color="auto"/>
            </w:tcBorders>
            <w:shd w:val="clear" w:color="auto" w:fill="auto"/>
            <w:vAlign w:val="center"/>
            <w:hideMark/>
          </w:tcPr>
          <w:p w14:paraId="6FCF963E"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20%</w:t>
            </w:r>
          </w:p>
        </w:tc>
        <w:tc>
          <w:tcPr>
            <w:tcW w:w="379" w:type="pct"/>
            <w:tcBorders>
              <w:top w:val="nil"/>
              <w:left w:val="nil"/>
              <w:bottom w:val="single" w:sz="8" w:space="0" w:color="auto"/>
              <w:right w:val="single" w:sz="8" w:space="0" w:color="auto"/>
            </w:tcBorders>
            <w:shd w:val="clear" w:color="auto" w:fill="auto"/>
            <w:vAlign w:val="center"/>
            <w:hideMark/>
          </w:tcPr>
          <w:p w14:paraId="09C3B7F2"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23%</w:t>
            </w:r>
          </w:p>
        </w:tc>
        <w:tc>
          <w:tcPr>
            <w:tcW w:w="379" w:type="pct"/>
            <w:tcBorders>
              <w:top w:val="nil"/>
              <w:left w:val="nil"/>
              <w:bottom w:val="single" w:sz="8" w:space="0" w:color="auto"/>
              <w:right w:val="single" w:sz="8" w:space="0" w:color="auto"/>
            </w:tcBorders>
            <w:shd w:val="clear" w:color="auto" w:fill="auto"/>
            <w:vAlign w:val="center"/>
            <w:hideMark/>
          </w:tcPr>
          <w:p w14:paraId="34747649"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40%</w:t>
            </w:r>
          </w:p>
        </w:tc>
      </w:tr>
      <w:tr w:rsidR="0016610D" w:rsidRPr="0016610D" w14:paraId="62576DA8" w14:textId="77777777" w:rsidTr="3F3807E4">
        <w:trPr>
          <w:trHeight w:val="315"/>
        </w:trPr>
        <w:tc>
          <w:tcPr>
            <w:tcW w:w="410" w:type="pct"/>
            <w:tcBorders>
              <w:top w:val="nil"/>
              <w:left w:val="single" w:sz="8" w:space="0" w:color="auto"/>
              <w:bottom w:val="single" w:sz="8" w:space="0" w:color="auto"/>
              <w:right w:val="single" w:sz="8" w:space="0" w:color="auto"/>
            </w:tcBorders>
            <w:shd w:val="clear" w:color="auto" w:fill="auto"/>
            <w:vAlign w:val="center"/>
            <w:hideMark/>
          </w:tcPr>
          <w:p w14:paraId="309FB3B5" w14:textId="77777777" w:rsidR="0016610D" w:rsidRPr="0016610D" w:rsidRDefault="3982CBDC" w:rsidP="3982CBDC">
            <w:pPr>
              <w:keepNext/>
              <w:spacing w:after="0" w:line="240" w:lineRule="auto"/>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2040</w:t>
            </w:r>
          </w:p>
        </w:tc>
        <w:tc>
          <w:tcPr>
            <w:tcW w:w="285" w:type="pct"/>
            <w:tcBorders>
              <w:top w:val="nil"/>
              <w:left w:val="nil"/>
              <w:bottom w:val="single" w:sz="8" w:space="0" w:color="auto"/>
              <w:right w:val="single" w:sz="8" w:space="0" w:color="auto"/>
            </w:tcBorders>
            <w:shd w:val="clear" w:color="auto" w:fill="auto"/>
            <w:vAlign w:val="center"/>
            <w:hideMark/>
          </w:tcPr>
          <w:p w14:paraId="79BDE22B"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4</w:t>
            </w:r>
          </w:p>
        </w:tc>
        <w:tc>
          <w:tcPr>
            <w:tcW w:w="308" w:type="pct"/>
            <w:tcBorders>
              <w:top w:val="nil"/>
              <w:left w:val="nil"/>
              <w:bottom w:val="single" w:sz="8" w:space="0" w:color="auto"/>
              <w:right w:val="single" w:sz="8" w:space="0" w:color="auto"/>
            </w:tcBorders>
            <w:shd w:val="clear" w:color="auto" w:fill="auto"/>
            <w:vAlign w:val="center"/>
            <w:hideMark/>
          </w:tcPr>
          <w:p w14:paraId="049A8D67"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4</w:t>
            </w:r>
          </w:p>
        </w:tc>
        <w:tc>
          <w:tcPr>
            <w:tcW w:w="293" w:type="pct"/>
            <w:tcBorders>
              <w:top w:val="nil"/>
              <w:left w:val="nil"/>
              <w:bottom w:val="single" w:sz="8" w:space="0" w:color="auto"/>
              <w:right w:val="single" w:sz="8" w:space="0" w:color="auto"/>
            </w:tcBorders>
            <w:shd w:val="clear" w:color="auto" w:fill="auto"/>
            <w:vAlign w:val="center"/>
            <w:hideMark/>
          </w:tcPr>
          <w:p w14:paraId="382F4C9C"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2</w:t>
            </w:r>
          </w:p>
        </w:tc>
        <w:tc>
          <w:tcPr>
            <w:tcW w:w="300" w:type="pct"/>
            <w:tcBorders>
              <w:top w:val="nil"/>
              <w:left w:val="nil"/>
              <w:bottom w:val="single" w:sz="8" w:space="0" w:color="auto"/>
              <w:right w:val="single" w:sz="8" w:space="0" w:color="auto"/>
            </w:tcBorders>
            <w:shd w:val="clear" w:color="auto" w:fill="auto"/>
            <w:vAlign w:val="center"/>
            <w:hideMark/>
          </w:tcPr>
          <w:p w14:paraId="099ACC40"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2</w:t>
            </w:r>
          </w:p>
        </w:tc>
        <w:tc>
          <w:tcPr>
            <w:tcW w:w="472" w:type="pct"/>
            <w:tcBorders>
              <w:top w:val="nil"/>
              <w:left w:val="nil"/>
              <w:bottom w:val="single" w:sz="8" w:space="0" w:color="auto"/>
              <w:right w:val="single" w:sz="8" w:space="0" w:color="auto"/>
            </w:tcBorders>
            <w:shd w:val="clear" w:color="auto" w:fill="auto"/>
            <w:vAlign w:val="center"/>
            <w:hideMark/>
          </w:tcPr>
          <w:p w14:paraId="129A62FC"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40%</w:t>
            </w:r>
          </w:p>
        </w:tc>
        <w:tc>
          <w:tcPr>
            <w:tcW w:w="472" w:type="pct"/>
            <w:tcBorders>
              <w:top w:val="nil"/>
              <w:left w:val="nil"/>
              <w:bottom w:val="single" w:sz="8" w:space="0" w:color="auto"/>
              <w:right w:val="single" w:sz="8" w:space="0" w:color="auto"/>
            </w:tcBorders>
            <w:shd w:val="clear" w:color="auto" w:fill="auto"/>
            <w:vAlign w:val="center"/>
            <w:hideMark/>
          </w:tcPr>
          <w:p w14:paraId="47D405B5"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28%</w:t>
            </w:r>
          </w:p>
        </w:tc>
        <w:tc>
          <w:tcPr>
            <w:tcW w:w="472" w:type="pct"/>
            <w:tcBorders>
              <w:top w:val="nil"/>
              <w:left w:val="nil"/>
              <w:bottom w:val="single" w:sz="8" w:space="0" w:color="auto"/>
              <w:right w:val="single" w:sz="8" w:space="0" w:color="auto"/>
            </w:tcBorders>
            <w:shd w:val="clear" w:color="auto" w:fill="auto"/>
            <w:vAlign w:val="center"/>
            <w:hideMark/>
          </w:tcPr>
          <w:p w14:paraId="2BEBD862"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37%</w:t>
            </w:r>
          </w:p>
        </w:tc>
        <w:tc>
          <w:tcPr>
            <w:tcW w:w="472" w:type="pct"/>
            <w:tcBorders>
              <w:top w:val="nil"/>
              <w:left w:val="nil"/>
              <w:bottom w:val="single" w:sz="8" w:space="0" w:color="auto"/>
              <w:right w:val="single" w:sz="8" w:space="0" w:color="auto"/>
            </w:tcBorders>
            <w:shd w:val="clear" w:color="auto" w:fill="auto"/>
            <w:vAlign w:val="center"/>
            <w:hideMark/>
          </w:tcPr>
          <w:p w14:paraId="11D8E319"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43%</w:t>
            </w:r>
          </w:p>
        </w:tc>
        <w:tc>
          <w:tcPr>
            <w:tcW w:w="379" w:type="pct"/>
            <w:tcBorders>
              <w:top w:val="nil"/>
              <w:left w:val="nil"/>
              <w:bottom w:val="single" w:sz="8" w:space="0" w:color="auto"/>
              <w:right w:val="single" w:sz="8" w:space="0" w:color="auto"/>
            </w:tcBorders>
            <w:shd w:val="clear" w:color="auto" w:fill="auto"/>
            <w:vAlign w:val="center"/>
            <w:hideMark/>
          </w:tcPr>
          <w:p w14:paraId="488CF219"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20%</w:t>
            </w:r>
          </w:p>
        </w:tc>
        <w:tc>
          <w:tcPr>
            <w:tcW w:w="379" w:type="pct"/>
            <w:tcBorders>
              <w:top w:val="nil"/>
              <w:left w:val="nil"/>
              <w:bottom w:val="single" w:sz="8" w:space="0" w:color="auto"/>
              <w:right w:val="single" w:sz="8" w:space="0" w:color="auto"/>
            </w:tcBorders>
            <w:shd w:val="clear" w:color="auto" w:fill="auto"/>
            <w:vAlign w:val="center"/>
            <w:hideMark/>
          </w:tcPr>
          <w:p w14:paraId="623095E0"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19%</w:t>
            </w:r>
          </w:p>
        </w:tc>
        <w:tc>
          <w:tcPr>
            <w:tcW w:w="379" w:type="pct"/>
            <w:tcBorders>
              <w:top w:val="nil"/>
              <w:left w:val="nil"/>
              <w:bottom w:val="single" w:sz="8" w:space="0" w:color="auto"/>
              <w:right w:val="single" w:sz="8" w:space="0" w:color="auto"/>
            </w:tcBorders>
            <w:shd w:val="clear" w:color="auto" w:fill="auto"/>
            <w:vAlign w:val="center"/>
            <w:hideMark/>
          </w:tcPr>
          <w:p w14:paraId="7CF2A8AF"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21%</w:t>
            </w:r>
          </w:p>
        </w:tc>
        <w:tc>
          <w:tcPr>
            <w:tcW w:w="379" w:type="pct"/>
            <w:tcBorders>
              <w:top w:val="nil"/>
              <w:left w:val="nil"/>
              <w:bottom w:val="single" w:sz="8" w:space="0" w:color="auto"/>
              <w:right w:val="single" w:sz="8" w:space="0" w:color="auto"/>
            </w:tcBorders>
            <w:shd w:val="clear" w:color="auto" w:fill="auto"/>
            <w:vAlign w:val="center"/>
            <w:hideMark/>
          </w:tcPr>
          <w:p w14:paraId="043E3A83"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25%</w:t>
            </w:r>
          </w:p>
        </w:tc>
      </w:tr>
      <w:tr w:rsidR="0016610D" w:rsidRPr="0016610D" w14:paraId="76BACA42" w14:textId="77777777" w:rsidTr="3F3807E4">
        <w:trPr>
          <w:trHeight w:val="315"/>
        </w:trPr>
        <w:tc>
          <w:tcPr>
            <w:tcW w:w="410" w:type="pct"/>
            <w:tcBorders>
              <w:top w:val="nil"/>
              <w:left w:val="single" w:sz="8" w:space="0" w:color="auto"/>
              <w:bottom w:val="single" w:sz="8" w:space="0" w:color="auto"/>
              <w:right w:val="single" w:sz="8" w:space="0" w:color="auto"/>
            </w:tcBorders>
            <w:shd w:val="clear" w:color="auto" w:fill="auto"/>
            <w:vAlign w:val="center"/>
            <w:hideMark/>
          </w:tcPr>
          <w:p w14:paraId="4F16BD77" w14:textId="77777777" w:rsidR="0016610D" w:rsidRPr="0016610D" w:rsidRDefault="3982CBDC" w:rsidP="3982CBDC">
            <w:pPr>
              <w:keepNext/>
              <w:spacing w:after="0" w:line="240" w:lineRule="auto"/>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2045</w:t>
            </w:r>
          </w:p>
        </w:tc>
        <w:tc>
          <w:tcPr>
            <w:tcW w:w="285" w:type="pct"/>
            <w:tcBorders>
              <w:top w:val="nil"/>
              <w:left w:val="nil"/>
              <w:bottom w:val="single" w:sz="8" w:space="0" w:color="auto"/>
              <w:right w:val="single" w:sz="8" w:space="0" w:color="auto"/>
            </w:tcBorders>
            <w:shd w:val="clear" w:color="auto" w:fill="auto"/>
            <w:vAlign w:val="center"/>
            <w:hideMark/>
          </w:tcPr>
          <w:p w14:paraId="366F6C9A"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3</w:t>
            </w:r>
          </w:p>
        </w:tc>
        <w:tc>
          <w:tcPr>
            <w:tcW w:w="308" w:type="pct"/>
            <w:tcBorders>
              <w:top w:val="nil"/>
              <w:left w:val="nil"/>
              <w:bottom w:val="single" w:sz="8" w:space="0" w:color="auto"/>
              <w:right w:val="single" w:sz="8" w:space="0" w:color="auto"/>
            </w:tcBorders>
            <w:shd w:val="clear" w:color="auto" w:fill="auto"/>
            <w:vAlign w:val="center"/>
            <w:hideMark/>
          </w:tcPr>
          <w:p w14:paraId="6BA618C6"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3</w:t>
            </w:r>
          </w:p>
        </w:tc>
        <w:tc>
          <w:tcPr>
            <w:tcW w:w="293" w:type="pct"/>
            <w:tcBorders>
              <w:top w:val="nil"/>
              <w:left w:val="nil"/>
              <w:bottom w:val="single" w:sz="8" w:space="0" w:color="auto"/>
              <w:right w:val="single" w:sz="8" w:space="0" w:color="auto"/>
            </w:tcBorders>
            <w:shd w:val="clear" w:color="auto" w:fill="auto"/>
            <w:vAlign w:val="center"/>
            <w:hideMark/>
          </w:tcPr>
          <w:p w14:paraId="5E11530C"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1</w:t>
            </w:r>
          </w:p>
        </w:tc>
        <w:tc>
          <w:tcPr>
            <w:tcW w:w="300" w:type="pct"/>
            <w:tcBorders>
              <w:top w:val="nil"/>
              <w:left w:val="nil"/>
              <w:bottom w:val="single" w:sz="8" w:space="0" w:color="auto"/>
              <w:right w:val="single" w:sz="8" w:space="0" w:color="auto"/>
            </w:tcBorders>
            <w:shd w:val="clear" w:color="auto" w:fill="auto"/>
            <w:vAlign w:val="center"/>
            <w:hideMark/>
          </w:tcPr>
          <w:p w14:paraId="59ABDB95"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1</w:t>
            </w:r>
          </w:p>
        </w:tc>
        <w:tc>
          <w:tcPr>
            <w:tcW w:w="472" w:type="pct"/>
            <w:tcBorders>
              <w:top w:val="nil"/>
              <w:left w:val="nil"/>
              <w:bottom w:val="single" w:sz="8" w:space="0" w:color="auto"/>
              <w:right w:val="single" w:sz="8" w:space="0" w:color="auto"/>
            </w:tcBorders>
            <w:shd w:val="clear" w:color="auto" w:fill="auto"/>
            <w:vAlign w:val="center"/>
            <w:hideMark/>
          </w:tcPr>
          <w:p w14:paraId="3113D65F"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38%</w:t>
            </w:r>
          </w:p>
        </w:tc>
        <w:tc>
          <w:tcPr>
            <w:tcW w:w="472" w:type="pct"/>
            <w:tcBorders>
              <w:top w:val="nil"/>
              <w:left w:val="nil"/>
              <w:bottom w:val="single" w:sz="8" w:space="0" w:color="auto"/>
              <w:right w:val="single" w:sz="8" w:space="0" w:color="auto"/>
            </w:tcBorders>
            <w:shd w:val="clear" w:color="auto" w:fill="auto"/>
            <w:vAlign w:val="center"/>
            <w:hideMark/>
          </w:tcPr>
          <w:p w14:paraId="6113BBEC"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28%</w:t>
            </w:r>
          </w:p>
        </w:tc>
        <w:tc>
          <w:tcPr>
            <w:tcW w:w="472" w:type="pct"/>
            <w:tcBorders>
              <w:top w:val="nil"/>
              <w:left w:val="nil"/>
              <w:bottom w:val="single" w:sz="8" w:space="0" w:color="auto"/>
              <w:right w:val="single" w:sz="8" w:space="0" w:color="auto"/>
            </w:tcBorders>
            <w:shd w:val="clear" w:color="auto" w:fill="auto"/>
            <w:vAlign w:val="center"/>
            <w:hideMark/>
          </w:tcPr>
          <w:p w14:paraId="4D1D3C87"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39%</w:t>
            </w:r>
          </w:p>
        </w:tc>
        <w:tc>
          <w:tcPr>
            <w:tcW w:w="472" w:type="pct"/>
            <w:tcBorders>
              <w:top w:val="nil"/>
              <w:left w:val="nil"/>
              <w:bottom w:val="single" w:sz="8" w:space="0" w:color="auto"/>
              <w:right w:val="single" w:sz="8" w:space="0" w:color="auto"/>
            </w:tcBorders>
            <w:shd w:val="clear" w:color="auto" w:fill="auto"/>
            <w:vAlign w:val="center"/>
            <w:hideMark/>
          </w:tcPr>
          <w:p w14:paraId="75A7E12E"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42%</w:t>
            </w:r>
          </w:p>
        </w:tc>
        <w:tc>
          <w:tcPr>
            <w:tcW w:w="379" w:type="pct"/>
            <w:tcBorders>
              <w:top w:val="nil"/>
              <w:left w:val="nil"/>
              <w:bottom w:val="single" w:sz="8" w:space="0" w:color="auto"/>
              <w:right w:val="single" w:sz="8" w:space="0" w:color="auto"/>
            </w:tcBorders>
            <w:shd w:val="clear" w:color="auto" w:fill="auto"/>
            <w:vAlign w:val="center"/>
            <w:hideMark/>
          </w:tcPr>
          <w:p w14:paraId="44768F42"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14%</w:t>
            </w:r>
          </w:p>
        </w:tc>
        <w:tc>
          <w:tcPr>
            <w:tcW w:w="379" w:type="pct"/>
            <w:tcBorders>
              <w:top w:val="nil"/>
              <w:left w:val="nil"/>
              <w:bottom w:val="single" w:sz="8" w:space="0" w:color="auto"/>
              <w:right w:val="single" w:sz="8" w:space="0" w:color="auto"/>
            </w:tcBorders>
            <w:shd w:val="clear" w:color="auto" w:fill="auto"/>
            <w:vAlign w:val="center"/>
            <w:hideMark/>
          </w:tcPr>
          <w:p w14:paraId="1362A009"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17%</w:t>
            </w:r>
          </w:p>
        </w:tc>
        <w:tc>
          <w:tcPr>
            <w:tcW w:w="379" w:type="pct"/>
            <w:tcBorders>
              <w:top w:val="nil"/>
              <w:left w:val="nil"/>
              <w:bottom w:val="single" w:sz="8" w:space="0" w:color="auto"/>
              <w:right w:val="single" w:sz="8" w:space="0" w:color="auto"/>
            </w:tcBorders>
            <w:shd w:val="clear" w:color="auto" w:fill="auto"/>
            <w:vAlign w:val="center"/>
            <w:hideMark/>
          </w:tcPr>
          <w:p w14:paraId="49A23091"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18%</w:t>
            </w:r>
          </w:p>
        </w:tc>
        <w:tc>
          <w:tcPr>
            <w:tcW w:w="379" w:type="pct"/>
            <w:tcBorders>
              <w:top w:val="nil"/>
              <w:left w:val="nil"/>
              <w:bottom w:val="single" w:sz="8" w:space="0" w:color="auto"/>
              <w:right w:val="single" w:sz="8" w:space="0" w:color="auto"/>
            </w:tcBorders>
            <w:shd w:val="clear" w:color="auto" w:fill="auto"/>
            <w:vAlign w:val="center"/>
            <w:hideMark/>
          </w:tcPr>
          <w:p w14:paraId="6E2E0676"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20%</w:t>
            </w:r>
          </w:p>
        </w:tc>
      </w:tr>
      <w:tr w:rsidR="0016610D" w:rsidRPr="0016610D" w14:paraId="0439FD54" w14:textId="77777777" w:rsidTr="3F3807E4">
        <w:trPr>
          <w:trHeight w:val="315"/>
        </w:trPr>
        <w:tc>
          <w:tcPr>
            <w:tcW w:w="410" w:type="pct"/>
            <w:tcBorders>
              <w:top w:val="nil"/>
              <w:left w:val="single" w:sz="8" w:space="0" w:color="auto"/>
              <w:bottom w:val="single" w:sz="8" w:space="0" w:color="auto"/>
              <w:right w:val="single" w:sz="8" w:space="0" w:color="auto"/>
            </w:tcBorders>
            <w:shd w:val="clear" w:color="auto" w:fill="auto"/>
            <w:vAlign w:val="center"/>
            <w:hideMark/>
          </w:tcPr>
          <w:p w14:paraId="76EE4DAB" w14:textId="77777777" w:rsidR="0016610D" w:rsidRPr="0016610D" w:rsidRDefault="3982CBDC" w:rsidP="3982CBDC">
            <w:pPr>
              <w:keepNext/>
              <w:spacing w:after="0" w:line="240" w:lineRule="auto"/>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2050</w:t>
            </w:r>
          </w:p>
        </w:tc>
        <w:tc>
          <w:tcPr>
            <w:tcW w:w="285" w:type="pct"/>
            <w:tcBorders>
              <w:top w:val="nil"/>
              <w:left w:val="nil"/>
              <w:bottom w:val="single" w:sz="8" w:space="0" w:color="auto"/>
              <w:right w:val="single" w:sz="8" w:space="0" w:color="auto"/>
            </w:tcBorders>
            <w:shd w:val="clear" w:color="auto" w:fill="auto"/>
            <w:vAlign w:val="center"/>
            <w:hideMark/>
          </w:tcPr>
          <w:p w14:paraId="2F269787"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3</w:t>
            </w:r>
          </w:p>
        </w:tc>
        <w:tc>
          <w:tcPr>
            <w:tcW w:w="308" w:type="pct"/>
            <w:tcBorders>
              <w:top w:val="nil"/>
              <w:left w:val="nil"/>
              <w:bottom w:val="single" w:sz="8" w:space="0" w:color="auto"/>
              <w:right w:val="single" w:sz="8" w:space="0" w:color="auto"/>
            </w:tcBorders>
            <w:shd w:val="clear" w:color="auto" w:fill="auto"/>
            <w:vAlign w:val="center"/>
            <w:hideMark/>
          </w:tcPr>
          <w:p w14:paraId="768FDA00"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3</w:t>
            </w:r>
          </w:p>
        </w:tc>
        <w:tc>
          <w:tcPr>
            <w:tcW w:w="293" w:type="pct"/>
            <w:tcBorders>
              <w:top w:val="nil"/>
              <w:left w:val="nil"/>
              <w:bottom w:val="single" w:sz="8" w:space="0" w:color="auto"/>
              <w:right w:val="single" w:sz="8" w:space="0" w:color="auto"/>
            </w:tcBorders>
            <w:shd w:val="clear" w:color="auto" w:fill="auto"/>
            <w:vAlign w:val="center"/>
            <w:hideMark/>
          </w:tcPr>
          <w:p w14:paraId="07AB288A"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1</w:t>
            </w:r>
          </w:p>
        </w:tc>
        <w:tc>
          <w:tcPr>
            <w:tcW w:w="300" w:type="pct"/>
            <w:tcBorders>
              <w:top w:val="nil"/>
              <w:left w:val="nil"/>
              <w:bottom w:val="single" w:sz="8" w:space="0" w:color="auto"/>
              <w:right w:val="single" w:sz="8" w:space="0" w:color="auto"/>
            </w:tcBorders>
            <w:shd w:val="clear" w:color="auto" w:fill="auto"/>
            <w:vAlign w:val="center"/>
            <w:hideMark/>
          </w:tcPr>
          <w:p w14:paraId="4C3EF765"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1</w:t>
            </w:r>
          </w:p>
        </w:tc>
        <w:tc>
          <w:tcPr>
            <w:tcW w:w="472" w:type="pct"/>
            <w:tcBorders>
              <w:top w:val="nil"/>
              <w:left w:val="nil"/>
              <w:bottom w:val="single" w:sz="8" w:space="0" w:color="auto"/>
              <w:right w:val="single" w:sz="8" w:space="0" w:color="auto"/>
            </w:tcBorders>
            <w:shd w:val="clear" w:color="auto" w:fill="auto"/>
            <w:vAlign w:val="center"/>
            <w:hideMark/>
          </w:tcPr>
          <w:p w14:paraId="26A5BF8D"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33%</w:t>
            </w:r>
          </w:p>
        </w:tc>
        <w:tc>
          <w:tcPr>
            <w:tcW w:w="472" w:type="pct"/>
            <w:tcBorders>
              <w:top w:val="nil"/>
              <w:left w:val="nil"/>
              <w:bottom w:val="single" w:sz="8" w:space="0" w:color="auto"/>
              <w:right w:val="single" w:sz="8" w:space="0" w:color="auto"/>
            </w:tcBorders>
            <w:shd w:val="clear" w:color="auto" w:fill="auto"/>
            <w:vAlign w:val="center"/>
            <w:hideMark/>
          </w:tcPr>
          <w:p w14:paraId="3FB2403E"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35%</w:t>
            </w:r>
          </w:p>
        </w:tc>
        <w:tc>
          <w:tcPr>
            <w:tcW w:w="472" w:type="pct"/>
            <w:tcBorders>
              <w:top w:val="nil"/>
              <w:left w:val="nil"/>
              <w:bottom w:val="single" w:sz="8" w:space="0" w:color="auto"/>
              <w:right w:val="single" w:sz="8" w:space="0" w:color="auto"/>
            </w:tcBorders>
            <w:shd w:val="clear" w:color="auto" w:fill="auto"/>
            <w:vAlign w:val="center"/>
            <w:hideMark/>
          </w:tcPr>
          <w:p w14:paraId="345750F5"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34%</w:t>
            </w:r>
          </w:p>
        </w:tc>
        <w:tc>
          <w:tcPr>
            <w:tcW w:w="472" w:type="pct"/>
            <w:tcBorders>
              <w:top w:val="nil"/>
              <w:left w:val="nil"/>
              <w:bottom w:val="single" w:sz="8" w:space="0" w:color="auto"/>
              <w:right w:val="single" w:sz="8" w:space="0" w:color="auto"/>
            </w:tcBorders>
            <w:shd w:val="clear" w:color="auto" w:fill="auto"/>
            <w:vAlign w:val="center"/>
            <w:hideMark/>
          </w:tcPr>
          <w:p w14:paraId="14C996F5"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45%</w:t>
            </w:r>
          </w:p>
        </w:tc>
        <w:tc>
          <w:tcPr>
            <w:tcW w:w="379" w:type="pct"/>
            <w:tcBorders>
              <w:top w:val="nil"/>
              <w:left w:val="nil"/>
              <w:bottom w:val="single" w:sz="8" w:space="0" w:color="auto"/>
              <w:right w:val="single" w:sz="8" w:space="0" w:color="auto"/>
            </w:tcBorders>
            <w:shd w:val="clear" w:color="auto" w:fill="auto"/>
            <w:vAlign w:val="center"/>
            <w:hideMark/>
          </w:tcPr>
          <w:p w14:paraId="14B0E137"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12%</w:t>
            </w:r>
          </w:p>
        </w:tc>
        <w:tc>
          <w:tcPr>
            <w:tcW w:w="379" w:type="pct"/>
            <w:tcBorders>
              <w:top w:val="nil"/>
              <w:left w:val="nil"/>
              <w:bottom w:val="single" w:sz="8" w:space="0" w:color="auto"/>
              <w:right w:val="single" w:sz="8" w:space="0" w:color="auto"/>
            </w:tcBorders>
            <w:shd w:val="clear" w:color="auto" w:fill="auto"/>
            <w:vAlign w:val="center"/>
            <w:hideMark/>
          </w:tcPr>
          <w:p w14:paraId="60BCB4E6"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16%</w:t>
            </w:r>
          </w:p>
        </w:tc>
        <w:tc>
          <w:tcPr>
            <w:tcW w:w="379" w:type="pct"/>
            <w:tcBorders>
              <w:top w:val="nil"/>
              <w:left w:val="nil"/>
              <w:bottom w:val="single" w:sz="8" w:space="0" w:color="auto"/>
              <w:right w:val="single" w:sz="8" w:space="0" w:color="auto"/>
            </w:tcBorders>
            <w:shd w:val="clear" w:color="auto" w:fill="auto"/>
            <w:vAlign w:val="center"/>
            <w:hideMark/>
          </w:tcPr>
          <w:p w14:paraId="4274C50E"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16%</w:t>
            </w:r>
          </w:p>
        </w:tc>
        <w:tc>
          <w:tcPr>
            <w:tcW w:w="379" w:type="pct"/>
            <w:tcBorders>
              <w:top w:val="nil"/>
              <w:left w:val="nil"/>
              <w:bottom w:val="single" w:sz="8" w:space="0" w:color="auto"/>
              <w:right w:val="single" w:sz="8" w:space="0" w:color="auto"/>
            </w:tcBorders>
            <w:shd w:val="clear" w:color="auto" w:fill="auto"/>
            <w:vAlign w:val="center"/>
            <w:hideMark/>
          </w:tcPr>
          <w:p w14:paraId="14B87A56" w14:textId="77777777" w:rsidR="0016610D" w:rsidRPr="0016610D" w:rsidRDefault="3982CBDC" w:rsidP="3982CBDC">
            <w:pPr>
              <w:keepNext/>
              <w:spacing w:after="0" w:line="240" w:lineRule="auto"/>
              <w:jc w:val="right"/>
              <w:rPr>
                <w:rFonts w:ascii="Arial" w:eastAsia="Times New Roman" w:hAnsi="Arial" w:cs="Arial"/>
                <w:noProof/>
                <w:color w:val="000000" w:themeColor="text1"/>
                <w:sz w:val="20"/>
                <w:szCs w:val="20"/>
                <w:lang w:val="de-DE" w:eastAsia="de-DE"/>
              </w:rPr>
            </w:pPr>
            <w:r w:rsidRPr="3982CBDC">
              <w:rPr>
                <w:rFonts w:ascii="Arial" w:eastAsia="Times New Roman" w:hAnsi="Arial" w:cs="Arial"/>
                <w:noProof/>
                <w:color w:val="000000" w:themeColor="text1"/>
                <w:sz w:val="20"/>
                <w:szCs w:val="20"/>
                <w:lang w:eastAsia="de-DE"/>
              </w:rPr>
              <w:t>21%</w:t>
            </w:r>
          </w:p>
        </w:tc>
      </w:tr>
    </w:tbl>
    <w:p w14:paraId="3FB828F4" w14:textId="77777777" w:rsidR="0016610D" w:rsidRPr="0016610D" w:rsidRDefault="0016610D" w:rsidP="0016610D">
      <w:pPr>
        <w:rPr>
          <w:rFonts w:ascii="Arial" w:eastAsia="Calibri" w:hAnsi="Arial" w:cs="Arial"/>
          <w:noProof/>
          <w:sz w:val="20"/>
        </w:rPr>
      </w:pPr>
    </w:p>
    <w:p w14:paraId="1707DD47" w14:textId="77777777" w:rsidR="0016610D" w:rsidRPr="00D770DC" w:rsidRDefault="3982CBDC" w:rsidP="3982CBDC">
      <w:pPr>
        <w:rPr>
          <w:rFonts w:eastAsia="Calibri" w:cs="Times New Roman"/>
          <w:noProof/>
          <w:szCs w:val="24"/>
        </w:rPr>
      </w:pPr>
      <w:r w:rsidRPr="00D770DC">
        <w:rPr>
          <w:rFonts w:eastAsia="Calibri" w:cs="Times New Roman"/>
          <w:noProof/>
          <w:szCs w:val="24"/>
        </w:rPr>
        <w:t>Generally, an estimation of future reclamation rates is difficult and deviations from the assumed rates are possible, especially in the long-term. However, reclamation plays a pivotal role for the restriction of placing on the market (POM) quantities. Since reclaimed quantities are exempted from the phase-down, an increase in reclamation allows for an increase in virgin HFCs on the market. Following market logic, in the model it is assumed that with increasing non-virgin HFC quantities (reclamation), more virgin HFCs are placed on the market.</w:t>
      </w:r>
    </w:p>
    <w:p w14:paraId="23C0AEF5" w14:textId="77777777" w:rsidR="00661882" w:rsidRPr="00661882" w:rsidRDefault="3982CBDC" w:rsidP="0017603A">
      <w:pPr>
        <w:pStyle w:val="AppendixHeadingLevel3"/>
        <w:numPr>
          <w:ilvl w:val="2"/>
          <w:numId w:val="112"/>
        </w:numPr>
        <w:rPr>
          <w:noProof/>
          <w:lang w:eastAsia="en-GB"/>
        </w:rPr>
      </w:pPr>
      <w:bookmarkStart w:id="547" w:name="_Toc82365034"/>
      <w:r w:rsidRPr="3982CBDC">
        <w:rPr>
          <w:noProof/>
          <w:lang w:eastAsia="en-GB"/>
        </w:rPr>
        <w:t>Validation of the baseline HFC phase-down scenario</w:t>
      </w:r>
      <w:bookmarkEnd w:id="547"/>
    </w:p>
    <w:p w14:paraId="3204AF64" w14:textId="200149B8" w:rsidR="00661882" w:rsidRPr="00D770DC" w:rsidRDefault="00661882" w:rsidP="0085241A">
      <w:pPr>
        <w:spacing w:before="60" w:after="0"/>
        <w:rPr>
          <w:rFonts w:eastAsia="Calibri" w:cs="Times New Roman"/>
          <w:noProof/>
          <w:szCs w:val="24"/>
        </w:rPr>
      </w:pPr>
      <w:r w:rsidRPr="00D770DC">
        <w:rPr>
          <w:rFonts w:eastAsia="Calibri" w:cs="Times New Roman"/>
          <w:noProof/>
          <w:szCs w:val="24"/>
        </w:rPr>
        <w:t>To ensure that the HFC demand (excluding MDIs and semiconductors), calculated under the baseline scenario, does not exceed the placing on the market restrictions set out by the Regulation, the demand was adjusted to conform as close</w:t>
      </w:r>
      <w:r w:rsidR="00CF0B6B" w:rsidRPr="00D770DC">
        <w:rPr>
          <w:rFonts w:eastAsia="Calibri" w:cs="Times New Roman"/>
          <w:noProof/>
          <w:szCs w:val="24"/>
        </w:rPr>
        <w:t>ly</w:t>
      </w:r>
      <w:r w:rsidRPr="00D770DC">
        <w:rPr>
          <w:rFonts w:eastAsia="Calibri" w:cs="Times New Roman"/>
          <w:noProof/>
          <w:szCs w:val="24"/>
        </w:rPr>
        <w:t xml:space="preserve"> as poss</w:t>
      </w:r>
      <w:r w:rsidR="00CF0B6B" w:rsidRPr="00D770DC">
        <w:rPr>
          <w:rFonts w:eastAsia="Calibri" w:cs="Times New Roman"/>
          <w:noProof/>
          <w:szCs w:val="24"/>
        </w:rPr>
        <w:t>ible to</w:t>
      </w:r>
      <w:r w:rsidRPr="00D770DC">
        <w:rPr>
          <w:rFonts w:eastAsia="Calibri" w:cs="Times New Roman"/>
          <w:noProof/>
          <w:szCs w:val="24"/>
        </w:rPr>
        <w:t xml:space="preserve"> the POM metric. Since the modelled demand includes reclaimed quantities that are not covered by the HFC phase-down, the reclamation quantities listed for specific years in </w:t>
      </w:r>
      <w:r w:rsidRPr="00D770DC">
        <w:rPr>
          <w:rFonts w:cs="Times New Roman"/>
          <w:noProof/>
          <w:szCs w:val="24"/>
        </w:rPr>
        <w:fldChar w:fldCharType="begin"/>
      </w:r>
      <w:r w:rsidRPr="00D770DC">
        <w:rPr>
          <w:rFonts w:eastAsia="Calibri" w:cs="Times New Roman"/>
          <w:noProof/>
          <w:szCs w:val="24"/>
        </w:rPr>
        <w:instrText xml:space="preserve"> REF _Ref77768504 \h </w:instrText>
      </w:r>
      <w:r w:rsidR="00D770DC" w:rsidRPr="00D770DC">
        <w:rPr>
          <w:rFonts w:cs="Times New Roman"/>
          <w:noProof/>
          <w:szCs w:val="24"/>
        </w:rPr>
        <w:instrText xml:space="preserve"> \* MERGEFORMAT </w:instrText>
      </w:r>
      <w:r w:rsidRPr="00D770DC">
        <w:rPr>
          <w:rFonts w:cs="Times New Roman"/>
          <w:noProof/>
          <w:szCs w:val="24"/>
        </w:rPr>
      </w:r>
      <w:r w:rsidRPr="00D770DC">
        <w:rPr>
          <w:rFonts w:eastAsia="Calibri" w:cs="Times New Roman"/>
          <w:noProof/>
          <w:szCs w:val="24"/>
        </w:rPr>
        <w:fldChar w:fldCharType="separate"/>
      </w:r>
      <w:r w:rsidR="00C66A21" w:rsidRPr="00C66A21">
        <w:rPr>
          <w:rFonts w:eastAsia="Calibri" w:cs="Times New Roman"/>
          <w:noProof/>
          <w:szCs w:val="24"/>
        </w:rPr>
        <w:t>Table 17</w:t>
      </w:r>
      <w:r w:rsidRPr="00D770DC">
        <w:rPr>
          <w:rFonts w:cs="Times New Roman"/>
          <w:noProof/>
          <w:szCs w:val="24"/>
        </w:rPr>
        <w:fldChar w:fldCharType="end"/>
      </w:r>
      <w:r w:rsidRPr="00D770DC">
        <w:rPr>
          <w:rFonts w:eastAsia="Calibri" w:cs="Times New Roman"/>
          <w:noProof/>
          <w:szCs w:val="24"/>
        </w:rPr>
        <w:t xml:space="preserve"> w</w:t>
      </w:r>
      <w:r w:rsidR="00CF0B6B" w:rsidRPr="00D770DC">
        <w:rPr>
          <w:rFonts w:eastAsia="Calibri" w:cs="Times New Roman"/>
          <w:noProof/>
          <w:szCs w:val="24"/>
        </w:rPr>
        <w:t xml:space="preserve">ere subtracted from the demand. </w:t>
      </w:r>
      <w:r w:rsidR="00CF0B6B" w:rsidRPr="00D770DC">
        <w:rPr>
          <w:rFonts w:cs="Times New Roman"/>
          <w:noProof/>
          <w:szCs w:val="24"/>
        </w:rPr>
        <w:fldChar w:fldCharType="begin"/>
      </w:r>
      <w:r w:rsidR="00CF0B6B" w:rsidRPr="00D770DC">
        <w:rPr>
          <w:rFonts w:eastAsia="Calibri" w:cs="Times New Roman"/>
          <w:noProof/>
          <w:szCs w:val="24"/>
        </w:rPr>
        <w:instrText xml:space="preserve"> REF _Ref83022279 \h </w:instrText>
      </w:r>
      <w:r w:rsidR="00D770DC" w:rsidRPr="00D770DC">
        <w:rPr>
          <w:rFonts w:cs="Times New Roman"/>
          <w:noProof/>
          <w:szCs w:val="24"/>
        </w:rPr>
        <w:instrText xml:space="preserve"> \* MERGEFORMAT </w:instrText>
      </w:r>
      <w:r w:rsidR="00CF0B6B" w:rsidRPr="00D770DC">
        <w:rPr>
          <w:rFonts w:cs="Times New Roman"/>
          <w:noProof/>
          <w:szCs w:val="24"/>
        </w:rPr>
      </w:r>
      <w:r w:rsidR="00CF0B6B" w:rsidRPr="00D770DC">
        <w:rPr>
          <w:rFonts w:eastAsia="Calibri" w:cs="Times New Roman"/>
          <w:noProof/>
          <w:szCs w:val="24"/>
          <w:lang w:val="de-DE"/>
        </w:rPr>
        <w:fldChar w:fldCharType="separate"/>
      </w:r>
      <w:r w:rsidR="00C66A21" w:rsidRPr="00C66A21">
        <w:rPr>
          <w:rFonts w:eastAsia="Calibri" w:cs="Times New Roman"/>
          <w:noProof/>
          <w:szCs w:val="24"/>
        </w:rPr>
        <w:t>Figure 13</w:t>
      </w:r>
      <w:r w:rsidR="00CF0B6B" w:rsidRPr="00D770DC">
        <w:rPr>
          <w:rFonts w:cs="Times New Roman"/>
          <w:noProof/>
          <w:szCs w:val="24"/>
        </w:rPr>
        <w:fldChar w:fldCharType="end"/>
      </w:r>
      <w:r w:rsidR="00CF0B6B" w:rsidRPr="00D770DC">
        <w:rPr>
          <w:rFonts w:eastAsia="Calibri" w:cs="Times New Roman"/>
          <w:noProof/>
          <w:szCs w:val="24"/>
        </w:rPr>
        <w:t xml:space="preserve"> shows </w:t>
      </w:r>
      <w:r w:rsidRPr="00D770DC">
        <w:rPr>
          <w:rFonts w:eastAsia="Calibri" w:cs="Times New Roman"/>
          <w:noProof/>
          <w:szCs w:val="24"/>
        </w:rPr>
        <w:t>the adjusted baseline HFC demand in comparison to the HFC POM limit under the Regulation. From 2020 to 2050, the area under the curve for the adjusted demand (or the sum over all yearly values) exceeds the area for the POM limit by 38 Mt CO</w:t>
      </w:r>
      <w:r w:rsidRPr="00D770DC">
        <w:rPr>
          <w:rFonts w:eastAsia="Calibri" w:cs="Times New Roman"/>
          <w:noProof/>
          <w:szCs w:val="24"/>
          <w:vertAlign w:val="subscript"/>
        </w:rPr>
        <w:t>2</w:t>
      </w:r>
      <w:r w:rsidRPr="00D770DC">
        <w:rPr>
          <w:rFonts w:eastAsia="Calibri" w:cs="Times New Roman"/>
          <w:noProof/>
          <w:szCs w:val="24"/>
        </w:rPr>
        <w:t xml:space="preserve"> eq. This difference can be flexibly compensated by the approximately 69 Mt CO</w:t>
      </w:r>
      <w:r w:rsidRPr="00D770DC">
        <w:rPr>
          <w:rFonts w:eastAsia="Calibri" w:cs="Times New Roman"/>
          <w:noProof/>
          <w:szCs w:val="24"/>
          <w:vertAlign w:val="subscript"/>
        </w:rPr>
        <w:t>2</w:t>
      </w:r>
      <w:r w:rsidRPr="00D770DC">
        <w:rPr>
          <w:rFonts w:eastAsia="Calibri" w:cs="Times New Roman"/>
          <w:noProof/>
          <w:szCs w:val="24"/>
        </w:rPr>
        <w:t xml:space="preserve"> eq of authorisations that are still available as of 2020 (EEA 2021). </w:t>
      </w:r>
    </w:p>
    <w:p w14:paraId="6172ACB0" w14:textId="77777777" w:rsidR="00661882" w:rsidRPr="00D770DC" w:rsidRDefault="00661882" w:rsidP="00661882">
      <w:pPr>
        <w:keepNext/>
        <w:spacing w:before="60" w:after="0" w:line="288" w:lineRule="auto"/>
        <w:jc w:val="left"/>
        <w:rPr>
          <w:rFonts w:ascii="Arial" w:eastAsia="Calibri" w:hAnsi="Arial" w:cs="Arial"/>
          <w:noProof/>
          <w:sz w:val="20"/>
        </w:rPr>
      </w:pPr>
      <w:r>
        <w:rPr>
          <w:noProof/>
          <w:lang w:eastAsia="en-GB"/>
        </w:rPr>
        <w:drawing>
          <wp:inline distT="0" distB="0" distL="0" distR="0" wp14:anchorId="3486A86B" wp14:editId="00229F46">
            <wp:extent cx="5731382" cy="4093844"/>
            <wp:effectExtent l="0" t="0" r="3175" b="2540"/>
            <wp:docPr id="64451954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31382" cy="4093844"/>
                    </a:xfrm>
                    <a:prstGeom prst="rect">
                      <a:avLst/>
                    </a:prstGeom>
                  </pic:spPr>
                </pic:pic>
              </a:graphicData>
            </a:graphic>
          </wp:inline>
        </w:drawing>
      </w:r>
    </w:p>
    <w:p w14:paraId="1C5B9D15" w14:textId="67FFE1F6" w:rsidR="004655EE" w:rsidRPr="00D770DC" w:rsidRDefault="004655EE" w:rsidP="004655EE">
      <w:pPr>
        <w:keepNext/>
        <w:spacing w:before="60" w:after="0" w:line="288" w:lineRule="auto"/>
        <w:jc w:val="left"/>
        <w:rPr>
          <w:rFonts w:ascii="Calibri" w:eastAsia="Calibri" w:hAnsi="Calibri" w:cs="Arial"/>
          <w:noProof/>
          <w:color w:val="0070C0"/>
          <w:sz w:val="20"/>
        </w:rPr>
      </w:pPr>
      <w:bookmarkStart w:id="548" w:name="_Ref83022279"/>
      <w:bookmarkStart w:id="549" w:name="_Ref83022272"/>
      <w:r w:rsidRPr="00D770DC">
        <w:rPr>
          <w:rFonts w:ascii="Calibri" w:eastAsia="Calibri" w:hAnsi="Calibri" w:cs="Arial"/>
          <w:b/>
          <w:noProof/>
          <w:color w:val="0070C0"/>
          <w:sz w:val="20"/>
        </w:rPr>
        <w:t xml:space="preserve">Figure </w:t>
      </w:r>
      <w:r w:rsidRPr="00D770DC">
        <w:rPr>
          <w:rFonts w:ascii="Calibri" w:eastAsia="Calibri" w:hAnsi="Calibri" w:cs="Arial"/>
          <w:b/>
          <w:noProof/>
          <w:color w:val="0070C0"/>
          <w:sz w:val="20"/>
          <w:lang w:val="de-DE"/>
        </w:rPr>
        <w:fldChar w:fldCharType="begin"/>
      </w:r>
      <w:r w:rsidRPr="00D770DC">
        <w:rPr>
          <w:rFonts w:ascii="Calibri" w:eastAsia="Calibri" w:hAnsi="Calibri" w:cs="Arial"/>
          <w:b/>
          <w:noProof/>
          <w:color w:val="0070C0"/>
          <w:sz w:val="20"/>
        </w:rPr>
        <w:instrText xml:space="preserve"> SEQ Figure \* ARABIC </w:instrText>
      </w:r>
      <w:r w:rsidRPr="00D770DC">
        <w:rPr>
          <w:rFonts w:ascii="Calibri" w:eastAsia="Calibri" w:hAnsi="Calibri" w:cs="Arial"/>
          <w:b/>
          <w:noProof/>
          <w:color w:val="0070C0"/>
          <w:sz w:val="20"/>
          <w:lang w:val="de-DE"/>
        </w:rPr>
        <w:fldChar w:fldCharType="separate"/>
      </w:r>
      <w:r w:rsidR="00C66A21">
        <w:rPr>
          <w:rFonts w:ascii="Calibri" w:eastAsia="Calibri" w:hAnsi="Calibri" w:cs="Arial"/>
          <w:b/>
          <w:noProof/>
          <w:color w:val="0070C0"/>
          <w:sz w:val="20"/>
        </w:rPr>
        <w:t>13</w:t>
      </w:r>
      <w:r w:rsidRPr="00D770DC">
        <w:rPr>
          <w:rFonts w:ascii="Calibri" w:eastAsia="Calibri" w:hAnsi="Calibri" w:cs="Arial"/>
          <w:b/>
          <w:noProof/>
          <w:color w:val="0070C0"/>
          <w:sz w:val="20"/>
          <w:lang w:val="de-DE"/>
        </w:rPr>
        <w:fldChar w:fldCharType="end"/>
      </w:r>
      <w:bookmarkEnd w:id="548"/>
      <w:r>
        <w:rPr>
          <w:rFonts w:ascii="Calibri" w:eastAsia="Calibri" w:hAnsi="Calibri" w:cs="Arial"/>
          <w:noProof/>
          <w:color w:val="0070C0"/>
          <w:sz w:val="20"/>
        </w:rPr>
        <w:t>.</w:t>
      </w:r>
      <w:r w:rsidRPr="00D770DC">
        <w:rPr>
          <w:rFonts w:ascii="Calibri" w:eastAsia="Calibri" w:hAnsi="Calibri" w:cs="Arial"/>
          <w:noProof/>
          <w:color w:val="0070C0"/>
          <w:sz w:val="20"/>
        </w:rPr>
        <w:t xml:space="preserve"> Adjusted HFC demand under the baseline and HFC POM limit under the Regulation</w:t>
      </w:r>
      <w:bookmarkEnd w:id="549"/>
    </w:p>
    <w:p w14:paraId="0757CE5B" w14:textId="77777777" w:rsidR="00661882" w:rsidRPr="0085241A" w:rsidRDefault="00661882" w:rsidP="00661882">
      <w:pPr>
        <w:keepNext/>
        <w:spacing w:before="60" w:after="0" w:line="288" w:lineRule="auto"/>
        <w:jc w:val="left"/>
        <w:rPr>
          <w:rFonts w:asciiTheme="minorHAnsi" w:hAnsiTheme="minorHAnsi"/>
          <w:i/>
          <w:noProof/>
          <w:sz w:val="20"/>
        </w:rPr>
      </w:pPr>
      <w:r w:rsidRPr="0085241A">
        <w:rPr>
          <w:rFonts w:asciiTheme="minorHAnsi" w:hAnsiTheme="minorHAnsi"/>
          <w:b/>
          <w:i/>
          <w:noProof/>
          <w:sz w:val="20"/>
        </w:rPr>
        <w:t>Source:</w:t>
      </w:r>
      <w:r w:rsidRPr="0085241A">
        <w:rPr>
          <w:rFonts w:asciiTheme="minorHAnsi" w:hAnsiTheme="minorHAnsi"/>
          <w:i/>
          <w:noProof/>
          <w:sz w:val="20"/>
        </w:rPr>
        <w:t xml:space="preserve"> AnaFgas modelling</w:t>
      </w:r>
    </w:p>
    <w:p w14:paraId="4E943A8C" w14:textId="77777777" w:rsidR="00F8609F" w:rsidRPr="00F8609F" w:rsidRDefault="00F8609F" w:rsidP="0017603A">
      <w:pPr>
        <w:pStyle w:val="AppendixHeadingLevel3"/>
        <w:numPr>
          <w:ilvl w:val="2"/>
          <w:numId w:val="112"/>
        </w:numPr>
        <w:rPr>
          <w:noProof/>
          <w:lang w:eastAsia="en-GB"/>
        </w:rPr>
      </w:pPr>
      <w:bookmarkStart w:id="550" w:name="_Toc77077485"/>
      <w:bookmarkStart w:id="551" w:name="_Toc77782592"/>
      <w:bookmarkStart w:id="552" w:name="_Toc82365036"/>
      <w:r w:rsidRPr="00F8609F">
        <w:rPr>
          <w:noProof/>
          <w:lang w:eastAsia="en-GB"/>
        </w:rPr>
        <w:t>Modelling scenario definitions</w:t>
      </w:r>
      <w:bookmarkEnd w:id="550"/>
      <w:bookmarkEnd w:id="551"/>
      <w:bookmarkEnd w:id="552"/>
    </w:p>
    <w:p w14:paraId="2796DD42" w14:textId="0B87F21E" w:rsidR="00F8609F" w:rsidRPr="00D770DC" w:rsidRDefault="00C72800" w:rsidP="00D770DC">
      <w:pPr>
        <w:spacing w:after="120"/>
        <w:ind w:right="-23"/>
        <w:outlineLvl w:val="3"/>
        <w:rPr>
          <w:rFonts w:ascii="Arial" w:eastAsia="Times New Roman" w:hAnsi="Arial" w:cs="Times New Roman"/>
          <w:b/>
          <w:i/>
          <w:noProof/>
          <w:color w:val="006BB7"/>
          <w:sz w:val="20"/>
          <w:szCs w:val="20"/>
          <w:lang w:eastAsia="en-GB"/>
        </w:rPr>
      </w:pPr>
      <w:r w:rsidRPr="00D770DC">
        <w:rPr>
          <w:rFonts w:ascii="Arial" w:eastAsia="Times New Roman" w:hAnsi="Arial" w:cs="Times New Roman"/>
          <w:b/>
          <w:i/>
          <w:noProof/>
          <w:color w:val="006BB7"/>
          <w:sz w:val="20"/>
          <w:szCs w:val="20"/>
          <w:lang w:eastAsia="en-GB"/>
        </w:rPr>
        <w:t>Policy option</w:t>
      </w:r>
      <w:r w:rsidR="00F8609F" w:rsidRPr="00D770DC">
        <w:rPr>
          <w:rFonts w:ascii="Arial" w:eastAsia="Times New Roman" w:hAnsi="Arial" w:cs="Times New Roman"/>
          <w:b/>
          <w:i/>
          <w:noProof/>
          <w:color w:val="006BB7"/>
          <w:sz w:val="20"/>
          <w:szCs w:val="20"/>
          <w:lang w:eastAsia="en-GB"/>
        </w:rPr>
        <w:t xml:space="preserve"> 1: Montreal Protocol alignment </w:t>
      </w:r>
    </w:p>
    <w:p w14:paraId="61B302FE" w14:textId="77777777" w:rsidR="00F8609F" w:rsidRPr="00D770DC" w:rsidRDefault="00F8609F" w:rsidP="00E70060">
      <w:pPr>
        <w:spacing w:after="120"/>
        <w:rPr>
          <w:rFonts w:eastAsia="Calibri" w:cs="Times New Roman"/>
          <w:noProof/>
          <w:szCs w:val="24"/>
        </w:rPr>
      </w:pPr>
      <w:r w:rsidRPr="00D770DC">
        <w:rPr>
          <w:rFonts w:eastAsia="Calibri" w:cs="Times New Roman"/>
          <w:noProof/>
          <w:szCs w:val="24"/>
        </w:rPr>
        <w:t>T</w:t>
      </w:r>
      <w:r w:rsidR="00C72800" w:rsidRPr="00D770DC">
        <w:rPr>
          <w:rFonts w:eastAsia="Calibri" w:cs="Times New Roman"/>
          <w:noProof/>
          <w:szCs w:val="24"/>
        </w:rPr>
        <w:t xml:space="preserve">he </w:t>
      </w:r>
      <w:r w:rsidRPr="00D770DC">
        <w:rPr>
          <w:rFonts w:eastAsia="Calibri" w:cs="Times New Roman"/>
          <w:noProof/>
          <w:szCs w:val="24"/>
        </w:rPr>
        <w:t>Protocol defines consumption and production limits for HFCs that differ from the HFC POM restrictions set out in the Regulation and extend beyond the year 2030. This scenario has the goal to ensure the long-term E</w:t>
      </w:r>
      <w:r w:rsidR="00C72800" w:rsidRPr="00D770DC">
        <w:rPr>
          <w:rFonts w:eastAsia="Calibri" w:cs="Times New Roman"/>
          <w:noProof/>
          <w:szCs w:val="24"/>
        </w:rPr>
        <w:t xml:space="preserve">U-compliance under the </w:t>
      </w:r>
      <w:r w:rsidRPr="00D770DC">
        <w:rPr>
          <w:rFonts w:eastAsia="Calibri" w:cs="Times New Roman"/>
          <w:noProof/>
          <w:szCs w:val="24"/>
        </w:rPr>
        <w:t>Protocol</w:t>
      </w:r>
      <w:r w:rsidR="00C72800" w:rsidRPr="00D770DC">
        <w:rPr>
          <w:rFonts w:eastAsia="Calibri" w:cs="Times New Roman"/>
          <w:noProof/>
          <w:szCs w:val="24"/>
        </w:rPr>
        <w:t xml:space="preserve"> under all circumstances</w:t>
      </w:r>
      <w:r w:rsidRPr="00D770DC">
        <w:rPr>
          <w:rFonts w:eastAsia="Calibri" w:cs="Times New Roman"/>
          <w:noProof/>
          <w:szCs w:val="24"/>
        </w:rPr>
        <w:t xml:space="preserve">. </w:t>
      </w:r>
    </w:p>
    <w:p w14:paraId="2B86B832" w14:textId="77777777" w:rsidR="00F8609F" w:rsidRPr="00D770DC" w:rsidRDefault="00C72800" w:rsidP="00E70060">
      <w:pPr>
        <w:spacing w:after="120"/>
        <w:rPr>
          <w:rFonts w:eastAsia="Calibri" w:cs="Times New Roman"/>
          <w:noProof/>
          <w:szCs w:val="24"/>
        </w:rPr>
      </w:pPr>
      <w:r w:rsidRPr="00D770DC">
        <w:rPr>
          <w:rFonts w:eastAsia="Calibri" w:cs="Times New Roman"/>
          <w:noProof/>
          <w:szCs w:val="24"/>
        </w:rPr>
        <w:t>T</w:t>
      </w:r>
      <w:r w:rsidR="00F8609F" w:rsidRPr="00D770DC">
        <w:rPr>
          <w:rFonts w:eastAsia="Calibri" w:cs="Times New Roman"/>
          <w:noProof/>
          <w:szCs w:val="24"/>
        </w:rPr>
        <w:t xml:space="preserve">he ambition </w:t>
      </w:r>
      <w:r w:rsidRPr="00D770DC">
        <w:rPr>
          <w:rFonts w:eastAsia="Calibri" w:cs="Times New Roman"/>
          <w:noProof/>
          <w:szCs w:val="24"/>
        </w:rPr>
        <w:t xml:space="preserve">level </w:t>
      </w:r>
      <w:r w:rsidR="00F8609F" w:rsidRPr="00D770DC">
        <w:rPr>
          <w:rFonts w:eastAsia="Calibri" w:cs="Times New Roman"/>
          <w:noProof/>
          <w:szCs w:val="24"/>
        </w:rPr>
        <w:t>of th</w:t>
      </w:r>
      <w:r w:rsidRPr="00D770DC">
        <w:rPr>
          <w:rFonts w:eastAsia="Calibri" w:cs="Times New Roman"/>
          <w:noProof/>
          <w:szCs w:val="24"/>
        </w:rPr>
        <w:t>e POM phase-down of the current Regulation</w:t>
      </w:r>
      <w:r w:rsidR="00F8609F" w:rsidRPr="00D770DC">
        <w:rPr>
          <w:rFonts w:eastAsia="Calibri" w:cs="Times New Roman"/>
          <w:noProof/>
          <w:szCs w:val="24"/>
        </w:rPr>
        <w:t xml:space="preserve"> is not sufficient to ensure EU compliance with the </w:t>
      </w:r>
      <w:r w:rsidRPr="00D770DC">
        <w:rPr>
          <w:rFonts w:eastAsia="Calibri" w:cs="Times New Roman"/>
          <w:noProof/>
          <w:szCs w:val="24"/>
        </w:rPr>
        <w:t xml:space="preserve">Protocol’s </w:t>
      </w:r>
      <w:r w:rsidR="00F8609F" w:rsidRPr="00D770DC">
        <w:rPr>
          <w:rFonts w:eastAsia="Calibri" w:cs="Times New Roman"/>
          <w:noProof/>
          <w:szCs w:val="24"/>
        </w:rPr>
        <w:t xml:space="preserve">HFC consumption phase-down after 2033 in the case that EU HFC consumption </w:t>
      </w:r>
      <w:r w:rsidRPr="00D770DC">
        <w:rPr>
          <w:rFonts w:eastAsia="Calibri" w:cs="Times New Roman"/>
          <w:noProof/>
          <w:szCs w:val="24"/>
        </w:rPr>
        <w:t>of HFCs outside the scope of the Regulation’s</w:t>
      </w:r>
      <w:r w:rsidR="00F8609F" w:rsidRPr="00D770DC">
        <w:rPr>
          <w:rFonts w:eastAsia="Calibri" w:cs="Times New Roman"/>
          <w:noProof/>
          <w:szCs w:val="24"/>
        </w:rPr>
        <w:t xml:space="preserve"> POM phase-down remains high. This relates in particular to the HFC demand for use in the quota-exempted MDI sector. </w:t>
      </w:r>
      <w:r w:rsidRPr="00D770DC">
        <w:rPr>
          <w:rFonts w:eastAsia="Calibri" w:cs="Times New Roman"/>
          <w:noProof/>
          <w:szCs w:val="24"/>
        </w:rPr>
        <w:t>To address this issue, Option 1 removes the MDI exemption from the phase-down (as do the other two options).</w:t>
      </w:r>
    </w:p>
    <w:p w14:paraId="6A551B8C" w14:textId="2F9E5E45" w:rsidR="00F8609F" w:rsidRPr="00D770DC" w:rsidRDefault="00F8609F" w:rsidP="00E70060">
      <w:pPr>
        <w:spacing w:after="120"/>
        <w:rPr>
          <w:rFonts w:eastAsia="Calibri" w:cs="Times New Roman"/>
          <w:noProof/>
          <w:szCs w:val="24"/>
        </w:rPr>
      </w:pPr>
      <w:r w:rsidRPr="00D770DC">
        <w:rPr>
          <w:rFonts w:eastAsia="Calibri" w:cs="Times New Roman"/>
          <w:noProof/>
          <w:szCs w:val="24"/>
        </w:rPr>
        <w:t>Like the bas</w:t>
      </w:r>
      <w:r w:rsidR="00C72800" w:rsidRPr="00D770DC">
        <w:rPr>
          <w:rFonts w:eastAsia="Calibri" w:cs="Times New Roman"/>
          <w:noProof/>
          <w:szCs w:val="24"/>
        </w:rPr>
        <w:t>eline, Option 1</w:t>
      </w:r>
      <w:r w:rsidRPr="00D770DC">
        <w:rPr>
          <w:rFonts w:eastAsia="Calibri" w:cs="Times New Roman"/>
          <w:noProof/>
          <w:szCs w:val="24"/>
        </w:rPr>
        <w:t xml:space="preserve"> has been modelled in AnaFgas so that the HFC demand meets an externally set limitation of HFC POM (placing on the market), considering corrections for quota-exempted HFC use, HFC reclamation, and use of banked quota authorisations. The POM schedule </w:t>
      </w:r>
      <w:r w:rsidR="00C72800" w:rsidRPr="00D770DC">
        <w:rPr>
          <w:rFonts w:eastAsia="Calibri" w:cs="Times New Roman"/>
          <w:noProof/>
          <w:szCs w:val="24"/>
        </w:rPr>
        <w:t>for Option 1</w:t>
      </w:r>
      <w:r w:rsidRPr="00D770DC">
        <w:rPr>
          <w:rFonts w:eastAsia="Calibri" w:cs="Times New Roman"/>
          <w:noProof/>
          <w:szCs w:val="24"/>
        </w:rPr>
        <w:t xml:space="preserve"> was calculated by adding a high estimate of HFC demand for MDIs to account for lifting the MDI exemption and introducing additional POM reduction </w:t>
      </w:r>
      <w:r w:rsidR="00C72800" w:rsidRPr="00D770DC">
        <w:rPr>
          <w:rFonts w:eastAsia="Calibri" w:cs="Times New Roman"/>
          <w:noProof/>
          <w:szCs w:val="24"/>
        </w:rPr>
        <w:t>steps</w:t>
      </w:r>
      <w:r w:rsidRPr="00D770DC">
        <w:rPr>
          <w:rFonts w:eastAsia="Calibri" w:cs="Times New Roman"/>
          <w:noProof/>
          <w:szCs w:val="24"/>
        </w:rPr>
        <w:t xml:space="preserve"> for 2033 and for 2036 </w:t>
      </w:r>
      <w:r w:rsidR="00C72800" w:rsidRPr="00D770DC">
        <w:rPr>
          <w:rFonts w:eastAsia="Calibri" w:cs="Times New Roman"/>
          <w:noProof/>
          <w:szCs w:val="24"/>
        </w:rPr>
        <w:t>(to keep the 3 year cycle) and allow</w:t>
      </w:r>
      <w:r w:rsidRPr="00D770DC">
        <w:rPr>
          <w:rFonts w:eastAsia="Calibri" w:cs="Times New Roman"/>
          <w:noProof/>
          <w:szCs w:val="24"/>
        </w:rPr>
        <w:t xml:space="preserve"> meet</w:t>
      </w:r>
      <w:r w:rsidR="00C72800" w:rsidRPr="00D770DC">
        <w:rPr>
          <w:rFonts w:eastAsia="Calibri" w:cs="Times New Roman"/>
          <w:noProof/>
          <w:szCs w:val="24"/>
        </w:rPr>
        <w:t>ing</w:t>
      </w:r>
      <w:r w:rsidRPr="00D770DC">
        <w:rPr>
          <w:rFonts w:eastAsia="Calibri" w:cs="Times New Roman"/>
          <w:noProof/>
          <w:szCs w:val="24"/>
        </w:rPr>
        <w:t xml:space="preserve"> the co</w:t>
      </w:r>
      <w:r w:rsidR="00C72800" w:rsidRPr="00D770DC">
        <w:rPr>
          <w:rFonts w:eastAsia="Calibri" w:cs="Times New Roman"/>
          <w:noProof/>
          <w:szCs w:val="24"/>
        </w:rPr>
        <w:t>nsumption ceilings set by the Protocol</w:t>
      </w:r>
      <w:r w:rsidRPr="00D770DC">
        <w:rPr>
          <w:rFonts w:eastAsia="Calibri" w:cs="Times New Roman"/>
          <w:noProof/>
          <w:szCs w:val="24"/>
        </w:rPr>
        <w:t xml:space="preserve"> for the EU for 2034 and 2036.</w:t>
      </w:r>
    </w:p>
    <w:p w14:paraId="5E0EAB57" w14:textId="714AD458" w:rsidR="00F8609F" w:rsidRPr="00D770DC" w:rsidRDefault="00C72800" w:rsidP="00E70060">
      <w:pPr>
        <w:spacing w:after="120"/>
        <w:rPr>
          <w:rFonts w:eastAsia="Calibri" w:cs="Times New Roman"/>
          <w:noProof/>
          <w:szCs w:val="24"/>
        </w:rPr>
      </w:pPr>
      <w:r w:rsidRPr="00D770DC">
        <w:rPr>
          <w:rFonts w:eastAsia="Calibri" w:cs="Times New Roman"/>
          <w:noProof/>
          <w:szCs w:val="24"/>
        </w:rPr>
        <w:t>As</w:t>
      </w:r>
      <w:r w:rsidR="00F8609F" w:rsidRPr="00D770DC">
        <w:rPr>
          <w:rFonts w:eastAsia="Calibri" w:cs="Times New Roman"/>
          <w:noProof/>
          <w:szCs w:val="24"/>
        </w:rPr>
        <w:t xml:space="preserve"> HFC demand</w:t>
      </w:r>
      <w:r w:rsidRPr="00D770DC">
        <w:rPr>
          <w:rFonts w:eastAsia="Calibri" w:cs="Times New Roman"/>
          <w:noProof/>
          <w:szCs w:val="24"/>
        </w:rPr>
        <w:t xml:space="preserve"> for MDIs may be</w:t>
      </w:r>
      <w:r w:rsidR="00F8609F" w:rsidRPr="00D770DC">
        <w:rPr>
          <w:rFonts w:eastAsia="Calibri" w:cs="Times New Roman"/>
          <w:noProof/>
          <w:szCs w:val="24"/>
        </w:rPr>
        <w:t xml:space="preserve"> lower than the ‘worst case’ HFC demand for MDIs consider</w:t>
      </w:r>
      <w:r w:rsidRPr="00D770DC">
        <w:rPr>
          <w:rFonts w:eastAsia="Calibri" w:cs="Times New Roman"/>
          <w:noProof/>
          <w:szCs w:val="24"/>
        </w:rPr>
        <w:t>ed in Option 1 (to ensure compliance under all circumstances), the pressure to reduce HFC use by other sectors may be lower</w:t>
      </w:r>
      <w:r w:rsidR="00F8609F" w:rsidRPr="00D770DC">
        <w:rPr>
          <w:rFonts w:eastAsia="Calibri" w:cs="Times New Roman"/>
          <w:noProof/>
          <w:szCs w:val="24"/>
        </w:rPr>
        <w:t xml:space="preserve"> in the years 2024-2032 under this scenario</w:t>
      </w:r>
      <w:r w:rsidRPr="00D770DC">
        <w:rPr>
          <w:rFonts w:eastAsia="Calibri" w:cs="Times New Roman"/>
          <w:noProof/>
          <w:szCs w:val="24"/>
        </w:rPr>
        <w:t xml:space="preserve"> if HFC need for MDIs is less </w:t>
      </w:r>
      <w:r w:rsidR="00D770DC">
        <w:rPr>
          <w:rFonts w:eastAsia="Calibri" w:cs="Times New Roman"/>
          <w:noProof/>
          <w:szCs w:val="24"/>
        </w:rPr>
        <w:t xml:space="preserve">than </w:t>
      </w:r>
      <w:r w:rsidRPr="00D770DC">
        <w:rPr>
          <w:rFonts w:eastAsia="Calibri" w:cs="Times New Roman"/>
          <w:noProof/>
          <w:szCs w:val="24"/>
        </w:rPr>
        <w:t>the “worst case”</w:t>
      </w:r>
      <w:r w:rsidR="00F8609F" w:rsidRPr="00D770DC">
        <w:rPr>
          <w:rFonts w:eastAsia="Calibri" w:cs="Times New Roman"/>
          <w:noProof/>
          <w:szCs w:val="24"/>
        </w:rPr>
        <w:t>. In consequence, overall EU HFC demand 2024-2</w:t>
      </w:r>
      <w:r w:rsidRPr="00D770DC">
        <w:rPr>
          <w:rFonts w:eastAsia="Calibri" w:cs="Times New Roman"/>
          <w:noProof/>
          <w:szCs w:val="24"/>
        </w:rPr>
        <w:t>030 in Option 1</w:t>
      </w:r>
      <w:r w:rsidR="00F8609F" w:rsidRPr="00D770DC">
        <w:rPr>
          <w:rFonts w:eastAsia="Calibri" w:cs="Times New Roman"/>
          <w:noProof/>
          <w:szCs w:val="24"/>
        </w:rPr>
        <w:t xml:space="preserve"> is </w:t>
      </w:r>
      <w:r w:rsidRPr="00D770DC">
        <w:rPr>
          <w:rFonts w:eastAsia="Calibri" w:cs="Times New Roman"/>
          <w:noProof/>
          <w:szCs w:val="24"/>
        </w:rPr>
        <w:t xml:space="preserve">modelled as </w:t>
      </w:r>
      <w:r w:rsidR="00F8609F" w:rsidRPr="00D770DC">
        <w:rPr>
          <w:rFonts w:eastAsia="Calibri" w:cs="Times New Roman"/>
          <w:noProof/>
          <w:szCs w:val="24"/>
        </w:rPr>
        <w:t xml:space="preserve">higher than in the baseline, leading to </w:t>
      </w:r>
      <w:r w:rsidRPr="00D770DC">
        <w:rPr>
          <w:rFonts w:eastAsia="Calibri" w:cs="Times New Roman"/>
          <w:noProof/>
          <w:szCs w:val="24"/>
        </w:rPr>
        <w:t xml:space="preserve">sustained </w:t>
      </w:r>
      <w:r w:rsidR="00F8609F" w:rsidRPr="00D770DC">
        <w:rPr>
          <w:rFonts w:eastAsia="Calibri" w:cs="Times New Roman"/>
          <w:noProof/>
          <w:szCs w:val="24"/>
        </w:rPr>
        <w:t>higher emission</w:t>
      </w:r>
      <w:r w:rsidRPr="00D770DC">
        <w:rPr>
          <w:rFonts w:eastAsia="Calibri" w:cs="Times New Roman"/>
          <w:noProof/>
          <w:szCs w:val="24"/>
        </w:rPr>
        <w:t>s</w:t>
      </w:r>
      <w:r w:rsidR="00F8609F" w:rsidRPr="00D770DC">
        <w:rPr>
          <w:rFonts w:eastAsia="Calibri" w:cs="Times New Roman"/>
          <w:noProof/>
          <w:szCs w:val="24"/>
        </w:rPr>
        <w:t>. After 2033, however, overall HFC dem</w:t>
      </w:r>
      <w:r w:rsidRPr="00D770DC">
        <w:rPr>
          <w:rFonts w:eastAsia="Calibri" w:cs="Times New Roman"/>
          <w:noProof/>
          <w:szCs w:val="24"/>
        </w:rPr>
        <w:t>and in Option 1</w:t>
      </w:r>
      <w:r w:rsidR="00F8609F" w:rsidRPr="00D770DC">
        <w:rPr>
          <w:rFonts w:eastAsia="Calibri" w:cs="Times New Roman"/>
          <w:noProof/>
          <w:szCs w:val="24"/>
        </w:rPr>
        <w:t xml:space="preserve"> is below the baseline and safely meets the MP HFC consumption limits </w:t>
      </w:r>
      <w:r w:rsidRPr="00D770DC">
        <w:rPr>
          <w:rFonts w:eastAsia="Calibri" w:cs="Times New Roman"/>
          <w:noProof/>
          <w:szCs w:val="24"/>
        </w:rPr>
        <w:t xml:space="preserve">from </w:t>
      </w:r>
      <w:r w:rsidR="00F8609F" w:rsidRPr="00D770DC">
        <w:rPr>
          <w:rFonts w:eastAsia="Calibri" w:cs="Times New Roman"/>
          <w:noProof/>
          <w:szCs w:val="24"/>
        </w:rPr>
        <w:t>2034 onwards</w:t>
      </w:r>
      <w:r w:rsidRPr="00D770DC">
        <w:rPr>
          <w:rFonts w:eastAsia="Calibri" w:cs="Times New Roman"/>
          <w:noProof/>
          <w:szCs w:val="24"/>
        </w:rPr>
        <w:t xml:space="preserve"> which were found to be at risk</w:t>
      </w:r>
      <w:r w:rsidR="00F8609F" w:rsidRPr="00D770DC">
        <w:rPr>
          <w:rFonts w:eastAsia="Calibri" w:cs="Times New Roman"/>
          <w:noProof/>
          <w:szCs w:val="24"/>
        </w:rPr>
        <w:t xml:space="preserve"> under the baseline</w:t>
      </w:r>
      <w:r w:rsidRPr="00D770DC">
        <w:rPr>
          <w:rFonts w:eastAsia="Calibri" w:cs="Times New Roman"/>
          <w:noProof/>
          <w:szCs w:val="24"/>
        </w:rPr>
        <w:t xml:space="preserve"> scenario</w:t>
      </w:r>
      <w:r w:rsidR="00F8609F" w:rsidRPr="00D770DC">
        <w:rPr>
          <w:rFonts w:eastAsia="Calibri" w:cs="Times New Roman"/>
          <w:noProof/>
          <w:szCs w:val="24"/>
        </w:rPr>
        <w:t>.</w:t>
      </w:r>
    </w:p>
    <w:p w14:paraId="73D00E81" w14:textId="77777777" w:rsidR="00C72800" w:rsidRPr="00F8609F" w:rsidRDefault="00C72800" w:rsidP="00F8609F">
      <w:pPr>
        <w:spacing w:before="60" w:after="0" w:line="288" w:lineRule="auto"/>
        <w:jc w:val="left"/>
        <w:rPr>
          <w:rFonts w:ascii="Arial" w:eastAsia="Calibri" w:hAnsi="Arial" w:cs="Arial"/>
          <w:noProof/>
          <w:sz w:val="20"/>
        </w:rPr>
      </w:pPr>
    </w:p>
    <w:p w14:paraId="0FC96C45" w14:textId="77777777" w:rsidR="00C72800" w:rsidRDefault="00C72800" w:rsidP="00F6079D">
      <w:pPr>
        <w:pStyle w:val="ListParagraph"/>
        <w:spacing w:after="120"/>
        <w:ind w:left="2520" w:right="-23"/>
        <w:outlineLvl w:val="3"/>
        <w:rPr>
          <w:rFonts w:ascii="Arial" w:eastAsia="Times New Roman" w:hAnsi="Arial" w:cs="Times New Roman"/>
          <w:b/>
          <w:i/>
          <w:noProof/>
          <w:color w:val="006BB7"/>
          <w:sz w:val="20"/>
          <w:szCs w:val="20"/>
          <w:lang w:eastAsia="en-GB"/>
        </w:rPr>
      </w:pPr>
      <w:r w:rsidRPr="00C72800">
        <w:rPr>
          <w:rFonts w:ascii="Arial" w:eastAsia="Times New Roman" w:hAnsi="Arial" w:cs="Times New Roman"/>
          <w:b/>
          <w:i/>
          <w:noProof/>
          <w:color w:val="006BB7"/>
          <w:sz w:val="20"/>
          <w:szCs w:val="20"/>
          <w:lang w:eastAsia="en-GB"/>
        </w:rPr>
        <w:t>Policy option</w:t>
      </w:r>
      <w:r>
        <w:rPr>
          <w:rFonts w:ascii="Arial" w:eastAsia="Times New Roman" w:hAnsi="Arial" w:cs="Times New Roman"/>
          <w:b/>
          <w:i/>
          <w:noProof/>
          <w:color w:val="006BB7"/>
          <w:sz w:val="20"/>
          <w:szCs w:val="20"/>
          <w:lang w:eastAsia="en-GB"/>
        </w:rPr>
        <w:t xml:space="preserve"> 2: Proportionate costs</w:t>
      </w:r>
    </w:p>
    <w:p w14:paraId="3D4B3ADB" w14:textId="3689E8B3" w:rsidR="00C72800" w:rsidRPr="00C72800" w:rsidRDefault="00C72800" w:rsidP="00F6079D">
      <w:pPr>
        <w:rPr>
          <w:noProof/>
          <w:lang w:eastAsia="en-GB"/>
        </w:rPr>
      </w:pPr>
      <w:r w:rsidRPr="00C72800">
        <w:rPr>
          <w:noProof/>
          <w:lang w:eastAsia="en-GB"/>
        </w:rPr>
        <w:t>For the design of the phase-down all sub-sectors were included to replace highly warming HFCs as soon as technically feasible</w:t>
      </w:r>
      <w:r w:rsidR="00827D46">
        <w:rPr>
          <w:noProof/>
          <w:lang w:eastAsia="en-GB"/>
        </w:rPr>
        <w:t xml:space="preserve">, as long as their marginal abatement </w:t>
      </w:r>
      <w:r w:rsidR="00827D46" w:rsidRPr="00C72800">
        <w:rPr>
          <w:noProof/>
          <w:lang w:eastAsia="en-GB"/>
        </w:rPr>
        <w:t xml:space="preserve">costs </w:t>
      </w:r>
      <w:r w:rsidR="00F6079D">
        <w:rPr>
          <w:noProof/>
          <w:lang w:eastAsia="en-GB"/>
        </w:rPr>
        <w:t xml:space="preserve">at sub-sectoral level </w:t>
      </w:r>
      <w:r w:rsidR="00827D46">
        <w:rPr>
          <w:noProof/>
          <w:lang w:eastAsia="en-GB"/>
        </w:rPr>
        <w:t xml:space="preserve">remained </w:t>
      </w:r>
      <w:r w:rsidR="00827D46" w:rsidRPr="00C72800">
        <w:rPr>
          <w:noProof/>
          <w:lang w:eastAsia="en-GB"/>
        </w:rPr>
        <w:t>lower than €390/CO2e</w:t>
      </w:r>
      <w:r w:rsidR="00827D46">
        <w:rPr>
          <w:noProof/>
          <w:lang w:eastAsia="en-GB"/>
        </w:rPr>
        <w:t xml:space="preserve"> up to 2050</w:t>
      </w:r>
      <w:r w:rsidRPr="00C72800">
        <w:rPr>
          <w:noProof/>
          <w:lang w:eastAsia="en-GB"/>
        </w:rPr>
        <w:t>.</w:t>
      </w:r>
      <w:r w:rsidR="00D770DC">
        <w:rPr>
          <w:noProof/>
          <w:lang w:eastAsia="en-GB"/>
        </w:rPr>
        <w:t xml:space="preserve"> This excludes the sectors AC in trains, metro and buses.</w:t>
      </w:r>
    </w:p>
    <w:p w14:paraId="0A1DA859" w14:textId="551D452C" w:rsidR="00C72800" w:rsidRDefault="00C72800" w:rsidP="00F6079D">
      <w:pPr>
        <w:pStyle w:val="ListParagraph"/>
        <w:spacing w:after="120"/>
        <w:ind w:left="2520" w:right="-23"/>
        <w:jc w:val="left"/>
        <w:outlineLvl w:val="3"/>
        <w:rPr>
          <w:rFonts w:ascii="Arial" w:eastAsia="Times New Roman" w:hAnsi="Arial" w:cs="Times New Roman"/>
          <w:b/>
          <w:i/>
          <w:noProof/>
          <w:color w:val="006BB7"/>
          <w:sz w:val="20"/>
          <w:szCs w:val="20"/>
          <w:lang w:eastAsia="en-GB"/>
        </w:rPr>
      </w:pPr>
      <w:r w:rsidRPr="00C72800">
        <w:rPr>
          <w:rFonts w:ascii="Arial" w:eastAsia="Times New Roman" w:hAnsi="Arial" w:cs="Times New Roman"/>
          <w:b/>
          <w:i/>
          <w:noProof/>
          <w:color w:val="006BB7"/>
          <w:sz w:val="20"/>
          <w:szCs w:val="20"/>
          <w:lang w:eastAsia="en-GB"/>
        </w:rPr>
        <w:t>Policy option</w:t>
      </w:r>
      <w:r>
        <w:rPr>
          <w:rFonts w:ascii="Arial" w:eastAsia="Times New Roman" w:hAnsi="Arial" w:cs="Times New Roman"/>
          <w:b/>
          <w:i/>
          <w:noProof/>
          <w:color w:val="006BB7"/>
          <w:sz w:val="20"/>
          <w:szCs w:val="20"/>
          <w:lang w:eastAsia="en-GB"/>
        </w:rPr>
        <w:t xml:space="preserve"> 3: Maximum </w:t>
      </w:r>
      <w:r w:rsidR="005D374C">
        <w:rPr>
          <w:rFonts w:ascii="Arial" w:eastAsia="Times New Roman" w:hAnsi="Arial" w:cs="Times New Roman"/>
          <w:b/>
          <w:i/>
          <w:noProof/>
          <w:color w:val="006BB7"/>
          <w:sz w:val="20"/>
          <w:szCs w:val="20"/>
          <w:lang w:eastAsia="en-GB"/>
        </w:rPr>
        <w:t>feasibility</w:t>
      </w:r>
    </w:p>
    <w:p w14:paraId="2ED00812" w14:textId="26E71570" w:rsidR="00C72800" w:rsidRDefault="00C72800" w:rsidP="00F6079D">
      <w:pPr>
        <w:rPr>
          <w:noProof/>
          <w:lang w:eastAsia="en-GB"/>
        </w:rPr>
      </w:pPr>
      <w:r w:rsidRPr="00C72800">
        <w:rPr>
          <w:noProof/>
          <w:lang w:eastAsia="en-GB"/>
        </w:rPr>
        <w:t>For the design of the phase-down all sub-sectors were included to replace highly warming HFCs as soon as technically feasible, without considering the abatement costs.</w:t>
      </w:r>
    </w:p>
    <w:p w14:paraId="7DD254AE" w14:textId="19393B61" w:rsidR="00444891" w:rsidRDefault="00444891" w:rsidP="00F6079D">
      <w:pPr>
        <w:pStyle w:val="AppendixHeadingLevel3"/>
        <w:numPr>
          <w:ilvl w:val="2"/>
          <w:numId w:val="3"/>
        </w:numPr>
        <w:rPr>
          <w:noProof/>
          <w:lang w:eastAsia="en-GB"/>
        </w:rPr>
      </w:pPr>
      <w:bookmarkStart w:id="553" w:name="_Ref88825617"/>
      <w:r>
        <w:rPr>
          <w:noProof/>
          <w:lang w:eastAsia="en-GB"/>
        </w:rPr>
        <w:t>Assumptions on regional distribution of equipment in sectors that use F-gases</w:t>
      </w:r>
      <w:bookmarkEnd w:id="553"/>
    </w:p>
    <w:p w14:paraId="130484FD" w14:textId="77777777" w:rsidR="00814284" w:rsidRDefault="00814284" w:rsidP="00225664">
      <w:pPr>
        <w:spacing w:after="120"/>
        <w:rPr>
          <w:noProof/>
          <w:lang w:eastAsia="en-GB"/>
        </w:rPr>
      </w:pPr>
      <w:r>
        <w:rPr>
          <w:noProof/>
          <w:lang w:eastAsia="en-GB"/>
        </w:rPr>
        <w:t>There may be differences how policy measures on F-gases affect the EU North and EU South. This may be the case because</w:t>
      </w:r>
    </w:p>
    <w:p w14:paraId="0DA5FC6F" w14:textId="69250C3D" w:rsidR="00814284" w:rsidRDefault="00814284" w:rsidP="00AD5F1B">
      <w:pPr>
        <w:pStyle w:val="ListParagraph"/>
        <w:numPr>
          <w:ilvl w:val="0"/>
          <w:numId w:val="61"/>
        </w:numPr>
        <w:spacing w:after="120"/>
        <w:rPr>
          <w:noProof/>
        </w:rPr>
      </w:pPr>
      <w:r>
        <w:rPr>
          <w:noProof/>
          <w:lang w:eastAsia="en-GB"/>
        </w:rPr>
        <w:t xml:space="preserve"> </w:t>
      </w:r>
      <w:r>
        <w:rPr>
          <w:noProof/>
        </w:rPr>
        <w:t>Natural refrigerants are already used more commonly in northern Europe, so a higher rate of replacement is needed in the South.</w:t>
      </w:r>
    </w:p>
    <w:p w14:paraId="33D1F32F" w14:textId="77777777" w:rsidR="00814284" w:rsidRPr="008F4297" w:rsidRDefault="00814284" w:rsidP="00AD5F1B">
      <w:pPr>
        <w:pStyle w:val="ListParagraph"/>
        <w:numPr>
          <w:ilvl w:val="0"/>
          <w:numId w:val="61"/>
        </w:numPr>
        <w:spacing w:after="120"/>
        <w:rPr>
          <w:noProof/>
        </w:rPr>
      </w:pPr>
      <w:r>
        <w:rPr>
          <w:noProof/>
        </w:rPr>
        <w:t xml:space="preserve">The choice of equipment type may differ, e.g. in the South small shops are more common than it the North and refrigeration and air conditioning systems for small spaces are different to those used in large supermarkets or shopping malls.  </w:t>
      </w:r>
    </w:p>
    <w:p w14:paraId="36FCDBCA" w14:textId="5EC658CE" w:rsidR="00814284" w:rsidRDefault="00814284" w:rsidP="00AD5F1B">
      <w:pPr>
        <w:pStyle w:val="ListParagraph"/>
        <w:numPr>
          <w:ilvl w:val="0"/>
          <w:numId w:val="61"/>
        </w:numPr>
        <w:spacing w:after="120"/>
        <w:rPr>
          <w:noProof/>
        </w:rPr>
      </w:pPr>
      <w:r>
        <w:rPr>
          <w:noProof/>
        </w:rPr>
        <w:t>The climatic situation are different. As a result, stationary AC units are more frequently used in the south. For these subsectors adjustment costs or benefits will occur to a larger extent in southern European countries.  Conversely, heating-only heat pumps are more frequently used in the northern EU.</w:t>
      </w:r>
    </w:p>
    <w:p w14:paraId="43A7A904" w14:textId="34602CED" w:rsidR="00D770DC" w:rsidRDefault="00814284" w:rsidP="00225664">
      <w:pPr>
        <w:rPr>
          <w:noProof/>
          <w:lang w:eastAsia="en-GB"/>
        </w:rPr>
      </w:pPr>
      <w:r>
        <w:rPr>
          <w:noProof/>
          <w:lang w:eastAsia="en-GB"/>
        </w:rPr>
        <w:t>These and possibly other factors could potentially lead to a different cost burden between North and South. To examine such</w:t>
      </w:r>
      <w:r w:rsidR="00D770DC">
        <w:rPr>
          <w:noProof/>
          <w:lang w:eastAsia="en-GB"/>
        </w:rPr>
        <w:t xml:space="preserve"> possible regional effects between Southern and Northern EU states, the different equipment types were divided for these two regions</w:t>
      </w:r>
      <w:r w:rsidR="00EE52CB">
        <w:rPr>
          <w:noProof/>
          <w:lang w:eastAsia="en-GB"/>
        </w:rPr>
        <w:t xml:space="preserve"> (EU28 for evaluation (</w:t>
      </w:r>
      <w:r w:rsidR="00EE52CB" w:rsidRPr="00EE52CB">
        <w:rPr>
          <w:rFonts w:cs="Times New Roman"/>
          <w:noProof/>
          <w:lang w:eastAsia="en-GB"/>
        </w:rPr>
        <w:fldChar w:fldCharType="begin"/>
      </w:r>
      <w:r w:rsidR="00EE52CB" w:rsidRPr="00EE52CB">
        <w:rPr>
          <w:rFonts w:cs="Times New Roman"/>
          <w:noProof/>
          <w:lang w:eastAsia="en-GB"/>
        </w:rPr>
        <w:instrText xml:space="preserve"> REF _Ref87017094 \h  \* MERGEFORMAT </w:instrText>
      </w:r>
      <w:r w:rsidR="00EE52CB" w:rsidRPr="00EE52CB">
        <w:rPr>
          <w:rFonts w:cs="Times New Roman"/>
          <w:noProof/>
          <w:lang w:eastAsia="en-GB"/>
        </w:rPr>
      </w:r>
      <w:r w:rsidR="00EE52CB" w:rsidRPr="00EE52CB">
        <w:rPr>
          <w:rFonts w:cs="Times New Roman"/>
          <w:noProof/>
          <w:lang w:eastAsia="en-GB"/>
        </w:rPr>
        <w:fldChar w:fldCharType="separate"/>
      </w:r>
      <w:r w:rsidR="00C66A21" w:rsidRPr="00C66A21">
        <w:rPr>
          <w:rFonts w:cs="Times New Roman"/>
          <w:noProof/>
        </w:rPr>
        <w:t>Table 19</w:t>
      </w:r>
      <w:r w:rsidR="00EE52CB" w:rsidRPr="00EE52CB">
        <w:rPr>
          <w:rFonts w:cs="Times New Roman"/>
          <w:noProof/>
          <w:lang w:eastAsia="en-GB"/>
        </w:rPr>
        <w:fldChar w:fldCharType="end"/>
      </w:r>
      <w:r w:rsidR="00EE52CB">
        <w:rPr>
          <w:noProof/>
          <w:lang w:eastAsia="en-GB"/>
        </w:rPr>
        <w:t>)</w:t>
      </w:r>
      <w:r w:rsidR="00EE52CB" w:rsidRPr="00EE52CB">
        <w:rPr>
          <w:noProof/>
          <w:lang w:eastAsia="en-GB"/>
        </w:rPr>
        <w:t xml:space="preserve"> </w:t>
      </w:r>
      <w:r w:rsidR="00EE52CB">
        <w:rPr>
          <w:noProof/>
          <w:lang w:eastAsia="en-GB"/>
        </w:rPr>
        <w:t xml:space="preserve">and EU27 for the </w:t>
      </w:r>
      <w:r>
        <w:rPr>
          <w:noProof/>
          <w:lang w:eastAsia="en-GB"/>
        </w:rPr>
        <w:t xml:space="preserve">purpose of the </w:t>
      </w:r>
      <w:r w:rsidR="00EE52CB">
        <w:rPr>
          <w:noProof/>
          <w:lang w:eastAsia="en-GB"/>
        </w:rPr>
        <w:t>impact assessment (</w:t>
      </w:r>
      <w:r w:rsidR="00EE52CB">
        <w:rPr>
          <w:rFonts w:cs="Times New Roman"/>
          <w:noProof/>
          <w:szCs w:val="24"/>
          <w:lang w:eastAsia="en-GB"/>
        </w:rPr>
        <w:fldChar w:fldCharType="begin"/>
      </w:r>
      <w:r w:rsidR="00EE52CB" w:rsidRPr="00EE52CB">
        <w:rPr>
          <w:rFonts w:cs="Times New Roman"/>
          <w:noProof/>
          <w:szCs w:val="24"/>
          <w:lang w:eastAsia="en-GB"/>
        </w:rPr>
        <w:instrText xml:space="preserve"> REF _Ref87017096 \h  \* MERGEFORMAT </w:instrText>
      </w:r>
      <w:r w:rsidR="00EE52CB">
        <w:rPr>
          <w:rFonts w:cs="Times New Roman"/>
          <w:noProof/>
          <w:szCs w:val="24"/>
          <w:lang w:eastAsia="en-GB"/>
        </w:rPr>
      </w:r>
      <w:r w:rsidR="00EE52CB">
        <w:rPr>
          <w:rFonts w:cs="Times New Roman"/>
          <w:noProof/>
          <w:szCs w:val="24"/>
          <w:lang w:eastAsia="en-GB"/>
        </w:rPr>
        <w:fldChar w:fldCharType="separate"/>
      </w:r>
      <w:r w:rsidR="00C66A21" w:rsidRPr="00C66A21">
        <w:rPr>
          <w:rFonts w:cs="Times New Roman"/>
          <w:bCs/>
          <w:noProof/>
          <w:szCs w:val="24"/>
          <w:lang w:eastAsia="en-GB"/>
        </w:rPr>
        <w:t>Table</w:t>
      </w:r>
      <w:r w:rsidR="00C66A21" w:rsidRPr="00B14013">
        <w:rPr>
          <w:rFonts w:asciiTheme="minorHAnsi" w:hAnsiTheme="minorHAnsi"/>
          <w:b/>
          <w:bCs/>
          <w:noProof/>
          <w:color w:val="0070C0"/>
          <w:sz w:val="20"/>
          <w:szCs w:val="20"/>
          <w:lang w:eastAsia="en-GB"/>
        </w:rPr>
        <w:t xml:space="preserve"> </w:t>
      </w:r>
      <w:r w:rsidR="00C66A21">
        <w:rPr>
          <w:rFonts w:asciiTheme="minorHAnsi" w:hAnsiTheme="minorHAnsi"/>
          <w:b/>
          <w:bCs/>
          <w:noProof/>
          <w:color w:val="0070C0"/>
          <w:sz w:val="20"/>
          <w:szCs w:val="20"/>
          <w:lang w:eastAsia="en-GB"/>
        </w:rPr>
        <w:t>18</w:t>
      </w:r>
      <w:r w:rsidR="00EE52CB">
        <w:rPr>
          <w:noProof/>
          <w:lang w:eastAsia="en-GB"/>
        </w:rPr>
        <w:fldChar w:fldCharType="end"/>
      </w:r>
      <w:r w:rsidR="00EE52CB">
        <w:rPr>
          <w:noProof/>
          <w:lang w:eastAsia="en-GB"/>
        </w:rPr>
        <w:t>))</w:t>
      </w:r>
      <w:r w:rsidR="00D770DC">
        <w:rPr>
          <w:noProof/>
          <w:lang w:eastAsia="en-GB"/>
        </w:rPr>
        <w:t xml:space="preserve">. </w:t>
      </w:r>
    </w:p>
    <w:p w14:paraId="2B93F99A" w14:textId="77777777" w:rsidR="002619DA" w:rsidRDefault="002619DA">
      <w:pPr>
        <w:jc w:val="left"/>
        <w:rPr>
          <w:rFonts w:asciiTheme="minorHAnsi" w:hAnsiTheme="minorHAnsi"/>
          <w:b/>
          <w:bCs/>
          <w:noProof/>
          <w:color w:val="0070C0"/>
          <w:sz w:val="20"/>
          <w:szCs w:val="20"/>
          <w:lang w:eastAsia="en-GB"/>
        </w:rPr>
      </w:pPr>
      <w:bookmarkStart w:id="554" w:name="_Ref87017096"/>
      <w:bookmarkStart w:id="555" w:name="_Toc82365208"/>
      <w:r>
        <w:rPr>
          <w:rFonts w:asciiTheme="minorHAnsi" w:hAnsiTheme="minorHAnsi"/>
          <w:b/>
          <w:bCs/>
          <w:noProof/>
          <w:color w:val="0070C0"/>
          <w:sz w:val="20"/>
          <w:szCs w:val="20"/>
          <w:lang w:eastAsia="en-GB"/>
        </w:rPr>
        <w:br w:type="page"/>
      </w:r>
    </w:p>
    <w:p w14:paraId="6C169B06" w14:textId="0B4CF68D" w:rsidR="00B14013" w:rsidRPr="00B14013" w:rsidRDefault="00B14013" w:rsidP="00B14013">
      <w:pPr>
        <w:rPr>
          <w:rFonts w:asciiTheme="minorHAnsi" w:hAnsiTheme="minorHAnsi"/>
          <w:bCs/>
          <w:noProof/>
          <w:color w:val="0070C0"/>
          <w:sz w:val="20"/>
          <w:szCs w:val="20"/>
          <w:lang w:eastAsia="en-GB"/>
        </w:rPr>
      </w:pPr>
      <w:r w:rsidRPr="00B14013">
        <w:rPr>
          <w:rFonts w:asciiTheme="minorHAnsi" w:hAnsiTheme="minorHAnsi"/>
          <w:b/>
          <w:bCs/>
          <w:noProof/>
          <w:color w:val="0070C0"/>
          <w:sz w:val="20"/>
          <w:szCs w:val="20"/>
          <w:lang w:eastAsia="en-GB"/>
        </w:rPr>
        <w:t xml:space="preserve">Table </w:t>
      </w:r>
      <w:r w:rsidRPr="00B14013">
        <w:rPr>
          <w:rFonts w:asciiTheme="minorHAnsi" w:hAnsiTheme="minorHAnsi"/>
          <w:b/>
          <w:bCs/>
          <w:noProof/>
          <w:color w:val="0070C0"/>
          <w:sz w:val="20"/>
          <w:szCs w:val="20"/>
          <w:lang w:eastAsia="en-GB"/>
        </w:rPr>
        <w:fldChar w:fldCharType="begin"/>
      </w:r>
      <w:r w:rsidRPr="00B14013">
        <w:rPr>
          <w:rFonts w:asciiTheme="minorHAnsi" w:hAnsiTheme="minorHAnsi"/>
          <w:b/>
          <w:bCs/>
          <w:noProof/>
          <w:color w:val="0070C0"/>
          <w:sz w:val="20"/>
          <w:szCs w:val="20"/>
          <w:lang w:eastAsia="en-GB"/>
        </w:rPr>
        <w:instrText xml:space="preserve"> SEQ Table \* ARABIC \s  </w:instrText>
      </w:r>
      <w:r w:rsidRPr="00B14013">
        <w:rPr>
          <w:rFonts w:asciiTheme="minorHAnsi" w:hAnsiTheme="minorHAnsi"/>
          <w:b/>
          <w:bCs/>
          <w:noProof/>
          <w:color w:val="0070C0"/>
          <w:sz w:val="20"/>
          <w:szCs w:val="20"/>
          <w:lang w:eastAsia="en-GB"/>
        </w:rPr>
        <w:fldChar w:fldCharType="separate"/>
      </w:r>
      <w:r w:rsidR="00830261">
        <w:rPr>
          <w:rFonts w:asciiTheme="minorHAnsi" w:hAnsiTheme="minorHAnsi"/>
          <w:b/>
          <w:bCs/>
          <w:noProof/>
          <w:color w:val="0070C0"/>
          <w:sz w:val="20"/>
          <w:szCs w:val="20"/>
          <w:lang w:eastAsia="en-GB"/>
        </w:rPr>
        <w:t>19</w:t>
      </w:r>
      <w:r w:rsidRPr="00B14013">
        <w:rPr>
          <w:rFonts w:asciiTheme="minorHAnsi" w:hAnsiTheme="minorHAnsi"/>
          <w:b/>
          <w:bCs/>
          <w:noProof/>
          <w:color w:val="0070C0"/>
          <w:sz w:val="20"/>
          <w:szCs w:val="20"/>
          <w:lang w:eastAsia="en-GB"/>
        </w:rPr>
        <w:fldChar w:fldCharType="end"/>
      </w:r>
      <w:bookmarkEnd w:id="554"/>
      <w:r>
        <w:rPr>
          <w:rFonts w:asciiTheme="minorHAnsi" w:hAnsiTheme="minorHAnsi"/>
          <w:b/>
          <w:bCs/>
          <w:noProof/>
          <w:color w:val="0070C0"/>
          <w:sz w:val="20"/>
          <w:szCs w:val="20"/>
          <w:lang w:eastAsia="en-GB"/>
        </w:rPr>
        <w:t>.</w:t>
      </w:r>
      <w:r w:rsidRPr="00B14013">
        <w:rPr>
          <w:rFonts w:asciiTheme="minorHAnsi" w:hAnsiTheme="minorHAnsi"/>
          <w:b/>
          <w:bCs/>
          <w:noProof/>
          <w:color w:val="0070C0"/>
          <w:sz w:val="20"/>
          <w:szCs w:val="20"/>
          <w:lang w:eastAsia="en-GB"/>
        </w:rPr>
        <w:t xml:space="preserve"> </w:t>
      </w:r>
      <w:r w:rsidRPr="00B14013">
        <w:rPr>
          <w:rFonts w:asciiTheme="minorHAnsi" w:hAnsiTheme="minorHAnsi"/>
          <w:bCs/>
          <w:noProof/>
          <w:color w:val="0070C0"/>
          <w:sz w:val="20"/>
          <w:szCs w:val="20"/>
          <w:lang w:eastAsia="en-GB"/>
        </w:rPr>
        <w:t>Regional distribution of equipment stocks EU27 south vs EU 27 north</w:t>
      </w:r>
      <w:bookmarkEnd w:id="5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22"/>
        <w:gridCol w:w="1522"/>
        <w:gridCol w:w="1522"/>
      </w:tblGrid>
      <w:tr w:rsidR="00B14013" w:rsidRPr="00B14013" w14:paraId="46EF07AB" w14:textId="77777777" w:rsidTr="00EE52CB">
        <w:trPr>
          <w:trHeight w:val="57"/>
          <w:tblHeader/>
        </w:trPr>
        <w:tc>
          <w:tcPr>
            <w:tcW w:w="0" w:type="auto"/>
            <w:shd w:val="clear" w:color="auto" w:fill="auto"/>
            <w:noWrap/>
            <w:vAlign w:val="center"/>
            <w:hideMark/>
          </w:tcPr>
          <w:p w14:paraId="3A462C3E" w14:textId="77777777" w:rsidR="00B14013" w:rsidRPr="00B14013" w:rsidRDefault="00B14013" w:rsidP="00B14013">
            <w:pPr>
              <w:rPr>
                <w:rFonts w:asciiTheme="minorHAnsi" w:hAnsiTheme="minorHAnsi"/>
                <w:b/>
                <w:bCs/>
                <w:noProof/>
                <w:sz w:val="20"/>
                <w:szCs w:val="20"/>
                <w:lang w:eastAsia="en-GB"/>
              </w:rPr>
            </w:pPr>
            <w:r w:rsidRPr="00B14013">
              <w:rPr>
                <w:rFonts w:asciiTheme="minorHAnsi" w:hAnsiTheme="minorHAnsi"/>
                <w:b/>
                <w:bCs/>
                <w:noProof/>
                <w:sz w:val="20"/>
                <w:szCs w:val="20"/>
                <w:lang w:eastAsia="en-GB"/>
              </w:rPr>
              <w:t>AnaFgas sector</w:t>
            </w:r>
          </w:p>
        </w:tc>
        <w:tc>
          <w:tcPr>
            <w:tcW w:w="0" w:type="auto"/>
            <w:shd w:val="clear" w:color="auto" w:fill="auto"/>
            <w:vAlign w:val="center"/>
            <w:hideMark/>
          </w:tcPr>
          <w:p w14:paraId="311C1221" w14:textId="77777777" w:rsidR="00B14013" w:rsidRPr="00B14013" w:rsidRDefault="00B14013" w:rsidP="00B14013">
            <w:pPr>
              <w:rPr>
                <w:rFonts w:asciiTheme="minorHAnsi" w:hAnsiTheme="minorHAnsi"/>
                <w:b/>
                <w:bCs/>
                <w:noProof/>
                <w:sz w:val="20"/>
                <w:szCs w:val="20"/>
                <w:lang w:eastAsia="en-GB"/>
              </w:rPr>
            </w:pPr>
            <w:r w:rsidRPr="00B14013">
              <w:rPr>
                <w:rFonts w:asciiTheme="minorHAnsi" w:hAnsiTheme="minorHAnsi"/>
                <w:b/>
                <w:bCs/>
                <w:noProof/>
                <w:sz w:val="20"/>
                <w:szCs w:val="20"/>
                <w:lang w:eastAsia="en-GB"/>
              </w:rPr>
              <w:t xml:space="preserve">EU 27 south </w:t>
            </w:r>
            <w:r w:rsidRPr="00B14013">
              <w:rPr>
                <w:rFonts w:asciiTheme="minorHAnsi" w:hAnsiTheme="minorHAnsi"/>
                <w:b/>
                <w:bCs/>
                <w:noProof/>
                <w:sz w:val="20"/>
                <w:szCs w:val="20"/>
                <w:lang w:eastAsia="en-GB"/>
              </w:rPr>
              <w:br/>
              <w:t>(39% of population)</w:t>
            </w:r>
          </w:p>
        </w:tc>
        <w:tc>
          <w:tcPr>
            <w:tcW w:w="0" w:type="auto"/>
            <w:shd w:val="clear" w:color="auto" w:fill="auto"/>
            <w:vAlign w:val="center"/>
            <w:hideMark/>
          </w:tcPr>
          <w:p w14:paraId="1CF03A08" w14:textId="77777777" w:rsidR="00B14013" w:rsidRPr="00B14013" w:rsidRDefault="00B14013" w:rsidP="00B14013">
            <w:pPr>
              <w:rPr>
                <w:rFonts w:asciiTheme="minorHAnsi" w:hAnsiTheme="minorHAnsi"/>
                <w:b/>
                <w:bCs/>
                <w:noProof/>
                <w:sz w:val="20"/>
                <w:szCs w:val="20"/>
                <w:lang w:eastAsia="en-GB"/>
              </w:rPr>
            </w:pPr>
            <w:r w:rsidRPr="00B14013">
              <w:rPr>
                <w:rFonts w:asciiTheme="minorHAnsi" w:hAnsiTheme="minorHAnsi"/>
                <w:b/>
                <w:bCs/>
                <w:noProof/>
                <w:sz w:val="20"/>
                <w:szCs w:val="20"/>
                <w:lang w:eastAsia="en-GB"/>
              </w:rPr>
              <w:t xml:space="preserve">EU 27 north </w:t>
            </w:r>
            <w:r w:rsidRPr="00B14013">
              <w:rPr>
                <w:rFonts w:asciiTheme="minorHAnsi" w:hAnsiTheme="minorHAnsi"/>
                <w:b/>
                <w:bCs/>
                <w:noProof/>
                <w:sz w:val="20"/>
                <w:szCs w:val="20"/>
                <w:lang w:eastAsia="en-GB"/>
              </w:rPr>
              <w:br/>
              <w:t>(61% of population)</w:t>
            </w:r>
          </w:p>
        </w:tc>
      </w:tr>
      <w:tr w:rsidR="00B14013" w:rsidRPr="00B14013" w14:paraId="64C823FB" w14:textId="77777777" w:rsidTr="00EE52CB">
        <w:trPr>
          <w:trHeight w:val="57"/>
        </w:trPr>
        <w:tc>
          <w:tcPr>
            <w:tcW w:w="0" w:type="auto"/>
            <w:shd w:val="clear" w:color="auto" w:fill="auto"/>
            <w:vAlign w:val="center"/>
            <w:hideMark/>
          </w:tcPr>
          <w:p w14:paraId="5B05FEE4"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Domestic Refrigeration</w:t>
            </w:r>
          </w:p>
        </w:tc>
        <w:tc>
          <w:tcPr>
            <w:tcW w:w="0" w:type="auto"/>
            <w:tcBorders>
              <w:bottom w:val="single" w:sz="4" w:space="0" w:color="auto"/>
            </w:tcBorders>
            <w:shd w:val="clear" w:color="auto" w:fill="auto"/>
            <w:noWrap/>
            <w:hideMark/>
          </w:tcPr>
          <w:p w14:paraId="10104D85"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39%</w:t>
            </w:r>
          </w:p>
        </w:tc>
        <w:tc>
          <w:tcPr>
            <w:tcW w:w="0" w:type="auto"/>
            <w:tcBorders>
              <w:bottom w:val="single" w:sz="4" w:space="0" w:color="auto"/>
            </w:tcBorders>
            <w:shd w:val="clear" w:color="auto" w:fill="auto"/>
            <w:noWrap/>
            <w:hideMark/>
          </w:tcPr>
          <w:p w14:paraId="5C7A8EE1"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61%</w:t>
            </w:r>
          </w:p>
        </w:tc>
      </w:tr>
      <w:tr w:rsidR="00B14013" w:rsidRPr="00B14013" w14:paraId="4E03A8C2" w14:textId="77777777" w:rsidTr="00EE52CB">
        <w:trPr>
          <w:trHeight w:val="57"/>
        </w:trPr>
        <w:tc>
          <w:tcPr>
            <w:tcW w:w="0" w:type="auto"/>
            <w:shd w:val="clear" w:color="auto" w:fill="auto"/>
            <w:vAlign w:val="center"/>
            <w:hideMark/>
          </w:tcPr>
          <w:p w14:paraId="6D1930A5"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Commercial refrigeration - Hermetics</w:t>
            </w:r>
          </w:p>
        </w:tc>
        <w:tc>
          <w:tcPr>
            <w:tcW w:w="0" w:type="auto"/>
            <w:shd w:val="clear" w:color="auto" w:fill="F2F2F2" w:themeFill="background1" w:themeFillShade="F2"/>
            <w:noWrap/>
            <w:hideMark/>
          </w:tcPr>
          <w:p w14:paraId="7A6C0952"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60%</w:t>
            </w:r>
          </w:p>
        </w:tc>
        <w:tc>
          <w:tcPr>
            <w:tcW w:w="0" w:type="auto"/>
            <w:shd w:val="clear" w:color="auto" w:fill="F2F2F2" w:themeFill="background1" w:themeFillShade="F2"/>
            <w:noWrap/>
            <w:hideMark/>
          </w:tcPr>
          <w:p w14:paraId="1DAE97D6"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40%</w:t>
            </w:r>
          </w:p>
        </w:tc>
      </w:tr>
      <w:tr w:rsidR="00B14013" w:rsidRPr="00B14013" w14:paraId="1D636C5B" w14:textId="77777777" w:rsidTr="00EE52CB">
        <w:trPr>
          <w:trHeight w:val="57"/>
        </w:trPr>
        <w:tc>
          <w:tcPr>
            <w:tcW w:w="0" w:type="auto"/>
            <w:shd w:val="clear" w:color="auto" w:fill="auto"/>
            <w:vAlign w:val="center"/>
            <w:hideMark/>
          </w:tcPr>
          <w:p w14:paraId="7D6E0745"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Commercial refrigeration - Condensing units</w:t>
            </w:r>
          </w:p>
        </w:tc>
        <w:tc>
          <w:tcPr>
            <w:tcW w:w="0" w:type="auto"/>
            <w:shd w:val="clear" w:color="auto" w:fill="auto"/>
            <w:noWrap/>
            <w:hideMark/>
          </w:tcPr>
          <w:p w14:paraId="0119D862"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39%</w:t>
            </w:r>
          </w:p>
        </w:tc>
        <w:tc>
          <w:tcPr>
            <w:tcW w:w="0" w:type="auto"/>
            <w:shd w:val="clear" w:color="auto" w:fill="auto"/>
            <w:noWrap/>
            <w:hideMark/>
          </w:tcPr>
          <w:p w14:paraId="578ED3E2"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61%</w:t>
            </w:r>
          </w:p>
        </w:tc>
      </w:tr>
      <w:tr w:rsidR="00B14013" w:rsidRPr="00B14013" w14:paraId="235A4E87" w14:textId="77777777" w:rsidTr="00EE52CB">
        <w:trPr>
          <w:trHeight w:val="57"/>
        </w:trPr>
        <w:tc>
          <w:tcPr>
            <w:tcW w:w="0" w:type="auto"/>
            <w:shd w:val="clear" w:color="auto" w:fill="auto"/>
            <w:vAlign w:val="center"/>
            <w:hideMark/>
          </w:tcPr>
          <w:p w14:paraId="0A40A98A"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Commercial refrigeration - Central systems</w:t>
            </w:r>
          </w:p>
        </w:tc>
        <w:tc>
          <w:tcPr>
            <w:tcW w:w="0" w:type="auto"/>
            <w:shd w:val="clear" w:color="auto" w:fill="auto"/>
            <w:noWrap/>
            <w:hideMark/>
          </w:tcPr>
          <w:p w14:paraId="6DB4DBBC"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39%</w:t>
            </w:r>
          </w:p>
        </w:tc>
        <w:tc>
          <w:tcPr>
            <w:tcW w:w="0" w:type="auto"/>
            <w:shd w:val="clear" w:color="auto" w:fill="auto"/>
            <w:noWrap/>
            <w:hideMark/>
          </w:tcPr>
          <w:p w14:paraId="4E5EBBE0"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61%</w:t>
            </w:r>
          </w:p>
        </w:tc>
      </w:tr>
      <w:tr w:rsidR="00B14013" w:rsidRPr="00B14013" w14:paraId="57C0D909" w14:textId="77777777" w:rsidTr="00EE52CB">
        <w:trPr>
          <w:trHeight w:val="57"/>
        </w:trPr>
        <w:tc>
          <w:tcPr>
            <w:tcW w:w="0" w:type="auto"/>
            <w:shd w:val="clear" w:color="auto" w:fill="auto"/>
            <w:vAlign w:val="center"/>
            <w:hideMark/>
          </w:tcPr>
          <w:p w14:paraId="5A8355D3"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Industrial refrigeration - small</w:t>
            </w:r>
          </w:p>
        </w:tc>
        <w:tc>
          <w:tcPr>
            <w:tcW w:w="0" w:type="auto"/>
            <w:shd w:val="clear" w:color="auto" w:fill="auto"/>
            <w:noWrap/>
            <w:hideMark/>
          </w:tcPr>
          <w:p w14:paraId="7B80761C"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39%</w:t>
            </w:r>
          </w:p>
        </w:tc>
        <w:tc>
          <w:tcPr>
            <w:tcW w:w="0" w:type="auto"/>
            <w:shd w:val="clear" w:color="auto" w:fill="auto"/>
            <w:noWrap/>
            <w:hideMark/>
          </w:tcPr>
          <w:p w14:paraId="0A40170C"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61%</w:t>
            </w:r>
          </w:p>
        </w:tc>
      </w:tr>
      <w:tr w:rsidR="00B14013" w:rsidRPr="00B14013" w14:paraId="137EE08E" w14:textId="77777777" w:rsidTr="00EE52CB">
        <w:trPr>
          <w:trHeight w:val="57"/>
        </w:trPr>
        <w:tc>
          <w:tcPr>
            <w:tcW w:w="0" w:type="auto"/>
            <w:shd w:val="clear" w:color="auto" w:fill="auto"/>
            <w:vAlign w:val="center"/>
            <w:hideMark/>
          </w:tcPr>
          <w:p w14:paraId="1C531885"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Industrial refrigeration - large</w:t>
            </w:r>
          </w:p>
        </w:tc>
        <w:tc>
          <w:tcPr>
            <w:tcW w:w="0" w:type="auto"/>
            <w:shd w:val="clear" w:color="auto" w:fill="auto"/>
            <w:noWrap/>
            <w:hideMark/>
          </w:tcPr>
          <w:p w14:paraId="3AE06F86"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39%</w:t>
            </w:r>
          </w:p>
        </w:tc>
        <w:tc>
          <w:tcPr>
            <w:tcW w:w="0" w:type="auto"/>
            <w:shd w:val="clear" w:color="auto" w:fill="auto"/>
            <w:noWrap/>
            <w:hideMark/>
          </w:tcPr>
          <w:p w14:paraId="4F232CEA"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61%</w:t>
            </w:r>
          </w:p>
        </w:tc>
      </w:tr>
      <w:tr w:rsidR="00B14013" w:rsidRPr="00B14013" w14:paraId="0CA969DE" w14:textId="77777777" w:rsidTr="00EE52CB">
        <w:trPr>
          <w:trHeight w:val="57"/>
        </w:trPr>
        <w:tc>
          <w:tcPr>
            <w:tcW w:w="0" w:type="auto"/>
            <w:shd w:val="clear" w:color="auto" w:fill="auto"/>
            <w:vAlign w:val="center"/>
            <w:hideMark/>
          </w:tcPr>
          <w:p w14:paraId="05796F5F"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Transport refrigeration - Vans</w:t>
            </w:r>
          </w:p>
        </w:tc>
        <w:tc>
          <w:tcPr>
            <w:tcW w:w="0" w:type="auto"/>
            <w:shd w:val="clear" w:color="auto" w:fill="auto"/>
            <w:noWrap/>
            <w:hideMark/>
          </w:tcPr>
          <w:p w14:paraId="1EB24370"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39%</w:t>
            </w:r>
          </w:p>
        </w:tc>
        <w:tc>
          <w:tcPr>
            <w:tcW w:w="0" w:type="auto"/>
            <w:shd w:val="clear" w:color="auto" w:fill="auto"/>
            <w:noWrap/>
            <w:hideMark/>
          </w:tcPr>
          <w:p w14:paraId="37D1F4CF"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61%</w:t>
            </w:r>
          </w:p>
        </w:tc>
      </w:tr>
      <w:tr w:rsidR="00B14013" w:rsidRPr="00B14013" w14:paraId="4D96A3E1" w14:textId="77777777" w:rsidTr="00EE52CB">
        <w:trPr>
          <w:trHeight w:val="57"/>
        </w:trPr>
        <w:tc>
          <w:tcPr>
            <w:tcW w:w="0" w:type="auto"/>
            <w:shd w:val="clear" w:color="auto" w:fill="auto"/>
            <w:vAlign w:val="center"/>
            <w:hideMark/>
          </w:tcPr>
          <w:p w14:paraId="5A4F13C2"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Transport refrigeration - Trucks &amp; Trailers</w:t>
            </w:r>
          </w:p>
        </w:tc>
        <w:tc>
          <w:tcPr>
            <w:tcW w:w="0" w:type="auto"/>
            <w:shd w:val="clear" w:color="auto" w:fill="auto"/>
            <w:noWrap/>
            <w:hideMark/>
          </w:tcPr>
          <w:p w14:paraId="26B5D677"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39%</w:t>
            </w:r>
          </w:p>
        </w:tc>
        <w:tc>
          <w:tcPr>
            <w:tcW w:w="0" w:type="auto"/>
            <w:shd w:val="clear" w:color="auto" w:fill="auto"/>
            <w:noWrap/>
            <w:hideMark/>
          </w:tcPr>
          <w:p w14:paraId="28F156AB"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61%</w:t>
            </w:r>
          </w:p>
        </w:tc>
      </w:tr>
      <w:tr w:rsidR="00B14013" w:rsidRPr="00B14013" w14:paraId="35C301A5" w14:textId="77777777" w:rsidTr="00EE52CB">
        <w:trPr>
          <w:trHeight w:val="57"/>
        </w:trPr>
        <w:tc>
          <w:tcPr>
            <w:tcW w:w="0" w:type="auto"/>
            <w:shd w:val="clear" w:color="auto" w:fill="auto"/>
            <w:vAlign w:val="center"/>
            <w:hideMark/>
          </w:tcPr>
          <w:p w14:paraId="2719CCB3"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Transport refrigeration - Ships</w:t>
            </w:r>
          </w:p>
        </w:tc>
        <w:tc>
          <w:tcPr>
            <w:tcW w:w="0" w:type="auto"/>
            <w:tcBorders>
              <w:bottom w:val="single" w:sz="4" w:space="0" w:color="auto"/>
            </w:tcBorders>
            <w:shd w:val="clear" w:color="auto" w:fill="auto"/>
            <w:noWrap/>
            <w:hideMark/>
          </w:tcPr>
          <w:p w14:paraId="23CEC054"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39%</w:t>
            </w:r>
          </w:p>
        </w:tc>
        <w:tc>
          <w:tcPr>
            <w:tcW w:w="0" w:type="auto"/>
            <w:tcBorders>
              <w:bottom w:val="single" w:sz="4" w:space="0" w:color="auto"/>
            </w:tcBorders>
            <w:shd w:val="clear" w:color="auto" w:fill="auto"/>
            <w:noWrap/>
            <w:hideMark/>
          </w:tcPr>
          <w:p w14:paraId="4DB50D10"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61%</w:t>
            </w:r>
          </w:p>
        </w:tc>
      </w:tr>
      <w:tr w:rsidR="00B14013" w:rsidRPr="00B14013" w14:paraId="22517452" w14:textId="77777777" w:rsidTr="00EE52CB">
        <w:trPr>
          <w:trHeight w:val="57"/>
        </w:trPr>
        <w:tc>
          <w:tcPr>
            <w:tcW w:w="0" w:type="auto"/>
            <w:shd w:val="clear" w:color="auto" w:fill="auto"/>
            <w:vAlign w:val="center"/>
            <w:hideMark/>
          </w:tcPr>
          <w:p w14:paraId="1522E0D3"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Room AC - Moveables</w:t>
            </w:r>
          </w:p>
        </w:tc>
        <w:tc>
          <w:tcPr>
            <w:tcW w:w="0" w:type="auto"/>
            <w:tcBorders>
              <w:bottom w:val="single" w:sz="4" w:space="0" w:color="auto"/>
            </w:tcBorders>
            <w:shd w:val="clear" w:color="auto" w:fill="F2F2F2" w:themeFill="background1" w:themeFillShade="F2"/>
            <w:noWrap/>
            <w:hideMark/>
          </w:tcPr>
          <w:p w14:paraId="7617B5DF"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63%</w:t>
            </w:r>
          </w:p>
        </w:tc>
        <w:tc>
          <w:tcPr>
            <w:tcW w:w="0" w:type="auto"/>
            <w:tcBorders>
              <w:bottom w:val="single" w:sz="4" w:space="0" w:color="auto"/>
            </w:tcBorders>
            <w:shd w:val="clear" w:color="auto" w:fill="F2F2F2" w:themeFill="background1" w:themeFillShade="F2"/>
            <w:noWrap/>
            <w:hideMark/>
          </w:tcPr>
          <w:p w14:paraId="06A92733"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38%</w:t>
            </w:r>
          </w:p>
        </w:tc>
      </w:tr>
      <w:tr w:rsidR="00B14013" w:rsidRPr="00B14013" w14:paraId="5610C531" w14:textId="77777777" w:rsidTr="00EE52CB">
        <w:trPr>
          <w:trHeight w:val="57"/>
        </w:trPr>
        <w:tc>
          <w:tcPr>
            <w:tcW w:w="0" w:type="auto"/>
            <w:shd w:val="clear" w:color="auto" w:fill="auto"/>
            <w:vAlign w:val="center"/>
            <w:hideMark/>
          </w:tcPr>
          <w:p w14:paraId="29E82862"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Room AC - Single split (includes small multi-split &lt;12 kW &amp; reversible air-to-air heat pumps)</w:t>
            </w:r>
          </w:p>
        </w:tc>
        <w:tc>
          <w:tcPr>
            <w:tcW w:w="0" w:type="auto"/>
            <w:shd w:val="clear" w:color="auto" w:fill="F2F2F2" w:themeFill="background1" w:themeFillShade="F2"/>
            <w:noWrap/>
            <w:hideMark/>
          </w:tcPr>
          <w:p w14:paraId="4A621317"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60%</w:t>
            </w:r>
          </w:p>
        </w:tc>
        <w:tc>
          <w:tcPr>
            <w:tcW w:w="0" w:type="auto"/>
            <w:shd w:val="clear" w:color="auto" w:fill="F2F2F2" w:themeFill="background1" w:themeFillShade="F2"/>
            <w:noWrap/>
            <w:hideMark/>
          </w:tcPr>
          <w:p w14:paraId="2F832AE1"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40%</w:t>
            </w:r>
          </w:p>
        </w:tc>
      </w:tr>
      <w:tr w:rsidR="00B14013" w:rsidRPr="00B14013" w14:paraId="4D100FAE" w14:textId="77777777" w:rsidTr="00EE52CB">
        <w:trPr>
          <w:trHeight w:val="57"/>
        </w:trPr>
        <w:tc>
          <w:tcPr>
            <w:tcW w:w="0" w:type="auto"/>
            <w:shd w:val="clear" w:color="auto" w:fill="auto"/>
            <w:vAlign w:val="center"/>
            <w:hideMark/>
          </w:tcPr>
          <w:p w14:paraId="5C69BF44"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Room AC - Packaged systems (rooftop units), cooling only</w:t>
            </w:r>
          </w:p>
        </w:tc>
        <w:tc>
          <w:tcPr>
            <w:tcW w:w="0" w:type="auto"/>
            <w:shd w:val="clear" w:color="auto" w:fill="F2F2F2" w:themeFill="background1" w:themeFillShade="F2"/>
            <w:noWrap/>
            <w:hideMark/>
          </w:tcPr>
          <w:p w14:paraId="5FDB8511"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70%</w:t>
            </w:r>
          </w:p>
        </w:tc>
        <w:tc>
          <w:tcPr>
            <w:tcW w:w="0" w:type="auto"/>
            <w:shd w:val="clear" w:color="auto" w:fill="F2F2F2" w:themeFill="background1" w:themeFillShade="F2"/>
            <w:noWrap/>
            <w:hideMark/>
          </w:tcPr>
          <w:p w14:paraId="038CD690"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30%</w:t>
            </w:r>
          </w:p>
        </w:tc>
      </w:tr>
      <w:tr w:rsidR="00B14013" w:rsidRPr="00B14013" w14:paraId="75EF3B30" w14:textId="77777777" w:rsidTr="00EE52CB">
        <w:trPr>
          <w:trHeight w:val="57"/>
        </w:trPr>
        <w:tc>
          <w:tcPr>
            <w:tcW w:w="0" w:type="auto"/>
            <w:shd w:val="clear" w:color="auto" w:fill="auto"/>
            <w:vAlign w:val="center"/>
            <w:hideMark/>
          </w:tcPr>
          <w:p w14:paraId="7C3656FB"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Room AC - VRF cooling only (includes Single-split &gt;3kg VRF Multi-Split)</w:t>
            </w:r>
          </w:p>
        </w:tc>
        <w:tc>
          <w:tcPr>
            <w:tcW w:w="0" w:type="auto"/>
            <w:shd w:val="clear" w:color="auto" w:fill="auto"/>
            <w:noWrap/>
            <w:hideMark/>
          </w:tcPr>
          <w:p w14:paraId="4BB3D40B"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39%</w:t>
            </w:r>
          </w:p>
        </w:tc>
        <w:tc>
          <w:tcPr>
            <w:tcW w:w="0" w:type="auto"/>
            <w:shd w:val="clear" w:color="auto" w:fill="auto"/>
            <w:noWrap/>
            <w:hideMark/>
          </w:tcPr>
          <w:p w14:paraId="4CDA8363"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61%</w:t>
            </w:r>
          </w:p>
        </w:tc>
      </w:tr>
      <w:tr w:rsidR="00B14013" w:rsidRPr="00B14013" w14:paraId="29D0E272" w14:textId="77777777" w:rsidTr="00EE52CB">
        <w:trPr>
          <w:trHeight w:val="57"/>
        </w:trPr>
        <w:tc>
          <w:tcPr>
            <w:tcW w:w="0" w:type="auto"/>
            <w:shd w:val="clear" w:color="auto" w:fill="auto"/>
            <w:vAlign w:val="center"/>
            <w:hideMark/>
          </w:tcPr>
          <w:p w14:paraId="75BE928D"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Minichillers</w:t>
            </w:r>
          </w:p>
        </w:tc>
        <w:tc>
          <w:tcPr>
            <w:tcW w:w="0" w:type="auto"/>
            <w:shd w:val="clear" w:color="auto" w:fill="auto"/>
            <w:noWrap/>
            <w:hideMark/>
          </w:tcPr>
          <w:p w14:paraId="2B091DA4"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39%</w:t>
            </w:r>
          </w:p>
        </w:tc>
        <w:tc>
          <w:tcPr>
            <w:tcW w:w="0" w:type="auto"/>
            <w:shd w:val="clear" w:color="auto" w:fill="auto"/>
            <w:noWrap/>
            <w:hideMark/>
          </w:tcPr>
          <w:p w14:paraId="17C2DE25"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61%</w:t>
            </w:r>
          </w:p>
        </w:tc>
      </w:tr>
      <w:tr w:rsidR="00B14013" w:rsidRPr="00B14013" w14:paraId="101DFC61" w14:textId="77777777" w:rsidTr="00EE52CB">
        <w:trPr>
          <w:trHeight w:val="57"/>
        </w:trPr>
        <w:tc>
          <w:tcPr>
            <w:tcW w:w="0" w:type="auto"/>
            <w:shd w:val="clear" w:color="auto" w:fill="auto"/>
            <w:vAlign w:val="center"/>
            <w:hideMark/>
          </w:tcPr>
          <w:p w14:paraId="4D8C014F"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Displacement chillers - small</w:t>
            </w:r>
          </w:p>
        </w:tc>
        <w:tc>
          <w:tcPr>
            <w:tcW w:w="0" w:type="auto"/>
            <w:shd w:val="clear" w:color="auto" w:fill="auto"/>
            <w:noWrap/>
            <w:hideMark/>
          </w:tcPr>
          <w:p w14:paraId="0F1B21FF"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39%</w:t>
            </w:r>
          </w:p>
        </w:tc>
        <w:tc>
          <w:tcPr>
            <w:tcW w:w="0" w:type="auto"/>
            <w:shd w:val="clear" w:color="auto" w:fill="auto"/>
            <w:noWrap/>
            <w:hideMark/>
          </w:tcPr>
          <w:p w14:paraId="1EF3F580"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61%</w:t>
            </w:r>
          </w:p>
        </w:tc>
      </w:tr>
      <w:tr w:rsidR="00B14013" w:rsidRPr="00B14013" w14:paraId="624A64E3" w14:textId="77777777" w:rsidTr="00EE52CB">
        <w:trPr>
          <w:trHeight w:val="57"/>
        </w:trPr>
        <w:tc>
          <w:tcPr>
            <w:tcW w:w="0" w:type="auto"/>
            <w:shd w:val="clear" w:color="auto" w:fill="auto"/>
            <w:vAlign w:val="center"/>
            <w:hideMark/>
          </w:tcPr>
          <w:p w14:paraId="6967D6A6"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Displacement chillers - large</w:t>
            </w:r>
          </w:p>
        </w:tc>
        <w:tc>
          <w:tcPr>
            <w:tcW w:w="0" w:type="auto"/>
            <w:shd w:val="clear" w:color="auto" w:fill="auto"/>
            <w:noWrap/>
            <w:hideMark/>
          </w:tcPr>
          <w:p w14:paraId="4FA28E19"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39%</w:t>
            </w:r>
          </w:p>
        </w:tc>
        <w:tc>
          <w:tcPr>
            <w:tcW w:w="0" w:type="auto"/>
            <w:shd w:val="clear" w:color="auto" w:fill="auto"/>
            <w:noWrap/>
            <w:hideMark/>
          </w:tcPr>
          <w:p w14:paraId="2A322F39"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61%</w:t>
            </w:r>
          </w:p>
        </w:tc>
      </w:tr>
      <w:tr w:rsidR="00B14013" w:rsidRPr="00B14013" w14:paraId="3A47C11E" w14:textId="77777777" w:rsidTr="00EE52CB">
        <w:trPr>
          <w:trHeight w:val="57"/>
        </w:trPr>
        <w:tc>
          <w:tcPr>
            <w:tcW w:w="0" w:type="auto"/>
            <w:shd w:val="clear" w:color="auto" w:fill="auto"/>
            <w:vAlign w:val="center"/>
            <w:hideMark/>
          </w:tcPr>
          <w:p w14:paraId="5B0D47BB"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Centrifugal chillers</w:t>
            </w:r>
          </w:p>
        </w:tc>
        <w:tc>
          <w:tcPr>
            <w:tcW w:w="0" w:type="auto"/>
            <w:shd w:val="clear" w:color="auto" w:fill="auto"/>
            <w:noWrap/>
            <w:hideMark/>
          </w:tcPr>
          <w:p w14:paraId="2785C706"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39%</w:t>
            </w:r>
          </w:p>
        </w:tc>
        <w:tc>
          <w:tcPr>
            <w:tcW w:w="0" w:type="auto"/>
            <w:shd w:val="clear" w:color="auto" w:fill="auto"/>
            <w:noWrap/>
            <w:hideMark/>
          </w:tcPr>
          <w:p w14:paraId="5230EED8"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61%</w:t>
            </w:r>
          </w:p>
        </w:tc>
      </w:tr>
      <w:tr w:rsidR="00B14013" w:rsidRPr="00B14013" w14:paraId="650E8FCF" w14:textId="77777777" w:rsidTr="00EE52CB">
        <w:trPr>
          <w:trHeight w:val="57"/>
        </w:trPr>
        <w:tc>
          <w:tcPr>
            <w:tcW w:w="0" w:type="auto"/>
            <w:shd w:val="clear" w:color="auto" w:fill="auto"/>
            <w:vAlign w:val="center"/>
            <w:hideMark/>
          </w:tcPr>
          <w:p w14:paraId="6DC85DE8" w14:textId="78A8B38B"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 xml:space="preserve">Heat pumps - small (&lt;20 kW, excluding small </w:t>
            </w:r>
            <w:r w:rsidR="005D374C" w:rsidRPr="00B14013">
              <w:rPr>
                <w:rFonts w:asciiTheme="minorHAnsi" w:hAnsiTheme="minorHAnsi"/>
                <w:noProof/>
                <w:sz w:val="20"/>
                <w:szCs w:val="20"/>
                <w:lang w:eastAsia="en-GB"/>
              </w:rPr>
              <w:t>reversible</w:t>
            </w:r>
            <w:r w:rsidRPr="00B14013">
              <w:rPr>
                <w:rFonts w:asciiTheme="minorHAnsi" w:hAnsiTheme="minorHAnsi"/>
                <w:noProof/>
                <w:sz w:val="20"/>
                <w:szCs w:val="20"/>
                <w:lang w:eastAsia="en-GB"/>
              </w:rPr>
              <w:t xml:space="preserve"> air/air heat pumps covered in the single split subsector)</w:t>
            </w:r>
          </w:p>
        </w:tc>
        <w:tc>
          <w:tcPr>
            <w:tcW w:w="0" w:type="auto"/>
            <w:tcBorders>
              <w:bottom w:val="single" w:sz="4" w:space="0" w:color="auto"/>
            </w:tcBorders>
            <w:shd w:val="clear" w:color="auto" w:fill="auto"/>
            <w:noWrap/>
            <w:hideMark/>
          </w:tcPr>
          <w:p w14:paraId="3AC78E75"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39%</w:t>
            </w:r>
          </w:p>
        </w:tc>
        <w:tc>
          <w:tcPr>
            <w:tcW w:w="0" w:type="auto"/>
            <w:tcBorders>
              <w:bottom w:val="single" w:sz="4" w:space="0" w:color="auto"/>
            </w:tcBorders>
            <w:shd w:val="clear" w:color="auto" w:fill="auto"/>
            <w:noWrap/>
            <w:hideMark/>
          </w:tcPr>
          <w:p w14:paraId="14B0FE0A"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61%</w:t>
            </w:r>
          </w:p>
        </w:tc>
      </w:tr>
      <w:tr w:rsidR="00B14013" w:rsidRPr="00B14013" w14:paraId="1DBE5B5E" w14:textId="77777777" w:rsidTr="00EE52CB">
        <w:trPr>
          <w:trHeight w:val="57"/>
        </w:trPr>
        <w:tc>
          <w:tcPr>
            <w:tcW w:w="0" w:type="auto"/>
            <w:shd w:val="clear" w:color="auto" w:fill="auto"/>
            <w:vAlign w:val="center"/>
            <w:hideMark/>
          </w:tcPr>
          <w:p w14:paraId="7AAFF1A8"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Heat pumps - medium (20-200kW)</w:t>
            </w:r>
          </w:p>
        </w:tc>
        <w:tc>
          <w:tcPr>
            <w:tcW w:w="0" w:type="auto"/>
            <w:shd w:val="clear" w:color="auto" w:fill="F2F2F2" w:themeFill="background1" w:themeFillShade="F2"/>
            <w:noWrap/>
            <w:hideMark/>
          </w:tcPr>
          <w:p w14:paraId="4AD6A4BB"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35%</w:t>
            </w:r>
          </w:p>
        </w:tc>
        <w:tc>
          <w:tcPr>
            <w:tcW w:w="0" w:type="auto"/>
            <w:shd w:val="clear" w:color="auto" w:fill="F2F2F2" w:themeFill="background1" w:themeFillShade="F2"/>
            <w:noWrap/>
            <w:hideMark/>
          </w:tcPr>
          <w:p w14:paraId="277A6696"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65%</w:t>
            </w:r>
          </w:p>
        </w:tc>
      </w:tr>
      <w:tr w:rsidR="00B14013" w:rsidRPr="00B14013" w14:paraId="07048BC8" w14:textId="77777777" w:rsidTr="00EE52CB">
        <w:trPr>
          <w:trHeight w:val="57"/>
        </w:trPr>
        <w:tc>
          <w:tcPr>
            <w:tcW w:w="0" w:type="auto"/>
            <w:shd w:val="clear" w:color="auto" w:fill="auto"/>
            <w:vAlign w:val="center"/>
            <w:hideMark/>
          </w:tcPr>
          <w:p w14:paraId="2AC3D494"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Heat pumps - large (&gt;200kW, district heating &amp; industrial)</w:t>
            </w:r>
          </w:p>
        </w:tc>
        <w:tc>
          <w:tcPr>
            <w:tcW w:w="0" w:type="auto"/>
            <w:shd w:val="clear" w:color="auto" w:fill="F2F2F2" w:themeFill="background1" w:themeFillShade="F2"/>
            <w:noWrap/>
            <w:hideMark/>
          </w:tcPr>
          <w:p w14:paraId="35BF0AC8"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28%</w:t>
            </w:r>
          </w:p>
        </w:tc>
        <w:tc>
          <w:tcPr>
            <w:tcW w:w="0" w:type="auto"/>
            <w:shd w:val="clear" w:color="auto" w:fill="F2F2F2" w:themeFill="background1" w:themeFillShade="F2"/>
            <w:noWrap/>
            <w:hideMark/>
          </w:tcPr>
          <w:p w14:paraId="7D0D6C66"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73%</w:t>
            </w:r>
          </w:p>
        </w:tc>
      </w:tr>
      <w:tr w:rsidR="00B14013" w:rsidRPr="00B14013" w14:paraId="6D247916" w14:textId="77777777" w:rsidTr="00EE52CB">
        <w:trPr>
          <w:trHeight w:val="57"/>
        </w:trPr>
        <w:tc>
          <w:tcPr>
            <w:tcW w:w="0" w:type="auto"/>
            <w:shd w:val="clear" w:color="auto" w:fill="auto"/>
            <w:vAlign w:val="center"/>
            <w:hideMark/>
          </w:tcPr>
          <w:p w14:paraId="54731B8C"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Mobile AC - Passenger cars</w:t>
            </w:r>
          </w:p>
        </w:tc>
        <w:tc>
          <w:tcPr>
            <w:tcW w:w="0" w:type="auto"/>
            <w:shd w:val="clear" w:color="auto" w:fill="auto"/>
            <w:noWrap/>
            <w:hideMark/>
          </w:tcPr>
          <w:p w14:paraId="5EF4A3EC"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39%</w:t>
            </w:r>
          </w:p>
        </w:tc>
        <w:tc>
          <w:tcPr>
            <w:tcW w:w="0" w:type="auto"/>
            <w:shd w:val="clear" w:color="auto" w:fill="auto"/>
            <w:noWrap/>
            <w:hideMark/>
          </w:tcPr>
          <w:p w14:paraId="6A417B4F"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61%</w:t>
            </w:r>
          </w:p>
        </w:tc>
      </w:tr>
      <w:tr w:rsidR="00B14013" w:rsidRPr="00B14013" w14:paraId="463C1F14" w14:textId="77777777" w:rsidTr="00EE52CB">
        <w:trPr>
          <w:trHeight w:val="57"/>
        </w:trPr>
        <w:tc>
          <w:tcPr>
            <w:tcW w:w="0" w:type="auto"/>
            <w:shd w:val="clear" w:color="auto" w:fill="auto"/>
            <w:vAlign w:val="center"/>
            <w:hideMark/>
          </w:tcPr>
          <w:p w14:paraId="2B4636B5"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Mobile AC - Buses</w:t>
            </w:r>
          </w:p>
        </w:tc>
        <w:tc>
          <w:tcPr>
            <w:tcW w:w="0" w:type="auto"/>
            <w:shd w:val="clear" w:color="auto" w:fill="auto"/>
            <w:noWrap/>
            <w:hideMark/>
          </w:tcPr>
          <w:p w14:paraId="3FAD7F04"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39%</w:t>
            </w:r>
          </w:p>
        </w:tc>
        <w:tc>
          <w:tcPr>
            <w:tcW w:w="0" w:type="auto"/>
            <w:shd w:val="clear" w:color="auto" w:fill="auto"/>
            <w:noWrap/>
            <w:hideMark/>
          </w:tcPr>
          <w:p w14:paraId="7DEE9E4E"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61%</w:t>
            </w:r>
          </w:p>
        </w:tc>
      </w:tr>
      <w:tr w:rsidR="00B14013" w:rsidRPr="00B14013" w14:paraId="21A073B5" w14:textId="77777777" w:rsidTr="00EE52CB">
        <w:trPr>
          <w:trHeight w:val="57"/>
        </w:trPr>
        <w:tc>
          <w:tcPr>
            <w:tcW w:w="0" w:type="auto"/>
            <w:shd w:val="clear" w:color="auto" w:fill="auto"/>
            <w:vAlign w:val="center"/>
            <w:hideMark/>
          </w:tcPr>
          <w:p w14:paraId="0B812F24"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Mobile AC - Trucks N1</w:t>
            </w:r>
          </w:p>
        </w:tc>
        <w:tc>
          <w:tcPr>
            <w:tcW w:w="0" w:type="auto"/>
            <w:shd w:val="clear" w:color="auto" w:fill="auto"/>
            <w:noWrap/>
            <w:hideMark/>
          </w:tcPr>
          <w:p w14:paraId="75FA28A1"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39%</w:t>
            </w:r>
          </w:p>
        </w:tc>
        <w:tc>
          <w:tcPr>
            <w:tcW w:w="0" w:type="auto"/>
            <w:shd w:val="clear" w:color="auto" w:fill="auto"/>
            <w:noWrap/>
            <w:hideMark/>
          </w:tcPr>
          <w:p w14:paraId="18F59D4E"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61%</w:t>
            </w:r>
          </w:p>
        </w:tc>
      </w:tr>
      <w:tr w:rsidR="00B14013" w:rsidRPr="00B14013" w14:paraId="03E23A76" w14:textId="77777777" w:rsidTr="00EE52CB">
        <w:trPr>
          <w:trHeight w:val="57"/>
        </w:trPr>
        <w:tc>
          <w:tcPr>
            <w:tcW w:w="0" w:type="auto"/>
            <w:shd w:val="clear" w:color="auto" w:fill="auto"/>
            <w:vAlign w:val="center"/>
            <w:hideMark/>
          </w:tcPr>
          <w:p w14:paraId="2383AD57"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Mobile AC - Trucks N2</w:t>
            </w:r>
          </w:p>
        </w:tc>
        <w:tc>
          <w:tcPr>
            <w:tcW w:w="0" w:type="auto"/>
            <w:shd w:val="clear" w:color="auto" w:fill="auto"/>
            <w:noWrap/>
            <w:hideMark/>
          </w:tcPr>
          <w:p w14:paraId="0D9D9A21"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39%</w:t>
            </w:r>
          </w:p>
        </w:tc>
        <w:tc>
          <w:tcPr>
            <w:tcW w:w="0" w:type="auto"/>
            <w:shd w:val="clear" w:color="auto" w:fill="auto"/>
            <w:noWrap/>
            <w:hideMark/>
          </w:tcPr>
          <w:p w14:paraId="722EAE50"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61%</w:t>
            </w:r>
          </w:p>
        </w:tc>
      </w:tr>
      <w:tr w:rsidR="00B14013" w:rsidRPr="00B14013" w14:paraId="38BD98D7" w14:textId="77777777" w:rsidTr="00EE52CB">
        <w:trPr>
          <w:trHeight w:val="57"/>
        </w:trPr>
        <w:tc>
          <w:tcPr>
            <w:tcW w:w="0" w:type="auto"/>
            <w:shd w:val="clear" w:color="auto" w:fill="auto"/>
            <w:vAlign w:val="center"/>
            <w:hideMark/>
          </w:tcPr>
          <w:p w14:paraId="18E97D0A"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Mobile AC - Trucks N3</w:t>
            </w:r>
          </w:p>
        </w:tc>
        <w:tc>
          <w:tcPr>
            <w:tcW w:w="0" w:type="auto"/>
            <w:shd w:val="clear" w:color="auto" w:fill="auto"/>
            <w:noWrap/>
            <w:hideMark/>
          </w:tcPr>
          <w:p w14:paraId="506E96A3"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39%</w:t>
            </w:r>
          </w:p>
        </w:tc>
        <w:tc>
          <w:tcPr>
            <w:tcW w:w="0" w:type="auto"/>
            <w:shd w:val="clear" w:color="auto" w:fill="auto"/>
            <w:noWrap/>
            <w:hideMark/>
          </w:tcPr>
          <w:p w14:paraId="3D95D949"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61%</w:t>
            </w:r>
          </w:p>
        </w:tc>
      </w:tr>
      <w:tr w:rsidR="00B14013" w:rsidRPr="00B14013" w14:paraId="37183BB5" w14:textId="77777777" w:rsidTr="00EE52CB">
        <w:trPr>
          <w:trHeight w:val="57"/>
        </w:trPr>
        <w:tc>
          <w:tcPr>
            <w:tcW w:w="0" w:type="auto"/>
            <w:shd w:val="clear" w:color="auto" w:fill="auto"/>
            <w:vAlign w:val="center"/>
            <w:hideMark/>
          </w:tcPr>
          <w:p w14:paraId="5C9D4958"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Mobile AC - Passenger ships</w:t>
            </w:r>
          </w:p>
        </w:tc>
        <w:tc>
          <w:tcPr>
            <w:tcW w:w="0" w:type="auto"/>
            <w:shd w:val="clear" w:color="auto" w:fill="auto"/>
            <w:noWrap/>
            <w:hideMark/>
          </w:tcPr>
          <w:p w14:paraId="19139BA0"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39%</w:t>
            </w:r>
          </w:p>
        </w:tc>
        <w:tc>
          <w:tcPr>
            <w:tcW w:w="0" w:type="auto"/>
            <w:shd w:val="clear" w:color="auto" w:fill="auto"/>
            <w:noWrap/>
            <w:hideMark/>
          </w:tcPr>
          <w:p w14:paraId="2045F6C2"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61%</w:t>
            </w:r>
          </w:p>
        </w:tc>
      </w:tr>
      <w:tr w:rsidR="00B14013" w:rsidRPr="00B14013" w14:paraId="5F2B84DF" w14:textId="77777777" w:rsidTr="00EE52CB">
        <w:trPr>
          <w:trHeight w:val="57"/>
        </w:trPr>
        <w:tc>
          <w:tcPr>
            <w:tcW w:w="0" w:type="auto"/>
            <w:shd w:val="clear" w:color="auto" w:fill="auto"/>
            <w:vAlign w:val="center"/>
            <w:hideMark/>
          </w:tcPr>
          <w:p w14:paraId="37B75051"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Mobile AC - Cargo ships</w:t>
            </w:r>
          </w:p>
        </w:tc>
        <w:tc>
          <w:tcPr>
            <w:tcW w:w="0" w:type="auto"/>
            <w:shd w:val="clear" w:color="auto" w:fill="auto"/>
            <w:noWrap/>
            <w:hideMark/>
          </w:tcPr>
          <w:p w14:paraId="0E910ACC"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39%</w:t>
            </w:r>
          </w:p>
        </w:tc>
        <w:tc>
          <w:tcPr>
            <w:tcW w:w="0" w:type="auto"/>
            <w:shd w:val="clear" w:color="auto" w:fill="auto"/>
            <w:noWrap/>
            <w:hideMark/>
          </w:tcPr>
          <w:p w14:paraId="6D57DFA4"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61%</w:t>
            </w:r>
          </w:p>
        </w:tc>
      </w:tr>
      <w:tr w:rsidR="00B14013" w:rsidRPr="00B14013" w14:paraId="296BCECA" w14:textId="77777777" w:rsidTr="00EE52CB">
        <w:trPr>
          <w:trHeight w:val="57"/>
        </w:trPr>
        <w:tc>
          <w:tcPr>
            <w:tcW w:w="0" w:type="auto"/>
            <w:shd w:val="clear" w:color="auto" w:fill="auto"/>
            <w:vAlign w:val="center"/>
            <w:hideMark/>
          </w:tcPr>
          <w:p w14:paraId="2395473D"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Mobile AC - Tram</w:t>
            </w:r>
          </w:p>
        </w:tc>
        <w:tc>
          <w:tcPr>
            <w:tcW w:w="0" w:type="auto"/>
            <w:shd w:val="clear" w:color="auto" w:fill="auto"/>
            <w:noWrap/>
            <w:hideMark/>
          </w:tcPr>
          <w:p w14:paraId="30DABC0A"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39%</w:t>
            </w:r>
          </w:p>
        </w:tc>
        <w:tc>
          <w:tcPr>
            <w:tcW w:w="0" w:type="auto"/>
            <w:shd w:val="clear" w:color="auto" w:fill="auto"/>
            <w:noWrap/>
            <w:hideMark/>
          </w:tcPr>
          <w:p w14:paraId="526C8D0B"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61%</w:t>
            </w:r>
          </w:p>
        </w:tc>
      </w:tr>
      <w:tr w:rsidR="00B14013" w:rsidRPr="00B14013" w14:paraId="747ACE86" w14:textId="77777777" w:rsidTr="00EE52CB">
        <w:trPr>
          <w:trHeight w:val="57"/>
        </w:trPr>
        <w:tc>
          <w:tcPr>
            <w:tcW w:w="0" w:type="auto"/>
            <w:shd w:val="clear" w:color="auto" w:fill="auto"/>
            <w:vAlign w:val="center"/>
            <w:hideMark/>
          </w:tcPr>
          <w:p w14:paraId="27E8F586"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Mobile AC - Metro</w:t>
            </w:r>
          </w:p>
        </w:tc>
        <w:tc>
          <w:tcPr>
            <w:tcW w:w="0" w:type="auto"/>
            <w:shd w:val="clear" w:color="auto" w:fill="auto"/>
            <w:noWrap/>
            <w:hideMark/>
          </w:tcPr>
          <w:p w14:paraId="2F1FDCDD"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39%</w:t>
            </w:r>
          </w:p>
        </w:tc>
        <w:tc>
          <w:tcPr>
            <w:tcW w:w="0" w:type="auto"/>
            <w:shd w:val="clear" w:color="auto" w:fill="auto"/>
            <w:noWrap/>
            <w:hideMark/>
          </w:tcPr>
          <w:p w14:paraId="7468D330"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61%</w:t>
            </w:r>
          </w:p>
        </w:tc>
      </w:tr>
      <w:tr w:rsidR="00B14013" w:rsidRPr="00B14013" w14:paraId="5BBDFFAA" w14:textId="77777777" w:rsidTr="00EE52CB">
        <w:trPr>
          <w:trHeight w:val="57"/>
        </w:trPr>
        <w:tc>
          <w:tcPr>
            <w:tcW w:w="0" w:type="auto"/>
            <w:shd w:val="clear" w:color="auto" w:fill="auto"/>
            <w:vAlign w:val="center"/>
            <w:hideMark/>
          </w:tcPr>
          <w:p w14:paraId="2651CEB6"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Mobile AC - Train</w:t>
            </w:r>
          </w:p>
        </w:tc>
        <w:tc>
          <w:tcPr>
            <w:tcW w:w="0" w:type="auto"/>
            <w:tcBorders>
              <w:bottom w:val="single" w:sz="4" w:space="0" w:color="auto"/>
            </w:tcBorders>
            <w:shd w:val="clear" w:color="auto" w:fill="auto"/>
            <w:noWrap/>
            <w:hideMark/>
          </w:tcPr>
          <w:p w14:paraId="2B73E27A"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39%</w:t>
            </w:r>
          </w:p>
        </w:tc>
        <w:tc>
          <w:tcPr>
            <w:tcW w:w="0" w:type="auto"/>
            <w:tcBorders>
              <w:bottom w:val="single" w:sz="4" w:space="0" w:color="auto"/>
            </w:tcBorders>
            <w:shd w:val="clear" w:color="auto" w:fill="auto"/>
            <w:noWrap/>
            <w:hideMark/>
          </w:tcPr>
          <w:p w14:paraId="17C42B4E"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61%</w:t>
            </w:r>
          </w:p>
        </w:tc>
      </w:tr>
      <w:tr w:rsidR="00B14013" w:rsidRPr="00B14013" w14:paraId="2532F504" w14:textId="77777777" w:rsidTr="00EE52CB">
        <w:trPr>
          <w:trHeight w:val="57"/>
        </w:trPr>
        <w:tc>
          <w:tcPr>
            <w:tcW w:w="0" w:type="auto"/>
            <w:shd w:val="clear" w:color="auto" w:fill="auto"/>
            <w:vAlign w:val="center"/>
            <w:hideMark/>
          </w:tcPr>
          <w:p w14:paraId="2305FCAB"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Aerosols - technical</w:t>
            </w:r>
          </w:p>
        </w:tc>
        <w:tc>
          <w:tcPr>
            <w:tcW w:w="0" w:type="auto"/>
            <w:tcBorders>
              <w:bottom w:val="single" w:sz="4" w:space="0" w:color="auto"/>
            </w:tcBorders>
            <w:shd w:val="clear" w:color="auto" w:fill="F2F2F2" w:themeFill="background1" w:themeFillShade="F2"/>
            <w:noWrap/>
            <w:hideMark/>
          </w:tcPr>
          <w:p w14:paraId="37BAF2C8"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35%</w:t>
            </w:r>
          </w:p>
        </w:tc>
        <w:tc>
          <w:tcPr>
            <w:tcW w:w="0" w:type="auto"/>
            <w:tcBorders>
              <w:bottom w:val="single" w:sz="4" w:space="0" w:color="auto"/>
            </w:tcBorders>
            <w:shd w:val="clear" w:color="auto" w:fill="F2F2F2" w:themeFill="background1" w:themeFillShade="F2"/>
            <w:noWrap/>
            <w:hideMark/>
          </w:tcPr>
          <w:p w14:paraId="1A00A126"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65%</w:t>
            </w:r>
          </w:p>
        </w:tc>
      </w:tr>
      <w:tr w:rsidR="00B14013" w:rsidRPr="00B14013" w14:paraId="1DFC55BB" w14:textId="77777777" w:rsidTr="00EE52CB">
        <w:trPr>
          <w:trHeight w:val="57"/>
        </w:trPr>
        <w:tc>
          <w:tcPr>
            <w:tcW w:w="0" w:type="auto"/>
            <w:shd w:val="clear" w:color="auto" w:fill="auto"/>
            <w:vAlign w:val="center"/>
            <w:hideMark/>
          </w:tcPr>
          <w:p w14:paraId="2EEE557F"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Aerosols - MDIs</w:t>
            </w:r>
          </w:p>
        </w:tc>
        <w:tc>
          <w:tcPr>
            <w:tcW w:w="0" w:type="auto"/>
            <w:shd w:val="clear" w:color="auto" w:fill="auto"/>
            <w:noWrap/>
            <w:hideMark/>
          </w:tcPr>
          <w:p w14:paraId="0852C813"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39%</w:t>
            </w:r>
          </w:p>
        </w:tc>
        <w:tc>
          <w:tcPr>
            <w:tcW w:w="0" w:type="auto"/>
            <w:shd w:val="clear" w:color="auto" w:fill="auto"/>
            <w:noWrap/>
            <w:hideMark/>
          </w:tcPr>
          <w:p w14:paraId="6AD239B2"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61%</w:t>
            </w:r>
          </w:p>
        </w:tc>
      </w:tr>
      <w:tr w:rsidR="00B14013" w:rsidRPr="00B14013" w14:paraId="73048D5D" w14:textId="77777777" w:rsidTr="00EE52CB">
        <w:trPr>
          <w:trHeight w:val="57"/>
        </w:trPr>
        <w:tc>
          <w:tcPr>
            <w:tcW w:w="0" w:type="auto"/>
            <w:shd w:val="clear" w:color="auto" w:fill="auto"/>
            <w:vAlign w:val="center"/>
            <w:hideMark/>
          </w:tcPr>
          <w:p w14:paraId="7471A858"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Fire extinguishers</w:t>
            </w:r>
          </w:p>
        </w:tc>
        <w:tc>
          <w:tcPr>
            <w:tcW w:w="0" w:type="auto"/>
            <w:tcBorders>
              <w:bottom w:val="single" w:sz="4" w:space="0" w:color="auto"/>
            </w:tcBorders>
            <w:shd w:val="clear" w:color="auto" w:fill="auto"/>
            <w:noWrap/>
            <w:hideMark/>
          </w:tcPr>
          <w:p w14:paraId="475427C3"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39%</w:t>
            </w:r>
          </w:p>
        </w:tc>
        <w:tc>
          <w:tcPr>
            <w:tcW w:w="0" w:type="auto"/>
            <w:tcBorders>
              <w:bottom w:val="single" w:sz="4" w:space="0" w:color="auto"/>
            </w:tcBorders>
            <w:shd w:val="clear" w:color="auto" w:fill="auto"/>
            <w:noWrap/>
            <w:hideMark/>
          </w:tcPr>
          <w:p w14:paraId="02863DFC"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61%</w:t>
            </w:r>
          </w:p>
        </w:tc>
      </w:tr>
      <w:tr w:rsidR="00B14013" w:rsidRPr="00B14013" w14:paraId="433CDF26" w14:textId="77777777" w:rsidTr="00EE52CB">
        <w:trPr>
          <w:trHeight w:val="57"/>
        </w:trPr>
        <w:tc>
          <w:tcPr>
            <w:tcW w:w="0" w:type="auto"/>
            <w:shd w:val="clear" w:color="auto" w:fill="auto"/>
            <w:vAlign w:val="center"/>
            <w:hideMark/>
          </w:tcPr>
          <w:p w14:paraId="10B0180F"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Solvents</w:t>
            </w:r>
          </w:p>
        </w:tc>
        <w:tc>
          <w:tcPr>
            <w:tcW w:w="0" w:type="auto"/>
            <w:shd w:val="clear" w:color="auto" w:fill="F2F2F2" w:themeFill="background1" w:themeFillShade="F2"/>
            <w:noWrap/>
            <w:hideMark/>
          </w:tcPr>
          <w:p w14:paraId="4E97B7D0"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25%</w:t>
            </w:r>
          </w:p>
        </w:tc>
        <w:tc>
          <w:tcPr>
            <w:tcW w:w="0" w:type="auto"/>
            <w:shd w:val="clear" w:color="auto" w:fill="F2F2F2" w:themeFill="background1" w:themeFillShade="F2"/>
            <w:noWrap/>
            <w:hideMark/>
          </w:tcPr>
          <w:p w14:paraId="2D738187"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75%</w:t>
            </w:r>
          </w:p>
        </w:tc>
      </w:tr>
      <w:tr w:rsidR="00B14013" w:rsidRPr="00B14013" w14:paraId="6E9563F4" w14:textId="77777777" w:rsidTr="00EE52CB">
        <w:trPr>
          <w:trHeight w:val="57"/>
        </w:trPr>
        <w:tc>
          <w:tcPr>
            <w:tcW w:w="0" w:type="auto"/>
            <w:shd w:val="clear" w:color="auto" w:fill="auto"/>
            <w:vAlign w:val="center"/>
            <w:hideMark/>
          </w:tcPr>
          <w:p w14:paraId="11499D1C"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Foam OCF (one component foam)</w:t>
            </w:r>
          </w:p>
        </w:tc>
        <w:tc>
          <w:tcPr>
            <w:tcW w:w="0" w:type="auto"/>
            <w:shd w:val="clear" w:color="auto" w:fill="auto"/>
            <w:noWrap/>
            <w:hideMark/>
          </w:tcPr>
          <w:p w14:paraId="501CE8A7"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39%</w:t>
            </w:r>
          </w:p>
        </w:tc>
        <w:tc>
          <w:tcPr>
            <w:tcW w:w="0" w:type="auto"/>
            <w:shd w:val="clear" w:color="auto" w:fill="auto"/>
            <w:noWrap/>
            <w:hideMark/>
          </w:tcPr>
          <w:p w14:paraId="00163254"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61%</w:t>
            </w:r>
          </w:p>
        </w:tc>
      </w:tr>
      <w:tr w:rsidR="00B14013" w:rsidRPr="00B14013" w14:paraId="10EE25DB" w14:textId="77777777" w:rsidTr="00EE52CB">
        <w:trPr>
          <w:trHeight w:val="57"/>
        </w:trPr>
        <w:tc>
          <w:tcPr>
            <w:tcW w:w="0" w:type="auto"/>
            <w:shd w:val="clear" w:color="auto" w:fill="auto"/>
            <w:vAlign w:val="center"/>
            <w:hideMark/>
          </w:tcPr>
          <w:p w14:paraId="7428849F"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Foam XPS (extruded polystyrene)</w:t>
            </w:r>
          </w:p>
        </w:tc>
        <w:tc>
          <w:tcPr>
            <w:tcW w:w="0" w:type="auto"/>
            <w:shd w:val="clear" w:color="auto" w:fill="auto"/>
            <w:noWrap/>
            <w:hideMark/>
          </w:tcPr>
          <w:p w14:paraId="5174AE7D"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39%</w:t>
            </w:r>
          </w:p>
        </w:tc>
        <w:tc>
          <w:tcPr>
            <w:tcW w:w="0" w:type="auto"/>
            <w:shd w:val="clear" w:color="auto" w:fill="auto"/>
            <w:noWrap/>
            <w:hideMark/>
          </w:tcPr>
          <w:p w14:paraId="0456CC74"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61%</w:t>
            </w:r>
          </w:p>
        </w:tc>
      </w:tr>
      <w:tr w:rsidR="00B14013" w:rsidRPr="00B14013" w14:paraId="0ADD4DD6" w14:textId="77777777" w:rsidTr="00EE52CB">
        <w:trPr>
          <w:trHeight w:val="57"/>
        </w:trPr>
        <w:tc>
          <w:tcPr>
            <w:tcW w:w="0" w:type="auto"/>
            <w:shd w:val="clear" w:color="auto" w:fill="auto"/>
            <w:vAlign w:val="center"/>
            <w:hideMark/>
          </w:tcPr>
          <w:p w14:paraId="1B2F0061"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Foam PU (polyurethane) spray</w:t>
            </w:r>
          </w:p>
        </w:tc>
        <w:tc>
          <w:tcPr>
            <w:tcW w:w="0" w:type="auto"/>
            <w:shd w:val="clear" w:color="auto" w:fill="auto"/>
            <w:noWrap/>
            <w:hideMark/>
          </w:tcPr>
          <w:p w14:paraId="752E3717"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39%</w:t>
            </w:r>
          </w:p>
        </w:tc>
        <w:tc>
          <w:tcPr>
            <w:tcW w:w="0" w:type="auto"/>
            <w:shd w:val="clear" w:color="auto" w:fill="auto"/>
            <w:noWrap/>
            <w:hideMark/>
          </w:tcPr>
          <w:p w14:paraId="090473DB"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61%</w:t>
            </w:r>
          </w:p>
        </w:tc>
      </w:tr>
      <w:tr w:rsidR="00B14013" w:rsidRPr="00B14013" w14:paraId="054B31E8" w14:textId="77777777" w:rsidTr="00EE52CB">
        <w:trPr>
          <w:trHeight w:val="57"/>
        </w:trPr>
        <w:tc>
          <w:tcPr>
            <w:tcW w:w="0" w:type="auto"/>
            <w:shd w:val="clear" w:color="auto" w:fill="auto"/>
            <w:vAlign w:val="center"/>
            <w:hideMark/>
          </w:tcPr>
          <w:p w14:paraId="66FFC3D6" w14:textId="77777777" w:rsidR="00B14013" w:rsidRPr="00B14013" w:rsidRDefault="00B14013" w:rsidP="00B14013">
            <w:pPr>
              <w:rPr>
                <w:rFonts w:asciiTheme="minorHAnsi" w:hAnsiTheme="minorHAnsi"/>
                <w:noProof/>
                <w:sz w:val="20"/>
                <w:szCs w:val="20"/>
                <w:lang w:val="fr-BE" w:eastAsia="en-GB"/>
              </w:rPr>
            </w:pPr>
            <w:r w:rsidRPr="00B14013">
              <w:rPr>
                <w:rFonts w:asciiTheme="minorHAnsi" w:hAnsiTheme="minorHAnsi"/>
                <w:noProof/>
                <w:sz w:val="20"/>
                <w:szCs w:val="20"/>
                <w:lang w:val="fr-BE" w:eastAsia="en-GB"/>
              </w:rPr>
              <w:t>Foam PU (polyurethane) non-spray</w:t>
            </w:r>
          </w:p>
        </w:tc>
        <w:tc>
          <w:tcPr>
            <w:tcW w:w="0" w:type="auto"/>
            <w:shd w:val="clear" w:color="auto" w:fill="auto"/>
            <w:noWrap/>
            <w:hideMark/>
          </w:tcPr>
          <w:p w14:paraId="7D08D250"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39%</w:t>
            </w:r>
          </w:p>
        </w:tc>
        <w:tc>
          <w:tcPr>
            <w:tcW w:w="0" w:type="auto"/>
            <w:shd w:val="clear" w:color="auto" w:fill="auto"/>
            <w:noWrap/>
            <w:hideMark/>
          </w:tcPr>
          <w:p w14:paraId="567944A4"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61%</w:t>
            </w:r>
          </w:p>
        </w:tc>
      </w:tr>
      <w:tr w:rsidR="00B14013" w:rsidRPr="00B14013" w14:paraId="4A35B93B" w14:textId="77777777" w:rsidTr="00EE52CB">
        <w:trPr>
          <w:trHeight w:val="57"/>
        </w:trPr>
        <w:tc>
          <w:tcPr>
            <w:tcW w:w="0" w:type="auto"/>
            <w:shd w:val="clear" w:color="auto" w:fill="auto"/>
            <w:vAlign w:val="center"/>
            <w:hideMark/>
          </w:tcPr>
          <w:p w14:paraId="30C63B18"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Switchgear MV</w:t>
            </w:r>
          </w:p>
        </w:tc>
        <w:tc>
          <w:tcPr>
            <w:tcW w:w="0" w:type="auto"/>
            <w:shd w:val="clear" w:color="auto" w:fill="auto"/>
            <w:noWrap/>
            <w:hideMark/>
          </w:tcPr>
          <w:p w14:paraId="3FD5C8D5"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39%</w:t>
            </w:r>
          </w:p>
        </w:tc>
        <w:tc>
          <w:tcPr>
            <w:tcW w:w="0" w:type="auto"/>
            <w:shd w:val="clear" w:color="auto" w:fill="auto"/>
            <w:noWrap/>
            <w:hideMark/>
          </w:tcPr>
          <w:p w14:paraId="0786674D"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61%</w:t>
            </w:r>
          </w:p>
        </w:tc>
      </w:tr>
      <w:tr w:rsidR="00B14013" w:rsidRPr="00B14013" w14:paraId="29858C3E" w14:textId="77777777" w:rsidTr="00EE52CB">
        <w:trPr>
          <w:trHeight w:val="57"/>
        </w:trPr>
        <w:tc>
          <w:tcPr>
            <w:tcW w:w="0" w:type="auto"/>
            <w:shd w:val="clear" w:color="auto" w:fill="auto"/>
            <w:vAlign w:val="center"/>
            <w:hideMark/>
          </w:tcPr>
          <w:p w14:paraId="0A0FF87C"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Switchgear HV</w:t>
            </w:r>
          </w:p>
        </w:tc>
        <w:tc>
          <w:tcPr>
            <w:tcW w:w="0" w:type="auto"/>
            <w:shd w:val="clear" w:color="auto" w:fill="auto"/>
            <w:noWrap/>
            <w:hideMark/>
          </w:tcPr>
          <w:p w14:paraId="21BC5DAD"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39%</w:t>
            </w:r>
          </w:p>
        </w:tc>
        <w:tc>
          <w:tcPr>
            <w:tcW w:w="0" w:type="auto"/>
            <w:shd w:val="clear" w:color="auto" w:fill="auto"/>
            <w:noWrap/>
            <w:hideMark/>
          </w:tcPr>
          <w:p w14:paraId="52628B44" w14:textId="77777777" w:rsidR="00B14013" w:rsidRPr="00B14013" w:rsidRDefault="00B14013" w:rsidP="00B14013">
            <w:pPr>
              <w:rPr>
                <w:rFonts w:asciiTheme="minorHAnsi" w:hAnsiTheme="minorHAnsi"/>
                <w:noProof/>
                <w:sz w:val="20"/>
                <w:szCs w:val="20"/>
                <w:lang w:eastAsia="en-GB"/>
              </w:rPr>
            </w:pPr>
            <w:r w:rsidRPr="00B14013">
              <w:rPr>
                <w:rFonts w:asciiTheme="minorHAnsi" w:hAnsiTheme="minorHAnsi"/>
                <w:noProof/>
                <w:sz w:val="20"/>
                <w:szCs w:val="20"/>
                <w:lang w:eastAsia="en-GB"/>
              </w:rPr>
              <w:t>61%</w:t>
            </w:r>
          </w:p>
        </w:tc>
      </w:tr>
    </w:tbl>
    <w:p w14:paraId="08486EF7" w14:textId="4417AB76" w:rsidR="00B14013" w:rsidRPr="003D3F82" w:rsidRDefault="00B14013" w:rsidP="00D770DC">
      <w:pPr>
        <w:rPr>
          <w:rFonts w:asciiTheme="minorHAnsi" w:hAnsiTheme="minorHAnsi" w:cstheme="minorHAnsi"/>
          <w:noProof/>
          <w:sz w:val="20"/>
          <w:szCs w:val="20"/>
          <w:lang w:eastAsia="en-GB"/>
        </w:rPr>
      </w:pPr>
      <w:r w:rsidRPr="0085241A">
        <w:rPr>
          <w:rFonts w:asciiTheme="minorHAnsi" w:hAnsiTheme="minorHAnsi"/>
          <w:b/>
          <w:noProof/>
          <w:sz w:val="20"/>
        </w:rPr>
        <w:t>Notes:</w:t>
      </w:r>
      <w:r w:rsidRPr="003D3F82">
        <w:rPr>
          <w:rFonts w:asciiTheme="minorHAnsi" w:hAnsiTheme="minorHAnsi" w:cstheme="minorHAnsi"/>
          <w:noProof/>
          <w:sz w:val="20"/>
          <w:szCs w:val="20"/>
          <w:lang w:eastAsia="en-GB"/>
        </w:rPr>
        <w:t xml:space="preserve"> EU 27 south: Bulgaria, Croatia, Cyprus, southern France (25% of FR population), Greece, Italy, Malta, Portugal, Romania, Spain; EU28 North: other EU 27 MS, including 75% of French population</w:t>
      </w:r>
    </w:p>
    <w:p w14:paraId="0303925D" w14:textId="64CED41C" w:rsidR="00444891" w:rsidRPr="00B14013" w:rsidRDefault="00444891" w:rsidP="00444891">
      <w:pPr>
        <w:pStyle w:val="Caption"/>
        <w:keepLines/>
        <w:spacing w:line="276" w:lineRule="auto"/>
        <w:rPr>
          <w:rFonts w:asciiTheme="minorHAnsi" w:hAnsiTheme="minorHAnsi"/>
          <w:noProof/>
          <w:color w:val="0070C0"/>
        </w:rPr>
      </w:pPr>
      <w:bookmarkStart w:id="556" w:name="_Ref87017094"/>
      <w:bookmarkStart w:id="557" w:name="_Toc82792213"/>
      <w:r w:rsidRPr="00B14013">
        <w:rPr>
          <w:rFonts w:asciiTheme="minorHAnsi" w:hAnsiTheme="minorHAnsi"/>
          <w:b/>
          <w:noProof/>
          <w:color w:val="0070C0"/>
        </w:rPr>
        <w:t xml:space="preserve">Table </w:t>
      </w:r>
      <w:r w:rsidR="00B14013" w:rsidRPr="00B14013">
        <w:rPr>
          <w:rFonts w:asciiTheme="minorHAnsi" w:hAnsiTheme="minorHAnsi"/>
          <w:b/>
          <w:noProof/>
          <w:color w:val="0070C0"/>
        </w:rPr>
        <w:fldChar w:fldCharType="begin"/>
      </w:r>
      <w:r w:rsidR="00B14013" w:rsidRPr="00B14013">
        <w:rPr>
          <w:rFonts w:asciiTheme="minorHAnsi" w:hAnsiTheme="minorHAnsi"/>
          <w:b/>
          <w:noProof/>
          <w:color w:val="0070C0"/>
        </w:rPr>
        <w:instrText xml:space="preserve"> SEQ Table \* ARABIC \s </w:instrText>
      </w:r>
      <w:r w:rsidR="00B14013" w:rsidRPr="00B14013">
        <w:rPr>
          <w:rFonts w:asciiTheme="minorHAnsi" w:hAnsiTheme="minorHAnsi"/>
          <w:b/>
          <w:noProof/>
          <w:color w:val="0070C0"/>
        </w:rPr>
        <w:fldChar w:fldCharType="separate"/>
      </w:r>
      <w:r w:rsidR="00830261">
        <w:rPr>
          <w:rFonts w:asciiTheme="minorHAnsi" w:hAnsiTheme="minorHAnsi"/>
          <w:b/>
          <w:noProof/>
          <w:color w:val="0070C0"/>
        </w:rPr>
        <w:t>20</w:t>
      </w:r>
      <w:r w:rsidR="00B14013" w:rsidRPr="00B14013">
        <w:rPr>
          <w:rFonts w:asciiTheme="minorHAnsi" w:hAnsiTheme="minorHAnsi"/>
          <w:b/>
          <w:noProof/>
          <w:color w:val="0070C0"/>
        </w:rPr>
        <w:fldChar w:fldCharType="end"/>
      </w:r>
      <w:bookmarkEnd w:id="556"/>
      <w:r w:rsidR="00B14013">
        <w:rPr>
          <w:rFonts w:asciiTheme="minorHAnsi" w:hAnsiTheme="minorHAnsi"/>
          <w:b/>
          <w:noProof/>
          <w:color w:val="0070C0"/>
        </w:rPr>
        <w:t>.</w:t>
      </w:r>
      <w:r w:rsidR="00B14013">
        <w:rPr>
          <w:rFonts w:asciiTheme="minorHAnsi" w:hAnsiTheme="minorHAnsi"/>
          <w:noProof/>
          <w:color w:val="0070C0"/>
        </w:rPr>
        <w:t xml:space="preserve"> </w:t>
      </w:r>
      <w:r w:rsidRPr="00B14013">
        <w:rPr>
          <w:rFonts w:asciiTheme="minorHAnsi" w:hAnsiTheme="minorHAnsi"/>
          <w:noProof/>
          <w:color w:val="0070C0"/>
        </w:rPr>
        <w:t>Regional distribution of equipment stocks EU28 south vs EU 28 north 2015-2019</w:t>
      </w:r>
      <w:bookmarkEnd w:id="557"/>
    </w:p>
    <w:tbl>
      <w:tblPr>
        <w:tblW w:w="8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20"/>
        <w:gridCol w:w="2040"/>
        <w:gridCol w:w="2520"/>
      </w:tblGrid>
      <w:tr w:rsidR="00444891" w:rsidRPr="00B14013" w14:paraId="611E040C" w14:textId="77777777" w:rsidTr="00444891">
        <w:trPr>
          <w:trHeight w:val="20"/>
        </w:trPr>
        <w:tc>
          <w:tcPr>
            <w:tcW w:w="4420" w:type="dxa"/>
            <w:tcBorders>
              <w:top w:val="single" w:sz="4" w:space="0" w:color="auto"/>
              <w:left w:val="single" w:sz="4" w:space="0" w:color="auto"/>
              <w:bottom w:val="single" w:sz="4" w:space="0" w:color="auto"/>
              <w:right w:val="single" w:sz="4" w:space="0" w:color="auto"/>
            </w:tcBorders>
            <w:noWrap/>
            <w:vAlign w:val="center"/>
            <w:hideMark/>
          </w:tcPr>
          <w:p w14:paraId="3B12A399" w14:textId="77777777" w:rsidR="00444891" w:rsidRPr="00B14013" w:rsidRDefault="00444891">
            <w:pPr>
              <w:spacing w:after="0" w:line="240" w:lineRule="auto"/>
              <w:rPr>
                <w:rFonts w:asciiTheme="minorHAnsi" w:eastAsia="Times New Roman" w:hAnsiTheme="minorHAnsi" w:cs="Arial"/>
                <w:b/>
                <w:bCs/>
                <w:noProof/>
                <w:sz w:val="20"/>
                <w:szCs w:val="20"/>
                <w:lang w:eastAsia="de-DE"/>
              </w:rPr>
            </w:pPr>
            <w:r w:rsidRPr="00B14013">
              <w:rPr>
                <w:rFonts w:asciiTheme="minorHAnsi" w:eastAsia="Times New Roman" w:hAnsiTheme="minorHAnsi" w:cs="Arial"/>
                <w:b/>
                <w:bCs/>
                <w:noProof/>
                <w:sz w:val="20"/>
                <w:szCs w:val="20"/>
                <w:lang w:eastAsia="de-DE"/>
              </w:rPr>
              <w:t>AnaFgas sector</w:t>
            </w:r>
          </w:p>
        </w:tc>
        <w:tc>
          <w:tcPr>
            <w:tcW w:w="2040" w:type="dxa"/>
            <w:tcBorders>
              <w:top w:val="single" w:sz="4" w:space="0" w:color="auto"/>
              <w:left w:val="single" w:sz="4" w:space="0" w:color="auto"/>
              <w:bottom w:val="single" w:sz="4" w:space="0" w:color="auto"/>
              <w:right w:val="single" w:sz="4" w:space="0" w:color="auto"/>
            </w:tcBorders>
            <w:vAlign w:val="center"/>
            <w:hideMark/>
          </w:tcPr>
          <w:p w14:paraId="551AE5B2" w14:textId="77777777" w:rsidR="00444891" w:rsidRPr="00B14013" w:rsidRDefault="00444891">
            <w:pPr>
              <w:spacing w:after="0" w:line="240" w:lineRule="auto"/>
              <w:jc w:val="center"/>
              <w:rPr>
                <w:rFonts w:asciiTheme="minorHAnsi" w:eastAsia="Times New Roman" w:hAnsiTheme="minorHAnsi" w:cs="Arial"/>
                <w:b/>
                <w:bCs/>
                <w:noProof/>
                <w:sz w:val="20"/>
                <w:szCs w:val="20"/>
                <w:lang w:eastAsia="de-DE"/>
              </w:rPr>
            </w:pPr>
            <w:r w:rsidRPr="00B14013">
              <w:rPr>
                <w:rFonts w:asciiTheme="minorHAnsi" w:eastAsia="Times New Roman" w:hAnsiTheme="minorHAnsi" w:cs="Arial"/>
                <w:b/>
                <w:bCs/>
                <w:noProof/>
                <w:sz w:val="20"/>
                <w:szCs w:val="20"/>
                <w:lang w:eastAsia="de-DE"/>
              </w:rPr>
              <w:t xml:space="preserve">EU 28 south </w:t>
            </w:r>
            <w:r w:rsidRPr="00B14013">
              <w:rPr>
                <w:rFonts w:asciiTheme="minorHAnsi" w:eastAsia="Times New Roman" w:hAnsiTheme="minorHAnsi" w:cs="Arial"/>
                <w:b/>
                <w:bCs/>
                <w:noProof/>
                <w:sz w:val="20"/>
                <w:szCs w:val="20"/>
                <w:lang w:eastAsia="de-DE"/>
              </w:rPr>
              <w:br/>
              <w:t>(35% of population)</w:t>
            </w:r>
          </w:p>
        </w:tc>
        <w:tc>
          <w:tcPr>
            <w:tcW w:w="2520" w:type="dxa"/>
            <w:tcBorders>
              <w:top w:val="single" w:sz="4" w:space="0" w:color="auto"/>
              <w:left w:val="single" w:sz="4" w:space="0" w:color="auto"/>
              <w:bottom w:val="single" w:sz="4" w:space="0" w:color="auto"/>
              <w:right w:val="single" w:sz="4" w:space="0" w:color="auto"/>
            </w:tcBorders>
            <w:vAlign w:val="center"/>
            <w:hideMark/>
          </w:tcPr>
          <w:p w14:paraId="03EAC897" w14:textId="77777777" w:rsidR="00444891" w:rsidRPr="00B14013" w:rsidRDefault="00444891">
            <w:pPr>
              <w:spacing w:after="0" w:line="240" w:lineRule="auto"/>
              <w:jc w:val="center"/>
              <w:rPr>
                <w:rFonts w:asciiTheme="minorHAnsi" w:eastAsia="Times New Roman" w:hAnsiTheme="minorHAnsi" w:cs="Arial"/>
                <w:b/>
                <w:bCs/>
                <w:noProof/>
                <w:sz w:val="20"/>
                <w:szCs w:val="20"/>
                <w:lang w:eastAsia="de-DE"/>
              </w:rPr>
            </w:pPr>
            <w:r w:rsidRPr="00B14013">
              <w:rPr>
                <w:rFonts w:asciiTheme="minorHAnsi" w:eastAsia="Times New Roman" w:hAnsiTheme="minorHAnsi" w:cs="Arial"/>
                <w:b/>
                <w:bCs/>
                <w:noProof/>
                <w:sz w:val="20"/>
                <w:szCs w:val="20"/>
                <w:lang w:eastAsia="de-DE"/>
              </w:rPr>
              <w:t xml:space="preserve">EU 28 north </w:t>
            </w:r>
            <w:r w:rsidRPr="00B14013">
              <w:rPr>
                <w:rFonts w:asciiTheme="minorHAnsi" w:eastAsia="Times New Roman" w:hAnsiTheme="minorHAnsi" w:cs="Arial"/>
                <w:b/>
                <w:bCs/>
                <w:noProof/>
                <w:sz w:val="20"/>
                <w:szCs w:val="20"/>
                <w:lang w:eastAsia="de-DE"/>
              </w:rPr>
              <w:br/>
              <w:t>(65% of population)</w:t>
            </w:r>
          </w:p>
        </w:tc>
      </w:tr>
      <w:tr w:rsidR="00444891" w:rsidRPr="00B14013" w14:paraId="522C2A19" w14:textId="77777777" w:rsidTr="00444891">
        <w:trPr>
          <w:trHeight w:val="20"/>
        </w:trPr>
        <w:tc>
          <w:tcPr>
            <w:tcW w:w="4420" w:type="dxa"/>
            <w:tcBorders>
              <w:top w:val="single" w:sz="4" w:space="0" w:color="auto"/>
              <w:left w:val="single" w:sz="4" w:space="0" w:color="auto"/>
              <w:bottom w:val="single" w:sz="4" w:space="0" w:color="auto"/>
              <w:right w:val="single" w:sz="4" w:space="0" w:color="auto"/>
            </w:tcBorders>
            <w:vAlign w:val="center"/>
            <w:hideMark/>
          </w:tcPr>
          <w:p w14:paraId="578E2D3B" w14:textId="77777777" w:rsidR="00444891" w:rsidRPr="00B14013" w:rsidRDefault="00444891">
            <w:pPr>
              <w:spacing w:after="0" w:line="240" w:lineRule="auto"/>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Domestic Refrigeration</w:t>
            </w:r>
          </w:p>
        </w:tc>
        <w:tc>
          <w:tcPr>
            <w:tcW w:w="2040" w:type="dxa"/>
            <w:tcBorders>
              <w:top w:val="single" w:sz="4" w:space="0" w:color="auto"/>
              <w:left w:val="single" w:sz="4" w:space="0" w:color="auto"/>
              <w:bottom w:val="single" w:sz="4" w:space="0" w:color="auto"/>
              <w:right w:val="single" w:sz="4" w:space="0" w:color="auto"/>
            </w:tcBorders>
            <w:noWrap/>
            <w:vAlign w:val="center"/>
            <w:hideMark/>
          </w:tcPr>
          <w:p w14:paraId="046A075B"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35%</w:t>
            </w:r>
          </w:p>
        </w:tc>
        <w:tc>
          <w:tcPr>
            <w:tcW w:w="2520" w:type="dxa"/>
            <w:tcBorders>
              <w:top w:val="single" w:sz="4" w:space="0" w:color="auto"/>
              <w:left w:val="single" w:sz="4" w:space="0" w:color="auto"/>
              <w:bottom w:val="single" w:sz="4" w:space="0" w:color="auto"/>
              <w:right w:val="single" w:sz="4" w:space="0" w:color="auto"/>
            </w:tcBorders>
            <w:noWrap/>
            <w:vAlign w:val="center"/>
            <w:hideMark/>
          </w:tcPr>
          <w:p w14:paraId="72A8D624"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65%</w:t>
            </w:r>
          </w:p>
        </w:tc>
      </w:tr>
      <w:tr w:rsidR="00444891" w:rsidRPr="00B14013" w14:paraId="27544377" w14:textId="77777777" w:rsidTr="00444891">
        <w:trPr>
          <w:trHeight w:val="20"/>
        </w:trPr>
        <w:tc>
          <w:tcPr>
            <w:tcW w:w="4420" w:type="dxa"/>
            <w:tcBorders>
              <w:top w:val="single" w:sz="4" w:space="0" w:color="auto"/>
              <w:left w:val="single" w:sz="4" w:space="0" w:color="auto"/>
              <w:bottom w:val="single" w:sz="4" w:space="0" w:color="auto"/>
              <w:right w:val="single" w:sz="4" w:space="0" w:color="auto"/>
            </w:tcBorders>
            <w:vAlign w:val="center"/>
            <w:hideMark/>
          </w:tcPr>
          <w:p w14:paraId="0357E737" w14:textId="77777777" w:rsidR="00444891" w:rsidRPr="00B14013" w:rsidRDefault="00444891">
            <w:pPr>
              <w:spacing w:after="0" w:line="240" w:lineRule="auto"/>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Commercial refrigeration - Hermetics</w:t>
            </w:r>
          </w:p>
        </w:tc>
        <w:tc>
          <w:tcPr>
            <w:tcW w:w="2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E4DCC32"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55%</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99F823D"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45%</w:t>
            </w:r>
          </w:p>
        </w:tc>
      </w:tr>
      <w:tr w:rsidR="00444891" w:rsidRPr="00B14013" w14:paraId="14BEBE28" w14:textId="77777777" w:rsidTr="00444891">
        <w:trPr>
          <w:trHeight w:val="20"/>
        </w:trPr>
        <w:tc>
          <w:tcPr>
            <w:tcW w:w="4420" w:type="dxa"/>
            <w:tcBorders>
              <w:top w:val="single" w:sz="4" w:space="0" w:color="auto"/>
              <w:left w:val="single" w:sz="4" w:space="0" w:color="auto"/>
              <w:bottom w:val="single" w:sz="4" w:space="0" w:color="auto"/>
              <w:right w:val="single" w:sz="4" w:space="0" w:color="auto"/>
            </w:tcBorders>
            <w:vAlign w:val="center"/>
            <w:hideMark/>
          </w:tcPr>
          <w:p w14:paraId="66ACF5E2" w14:textId="77777777" w:rsidR="00444891" w:rsidRPr="00B14013" w:rsidRDefault="00444891">
            <w:pPr>
              <w:spacing w:after="0" w:line="240" w:lineRule="auto"/>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Commercial refrigeration - Condensing units</w:t>
            </w:r>
          </w:p>
        </w:tc>
        <w:tc>
          <w:tcPr>
            <w:tcW w:w="2040" w:type="dxa"/>
            <w:tcBorders>
              <w:top w:val="single" w:sz="4" w:space="0" w:color="auto"/>
              <w:left w:val="single" w:sz="4" w:space="0" w:color="auto"/>
              <w:bottom w:val="single" w:sz="4" w:space="0" w:color="auto"/>
              <w:right w:val="single" w:sz="4" w:space="0" w:color="auto"/>
            </w:tcBorders>
            <w:noWrap/>
            <w:vAlign w:val="center"/>
            <w:hideMark/>
          </w:tcPr>
          <w:p w14:paraId="1461CE26"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35%</w:t>
            </w:r>
          </w:p>
        </w:tc>
        <w:tc>
          <w:tcPr>
            <w:tcW w:w="2520" w:type="dxa"/>
            <w:tcBorders>
              <w:top w:val="single" w:sz="4" w:space="0" w:color="auto"/>
              <w:left w:val="single" w:sz="4" w:space="0" w:color="auto"/>
              <w:bottom w:val="single" w:sz="4" w:space="0" w:color="auto"/>
              <w:right w:val="single" w:sz="4" w:space="0" w:color="auto"/>
            </w:tcBorders>
            <w:noWrap/>
            <w:vAlign w:val="center"/>
            <w:hideMark/>
          </w:tcPr>
          <w:p w14:paraId="072E42A1"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65%</w:t>
            </w:r>
          </w:p>
        </w:tc>
      </w:tr>
      <w:tr w:rsidR="00444891" w:rsidRPr="00B14013" w14:paraId="40CD133C" w14:textId="77777777" w:rsidTr="00444891">
        <w:trPr>
          <w:trHeight w:val="20"/>
        </w:trPr>
        <w:tc>
          <w:tcPr>
            <w:tcW w:w="4420" w:type="dxa"/>
            <w:tcBorders>
              <w:top w:val="single" w:sz="4" w:space="0" w:color="auto"/>
              <w:left w:val="single" w:sz="4" w:space="0" w:color="auto"/>
              <w:bottom w:val="single" w:sz="4" w:space="0" w:color="auto"/>
              <w:right w:val="single" w:sz="4" w:space="0" w:color="auto"/>
            </w:tcBorders>
            <w:vAlign w:val="center"/>
            <w:hideMark/>
          </w:tcPr>
          <w:p w14:paraId="7491C9B0" w14:textId="77777777" w:rsidR="00444891" w:rsidRPr="00B14013" w:rsidRDefault="00444891">
            <w:pPr>
              <w:spacing w:after="0" w:line="240" w:lineRule="auto"/>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Commercial refrigeration - Central systems</w:t>
            </w:r>
          </w:p>
        </w:tc>
        <w:tc>
          <w:tcPr>
            <w:tcW w:w="2040" w:type="dxa"/>
            <w:tcBorders>
              <w:top w:val="single" w:sz="4" w:space="0" w:color="auto"/>
              <w:left w:val="single" w:sz="4" w:space="0" w:color="auto"/>
              <w:bottom w:val="single" w:sz="4" w:space="0" w:color="auto"/>
              <w:right w:val="single" w:sz="4" w:space="0" w:color="auto"/>
            </w:tcBorders>
            <w:noWrap/>
            <w:vAlign w:val="center"/>
            <w:hideMark/>
          </w:tcPr>
          <w:p w14:paraId="17F357E1"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35%</w:t>
            </w:r>
          </w:p>
        </w:tc>
        <w:tc>
          <w:tcPr>
            <w:tcW w:w="2520" w:type="dxa"/>
            <w:tcBorders>
              <w:top w:val="single" w:sz="4" w:space="0" w:color="auto"/>
              <w:left w:val="single" w:sz="4" w:space="0" w:color="auto"/>
              <w:bottom w:val="single" w:sz="4" w:space="0" w:color="auto"/>
              <w:right w:val="single" w:sz="4" w:space="0" w:color="auto"/>
            </w:tcBorders>
            <w:noWrap/>
            <w:vAlign w:val="center"/>
            <w:hideMark/>
          </w:tcPr>
          <w:p w14:paraId="6D7F1ECA"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65%</w:t>
            </w:r>
          </w:p>
        </w:tc>
      </w:tr>
      <w:tr w:rsidR="00444891" w:rsidRPr="00B14013" w14:paraId="7E8573A3" w14:textId="77777777" w:rsidTr="00444891">
        <w:trPr>
          <w:trHeight w:val="20"/>
        </w:trPr>
        <w:tc>
          <w:tcPr>
            <w:tcW w:w="4420" w:type="dxa"/>
            <w:tcBorders>
              <w:top w:val="single" w:sz="4" w:space="0" w:color="auto"/>
              <w:left w:val="single" w:sz="4" w:space="0" w:color="auto"/>
              <w:bottom w:val="single" w:sz="4" w:space="0" w:color="auto"/>
              <w:right w:val="single" w:sz="4" w:space="0" w:color="auto"/>
            </w:tcBorders>
            <w:vAlign w:val="center"/>
            <w:hideMark/>
          </w:tcPr>
          <w:p w14:paraId="1667B559" w14:textId="77777777" w:rsidR="00444891" w:rsidRPr="00B14013" w:rsidRDefault="00444891">
            <w:pPr>
              <w:spacing w:after="0" w:line="240" w:lineRule="auto"/>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Industrial refrigeration - small</w:t>
            </w:r>
          </w:p>
        </w:tc>
        <w:tc>
          <w:tcPr>
            <w:tcW w:w="2040" w:type="dxa"/>
            <w:tcBorders>
              <w:top w:val="single" w:sz="4" w:space="0" w:color="auto"/>
              <w:left w:val="single" w:sz="4" w:space="0" w:color="auto"/>
              <w:bottom w:val="single" w:sz="4" w:space="0" w:color="auto"/>
              <w:right w:val="single" w:sz="4" w:space="0" w:color="auto"/>
            </w:tcBorders>
            <w:noWrap/>
            <w:vAlign w:val="center"/>
            <w:hideMark/>
          </w:tcPr>
          <w:p w14:paraId="23A4D4ED"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35%</w:t>
            </w:r>
          </w:p>
        </w:tc>
        <w:tc>
          <w:tcPr>
            <w:tcW w:w="2520" w:type="dxa"/>
            <w:tcBorders>
              <w:top w:val="single" w:sz="4" w:space="0" w:color="auto"/>
              <w:left w:val="single" w:sz="4" w:space="0" w:color="auto"/>
              <w:bottom w:val="single" w:sz="4" w:space="0" w:color="auto"/>
              <w:right w:val="single" w:sz="4" w:space="0" w:color="auto"/>
            </w:tcBorders>
            <w:noWrap/>
            <w:vAlign w:val="center"/>
            <w:hideMark/>
          </w:tcPr>
          <w:p w14:paraId="0589476A"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65%</w:t>
            </w:r>
          </w:p>
        </w:tc>
      </w:tr>
      <w:tr w:rsidR="00444891" w:rsidRPr="00B14013" w14:paraId="3375C534" w14:textId="77777777" w:rsidTr="00444891">
        <w:trPr>
          <w:trHeight w:val="20"/>
        </w:trPr>
        <w:tc>
          <w:tcPr>
            <w:tcW w:w="4420" w:type="dxa"/>
            <w:tcBorders>
              <w:top w:val="single" w:sz="4" w:space="0" w:color="auto"/>
              <w:left w:val="single" w:sz="4" w:space="0" w:color="auto"/>
              <w:bottom w:val="single" w:sz="4" w:space="0" w:color="auto"/>
              <w:right w:val="single" w:sz="4" w:space="0" w:color="auto"/>
            </w:tcBorders>
            <w:vAlign w:val="center"/>
            <w:hideMark/>
          </w:tcPr>
          <w:p w14:paraId="60B23504" w14:textId="77777777" w:rsidR="00444891" w:rsidRPr="00B14013" w:rsidRDefault="00444891">
            <w:pPr>
              <w:spacing w:after="0" w:line="240" w:lineRule="auto"/>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Industrial refrigeration - large</w:t>
            </w:r>
          </w:p>
        </w:tc>
        <w:tc>
          <w:tcPr>
            <w:tcW w:w="2040" w:type="dxa"/>
            <w:tcBorders>
              <w:top w:val="single" w:sz="4" w:space="0" w:color="auto"/>
              <w:left w:val="single" w:sz="4" w:space="0" w:color="auto"/>
              <w:bottom w:val="single" w:sz="4" w:space="0" w:color="auto"/>
              <w:right w:val="single" w:sz="4" w:space="0" w:color="auto"/>
            </w:tcBorders>
            <w:noWrap/>
            <w:vAlign w:val="center"/>
            <w:hideMark/>
          </w:tcPr>
          <w:p w14:paraId="2FA8BD96"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35%</w:t>
            </w:r>
          </w:p>
        </w:tc>
        <w:tc>
          <w:tcPr>
            <w:tcW w:w="2520" w:type="dxa"/>
            <w:tcBorders>
              <w:top w:val="single" w:sz="4" w:space="0" w:color="auto"/>
              <w:left w:val="single" w:sz="4" w:space="0" w:color="auto"/>
              <w:bottom w:val="single" w:sz="4" w:space="0" w:color="auto"/>
              <w:right w:val="single" w:sz="4" w:space="0" w:color="auto"/>
            </w:tcBorders>
            <w:noWrap/>
            <w:vAlign w:val="center"/>
            <w:hideMark/>
          </w:tcPr>
          <w:p w14:paraId="777DE2E1"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65%</w:t>
            </w:r>
          </w:p>
        </w:tc>
      </w:tr>
      <w:tr w:rsidR="00444891" w:rsidRPr="00B14013" w14:paraId="7619F6EC" w14:textId="77777777" w:rsidTr="00444891">
        <w:trPr>
          <w:trHeight w:val="20"/>
        </w:trPr>
        <w:tc>
          <w:tcPr>
            <w:tcW w:w="4420" w:type="dxa"/>
            <w:tcBorders>
              <w:top w:val="single" w:sz="4" w:space="0" w:color="auto"/>
              <w:left w:val="single" w:sz="4" w:space="0" w:color="auto"/>
              <w:bottom w:val="single" w:sz="4" w:space="0" w:color="auto"/>
              <w:right w:val="single" w:sz="4" w:space="0" w:color="auto"/>
            </w:tcBorders>
            <w:vAlign w:val="center"/>
            <w:hideMark/>
          </w:tcPr>
          <w:p w14:paraId="481B3248" w14:textId="77777777" w:rsidR="00444891" w:rsidRPr="00B14013" w:rsidRDefault="00444891">
            <w:pPr>
              <w:spacing w:after="0" w:line="240" w:lineRule="auto"/>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Transport refrigeration - Vans</w:t>
            </w:r>
          </w:p>
        </w:tc>
        <w:tc>
          <w:tcPr>
            <w:tcW w:w="2040" w:type="dxa"/>
            <w:tcBorders>
              <w:top w:val="single" w:sz="4" w:space="0" w:color="auto"/>
              <w:left w:val="single" w:sz="4" w:space="0" w:color="auto"/>
              <w:bottom w:val="single" w:sz="4" w:space="0" w:color="auto"/>
              <w:right w:val="single" w:sz="4" w:space="0" w:color="auto"/>
            </w:tcBorders>
            <w:noWrap/>
            <w:vAlign w:val="center"/>
            <w:hideMark/>
          </w:tcPr>
          <w:p w14:paraId="5664DE8E"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35%</w:t>
            </w:r>
          </w:p>
        </w:tc>
        <w:tc>
          <w:tcPr>
            <w:tcW w:w="2520" w:type="dxa"/>
            <w:tcBorders>
              <w:top w:val="single" w:sz="4" w:space="0" w:color="auto"/>
              <w:left w:val="single" w:sz="4" w:space="0" w:color="auto"/>
              <w:bottom w:val="single" w:sz="4" w:space="0" w:color="auto"/>
              <w:right w:val="single" w:sz="4" w:space="0" w:color="auto"/>
            </w:tcBorders>
            <w:noWrap/>
            <w:vAlign w:val="center"/>
            <w:hideMark/>
          </w:tcPr>
          <w:p w14:paraId="76BAC4B9"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65%</w:t>
            </w:r>
          </w:p>
        </w:tc>
      </w:tr>
      <w:tr w:rsidR="00444891" w:rsidRPr="00B14013" w14:paraId="724E4294" w14:textId="77777777" w:rsidTr="00444891">
        <w:trPr>
          <w:trHeight w:val="20"/>
        </w:trPr>
        <w:tc>
          <w:tcPr>
            <w:tcW w:w="4420" w:type="dxa"/>
            <w:tcBorders>
              <w:top w:val="single" w:sz="4" w:space="0" w:color="auto"/>
              <w:left w:val="single" w:sz="4" w:space="0" w:color="auto"/>
              <w:bottom w:val="single" w:sz="4" w:space="0" w:color="auto"/>
              <w:right w:val="single" w:sz="4" w:space="0" w:color="auto"/>
            </w:tcBorders>
            <w:vAlign w:val="center"/>
            <w:hideMark/>
          </w:tcPr>
          <w:p w14:paraId="5D22B68A" w14:textId="77777777" w:rsidR="00444891" w:rsidRPr="00B14013" w:rsidRDefault="00444891">
            <w:pPr>
              <w:spacing w:after="0" w:line="240" w:lineRule="auto"/>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Transport refrigeration - Trucks &amp; Trailers</w:t>
            </w:r>
          </w:p>
        </w:tc>
        <w:tc>
          <w:tcPr>
            <w:tcW w:w="2040" w:type="dxa"/>
            <w:tcBorders>
              <w:top w:val="single" w:sz="4" w:space="0" w:color="auto"/>
              <w:left w:val="single" w:sz="4" w:space="0" w:color="auto"/>
              <w:bottom w:val="single" w:sz="4" w:space="0" w:color="auto"/>
              <w:right w:val="single" w:sz="4" w:space="0" w:color="auto"/>
            </w:tcBorders>
            <w:noWrap/>
            <w:vAlign w:val="center"/>
            <w:hideMark/>
          </w:tcPr>
          <w:p w14:paraId="17C1C140"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35%</w:t>
            </w:r>
          </w:p>
        </w:tc>
        <w:tc>
          <w:tcPr>
            <w:tcW w:w="2520" w:type="dxa"/>
            <w:tcBorders>
              <w:top w:val="single" w:sz="4" w:space="0" w:color="auto"/>
              <w:left w:val="single" w:sz="4" w:space="0" w:color="auto"/>
              <w:bottom w:val="single" w:sz="4" w:space="0" w:color="auto"/>
              <w:right w:val="single" w:sz="4" w:space="0" w:color="auto"/>
            </w:tcBorders>
            <w:noWrap/>
            <w:vAlign w:val="center"/>
            <w:hideMark/>
          </w:tcPr>
          <w:p w14:paraId="7F1F640D"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65%</w:t>
            </w:r>
          </w:p>
        </w:tc>
      </w:tr>
      <w:tr w:rsidR="00444891" w:rsidRPr="00B14013" w14:paraId="6E077FE0" w14:textId="77777777" w:rsidTr="00444891">
        <w:trPr>
          <w:trHeight w:val="20"/>
        </w:trPr>
        <w:tc>
          <w:tcPr>
            <w:tcW w:w="4420" w:type="dxa"/>
            <w:tcBorders>
              <w:top w:val="single" w:sz="4" w:space="0" w:color="auto"/>
              <w:left w:val="single" w:sz="4" w:space="0" w:color="auto"/>
              <w:bottom w:val="single" w:sz="4" w:space="0" w:color="auto"/>
              <w:right w:val="single" w:sz="4" w:space="0" w:color="auto"/>
            </w:tcBorders>
            <w:vAlign w:val="center"/>
            <w:hideMark/>
          </w:tcPr>
          <w:p w14:paraId="3F5D0B58" w14:textId="77777777" w:rsidR="00444891" w:rsidRPr="00B14013" w:rsidRDefault="00444891">
            <w:pPr>
              <w:spacing w:after="0" w:line="240" w:lineRule="auto"/>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Transport refrigeration - Ships</w:t>
            </w:r>
          </w:p>
        </w:tc>
        <w:tc>
          <w:tcPr>
            <w:tcW w:w="2040" w:type="dxa"/>
            <w:tcBorders>
              <w:top w:val="single" w:sz="4" w:space="0" w:color="auto"/>
              <w:left w:val="single" w:sz="4" w:space="0" w:color="auto"/>
              <w:bottom w:val="single" w:sz="4" w:space="0" w:color="auto"/>
              <w:right w:val="single" w:sz="4" w:space="0" w:color="auto"/>
            </w:tcBorders>
            <w:noWrap/>
            <w:vAlign w:val="center"/>
            <w:hideMark/>
          </w:tcPr>
          <w:p w14:paraId="6F89183E"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35%</w:t>
            </w:r>
          </w:p>
        </w:tc>
        <w:tc>
          <w:tcPr>
            <w:tcW w:w="2520" w:type="dxa"/>
            <w:tcBorders>
              <w:top w:val="single" w:sz="4" w:space="0" w:color="auto"/>
              <w:left w:val="single" w:sz="4" w:space="0" w:color="auto"/>
              <w:bottom w:val="single" w:sz="4" w:space="0" w:color="auto"/>
              <w:right w:val="single" w:sz="4" w:space="0" w:color="auto"/>
            </w:tcBorders>
            <w:noWrap/>
            <w:vAlign w:val="center"/>
            <w:hideMark/>
          </w:tcPr>
          <w:p w14:paraId="7973E43A"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65%</w:t>
            </w:r>
          </w:p>
        </w:tc>
      </w:tr>
      <w:tr w:rsidR="00444891" w:rsidRPr="00B14013" w14:paraId="6B2D6E5F" w14:textId="77777777" w:rsidTr="00444891">
        <w:trPr>
          <w:trHeight w:val="20"/>
        </w:trPr>
        <w:tc>
          <w:tcPr>
            <w:tcW w:w="4420" w:type="dxa"/>
            <w:tcBorders>
              <w:top w:val="single" w:sz="4" w:space="0" w:color="auto"/>
              <w:left w:val="single" w:sz="4" w:space="0" w:color="auto"/>
              <w:bottom w:val="single" w:sz="4" w:space="0" w:color="auto"/>
              <w:right w:val="single" w:sz="4" w:space="0" w:color="auto"/>
            </w:tcBorders>
            <w:vAlign w:val="center"/>
            <w:hideMark/>
          </w:tcPr>
          <w:p w14:paraId="30C1A97D" w14:textId="77777777" w:rsidR="00444891" w:rsidRPr="00B14013" w:rsidRDefault="00444891">
            <w:pPr>
              <w:spacing w:after="0" w:line="240" w:lineRule="auto"/>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Room AC - Moveables</w:t>
            </w:r>
          </w:p>
        </w:tc>
        <w:tc>
          <w:tcPr>
            <w:tcW w:w="2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08FF6A8"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60%</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DF64120"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40%</w:t>
            </w:r>
          </w:p>
        </w:tc>
      </w:tr>
      <w:tr w:rsidR="00444891" w:rsidRPr="00B14013" w14:paraId="26252B2D" w14:textId="77777777" w:rsidTr="00444891">
        <w:trPr>
          <w:trHeight w:val="20"/>
        </w:trPr>
        <w:tc>
          <w:tcPr>
            <w:tcW w:w="4420" w:type="dxa"/>
            <w:tcBorders>
              <w:top w:val="single" w:sz="4" w:space="0" w:color="auto"/>
              <w:left w:val="single" w:sz="4" w:space="0" w:color="auto"/>
              <w:bottom w:val="single" w:sz="4" w:space="0" w:color="auto"/>
              <w:right w:val="single" w:sz="4" w:space="0" w:color="auto"/>
            </w:tcBorders>
            <w:vAlign w:val="center"/>
            <w:hideMark/>
          </w:tcPr>
          <w:p w14:paraId="48F01531" w14:textId="77777777" w:rsidR="00444891" w:rsidRPr="00B14013" w:rsidRDefault="00444891">
            <w:pPr>
              <w:spacing w:after="0" w:line="240" w:lineRule="auto"/>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Room AC - Single split (includes small multi-split &lt;12 kW &amp; reversible air-to-air heat pumps)</w:t>
            </w:r>
          </w:p>
        </w:tc>
        <w:tc>
          <w:tcPr>
            <w:tcW w:w="2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D69DB2F"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55%</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10A6082"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45%</w:t>
            </w:r>
          </w:p>
        </w:tc>
      </w:tr>
      <w:tr w:rsidR="00444891" w:rsidRPr="00B14013" w14:paraId="14C24BBE" w14:textId="77777777" w:rsidTr="00444891">
        <w:trPr>
          <w:trHeight w:val="20"/>
        </w:trPr>
        <w:tc>
          <w:tcPr>
            <w:tcW w:w="4420" w:type="dxa"/>
            <w:tcBorders>
              <w:top w:val="single" w:sz="4" w:space="0" w:color="auto"/>
              <w:left w:val="single" w:sz="4" w:space="0" w:color="auto"/>
              <w:bottom w:val="single" w:sz="4" w:space="0" w:color="auto"/>
              <w:right w:val="single" w:sz="4" w:space="0" w:color="auto"/>
            </w:tcBorders>
            <w:vAlign w:val="center"/>
            <w:hideMark/>
          </w:tcPr>
          <w:p w14:paraId="7AF62FEA" w14:textId="77777777" w:rsidR="00444891" w:rsidRPr="00B14013" w:rsidRDefault="00444891">
            <w:pPr>
              <w:spacing w:after="0" w:line="240" w:lineRule="auto"/>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Room AC - Packaged systems (rooftop units), cooling only</w:t>
            </w:r>
          </w:p>
        </w:tc>
        <w:tc>
          <w:tcPr>
            <w:tcW w:w="2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1992AA7"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65%</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C06323D"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35%</w:t>
            </w:r>
          </w:p>
        </w:tc>
      </w:tr>
      <w:tr w:rsidR="00444891" w:rsidRPr="00B14013" w14:paraId="0AA60174" w14:textId="77777777" w:rsidTr="00444891">
        <w:trPr>
          <w:trHeight w:val="20"/>
        </w:trPr>
        <w:tc>
          <w:tcPr>
            <w:tcW w:w="4420" w:type="dxa"/>
            <w:tcBorders>
              <w:top w:val="single" w:sz="4" w:space="0" w:color="auto"/>
              <w:left w:val="single" w:sz="4" w:space="0" w:color="auto"/>
              <w:bottom w:val="single" w:sz="4" w:space="0" w:color="auto"/>
              <w:right w:val="single" w:sz="4" w:space="0" w:color="auto"/>
            </w:tcBorders>
            <w:vAlign w:val="center"/>
            <w:hideMark/>
          </w:tcPr>
          <w:p w14:paraId="7CE07BFB" w14:textId="77777777" w:rsidR="00444891" w:rsidRPr="00B14013" w:rsidRDefault="00444891">
            <w:pPr>
              <w:spacing w:after="0" w:line="240" w:lineRule="auto"/>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Room AC - VRF cooling only (includes Single-split &gt;3kg VRF Multi-Split)</w:t>
            </w:r>
          </w:p>
        </w:tc>
        <w:tc>
          <w:tcPr>
            <w:tcW w:w="2040" w:type="dxa"/>
            <w:tcBorders>
              <w:top w:val="single" w:sz="4" w:space="0" w:color="auto"/>
              <w:left w:val="single" w:sz="4" w:space="0" w:color="auto"/>
              <w:bottom w:val="single" w:sz="4" w:space="0" w:color="auto"/>
              <w:right w:val="single" w:sz="4" w:space="0" w:color="auto"/>
            </w:tcBorders>
            <w:noWrap/>
            <w:vAlign w:val="center"/>
            <w:hideMark/>
          </w:tcPr>
          <w:p w14:paraId="4B0142B8"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35%</w:t>
            </w:r>
          </w:p>
        </w:tc>
        <w:tc>
          <w:tcPr>
            <w:tcW w:w="2520" w:type="dxa"/>
            <w:tcBorders>
              <w:top w:val="single" w:sz="4" w:space="0" w:color="auto"/>
              <w:left w:val="single" w:sz="4" w:space="0" w:color="auto"/>
              <w:bottom w:val="single" w:sz="4" w:space="0" w:color="auto"/>
              <w:right w:val="single" w:sz="4" w:space="0" w:color="auto"/>
            </w:tcBorders>
            <w:noWrap/>
            <w:vAlign w:val="center"/>
            <w:hideMark/>
          </w:tcPr>
          <w:p w14:paraId="0A697479"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65%</w:t>
            </w:r>
          </w:p>
        </w:tc>
      </w:tr>
      <w:tr w:rsidR="00444891" w:rsidRPr="00B14013" w14:paraId="2BCA9FCE" w14:textId="77777777" w:rsidTr="00444891">
        <w:trPr>
          <w:trHeight w:val="20"/>
        </w:trPr>
        <w:tc>
          <w:tcPr>
            <w:tcW w:w="4420" w:type="dxa"/>
            <w:tcBorders>
              <w:top w:val="single" w:sz="4" w:space="0" w:color="auto"/>
              <w:left w:val="single" w:sz="4" w:space="0" w:color="auto"/>
              <w:bottom w:val="single" w:sz="4" w:space="0" w:color="auto"/>
              <w:right w:val="single" w:sz="4" w:space="0" w:color="auto"/>
            </w:tcBorders>
            <w:vAlign w:val="center"/>
            <w:hideMark/>
          </w:tcPr>
          <w:p w14:paraId="1D927B29" w14:textId="77777777" w:rsidR="00444891" w:rsidRPr="00B14013" w:rsidRDefault="00444891">
            <w:pPr>
              <w:spacing w:after="0" w:line="240" w:lineRule="auto"/>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Minichillers</w:t>
            </w:r>
          </w:p>
        </w:tc>
        <w:tc>
          <w:tcPr>
            <w:tcW w:w="2040" w:type="dxa"/>
            <w:tcBorders>
              <w:top w:val="single" w:sz="4" w:space="0" w:color="auto"/>
              <w:left w:val="single" w:sz="4" w:space="0" w:color="auto"/>
              <w:bottom w:val="single" w:sz="4" w:space="0" w:color="auto"/>
              <w:right w:val="single" w:sz="4" w:space="0" w:color="auto"/>
            </w:tcBorders>
            <w:noWrap/>
            <w:vAlign w:val="center"/>
            <w:hideMark/>
          </w:tcPr>
          <w:p w14:paraId="178B9A54"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35%</w:t>
            </w:r>
          </w:p>
        </w:tc>
        <w:tc>
          <w:tcPr>
            <w:tcW w:w="2520" w:type="dxa"/>
            <w:tcBorders>
              <w:top w:val="single" w:sz="4" w:space="0" w:color="auto"/>
              <w:left w:val="single" w:sz="4" w:space="0" w:color="auto"/>
              <w:bottom w:val="single" w:sz="4" w:space="0" w:color="auto"/>
              <w:right w:val="single" w:sz="4" w:space="0" w:color="auto"/>
            </w:tcBorders>
            <w:noWrap/>
            <w:vAlign w:val="center"/>
            <w:hideMark/>
          </w:tcPr>
          <w:p w14:paraId="61AC5876"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65%</w:t>
            </w:r>
          </w:p>
        </w:tc>
      </w:tr>
      <w:tr w:rsidR="00444891" w:rsidRPr="00B14013" w14:paraId="024D579B" w14:textId="77777777" w:rsidTr="00444891">
        <w:trPr>
          <w:trHeight w:val="20"/>
        </w:trPr>
        <w:tc>
          <w:tcPr>
            <w:tcW w:w="4420" w:type="dxa"/>
            <w:tcBorders>
              <w:top w:val="single" w:sz="4" w:space="0" w:color="auto"/>
              <w:left w:val="single" w:sz="4" w:space="0" w:color="auto"/>
              <w:bottom w:val="single" w:sz="4" w:space="0" w:color="auto"/>
              <w:right w:val="single" w:sz="4" w:space="0" w:color="auto"/>
            </w:tcBorders>
            <w:vAlign w:val="center"/>
            <w:hideMark/>
          </w:tcPr>
          <w:p w14:paraId="17615BC2" w14:textId="77777777" w:rsidR="00444891" w:rsidRPr="00B14013" w:rsidRDefault="00444891">
            <w:pPr>
              <w:spacing w:after="0" w:line="240" w:lineRule="auto"/>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Displacement chillers - small</w:t>
            </w:r>
          </w:p>
        </w:tc>
        <w:tc>
          <w:tcPr>
            <w:tcW w:w="2040" w:type="dxa"/>
            <w:tcBorders>
              <w:top w:val="single" w:sz="4" w:space="0" w:color="auto"/>
              <w:left w:val="single" w:sz="4" w:space="0" w:color="auto"/>
              <w:bottom w:val="single" w:sz="4" w:space="0" w:color="auto"/>
              <w:right w:val="single" w:sz="4" w:space="0" w:color="auto"/>
            </w:tcBorders>
            <w:noWrap/>
            <w:vAlign w:val="center"/>
            <w:hideMark/>
          </w:tcPr>
          <w:p w14:paraId="0D09E49E"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35%</w:t>
            </w:r>
          </w:p>
        </w:tc>
        <w:tc>
          <w:tcPr>
            <w:tcW w:w="2520" w:type="dxa"/>
            <w:tcBorders>
              <w:top w:val="single" w:sz="4" w:space="0" w:color="auto"/>
              <w:left w:val="single" w:sz="4" w:space="0" w:color="auto"/>
              <w:bottom w:val="single" w:sz="4" w:space="0" w:color="auto"/>
              <w:right w:val="single" w:sz="4" w:space="0" w:color="auto"/>
            </w:tcBorders>
            <w:noWrap/>
            <w:vAlign w:val="center"/>
            <w:hideMark/>
          </w:tcPr>
          <w:p w14:paraId="4F942B48"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65%</w:t>
            </w:r>
          </w:p>
        </w:tc>
      </w:tr>
      <w:tr w:rsidR="00444891" w:rsidRPr="00B14013" w14:paraId="00F94C87" w14:textId="77777777" w:rsidTr="00444891">
        <w:trPr>
          <w:trHeight w:val="20"/>
        </w:trPr>
        <w:tc>
          <w:tcPr>
            <w:tcW w:w="4420" w:type="dxa"/>
            <w:tcBorders>
              <w:top w:val="single" w:sz="4" w:space="0" w:color="auto"/>
              <w:left w:val="single" w:sz="4" w:space="0" w:color="auto"/>
              <w:bottom w:val="single" w:sz="4" w:space="0" w:color="auto"/>
              <w:right w:val="single" w:sz="4" w:space="0" w:color="auto"/>
            </w:tcBorders>
            <w:vAlign w:val="center"/>
            <w:hideMark/>
          </w:tcPr>
          <w:p w14:paraId="6C267EBE" w14:textId="77777777" w:rsidR="00444891" w:rsidRPr="00B14013" w:rsidRDefault="00444891">
            <w:pPr>
              <w:spacing w:after="0" w:line="240" w:lineRule="auto"/>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Displacement chillers - large</w:t>
            </w:r>
          </w:p>
        </w:tc>
        <w:tc>
          <w:tcPr>
            <w:tcW w:w="2040" w:type="dxa"/>
            <w:tcBorders>
              <w:top w:val="single" w:sz="4" w:space="0" w:color="auto"/>
              <w:left w:val="single" w:sz="4" w:space="0" w:color="auto"/>
              <w:bottom w:val="single" w:sz="4" w:space="0" w:color="auto"/>
              <w:right w:val="single" w:sz="4" w:space="0" w:color="auto"/>
            </w:tcBorders>
            <w:noWrap/>
            <w:vAlign w:val="center"/>
            <w:hideMark/>
          </w:tcPr>
          <w:p w14:paraId="1BD92A07"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35%</w:t>
            </w:r>
          </w:p>
        </w:tc>
        <w:tc>
          <w:tcPr>
            <w:tcW w:w="2520" w:type="dxa"/>
            <w:tcBorders>
              <w:top w:val="single" w:sz="4" w:space="0" w:color="auto"/>
              <w:left w:val="single" w:sz="4" w:space="0" w:color="auto"/>
              <w:bottom w:val="single" w:sz="4" w:space="0" w:color="auto"/>
              <w:right w:val="single" w:sz="4" w:space="0" w:color="auto"/>
            </w:tcBorders>
            <w:noWrap/>
            <w:vAlign w:val="center"/>
            <w:hideMark/>
          </w:tcPr>
          <w:p w14:paraId="752E016B"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65%</w:t>
            </w:r>
          </w:p>
        </w:tc>
      </w:tr>
      <w:tr w:rsidR="00444891" w:rsidRPr="00B14013" w14:paraId="0BF6B4E0" w14:textId="77777777" w:rsidTr="00444891">
        <w:trPr>
          <w:trHeight w:val="20"/>
        </w:trPr>
        <w:tc>
          <w:tcPr>
            <w:tcW w:w="4420" w:type="dxa"/>
            <w:tcBorders>
              <w:top w:val="single" w:sz="4" w:space="0" w:color="auto"/>
              <w:left w:val="single" w:sz="4" w:space="0" w:color="auto"/>
              <w:bottom w:val="single" w:sz="4" w:space="0" w:color="auto"/>
              <w:right w:val="single" w:sz="4" w:space="0" w:color="auto"/>
            </w:tcBorders>
            <w:vAlign w:val="center"/>
            <w:hideMark/>
          </w:tcPr>
          <w:p w14:paraId="76F984D2" w14:textId="77777777" w:rsidR="00444891" w:rsidRPr="00B14013" w:rsidRDefault="00444891">
            <w:pPr>
              <w:spacing w:after="0" w:line="240" w:lineRule="auto"/>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Centrifugal chillers</w:t>
            </w:r>
          </w:p>
        </w:tc>
        <w:tc>
          <w:tcPr>
            <w:tcW w:w="2040" w:type="dxa"/>
            <w:tcBorders>
              <w:top w:val="single" w:sz="4" w:space="0" w:color="auto"/>
              <w:left w:val="single" w:sz="4" w:space="0" w:color="auto"/>
              <w:bottom w:val="single" w:sz="4" w:space="0" w:color="auto"/>
              <w:right w:val="single" w:sz="4" w:space="0" w:color="auto"/>
            </w:tcBorders>
            <w:noWrap/>
            <w:vAlign w:val="center"/>
            <w:hideMark/>
          </w:tcPr>
          <w:p w14:paraId="5D696BD1"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35%</w:t>
            </w:r>
          </w:p>
        </w:tc>
        <w:tc>
          <w:tcPr>
            <w:tcW w:w="2520" w:type="dxa"/>
            <w:tcBorders>
              <w:top w:val="single" w:sz="4" w:space="0" w:color="auto"/>
              <w:left w:val="single" w:sz="4" w:space="0" w:color="auto"/>
              <w:bottom w:val="single" w:sz="4" w:space="0" w:color="auto"/>
              <w:right w:val="single" w:sz="4" w:space="0" w:color="auto"/>
            </w:tcBorders>
            <w:noWrap/>
            <w:vAlign w:val="center"/>
            <w:hideMark/>
          </w:tcPr>
          <w:p w14:paraId="305A1C26"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65%</w:t>
            </w:r>
          </w:p>
        </w:tc>
      </w:tr>
      <w:tr w:rsidR="00444891" w:rsidRPr="00B14013" w14:paraId="72847EC0" w14:textId="77777777" w:rsidTr="00444891">
        <w:trPr>
          <w:trHeight w:val="20"/>
        </w:trPr>
        <w:tc>
          <w:tcPr>
            <w:tcW w:w="4420" w:type="dxa"/>
            <w:tcBorders>
              <w:top w:val="single" w:sz="4" w:space="0" w:color="auto"/>
              <w:left w:val="single" w:sz="4" w:space="0" w:color="auto"/>
              <w:bottom w:val="single" w:sz="4" w:space="0" w:color="auto"/>
              <w:right w:val="single" w:sz="4" w:space="0" w:color="auto"/>
            </w:tcBorders>
            <w:vAlign w:val="center"/>
            <w:hideMark/>
          </w:tcPr>
          <w:p w14:paraId="1285AB67" w14:textId="1DF809B2" w:rsidR="00444891" w:rsidRPr="00B14013" w:rsidRDefault="00444891">
            <w:pPr>
              <w:spacing w:after="0" w:line="240" w:lineRule="auto"/>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 xml:space="preserve">Heat pumps - small (&lt;20 kW, excluding small </w:t>
            </w:r>
            <w:r w:rsidR="005D374C" w:rsidRPr="00B14013">
              <w:rPr>
                <w:rFonts w:asciiTheme="minorHAnsi" w:eastAsia="Times New Roman" w:hAnsiTheme="minorHAnsi" w:cs="Arial"/>
                <w:noProof/>
                <w:sz w:val="20"/>
                <w:szCs w:val="20"/>
                <w:lang w:eastAsia="de-DE"/>
              </w:rPr>
              <w:t>reversible</w:t>
            </w:r>
            <w:r w:rsidRPr="00B14013">
              <w:rPr>
                <w:rFonts w:asciiTheme="minorHAnsi" w:eastAsia="Times New Roman" w:hAnsiTheme="minorHAnsi" w:cs="Arial"/>
                <w:noProof/>
                <w:sz w:val="20"/>
                <w:szCs w:val="20"/>
                <w:lang w:eastAsia="de-DE"/>
              </w:rPr>
              <w:t xml:space="preserve"> air/air heat pumps covered in the single split subsector)</w:t>
            </w:r>
          </w:p>
        </w:tc>
        <w:tc>
          <w:tcPr>
            <w:tcW w:w="2040" w:type="dxa"/>
            <w:tcBorders>
              <w:top w:val="single" w:sz="4" w:space="0" w:color="auto"/>
              <w:left w:val="single" w:sz="4" w:space="0" w:color="auto"/>
              <w:bottom w:val="single" w:sz="4" w:space="0" w:color="auto"/>
              <w:right w:val="single" w:sz="4" w:space="0" w:color="auto"/>
            </w:tcBorders>
            <w:noWrap/>
            <w:vAlign w:val="center"/>
            <w:hideMark/>
          </w:tcPr>
          <w:p w14:paraId="2D0D4079"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35%</w:t>
            </w:r>
          </w:p>
        </w:tc>
        <w:tc>
          <w:tcPr>
            <w:tcW w:w="2520" w:type="dxa"/>
            <w:tcBorders>
              <w:top w:val="single" w:sz="4" w:space="0" w:color="auto"/>
              <w:left w:val="single" w:sz="4" w:space="0" w:color="auto"/>
              <w:bottom w:val="single" w:sz="4" w:space="0" w:color="auto"/>
              <w:right w:val="single" w:sz="4" w:space="0" w:color="auto"/>
            </w:tcBorders>
            <w:noWrap/>
            <w:vAlign w:val="center"/>
            <w:hideMark/>
          </w:tcPr>
          <w:p w14:paraId="706F2251"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65%</w:t>
            </w:r>
          </w:p>
        </w:tc>
      </w:tr>
      <w:tr w:rsidR="00444891" w:rsidRPr="00B14013" w14:paraId="61F64EF8" w14:textId="77777777" w:rsidTr="00444891">
        <w:trPr>
          <w:trHeight w:val="20"/>
        </w:trPr>
        <w:tc>
          <w:tcPr>
            <w:tcW w:w="4420" w:type="dxa"/>
            <w:tcBorders>
              <w:top w:val="single" w:sz="4" w:space="0" w:color="auto"/>
              <w:left w:val="single" w:sz="4" w:space="0" w:color="auto"/>
              <w:bottom w:val="single" w:sz="4" w:space="0" w:color="auto"/>
              <w:right w:val="single" w:sz="4" w:space="0" w:color="auto"/>
            </w:tcBorders>
            <w:vAlign w:val="center"/>
            <w:hideMark/>
          </w:tcPr>
          <w:p w14:paraId="5FFF795E" w14:textId="77777777" w:rsidR="00444891" w:rsidRPr="00B14013" w:rsidRDefault="00444891">
            <w:pPr>
              <w:spacing w:after="0" w:line="240" w:lineRule="auto"/>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Heat pumps - medium (20-200kW)</w:t>
            </w:r>
          </w:p>
        </w:tc>
        <w:tc>
          <w:tcPr>
            <w:tcW w:w="2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6E00175"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25%</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AA4DE70"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75%</w:t>
            </w:r>
          </w:p>
        </w:tc>
      </w:tr>
      <w:tr w:rsidR="00444891" w:rsidRPr="00B14013" w14:paraId="67FC2FA5" w14:textId="77777777" w:rsidTr="00444891">
        <w:trPr>
          <w:trHeight w:val="20"/>
        </w:trPr>
        <w:tc>
          <w:tcPr>
            <w:tcW w:w="4420" w:type="dxa"/>
            <w:tcBorders>
              <w:top w:val="single" w:sz="4" w:space="0" w:color="auto"/>
              <w:left w:val="single" w:sz="4" w:space="0" w:color="auto"/>
              <w:bottom w:val="single" w:sz="4" w:space="0" w:color="auto"/>
              <w:right w:val="single" w:sz="4" w:space="0" w:color="auto"/>
            </w:tcBorders>
            <w:vAlign w:val="center"/>
            <w:hideMark/>
          </w:tcPr>
          <w:p w14:paraId="41406998" w14:textId="77777777" w:rsidR="00444891" w:rsidRPr="00B14013" w:rsidRDefault="00444891">
            <w:pPr>
              <w:spacing w:after="0" w:line="240" w:lineRule="auto"/>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Heat pumps - large (&gt;200kW, district heating &amp; industrial)</w:t>
            </w:r>
          </w:p>
        </w:tc>
        <w:tc>
          <w:tcPr>
            <w:tcW w:w="2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F1FBC77"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20%</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F8E0FAC"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80%</w:t>
            </w:r>
          </w:p>
        </w:tc>
      </w:tr>
      <w:tr w:rsidR="00444891" w:rsidRPr="00B14013" w14:paraId="16447C18" w14:textId="77777777" w:rsidTr="00444891">
        <w:trPr>
          <w:trHeight w:val="20"/>
        </w:trPr>
        <w:tc>
          <w:tcPr>
            <w:tcW w:w="4420" w:type="dxa"/>
            <w:tcBorders>
              <w:top w:val="single" w:sz="4" w:space="0" w:color="auto"/>
              <w:left w:val="single" w:sz="4" w:space="0" w:color="auto"/>
              <w:bottom w:val="single" w:sz="4" w:space="0" w:color="auto"/>
              <w:right w:val="single" w:sz="4" w:space="0" w:color="auto"/>
            </w:tcBorders>
            <w:vAlign w:val="center"/>
            <w:hideMark/>
          </w:tcPr>
          <w:p w14:paraId="50BCB7F0" w14:textId="77777777" w:rsidR="00444891" w:rsidRPr="00B14013" w:rsidRDefault="00444891">
            <w:pPr>
              <w:spacing w:after="0" w:line="240" w:lineRule="auto"/>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Mobile AC - Passenger cars</w:t>
            </w:r>
          </w:p>
        </w:tc>
        <w:tc>
          <w:tcPr>
            <w:tcW w:w="2040" w:type="dxa"/>
            <w:tcBorders>
              <w:top w:val="single" w:sz="4" w:space="0" w:color="auto"/>
              <w:left w:val="single" w:sz="4" w:space="0" w:color="auto"/>
              <w:bottom w:val="single" w:sz="4" w:space="0" w:color="auto"/>
              <w:right w:val="single" w:sz="4" w:space="0" w:color="auto"/>
            </w:tcBorders>
            <w:noWrap/>
            <w:vAlign w:val="center"/>
            <w:hideMark/>
          </w:tcPr>
          <w:p w14:paraId="72E95AB6"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35%</w:t>
            </w:r>
          </w:p>
        </w:tc>
        <w:tc>
          <w:tcPr>
            <w:tcW w:w="2520" w:type="dxa"/>
            <w:tcBorders>
              <w:top w:val="single" w:sz="4" w:space="0" w:color="auto"/>
              <w:left w:val="single" w:sz="4" w:space="0" w:color="auto"/>
              <w:bottom w:val="single" w:sz="4" w:space="0" w:color="auto"/>
              <w:right w:val="single" w:sz="4" w:space="0" w:color="auto"/>
            </w:tcBorders>
            <w:noWrap/>
            <w:vAlign w:val="center"/>
            <w:hideMark/>
          </w:tcPr>
          <w:p w14:paraId="7D49E0DD"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65%</w:t>
            </w:r>
          </w:p>
        </w:tc>
      </w:tr>
      <w:tr w:rsidR="00444891" w:rsidRPr="00B14013" w14:paraId="52754225" w14:textId="77777777" w:rsidTr="00444891">
        <w:trPr>
          <w:trHeight w:val="20"/>
        </w:trPr>
        <w:tc>
          <w:tcPr>
            <w:tcW w:w="4420" w:type="dxa"/>
            <w:tcBorders>
              <w:top w:val="single" w:sz="4" w:space="0" w:color="auto"/>
              <w:left w:val="single" w:sz="4" w:space="0" w:color="auto"/>
              <w:bottom w:val="single" w:sz="4" w:space="0" w:color="auto"/>
              <w:right w:val="single" w:sz="4" w:space="0" w:color="auto"/>
            </w:tcBorders>
            <w:vAlign w:val="center"/>
            <w:hideMark/>
          </w:tcPr>
          <w:p w14:paraId="5C59574B" w14:textId="77777777" w:rsidR="00444891" w:rsidRPr="00B14013" w:rsidRDefault="00444891">
            <w:pPr>
              <w:spacing w:after="0" w:line="240" w:lineRule="auto"/>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Mobile AC - Buses</w:t>
            </w:r>
          </w:p>
        </w:tc>
        <w:tc>
          <w:tcPr>
            <w:tcW w:w="2040" w:type="dxa"/>
            <w:tcBorders>
              <w:top w:val="single" w:sz="4" w:space="0" w:color="auto"/>
              <w:left w:val="single" w:sz="4" w:space="0" w:color="auto"/>
              <w:bottom w:val="single" w:sz="4" w:space="0" w:color="auto"/>
              <w:right w:val="single" w:sz="4" w:space="0" w:color="auto"/>
            </w:tcBorders>
            <w:noWrap/>
            <w:vAlign w:val="center"/>
            <w:hideMark/>
          </w:tcPr>
          <w:p w14:paraId="6A76C963"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35%</w:t>
            </w:r>
          </w:p>
        </w:tc>
        <w:tc>
          <w:tcPr>
            <w:tcW w:w="2520" w:type="dxa"/>
            <w:tcBorders>
              <w:top w:val="single" w:sz="4" w:space="0" w:color="auto"/>
              <w:left w:val="single" w:sz="4" w:space="0" w:color="auto"/>
              <w:bottom w:val="single" w:sz="4" w:space="0" w:color="auto"/>
              <w:right w:val="single" w:sz="4" w:space="0" w:color="auto"/>
            </w:tcBorders>
            <w:noWrap/>
            <w:vAlign w:val="center"/>
            <w:hideMark/>
          </w:tcPr>
          <w:p w14:paraId="6A18BF71"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65%</w:t>
            </w:r>
          </w:p>
        </w:tc>
      </w:tr>
      <w:tr w:rsidR="00444891" w:rsidRPr="00B14013" w14:paraId="15C57C2D" w14:textId="77777777" w:rsidTr="00444891">
        <w:trPr>
          <w:trHeight w:val="20"/>
        </w:trPr>
        <w:tc>
          <w:tcPr>
            <w:tcW w:w="4420" w:type="dxa"/>
            <w:tcBorders>
              <w:top w:val="single" w:sz="4" w:space="0" w:color="auto"/>
              <w:left w:val="single" w:sz="4" w:space="0" w:color="auto"/>
              <w:bottom w:val="single" w:sz="4" w:space="0" w:color="auto"/>
              <w:right w:val="single" w:sz="4" w:space="0" w:color="auto"/>
            </w:tcBorders>
            <w:vAlign w:val="center"/>
            <w:hideMark/>
          </w:tcPr>
          <w:p w14:paraId="77775516" w14:textId="77777777" w:rsidR="00444891" w:rsidRPr="00B14013" w:rsidRDefault="00444891">
            <w:pPr>
              <w:spacing w:after="0" w:line="240" w:lineRule="auto"/>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Mobile AC - Trucks N1</w:t>
            </w:r>
          </w:p>
        </w:tc>
        <w:tc>
          <w:tcPr>
            <w:tcW w:w="2040" w:type="dxa"/>
            <w:tcBorders>
              <w:top w:val="single" w:sz="4" w:space="0" w:color="auto"/>
              <w:left w:val="single" w:sz="4" w:space="0" w:color="auto"/>
              <w:bottom w:val="single" w:sz="4" w:space="0" w:color="auto"/>
              <w:right w:val="single" w:sz="4" w:space="0" w:color="auto"/>
            </w:tcBorders>
            <w:noWrap/>
            <w:vAlign w:val="center"/>
            <w:hideMark/>
          </w:tcPr>
          <w:p w14:paraId="3808306B"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35%</w:t>
            </w:r>
          </w:p>
        </w:tc>
        <w:tc>
          <w:tcPr>
            <w:tcW w:w="2520" w:type="dxa"/>
            <w:tcBorders>
              <w:top w:val="single" w:sz="4" w:space="0" w:color="auto"/>
              <w:left w:val="single" w:sz="4" w:space="0" w:color="auto"/>
              <w:bottom w:val="single" w:sz="4" w:space="0" w:color="auto"/>
              <w:right w:val="single" w:sz="4" w:space="0" w:color="auto"/>
            </w:tcBorders>
            <w:noWrap/>
            <w:vAlign w:val="center"/>
            <w:hideMark/>
          </w:tcPr>
          <w:p w14:paraId="2D36436D"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65%</w:t>
            </w:r>
          </w:p>
        </w:tc>
      </w:tr>
      <w:tr w:rsidR="00444891" w:rsidRPr="00B14013" w14:paraId="599ADE95" w14:textId="77777777" w:rsidTr="00444891">
        <w:trPr>
          <w:trHeight w:val="20"/>
        </w:trPr>
        <w:tc>
          <w:tcPr>
            <w:tcW w:w="4420" w:type="dxa"/>
            <w:tcBorders>
              <w:top w:val="single" w:sz="4" w:space="0" w:color="auto"/>
              <w:left w:val="single" w:sz="4" w:space="0" w:color="auto"/>
              <w:bottom w:val="single" w:sz="4" w:space="0" w:color="auto"/>
              <w:right w:val="single" w:sz="4" w:space="0" w:color="auto"/>
            </w:tcBorders>
            <w:vAlign w:val="center"/>
            <w:hideMark/>
          </w:tcPr>
          <w:p w14:paraId="54397A13" w14:textId="77777777" w:rsidR="00444891" w:rsidRPr="00B14013" w:rsidRDefault="00444891">
            <w:pPr>
              <w:spacing w:after="0" w:line="240" w:lineRule="auto"/>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Mobile AC - Trucks N2</w:t>
            </w:r>
          </w:p>
        </w:tc>
        <w:tc>
          <w:tcPr>
            <w:tcW w:w="2040" w:type="dxa"/>
            <w:tcBorders>
              <w:top w:val="single" w:sz="4" w:space="0" w:color="auto"/>
              <w:left w:val="single" w:sz="4" w:space="0" w:color="auto"/>
              <w:bottom w:val="single" w:sz="4" w:space="0" w:color="auto"/>
              <w:right w:val="single" w:sz="4" w:space="0" w:color="auto"/>
            </w:tcBorders>
            <w:noWrap/>
            <w:vAlign w:val="center"/>
            <w:hideMark/>
          </w:tcPr>
          <w:p w14:paraId="3C0D1FCB"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35%</w:t>
            </w:r>
          </w:p>
        </w:tc>
        <w:tc>
          <w:tcPr>
            <w:tcW w:w="2520" w:type="dxa"/>
            <w:tcBorders>
              <w:top w:val="single" w:sz="4" w:space="0" w:color="auto"/>
              <w:left w:val="single" w:sz="4" w:space="0" w:color="auto"/>
              <w:bottom w:val="single" w:sz="4" w:space="0" w:color="auto"/>
              <w:right w:val="single" w:sz="4" w:space="0" w:color="auto"/>
            </w:tcBorders>
            <w:noWrap/>
            <w:vAlign w:val="center"/>
            <w:hideMark/>
          </w:tcPr>
          <w:p w14:paraId="5E897002"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65%</w:t>
            </w:r>
          </w:p>
        </w:tc>
      </w:tr>
      <w:tr w:rsidR="00444891" w:rsidRPr="00B14013" w14:paraId="0BEBD690" w14:textId="77777777" w:rsidTr="00444891">
        <w:trPr>
          <w:trHeight w:val="20"/>
        </w:trPr>
        <w:tc>
          <w:tcPr>
            <w:tcW w:w="4420" w:type="dxa"/>
            <w:tcBorders>
              <w:top w:val="single" w:sz="4" w:space="0" w:color="auto"/>
              <w:left w:val="single" w:sz="4" w:space="0" w:color="auto"/>
              <w:bottom w:val="single" w:sz="4" w:space="0" w:color="auto"/>
              <w:right w:val="single" w:sz="4" w:space="0" w:color="auto"/>
            </w:tcBorders>
            <w:vAlign w:val="center"/>
            <w:hideMark/>
          </w:tcPr>
          <w:p w14:paraId="2559DC83" w14:textId="77777777" w:rsidR="00444891" w:rsidRPr="00B14013" w:rsidRDefault="00444891">
            <w:pPr>
              <w:spacing w:after="0" w:line="240" w:lineRule="auto"/>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Mobile AC - Trucks N3</w:t>
            </w:r>
          </w:p>
        </w:tc>
        <w:tc>
          <w:tcPr>
            <w:tcW w:w="2040" w:type="dxa"/>
            <w:tcBorders>
              <w:top w:val="single" w:sz="4" w:space="0" w:color="auto"/>
              <w:left w:val="single" w:sz="4" w:space="0" w:color="auto"/>
              <w:bottom w:val="single" w:sz="4" w:space="0" w:color="auto"/>
              <w:right w:val="single" w:sz="4" w:space="0" w:color="auto"/>
            </w:tcBorders>
            <w:noWrap/>
            <w:vAlign w:val="center"/>
            <w:hideMark/>
          </w:tcPr>
          <w:p w14:paraId="036D5407"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35%</w:t>
            </w:r>
          </w:p>
        </w:tc>
        <w:tc>
          <w:tcPr>
            <w:tcW w:w="2520" w:type="dxa"/>
            <w:tcBorders>
              <w:top w:val="single" w:sz="4" w:space="0" w:color="auto"/>
              <w:left w:val="single" w:sz="4" w:space="0" w:color="auto"/>
              <w:bottom w:val="single" w:sz="4" w:space="0" w:color="auto"/>
              <w:right w:val="single" w:sz="4" w:space="0" w:color="auto"/>
            </w:tcBorders>
            <w:noWrap/>
            <w:vAlign w:val="center"/>
            <w:hideMark/>
          </w:tcPr>
          <w:p w14:paraId="143D3A22"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65%</w:t>
            </w:r>
          </w:p>
        </w:tc>
      </w:tr>
      <w:tr w:rsidR="00444891" w:rsidRPr="00B14013" w14:paraId="43B319FC" w14:textId="77777777" w:rsidTr="00444891">
        <w:trPr>
          <w:trHeight w:val="20"/>
        </w:trPr>
        <w:tc>
          <w:tcPr>
            <w:tcW w:w="4420" w:type="dxa"/>
            <w:tcBorders>
              <w:top w:val="single" w:sz="4" w:space="0" w:color="auto"/>
              <w:left w:val="single" w:sz="4" w:space="0" w:color="auto"/>
              <w:bottom w:val="single" w:sz="4" w:space="0" w:color="auto"/>
              <w:right w:val="single" w:sz="4" w:space="0" w:color="auto"/>
            </w:tcBorders>
            <w:vAlign w:val="center"/>
            <w:hideMark/>
          </w:tcPr>
          <w:p w14:paraId="71930C3B" w14:textId="77777777" w:rsidR="00444891" w:rsidRPr="00B14013" w:rsidRDefault="00444891">
            <w:pPr>
              <w:spacing w:after="0" w:line="240" w:lineRule="auto"/>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Mobile AC - Passenger ships</w:t>
            </w:r>
          </w:p>
        </w:tc>
        <w:tc>
          <w:tcPr>
            <w:tcW w:w="2040" w:type="dxa"/>
            <w:tcBorders>
              <w:top w:val="single" w:sz="4" w:space="0" w:color="auto"/>
              <w:left w:val="single" w:sz="4" w:space="0" w:color="auto"/>
              <w:bottom w:val="single" w:sz="4" w:space="0" w:color="auto"/>
              <w:right w:val="single" w:sz="4" w:space="0" w:color="auto"/>
            </w:tcBorders>
            <w:noWrap/>
            <w:vAlign w:val="center"/>
            <w:hideMark/>
          </w:tcPr>
          <w:p w14:paraId="31491CEF"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35%</w:t>
            </w:r>
          </w:p>
        </w:tc>
        <w:tc>
          <w:tcPr>
            <w:tcW w:w="2520" w:type="dxa"/>
            <w:tcBorders>
              <w:top w:val="single" w:sz="4" w:space="0" w:color="auto"/>
              <w:left w:val="single" w:sz="4" w:space="0" w:color="auto"/>
              <w:bottom w:val="single" w:sz="4" w:space="0" w:color="auto"/>
              <w:right w:val="single" w:sz="4" w:space="0" w:color="auto"/>
            </w:tcBorders>
            <w:noWrap/>
            <w:vAlign w:val="center"/>
            <w:hideMark/>
          </w:tcPr>
          <w:p w14:paraId="5CE7CD12"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65%</w:t>
            </w:r>
          </w:p>
        </w:tc>
      </w:tr>
      <w:tr w:rsidR="00444891" w:rsidRPr="00B14013" w14:paraId="000D145E" w14:textId="77777777" w:rsidTr="00444891">
        <w:trPr>
          <w:trHeight w:val="20"/>
        </w:trPr>
        <w:tc>
          <w:tcPr>
            <w:tcW w:w="4420" w:type="dxa"/>
            <w:tcBorders>
              <w:top w:val="single" w:sz="4" w:space="0" w:color="auto"/>
              <w:left w:val="single" w:sz="4" w:space="0" w:color="auto"/>
              <w:bottom w:val="single" w:sz="4" w:space="0" w:color="auto"/>
              <w:right w:val="single" w:sz="4" w:space="0" w:color="auto"/>
            </w:tcBorders>
            <w:vAlign w:val="center"/>
            <w:hideMark/>
          </w:tcPr>
          <w:p w14:paraId="48F8A858" w14:textId="77777777" w:rsidR="00444891" w:rsidRPr="00B14013" w:rsidRDefault="00444891">
            <w:pPr>
              <w:spacing w:after="0" w:line="240" w:lineRule="auto"/>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Mobile AC - Cargo ships</w:t>
            </w:r>
          </w:p>
        </w:tc>
        <w:tc>
          <w:tcPr>
            <w:tcW w:w="2040" w:type="dxa"/>
            <w:tcBorders>
              <w:top w:val="single" w:sz="4" w:space="0" w:color="auto"/>
              <w:left w:val="single" w:sz="4" w:space="0" w:color="auto"/>
              <w:bottom w:val="single" w:sz="4" w:space="0" w:color="auto"/>
              <w:right w:val="single" w:sz="4" w:space="0" w:color="auto"/>
            </w:tcBorders>
            <w:noWrap/>
            <w:vAlign w:val="center"/>
            <w:hideMark/>
          </w:tcPr>
          <w:p w14:paraId="065F22F8"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35%</w:t>
            </w:r>
          </w:p>
        </w:tc>
        <w:tc>
          <w:tcPr>
            <w:tcW w:w="2520" w:type="dxa"/>
            <w:tcBorders>
              <w:top w:val="single" w:sz="4" w:space="0" w:color="auto"/>
              <w:left w:val="single" w:sz="4" w:space="0" w:color="auto"/>
              <w:bottom w:val="single" w:sz="4" w:space="0" w:color="auto"/>
              <w:right w:val="single" w:sz="4" w:space="0" w:color="auto"/>
            </w:tcBorders>
            <w:noWrap/>
            <w:vAlign w:val="center"/>
            <w:hideMark/>
          </w:tcPr>
          <w:p w14:paraId="0ACD4642"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65%</w:t>
            </w:r>
          </w:p>
        </w:tc>
      </w:tr>
      <w:tr w:rsidR="00444891" w:rsidRPr="00B14013" w14:paraId="59BAB943" w14:textId="77777777" w:rsidTr="00444891">
        <w:trPr>
          <w:trHeight w:val="20"/>
        </w:trPr>
        <w:tc>
          <w:tcPr>
            <w:tcW w:w="4420" w:type="dxa"/>
            <w:tcBorders>
              <w:top w:val="single" w:sz="4" w:space="0" w:color="auto"/>
              <w:left w:val="single" w:sz="4" w:space="0" w:color="auto"/>
              <w:bottom w:val="single" w:sz="4" w:space="0" w:color="auto"/>
              <w:right w:val="single" w:sz="4" w:space="0" w:color="auto"/>
            </w:tcBorders>
            <w:vAlign w:val="center"/>
            <w:hideMark/>
          </w:tcPr>
          <w:p w14:paraId="10D30B14" w14:textId="77777777" w:rsidR="00444891" w:rsidRPr="00B14013" w:rsidRDefault="00444891">
            <w:pPr>
              <w:spacing w:after="0" w:line="240" w:lineRule="auto"/>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Mobile AC - Tram</w:t>
            </w:r>
          </w:p>
        </w:tc>
        <w:tc>
          <w:tcPr>
            <w:tcW w:w="2040" w:type="dxa"/>
            <w:tcBorders>
              <w:top w:val="single" w:sz="4" w:space="0" w:color="auto"/>
              <w:left w:val="single" w:sz="4" w:space="0" w:color="auto"/>
              <w:bottom w:val="single" w:sz="4" w:space="0" w:color="auto"/>
              <w:right w:val="single" w:sz="4" w:space="0" w:color="auto"/>
            </w:tcBorders>
            <w:noWrap/>
            <w:vAlign w:val="center"/>
            <w:hideMark/>
          </w:tcPr>
          <w:p w14:paraId="0B5CC933"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35%</w:t>
            </w:r>
          </w:p>
        </w:tc>
        <w:tc>
          <w:tcPr>
            <w:tcW w:w="2520" w:type="dxa"/>
            <w:tcBorders>
              <w:top w:val="single" w:sz="4" w:space="0" w:color="auto"/>
              <w:left w:val="single" w:sz="4" w:space="0" w:color="auto"/>
              <w:bottom w:val="single" w:sz="4" w:space="0" w:color="auto"/>
              <w:right w:val="single" w:sz="4" w:space="0" w:color="auto"/>
            </w:tcBorders>
            <w:noWrap/>
            <w:vAlign w:val="center"/>
            <w:hideMark/>
          </w:tcPr>
          <w:p w14:paraId="019F5CE0"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65%</w:t>
            </w:r>
          </w:p>
        </w:tc>
      </w:tr>
      <w:tr w:rsidR="00444891" w:rsidRPr="00B14013" w14:paraId="59F9CE67" w14:textId="77777777" w:rsidTr="00444891">
        <w:trPr>
          <w:trHeight w:val="20"/>
        </w:trPr>
        <w:tc>
          <w:tcPr>
            <w:tcW w:w="4420" w:type="dxa"/>
            <w:tcBorders>
              <w:top w:val="single" w:sz="4" w:space="0" w:color="auto"/>
              <w:left w:val="single" w:sz="4" w:space="0" w:color="auto"/>
              <w:bottom w:val="single" w:sz="4" w:space="0" w:color="auto"/>
              <w:right w:val="single" w:sz="4" w:space="0" w:color="auto"/>
            </w:tcBorders>
            <w:vAlign w:val="center"/>
            <w:hideMark/>
          </w:tcPr>
          <w:p w14:paraId="6B621659" w14:textId="77777777" w:rsidR="00444891" w:rsidRPr="00B14013" w:rsidRDefault="00444891">
            <w:pPr>
              <w:spacing w:after="0" w:line="240" w:lineRule="auto"/>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Mobile AC - Metro</w:t>
            </w:r>
          </w:p>
        </w:tc>
        <w:tc>
          <w:tcPr>
            <w:tcW w:w="2040" w:type="dxa"/>
            <w:tcBorders>
              <w:top w:val="single" w:sz="4" w:space="0" w:color="auto"/>
              <w:left w:val="single" w:sz="4" w:space="0" w:color="auto"/>
              <w:bottom w:val="single" w:sz="4" w:space="0" w:color="auto"/>
              <w:right w:val="single" w:sz="4" w:space="0" w:color="auto"/>
            </w:tcBorders>
            <w:noWrap/>
            <w:vAlign w:val="center"/>
            <w:hideMark/>
          </w:tcPr>
          <w:p w14:paraId="2D0053C9"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35%</w:t>
            </w:r>
          </w:p>
        </w:tc>
        <w:tc>
          <w:tcPr>
            <w:tcW w:w="2520" w:type="dxa"/>
            <w:tcBorders>
              <w:top w:val="single" w:sz="4" w:space="0" w:color="auto"/>
              <w:left w:val="single" w:sz="4" w:space="0" w:color="auto"/>
              <w:bottom w:val="single" w:sz="4" w:space="0" w:color="auto"/>
              <w:right w:val="single" w:sz="4" w:space="0" w:color="auto"/>
            </w:tcBorders>
            <w:noWrap/>
            <w:vAlign w:val="center"/>
            <w:hideMark/>
          </w:tcPr>
          <w:p w14:paraId="009B1ED0"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65%</w:t>
            </w:r>
          </w:p>
        </w:tc>
      </w:tr>
      <w:tr w:rsidR="00444891" w:rsidRPr="00B14013" w14:paraId="4E63A468" w14:textId="77777777" w:rsidTr="00444891">
        <w:trPr>
          <w:trHeight w:val="20"/>
        </w:trPr>
        <w:tc>
          <w:tcPr>
            <w:tcW w:w="4420" w:type="dxa"/>
            <w:tcBorders>
              <w:top w:val="single" w:sz="4" w:space="0" w:color="auto"/>
              <w:left w:val="single" w:sz="4" w:space="0" w:color="auto"/>
              <w:bottom w:val="single" w:sz="4" w:space="0" w:color="auto"/>
              <w:right w:val="single" w:sz="4" w:space="0" w:color="auto"/>
            </w:tcBorders>
            <w:vAlign w:val="center"/>
            <w:hideMark/>
          </w:tcPr>
          <w:p w14:paraId="5F703223" w14:textId="77777777" w:rsidR="00444891" w:rsidRPr="00B14013" w:rsidRDefault="00444891">
            <w:pPr>
              <w:spacing w:after="0" w:line="240" w:lineRule="auto"/>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Mobile AC - Train</w:t>
            </w:r>
          </w:p>
        </w:tc>
        <w:tc>
          <w:tcPr>
            <w:tcW w:w="2040" w:type="dxa"/>
            <w:tcBorders>
              <w:top w:val="single" w:sz="4" w:space="0" w:color="auto"/>
              <w:left w:val="single" w:sz="4" w:space="0" w:color="auto"/>
              <w:bottom w:val="single" w:sz="4" w:space="0" w:color="auto"/>
              <w:right w:val="single" w:sz="4" w:space="0" w:color="auto"/>
            </w:tcBorders>
            <w:noWrap/>
            <w:vAlign w:val="center"/>
            <w:hideMark/>
          </w:tcPr>
          <w:p w14:paraId="6E406385"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35%</w:t>
            </w:r>
          </w:p>
        </w:tc>
        <w:tc>
          <w:tcPr>
            <w:tcW w:w="2520" w:type="dxa"/>
            <w:tcBorders>
              <w:top w:val="single" w:sz="4" w:space="0" w:color="auto"/>
              <w:left w:val="single" w:sz="4" w:space="0" w:color="auto"/>
              <w:bottom w:val="single" w:sz="4" w:space="0" w:color="auto"/>
              <w:right w:val="single" w:sz="4" w:space="0" w:color="auto"/>
            </w:tcBorders>
            <w:noWrap/>
            <w:vAlign w:val="center"/>
            <w:hideMark/>
          </w:tcPr>
          <w:p w14:paraId="3736DA5B"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65%</w:t>
            </w:r>
          </w:p>
        </w:tc>
      </w:tr>
      <w:tr w:rsidR="00444891" w:rsidRPr="00B14013" w14:paraId="7ADEDACF" w14:textId="77777777" w:rsidTr="00444891">
        <w:trPr>
          <w:trHeight w:val="20"/>
        </w:trPr>
        <w:tc>
          <w:tcPr>
            <w:tcW w:w="4420" w:type="dxa"/>
            <w:tcBorders>
              <w:top w:val="single" w:sz="4" w:space="0" w:color="auto"/>
              <w:left w:val="single" w:sz="4" w:space="0" w:color="auto"/>
              <w:bottom w:val="single" w:sz="4" w:space="0" w:color="auto"/>
              <w:right w:val="single" w:sz="4" w:space="0" w:color="auto"/>
            </w:tcBorders>
            <w:vAlign w:val="center"/>
            <w:hideMark/>
          </w:tcPr>
          <w:p w14:paraId="5FA71155" w14:textId="77777777" w:rsidR="00444891" w:rsidRPr="00B14013" w:rsidRDefault="00444891">
            <w:pPr>
              <w:spacing w:after="0" w:line="240" w:lineRule="auto"/>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Aerosols - technical</w:t>
            </w:r>
          </w:p>
        </w:tc>
        <w:tc>
          <w:tcPr>
            <w:tcW w:w="2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750C4C5"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25%</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09979B4"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75%</w:t>
            </w:r>
          </w:p>
        </w:tc>
      </w:tr>
      <w:tr w:rsidR="00444891" w:rsidRPr="00B14013" w14:paraId="0802FB29" w14:textId="77777777" w:rsidTr="00444891">
        <w:trPr>
          <w:trHeight w:val="20"/>
        </w:trPr>
        <w:tc>
          <w:tcPr>
            <w:tcW w:w="4420" w:type="dxa"/>
            <w:tcBorders>
              <w:top w:val="single" w:sz="4" w:space="0" w:color="auto"/>
              <w:left w:val="single" w:sz="4" w:space="0" w:color="auto"/>
              <w:bottom w:val="single" w:sz="4" w:space="0" w:color="auto"/>
              <w:right w:val="single" w:sz="4" w:space="0" w:color="auto"/>
            </w:tcBorders>
            <w:vAlign w:val="center"/>
            <w:hideMark/>
          </w:tcPr>
          <w:p w14:paraId="527D3108" w14:textId="77777777" w:rsidR="00444891" w:rsidRPr="00B14013" w:rsidRDefault="00444891">
            <w:pPr>
              <w:spacing w:after="0" w:line="240" w:lineRule="auto"/>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Aerosols - MDIs</w:t>
            </w:r>
          </w:p>
        </w:tc>
        <w:tc>
          <w:tcPr>
            <w:tcW w:w="2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7CEE73C"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30%</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789AEC8"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70%</w:t>
            </w:r>
          </w:p>
        </w:tc>
      </w:tr>
      <w:tr w:rsidR="00444891" w:rsidRPr="00B14013" w14:paraId="7EC67792" w14:textId="77777777" w:rsidTr="00444891">
        <w:trPr>
          <w:trHeight w:val="20"/>
        </w:trPr>
        <w:tc>
          <w:tcPr>
            <w:tcW w:w="4420" w:type="dxa"/>
            <w:tcBorders>
              <w:top w:val="single" w:sz="4" w:space="0" w:color="auto"/>
              <w:left w:val="single" w:sz="4" w:space="0" w:color="auto"/>
              <w:bottom w:val="single" w:sz="4" w:space="0" w:color="auto"/>
              <w:right w:val="single" w:sz="4" w:space="0" w:color="auto"/>
            </w:tcBorders>
            <w:vAlign w:val="center"/>
            <w:hideMark/>
          </w:tcPr>
          <w:p w14:paraId="756A18D3" w14:textId="77777777" w:rsidR="00444891" w:rsidRPr="00B14013" w:rsidRDefault="00444891">
            <w:pPr>
              <w:spacing w:after="0" w:line="240" w:lineRule="auto"/>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Fire extinguishers</w:t>
            </w:r>
          </w:p>
        </w:tc>
        <w:tc>
          <w:tcPr>
            <w:tcW w:w="2040" w:type="dxa"/>
            <w:tcBorders>
              <w:top w:val="single" w:sz="4" w:space="0" w:color="auto"/>
              <w:left w:val="single" w:sz="4" w:space="0" w:color="auto"/>
              <w:bottom w:val="single" w:sz="4" w:space="0" w:color="auto"/>
              <w:right w:val="single" w:sz="4" w:space="0" w:color="auto"/>
            </w:tcBorders>
            <w:noWrap/>
            <w:vAlign w:val="center"/>
            <w:hideMark/>
          </w:tcPr>
          <w:p w14:paraId="02475B0E"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35%</w:t>
            </w:r>
          </w:p>
        </w:tc>
        <w:tc>
          <w:tcPr>
            <w:tcW w:w="2520" w:type="dxa"/>
            <w:tcBorders>
              <w:top w:val="single" w:sz="4" w:space="0" w:color="auto"/>
              <w:left w:val="single" w:sz="4" w:space="0" w:color="auto"/>
              <w:bottom w:val="single" w:sz="4" w:space="0" w:color="auto"/>
              <w:right w:val="single" w:sz="4" w:space="0" w:color="auto"/>
            </w:tcBorders>
            <w:noWrap/>
            <w:vAlign w:val="center"/>
            <w:hideMark/>
          </w:tcPr>
          <w:p w14:paraId="067CDA11"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65%</w:t>
            </w:r>
          </w:p>
        </w:tc>
      </w:tr>
      <w:tr w:rsidR="00444891" w:rsidRPr="00B14013" w14:paraId="0B60CF7D" w14:textId="77777777" w:rsidTr="00444891">
        <w:trPr>
          <w:trHeight w:val="20"/>
        </w:trPr>
        <w:tc>
          <w:tcPr>
            <w:tcW w:w="4420" w:type="dxa"/>
            <w:tcBorders>
              <w:top w:val="single" w:sz="4" w:space="0" w:color="auto"/>
              <w:left w:val="single" w:sz="4" w:space="0" w:color="auto"/>
              <w:bottom w:val="single" w:sz="4" w:space="0" w:color="auto"/>
              <w:right w:val="single" w:sz="4" w:space="0" w:color="auto"/>
            </w:tcBorders>
            <w:vAlign w:val="center"/>
            <w:hideMark/>
          </w:tcPr>
          <w:p w14:paraId="1EE6121E" w14:textId="77777777" w:rsidR="00444891" w:rsidRPr="00B14013" w:rsidRDefault="00444891">
            <w:pPr>
              <w:spacing w:after="0" w:line="240" w:lineRule="auto"/>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Solvents</w:t>
            </w:r>
          </w:p>
        </w:tc>
        <w:tc>
          <w:tcPr>
            <w:tcW w:w="2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B51DDCA"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15%</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EB686DF"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85%</w:t>
            </w:r>
          </w:p>
        </w:tc>
      </w:tr>
      <w:tr w:rsidR="00444891" w:rsidRPr="00B14013" w14:paraId="6BE33282" w14:textId="77777777" w:rsidTr="00444891">
        <w:trPr>
          <w:trHeight w:val="20"/>
        </w:trPr>
        <w:tc>
          <w:tcPr>
            <w:tcW w:w="4420" w:type="dxa"/>
            <w:tcBorders>
              <w:top w:val="single" w:sz="4" w:space="0" w:color="auto"/>
              <w:left w:val="single" w:sz="4" w:space="0" w:color="auto"/>
              <w:bottom w:val="single" w:sz="4" w:space="0" w:color="auto"/>
              <w:right w:val="single" w:sz="4" w:space="0" w:color="auto"/>
            </w:tcBorders>
            <w:vAlign w:val="center"/>
            <w:hideMark/>
          </w:tcPr>
          <w:p w14:paraId="1C04A3E9" w14:textId="77777777" w:rsidR="00444891" w:rsidRPr="00B14013" w:rsidRDefault="00444891">
            <w:pPr>
              <w:spacing w:after="0" w:line="240" w:lineRule="auto"/>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Foam OCF (one component foam)</w:t>
            </w:r>
          </w:p>
        </w:tc>
        <w:tc>
          <w:tcPr>
            <w:tcW w:w="2040" w:type="dxa"/>
            <w:tcBorders>
              <w:top w:val="single" w:sz="4" w:space="0" w:color="auto"/>
              <w:left w:val="single" w:sz="4" w:space="0" w:color="auto"/>
              <w:bottom w:val="single" w:sz="4" w:space="0" w:color="auto"/>
              <w:right w:val="single" w:sz="4" w:space="0" w:color="auto"/>
            </w:tcBorders>
            <w:noWrap/>
            <w:vAlign w:val="center"/>
            <w:hideMark/>
          </w:tcPr>
          <w:p w14:paraId="7910EFA4"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35%</w:t>
            </w:r>
          </w:p>
        </w:tc>
        <w:tc>
          <w:tcPr>
            <w:tcW w:w="2520" w:type="dxa"/>
            <w:tcBorders>
              <w:top w:val="single" w:sz="4" w:space="0" w:color="auto"/>
              <w:left w:val="single" w:sz="4" w:space="0" w:color="auto"/>
              <w:bottom w:val="single" w:sz="4" w:space="0" w:color="auto"/>
              <w:right w:val="single" w:sz="4" w:space="0" w:color="auto"/>
            </w:tcBorders>
            <w:noWrap/>
            <w:vAlign w:val="center"/>
            <w:hideMark/>
          </w:tcPr>
          <w:p w14:paraId="19C66A28"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65%</w:t>
            </w:r>
          </w:p>
        </w:tc>
      </w:tr>
      <w:tr w:rsidR="00444891" w:rsidRPr="00B14013" w14:paraId="27FA92BC" w14:textId="77777777" w:rsidTr="00444891">
        <w:trPr>
          <w:trHeight w:val="20"/>
        </w:trPr>
        <w:tc>
          <w:tcPr>
            <w:tcW w:w="4420" w:type="dxa"/>
            <w:tcBorders>
              <w:top w:val="single" w:sz="4" w:space="0" w:color="auto"/>
              <w:left w:val="single" w:sz="4" w:space="0" w:color="auto"/>
              <w:bottom w:val="single" w:sz="4" w:space="0" w:color="auto"/>
              <w:right w:val="single" w:sz="4" w:space="0" w:color="auto"/>
            </w:tcBorders>
            <w:vAlign w:val="center"/>
            <w:hideMark/>
          </w:tcPr>
          <w:p w14:paraId="061584FD" w14:textId="77777777" w:rsidR="00444891" w:rsidRPr="00B14013" w:rsidRDefault="00444891">
            <w:pPr>
              <w:spacing w:after="0" w:line="240" w:lineRule="auto"/>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Foam XPS (extruded polystyrene)</w:t>
            </w:r>
          </w:p>
        </w:tc>
        <w:tc>
          <w:tcPr>
            <w:tcW w:w="2040" w:type="dxa"/>
            <w:tcBorders>
              <w:top w:val="single" w:sz="4" w:space="0" w:color="auto"/>
              <w:left w:val="single" w:sz="4" w:space="0" w:color="auto"/>
              <w:bottom w:val="single" w:sz="4" w:space="0" w:color="auto"/>
              <w:right w:val="single" w:sz="4" w:space="0" w:color="auto"/>
            </w:tcBorders>
            <w:noWrap/>
            <w:vAlign w:val="center"/>
            <w:hideMark/>
          </w:tcPr>
          <w:p w14:paraId="029B96C9"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35%</w:t>
            </w:r>
          </w:p>
        </w:tc>
        <w:tc>
          <w:tcPr>
            <w:tcW w:w="2520" w:type="dxa"/>
            <w:tcBorders>
              <w:top w:val="single" w:sz="4" w:space="0" w:color="auto"/>
              <w:left w:val="single" w:sz="4" w:space="0" w:color="auto"/>
              <w:bottom w:val="single" w:sz="4" w:space="0" w:color="auto"/>
              <w:right w:val="single" w:sz="4" w:space="0" w:color="auto"/>
            </w:tcBorders>
            <w:noWrap/>
            <w:vAlign w:val="center"/>
            <w:hideMark/>
          </w:tcPr>
          <w:p w14:paraId="25F44B54"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65%</w:t>
            </w:r>
          </w:p>
        </w:tc>
      </w:tr>
      <w:tr w:rsidR="00444891" w:rsidRPr="00B14013" w14:paraId="51EDE448" w14:textId="77777777" w:rsidTr="00444891">
        <w:trPr>
          <w:trHeight w:val="20"/>
        </w:trPr>
        <w:tc>
          <w:tcPr>
            <w:tcW w:w="4420" w:type="dxa"/>
            <w:tcBorders>
              <w:top w:val="single" w:sz="4" w:space="0" w:color="auto"/>
              <w:left w:val="single" w:sz="4" w:space="0" w:color="auto"/>
              <w:bottom w:val="single" w:sz="4" w:space="0" w:color="auto"/>
              <w:right w:val="single" w:sz="4" w:space="0" w:color="auto"/>
            </w:tcBorders>
            <w:vAlign w:val="center"/>
            <w:hideMark/>
          </w:tcPr>
          <w:p w14:paraId="52DC1023" w14:textId="77777777" w:rsidR="00444891" w:rsidRPr="00B14013" w:rsidRDefault="00444891">
            <w:pPr>
              <w:spacing w:after="0" w:line="240" w:lineRule="auto"/>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Foam PU (polyurethane) spray</w:t>
            </w:r>
          </w:p>
        </w:tc>
        <w:tc>
          <w:tcPr>
            <w:tcW w:w="2040" w:type="dxa"/>
            <w:tcBorders>
              <w:top w:val="single" w:sz="4" w:space="0" w:color="auto"/>
              <w:left w:val="single" w:sz="4" w:space="0" w:color="auto"/>
              <w:bottom w:val="single" w:sz="4" w:space="0" w:color="auto"/>
              <w:right w:val="single" w:sz="4" w:space="0" w:color="auto"/>
            </w:tcBorders>
            <w:noWrap/>
            <w:vAlign w:val="center"/>
            <w:hideMark/>
          </w:tcPr>
          <w:p w14:paraId="5F63E063"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35%</w:t>
            </w:r>
          </w:p>
        </w:tc>
        <w:tc>
          <w:tcPr>
            <w:tcW w:w="2520" w:type="dxa"/>
            <w:tcBorders>
              <w:top w:val="single" w:sz="4" w:space="0" w:color="auto"/>
              <w:left w:val="single" w:sz="4" w:space="0" w:color="auto"/>
              <w:bottom w:val="single" w:sz="4" w:space="0" w:color="auto"/>
              <w:right w:val="single" w:sz="4" w:space="0" w:color="auto"/>
            </w:tcBorders>
            <w:noWrap/>
            <w:vAlign w:val="center"/>
            <w:hideMark/>
          </w:tcPr>
          <w:p w14:paraId="15A40F5B"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65%</w:t>
            </w:r>
          </w:p>
        </w:tc>
      </w:tr>
      <w:tr w:rsidR="00444891" w:rsidRPr="00B14013" w14:paraId="3B784D47" w14:textId="77777777" w:rsidTr="00444891">
        <w:trPr>
          <w:trHeight w:val="20"/>
        </w:trPr>
        <w:tc>
          <w:tcPr>
            <w:tcW w:w="4420" w:type="dxa"/>
            <w:tcBorders>
              <w:top w:val="single" w:sz="4" w:space="0" w:color="auto"/>
              <w:left w:val="single" w:sz="4" w:space="0" w:color="auto"/>
              <w:bottom w:val="single" w:sz="4" w:space="0" w:color="auto"/>
              <w:right w:val="single" w:sz="4" w:space="0" w:color="auto"/>
            </w:tcBorders>
            <w:vAlign w:val="center"/>
            <w:hideMark/>
          </w:tcPr>
          <w:p w14:paraId="2E5B9046" w14:textId="77777777" w:rsidR="00444891" w:rsidRPr="00B14013" w:rsidRDefault="00444891">
            <w:pPr>
              <w:spacing w:after="0" w:line="240" w:lineRule="auto"/>
              <w:rPr>
                <w:rFonts w:asciiTheme="minorHAnsi" w:eastAsia="Times New Roman" w:hAnsiTheme="minorHAnsi" w:cs="Arial"/>
                <w:noProof/>
                <w:sz w:val="20"/>
                <w:szCs w:val="20"/>
                <w:lang w:val="fr-BE" w:eastAsia="de-DE"/>
              </w:rPr>
            </w:pPr>
            <w:r w:rsidRPr="00B14013">
              <w:rPr>
                <w:rFonts w:asciiTheme="minorHAnsi" w:eastAsia="Times New Roman" w:hAnsiTheme="minorHAnsi" w:cs="Arial"/>
                <w:noProof/>
                <w:sz w:val="20"/>
                <w:szCs w:val="20"/>
                <w:lang w:val="fr-BE" w:eastAsia="de-DE"/>
              </w:rPr>
              <w:t>Foam PU (polyurethane) non-spray</w:t>
            </w:r>
          </w:p>
        </w:tc>
        <w:tc>
          <w:tcPr>
            <w:tcW w:w="2040" w:type="dxa"/>
            <w:tcBorders>
              <w:top w:val="single" w:sz="4" w:space="0" w:color="auto"/>
              <w:left w:val="single" w:sz="4" w:space="0" w:color="auto"/>
              <w:bottom w:val="single" w:sz="4" w:space="0" w:color="auto"/>
              <w:right w:val="single" w:sz="4" w:space="0" w:color="auto"/>
            </w:tcBorders>
            <w:noWrap/>
            <w:vAlign w:val="center"/>
            <w:hideMark/>
          </w:tcPr>
          <w:p w14:paraId="09BA9969"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35%</w:t>
            </w:r>
          </w:p>
        </w:tc>
        <w:tc>
          <w:tcPr>
            <w:tcW w:w="2520" w:type="dxa"/>
            <w:tcBorders>
              <w:top w:val="single" w:sz="4" w:space="0" w:color="auto"/>
              <w:left w:val="single" w:sz="4" w:space="0" w:color="auto"/>
              <w:bottom w:val="single" w:sz="4" w:space="0" w:color="auto"/>
              <w:right w:val="single" w:sz="4" w:space="0" w:color="auto"/>
            </w:tcBorders>
            <w:noWrap/>
            <w:vAlign w:val="center"/>
            <w:hideMark/>
          </w:tcPr>
          <w:p w14:paraId="569C0BAA"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65%</w:t>
            </w:r>
          </w:p>
        </w:tc>
      </w:tr>
      <w:tr w:rsidR="00444891" w:rsidRPr="00B14013" w14:paraId="37CF9169" w14:textId="77777777" w:rsidTr="00444891">
        <w:trPr>
          <w:trHeight w:val="20"/>
        </w:trPr>
        <w:tc>
          <w:tcPr>
            <w:tcW w:w="4420" w:type="dxa"/>
            <w:tcBorders>
              <w:top w:val="single" w:sz="4" w:space="0" w:color="auto"/>
              <w:left w:val="single" w:sz="4" w:space="0" w:color="auto"/>
              <w:bottom w:val="single" w:sz="4" w:space="0" w:color="auto"/>
              <w:right w:val="single" w:sz="4" w:space="0" w:color="auto"/>
            </w:tcBorders>
            <w:vAlign w:val="center"/>
            <w:hideMark/>
          </w:tcPr>
          <w:p w14:paraId="11397270" w14:textId="77777777" w:rsidR="00444891" w:rsidRPr="00B14013" w:rsidRDefault="00444891">
            <w:pPr>
              <w:spacing w:after="0" w:line="240" w:lineRule="auto"/>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Switchgear MV</w:t>
            </w:r>
          </w:p>
        </w:tc>
        <w:tc>
          <w:tcPr>
            <w:tcW w:w="2040" w:type="dxa"/>
            <w:tcBorders>
              <w:top w:val="single" w:sz="4" w:space="0" w:color="auto"/>
              <w:left w:val="single" w:sz="4" w:space="0" w:color="auto"/>
              <w:bottom w:val="single" w:sz="4" w:space="0" w:color="auto"/>
              <w:right w:val="single" w:sz="4" w:space="0" w:color="auto"/>
            </w:tcBorders>
            <w:noWrap/>
            <w:vAlign w:val="center"/>
            <w:hideMark/>
          </w:tcPr>
          <w:p w14:paraId="63E7FDC4"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35%</w:t>
            </w:r>
          </w:p>
        </w:tc>
        <w:tc>
          <w:tcPr>
            <w:tcW w:w="2520" w:type="dxa"/>
            <w:tcBorders>
              <w:top w:val="single" w:sz="4" w:space="0" w:color="auto"/>
              <w:left w:val="single" w:sz="4" w:space="0" w:color="auto"/>
              <w:bottom w:val="single" w:sz="4" w:space="0" w:color="auto"/>
              <w:right w:val="single" w:sz="4" w:space="0" w:color="auto"/>
            </w:tcBorders>
            <w:noWrap/>
            <w:vAlign w:val="center"/>
            <w:hideMark/>
          </w:tcPr>
          <w:p w14:paraId="55FF2231" w14:textId="77777777" w:rsidR="00444891" w:rsidRPr="00B14013" w:rsidRDefault="00444891">
            <w:pPr>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65%</w:t>
            </w:r>
          </w:p>
        </w:tc>
      </w:tr>
      <w:tr w:rsidR="00444891" w:rsidRPr="00B14013" w14:paraId="56D51313" w14:textId="77777777" w:rsidTr="00444891">
        <w:trPr>
          <w:trHeight w:val="20"/>
        </w:trPr>
        <w:tc>
          <w:tcPr>
            <w:tcW w:w="4420" w:type="dxa"/>
            <w:tcBorders>
              <w:top w:val="single" w:sz="4" w:space="0" w:color="auto"/>
              <w:left w:val="single" w:sz="4" w:space="0" w:color="auto"/>
              <w:bottom w:val="single" w:sz="4" w:space="0" w:color="auto"/>
              <w:right w:val="single" w:sz="4" w:space="0" w:color="auto"/>
            </w:tcBorders>
            <w:vAlign w:val="center"/>
            <w:hideMark/>
          </w:tcPr>
          <w:p w14:paraId="310A3A4B" w14:textId="77777777" w:rsidR="00444891" w:rsidRPr="00B14013" w:rsidRDefault="00444891">
            <w:pPr>
              <w:keepNext/>
              <w:spacing w:after="0" w:line="240" w:lineRule="auto"/>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Switchgear HV</w:t>
            </w:r>
          </w:p>
        </w:tc>
        <w:tc>
          <w:tcPr>
            <w:tcW w:w="2040" w:type="dxa"/>
            <w:tcBorders>
              <w:top w:val="single" w:sz="4" w:space="0" w:color="auto"/>
              <w:left w:val="single" w:sz="4" w:space="0" w:color="auto"/>
              <w:bottom w:val="single" w:sz="4" w:space="0" w:color="auto"/>
              <w:right w:val="single" w:sz="4" w:space="0" w:color="auto"/>
            </w:tcBorders>
            <w:noWrap/>
            <w:vAlign w:val="center"/>
            <w:hideMark/>
          </w:tcPr>
          <w:p w14:paraId="706B1E38" w14:textId="77777777" w:rsidR="00444891" w:rsidRPr="00B14013" w:rsidRDefault="00444891">
            <w:pPr>
              <w:keepNext/>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35%</w:t>
            </w:r>
          </w:p>
        </w:tc>
        <w:tc>
          <w:tcPr>
            <w:tcW w:w="2520" w:type="dxa"/>
            <w:tcBorders>
              <w:top w:val="single" w:sz="4" w:space="0" w:color="auto"/>
              <w:left w:val="single" w:sz="4" w:space="0" w:color="auto"/>
              <w:bottom w:val="single" w:sz="4" w:space="0" w:color="auto"/>
              <w:right w:val="single" w:sz="4" w:space="0" w:color="auto"/>
            </w:tcBorders>
            <w:noWrap/>
            <w:vAlign w:val="center"/>
            <w:hideMark/>
          </w:tcPr>
          <w:p w14:paraId="5873356A" w14:textId="77777777" w:rsidR="00444891" w:rsidRPr="00B14013" w:rsidRDefault="00444891">
            <w:pPr>
              <w:keepNext/>
              <w:spacing w:after="0" w:line="240" w:lineRule="auto"/>
              <w:jc w:val="right"/>
              <w:rPr>
                <w:rFonts w:asciiTheme="minorHAnsi" w:eastAsia="Times New Roman" w:hAnsiTheme="minorHAnsi" w:cs="Arial"/>
                <w:noProof/>
                <w:sz w:val="20"/>
                <w:szCs w:val="20"/>
                <w:lang w:eastAsia="de-DE"/>
              </w:rPr>
            </w:pPr>
            <w:r w:rsidRPr="00B14013">
              <w:rPr>
                <w:rFonts w:asciiTheme="minorHAnsi" w:eastAsia="Times New Roman" w:hAnsiTheme="minorHAnsi" w:cs="Arial"/>
                <w:noProof/>
                <w:sz w:val="20"/>
                <w:szCs w:val="20"/>
                <w:lang w:eastAsia="de-DE"/>
              </w:rPr>
              <w:t>65%</w:t>
            </w:r>
          </w:p>
        </w:tc>
      </w:tr>
    </w:tbl>
    <w:p w14:paraId="27119124" w14:textId="58C95CF2" w:rsidR="00444891" w:rsidRPr="003D3F82" w:rsidRDefault="00444891" w:rsidP="00EE52CB">
      <w:pPr>
        <w:tabs>
          <w:tab w:val="left" w:pos="2205"/>
        </w:tabs>
        <w:ind w:left="567" w:hanging="567"/>
        <w:rPr>
          <w:rFonts w:asciiTheme="minorHAnsi" w:hAnsiTheme="minorHAnsi"/>
          <w:noProof/>
          <w:sz w:val="20"/>
          <w:szCs w:val="20"/>
        </w:rPr>
      </w:pPr>
      <w:r w:rsidRPr="0085241A">
        <w:rPr>
          <w:rFonts w:asciiTheme="minorHAnsi" w:hAnsiTheme="minorHAnsi"/>
          <w:b/>
          <w:noProof/>
          <w:sz w:val="20"/>
        </w:rPr>
        <w:t>Notes:</w:t>
      </w:r>
      <w:r w:rsidRPr="003D3F82">
        <w:rPr>
          <w:rFonts w:asciiTheme="minorHAnsi" w:hAnsiTheme="minorHAnsi"/>
          <w:noProof/>
          <w:sz w:val="20"/>
          <w:szCs w:val="20"/>
        </w:rPr>
        <w:t xml:space="preserve"> EU 28 south: Bulgaria, Croatia, Cyprus, southern France (25% of FR population), Greece, Italy, Malta, Portugal, Romania, Spain; EU28 North: other EU 28 MS, including 75% of French population</w:t>
      </w:r>
    </w:p>
    <w:p w14:paraId="79F36701" w14:textId="144673A1" w:rsidR="005B259B" w:rsidRPr="00EE52CB" w:rsidRDefault="0017080F" w:rsidP="00F6079D">
      <w:pPr>
        <w:pStyle w:val="AppendixHeadingLevel3"/>
        <w:numPr>
          <w:ilvl w:val="2"/>
          <w:numId w:val="3"/>
        </w:numPr>
        <w:rPr>
          <w:noProof/>
        </w:rPr>
      </w:pPr>
      <w:r w:rsidRPr="00EE52CB">
        <w:rPr>
          <w:noProof/>
        </w:rPr>
        <w:t>Modelling e</w:t>
      </w:r>
      <w:r w:rsidR="005B259B" w:rsidRPr="00EE52CB">
        <w:rPr>
          <w:noProof/>
        </w:rPr>
        <w:t>nergy use</w:t>
      </w:r>
    </w:p>
    <w:p w14:paraId="687F4FB8" w14:textId="0D4DFD73" w:rsidR="00D155DF" w:rsidRPr="00C76E35" w:rsidRDefault="00EE52CB" w:rsidP="00225664">
      <w:pPr>
        <w:rPr>
          <w:noProof/>
        </w:rPr>
      </w:pPr>
      <w:r>
        <w:rPr>
          <w:noProof/>
        </w:rPr>
        <w:t>The revision of the Regulation can also have an impact on energy efficiency and consumption as it incentivises the technological change in energy-using equipment, in p</w:t>
      </w:r>
      <w:r w:rsidR="00C76E35">
        <w:rPr>
          <w:noProof/>
        </w:rPr>
        <w:t xml:space="preserve">articular in the RAC sector. </w:t>
      </w:r>
      <w:r>
        <w:rPr>
          <w:noProof/>
        </w:rPr>
        <w:t xml:space="preserve">In the AnaFgas modelling framework, final energy consumption of RAC equipment was calculated both for the baseline scenario and the three policy options scenarios. The assumptions on energy efficiency characteristics of the different technology options are </w:t>
      </w:r>
      <w:r w:rsidR="00BF27B5">
        <w:rPr>
          <w:noProof/>
        </w:rPr>
        <w:t>documented in the support study.</w:t>
      </w:r>
    </w:p>
    <w:p w14:paraId="47CC5F0A" w14:textId="3E7B3ED1" w:rsidR="00F16325" w:rsidRDefault="005B39D2" w:rsidP="00F6079D">
      <w:pPr>
        <w:pStyle w:val="AppendixHeadingLevel3"/>
        <w:numPr>
          <w:ilvl w:val="2"/>
          <w:numId w:val="3"/>
        </w:numPr>
        <w:rPr>
          <w:noProof/>
        </w:rPr>
      </w:pPr>
      <w:bookmarkStart w:id="558" w:name="_Ref94102717"/>
      <w:r w:rsidRPr="00F5514A">
        <w:rPr>
          <w:noProof/>
        </w:rPr>
        <w:t>Determination of technological conversion costs</w:t>
      </w:r>
      <w:r w:rsidR="00F5514A" w:rsidRPr="00F5514A">
        <w:rPr>
          <w:noProof/>
        </w:rPr>
        <w:t xml:space="preserve"> and compliance costs</w:t>
      </w:r>
      <w:bookmarkEnd w:id="558"/>
    </w:p>
    <w:p w14:paraId="3B9A88AD" w14:textId="502FB292" w:rsidR="00F16325" w:rsidRPr="00F16325" w:rsidRDefault="00F16325" w:rsidP="00F6079D">
      <w:pPr>
        <w:pStyle w:val="AppendixHeadingLevel4"/>
        <w:numPr>
          <w:ilvl w:val="3"/>
          <w:numId w:val="3"/>
        </w:numPr>
        <w:rPr>
          <w:noProof/>
        </w:rPr>
      </w:pPr>
      <w:bookmarkStart w:id="559" w:name="_Ref87358788"/>
      <w:r>
        <w:rPr>
          <w:noProof/>
        </w:rPr>
        <w:t>Cost 2015-2019 (Evaluation)</w:t>
      </w:r>
      <w:bookmarkEnd w:id="559"/>
    </w:p>
    <w:p w14:paraId="41331160" w14:textId="7CE3C0D5" w:rsidR="00E64550" w:rsidRPr="00BD68CB" w:rsidRDefault="00E64550" w:rsidP="00225664">
      <w:pPr>
        <w:spacing w:after="0"/>
        <w:rPr>
          <w:rFonts w:eastAsia="Calibri" w:cs="Times New Roman"/>
          <w:noProof/>
          <w:szCs w:val="24"/>
        </w:rPr>
      </w:pPr>
      <w:r w:rsidRPr="00BD68CB">
        <w:rPr>
          <w:rFonts w:eastAsia="Calibri" w:cs="Times New Roman"/>
          <w:noProof/>
          <w:szCs w:val="24"/>
        </w:rPr>
        <w:t>Businesses directly affected by the 2014 revision of the Regulation and addresse</w:t>
      </w:r>
      <w:r w:rsidR="00F16325">
        <w:rPr>
          <w:rFonts w:eastAsia="Calibri" w:cs="Times New Roman"/>
          <w:noProof/>
          <w:szCs w:val="24"/>
        </w:rPr>
        <w:t>d in the</w:t>
      </w:r>
      <w:r w:rsidR="00BF27B5" w:rsidRPr="00BD68CB">
        <w:rPr>
          <w:rFonts w:eastAsia="Calibri" w:cs="Times New Roman"/>
          <w:noProof/>
          <w:szCs w:val="24"/>
        </w:rPr>
        <w:t xml:space="preserve"> cost assessment </w:t>
      </w:r>
      <w:r w:rsidR="00F16325">
        <w:rPr>
          <w:rFonts w:eastAsia="Calibri" w:cs="Times New Roman"/>
          <w:noProof/>
          <w:szCs w:val="24"/>
        </w:rPr>
        <w:t xml:space="preserve">for the evaluation </w:t>
      </w:r>
      <w:r w:rsidR="00BF27B5" w:rsidRPr="00BD68CB">
        <w:rPr>
          <w:rFonts w:eastAsia="Calibri" w:cs="Times New Roman"/>
          <w:noProof/>
          <w:szCs w:val="24"/>
        </w:rPr>
        <w:t>were:</w:t>
      </w:r>
    </w:p>
    <w:p w14:paraId="5F2E72B4" w14:textId="3E5CFF7D" w:rsidR="00E64550" w:rsidRPr="00BD68CB" w:rsidRDefault="00E64550" w:rsidP="00AD5F1B">
      <w:pPr>
        <w:numPr>
          <w:ilvl w:val="0"/>
          <w:numId w:val="53"/>
        </w:numPr>
        <w:spacing w:after="160"/>
        <w:ind w:hanging="357"/>
        <w:contextualSpacing/>
        <w:jc w:val="left"/>
        <w:rPr>
          <w:rFonts w:eastAsia="Calibri" w:cs="Times New Roman"/>
          <w:noProof/>
          <w:szCs w:val="24"/>
        </w:rPr>
      </w:pPr>
      <w:r w:rsidRPr="00BD68CB">
        <w:rPr>
          <w:rFonts w:eastAsia="Calibri" w:cs="Times New Roman"/>
          <w:noProof/>
          <w:szCs w:val="24"/>
        </w:rPr>
        <w:t xml:space="preserve">EU </w:t>
      </w:r>
      <w:r w:rsidRPr="00BD68CB">
        <w:rPr>
          <w:rFonts w:eastAsia="Calibri" w:cs="Times New Roman"/>
          <w:b/>
          <w:bCs/>
          <w:i/>
          <w:iCs/>
          <w:noProof/>
          <w:szCs w:val="24"/>
        </w:rPr>
        <w:t>F-gas using industries</w:t>
      </w:r>
      <w:r w:rsidRPr="00BD68CB">
        <w:rPr>
          <w:rFonts w:eastAsia="Calibri" w:cs="Times New Roman"/>
          <w:noProof/>
          <w:szCs w:val="24"/>
        </w:rPr>
        <w:t xml:space="preserve">, i.e. the </w:t>
      </w:r>
      <w:r w:rsidRPr="00BD68CB">
        <w:rPr>
          <w:rFonts w:eastAsia="Calibri" w:cs="Times New Roman"/>
          <w:b/>
          <w:bCs/>
          <w:i/>
          <w:iCs/>
          <w:noProof/>
          <w:szCs w:val="24"/>
        </w:rPr>
        <w:t>operators of equipment</w:t>
      </w:r>
      <w:r w:rsidRPr="00BD68CB">
        <w:rPr>
          <w:rFonts w:eastAsia="Calibri" w:cs="Times New Roman"/>
          <w:noProof/>
          <w:szCs w:val="24"/>
        </w:rPr>
        <w:t xml:space="preserve"> usually relying on F-gases (or low-GWP alternatives), and</w:t>
      </w:r>
    </w:p>
    <w:p w14:paraId="13F353A3" w14:textId="10C2393A" w:rsidR="00E64550" w:rsidRPr="00BD68CB" w:rsidRDefault="002619DA" w:rsidP="00AD5F1B">
      <w:pPr>
        <w:numPr>
          <w:ilvl w:val="0"/>
          <w:numId w:val="53"/>
        </w:numPr>
        <w:spacing w:after="160"/>
        <w:ind w:hanging="357"/>
        <w:contextualSpacing/>
        <w:jc w:val="left"/>
        <w:rPr>
          <w:rFonts w:eastAsia="Calibri" w:cs="Times New Roman"/>
          <w:noProof/>
          <w:szCs w:val="24"/>
        </w:rPr>
      </w:pPr>
      <w:r>
        <w:rPr>
          <w:rFonts w:eastAsia="Calibri" w:cs="Times New Roman"/>
          <w:noProof/>
          <w:szCs w:val="24"/>
        </w:rPr>
        <w:t>B</w:t>
      </w:r>
      <w:r w:rsidR="00E64550" w:rsidRPr="00BD68CB">
        <w:rPr>
          <w:rFonts w:eastAsia="Calibri" w:cs="Times New Roman"/>
          <w:noProof/>
          <w:szCs w:val="24"/>
        </w:rPr>
        <w:t xml:space="preserve">usinesses involved in the </w:t>
      </w:r>
      <w:r w:rsidR="00E64550" w:rsidRPr="00BD68CB">
        <w:rPr>
          <w:rFonts w:eastAsia="Calibri" w:cs="Times New Roman"/>
          <w:b/>
          <w:bCs/>
          <w:i/>
          <w:iCs/>
          <w:noProof/>
          <w:szCs w:val="24"/>
        </w:rPr>
        <w:t>supply chain of the gases</w:t>
      </w:r>
      <w:r w:rsidR="00E64550" w:rsidRPr="00BD68CB">
        <w:rPr>
          <w:rFonts w:eastAsia="Calibri" w:cs="Times New Roman"/>
          <w:noProof/>
          <w:szCs w:val="24"/>
        </w:rPr>
        <w:t>, i.e.</w:t>
      </w:r>
    </w:p>
    <w:p w14:paraId="78DC4B6F" w14:textId="77777777" w:rsidR="00E64550" w:rsidRPr="00BD68CB" w:rsidRDefault="00E64550" w:rsidP="00AD5F1B">
      <w:pPr>
        <w:numPr>
          <w:ilvl w:val="1"/>
          <w:numId w:val="53"/>
        </w:numPr>
        <w:spacing w:after="160"/>
        <w:ind w:hanging="357"/>
        <w:contextualSpacing/>
        <w:jc w:val="left"/>
        <w:rPr>
          <w:rFonts w:eastAsia="Calibri" w:cs="Times New Roman"/>
          <w:noProof/>
          <w:szCs w:val="24"/>
        </w:rPr>
      </w:pPr>
      <w:r w:rsidRPr="00BD68CB">
        <w:rPr>
          <w:rFonts w:eastAsia="Calibri" w:cs="Times New Roman"/>
          <w:noProof/>
          <w:szCs w:val="24"/>
        </w:rPr>
        <w:t>Producers and importers of gases</w:t>
      </w:r>
    </w:p>
    <w:p w14:paraId="3646DC82" w14:textId="77777777" w:rsidR="00E64550" w:rsidRPr="00BD68CB" w:rsidRDefault="00E64550" w:rsidP="00AD5F1B">
      <w:pPr>
        <w:numPr>
          <w:ilvl w:val="1"/>
          <w:numId w:val="53"/>
        </w:numPr>
        <w:spacing w:after="160"/>
        <w:ind w:hanging="357"/>
        <w:contextualSpacing/>
        <w:jc w:val="left"/>
        <w:rPr>
          <w:rFonts w:eastAsia="Calibri" w:cs="Times New Roman"/>
          <w:noProof/>
          <w:szCs w:val="24"/>
        </w:rPr>
      </w:pPr>
      <w:r w:rsidRPr="00BD68CB">
        <w:rPr>
          <w:rFonts w:eastAsia="Calibri" w:cs="Times New Roman"/>
          <w:noProof/>
          <w:szCs w:val="24"/>
        </w:rPr>
        <w:t>Gas distributors</w:t>
      </w:r>
    </w:p>
    <w:p w14:paraId="52479432" w14:textId="49009800" w:rsidR="00E341CC" w:rsidRPr="00BD68CB" w:rsidRDefault="00E64550" w:rsidP="00AD5F1B">
      <w:pPr>
        <w:numPr>
          <w:ilvl w:val="1"/>
          <w:numId w:val="53"/>
        </w:numPr>
        <w:spacing w:after="120"/>
        <w:ind w:hanging="357"/>
        <w:jc w:val="left"/>
        <w:rPr>
          <w:rFonts w:eastAsia="Calibri" w:cs="Times New Roman"/>
          <w:noProof/>
          <w:szCs w:val="24"/>
        </w:rPr>
      </w:pPr>
      <w:r w:rsidRPr="00BD68CB">
        <w:rPr>
          <w:rFonts w:eastAsia="Calibri" w:cs="Times New Roman"/>
          <w:noProof/>
          <w:szCs w:val="24"/>
        </w:rPr>
        <w:t>Service companies.</w:t>
      </w:r>
    </w:p>
    <w:p w14:paraId="1F0D1DA7" w14:textId="77777777" w:rsidR="00E64550" w:rsidRPr="00BD68CB" w:rsidRDefault="00E64550" w:rsidP="00225664">
      <w:pPr>
        <w:spacing w:after="120"/>
        <w:rPr>
          <w:rFonts w:eastAsia="Calibri" w:cs="Times New Roman"/>
          <w:noProof/>
          <w:szCs w:val="24"/>
        </w:rPr>
      </w:pPr>
      <w:r w:rsidRPr="00BD68CB">
        <w:rPr>
          <w:rFonts w:eastAsia="Calibri" w:cs="Times New Roman"/>
          <w:noProof/>
          <w:szCs w:val="24"/>
        </w:rPr>
        <w:t xml:space="preserve">Capital expenditure (capex) and operational expenditure (opex) incurred </w:t>
      </w:r>
      <w:r w:rsidRPr="00BD68CB">
        <w:rPr>
          <w:rFonts w:eastAsia="Calibri" w:cs="Times New Roman"/>
          <w:b/>
          <w:i/>
          <w:noProof/>
          <w:szCs w:val="24"/>
        </w:rPr>
        <w:t>by F-gas using industries</w:t>
      </w:r>
      <w:r w:rsidRPr="00BD68CB">
        <w:rPr>
          <w:rFonts w:eastAsia="Calibri" w:cs="Times New Roman"/>
          <w:noProof/>
          <w:szCs w:val="24"/>
        </w:rPr>
        <w:t xml:space="preserve"> in the evaluation period 2015 -2019 have been calculated in the AnaFGas modelling framework. Capex and opex can be added to result in total expenditure (totex) and compared between both scenarios for all sectors of F-gases use. The spread between totex calculated fo</w:t>
      </w:r>
      <w:r w:rsidR="00E341CC" w:rsidRPr="00BD68CB">
        <w:rPr>
          <w:rFonts w:eastAsia="Calibri" w:cs="Times New Roman"/>
          <w:noProof/>
          <w:szCs w:val="24"/>
        </w:rPr>
        <w:t xml:space="preserve">r the baseline scenario, </w:t>
      </w:r>
      <w:r w:rsidRPr="00BD68CB">
        <w:rPr>
          <w:rFonts w:eastAsia="Calibri" w:cs="Times New Roman"/>
          <w:noProof/>
          <w:szCs w:val="24"/>
        </w:rPr>
        <w:t>the counterfactual scenario</w:t>
      </w:r>
      <w:r w:rsidR="00E341CC" w:rsidRPr="00BD68CB">
        <w:rPr>
          <w:rFonts w:eastAsia="Calibri" w:cs="Times New Roman"/>
          <w:noProof/>
          <w:szCs w:val="24"/>
        </w:rPr>
        <w:t xml:space="preserve"> (evaluation) and the three policy option scenarios (impact assessment)</w:t>
      </w:r>
      <w:r w:rsidRPr="00BD68CB">
        <w:rPr>
          <w:rFonts w:eastAsia="Calibri" w:cs="Times New Roman"/>
          <w:noProof/>
          <w:szCs w:val="24"/>
        </w:rPr>
        <w:t xml:space="preserve"> are the ‘operative compliance costs’. These can be averaged over the evaluation period and divided by the average totex of the counterfactual scenario</w:t>
      </w:r>
      <w:r w:rsidR="00E341CC" w:rsidRPr="00BD68CB">
        <w:rPr>
          <w:rFonts w:eastAsia="Calibri" w:cs="Times New Roman"/>
          <w:noProof/>
          <w:szCs w:val="24"/>
        </w:rPr>
        <w:t>/baseline</w:t>
      </w:r>
      <w:r w:rsidRPr="00BD68CB">
        <w:rPr>
          <w:rFonts w:eastAsia="Calibri" w:cs="Times New Roman"/>
          <w:noProof/>
          <w:szCs w:val="24"/>
        </w:rPr>
        <w:t xml:space="preserve"> to provide a relative increase or decrease in totex for F-gas using sectors</w:t>
      </w:r>
      <w:r w:rsidR="00E341CC" w:rsidRPr="00BD68CB">
        <w:rPr>
          <w:rFonts w:eastAsia="Calibri" w:cs="Times New Roman"/>
          <w:noProof/>
          <w:szCs w:val="24"/>
        </w:rPr>
        <w:t xml:space="preserve"> looking backwards (evaluation) and forwards (impact assessment)</w:t>
      </w:r>
      <w:r w:rsidRPr="00BD68CB">
        <w:rPr>
          <w:rFonts w:eastAsia="Calibri" w:cs="Times New Roman"/>
          <w:noProof/>
          <w:szCs w:val="24"/>
        </w:rPr>
        <w:t>.</w:t>
      </w:r>
    </w:p>
    <w:p w14:paraId="55376130" w14:textId="0262B165" w:rsidR="00E64550" w:rsidRPr="00BD68CB" w:rsidRDefault="00E64550" w:rsidP="00225664">
      <w:pPr>
        <w:spacing w:after="120"/>
        <w:rPr>
          <w:rFonts w:eastAsia="Calibri" w:cs="Times New Roman"/>
          <w:noProof/>
          <w:szCs w:val="24"/>
        </w:rPr>
      </w:pPr>
      <w:r w:rsidRPr="00BD68CB">
        <w:rPr>
          <w:rFonts w:eastAsia="Calibri" w:cs="Times New Roman"/>
          <w:noProof/>
          <w:szCs w:val="24"/>
        </w:rPr>
        <w:t>Capex includes the equipment operators’ investment in new hardware. In all F-gas application sectors where the gases are not directly emitted on application, the cost of the first fill of F-gases is also considered as capex, e.g. the first fill of refrigerants into a refrigeration equipment. Opex includes the cost of refill of gases into equipment (to balance losses from leakage), the cost for electricity or fuel needed to operate the equipment and maintenance cost affected by the Regulation (i.e. additional cost for leak checks and repairs as imposed for HFC installations by the Regulation, and for installations using CO</w:t>
      </w:r>
      <w:r w:rsidRPr="00BD68CB">
        <w:rPr>
          <w:rFonts w:eastAsia="Calibri" w:cs="Times New Roman"/>
          <w:noProof/>
          <w:szCs w:val="24"/>
          <w:vertAlign w:val="subscript"/>
        </w:rPr>
        <w:t>2</w:t>
      </w:r>
      <w:r w:rsidRPr="00BD68CB">
        <w:rPr>
          <w:rFonts w:eastAsia="Calibri" w:cs="Times New Roman"/>
          <w:noProof/>
          <w:szCs w:val="24"/>
        </w:rPr>
        <w:t>, NH</w:t>
      </w:r>
      <w:r w:rsidRPr="00BD68CB">
        <w:rPr>
          <w:rFonts w:eastAsia="Calibri" w:cs="Times New Roman"/>
          <w:noProof/>
          <w:szCs w:val="24"/>
          <w:vertAlign w:val="subscript"/>
        </w:rPr>
        <w:t>3</w:t>
      </w:r>
      <w:r w:rsidRPr="00BD68CB">
        <w:rPr>
          <w:rFonts w:eastAsia="Calibri" w:cs="Times New Roman"/>
          <w:noProof/>
          <w:szCs w:val="24"/>
        </w:rPr>
        <w:t xml:space="preserve"> or hydrocarbons as refrigerants instead of HFCs).</w:t>
      </w:r>
    </w:p>
    <w:p w14:paraId="48986041" w14:textId="7D22D644" w:rsidR="00E64550" w:rsidRPr="00BD68CB" w:rsidRDefault="00E64550" w:rsidP="00225664">
      <w:pPr>
        <w:spacing w:after="120"/>
        <w:rPr>
          <w:rFonts w:eastAsia="Calibri" w:cs="Times New Roman"/>
          <w:noProof/>
          <w:szCs w:val="24"/>
        </w:rPr>
      </w:pPr>
      <w:r w:rsidRPr="00BD68CB">
        <w:rPr>
          <w:rFonts w:eastAsia="Calibri" w:cs="Times New Roman"/>
          <w:noProof/>
          <w:szCs w:val="24"/>
        </w:rPr>
        <w:t xml:space="preserve">For a meaningful assessment of </w:t>
      </w:r>
      <w:r w:rsidRPr="00BD68CB">
        <w:rPr>
          <w:rFonts w:eastAsia="Calibri" w:cs="Times New Roman"/>
          <w:b/>
          <w:i/>
          <w:noProof/>
          <w:szCs w:val="24"/>
        </w:rPr>
        <w:t>F-gas using industries’</w:t>
      </w:r>
      <w:r w:rsidRPr="00BD68CB">
        <w:rPr>
          <w:rFonts w:eastAsia="Calibri" w:cs="Times New Roman"/>
          <w:noProof/>
          <w:szCs w:val="24"/>
        </w:rPr>
        <w:t xml:space="preserve"> compliance cost it is crucial to differentiate compliance cost between</w:t>
      </w:r>
      <w:r w:rsidR="004159DA">
        <w:rPr>
          <w:rFonts w:eastAsia="Calibri" w:cs="Times New Roman"/>
          <w:noProof/>
          <w:szCs w:val="24"/>
        </w:rPr>
        <w:t xml:space="preserve"> costs related to</w:t>
      </w:r>
      <w:r w:rsidRPr="00BD68CB">
        <w:rPr>
          <w:rFonts w:eastAsia="Calibri" w:cs="Times New Roman"/>
          <w:noProof/>
          <w:szCs w:val="24"/>
        </w:rPr>
        <w:t xml:space="preserve">: </w:t>
      </w:r>
    </w:p>
    <w:p w14:paraId="18B17415" w14:textId="01F83669" w:rsidR="00E64550" w:rsidRPr="00BD68CB" w:rsidRDefault="00E64550" w:rsidP="00AD5F1B">
      <w:pPr>
        <w:numPr>
          <w:ilvl w:val="0"/>
          <w:numId w:val="54"/>
        </w:numPr>
        <w:spacing w:after="160"/>
        <w:contextualSpacing/>
        <w:jc w:val="left"/>
        <w:rPr>
          <w:rFonts w:eastAsia="Calibri" w:cs="Times New Roman"/>
          <w:noProof/>
          <w:szCs w:val="24"/>
        </w:rPr>
      </w:pPr>
      <w:r w:rsidRPr="004159DA">
        <w:rPr>
          <w:rFonts w:eastAsia="Calibri" w:cs="Times New Roman"/>
          <w:b/>
          <w:noProof/>
          <w:szCs w:val="24"/>
        </w:rPr>
        <w:t>technological change</w:t>
      </w:r>
      <w:r w:rsidRPr="00BD68CB">
        <w:rPr>
          <w:rFonts w:eastAsia="Calibri" w:cs="Times New Roman"/>
          <w:noProof/>
          <w:szCs w:val="24"/>
        </w:rPr>
        <w:t xml:space="preserve"> and</w:t>
      </w:r>
    </w:p>
    <w:p w14:paraId="6ABF14A1" w14:textId="33A9DC71" w:rsidR="00E64550" w:rsidRPr="00BD68CB" w:rsidRDefault="00E64550" w:rsidP="00AD5F1B">
      <w:pPr>
        <w:numPr>
          <w:ilvl w:val="0"/>
          <w:numId w:val="54"/>
        </w:numPr>
        <w:spacing w:after="120"/>
        <w:ind w:left="714" w:hanging="357"/>
        <w:jc w:val="left"/>
        <w:rPr>
          <w:rFonts w:eastAsia="Calibri" w:cs="Times New Roman"/>
          <w:noProof/>
          <w:szCs w:val="24"/>
        </w:rPr>
      </w:pPr>
      <w:r w:rsidRPr="004159DA">
        <w:rPr>
          <w:rFonts w:eastAsia="Calibri" w:cs="Times New Roman"/>
          <w:b/>
          <w:noProof/>
          <w:szCs w:val="24"/>
        </w:rPr>
        <w:t>HFC price increases</w:t>
      </w:r>
      <w:r w:rsidRPr="00BD68CB">
        <w:rPr>
          <w:rFonts w:eastAsia="Calibri" w:cs="Times New Roman"/>
          <w:noProof/>
          <w:szCs w:val="24"/>
        </w:rPr>
        <w:t xml:space="preserve"> induced by the HFC phase-down </w:t>
      </w:r>
      <w:r w:rsidR="004159DA">
        <w:rPr>
          <w:rFonts w:eastAsia="Calibri" w:cs="Times New Roman"/>
          <w:noProof/>
          <w:szCs w:val="24"/>
        </w:rPr>
        <w:t>supply limitations</w:t>
      </w:r>
      <w:r w:rsidRPr="00BD68CB">
        <w:rPr>
          <w:rFonts w:eastAsia="Calibri" w:cs="Times New Roman"/>
          <w:noProof/>
          <w:szCs w:val="24"/>
        </w:rPr>
        <w:t xml:space="preserve">. </w:t>
      </w:r>
    </w:p>
    <w:p w14:paraId="3F875DDF" w14:textId="77777777" w:rsidR="00E64550" w:rsidRPr="00BD68CB" w:rsidRDefault="00E64550" w:rsidP="00225664">
      <w:pPr>
        <w:spacing w:after="120"/>
        <w:rPr>
          <w:rFonts w:eastAsia="Calibri" w:cs="Times New Roman"/>
          <w:noProof/>
          <w:szCs w:val="24"/>
        </w:rPr>
      </w:pPr>
      <w:r w:rsidRPr="00BD68CB">
        <w:rPr>
          <w:rFonts w:eastAsia="Calibri" w:cs="Times New Roman"/>
          <w:noProof/>
          <w:szCs w:val="24"/>
        </w:rPr>
        <w:t xml:space="preserve">The cost of technological change is borne by those equipment operators which invest in alternatives to the established HFC-based technologies and thus possibly experience a difference in capex and/or opex. </w:t>
      </w:r>
    </w:p>
    <w:p w14:paraId="472917BE" w14:textId="77777777" w:rsidR="00E64550" w:rsidRPr="00BD68CB" w:rsidRDefault="00E64550" w:rsidP="00225664">
      <w:pPr>
        <w:spacing w:after="120"/>
        <w:rPr>
          <w:rFonts w:eastAsia="Calibri" w:cs="Times New Roman"/>
          <w:noProof/>
          <w:szCs w:val="24"/>
        </w:rPr>
      </w:pPr>
      <w:r w:rsidRPr="00BD68CB">
        <w:rPr>
          <w:rFonts w:eastAsia="Calibri" w:cs="Times New Roman"/>
          <w:noProof/>
          <w:szCs w:val="24"/>
        </w:rPr>
        <w:t xml:space="preserve">Cost experienced by equipment operators for the first fill or refill of gases/refrigerants are split into a: </w:t>
      </w:r>
    </w:p>
    <w:p w14:paraId="0E80A4CD" w14:textId="77777777" w:rsidR="00E64550" w:rsidRPr="00BD68CB" w:rsidRDefault="00E64550" w:rsidP="00AD5F1B">
      <w:pPr>
        <w:numPr>
          <w:ilvl w:val="0"/>
          <w:numId w:val="55"/>
        </w:numPr>
        <w:spacing w:after="160"/>
        <w:contextualSpacing/>
        <w:jc w:val="left"/>
        <w:rPr>
          <w:rFonts w:eastAsia="Calibri" w:cs="Times New Roman"/>
          <w:noProof/>
          <w:szCs w:val="24"/>
        </w:rPr>
      </w:pPr>
      <w:r w:rsidRPr="00BD68CB">
        <w:rPr>
          <w:rFonts w:eastAsia="Calibri" w:cs="Times New Roman"/>
          <w:noProof/>
          <w:szCs w:val="24"/>
        </w:rPr>
        <w:t xml:space="preserve">(Counterfactual) reference price [€/kg] which does not take into account HFC price increases induced by the HFC phase-down, and </w:t>
      </w:r>
    </w:p>
    <w:p w14:paraId="783EF89A" w14:textId="3FCA96B8" w:rsidR="00E64550" w:rsidRPr="00BD68CB" w:rsidRDefault="00E64550" w:rsidP="00AD5F1B">
      <w:pPr>
        <w:numPr>
          <w:ilvl w:val="0"/>
          <w:numId w:val="55"/>
        </w:numPr>
        <w:spacing w:after="120"/>
        <w:ind w:left="714" w:hanging="357"/>
        <w:jc w:val="left"/>
        <w:rPr>
          <w:rFonts w:eastAsia="Calibri" w:cs="Times New Roman"/>
          <w:noProof/>
          <w:szCs w:val="24"/>
        </w:rPr>
      </w:pPr>
      <w:r w:rsidRPr="00BD68CB">
        <w:rPr>
          <w:rFonts w:eastAsia="Calibri" w:cs="Times New Roman"/>
          <w:noProof/>
          <w:szCs w:val="24"/>
        </w:rPr>
        <w:t xml:space="preserve">HFC </w:t>
      </w:r>
      <w:r w:rsidR="00163893">
        <w:rPr>
          <w:rFonts w:eastAsia="Calibri" w:cs="Times New Roman"/>
          <w:noProof/>
          <w:szCs w:val="24"/>
        </w:rPr>
        <w:t>premium</w:t>
      </w:r>
      <w:r w:rsidRPr="00BD68CB">
        <w:rPr>
          <w:rFonts w:eastAsia="Calibri" w:cs="Times New Roman"/>
          <w:noProof/>
          <w:szCs w:val="24"/>
        </w:rPr>
        <w:t xml:space="preserve"> [€/t CO</w:t>
      </w:r>
      <w:r w:rsidRPr="00BD68CB">
        <w:rPr>
          <w:rFonts w:eastAsia="Calibri" w:cs="Times New Roman"/>
          <w:noProof/>
          <w:szCs w:val="24"/>
          <w:vertAlign w:val="subscript"/>
        </w:rPr>
        <w:t xml:space="preserve">2 </w:t>
      </w:r>
      <w:r w:rsidRPr="00BD68CB">
        <w:rPr>
          <w:rFonts w:eastAsia="Calibri" w:cs="Times New Roman"/>
          <w:noProof/>
          <w:szCs w:val="24"/>
        </w:rPr>
        <w:t xml:space="preserve">eq] induced by the HFC phase-down and as observed on the EU HFC markets. Based on the EU HFC price monitoring conducted by Öko-Recherche, an average HFC </w:t>
      </w:r>
      <w:r w:rsidR="00163893">
        <w:rPr>
          <w:rFonts w:eastAsia="Calibri" w:cs="Times New Roman"/>
          <w:noProof/>
          <w:szCs w:val="24"/>
        </w:rPr>
        <w:t>premium</w:t>
      </w:r>
      <w:r w:rsidRPr="00BD68CB">
        <w:rPr>
          <w:rFonts w:eastAsia="Calibri" w:cs="Times New Roman"/>
          <w:noProof/>
          <w:szCs w:val="24"/>
        </w:rPr>
        <w:t xml:space="preserve"> of 8 €/t CO</w:t>
      </w:r>
      <w:r w:rsidRPr="00BD68CB">
        <w:rPr>
          <w:rFonts w:eastAsia="Calibri" w:cs="Times New Roman"/>
          <w:noProof/>
          <w:szCs w:val="24"/>
          <w:vertAlign w:val="subscript"/>
        </w:rPr>
        <w:t xml:space="preserve">2 </w:t>
      </w:r>
      <w:r w:rsidRPr="00BD68CB">
        <w:rPr>
          <w:rFonts w:eastAsia="Calibri" w:cs="Times New Roman"/>
          <w:noProof/>
          <w:szCs w:val="24"/>
        </w:rPr>
        <w:t>eq at gas distributor selling price level, or 16 €/t </w:t>
      </w:r>
      <w:r w:rsidRPr="00BD68CB">
        <w:rPr>
          <w:rFonts w:eastAsia="Calibri" w:cs="Times New Roman"/>
          <w:noProof/>
          <w:szCs w:val="24"/>
          <w:lang w:val="en-US"/>
        </w:rPr>
        <w:t>CO</w:t>
      </w:r>
      <w:r w:rsidRPr="00BD68CB">
        <w:rPr>
          <w:rFonts w:eastAsia="Calibri" w:cs="Times New Roman"/>
          <w:noProof/>
          <w:szCs w:val="24"/>
          <w:vertAlign w:val="subscript"/>
          <w:lang w:val="en-US"/>
        </w:rPr>
        <w:t xml:space="preserve">2 </w:t>
      </w:r>
      <w:r w:rsidRPr="00BD68CB">
        <w:rPr>
          <w:rFonts w:eastAsia="Calibri" w:cs="Times New Roman"/>
          <w:noProof/>
          <w:szCs w:val="24"/>
          <w:lang w:val="en-US"/>
        </w:rPr>
        <w:t>eq</w:t>
      </w:r>
      <w:r w:rsidRPr="00BD68CB">
        <w:rPr>
          <w:rFonts w:eastAsia="Calibri" w:cs="Times New Roman"/>
          <w:noProof/>
          <w:szCs w:val="24"/>
        </w:rPr>
        <w:t xml:space="preserve"> at service company selling level, is estimated as an average for the 2015-2019 evaluation period. Note that HFC taxes as charged in some EU Member States have not been considered for the analysis as such taxes are not directly related to the 2014 revision.</w:t>
      </w:r>
    </w:p>
    <w:p w14:paraId="22D42BA0" w14:textId="3F3BE88D" w:rsidR="00E64550" w:rsidRPr="00BD68CB" w:rsidRDefault="00E64550" w:rsidP="00225664">
      <w:pPr>
        <w:spacing w:after="160"/>
        <w:rPr>
          <w:rFonts w:eastAsia="Calibri" w:cs="Times New Roman"/>
          <w:noProof/>
          <w:szCs w:val="24"/>
        </w:rPr>
      </w:pPr>
      <w:r w:rsidRPr="00BD68CB">
        <w:rPr>
          <w:rFonts w:eastAsia="Calibri" w:cs="Times New Roman"/>
          <w:noProof/>
          <w:szCs w:val="24"/>
        </w:rPr>
        <w:t xml:space="preserve">The counterfactual reference prices of used gases are considered for the calculation of the cost of technological change. The cost for the HFC </w:t>
      </w:r>
      <w:r w:rsidR="00163893">
        <w:rPr>
          <w:rFonts w:eastAsia="Calibri" w:cs="Times New Roman"/>
          <w:noProof/>
          <w:szCs w:val="24"/>
        </w:rPr>
        <w:t>premium</w:t>
      </w:r>
      <w:r w:rsidRPr="00BD68CB">
        <w:rPr>
          <w:rFonts w:eastAsia="Calibri" w:cs="Times New Roman"/>
          <w:noProof/>
          <w:szCs w:val="24"/>
        </w:rPr>
        <w:t>, however, is allocated to the cost for the HFC price increase.</w:t>
      </w:r>
    </w:p>
    <w:p w14:paraId="409A6062" w14:textId="77777777" w:rsidR="00E64550" w:rsidRPr="00BD68CB" w:rsidRDefault="00E64550" w:rsidP="00225664">
      <w:pPr>
        <w:spacing w:after="120"/>
        <w:rPr>
          <w:rFonts w:eastAsia="Calibri" w:cs="Times New Roman"/>
          <w:noProof/>
          <w:szCs w:val="24"/>
        </w:rPr>
      </w:pPr>
      <w:r w:rsidRPr="00BD68CB">
        <w:rPr>
          <w:rFonts w:eastAsia="Calibri" w:cs="Times New Roman"/>
          <w:noProof/>
          <w:szCs w:val="24"/>
        </w:rPr>
        <w:t xml:space="preserve">The cost of the HFC price increase is borne by: </w:t>
      </w:r>
    </w:p>
    <w:p w14:paraId="7D705F79" w14:textId="77777777" w:rsidR="00E64550" w:rsidRPr="00BD68CB" w:rsidRDefault="00E64550" w:rsidP="00AD5F1B">
      <w:pPr>
        <w:numPr>
          <w:ilvl w:val="0"/>
          <w:numId w:val="56"/>
        </w:numPr>
        <w:spacing w:after="160"/>
        <w:contextualSpacing/>
        <w:jc w:val="left"/>
        <w:rPr>
          <w:rFonts w:eastAsia="Calibri" w:cs="Times New Roman"/>
          <w:noProof/>
          <w:szCs w:val="24"/>
        </w:rPr>
      </w:pPr>
      <w:r w:rsidRPr="00BD68CB">
        <w:rPr>
          <w:rFonts w:eastAsia="Calibri" w:cs="Times New Roman"/>
          <w:noProof/>
          <w:szCs w:val="24"/>
        </w:rPr>
        <w:t xml:space="preserve">operators of existing (HFC-based) equipment which needs to refilled subject to increased HFC prices, </w:t>
      </w:r>
    </w:p>
    <w:p w14:paraId="5B0B96EC" w14:textId="77777777" w:rsidR="00E64550" w:rsidRPr="00BD68CB" w:rsidRDefault="00E64550" w:rsidP="00AD5F1B">
      <w:pPr>
        <w:numPr>
          <w:ilvl w:val="0"/>
          <w:numId w:val="56"/>
        </w:numPr>
        <w:spacing w:after="120"/>
        <w:ind w:left="714" w:hanging="357"/>
        <w:jc w:val="left"/>
        <w:rPr>
          <w:rFonts w:eastAsia="Calibri" w:cs="Times New Roman"/>
          <w:noProof/>
          <w:szCs w:val="24"/>
        </w:rPr>
      </w:pPr>
      <w:r w:rsidRPr="00BD68CB">
        <w:rPr>
          <w:rFonts w:eastAsia="Calibri" w:cs="Times New Roman"/>
          <w:noProof/>
          <w:szCs w:val="24"/>
        </w:rPr>
        <w:t>operators of new installations still based on established high-GWP HFC-based technologies or on substitution technologies relying on alternative medium-GWP HFC substitution technologies.</w:t>
      </w:r>
    </w:p>
    <w:p w14:paraId="66A9C036" w14:textId="77777777" w:rsidR="00E64550" w:rsidRPr="00BD68CB" w:rsidRDefault="00E64550" w:rsidP="00225664">
      <w:pPr>
        <w:spacing w:after="120"/>
        <w:rPr>
          <w:rFonts w:eastAsia="Calibri" w:cs="Times New Roman"/>
          <w:noProof/>
          <w:szCs w:val="24"/>
        </w:rPr>
      </w:pPr>
      <w:r w:rsidRPr="00BD68CB">
        <w:rPr>
          <w:rFonts w:eastAsia="Calibri" w:cs="Times New Roman"/>
          <w:noProof/>
          <w:szCs w:val="24"/>
        </w:rPr>
        <w:t>The cost for operators of such medium HFC substitution technologies (e.g. AC equipment relying on HFC-32 (GWP 625) instead of the previously established R410A (GWP 2088)) is thus partly allocated to cost of technological change and partly to cost of increased HFC prices.</w:t>
      </w:r>
    </w:p>
    <w:p w14:paraId="193FC7B6" w14:textId="77777777" w:rsidR="00E64550" w:rsidRPr="00BD68CB" w:rsidRDefault="00E64550" w:rsidP="00225664">
      <w:pPr>
        <w:spacing w:after="160"/>
        <w:rPr>
          <w:rFonts w:eastAsia="Calibri" w:cs="Times New Roman"/>
          <w:noProof/>
          <w:szCs w:val="24"/>
        </w:rPr>
      </w:pPr>
      <w:r w:rsidRPr="00BD68CB">
        <w:rPr>
          <w:rFonts w:eastAsia="Calibri" w:cs="Times New Roman"/>
          <w:noProof/>
          <w:szCs w:val="24"/>
        </w:rPr>
        <w:t xml:space="preserve">It should be noted that the HFC price increase borne by the equipment operators and F-gas users is being ‘offset’ (in cost-benefit analysis terms) by equivalent additional profits in the </w:t>
      </w:r>
      <w:r w:rsidRPr="00BD68CB">
        <w:rPr>
          <w:rFonts w:eastAsia="Calibri" w:cs="Times New Roman"/>
          <w:b/>
          <w:i/>
          <w:noProof/>
          <w:szCs w:val="24"/>
        </w:rPr>
        <w:t>businesses in the supply chain of HFCs</w:t>
      </w:r>
      <w:r w:rsidRPr="00BD68CB">
        <w:rPr>
          <w:rFonts w:eastAsia="Calibri" w:cs="Times New Roman"/>
          <w:noProof/>
          <w:szCs w:val="24"/>
        </w:rPr>
        <w:t xml:space="preserve">: </w:t>
      </w:r>
    </w:p>
    <w:p w14:paraId="3EDD60C4" w14:textId="3E25690A" w:rsidR="00E64550" w:rsidRPr="00BD68CB" w:rsidRDefault="00F16325" w:rsidP="00AD5F1B">
      <w:pPr>
        <w:numPr>
          <w:ilvl w:val="0"/>
          <w:numId w:val="56"/>
        </w:numPr>
        <w:spacing w:after="120"/>
        <w:ind w:left="714" w:hanging="357"/>
        <w:jc w:val="left"/>
        <w:rPr>
          <w:rFonts w:eastAsia="Calibri" w:cs="Times New Roman"/>
          <w:noProof/>
          <w:szCs w:val="24"/>
        </w:rPr>
      </w:pPr>
      <w:r>
        <w:rPr>
          <w:rFonts w:eastAsia="Calibri" w:cs="Times New Roman"/>
          <w:noProof/>
          <w:szCs w:val="24"/>
        </w:rPr>
        <w:t>On one hand, it i</w:t>
      </w:r>
      <w:r w:rsidR="00E64550" w:rsidRPr="00BD68CB">
        <w:rPr>
          <w:rFonts w:eastAsia="Calibri" w:cs="Times New Roman"/>
          <w:noProof/>
          <w:szCs w:val="24"/>
        </w:rPr>
        <w:t>s the producers and importers</w:t>
      </w:r>
      <w:bookmarkStart w:id="560" w:name="_Ref66284904"/>
      <w:r w:rsidR="00E64550" w:rsidRPr="00BD68CB">
        <w:rPr>
          <w:rFonts w:eastAsia="Calibri" w:cs="Times New Roman"/>
          <w:noProof/>
          <w:szCs w:val="24"/>
          <w:vertAlign w:val="superscript"/>
        </w:rPr>
        <w:footnoteReference w:id="137"/>
      </w:r>
      <w:bookmarkEnd w:id="560"/>
      <w:r w:rsidR="00E64550" w:rsidRPr="00BD68CB">
        <w:rPr>
          <w:rFonts w:eastAsia="Calibri" w:cs="Times New Roman"/>
          <w:noProof/>
          <w:szCs w:val="24"/>
        </w:rPr>
        <w:t xml:space="preserve"> of HFCs that can sell the gases to the gas distributors at considerably higher prices than they could have done without the Regulation. Given the free allocation of quota under the Regulation, these additional revenues come without associated cost</w:t>
      </w:r>
      <w:r w:rsidRPr="00BD68CB">
        <w:rPr>
          <w:rFonts w:eastAsia="Calibri" w:cs="Times New Roman"/>
          <w:noProof/>
          <w:szCs w:val="24"/>
          <w:vertAlign w:val="superscript"/>
        </w:rPr>
        <w:footnoteReference w:id="138"/>
      </w:r>
      <w:r w:rsidR="00E64550" w:rsidRPr="00BD68CB">
        <w:rPr>
          <w:rFonts w:eastAsia="Calibri" w:cs="Times New Roman"/>
          <w:noProof/>
          <w:szCs w:val="24"/>
        </w:rPr>
        <w:t xml:space="preserve">. </w:t>
      </w:r>
    </w:p>
    <w:p w14:paraId="2A07271C" w14:textId="0D13D252" w:rsidR="00E341CC" w:rsidRPr="00F16325" w:rsidRDefault="00E64550" w:rsidP="00AD5F1B">
      <w:pPr>
        <w:numPr>
          <w:ilvl w:val="0"/>
          <w:numId w:val="56"/>
        </w:numPr>
        <w:spacing w:after="120"/>
        <w:ind w:left="714" w:hanging="357"/>
        <w:jc w:val="left"/>
        <w:rPr>
          <w:rFonts w:eastAsia="Calibri" w:cs="Times New Roman"/>
          <w:noProof/>
          <w:szCs w:val="24"/>
        </w:rPr>
      </w:pPr>
      <w:r w:rsidRPr="00BD68CB">
        <w:rPr>
          <w:rFonts w:eastAsia="Calibri" w:cs="Times New Roman"/>
          <w:noProof/>
          <w:szCs w:val="24"/>
        </w:rPr>
        <w:t>On the other hand, service companies usually charge their customers (i.e. operators of equipment in need of refill) a levy in proportion to bulk prices (e.g. a fixed mark-up on bulk prices) and thus fully hand down and additionally add to any upstream price increase. The same principle holds for gas distributors, situated between producers/ importers in the HFC supply chain. On average, prices per kg of gas sold at service level are approximately twice the price of gases sold by distributors at bulk level</w:t>
      </w:r>
      <w:r w:rsidRPr="00BD68CB">
        <w:rPr>
          <w:rFonts w:eastAsia="Calibri" w:cs="Times New Roman"/>
          <w:noProof/>
          <w:szCs w:val="24"/>
          <w:vertAlign w:val="superscript"/>
        </w:rPr>
        <w:footnoteReference w:id="139"/>
      </w:r>
      <w:r w:rsidRPr="00BD68CB">
        <w:rPr>
          <w:rFonts w:eastAsia="Calibri" w:cs="Times New Roman"/>
          <w:noProof/>
          <w:szCs w:val="24"/>
        </w:rPr>
        <w:t>.</w:t>
      </w:r>
    </w:p>
    <w:p w14:paraId="2CBFE0D1" w14:textId="77777777" w:rsidR="00F16325" w:rsidRDefault="00E64550" w:rsidP="00225664">
      <w:pPr>
        <w:spacing w:after="160"/>
        <w:rPr>
          <w:rFonts w:eastAsia="Calibri" w:cs="Times New Roman"/>
          <w:noProof/>
          <w:szCs w:val="24"/>
        </w:rPr>
      </w:pPr>
      <w:r w:rsidRPr="00BD68CB">
        <w:rPr>
          <w:rFonts w:eastAsia="Calibri" w:cs="Times New Roman"/>
          <w:noProof/>
          <w:szCs w:val="24"/>
        </w:rPr>
        <w:t xml:space="preserve">Thus, when considering both the </w:t>
      </w:r>
      <w:r w:rsidRPr="00BD68CB">
        <w:rPr>
          <w:rFonts w:eastAsia="Calibri" w:cs="Times New Roman"/>
          <w:b/>
          <w:i/>
          <w:noProof/>
          <w:szCs w:val="24"/>
        </w:rPr>
        <w:t>equipment operators</w:t>
      </w:r>
      <w:r w:rsidRPr="00BD68CB">
        <w:rPr>
          <w:rFonts w:eastAsia="Calibri" w:cs="Times New Roman"/>
          <w:noProof/>
          <w:szCs w:val="24"/>
        </w:rPr>
        <w:t xml:space="preserve"> and the </w:t>
      </w:r>
      <w:r w:rsidRPr="00BD68CB">
        <w:rPr>
          <w:rFonts w:eastAsia="Calibri" w:cs="Times New Roman"/>
          <w:b/>
          <w:i/>
          <w:noProof/>
          <w:szCs w:val="24"/>
        </w:rPr>
        <w:t>gas supply chain</w:t>
      </w:r>
      <w:r w:rsidRPr="00BD68CB">
        <w:rPr>
          <w:rFonts w:eastAsia="Calibri" w:cs="Times New Roman"/>
          <w:noProof/>
          <w:szCs w:val="24"/>
        </w:rPr>
        <w:t xml:space="preserve"> as the affected industries in the cost assessment, equipment operators’ cost for the HFC price increases is fully offset by respective profits in the HFC supply chain, and the overall </w:t>
      </w:r>
      <w:r w:rsidRPr="00BD68CB">
        <w:rPr>
          <w:rFonts w:eastAsia="Calibri" w:cs="Times New Roman"/>
          <w:b/>
          <w:noProof/>
          <w:szCs w:val="24"/>
        </w:rPr>
        <w:t>net</w:t>
      </w:r>
      <w:r w:rsidRPr="00BD68CB">
        <w:rPr>
          <w:rFonts w:eastAsia="Calibri" w:cs="Times New Roman"/>
          <w:noProof/>
          <w:szCs w:val="24"/>
        </w:rPr>
        <w:t xml:space="preserve"> compliance costs are limited to the equipment operators’ cost of technological change. </w:t>
      </w:r>
      <w:r w:rsidR="00F5514A" w:rsidRPr="00BD68CB">
        <w:rPr>
          <w:rFonts w:eastAsia="Calibri" w:cs="Times New Roman"/>
          <w:noProof/>
          <w:szCs w:val="24"/>
        </w:rPr>
        <w:t xml:space="preserve">Only cost of technological change, i.e. the net cost, are directly linked emission reductions. </w:t>
      </w:r>
      <w:r w:rsidR="00F16325">
        <w:rPr>
          <w:rFonts w:eastAsia="Calibri" w:cs="Times New Roman"/>
          <w:noProof/>
          <w:szCs w:val="24"/>
        </w:rPr>
        <w:t>E</w:t>
      </w:r>
      <w:r w:rsidR="00F5514A" w:rsidRPr="00BD68CB">
        <w:rPr>
          <w:rFonts w:eastAsia="Calibri" w:cs="Times New Roman"/>
          <w:noProof/>
          <w:szCs w:val="24"/>
        </w:rPr>
        <w:t>mission reduction cost</w:t>
      </w:r>
      <w:r w:rsidR="00F16325">
        <w:rPr>
          <w:rFonts w:eastAsia="Calibri" w:cs="Times New Roman"/>
          <w:noProof/>
          <w:szCs w:val="24"/>
        </w:rPr>
        <w:t>s</w:t>
      </w:r>
      <w:r w:rsidR="00F5514A" w:rsidRPr="00BD68CB">
        <w:rPr>
          <w:rFonts w:eastAsia="Calibri" w:cs="Times New Roman"/>
          <w:noProof/>
          <w:szCs w:val="24"/>
        </w:rPr>
        <w:t xml:space="preserve"> for the evaluation </w:t>
      </w:r>
      <w:r w:rsidR="00F16325">
        <w:rPr>
          <w:rFonts w:eastAsia="Calibri" w:cs="Times New Roman"/>
          <w:noProof/>
          <w:szCs w:val="24"/>
        </w:rPr>
        <w:t xml:space="preserve">(and the impact assessment) are therefore limited </w:t>
      </w:r>
      <w:r w:rsidR="00F5514A" w:rsidRPr="00BD68CB">
        <w:rPr>
          <w:rFonts w:eastAsia="Calibri" w:cs="Times New Roman"/>
          <w:noProof/>
          <w:szCs w:val="24"/>
        </w:rPr>
        <w:t xml:space="preserve">to the cost of technological change. </w:t>
      </w:r>
    </w:p>
    <w:p w14:paraId="209F550A" w14:textId="49B794BA" w:rsidR="00F5514A" w:rsidRPr="00BD68CB" w:rsidRDefault="00F16325" w:rsidP="00225664">
      <w:pPr>
        <w:spacing w:after="120"/>
        <w:rPr>
          <w:rFonts w:eastAsia="Calibri" w:cs="Times New Roman"/>
          <w:noProof/>
          <w:szCs w:val="24"/>
        </w:rPr>
      </w:pPr>
      <w:r>
        <w:rPr>
          <w:rFonts w:eastAsia="Calibri" w:cs="Times New Roman"/>
          <w:noProof/>
          <w:szCs w:val="24"/>
        </w:rPr>
        <w:t>F</w:t>
      </w:r>
      <w:r w:rsidR="00F5514A" w:rsidRPr="00BD68CB">
        <w:rPr>
          <w:rFonts w:eastAsia="Calibri" w:cs="Times New Roman"/>
          <w:noProof/>
          <w:szCs w:val="24"/>
        </w:rPr>
        <w:t>or a meaningful comparison of the change in operative cost to equipment operators against reductions in the demand and/or emissions of F-gases the involved data sets have to be recalculated to comparable annual amounts: In most of the F-gas sectors, a switch from an established (HFC-based) technology to a low-GWP substitution technology for a new installation implies that the d</w:t>
      </w:r>
      <w:r>
        <w:rPr>
          <w:rFonts w:eastAsia="Calibri" w:cs="Times New Roman"/>
          <w:noProof/>
          <w:szCs w:val="24"/>
        </w:rPr>
        <w:t>emand of F-gases (measured in t</w:t>
      </w:r>
      <w:r w:rsidR="00F5514A" w:rsidRPr="00BD68CB">
        <w:rPr>
          <w:rFonts w:eastAsia="Calibri" w:cs="Times New Roman"/>
          <w:noProof/>
          <w:szCs w:val="24"/>
        </w:rPr>
        <w:t>CO</w:t>
      </w:r>
      <w:r>
        <w:rPr>
          <w:rFonts w:eastAsia="Calibri" w:cs="Times New Roman"/>
          <w:noProof/>
          <w:szCs w:val="24"/>
          <w:vertAlign w:val="subscript"/>
        </w:rPr>
        <w:t>2</w:t>
      </w:r>
      <w:r>
        <w:rPr>
          <w:rFonts w:eastAsia="Calibri" w:cs="Times New Roman"/>
          <w:noProof/>
          <w:szCs w:val="24"/>
        </w:rPr>
        <w:t>e</w:t>
      </w:r>
      <w:r w:rsidR="00F5514A" w:rsidRPr="00BD68CB">
        <w:rPr>
          <w:rFonts w:eastAsia="Calibri" w:cs="Times New Roman"/>
          <w:noProof/>
          <w:szCs w:val="24"/>
        </w:rPr>
        <w:t>) is strongly reduced in the first year of operation due to the avoided or reduced first fill. In subsequent operation years of such a new installation the annual demand reduction is much lower as only the refill to compensate for leakage losses is reduced. For actual emissions avoided from such a new installation the distribution over the operation lifetime is different: Emission (and thus emission reductions) occur first in usually low quantities during the first fill of the equipment, and then as leakage emissions during the whole lifetime. The largest single emission event over the equipment lifetime, however, occurs with the disposal of the equipment as usually not the complete remaining charge of F-gases is recovered at that point in time. For a thorough assessment of emission reduction cost, the emission reductions of a single model installation (compared to a counterfactual reference installation) thus need</w:t>
      </w:r>
      <w:r>
        <w:rPr>
          <w:rFonts w:eastAsia="Calibri" w:cs="Times New Roman"/>
          <w:noProof/>
          <w:szCs w:val="24"/>
        </w:rPr>
        <w:t>s</w:t>
      </w:r>
      <w:r w:rsidR="00F5514A" w:rsidRPr="00BD68CB">
        <w:rPr>
          <w:rFonts w:eastAsia="Calibri" w:cs="Times New Roman"/>
          <w:noProof/>
          <w:szCs w:val="24"/>
        </w:rPr>
        <w:t xml:space="preserve"> to be averaged over the complete equipment lifetime. </w:t>
      </w:r>
    </w:p>
    <w:p w14:paraId="2EE03D05" w14:textId="060D93CA" w:rsidR="00F5514A" w:rsidRPr="00BD68CB" w:rsidRDefault="00F5514A" w:rsidP="00225664">
      <w:pPr>
        <w:spacing w:after="160"/>
        <w:rPr>
          <w:rFonts w:eastAsia="Calibri" w:cs="Times New Roman"/>
          <w:noProof/>
          <w:szCs w:val="24"/>
        </w:rPr>
      </w:pPr>
      <w:r w:rsidRPr="00BD68CB">
        <w:rPr>
          <w:rFonts w:eastAsia="Calibri" w:cs="Times New Roman"/>
          <w:noProof/>
          <w:szCs w:val="24"/>
        </w:rPr>
        <w:t xml:space="preserve">The observed emission reductions in the 2015-2019 evaluation period cover the reductions observed in the first few operational years of new equipment installed in 2015-2019. The observed emission reductions thus logically cannot cover the emission reductions to be expected in the future for the remaining years of use and at the time of disposal. Therefore, the </w:t>
      </w:r>
      <w:r w:rsidRPr="00BD68CB">
        <w:rPr>
          <w:rFonts w:eastAsia="Calibri" w:cs="Times New Roman"/>
          <w:b/>
          <w:bCs/>
          <w:i/>
          <w:iCs/>
          <w:noProof/>
          <w:szCs w:val="24"/>
        </w:rPr>
        <w:t>average annual emission reductions observed for 2015-2019 are significantly below the ‘implied’ annual emission reductions</w:t>
      </w:r>
      <w:r w:rsidRPr="00BD68CB">
        <w:rPr>
          <w:rFonts w:eastAsia="Calibri" w:cs="Times New Roman"/>
          <w:noProof/>
          <w:szCs w:val="24"/>
        </w:rPr>
        <w:t xml:space="preserve"> from those new installations if averaged over the complete lifetime of the installations. Typical lifetimes in the RAC sector are 10-15 years, for other equipment such as foams this may be up to 50 years.</w:t>
      </w:r>
      <w:r w:rsidR="00054159">
        <w:rPr>
          <w:rFonts w:eastAsia="Calibri" w:cs="Times New Roman"/>
          <w:noProof/>
          <w:szCs w:val="24"/>
        </w:rPr>
        <w:t xml:space="preserve"> </w:t>
      </w:r>
      <w:r w:rsidRPr="00BD68CB">
        <w:rPr>
          <w:rFonts w:eastAsia="Calibri" w:cs="Times New Roman"/>
          <w:noProof/>
          <w:szCs w:val="24"/>
        </w:rPr>
        <w:t>For demand reduction it is the other way around: Due to the avoided/reduced first fill, the average annual demand reductions observed for 2015-2019 are disproportionally high compared to ‘implied’ annual demand reductions from those same new installation if averaged over the complete lifetime of the installations.</w:t>
      </w:r>
      <w:r w:rsidR="00054159">
        <w:rPr>
          <w:rFonts w:eastAsia="Calibri" w:cs="Times New Roman"/>
          <w:noProof/>
          <w:szCs w:val="24"/>
        </w:rPr>
        <w:t xml:space="preserve"> </w:t>
      </w:r>
      <w:r w:rsidRPr="00BD68CB">
        <w:rPr>
          <w:rFonts w:eastAsia="Calibri" w:cs="Times New Roman"/>
          <w:noProof/>
          <w:szCs w:val="24"/>
        </w:rPr>
        <w:t xml:space="preserve">Recalculations from observed 2015-2019 emission reductions to </w:t>
      </w:r>
      <w:r w:rsidRPr="00054159">
        <w:rPr>
          <w:rFonts w:eastAsia="Calibri" w:cs="Times New Roman"/>
          <w:b/>
          <w:noProof/>
          <w:szCs w:val="24"/>
        </w:rPr>
        <w:t>implied lifetime-averaged lifetime-integrated annual emission reductions</w:t>
      </w:r>
      <w:r w:rsidRPr="00BD68CB">
        <w:rPr>
          <w:rFonts w:eastAsia="Calibri" w:cs="Times New Roman"/>
          <w:noProof/>
          <w:szCs w:val="24"/>
        </w:rPr>
        <w:t xml:space="preserve"> from equipment installed in 2015-2019 were made in the AnaFgas modelling framework. Recalculation factors are sector-specific and are influenced mostly by assumptions for equipment lifetime, lifetime emission factors and emission factors at disposal.</w:t>
      </w:r>
    </w:p>
    <w:p w14:paraId="6B91B265" w14:textId="0E1C3238" w:rsidR="00F5514A" w:rsidRPr="00BD68CB" w:rsidRDefault="00F5514A" w:rsidP="00225664">
      <w:pPr>
        <w:spacing w:after="160"/>
        <w:rPr>
          <w:rFonts w:eastAsia="Calibri" w:cs="Times New Roman"/>
          <w:noProof/>
          <w:szCs w:val="24"/>
        </w:rPr>
      </w:pPr>
      <w:r w:rsidRPr="00BD68CB">
        <w:rPr>
          <w:rFonts w:eastAsia="Calibri" w:cs="Times New Roman"/>
          <w:noProof/>
          <w:szCs w:val="24"/>
        </w:rPr>
        <w:t>Next to emissions, costs also need to be recalculated to annual amounts in order to merge Capex and Opex in a meaningful way for a calculation of emission or demand reduction cost: For that purpose, Capex are annualised over equipment lifetime using a discount factor of 4%</w:t>
      </w:r>
      <w:r w:rsidRPr="00BD68CB">
        <w:rPr>
          <w:rFonts w:eastAsia="Calibri" w:cs="Times New Roman"/>
          <w:noProof/>
          <w:szCs w:val="24"/>
          <w:vertAlign w:val="superscript"/>
        </w:rPr>
        <w:footnoteReference w:id="140"/>
      </w:r>
      <w:r w:rsidRPr="00BD68CB">
        <w:rPr>
          <w:rFonts w:eastAsia="Calibri" w:cs="Times New Roman"/>
          <w:noProof/>
          <w:szCs w:val="24"/>
        </w:rPr>
        <w:t xml:space="preserve">. Annualised Capex and average Opex are then added to derive average annualised compliance cost for the installations operated in the 2015-2019 evaluation period. </w:t>
      </w:r>
    </w:p>
    <w:p w14:paraId="4F75B4C4" w14:textId="056D0B70" w:rsidR="00F5514A" w:rsidRDefault="00F5514A" w:rsidP="00225664">
      <w:pPr>
        <w:spacing w:after="160"/>
        <w:rPr>
          <w:rFonts w:eastAsia="Calibri" w:cs="Times New Roman"/>
          <w:noProof/>
          <w:szCs w:val="24"/>
        </w:rPr>
      </w:pPr>
      <w:r w:rsidRPr="00BD68CB">
        <w:rPr>
          <w:rFonts w:eastAsia="Calibri" w:cs="Times New Roman"/>
          <w:noProof/>
          <w:szCs w:val="24"/>
        </w:rPr>
        <w:t xml:space="preserve">Based on this approach, operators’ </w:t>
      </w:r>
      <w:r w:rsidRPr="00BD68CB">
        <w:rPr>
          <w:rFonts w:eastAsia="Calibri" w:cs="Times New Roman"/>
          <w:b/>
          <w:i/>
          <w:noProof/>
          <w:szCs w:val="24"/>
        </w:rPr>
        <w:t xml:space="preserve">emission reduction cost for </w:t>
      </w:r>
      <w:r w:rsidRPr="00BD68CB">
        <w:rPr>
          <w:rFonts w:eastAsia="Calibri" w:cs="Times New Roman"/>
          <w:b/>
          <w:bCs/>
          <w:i/>
          <w:iCs/>
          <w:noProof/>
          <w:szCs w:val="24"/>
        </w:rPr>
        <w:t>technological change</w:t>
      </w:r>
      <w:r w:rsidRPr="00BD68CB">
        <w:rPr>
          <w:rFonts w:eastAsia="Calibri" w:cs="Times New Roman"/>
          <w:noProof/>
          <w:szCs w:val="24"/>
        </w:rPr>
        <w:t xml:space="preserve"> are calculated by dividing the annualised cost for technological change of new equipment installed in the 2015-2019 evaluation period by the implied average annual emission reductions of that new equipment installed in the 2015-2019 evaluation period. In order to allow for aggregation across sectors, lifetime-integrals of emission reductions and cost are used rather than annual averages. The emission reduction cost for technological change are methodologically comparable to GHG abatement cost usually calculated for GHG emission reduction measures in other sectors.</w:t>
      </w:r>
    </w:p>
    <w:p w14:paraId="0F3C8949" w14:textId="7E21FCDF" w:rsidR="00054159" w:rsidRDefault="00054159" w:rsidP="0017603A">
      <w:pPr>
        <w:pStyle w:val="AppendixHeadingLevel4"/>
        <w:numPr>
          <w:ilvl w:val="3"/>
          <w:numId w:val="113"/>
        </w:numPr>
        <w:rPr>
          <w:noProof/>
        </w:rPr>
      </w:pPr>
      <w:r>
        <w:rPr>
          <w:noProof/>
        </w:rPr>
        <w:t>Costs for the baseline and options (2024-2036 and 2050)</w:t>
      </w:r>
    </w:p>
    <w:p w14:paraId="78EEDFAF" w14:textId="4B3EAC89" w:rsidR="00054159" w:rsidRPr="00F35D6D" w:rsidRDefault="00D155DF" w:rsidP="00225664">
      <w:pPr>
        <w:spacing w:after="120"/>
        <w:rPr>
          <w:noProof/>
        </w:rPr>
      </w:pPr>
      <w:r>
        <w:rPr>
          <w:noProof/>
        </w:rPr>
        <w:t>In analogy</w:t>
      </w:r>
      <w:r w:rsidRPr="00D155DF">
        <w:rPr>
          <w:noProof/>
        </w:rPr>
        <w:t xml:space="preserve"> to the analytic approach taken for the evaluation of the</w:t>
      </w:r>
      <w:r>
        <w:rPr>
          <w:noProof/>
        </w:rPr>
        <w:t xml:space="preserve"> Regulation (see immediately above)</w:t>
      </w:r>
      <w:r w:rsidRPr="00D155DF">
        <w:rPr>
          <w:noProof/>
        </w:rPr>
        <w:t>, operative compliance co</w:t>
      </w:r>
      <w:r>
        <w:rPr>
          <w:noProof/>
        </w:rPr>
        <w:t>st of the users (= operating equipment relying on</w:t>
      </w:r>
      <w:r w:rsidRPr="00D155DF">
        <w:rPr>
          <w:noProof/>
        </w:rPr>
        <w:t xml:space="preserve"> F-</w:t>
      </w:r>
      <w:r>
        <w:rPr>
          <w:noProof/>
        </w:rPr>
        <w:t>gases or alternatives) are sepa</w:t>
      </w:r>
      <w:r w:rsidRPr="00D155DF">
        <w:rPr>
          <w:noProof/>
        </w:rPr>
        <w:t>rately analysed for cost of technological change and cost incurre</w:t>
      </w:r>
      <w:r>
        <w:rPr>
          <w:noProof/>
        </w:rPr>
        <w:t>d due to HFC price increases in</w:t>
      </w:r>
      <w:r w:rsidRPr="00D155DF">
        <w:rPr>
          <w:noProof/>
        </w:rPr>
        <w:t xml:space="preserve">duced by the HFC-phasedown: Cost of technological change are based on investment and operating expenditures of equipment, assuming pre-phase-down price levels (2014). The impact of HFC prices on F-gas users, </w:t>
      </w:r>
      <w:r>
        <w:rPr>
          <w:noProof/>
        </w:rPr>
        <w:t xml:space="preserve">that has </w:t>
      </w:r>
      <w:r w:rsidRPr="00D155DF">
        <w:rPr>
          <w:noProof/>
        </w:rPr>
        <w:t xml:space="preserve">risen in the past and </w:t>
      </w:r>
      <w:r>
        <w:rPr>
          <w:noProof/>
        </w:rPr>
        <w:t xml:space="preserve">may be </w:t>
      </w:r>
      <w:r w:rsidRPr="00D155DF">
        <w:rPr>
          <w:noProof/>
        </w:rPr>
        <w:t>expected to further rise in the future</w:t>
      </w:r>
      <w:r>
        <w:rPr>
          <w:noProof/>
        </w:rPr>
        <w:t xml:space="preserve"> due to the quota system</w:t>
      </w:r>
      <w:r w:rsidRPr="00D155DF">
        <w:rPr>
          <w:noProof/>
        </w:rPr>
        <w:t xml:space="preserve">, are </w:t>
      </w:r>
      <w:r w:rsidRPr="00F35D6D">
        <w:rPr>
          <w:noProof/>
        </w:rPr>
        <w:t>captured as HFC-price related cost increases.</w:t>
      </w:r>
      <w:r w:rsidR="005A13F9" w:rsidRPr="00F35D6D">
        <w:rPr>
          <w:noProof/>
        </w:rPr>
        <w:t xml:space="preserve"> Future HFC prices are discussed in </w:t>
      </w:r>
      <w:r w:rsidR="00C66A21">
        <w:rPr>
          <w:noProof/>
        </w:rPr>
        <w:t>6.2.1.2</w:t>
      </w:r>
      <w:r w:rsidR="005A13F9" w:rsidRPr="00F35D6D">
        <w:rPr>
          <w:noProof/>
        </w:rPr>
        <w:t>.</w:t>
      </w:r>
    </w:p>
    <w:p w14:paraId="318BFA33" w14:textId="7B15507A" w:rsidR="005A13F9" w:rsidRPr="00F35D6D" w:rsidRDefault="005A13F9" w:rsidP="00225664">
      <w:pPr>
        <w:spacing w:after="120"/>
        <w:rPr>
          <w:rFonts w:eastAsia="Calibri" w:cs="Times New Roman"/>
          <w:noProof/>
          <w:szCs w:val="24"/>
        </w:rPr>
      </w:pPr>
      <w:r w:rsidRPr="00F35D6D">
        <w:rPr>
          <w:rFonts w:eastAsia="Calibri" w:cs="Times New Roman"/>
          <w:noProof/>
          <w:szCs w:val="24"/>
        </w:rPr>
        <w:t xml:space="preserve">Total compliance costs are expressed </w:t>
      </w:r>
      <w:r w:rsidR="00F35D6D" w:rsidRPr="00F35D6D">
        <w:rPr>
          <w:rFonts w:eastAsia="Calibri" w:cs="Times New Roman"/>
          <w:noProof/>
          <w:szCs w:val="24"/>
        </w:rPr>
        <w:t>€</w:t>
      </w:r>
      <w:r w:rsidRPr="00F35D6D">
        <w:rPr>
          <w:rFonts w:eastAsia="Calibri" w:cs="Times New Roman"/>
          <w:noProof/>
          <w:szCs w:val="24"/>
        </w:rPr>
        <w:t xml:space="preserve"> per year and as percentages of total equipment operators’ expenditures in the baseline scenario, and are further differentiated into </w:t>
      </w:r>
    </w:p>
    <w:p w14:paraId="620A32B1" w14:textId="2F39042F" w:rsidR="005A13F9" w:rsidRPr="00F35D6D" w:rsidRDefault="005A13F9" w:rsidP="00AD5F1B">
      <w:pPr>
        <w:numPr>
          <w:ilvl w:val="0"/>
          <w:numId w:val="23"/>
        </w:numPr>
        <w:spacing w:after="120"/>
        <w:ind w:left="714" w:hanging="357"/>
        <w:rPr>
          <w:rFonts w:eastAsia="Calibri" w:cs="Times New Roman"/>
          <w:noProof/>
          <w:szCs w:val="24"/>
        </w:rPr>
      </w:pPr>
      <w:r w:rsidRPr="00F35D6D">
        <w:rPr>
          <w:rFonts w:eastAsia="Calibri" w:cs="Times New Roman"/>
          <w:noProof/>
          <w:szCs w:val="24"/>
        </w:rPr>
        <w:t>cost</w:t>
      </w:r>
      <w:r w:rsidR="00F35D6D">
        <w:rPr>
          <w:rFonts w:eastAsia="Calibri" w:cs="Times New Roman"/>
          <w:noProof/>
          <w:szCs w:val="24"/>
        </w:rPr>
        <w:t>s</w:t>
      </w:r>
      <w:r w:rsidRPr="00F35D6D">
        <w:rPr>
          <w:rFonts w:eastAsia="Calibri" w:cs="Times New Roman"/>
          <w:noProof/>
          <w:szCs w:val="24"/>
        </w:rPr>
        <w:t xml:space="preserve"> of additional HFC price increases to be expected under respectively modified HFC reduction schedules, to be borne by those users which continue to operate or invest in equipment relying on HFCs, (such costs are reflected as profits in the HFC supply chain, or as state income </w:t>
      </w:r>
      <w:r w:rsidR="00163893">
        <w:rPr>
          <w:rFonts w:eastAsia="Calibri" w:cs="Times New Roman"/>
          <w:noProof/>
          <w:szCs w:val="24"/>
        </w:rPr>
        <w:t>related to revenues from</w:t>
      </w:r>
      <w:r w:rsidRPr="00F35D6D">
        <w:rPr>
          <w:rFonts w:eastAsia="Calibri" w:cs="Times New Roman"/>
          <w:noProof/>
          <w:szCs w:val="24"/>
        </w:rPr>
        <w:t xml:space="preserve"> the </w:t>
      </w:r>
      <w:r w:rsidR="00163893">
        <w:rPr>
          <w:rFonts w:eastAsia="Calibri" w:cs="Times New Roman"/>
          <w:noProof/>
          <w:szCs w:val="24"/>
        </w:rPr>
        <w:t>sale</w:t>
      </w:r>
      <w:r w:rsidRPr="00F35D6D">
        <w:rPr>
          <w:rFonts w:eastAsia="Calibri" w:cs="Times New Roman"/>
          <w:noProof/>
          <w:szCs w:val="24"/>
        </w:rPr>
        <w:t xml:space="preserve"> of quota)</w:t>
      </w:r>
      <w:r w:rsidR="00F35D6D">
        <w:rPr>
          <w:rFonts w:eastAsia="Calibri" w:cs="Times New Roman"/>
          <w:noProof/>
          <w:szCs w:val="24"/>
        </w:rPr>
        <w:t>;</w:t>
      </w:r>
    </w:p>
    <w:p w14:paraId="3C47AB09" w14:textId="5F17BE9A" w:rsidR="005A13F9" w:rsidRDefault="005A13F9" w:rsidP="00AD5F1B">
      <w:pPr>
        <w:numPr>
          <w:ilvl w:val="0"/>
          <w:numId w:val="23"/>
        </w:numPr>
        <w:spacing w:after="120"/>
        <w:rPr>
          <w:rFonts w:eastAsia="Calibri" w:cs="Times New Roman"/>
          <w:noProof/>
          <w:szCs w:val="24"/>
        </w:rPr>
      </w:pPr>
      <w:r w:rsidRPr="00F35D6D">
        <w:rPr>
          <w:rFonts w:eastAsia="Calibri" w:cs="Times New Roman"/>
          <w:noProof/>
          <w:szCs w:val="24"/>
        </w:rPr>
        <w:t>cost</w:t>
      </w:r>
      <w:r w:rsidR="00F35D6D">
        <w:rPr>
          <w:rFonts w:eastAsia="Calibri" w:cs="Times New Roman"/>
          <w:noProof/>
          <w:szCs w:val="24"/>
        </w:rPr>
        <w:t>s</w:t>
      </w:r>
      <w:r w:rsidRPr="00F35D6D">
        <w:rPr>
          <w:rFonts w:eastAsia="Calibri" w:cs="Times New Roman"/>
          <w:noProof/>
          <w:szCs w:val="24"/>
        </w:rPr>
        <w:t xml:space="preserve"> of technological change for investment in and operation equipment relying on low-GWP alternatives.</w:t>
      </w:r>
    </w:p>
    <w:p w14:paraId="71A4A894" w14:textId="16296EE0" w:rsidR="00F5514A" w:rsidRPr="004655EE" w:rsidRDefault="00F35D6D" w:rsidP="00225664">
      <w:pPr>
        <w:spacing w:after="120"/>
        <w:rPr>
          <w:noProof/>
        </w:rPr>
      </w:pPr>
      <w:r w:rsidRPr="00DA7A9D">
        <w:rPr>
          <w:noProof/>
        </w:rPr>
        <w:t>Emission</w:t>
      </w:r>
      <w:r>
        <w:rPr>
          <w:noProof/>
        </w:rPr>
        <w:t xml:space="preserve"> reduction costs compare the cost of technological change for investment in and operation of equipment based on low-GWP alternatives to the emissions saved during the lifetime of the respective equipment. In line with the methodology applied for the evaluation, equipment operators’ cost for increased HFC prices are not considered for the calculation of emission reduction cost as those HFC-price related costs are borne by those operators which do not (fully) replace high-GWP HFCs and thus do not contribute to emission savings. Cost due to further increases of the HFC-price are thus not directly linked to actual emission reductions and lead to distributional effects (see </w:t>
      </w:r>
      <w:r w:rsidR="00C66A21">
        <w:rPr>
          <w:noProof/>
        </w:rPr>
        <w:t>6.2.1.4</w:t>
      </w:r>
      <w:r>
        <w:rPr>
          <w:noProof/>
        </w:rPr>
        <w:t>). As for operators’ total compliance cost, the time horizon is on equipment installed in the 2024-2036 timeframe,</w:t>
      </w:r>
      <w:r w:rsidR="004655EE">
        <w:rPr>
          <w:noProof/>
        </w:rPr>
        <w:t xml:space="preserve"> as well as an outlook to 2050.</w:t>
      </w:r>
    </w:p>
    <w:p w14:paraId="54E42CC0" w14:textId="50C56611" w:rsidR="00814008" w:rsidRDefault="00CF3976" w:rsidP="0017603A">
      <w:pPr>
        <w:pStyle w:val="AppendixHeadingLevel2"/>
        <w:numPr>
          <w:ilvl w:val="1"/>
          <w:numId w:val="113"/>
        </w:numPr>
        <w:rPr>
          <w:noProof/>
        </w:rPr>
      </w:pPr>
      <w:bookmarkStart w:id="561" w:name="_Ref82789811"/>
      <w:r>
        <w:rPr>
          <w:noProof/>
        </w:rPr>
        <w:t>Macroeconomic modelling (JRC-</w:t>
      </w:r>
      <w:r w:rsidR="00814008">
        <w:rPr>
          <w:noProof/>
        </w:rPr>
        <w:t>GEM-E3 model)</w:t>
      </w:r>
      <w:bookmarkEnd w:id="561"/>
    </w:p>
    <w:p w14:paraId="5095ACAC" w14:textId="50AC610A" w:rsidR="00814008" w:rsidRPr="00814008" w:rsidRDefault="00CF3976" w:rsidP="0017603A">
      <w:pPr>
        <w:pStyle w:val="AppendixHeadingLevel3"/>
        <w:numPr>
          <w:ilvl w:val="2"/>
          <w:numId w:val="113"/>
        </w:numPr>
        <w:rPr>
          <w:noProof/>
        </w:rPr>
      </w:pPr>
      <w:bookmarkStart w:id="562" w:name="_Toc62464283"/>
      <w:r>
        <w:rPr>
          <w:noProof/>
        </w:rPr>
        <w:t>JRC-</w:t>
      </w:r>
      <w:r w:rsidR="0017080F">
        <w:rPr>
          <w:noProof/>
        </w:rPr>
        <w:t xml:space="preserve">GEM-E3 </w:t>
      </w:r>
      <w:r w:rsidR="00814008" w:rsidRPr="00814008">
        <w:rPr>
          <w:noProof/>
        </w:rPr>
        <w:t>Model Overview</w:t>
      </w:r>
      <w:bookmarkEnd w:id="562"/>
      <w:r w:rsidR="00814008" w:rsidRPr="00814008">
        <w:rPr>
          <w:noProof/>
        </w:rPr>
        <w:t xml:space="preserve"> </w:t>
      </w:r>
    </w:p>
    <w:p w14:paraId="190E240B" w14:textId="7AB7AF25" w:rsidR="00814008" w:rsidRPr="00402186" w:rsidRDefault="00814008" w:rsidP="00402186">
      <w:pPr>
        <w:spacing w:after="120"/>
        <w:rPr>
          <w:rFonts w:eastAsia="Calibri" w:cs="Times New Roman"/>
          <w:noProof/>
          <w:szCs w:val="24"/>
        </w:rPr>
      </w:pPr>
      <w:r w:rsidRPr="00402186">
        <w:rPr>
          <w:rFonts w:eastAsia="Calibri" w:cs="Times New Roman"/>
          <w:noProof/>
          <w:szCs w:val="24"/>
        </w:rPr>
        <w:t>JRC-GEM-E3</w:t>
      </w:r>
      <w:r w:rsidRPr="00402186">
        <w:rPr>
          <w:rFonts w:eastAsia="Calibri" w:cs="Times New Roman"/>
          <w:noProof/>
          <w:szCs w:val="24"/>
          <w:vertAlign w:val="superscript"/>
        </w:rPr>
        <w:footnoteReference w:id="141"/>
      </w:r>
      <w:r w:rsidRPr="00402186">
        <w:rPr>
          <w:rFonts w:eastAsia="Calibri" w:cs="Times New Roman"/>
          <w:noProof/>
          <w:szCs w:val="24"/>
        </w:rPr>
        <w:t xml:space="preserve"> (General Equilibrium Model for Economy-Energy-Environment) is a recursive dynamic Computable General Equilibrium model</w:t>
      </w:r>
      <w:r w:rsidR="00CF3976">
        <w:rPr>
          <w:rFonts w:eastAsia="Calibri" w:cs="Times New Roman"/>
          <w:noProof/>
          <w:szCs w:val="24"/>
        </w:rPr>
        <w:t xml:space="preserve"> operated at the European Commission’s Joint Research Centre</w:t>
      </w:r>
      <w:r w:rsidRPr="00402186">
        <w:rPr>
          <w:rFonts w:eastAsia="Calibri" w:cs="Times New Roman"/>
          <w:noProof/>
          <w:szCs w:val="24"/>
        </w:rPr>
        <w:t>. It is a global model, covering the 27 EU Member States, alongside 15 other major countries or world regions. With a detailed sectoral disaggregation of energy activities (from extraction to production to distribution sectors) as well as endogenous mechanisms to meet emission constraints, the JRC-GEM-E3 model has been extensively used for the economic analysis of climate and energy policy impacts.</w:t>
      </w:r>
    </w:p>
    <w:p w14:paraId="4E898081" w14:textId="77777777" w:rsidR="00814008" w:rsidRPr="00402186" w:rsidRDefault="00814008" w:rsidP="00402186">
      <w:pPr>
        <w:spacing w:after="120"/>
        <w:rPr>
          <w:rFonts w:eastAsia="Calibri" w:cs="Times New Roman"/>
          <w:noProof/>
          <w:szCs w:val="24"/>
        </w:rPr>
      </w:pPr>
      <w:r w:rsidRPr="00402186">
        <w:rPr>
          <w:rFonts w:eastAsia="Calibri" w:cs="Times New Roman"/>
          <w:noProof/>
          <w:szCs w:val="24"/>
        </w:rPr>
        <w:t>Divided into 35 sectors of activity, firms are cost-minimizing with Constant Elasticity of Substitution (CES) production functions. Sectors are interlinked by providing goods and services as intermediate production inputs to other sectors. Households are the owner of the factors of production (skilled and unskilled labour and capital) and thereby receive income, used to maximize utility through consumption. Household consumption follows a linear expenditure demand system, translating production outputs by industry into 14 final consumption categories via a consumption matrix, while government consumption is considered exogenous. Bilateral trade-flows are allowed between countries and regions using the Armington trade formulation where goods from different goods are imperfect substitutes. In 5-year steps, an equilibrium is achieved at goods and services markets, and for factors of production through adjustments in prices.</w:t>
      </w:r>
    </w:p>
    <w:p w14:paraId="69B1E61B" w14:textId="77777777" w:rsidR="00814008" w:rsidRPr="00402186" w:rsidRDefault="00814008" w:rsidP="00402186">
      <w:pPr>
        <w:spacing w:after="120"/>
        <w:rPr>
          <w:rFonts w:eastAsia="Calibri" w:cs="Times New Roman"/>
          <w:noProof/>
          <w:szCs w:val="24"/>
        </w:rPr>
      </w:pPr>
      <w:r w:rsidRPr="00402186">
        <w:rPr>
          <w:rFonts w:eastAsia="Calibri" w:cs="Times New Roman"/>
          <w:noProof/>
          <w:szCs w:val="24"/>
          <w:lang w:eastAsia="en-GB"/>
        </w:rPr>
        <w:drawing>
          <wp:inline distT="0" distB="0" distL="0" distR="0" wp14:anchorId="3ECE8FF6" wp14:editId="1575A377">
            <wp:extent cx="3889375" cy="21697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89375" cy="2169795"/>
                    </a:xfrm>
                    <a:prstGeom prst="rect">
                      <a:avLst/>
                    </a:prstGeom>
                    <a:noFill/>
                    <a:ln>
                      <a:noFill/>
                    </a:ln>
                  </pic:spPr>
                </pic:pic>
              </a:graphicData>
            </a:graphic>
          </wp:inline>
        </w:drawing>
      </w:r>
    </w:p>
    <w:p w14:paraId="1189FF7C" w14:textId="157EB69A" w:rsidR="00402186" w:rsidRPr="00402186" w:rsidRDefault="00402186" w:rsidP="00402186">
      <w:pPr>
        <w:pStyle w:val="Caption"/>
        <w:spacing w:after="0" w:line="276" w:lineRule="auto"/>
        <w:rPr>
          <w:rFonts w:asciiTheme="minorHAnsi" w:eastAsia="Calibri" w:hAnsiTheme="minorHAnsi"/>
          <w:i/>
          <w:iCs w:val="0"/>
          <w:noProof/>
          <w:szCs w:val="20"/>
          <w:highlight w:val="yellow"/>
        </w:rPr>
      </w:pPr>
      <w:r w:rsidRPr="00402186">
        <w:rPr>
          <w:rFonts w:asciiTheme="minorHAnsi" w:hAnsiTheme="minorHAnsi"/>
          <w:b/>
          <w:noProof/>
          <w:szCs w:val="20"/>
        </w:rPr>
        <w:t xml:space="preserve">Figure </w:t>
      </w:r>
      <w:r w:rsidRPr="00402186">
        <w:rPr>
          <w:rFonts w:asciiTheme="minorHAnsi" w:hAnsiTheme="minorHAnsi"/>
          <w:b/>
          <w:noProof/>
          <w:szCs w:val="20"/>
        </w:rPr>
        <w:fldChar w:fldCharType="begin"/>
      </w:r>
      <w:r w:rsidRPr="00402186">
        <w:rPr>
          <w:rFonts w:asciiTheme="minorHAnsi" w:hAnsiTheme="minorHAnsi"/>
          <w:b/>
          <w:noProof/>
          <w:szCs w:val="20"/>
        </w:rPr>
        <w:instrText xml:space="preserve"> SEQ Figure \* ARABIC </w:instrText>
      </w:r>
      <w:r w:rsidRPr="00402186">
        <w:rPr>
          <w:rFonts w:asciiTheme="minorHAnsi" w:hAnsiTheme="minorHAnsi"/>
          <w:b/>
          <w:noProof/>
          <w:szCs w:val="20"/>
        </w:rPr>
        <w:fldChar w:fldCharType="separate"/>
      </w:r>
      <w:r w:rsidR="00C66A21">
        <w:rPr>
          <w:rFonts w:asciiTheme="minorHAnsi" w:hAnsiTheme="minorHAnsi"/>
          <w:b/>
          <w:noProof/>
          <w:szCs w:val="20"/>
        </w:rPr>
        <w:t>14</w:t>
      </w:r>
      <w:r w:rsidRPr="00402186">
        <w:rPr>
          <w:rFonts w:asciiTheme="minorHAnsi" w:hAnsiTheme="minorHAnsi"/>
          <w:b/>
          <w:noProof/>
          <w:szCs w:val="20"/>
        </w:rPr>
        <w:fldChar w:fldCharType="end"/>
      </w:r>
      <w:r w:rsidRPr="00402186">
        <w:rPr>
          <w:rFonts w:asciiTheme="minorHAnsi" w:hAnsiTheme="minorHAnsi"/>
          <w:b/>
          <w:noProof/>
          <w:szCs w:val="20"/>
        </w:rPr>
        <w:t>.</w:t>
      </w:r>
      <w:r w:rsidRPr="00402186">
        <w:rPr>
          <w:rFonts w:asciiTheme="minorHAnsi" w:hAnsiTheme="minorHAnsi"/>
          <w:noProof/>
          <w:szCs w:val="20"/>
        </w:rPr>
        <w:t xml:space="preserve"> </w:t>
      </w:r>
      <w:r w:rsidRPr="00402186">
        <w:rPr>
          <w:rFonts w:asciiTheme="minorHAnsi" w:eastAsia="Calibri" w:hAnsiTheme="minorHAnsi"/>
          <w:iCs w:val="0"/>
          <w:noProof/>
          <w:szCs w:val="20"/>
        </w:rPr>
        <w:t>A schematic representation of the JRC-GEM-E3 model</w:t>
      </w:r>
    </w:p>
    <w:p w14:paraId="68D57A77" w14:textId="6D03F08A" w:rsidR="00814008" w:rsidRPr="00E9721E" w:rsidRDefault="00814008" w:rsidP="00402186">
      <w:pPr>
        <w:spacing w:after="120"/>
        <w:rPr>
          <w:rFonts w:asciiTheme="minorHAnsi" w:eastAsia="Calibri" w:hAnsiTheme="minorHAnsi" w:cs="Times New Roman"/>
          <w:i/>
          <w:noProof/>
          <w:sz w:val="20"/>
          <w:szCs w:val="20"/>
          <w:lang w:val="en-US"/>
        </w:rPr>
      </w:pPr>
      <w:r w:rsidRPr="00E9721E">
        <w:rPr>
          <w:rFonts w:asciiTheme="minorHAnsi" w:hAnsiTheme="minorHAnsi"/>
          <w:b/>
          <w:i/>
          <w:noProof/>
          <w:sz w:val="20"/>
          <w:lang w:val="en-US"/>
        </w:rPr>
        <w:t>Source:</w:t>
      </w:r>
      <w:r w:rsidRPr="00E9721E">
        <w:rPr>
          <w:rFonts w:asciiTheme="minorHAnsi" w:eastAsia="Calibri" w:hAnsiTheme="minorHAnsi" w:cs="Times New Roman"/>
          <w:i/>
          <w:noProof/>
          <w:sz w:val="20"/>
          <w:szCs w:val="20"/>
          <w:lang w:val="en-US"/>
        </w:rPr>
        <w:t xml:space="preserve"> JRC-GEM-E3 model</w:t>
      </w:r>
    </w:p>
    <w:p w14:paraId="75AF8C42" w14:textId="6B5EDED7" w:rsidR="00814008" w:rsidRPr="00402186" w:rsidRDefault="00814008" w:rsidP="00402186">
      <w:pPr>
        <w:spacing w:after="120"/>
        <w:rPr>
          <w:rFonts w:eastAsia="Calibri" w:cs="Times New Roman"/>
          <w:noProof/>
          <w:szCs w:val="24"/>
        </w:rPr>
      </w:pPr>
      <w:r w:rsidRPr="00402186">
        <w:rPr>
          <w:rFonts w:eastAsia="Calibri" w:cs="Times New Roman"/>
          <w:noProof/>
          <w:szCs w:val="24"/>
        </w:rPr>
        <w:t>The J</w:t>
      </w:r>
      <w:r w:rsidR="00CF3976">
        <w:rPr>
          <w:rFonts w:eastAsia="Calibri" w:cs="Times New Roman"/>
          <w:noProof/>
          <w:szCs w:val="24"/>
        </w:rPr>
        <w:t>RC-GEM-E3 model is normally applied</w:t>
      </w:r>
      <w:r w:rsidRPr="00402186">
        <w:rPr>
          <w:rFonts w:eastAsia="Calibri" w:cs="Times New Roman"/>
          <w:noProof/>
          <w:szCs w:val="24"/>
        </w:rPr>
        <w:t xml:space="preserve"> to compare (various) policy options against a baseline scenario, representing the evolution of the global economy under current energy and climate policies.  The model can be used to assess the impacts of the energy and climate policies on macroeconomic aggregates such as GDP and employment. Further relevant results by JRC-GEM-E3 include sectoral output, investment, employment, expor</w:t>
      </w:r>
      <w:r w:rsidR="00402186">
        <w:rPr>
          <w:rFonts w:eastAsia="Calibri" w:cs="Times New Roman"/>
          <w:noProof/>
          <w:szCs w:val="24"/>
        </w:rPr>
        <w:t>ts, imports, and GHG emissions.</w:t>
      </w:r>
    </w:p>
    <w:p w14:paraId="6AA4B04B" w14:textId="77777777" w:rsidR="00814008" w:rsidRPr="00402186" w:rsidRDefault="00814008" w:rsidP="0017603A">
      <w:pPr>
        <w:pStyle w:val="AppendixHeadingLevel3"/>
        <w:numPr>
          <w:ilvl w:val="2"/>
          <w:numId w:val="114"/>
        </w:numPr>
        <w:spacing w:before="0" w:line="276" w:lineRule="auto"/>
        <w:rPr>
          <w:rFonts w:ascii="Times New Roman" w:hAnsi="Times New Roman" w:cs="Times New Roman"/>
          <w:noProof/>
          <w:szCs w:val="24"/>
        </w:rPr>
      </w:pPr>
      <w:bookmarkStart w:id="563" w:name="_Toc62464285"/>
      <w:r w:rsidRPr="00402186">
        <w:rPr>
          <w:rFonts w:ascii="Times New Roman" w:hAnsi="Times New Roman" w:cs="Times New Roman"/>
          <w:noProof/>
          <w:szCs w:val="24"/>
        </w:rPr>
        <w:t xml:space="preserve">Description of the baseline </w:t>
      </w:r>
      <w:bookmarkEnd w:id="563"/>
    </w:p>
    <w:p w14:paraId="4B0C11E0" w14:textId="77777777" w:rsidR="00814008" w:rsidRPr="00402186" w:rsidRDefault="00814008" w:rsidP="00225664">
      <w:pPr>
        <w:spacing w:after="120"/>
        <w:rPr>
          <w:rFonts w:eastAsia="Calibri" w:cs="Times New Roman"/>
          <w:noProof/>
          <w:szCs w:val="24"/>
        </w:rPr>
      </w:pPr>
      <w:r w:rsidRPr="00402186">
        <w:rPr>
          <w:rFonts w:eastAsia="Calibri" w:cs="Times New Roman"/>
          <w:noProof/>
          <w:szCs w:val="24"/>
        </w:rPr>
        <w:t>The starting point of the analysis is the EU Reference Scenario 2020, the common baseline developed for the Fit for 55 impact assessments. It provides projections for energy demand and supply, as well as GHG emissions in all sectors of the European economy under the current EU and national policy framework. It embeds in particular the EU legislation in place to reach the 2030 climate target of at least 40 % compared to 1990, as well as national contributions captured in the National Energy and Climate Plans to reaching the EU 2030 energy targets on energy efficiency and renewables under the Governance of the Energy Union. Projections for GDP, population and fossil fuel prices take into account the impact of the COVID-19 crisis and are aligned with the 2021 Ageing Report</w:t>
      </w:r>
      <w:r w:rsidRPr="00402186">
        <w:rPr>
          <w:rFonts w:eastAsia="Calibri" w:cs="Times New Roman"/>
          <w:noProof/>
          <w:szCs w:val="24"/>
          <w:vertAlign w:val="superscript"/>
        </w:rPr>
        <w:footnoteReference w:id="142"/>
      </w:r>
      <w:r w:rsidRPr="00402186">
        <w:rPr>
          <w:rFonts w:eastAsia="Calibri" w:cs="Times New Roman"/>
          <w:noProof/>
          <w:szCs w:val="24"/>
        </w:rPr>
        <w:t>. A more detailed description can be found in the impact assessment covering the revision of the ETS Directive</w:t>
      </w:r>
      <w:r w:rsidRPr="00402186">
        <w:rPr>
          <w:rFonts w:eastAsia="Calibri" w:cs="Times New Roman"/>
          <w:noProof/>
          <w:szCs w:val="24"/>
          <w:vertAlign w:val="superscript"/>
        </w:rPr>
        <w:footnoteReference w:id="143"/>
      </w:r>
      <w:r w:rsidRPr="00402186">
        <w:rPr>
          <w:rFonts w:eastAsia="Calibri" w:cs="Times New Roman"/>
          <w:noProof/>
          <w:szCs w:val="24"/>
        </w:rPr>
        <w:t>.</w:t>
      </w:r>
    </w:p>
    <w:p w14:paraId="2916960B" w14:textId="77777777" w:rsidR="00814008" w:rsidRPr="00402186" w:rsidRDefault="00814008" w:rsidP="00225664">
      <w:pPr>
        <w:spacing w:after="120"/>
        <w:rPr>
          <w:rFonts w:eastAsia="Calibri" w:cs="Times New Roman"/>
          <w:noProof/>
          <w:szCs w:val="24"/>
        </w:rPr>
      </w:pPr>
      <w:r w:rsidRPr="00402186">
        <w:rPr>
          <w:rFonts w:eastAsia="Calibri" w:cs="Times New Roman"/>
          <w:noProof/>
          <w:szCs w:val="24"/>
        </w:rPr>
        <w:t>The JRC-GEM-E3 baseline integrates inputs from energy system models (generally PRIMES for EU Member States and POLES-JRC for the rest of the world) on a number of variables of interest, such as a detailed use of energy products by consumers, global fuel prices, etc. The implementation of the EU Reference scenario into JRC-GEM-E3 is using the Piramid methodology</w:t>
      </w:r>
      <w:r w:rsidRPr="00402186">
        <w:rPr>
          <w:rFonts w:eastAsia="Calibri" w:cs="Times New Roman"/>
          <w:noProof/>
          <w:szCs w:val="24"/>
          <w:vertAlign w:val="superscript"/>
        </w:rPr>
        <w:footnoteReference w:id="144"/>
      </w:r>
      <w:r w:rsidRPr="00402186">
        <w:rPr>
          <w:rFonts w:eastAsia="Calibri" w:cs="Times New Roman"/>
          <w:noProof/>
          <w:szCs w:val="24"/>
        </w:rPr>
        <w:t>, reproducing the energy balances of the PRIMES model for the EU Reference scenario and being fully harmonized with the macro data used to drive PRIMES for the EU (and UK). For non-EU regions (except UK), energy balances were taken from POLES-JRC, in particular the model runs produced for the Global Energy and Climate Outlook 2020</w:t>
      </w:r>
      <w:r w:rsidRPr="00402186">
        <w:rPr>
          <w:rFonts w:eastAsia="Calibri" w:cs="Times New Roman"/>
          <w:noProof/>
          <w:szCs w:val="24"/>
          <w:vertAlign w:val="superscript"/>
        </w:rPr>
        <w:footnoteReference w:id="145"/>
      </w:r>
      <w:r w:rsidRPr="00402186">
        <w:rPr>
          <w:rFonts w:eastAsia="Calibri" w:cs="Times New Roman"/>
          <w:noProof/>
          <w:szCs w:val="24"/>
        </w:rPr>
        <w:t>. These also take into account the macroeconomic consequences of COVID-19 and likely (persistent) change</w:t>
      </w:r>
      <w:r w:rsidR="00A87143" w:rsidRPr="00402186">
        <w:rPr>
          <w:rFonts w:eastAsia="Calibri" w:cs="Times New Roman"/>
          <w:noProof/>
          <w:szCs w:val="24"/>
        </w:rPr>
        <w:t>s in the transportation sector.</w:t>
      </w:r>
    </w:p>
    <w:p w14:paraId="6286EB67" w14:textId="77777777" w:rsidR="00814008" w:rsidRPr="00402186" w:rsidRDefault="00814008" w:rsidP="0017603A">
      <w:pPr>
        <w:pStyle w:val="AppendixHeadingLevel3"/>
        <w:numPr>
          <w:ilvl w:val="2"/>
          <w:numId w:val="114"/>
        </w:numPr>
        <w:spacing w:before="0" w:line="276" w:lineRule="auto"/>
        <w:rPr>
          <w:rFonts w:ascii="Times New Roman" w:hAnsi="Times New Roman" w:cs="Times New Roman"/>
          <w:noProof/>
          <w:szCs w:val="24"/>
        </w:rPr>
      </w:pPr>
      <w:r w:rsidRPr="00402186">
        <w:rPr>
          <w:rFonts w:ascii="Times New Roman" w:hAnsi="Times New Roman" w:cs="Times New Roman"/>
          <w:noProof/>
          <w:szCs w:val="24"/>
        </w:rPr>
        <w:t>Implementation</w:t>
      </w:r>
      <w:r w:rsidR="00A87143" w:rsidRPr="00402186">
        <w:rPr>
          <w:rFonts w:ascii="Times New Roman" w:hAnsi="Times New Roman" w:cs="Times New Roman"/>
          <w:noProof/>
          <w:szCs w:val="24"/>
        </w:rPr>
        <w:t xml:space="preserve"> of the F</w:t>
      </w:r>
      <w:r w:rsidRPr="00402186">
        <w:rPr>
          <w:rFonts w:ascii="Times New Roman" w:hAnsi="Times New Roman" w:cs="Times New Roman"/>
          <w:noProof/>
          <w:szCs w:val="24"/>
        </w:rPr>
        <w:t>-gas reduction scenarios in JRC-GEM-E3</w:t>
      </w:r>
    </w:p>
    <w:p w14:paraId="6D01AC3A" w14:textId="77777777" w:rsidR="00814008" w:rsidRPr="00402186" w:rsidRDefault="00814008" w:rsidP="00225664">
      <w:pPr>
        <w:spacing w:after="120"/>
        <w:rPr>
          <w:rFonts w:eastAsia="Calibri" w:cs="Times New Roman"/>
          <w:noProof/>
          <w:szCs w:val="24"/>
        </w:rPr>
      </w:pPr>
      <w:r w:rsidRPr="00402186">
        <w:rPr>
          <w:rFonts w:eastAsia="Calibri" w:cs="Times New Roman"/>
          <w:noProof/>
          <w:szCs w:val="24"/>
        </w:rPr>
        <w:t>The JRC-GEM-E3 model is used in this impact assessment to determine the macroeconomic implications of the three scenarios, incorporating the cost implications derived from the AnaFgas model as an input. Under this set-up, the JRC-GEM-E3 model’s own representation of f-gases is not used, instead only the economic consequences arising from additional abatement cost, cost savings (e.g. from lower energy use or reduced equipment expenditure) and increased user cost (due to cost increases in end user cost due to the value of the HFC quota) are represented in the model.</w:t>
      </w:r>
    </w:p>
    <w:p w14:paraId="743916CB" w14:textId="77777777" w:rsidR="00814008" w:rsidRPr="00402186" w:rsidRDefault="00814008" w:rsidP="00225664">
      <w:pPr>
        <w:spacing w:after="120"/>
        <w:rPr>
          <w:rFonts w:eastAsia="Calibri" w:cs="Times New Roman"/>
          <w:noProof/>
          <w:szCs w:val="24"/>
        </w:rPr>
      </w:pPr>
      <w:r w:rsidRPr="00402186">
        <w:rPr>
          <w:rFonts w:eastAsia="Calibri" w:cs="Times New Roman"/>
          <w:noProof/>
          <w:szCs w:val="24"/>
        </w:rPr>
        <w:t>In this impact assessment (and contrary to the set-up chosen in the 2012 impact assessment</w:t>
      </w:r>
      <w:r w:rsidRPr="00402186">
        <w:rPr>
          <w:rFonts w:eastAsia="Calibri" w:cs="Times New Roman"/>
          <w:noProof/>
          <w:szCs w:val="24"/>
          <w:vertAlign w:val="superscript"/>
        </w:rPr>
        <w:footnoteReference w:id="146"/>
      </w:r>
      <w:r w:rsidRPr="00402186">
        <w:rPr>
          <w:rFonts w:eastAsia="Calibri" w:cs="Times New Roman"/>
          <w:noProof/>
          <w:szCs w:val="24"/>
        </w:rPr>
        <w:t>), an end user perspective is taken. The modelling allocates the burden of abatement and the changes in costs on end users. Compared to an upstream modelling approach which models the cost of f-gas abatement on the chemical sector, this approach better targets the limited number of specific downstream sectors that are affected.</w:t>
      </w:r>
      <w:r w:rsidRPr="00402186">
        <w:rPr>
          <w:rFonts w:eastAsia="Calibri" w:cs="Times New Roman"/>
          <w:noProof/>
          <w:szCs w:val="24"/>
          <w:vertAlign w:val="superscript"/>
        </w:rPr>
        <w:footnoteReference w:id="147"/>
      </w:r>
      <w:r w:rsidRPr="00402186">
        <w:rPr>
          <w:rFonts w:eastAsia="Calibri" w:cs="Times New Roman"/>
          <w:noProof/>
          <w:szCs w:val="24"/>
        </w:rPr>
        <w:t xml:space="preserve"> Further, this approach better represents the situation with respect to trade of f-gases.</w:t>
      </w:r>
      <w:r w:rsidRPr="00402186">
        <w:rPr>
          <w:rFonts w:eastAsia="Calibri" w:cs="Times New Roman"/>
          <w:noProof/>
          <w:szCs w:val="24"/>
          <w:vertAlign w:val="superscript"/>
        </w:rPr>
        <w:footnoteReference w:id="148"/>
      </w:r>
      <w:r w:rsidRPr="00402186">
        <w:rPr>
          <w:rFonts w:eastAsia="Calibri" w:cs="Times New Roman"/>
          <w:noProof/>
          <w:szCs w:val="24"/>
        </w:rPr>
        <w:t xml:space="preserve"> The end user approach sheds light on the effects of various industries and households, taking advantage of the endogenous demand adjustments of the JRC-GEM-E3 model, which determine changes to demand for intermediate and final products. The JRC-GEM-E3 top-down modelling therefore complements the bottom-up analysis carried out in the AnaFgas model by providing a macroeconomic view, calculating effects on GDP, employment etc. Through the interlinkages between sectors, JRC-GEM-E3 further reports results on upstream sectors, such as supplies to the equipment sectors. Consistent with this approach, changes in the user cost due to a change in the value of the HFC quota are also modelled at the level of the end user, assuming a full pass through of the cost to the end user.</w:t>
      </w:r>
    </w:p>
    <w:p w14:paraId="4D2C4EF9" w14:textId="59AB6473" w:rsidR="00814008" w:rsidRPr="00402186" w:rsidRDefault="00814008" w:rsidP="00225664">
      <w:pPr>
        <w:spacing w:after="120"/>
        <w:rPr>
          <w:rFonts w:eastAsia="Calibri" w:cs="Times New Roman"/>
          <w:noProof/>
          <w:szCs w:val="24"/>
        </w:rPr>
      </w:pPr>
      <w:r w:rsidRPr="00402186">
        <w:rPr>
          <w:rFonts w:eastAsia="Calibri" w:cs="Times New Roman"/>
          <w:noProof/>
          <w:szCs w:val="24"/>
        </w:rPr>
        <w:t xml:space="preserve">The end user approach facilitates the implementation handshake between the AnaFgas model and JRC-GEM-E3 model, as the costs provided by AnaFgas are in categories of end users. The allocation of costs (or savings) to the end users in JRC-GEM-E3 is performed in two steps. First, </w:t>
      </w:r>
      <w:r w:rsidR="00FF082D">
        <w:rPr>
          <w:rFonts w:eastAsia="Calibri" w:cs="Times New Roman"/>
          <w:noProof/>
          <w:szCs w:val="24"/>
        </w:rPr>
        <w:t>end-user</w:t>
      </w:r>
      <w:r w:rsidR="00C60667">
        <w:rPr>
          <w:rFonts w:eastAsia="Calibri" w:cs="Times New Roman"/>
          <w:noProof/>
          <w:szCs w:val="24"/>
        </w:rPr>
        <w:t>s</w:t>
      </w:r>
      <w:r w:rsidRPr="00402186">
        <w:rPr>
          <w:rFonts w:eastAsia="Calibri" w:cs="Times New Roman"/>
          <w:noProof/>
          <w:szCs w:val="24"/>
        </w:rPr>
        <w:t xml:space="preserve"> of the technologies covered by AnaFgas inputs are mapped to the various agents (sectors, households) in the JRC-GEM-E3 model. Second, the costs are allocated across the EU-27 Member States using population, or alternative indicators when available. This downscaling of EU aggregate numbers allows reporting impacts for the EU North and South regions. Cost increases (or decreases) for each category are reported by AnaFgas in five categories (chemicals, equipment, services, energy, and user cost due to the HFC quota) which are mapped to the corresponding JRC-GEM-E3 sectors.</w:t>
      </w:r>
      <w:r w:rsidRPr="00402186">
        <w:rPr>
          <w:rFonts w:eastAsia="Calibri" w:cs="Times New Roman"/>
          <w:noProof/>
          <w:szCs w:val="24"/>
          <w:vertAlign w:val="superscript"/>
        </w:rPr>
        <w:footnoteReference w:id="149"/>
      </w:r>
      <w:r w:rsidRPr="00402186">
        <w:rPr>
          <w:rFonts w:eastAsia="Calibri" w:cs="Times New Roman"/>
          <w:noProof/>
          <w:szCs w:val="24"/>
        </w:rPr>
        <w:t xml:space="preserve"> The additional purchases (savings) required for abatement are then available in a two-dimensional variable capturing the provider and end user of abatement, which can be readily used in the JRC-GEM-E3 model equations.</w:t>
      </w:r>
      <w:r w:rsidRPr="00402186">
        <w:rPr>
          <w:rFonts w:eastAsia="Calibri" w:cs="Times New Roman"/>
          <w:noProof/>
          <w:szCs w:val="24"/>
          <w:vertAlign w:val="superscript"/>
        </w:rPr>
        <w:footnoteReference w:id="150"/>
      </w:r>
      <w:r w:rsidRPr="00402186">
        <w:rPr>
          <w:rFonts w:eastAsia="Calibri" w:cs="Times New Roman"/>
          <w:noProof/>
          <w:szCs w:val="24"/>
        </w:rPr>
        <w:t xml:space="preserve"> Additional purchase requirements increase the demand from sectors providing abatement and increase the cost of the end use products while the opposite holds true for cost reductions.</w:t>
      </w:r>
    </w:p>
    <w:p w14:paraId="37DE8F95" w14:textId="77777777" w:rsidR="00814008" w:rsidRPr="00814008" w:rsidRDefault="00814008" w:rsidP="00814008">
      <w:pPr>
        <w:spacing w:line="240" w:lineRule="auto"/>
        <w:rPr>
          <w:rFonts w:eastAsia="Calibri" w:cs="Times New Roman"/>
          <w:noProof/>
        </w:rPr>
        <w:sectPr w:rsidR="00814008" w:rsidRPr="00814008" w:rsidSect="0030662A">
          <w:headerReference w:type="even" r:id="rId61"/>
          <w:headerReference w:type="default" r:id="rId62"/>
          <w:footerReference w:type="even" r:id="rId63"/>
          <w:footerReference w:type="default" r:id="rId64"/>
          <w:headerReference w:type="first" r:id="rId65"/>
          <w:footerReference w:type="first" r:id="rId66"/>
          <w:pgSz w:w="11906" w:h="16838"/>
          <w:pgMar w:top="1440" w:right="1440" w:bottom="1440" w:left="1440" w:header="708" w:footer="708" w:gutter="0"/>
          <w:cols w:space="708"/>
          <w:docGrid w:linePitch="360"/>
        </w:sectPr>
      </w:pPr>
    </w:p>
    <w:p w14:paraId="70371AE5" w14:textId="3E1D7A8E" w:rsidR="00814008" w:rsidRPr="00402186" w:rsidRDefault="00A87143" w:rsidP="00A87143">
      <w:pPr>
        <w:pStyle w:val="Caption"/>
        <w:rPr>
          <w:rFonts w:asciiTheme="minorHAnsi" w:eastAsia="Calibri" w:hAnsiTheme="minorHAnsi" w:cs="Times New Roman"/>
          <w:i/>
          <w:iCs w:val="0"/>
          <w:noProof/>
          <w:szCs w:val="24"/>
          <w:highlight w:val="yellow"/>
        </w:rPr>
      </w:pPr>
      <w:r w:rsidRPr="00402186">
        <w:rPr>
          <w:rFonts w:asciiTheme="minorHAnsi" w:hAnsiTheme="minorHAnsi"/>
          <w:b/>
          <w:noProof/>
        </w:rPr>
        <w:t xml:space="preserve">Table </w:t>
      </w:r>
      <w:r w:rsidR="00402186">
        <w:rPr>
          <w:rFonts w:asciiTheme="minorHAnsi" w:hAnsiTheme="minorHAnsi"/>
          <w:b/>
          <w:noProof/>
        </w:rPr>
        <w:fldChar w:fldCharType="begin"/>
      </w:r>
      <w:r w:rsidR="00402186">
        <w:rPr>
          <w:rFonts w:asciiTheme="minorHAnsi" w:hAnsiTheme="minorHAnsi"/>
          <w:b/>
          <w:noProof/>
        </w:rPr>
        <w:instrText xml:space="preserve"> SEQ Table \* ARABIC </w:instrText>
      </w:r>
      <w:r w:rsidR="00402186">
        <w:rPr>
          <w:rFonts w:asciiTheme="minorHAnsi" w:hAnsiTheme="minorHAnsi"/>
          <w:b/>
          <w:noProof/>
        </w:rPr>
        <w:fldChar w:fldCharType="separate"/>
      </w:r>
      <w:r w:rsidR="00830261">
        <w:rPr>
          <w:rFonts w:asciiTheme="minorHAnsi" w:hAnsiTheme="minorHAnsi"/>
          <w:b/>
          <w:noProof/>
        </w:rPr>
        <w:t>21</w:t>
      </w:r>
      <w:r w:rsidR="00402186">
        <w:rPr>
          <w:rFonts w:asciiTheme="minorHAnsi" w:hAnsiTheme="minorHAnsi"/>
          <w:b/>
          <w:noProof/>
        </w:rPr>
        <w:fldChar w:fldCharType="end"/>
      </w:r>
      <w:r w:rsidR="00402186" w:rsidRPr="00402186">
        <w:rPr>
          <w:rFonts w:asciiTheme="minorHAnsi" w:eastAsia="Calibri" w:hAnsiTheme="minorHAnsi" w:cs="Times New Roman"/>
          <w:b/>
          <w:iCs w:val="0"/>
          <w:noProof/>
          <w:szCs w:val="24"/>
        </w:rPr>
        <w:t>.</w:t>
      </w:r>
      <w:r w:rsidR="00814008" w:rsidRPr="00402186">
        <w:rPr>
          <w:rFonts w:asciiTheme="minorHAnsi" w:eastAsia="Calibri" w:hAnsiTheme="minorHAnsi" w:cs="Times New Roman"/>
          <w:b/>
          <w:iCs w:val="0"/>
          <w:noProof/>
          <w:szCs w:val="24"/>
        </w:rPr>
        <w:t xml:space="preserve"> </w:t>
      </w:r>
      <w:r w:rsidR="00814008" w:rsidRPr="00402186">
        <w:rPr>
          <w:rFonts w:asciiTheme="minorHAnsi" w:eastAsia="Calibri" w:hAnsiTheme="minorHAnsi" w:cs="Times New Roman"/>
          <w:iCs w:val="0"/>
          <w:noProof/>
          <w:szCs w:val="24"/>
        </w:rPr>
        <w:t>Mapping of AnaFgas model sectors to</w:t>
      </w:r>
      <w:r w:rsidR="00402186">
        <w:rPr>
          <w:rFonts w:asciiTheme="minorHAnsi" w:eastAsia="Calibri" w:hAnsiTheme="minorHAnsi" w:cs="Times New Roman"/>
          <w:iCs w:val="0"/>
          <w:noProof/>
          <w:szCs w:val="24"/>
        </w:rPr>
        <w:t xml:space="preserve"> JRC-GEM-E3 sectors and regions</w:t>
      </w:r>
    </w:p>
    <w:tbl>
      <w:tblPr>
        <w:tblStyle w:val="GridTable1Light1"/>
        <w:tblW w:w="4748" w:type="pct"/>
        <w:tblLayout w:type="fixed"/>
        <w:tblLook w:val="04A0" w:firstRow="1" w:lastRow="0" w:firstColumn="1" w:lastColumn="0" w:noHBand="0" w:noVBand="1"/>
      </w:tblPr>
      <w:tblGrid>
        <w:gridCol w:w="2305"/>
        <w:gridCol w:w="1619"/>
        <w:gridCol w:w="3018"/>
        <w:gridCol w:w="3850"/>
        <w:gridCol w:w="2668"/>
      </w:tblGrid>
      <w:tr w:rsidR="00A87143" w:rsidRPr="00814008" w14:paraId="41E6CB53" w14:textId="77777777" w:rsidTr="00A87143">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56" w:type="pct"/>
            <w:hideMark/>
          </w:tcPr>
          <w:p w14:paraId="0D0FC63F" w14:textId="77777777" w:rsidR="00A87143" w:rsidRPr="00814008" w:rsidRDefault="00A87143" w:rsidP="00814008">
            <w:pPr>
              <w:jc w:val="left"/>
              <w:rPr>
                <w:noProof/>
                <w:sz w:val="18"/>
                <w:lang w:eastAsia="en-GB"/>
              </w:rPr>
            </w:pPr>
            <w:r w:rsidRPr="00814008">
              <w:rPr>
                <w:noProof/>
                <w:sz w:val="18"/>
                <w:lang w:eastAsia="en-GB"/>
              </w:rPr>
              <w:t>AnaFgas sector</w:t>
            </w:r>
          </w:p>
        </w:tc>
        <w:tc>
          <w:tcPr>
            <w:tcW w:w="601" w:type="pct"/>
            <w:hideMark/>
          </w:tcPr>
          <w:p w14:paraId="31350686" w14:textId="77777777" w:rsidR="00A87143" w:rsidRPr="00814008" w:rsidRDefault="00A87143" w:rsidP="00814008">
            <w:pPr>
              <w:jc w:val="left"/>
              <w:cnfStyle w:val="100000000000" w:firstRow="1"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Equipment operators / end users</w:t>
            </w:r>
          </w:p>
        </w:tc>
        <w:tc>
          <w:tcPr>
            <w:tcW w:w="1121" w:type="pct"/>
            <w:hideMark/>
          </w:tcPr>
          <w:p w14:paraId="5A481FE4" w14:textId="77777777" w:rsidR="00A87143" w:rsidRPr="00814008" w:rsidRDefault="00A87143" w:rsidP="00814008">
            <w:pPr>
              <w:jc w:val="left"/>
              <w:cnfStyle w:val="100000000000" w:firstRow="1"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Correspondence with JRC-GEM-E3 end users</w:t>
            </w:r>
          </w:p>
        </w:tc>
        <w:tc>
          <w:tcPr>
            <w:tcW w:w="1430" w:type="pct"/>
            <w:hideMark/>
          </w:tcPr>
          <w:p w14:paraId="1BFC462C" w14:textId="77777777" w:rsidR="00A87143" w:rsidRPr="00814008" w:rsidRDefault="00A87143" w:rsidP="00814008">
            <w:pPr>
              <w:jc w:val="left"/>
              <w:cnfStyle w:val="100000000000" w:firstRow="1"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Indicator used for allocation to Member States</w:t>
            </w:r>
          </w:p>
        </w:tc>
        <w:tc>
          <w:tcPr>
            <w:tcW w:w="991" w:type="pct"/>
            <w:hideMark/>
          </w:tcPr>
          <w:p w14:paraId="381CBF61" w14:textId="77777777" w:rsidR="00A87143" w:rsidRPr="00814008" w:rsidRDefault="00A87143" w:rsidP="00814008">
            <w:pPr>
              <w:jc w:val="left"/>
              <w:cnfStyle w:val="100000000000" w:firstRow="1"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 xml:space="preserve">Source for indicator </w:t>
            </w:r>
          </w:p>
        </w:tc>
      </w:tr>
      <w:tr w:rsidR="00A87143" w:rsidRPr="00814008" w14:paraId="1C5D2B03" w14:textId="77777777" w:rsidTr="00A87143">
        <w:trPr>
          <w:trHeight w:val="255"/>
        </w:trPr>
        <w:tc>
          <w:tcPr>
            <w:cnfStyle w:val="001000000000" w:firstRow="0" w:lastRow="0" w:firstColumn="1" w:lastColumn="0" w:oddVBand="0" w:evenVBand="0" w:oddHBand="0" w:evenHBand="0" w:firstRowFirstColumn="0" w:firstRowLastColumn="0" w:lastRowFirstColumn="0" w:lastRowLastColumn="0"/>
            <w:tcW w:w="856" w:type="pct"/>
            <w:noWrap/>
            <w:hideMark/>
          </w:tcPr>
          <w:p w14:paraId="4E12F5E2" w14:textId="77777777" w:rsidR="00A87143" w:rsidRPr="00814008" w:rsidRDefault="00A87143" w:rsidP="00814008">
            <w:pPr>
              <w:jc w:val="left"/>
              <w:rPr>
                <w:noProof/>
                <w:sz w:val="18"/>
                <w:lang w:eastAsia="en-GB"/>
              </w:rPr>
            </w:pPr>
            <w:r w:rsidRPr="00814008">
              <w:rPr>
                <w:noProof/>
                <w:sz w:val="18"/>
                <w:lang w:eastAsia="en-GB"/>
              </w:rPr>
              <w:t>Domestic Refrigeration</w:t>
            </w:r>
          </w:p>
        </w:tc>
        <w:tc>
          <w:tcPr>
            <w:tcW w:w="601" w:type="pct"/>
            <w:hideMark/>
          </w:tcPr>
          <w:p w14:paraId="486FCAEC"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Private Households</w:t>
            </w:r>
          </w:p>
        </w:tc>
        <w:tc>
          <w:tcPr>
            <w:tcW w:w="1121" w:type="pct"/>
            <w:noWrap/>
            <w:hideMark/>
          </w:tcPr>
          <w:p w14:paraId="03C8A830"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Households (purchase of appliances)</w:t>
            </w:r>
          </w:p>
        </w:tc>
        <w:tc>
          <w:tcPr>
            <w:tcW w:w="1430" w:type="pct"/>
            <w:noWrap/>
            <w:hideMark/>
          </w:tcPr>
          <w:p w14:paraId="43E8F4DB"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Population</w:t>
            </w:r>
          </w:p>
        </w:tc>
        <w:tc>
          <w:tcPr>
            <w:tcW w:w="991" w:type="pct"/>
            <w:noWrap/>
            <w:hideMark/>
          </w:tcPr>
          <w:p w14:paraId="5B0650F8"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European Commission 2021 Ageing Report</w:t>
            </w:r>
          </w:p>
        </w:tc>
      </w:tr>
      <w:tr w:rsidR="00A87143" w:rsidRPr="00814008" w14:paraId="753E5A28" w14:textId="77777777" w:rsidTr="00A87143">
        <w:trPr>
          <w:trHeight w:val="255"/>
        </w:trPr>
        <w:tc>
          <w:tcPr>
            <w:cnfStyle w:val="001000000000" w:firstRow="0" w:lastRow="0" w:firstColumn="1" w:lastColumn="0" w:oddVBand="0" w:evenVBand="0" w:oddHBand="0" w:evenHBand="0" w:firstRowFirstColumn="0" w:firstRowLastColumn="0" w:lastRowFirstColumn="0" w:lastRowLastColumn="0"/>
            <w:tcW w:w="856" w:type="pct"/>
            <w:noWrap/>
            <w:hideMark/>
          </w:tcPr>
          <w:p w14:paraId="3D47E1AA" w14:textId="77777777" w:rsidR="00A87143" w:rsidRPr="00814008" w:rsidRDefault="00A87143" w:rsidP="00814008">
            <w:pPr>
              <w:jc w:val="left"/>
              <w:rPr>
                <w:noProof/>
                <w:sz w:val="18"/>
                <w:lang w:eastAsia="en-GB"/>
              </w:rPr>
            </w:pPr>
            <w:r w:rsidRPr="00814008">
              <w:rPr>
                <w:noProof/>
                <w:sz w:val="18"/>
                <w:lang w:eastAsia="en-GB"/>
              </w:rPr>
              <w:t>Commercial refrigeration - Hermetics</w:t>
            </w:r>
          </w:p>
        </w:tc>
        <w:tc>
          <w:tcPr>
            <w:tcW w:w="601" w:type="pct"/>
            <w:vMerge w:val="restart"/>
            <w:hideMark/>
          </w:tcPr>
          <w:p w14:paraId="09A90CDB"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Commerce: Sale of food to customers</w:t>
            </w:r>
          </w:p>
        </w:tc>
        <w:tc>
          <w:tcPr>
            <w:tcW w:w="1121" w:type="pct"/>
            <w:noWrap/>
            <w:hideMark/>
          </w:tcPr>
          <w:p w14:paraId="355ED5B9"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Market Services</w:t>
            </w:r>
          </w:p>
        </w:tc>
        <w:tc>
          <w:tcPr>
            <w:tcW w:w="1430" w:type="pct"/>
            <w:noWrap/>
            <w:hideMark/>
          </w:tcPr>
          <w:p w14:paraId="1239DB79"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Population</w:t>
            </w:r>
          </w:p>
        </w:tc>
        <w:tc>
          <w:tcPr>
            <w:tcW w:w="991" w:type="pct"/>
            <w:noWrap/>
            <w:hideMark/>
          </w:tcPr>
          <w:p w14:paraId="50A56C73"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European Commission 2021 Ageing Report</w:t>
            </w:r>
          </w:p>
        </w:tc>
      </w:tr>
      <w:tr w:rsidR="00A87143" w:rsidRPr="00814008" w14:paraId="51228C3F" w14:textId="77777777" w:rsidTr="00A87143">
        <w:trPr>
          <w:trHeight w:val="255"/>
        </w:trPr>
        <w:tc>
          <w:tcPr>
            <w:cnfStyle w:val="001000000000" w:firstRow="0" w:lastRow="0" w:firstColumn="1" w:lastColumn="0" w:oddVBand="0" w:evenVBand="0" w:oddHBand="0" w:evenHBand="0" w:firstRowFirstColumn="0" w:firstRowLastColumn="0" w:lastRowFirstColumn="0" w:lastRowLastColumn="0"/>
            <w:tcW w:w="856" w:type="pct"/>
            <w:noWrap/>
            <w:hideMark/>
          </w:tcPr>
          <w:p w14:paraId="74159D53" w14:textId="77777777" w:rsidR="00A87143" w:rsidRPr="00814008" w:rsidRDefault="00A87143" w:rsidP="00814008">
            <w:pPr>
              <w:jc w:val="left"/>
              <w:rPr>
                <w:noProof/>
                <w:sz w:val="18"/>
                <w:lang w:eastAsia="en-GB"/>
              </w:rPr>
            </w:pPr>
            <w:r w:rsidRPr="00814008">
              <w:rPr>
                <w:noProof/>
                <w:sz w:val="18"/>
                <w:lang w:eastAsia="en-GB"/>
              </w:rPr>
              <w:t>Commercial refrigeration - Condensing units</w:t>
            </w:r>
          </w:p>
        </w:tc>
        <w:tc>
          <w:tcPr>
            <w:tcW w:w="601" w:type="pct"/>
            <w:vMerge/>
            <w:hideMark/>
          </w:tcPr>
          <w:p w14:paraId="7C416F76"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p>
        </w:tc>
        <w:tc>
          <w:tcPr>
            <w:tcW w:w="1121" w:type="pct"/>
            <w:noWrap/>
            <w:hideMark/>
          </w:tcPr>
          <w:p w14:paraId="755DFAE0"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Market Services</w:t>
            </w:r>
          </w:p>
        </w:tc>
        <w:tc>
          <w:tcPr>
            <w:tcW w:w="1430" w:type="pct"/>
            <w:noWrap/>
            <w:hideMark/>
          </w:tcPr>
          <w:p w14:paraId="316E4AB4"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Population</w:t>
            </w:r>
          </w:p>
        </w:tc>
        <w:tc>
          <w:tcPr>
            <w:tcW w:w="991" w:type="pct"/>
            <w:noWrap/>
            <w:hideMark/>
          </w:tcPr>
          <w:p w14:paraId="6F34A172"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European Commission 2021 Ageing Report</w:t>
            </w:r>
          </w:p>
        </w:tc>
      </w:tr>
      <w:tr w:rsidR="00A87143" w:rsidRPr="00814008" w14:paraId="649BBC1E" w14:textId="77777777" w:rsidTr="00A87143">
        <w:trPr>
          <w:trHeight w:val="255"/>
        </w:trPr>
        <w:tc>
          <w:tcPr>
            <w:cnfStyle w:val="001000000000" w:firstRow="0" w:lastRow="0" w:firstColumn="1" w:lastColumn="0" w:oddVBand="0" w:evenVBand="0" w:oddHBand="0" w:evenHBand="0" w:firstRowFirstColumn="0" w:firstRowLastColumn="0" w:lastRowFirstColumn="0" w:lastRowLastColumn="0"/>
            <w:tcW w:w="856" w:type="pct"/>
            <w:noWrap/>
            <w:hideMark/>
          </w:tcPr>
          <w:p w14:paraId="356B3437" w14:textId="77777777" w:rsidR="00A87143" w:rsidRPr="00814008" w:rsidRDefault="00A87143" w:rsidP="00814008">
            <w:pPr>
              <w:jc w:val="left"/>
              <w:rPr>
                <w:noProof/>
                <w:sz w:val="18"/>
                <w:lang w:eastAsia="en-GB"/>
              </w:rPr>
            </w:pPr>
            <w:r w:rsidRPr="00814008">
              <w:rPr>
                <w:noProof/>
                <w:sz w:val="18"/>
                <w:lang w:eastAsia="en-GB"/>
              </w:rPr>
              <w:t>Commercial refrigeration - Central systems</w:t>
            </w:r>
          </w:p>
        </w:tc>
        <w:tc>
          <w:tcPr>
            <w:tcW w:w="601" w:type="pct"/>
            <w:vMerge/>
            <w:hideMark/>
          </w:tcPr>
          <w:p w14:paraId="6CBEE7F6"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p>
        </w:tc>
        <w:tc>
          <w:tcPr>
            <w:tcW w:w="1121" w:type="pct"/>
            <w:noWrap/>
            <w:hideMark/>
          </w:tcPr>
          <w:p w14:paraId="72D5BB3B"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Market Services</w:t>
            </w:r>
          </w:p>
        </w:tc>
        <w:tc>
          <w:tcPr>
            <w:tcW w:w="1430" w:type="pct"/>
            <w:noWrap/>
            <w:hideMark/>
          </w:tcPr>
          <w:p w14:paraId="0C7CB1CF"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Population</w:t>
            </w:r>
          </w:p>
        </w:tc>
        <w:tc>
          <w:tcPr>
            <w:tcW w:w="991" w:type="pct"/>
            <w:noWrap/>
            <w:hideMark/>
          </w:tcPr>
          <w:p w14:paraId="26BE10EB"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European Commission 2021 Ageing Report</w:t>
            </w:r>
          </w:p>
        </w:tc>
      </w:tr>
      <w:tr w:rsidR="00A87143" w:rsidRPr="00814008" w14:paraId="31F65A24" w14:textId="77777777" w:rsidTr="00A87143">
        <w:trPr>
          <w:trHeight w:val="255"/>
        </w:trPr>
        <w:tc>
          <w:tcPr>
            <w:cnfStyle w:val="001000000000" w:firstRow="0" w:lastRow="0" w:firstColumn="1" w:lastColumn="0" w:oddVBand="0" w:evenVBand="0" w:oddHBand="0" w:evenHBand="0" w:firstRowFirstColumn="0" w:firstRowLastColumn="0" w:lastRowFirstColumn="0" w:lastRowLastColumn="0"/>
            <w:tcW w:w="856" w:type="pct"/>
            <w:noWrap/>
            <w:hideMark/>
          </w:tcPr>
          <w:p w14:paraId="458CC64E" w14:textId="77777777" w:rsidR="00A87143" w:rsidRPr="00814008" w:rsidRDefault="00A87143" w:rsidP="00814008">
            <w:pPr>
              <w:jc w:val="left"/>
              <w:rPr>
                <w:noProof/>
                <w:sz w:val="18"/>
                <w:lang w:eastAsia="en-GB"/>
              </w:rPr>
            </w:pPr>
            <w:r w:rsidRPr="00814008">
              <w:rPr>
                <w:noProof/>
                <w:sz w:val="18"/>
                <w:lang w:eastAsia="en-GB"/>
              </w:rPr>
              <w:t>Industrial refrigeration - small</w:t>
            </w:r>
          </w:p>
        </w:tc>
        <w:tc>
          <w:tcPr>
            <w:tcW w:w="601" w:type="pct"/>
            <w:vMerge w:val="restart"/>
            <w:hideMark/>
          </w:tcPr>
          <w:p w14:paraId="44A07E65"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Cold storage in food industry and by retailers</w:t>
            </w:r>
          </w:p>
        </w:tc>
        <w:tc>
          <w:tcPr>
            <w:tcW w:w="1121" w:type="pct"/>
            <w:noWrap/>
            <w:hideMark/>
          </w:tcPr>
          <w:p w14:paraId="5C1DBD49"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Consumer goods (50%) &amp; Market Services (50%)</w:t>
            </w:r>
          </w:p>
        </w:tc>
        <w:tc>
          <w:tcPr>
            <w:tcW w:w="1430" w:type="pct"/>
            <w:noWrap/>
            <w:hideMark/>
          </w:tcPr>
          <w:p w14:paraId="7BF37621"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Population</w:t>
            </w:r>
          </w:p>
        </w:tc>
        <w:tc>
          <w:tcPr>
            <w:tcW w:w="991" w:type="pct"/>
            <w:noWrap/>
            <w:hideMark/>
          </w:tcPr>
          <w:p w14:paraId="4607BD4F"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European Commission 2021 Ageing Report</w:t>
            </w:r>
          </w:p>
        </w:tc>
      </w:tr>
      <w:tr w:rsidR="00A87143" w:rsidRPr="00814008" w14:paraId="0AF9E7F6" w14:textId="77777777" w:rsidTr="00A87143">
        <w:trPr>
          <w:trHeight w:val="255"/>
        </w:trPr>
        <w:tc>
          <w:tcPr>
            <w:cnfStyle w:val="001000000000" w:firstRow="0" w:lastRow="0" w:firstColumn="1" w:lastColumn="0" w:oddVBand="0" w:evenVBand="0" w:oddHBand="0" w:evenHBand="0" w:firstRowFirstColumn="0" w:firstRowLastColumn="0" w:lastRowFirstColumn="0" w:lastRowLastColumn="0"/>
            <w:tcW w:w="856" w:type="pct"/>
            <w:noWrap/>
            <w:hideMark/>
          </w:tcPr>
          <w:p w14:paraId="52ECD3C5" w14:textId="77777777" w:rsidR="00A87143" w:rsidRPr="00814008" w:rsidRDefault="00A87143" w:rsidP="00814008">
            <w:pPr>
              <w:jc w:val="left"/>
              <w:rPr>
                <w:noProof/>
                <w:sz w:val="18"/>
                <w:lang w:eastAsia="en-GB"/>
              </w:rPr>
            </w:pPr>
            <w:r w:rsidRPr="00814008">
              <w:rPr>
                <w:noProof/>
                <w:sz w:val="18"/>
                <w:lang w:eastAsia="en-GB"/>
              </w:rPr>
              <w:t>Industrial refrigeration - large</w:t>
            </w:r>
          </w:p>
        </w:tc>
        <w:tc>
          <w:tcPr>
            <w:tcW w:w="601" w:type="pct"/>
            <w:vMerge/>
            <w:hideMark/>
          </w:tcPr>
          <w:p w14:paraId="62850B59"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p>
        </w:tc>
        <w:tc>
          <w:tcPr>
            <w:tcW w:w="1121" w:type="pct"/>
            <w:noWrap/>
            <w:hideMark/>
          </w:tcPr>
          <w:p w14:paraId="25114CEB"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Consumer goods (50%) &amp; Market Services (50%)</w:t>
            </w:r>
          </w:p>
        </w:tc>
        <w:tc>
          <w:tcPr>
            <w:tcW w:w="1430" w:type="pct"/>
            <w:noWrap/>
            <w:hideMark/>
          </w:tcPr>
          <w:p w14:paraId="23C0A951"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Population</w:t>
            </w:r>
          </w:p>
        </w:tc>
        <w:tc>
          <w:tcPr>
            <w:tcW w:w="991" w:type="pct"/>
            <w:noWrap/>
            <w:hideMark/>
          </w:tcPr>
          <w:p w14:paraId="312C4904"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European Commission 2021 Ageing Report</w:t>
            </w:r>
          </w:p>
        </w:tc>
      </w:tr>
      <w:tr w:rsidR="00A87143" w:rsidRPr="00814008" w14:paraId="4B4495E6" w14:textId="77777777" w:rsidTr="00A87143">
        <w:trPr>
          <w:trHeight w:val="255"/>
        </w:trPr>
        <w:tc>
          <w:tcPr>
            <w:cnfStyle w:val="001000000000" w:firstRow="0" w:lastRow="0" w:firstColumn="1" w:lastColumn="0" w:oddVBand="0" w:evenVBand="0" w:oddHBand="0" w:evenHBand="0" w:firstRowFirstColumn="0" w:firstRowLastColumn="0" w:lastRowFirstColumn="0" w:lastRowLastColumn="0"/>
            <w:tcW w:w="856" w:type="pct"/>
            <w:noWrap/>
            <w:hideMark/>
          </w:tcPr>
          <w:p w14:paraId="3044831D" w14:textId="77777777" w:rsidR="00A87143" w:rsidRPr="00814008" w:rsidRDefault="00A87143" w:rsidP="00814008">
            <w:pPr>
              <w:jc w:val="left"/>
              <w:rPr>
                <w:noProof/>
                <w:sz w:val="18"/>
                <w:lang w:eastAsia="en-GB"/>
              </w:rPr>
            </w:pPr>
            <w:r w:rsidRPr="00814008">
              <w:rPr>
                <w:noProof/>
                <w:sz w:val="18"/>
                <w:lang w:eastAsia="en-GB"/>
              </w:rPr>
              <w:t>Transport refrigeration - Vans</w:t>
            </w:r>
          </w:p>
        </w:tc>
        <w:tc>
          <w:tcPr>
            <w:tcW w:w="601" w:type="pct"/>
            <w:vMerge w:val="restart"/>
            <w:hideMark/>
          </w:tcPr>
          <w:p w14:paraId="4F66B298"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Distribution &amp; delivery of food</w:t>
            </w:r>
          </w:p>
        </w:tc>
        <w:tc>
          <w:tcPr>
            <w:tcW w:w="1121" w:type="pct"/>
            <w:noWrap/>
            <w:hideMark/>
          </w:tcPr>
          <w:p w14:paraId="31DE60DD"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Market Services</w:t>
            </w:r>
          </w:p>
        </w:tc>
        <w:tc>
          <w:tcPr>
            <w:tcW w:w="1430" w:type="pct"/>
            <w:noWrap/>
            <w:hideMark/>
          </w:tcPr>
          <w:p w14:paraId="3B36CA7D"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Population</w:t>
            </w:r>
          </w:p>
        </w:tc>
        <w:tc>
          <w:tcPr>
            <w:tcW w:w="991" w:type="pct"/>
            <w:noWrap/>
            <w:hideMark/>
          </w:tcPr>
          <w:p w14:paraId="4002ECD6"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European Commission 2021 Ageing Report</w:t>
            </w:r>
          </w:p>
        </w:tc>
      </w:tr>
      <w:tr w:rsidR="00A87143" w:rsidRPr="00814008" w14:paraId="22F86859" w14:textId="77777777" w:rsidTr="00A87143">
        <w:trPr>
          <w:trHeight w:val="255"/>
        </w:trPr>
        <w:tc>
          <w:tcPr>
            <w:cnfStyle w:val="001000000000" w:firstRow="0" w:lastRow="0" w:firstColumn="1" w:lastColumn="0" w:oddVBand="0" w:evenVBand="0" w:oddHBand="0" w:evenHBand="0" w:firstRowFirstColumn="0" w:firstRowLastColumn="0" w:lastRowFirstColumn="0" w:lastRowLastColumn="0"/>
            <w:tcW w:w="856" w:type="pct"/>
            <w:noWrap/>
            <w:hideMark/>
          </w:tcPr>
          <w:p w14:paraId="21376F53" w14:textId="77777777" w:rsidR="00A87143" w:rsidRPr="00814008" w:rsidRDefault="00A87143" w:rsidP="00814008">
            <w:pPr>
              <w:jc w:val="left"/>
              <w:rPr>
                <w:noProof/>
                <w:sz w:val="18"/>
                <w:lang w:eastAsia="en-GB"/>
              </w:rPr>
            </w:pPr>
            <w:r w:rsidRPr="00814008">
              <w:rPr>
                <w:noProof/>
                <w:sz w:val="18"/>
                <w:lang w:eastAsia="en-GB"/>
              </w:rPr>
              <w:t>Transport refrigeration - Trucks &amp; Trailers</w:t>
            </w:r>
          </w:p>
        </w:tc>
        <w:tc>
          <w:tcPr>
            <w:tcW w:w="601" w:type="pct"/>
            <w:vMerge/>
            <w:hideMark/>
          </w:tcPr>
          <w:p w14:paraId="66B683AA"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p>
        </w:tc>
        <w:tc>
          <w:tcPr>
            <w:tcW w:w="1121" w:type="pct"/>
            <w:noWrap/>
            <w:hideMark/>
          </w:tcPr>
          <w:p w14:paraId="02E5F9A9"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Market Services</w:t>
            </w:r>
          </w:p>
        </w:tc>
        <w:tc>
          <w:tcPr>
            <w:tcW w:w="1430" w:type="pct"/>
            <w:noWrap/>
            <w:hideMark/>
          </w:tcPr>
          <w:p w14:paraId="4BA78742"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Population</w:t>
            </w:r>
          </w:p>
        </w:tc>
        <w:tc>
          <w:tcPr>
            <w:tcW w:w="991" w:type="pct"/>
            <w:noWrap/>
            <w:hideMark/>
          </w:tcPr>
          <w:p w14:paraId="74FCD807"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European Commission 2021 Ageing Report</w:t>
            </w:r>
          </w:p>
        </w:tc>
      </w:tr>
      <w:tr w:rsidR="00A87143" w:rsidRPr="00814008" w14:paraId="7575B45B" w14:textId="77777777" w:rsidTr="00A87143">
        <w:trPr>
          <w:trHeight w:val="255"/>
        </w:trPr>
        <w:tc>
          <w:tcPr>
            <w:cnfStyle w:val="001000000000" w:firstRow="0" w:lastRow="0" w:firstColumn="1" w:lastColumn="0" w:oddVBand="0" w:evenVBand="0" w:oddHBand="0" w:evenHBand="0" w:firstRowFirstColumn="0" w:firstRowLastColumn="0" w:lastRowFirstColumn="0" w:lastRowLastColumn="0"/>
            <w:tcW w:w="856" w:type="pct"/>
            <w:noWrap/>
            <w:hideMark/>
          </w:tcPr>
          <w:p w14:paraId="2EC7F613" w14:textId="77777777" w:rsidR="00A87143" w:rsidRPr="00814008" w:rsidRDefault="00A87143" w:rsidP="00814008">
            <w:pPr>
              <w:jc w:val="left"/>
              <w:rPr>
                <w:noProof/>
                <w:sz w:val="18"/>
                <w:lang w:eastAsia="en-GB"/>
              </w:rPr>
            </w:pPr>
            <w:r w:rsidRPr="00814008">
              <w:rPr>
                <w:noProof/>
                <w:sz w:val="18"/>
                <w:lang w:eastAsia="en-GB"/>
              </w:rPr>
              <w:t>Transport refrigeration - Ships</w:t>
            </w:r>
          </w:p>
        </w:tc>
        <w:tc>
          <w:tcPr>
            <w:tcW w:w="601" w:type="pct"/>
            <w:hideMark/>
          </w:tcPr>
          <w:p w14:paraId="48380547"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Fishing vessels</w:t>
            </w:r>
          </w:p>
        </w:tc>
        <w:tc>
          <w:tcPr>
            <w:tcW w:w="1121" w:type="pct"/>
            <w:noWrap/>
            <w:hideMark/>
          </w:tcPr>
          <w:p w14:paraId="282F4E7C"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Livestock</w:t>
            </w:r>
          </w:p>
        </w:tc>
        <w:tc>
          <w:tcPr>
            <w:tcW w:w="1430" w:type="pct"/>
            <w:noWrap/>
            <w:hideMark/>
          </w:tcPr>
          <w:p w14:paraId="39E2AEC8"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Distribution of fishing vessels by number (weight 50%) and size (weight 50%)</w:t>
            </w:r>
          </w:p>
        </w:tc>
        <w:tc>
          <w:tcPr>
            <w:tcW w:w="991" w:type="pct"/>
            <w:noWrap/>
            <w:hideMark/>
          </w:tcPr>
          <w:p w14:paraId="4858104A"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Eurostat [fish_fleet_alt]</w:t>
            </w:r>
          </w:p>
        </w:tc>
      </w:tr>
      <w:tr w:rsidR="00A87143" w:rsidRPr="00814008" w14:paraId="0F472833" w14:textId="77777777" w:rsidTr="00A87143">
        <w:trPr>
          <w:trHeight w:val="255"/>
        </w:trPr>
        <w:tc>
          <w:tcPr>
            <w:cnfStyle w:val="001000000000" w:firstRow="0" w:lastRow="0" w:firstColumn="1" w:lastColumn="0" w:oddVBand="0" w:evenVBand="0" w:oddHBand="0" w:evenHBand="0" w:firstRowFirstColumn="0" w:firstRowLastColumn="0" w:lastRowFirstColumn="0" w:lastRowLastColumn="0"/>
            <w:tcW w:w="856" w:type="pct"/>
            <w:noWrap/>
            <w:hideMark/>
          </w:tcPr>
          <w:p w14:paraId="3F950038" w14:textId="77777777" w:rsidR="00A87143" w:rsidRPr="00814008" w:rsidRDefault="00A87143" w:rsidP="00814008">
            <w:pPr>
              <w:jc w:val="left"/>
              <w:rPr>
                <w:noProof/>
                <w:sz w:val="18"/>
                <w:lang w:eastAsia="en-GB"/>
              </w:rPr>
            </w:pPr>
            <w:r w:rsidRPr="00814008">
              <w:rPr>
                <w:noProof/>
                <w:sz w:val="18"/>
                <w:lang w:eastAsia="en-GB"/>
              </w:rPr>
              <w:t>Room AC - Moveables</w:t>
            </w:r>
          </w:p>
        </w:tc>
        <w:tc>
          <w:tcPr>
            <w:tcW w:w="601" w:type="pct"/>
            <w:hideMark/>
          </w:tcPr>
          <w:p w14:paraId="5236333E"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Private homes &amp; offices,</w:t>
            </w:r>
          </w:p>
        </w:tc>
        <w:tc>
          <w:tcPr>
            <w:tcW w:w="1121" w:type="pct"/>
            <w:noWrap/>
            <w:hideMark/>
          </w:tcPr>
          <w:p w14:paraId="0458B5A2"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Households (purchase of appliances)</w:t>
            </w:r>
          </w:p>
        </w:tc>
        <w:tc>
          <w:tcPr>
            <w:tcW w:w="1430" w:type="pct"/>
            <w:noWrap/>
            <w:hideMark/>
          </w:tcPr>
          <w:p w14:paraId="5A3CAEBD"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Energy use for cooling in residential buildings</w:t>
            </w:r>
          </w:p>
        </w:tc>
        <w:tc>
          <w:tcPr>
            <w:tcW w:w="991" w:type="pct"/>
            <w:noWrap/>
            <w:hideMark/>
          </w:tcPr>
          <w:p w14:paraId="65086CEA"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EU Reference 2020</w:t>
            </w:r>
          </w:p>
        </w:tc>
      </w:tr>
      <w:tr w:rsidR="00A87143" w:rsidRPr="00814008" w14:paraId="3B88A638" w14:textId="77777777" w:rsidTr="00A87143">
        <w:trPr>
          <w:trHeight w:val="255"/>
        </w:trPr>
        <w:tc>
          <w:tcPr>
            <w:cnfStyle w:val="001000000000" w:firstRow="0" w:lastRow="0" w:firstColumn="1" w:lastColumn="0" w:oddVBand="0" w:evenVBand="0" w:oddHBand="0" w:evenHBand="0" w:firstRowFirstColumn="0" w:firstRowLastColumn="0" w:lastRowFirstColumn="0" w:lastRowLastColumn="0"/>
            <w:tcW w:w="856" w:type="pct"/>
            <w:noWrap/>
            <w:hideMark/>
          </w:tcPr>
          <w:p w14:paraId="37DDE22D" w14:textId="77777777" w:rsidR="00A87143" w:rsidRPr="00814008" w:rsidRDefault="00A87143" w:rsidP="00814008">
            <w:pPr>
              <w:jc w:val="left"/>
              <w:rPr>
                <w:noProof/>
                <w:sz w:val="18"/>
                <w:lang w:eastAsia="en-GB"/>
              </w:rPr>
            </w:pPr>
            <w:r w:rsidRPr="00814008">
              <w:rPr>
                <w:noProof/>
                <w:sz w:val="18"/>
                <w:lang w:eastAsia="en-GB"/>
              </w:rPr>
              <w:t>Room AC - Single split</w:t>
            </w:r>
          </w:p>
        </w:tc>
        <w:tc>
          <w:tcPr>
            <w:tcW w:w="601" w:type="pct"/>
            <w:hideMark/>
          </w:tcPr>
          <w:p w14:paraId="563AB449"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equipment under control of inhabitants</w:t>
            </w:r>
          </w:p>
        </w:tc>
        <w:tc>
          <w:tcPr>
            <w:tcW w:w="1121" w:type="pct"/>
            <w:noWrap/>
            <w:hideMark/>
          </w:tcPr>
          <w:p w14:paraId="2523297D"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Households (purchase of appliances)</w:t>
            </w:r>
          </w:p>
        </w:tc>
        <w:tc>
          <w:tcPr>
            <w:tcW w:w="1430" w:type="pct"/>
            <w:noWrap/>
            <w:hideMark/>
          </w:tcPr>
          <w:p w14:paraId="50FB7980"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Energy use for cooling in residential buildings</w:t>
            </w:r>
          </w:p>
        </w:tc>
        <w:tc>
          <w:tcPr>
            <w:tcW w:w="991" w:type="pct"/>
            <w:noWrap/>
            <w:hideMark/>
          </w:tcPr>
          <w:p w14:paraId="5A70FC37"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EU Reference 2020</w:t>
            </w:r>
          </w:p>
        </w:tc>
      </w:tr>
      <w:tr w:rsidR="00A87143" w:rsidRPr="00814008" w14:paraId="57F7ACB2" w14:textId="77777777" w:rsidTr="00A87143">
        <w:trPr>
          <w:trHeight w:val="255"/>
        </w:trPr>
        <w:tc>
          <w:tcPr>
            <w:cnfStyle w:val="001000000000" w:firstRow="0" w:lastRow="0" w:firstColumn="1" w:lastColumn="0" w:oddVBand="0" w:evenVBand="0" w:oddHBand="0" w:evenHBand="0" w:firstRowFirstColumn="0" w:firstRowLastColumn="0" w:lastRowFirstColumn="0" w:lastRowLastColumn="0"/>
            <w:tcW w:w="856" w:type="pct"/>
            <w:noWrap/>
            <w:hideMark/>
          </w:tcPr>
          <w:p w14:paraId="045D7CD4" w14:textId="77777777" w:rsidR="00A87143" w:rsidRPr="00814008" w:rsidRDefault="00A87143" w:rsidP="00814008">
            <w:pPr>
              <w:jc w:val="left"/>
              <w:rPr>
                <w:noProof/>
                <w:sz w:val="18"/>
                <w:lang w:eastAsia="en-GB"/>
              </w:rPr>
            </w:pPr>
            <w:r w:rsidRPr="00814008">
              <w:rPr>
                <w:noProof/>
                <w:sz w:val="18"/>
                <w:lang w:eastAsia="en-GB"/>
              </w:rPr>
              <w:t>Room AC - Rooftop</w:t>
            </w:r>
          </w:p>
        </w:tc>
        <w:tc>
          <w:tcPr>
            <w:tcW w:w="601" w:type="pct"/>
            <w:vMerge w:val="restart"/>
            <w:hideMark/>
          </w:tcPr>
          <w:p w14:paraId="118A7343"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Larger residential or commercial buildings, centrally operated equipment</w:t>
            </w:r>
          </w:p>
        </w:tc>
        <w:tc>
          <w:tcPr>
            <w:tcW w:w="1121" w:type="pct"/>
            <w:noWrap/>
            <w:hideMark/>
          </w:tcPr>
          <w:p w14:paraId="07748532"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Services (Market and non-market)</w:t>
            </w:r>
          </w:p>
        </w:tc>
        <w:tc>
          <w:tcPr>
            <w:tcW w:w="1430" w:type="pct"/>
            <w:noWrap/>
            <w:hideMark/>
          </w:tcPr>
          <w:p w14:paraId="1C2676F4"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Energy use for cooling in commercial buildings</w:t>
            </w:r>
          </w:p>
        </w:tc>
        <w:tc>
          <w:tcPr>
            <w:tcW w:w="991" w:type="pct"/>
            <w:noWrap/>
            <w:hideMark/>
          </w:tcPr>
          <w:p w14:paraId="0AAE336E"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EU Reference 2020</w:t>
            </w:r>
          </w:p>
        </w:tc>
      </w:tr>
      <w:tr w:rsidR="00A87143" w:rsidRPr="00814008" w14:paraId="0C98E498" w14:textId="77777777" w:rsidTr="00A87143">
        <w:trPr>
          <w:trHeight w:val="255"/>
        </w:trPr>
        <w:tc>
          <w:tcPr>
            <w:cnfStyle w:val="001000000000" w:firstRow="0" w:lastRow="0" w:firstColumn="1" w:lastColumn="0" w:oddVBand="0" w:evenVBand="0" w:oddHBand="0" w:evenHBand="0" w:firstRowFirstColumn="0" w:firstRowLastColumn="0" w:lastRowFirstColumn="0" w:lastRowLastColumn="0"/>
            <w:tcW w:w="856" w:type="pct"/>
            <w:noWrap/>
            <w:hideMark/>
          </w:tcPr>
          <w:p w14:paraId="53A9092C" w14:textId="77777777" w:rsidR="00A87143" w:rsidRPr="00814008" w:rsidRDefault="00A87143" w:rsidP="00814008">
            <w:pPr>
              <w:jc w:val="left"/>
              <w:rPr>
                <w:noProof/>
                <w:sz w:val="18"/>
                <w:lang w:eastAsia="en-GB"/>
              </w:rPr>
            </w:pPr>
            <w:r w:rsidRPr="00814008">
              <w:rPr>
                <w:noProof/>
                <w:sz w:val="18"/>
                <w:lang w:eastAsia="en-GB"/>
              </w:rPr>
              <w:t>Room AC - VRF</w:t>
            </w:r>
          </w:p>
        </w:tc>
        <w:tc>
          <w:tcPr>
            <w:tcW w:w="601" w:type="pct"/>
            <w:vMerge/>
            <w:hideMark/>
          </w:tcPr>
          <w:p w14:paraId="16D1B507"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p>
        </w:tc>
        <w:tc>
          <w:tcPr>
            <w:tcW w:w="1121" w:type="pct"/>
            <w:noWrap/>
            <w:hideMark/>
          </w:tcPr>
          <w:p w14:paraId="061A916F"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Services (Market and non-market)</w:t>
            </w:r>
          </w:p>
        </w:tc>
        <w:tc>
          <w:tcPr>
            <w:tcW w:w="1430" w:type="pct"/>
            <w:noWrap/>
            <w:hideMark/>
          </w:tcPr>
          <w:p w14:paraId="4449F22A"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Energy use for cooling in commercial buildings</w:t>
            </w:r>
          </w:p>
        </w:tc>
        <w:tc>
          <w:tcPr>
            <w:tcW w:w="991" w:type="pct"/>
            <w:noWrap/>
            <w:hideMark/>
          </w:tcPr>
          <w:p w14:paraId="63DC20DA"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EU Reference 2020</w:t>
            </w:r>
          </w:p>
          <w:p w14:paraId="0EE5451B" w14:textId="77777777" w:rsidR="00A87143" w:rsidRPr="00814008" w:rsidRDefault="00A87143" w:rsidP="00814008">
            <w:pPr>
              <w:spacing w:after="200"/>
              <w:jc w:val="center"/>
              <w:cnfStyle w:val="000000000000" w:firstRow="0" w:lastRow="0" w:firstColumn="0" w:lastColumn="0" w:oddVBand="0" w:evenVBand="0" w:oddHBand="0" w:evenHBand="0" w:firstRowFirstColumn="0" w:firstRowLastColumn="0" w:lastRowFirstColumn="0" w:lastRowLastColumn="0"/>
              <w:rPr>
                <w:noProof/>
                <w:sz w:val="18"/>
                <w:lang w:eastAsia="en-GB"/>
              </w:rPr>
            </w:pPr>
          </w:p>
        </w:tc>
      </w:tr>
      <w:tr w:rsidR="00A87143" w:rsidRPr="00814008" w14:paraId="3CDF194F" w14:textId="77777777" w:rsidTr="00A87143">
        <w:trPr>
          <w:trHeight w:val="255"/>
        </w:trPr>
        <w:tc>
          <w:tcPr>
            <w:cnfStyle w:val="001000000000" w:firstRow="0" w:lastRow="0" w:firstColumn="1" w:lastColumn="0" w:oddVBand="0" w:evenVBand="0" w:oddHBand="0" w:evenHBand="0" w:firstRowFirstColumn="0" w:firstRowLastColumn="0" w:lastRowFirstColumn="0" w:lastRowLastColumn="0"/>
            <w:tcW w:w="856" w:type="pct"/>
            <w:noWrap/>
            <w:hideMark/>
          </w:tcPr>
          <w:p w14:paraId="60864F24" w14:textId="77777777" w:rsidR="00A87143" w:rsidRPr="00814008" w:rsidRDefault="00A87143" w:rsidP="00814008">
            <w:pPr>
              <w:jc w:val="left"/>
              <w:rPr>
                <w:noProof/>
                <w:sz w:val="18"/>
                <w:lang w:eastAsia="en-GB"/>
              </w:rPr>
            </w:pPr>
            <w:r w:rsidRPr="00814008">
              <w:rPr>
                <w:noProof/>
                <w:sz w:val="18"/>
                <w:lang w:eastAsia="en-GB"/>
              </w:rPr>
              <w:t>Minichillers</w:t>
            </w:r>
          </w:p>
        </w:tc>
        <w:tc>
          <w:tcPr>
            <w:tcW w:w="601" w:type="pct"/>
            <w:vMerge w:val="restart"/>
            <w:hideMark/>
          </w:tcPr>
          <w:p w14:paraId="1B971390"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Commercial &amp; industrial buildings, centrally operated equipment</w:t>
            </w:r>
          </w:p>
        </w:tc>
        <w:tc>
          <w:tcPr>
            <w:tcW w:w="1121" w:type="pct"/>
            <w:noWrap/>
            <w:hideMark/>
          </w:tcPr>
          <w:p w14:paraId="0DD63BFB"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Services (Market and non-market)</w:t>
            </w:r>
          </w:p>
        </w:tc>
        <w:tc>
          <w:tcPr>
            <w:tcW w:w="1430" w:type="pct"/>
            <w:noWrap/>
            <w:hideMark/>
          </w:tcPr>
          <w:p w14:paraId="6EC7B64A"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Energy use for cooling in commercial buildings</w:t>
            </w:r>
          </w:p>
        </w:tc>
        <w:tc>
          <w:tcPr>
            <w:tcW w:w="991" w:type="pct"/>
            <w:noWrap/>
            <w:hideMark/>
          </w:tcPr>
          <w:p w14:paraId="7EA9383B"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EU Reference 2020</w:t>
            </w:r>
          </w:p>
        </w:tc>
      </w:tr>
      <w:tr w:rsidR="00A87143" w:rsidRPr="00814008" w14:paraId="1A40B41F" w14:textId="77777777" w:rsidTr="00A87143">
        <w:trPr>
          <w:trHeight w:val="255"/>
        </w:trPr>
        <w:tc>
          <w:tcPr>
            <w:cnfStyle w:val="001000000000" w:firstRow="0" w:lastRow="0" w:firstColumn="1" w:lastColumn="0" w:oddVBand="0" w:evenVBand="0" w:oddHBand="0" w:evenHBand="0" w:firstRowFirstColumn="0" w:firstRowLastColumn="0" w:lastRowFirstColumn="0" w:lastRowLastColumn="0"/>
            <w:tcW w:w="856" w:type="pct"/>
            <w:noWrap/>
            <w:hideMark/>
          </w:tcPr>
          <w:p w14:paraId="55DAB880" w14:textId="77777777" w:rsidR="00A87143" w:rsidRPr="00814008" w:rsidRDefault="00A87143" w:rsidP="00814008">
            <w:pPr>
              <w:jc w:val="left"/>
              <w:rPr>
                <w:noProof/>
                <w:sz w:val="18"/>
                <w:lang w:eastAsia="en-GB"/>
              </w:rPr>
            </w:pPr>
            <w:r w:rsidRPr="00814008">
              <w:rPr>
                <w:noProof/>
                <w:sz w:val="18"/>
                <w:lang w:eastAsia="en-GB"/>
              </w:rPr>
              <w:t>Displacement chillers - small</w:t>
            </w:r>
          </w:p>
        </w:tc>
        <w:tc>
          <w:tcPr>
            <w:tcW w:w="601" w:type="pct"/>
            <w:vMerge/>
            <w:hideMark/>
          </w:tcPr>
          <w:p w14:paraId="42E4E74F"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p>
        </w:tc>
        <w:tc>
          <w:tcPr>
            <w:tcW w:w="1121" w:type="pct"/>
            <w:noWrap/>
            <w:hideMark/>
          </w:tcPr>
          <w:p w14:paraId="628A8F40"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Services (Market and non-market)</w:t>
            </w:r>
          </w:p>
        </w:tc>
        <w:tc>
          <w:tcPr>
            <w:tcW w:w="1430" w:type="pct"/>
            <w:noWrap/>
            <w:hideMark/>
          </w:tcPr>
          <w:p w14:paraId="78A66403"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Energy use for cooling in commercial buildings</w:t>
            </w:r>
          </w:p>
        </w:tc>
        <w:tc>
          <w:tcPr>
            <w:tcW w:w="991" w:type="pct"/>
            <w:noWrap/>
            <w:hideMark/>
          </w:tcPr>
          <w:p w14:paraId="2257B829"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EU Reference 2020</w:t>
            </w:r>
          </w:p>
        </w:tc>
      </w:tr>
      <w:tr w:rsidR="00A87143" w:rsidRPr="00814008" w14:paraId="2AD9F93F" w14:textId="77777777" w:rsidTr="00A87143">
        <w:trPr>
          <w:trHeight w:val="255"/>
        </w:trPr>
        <w:tc>
          <w:tcPr>
            <w:cnfStyle w:val="001000000000" w:firstRow="0" w:lastRow="0" w:firstColumn="1" w:lastColumn="0" w:oddVBand="0" w:evenVBand="0" w:oddHBand="0" w:evenHBand="0" w:firstRowFirstColumn="0" w:firstRowLastColumn="0" w:lastRowFirstColumn="0" w:lastRowLastColumn="0"/>
            <w:tcW w:w="856" w:type="pct"/>
            <w:noWrap/>
            <w:hideMark/>
          </w:tcPr>
          <w:p w14:paraId="3F4AB7B8" w14:textId="77777777" w:rsidR="00A87143" w:rsidRPr="00814008" w:rsidRDefault="00A87143" w:rsidP="00814008">
            <w:pPr>
              <w:jc w:val="left"/>
              <w:rPr>
                <w:noProof/>
                <w:sz w:val="18"/>
                <w:lang w:eastAsia="en-GB"/>
              </w:rPr>
            </w:pPr>
            <w:r w:rsidRPr="00814008">
              <w:rPr>
                <w:noProof/>
                <w:sz w:val="18"/>
                <w:lang w:eastAsia="en-GB"/>
              </w:rPr>
              <w:t>Displacement chillers - large</w:t>
            </w:r>
          </w:p>
        </w:tc>
        <w:tc>
          <w:tcPr>
            <w:tcW w:w="601" w:type="pct"/>
            <w:vMerge/>
            <w:hideMark/>
          </w:tcPr>
          <w:p w14:paraId="3076D900"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p>
        </w:tc>
        <w:tc>
          <w:tcPr>
            <w:tcW w:w="1121" w:type="pct"/>
            <w:noWrap/>
            <w:hideMark/>
          </w:tcPr>
          <w:p w14:paraId="5A6F8F98"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Services (Market and non-market)</w:t>
            </w:r>
          </w:p>
        </w:tc>
        <w:tc>
          <w:tcPr>
            <w:tcW w:w="1430" w:type="pct"/>
            <w:noWrap/>
            <w:hideMark/>
          </w:tcPr>
          <w:p w14:paraId="04E495B6"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Energy use for cooling in commercial buildings</w:t>
            </w:r>
          </w:p>
        </w:tc>
        <w:tc>
          <w:tcPr>
            <w:tcW w:w="991" w:type="pct"/>
            <w:noWrap/>
            <w:hideMark/>
          </w:tcPr>
          <w:p w14:paraId="50501246"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EU Reference 2020</w:t>
            </w:r>
          </w:p>
        </w:tc>
      </w:tr>
      <w:tr w:rsidR="00A87143" w:rsidRPr="00814008" w14:paraId="40EE2948" w14:textId="77777777" w:rsidTr="00A87143">
        <w:trPr>
          <w:trHeight w:val="255"/>
        </w:trPr>
        <w:tc>
          <w:tcPr>
            <w:cnfStyle w:val="001000000000" w:firstRow="0" w:lastRow="0" w:firstColumn="1" w:lastColumn="0" w:oddVBand="0" w:evenVBand="0" w:oddHBand="0" w:evenHBand="0" w:firstRowFirstColumn="0" w:firstRowLastColumn="0" w:lastRowFirstColumn="0" w:lastRowLastColumn="0"/>
            <w:tcW w:w="856" w:type="pct"/>
            <w:noWrap/>
            <w:hideMark/>
          </w:tcPr>
          <w:p w14:paraId="073BBC5C" w14:textId="77777777" w:rsidR="00A87143" w:rsidRPr="00814008" w:rsidRDefault="00A87143" w:rsidP="00814008">
            <w:pPr>
              <w:jc w:val="left"/>
              <w:rPr>
                <w:noProof/>
                <w:sz w:val="18"/>
                <w:lang w:eastAsia="en-GB"/>
              </w:rPr>
            </w:pPr>
            <w:r w:rsidRPr="00814008">
              <w:rPr>
                <w:noProof/>
                <w:sz w:val="18"/>
                <w:lang w:eastAsia="en-GB"/>
              </w:rPr>
              <w:t>Centrifugal chillers</w:t>
            </w:r>
          </w:p>
        </w:tc>
        <w:tc>
          <w:tcPr>
            <w:tcW w:w="601" w:type="pct"/>
            <w:hideMark/>
          </w:tcPr>
          <w:p w14:paraId="19B5BA11"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Large commercial &amp;  industrial buildings, centrally operated equipment</w:t>
            </w:r>
          </w:p>
        </w:tc>
        <w:tc>
          <w:tcPr>
            <w:tcW w:w="1121" w:type="pct"/>
            <w:noWrap/>
            <w:hideMark/>
          </w:tcPr>
          <w:p w14:paraId="6BAFCAD5"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Services (Market and non-market)</w:t>
            </w:r>
          </w:p>
        </w:tc>
        <w:tc>
          <w:tcPr>
            <w:tcW w:w="1430" w:type="pct"/>
            <w:noWrap/>
            <w:hideMark/>
          </w:tcPr>
          <w:p w14:paraId="5205311C"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Energy use for cooling in commercial buildings</w:t>
            </w:r>
          </w:p>
        </w:tc>
        <w:tc>
          <w:tcPr>
            <w:tcW w:w="991" w:type="pct"/>
            <w:noWrap/>
            <w:hideMark/>
          </w:tcPr>
          <w:p w14:paraId="2C39D005"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EU Reference 2020</w:t>
            </w:r>
          </w:p>
        </w:tc>
      </w:tr>
      <w:tr w:rsidR="00A87143" w:rsidRPr="00814008" w14:paraId="21CDD8E2" w14:textId="77777777" w:rsidTr="00A87143">
        <w:trPr>
          <w:trHeight w:val="255"/>
        </w:trPr>
        <w:tc>
          <w:tcPr>
            <w:cnfStyle w:val="001000000000" w:firstRow="0" w:lastRow="0" w:firstColumn="1" w:lastColumn="0" w:oddVBand="0" w:evenVBand="0" w:oddHBand="0" w:evenHBand="0" w:firstRowFirstColumn="0" w:firstRowLastColumn="0" w:lastRowFirstColumn="0" w:lastRowLastColumn="0"/>
            <w:tcW w:w="856" w:type="pct"/>
            <w:noWrap/>
            <w:hideMark/>
          </w:tcPr>
          <w:p w14:paraId="0BB2845A" w14:textId="77777777" w:rsidR="00A87143" w:rsidRPr="00814008" w:rsidRDefault="00A87143" w:rsidP="00814008">
            <w:pPr>
              <w:jc w:val="left"/>
              <w:rPr>
                <w:noProof/>
                <w:sz w:val="18"/>
                <w:lang w:eastAsia="en-GB"/>
              </w:rPr>
            </w:pPr>
            <w:r w:rsidRPr="00814008">
              <w:rPr>
                <w:noProof/>
                <w:sz w:val="18"/>
                <w:lang w:eastAsia="en-GB"/>
              </w:rPr>
              <w:t>Heat pumps - small</w:t>
            </w:r>
          </w:p>
        </w:tc>
        <w:tc>
          <w:tcPr>
            <w:tcW w:w="601" w:type="pct"/>
            <w:hideMark/>
          </w:tcPr>
          <w:p w14:paraId="5A8C3853"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Private homes, equipment under control of inhabitants</w:t>
            </w:r>
          </w:p>
        </w:tc>
        <w:tc>
          <w:tcPr>
            <w:tcW w:w="1121" w:type="pct"/>
            <w:noWrap/>
            <w:hideMark/>
          </w:tcPr>
          <w:p w14:paraId="5059BADE"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Households (purchase of appliances)</w:t>
            </w:r>
          </w:p>
        </w:tc>
        <w:tc>
          <w:tcPr>
            <w:tcW w:w="1430" w:type="pct"/>
            <w:noWrap/>
            <w:hideMark/>
          </w:tcPr>
          <w:p w14:paraId="1D62B403"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Energy use for heat pumps in residential buildings</w:t>
            </w:r>
          </w:p>
        </w:tc>
        <w:tc>
          <w:tcPr>
            <w:tcW w:w="991" w:type="pct"/>
            <w:noWrap/>
            <w:hideMark/>
          </w:tcPr>
          <w:p w14:paraId="6EA09700"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EU Reference 2020</w:t>
            </w:r>
          </w:p>
        </w:tc>
      </w:tr>
      <w:tr w:rsidR="00A87143" w:rsidRPr="00814008" w14:paraId="2C210BF1" w14:textId="77777777" w:rsidTr="00A87143">
        <w:trPr>
          <w:trHeight w:val="255"/>
        </w:trPr>
        <w:tc>
          <w:tcPr>
            <w:cnfStyle w:val="001000000000" w:firstRow="0" w:lastRow="0" w:firstColumn="1" w:lastColumn="0" w:oddVBand="0" w:evenVBand="0" w:oddHBand="0" w:evenHBand="0" w:firstRowFirstColumn="0" w:firstRowLastColumn="0" w:lastRowFirstColumn="0" w:lastRowLastColumn="0"/>
            <w:tcW w:w="856" w:type="pct"/>
            <w:noWrap/>
            <w:hideMark/>
          </w:tcPr>
          <w:p w14:paraId="71060F92" w14:textId="77777777" w:rsidR="00A87143" w:rsidRPr="00814008" w:rsidRDefault="00A87143" w:rsidP="00814008">
            <w:pPr>
              <w:jc w:val="left"/>
              <w:rPr>
                <w:noProof/>
                <w:sz w:val="18"/>
                <w:lang w:eastAsia="en-GB"/>
              </w:rPr>
            </w:pPr>
            <w:r w:rsidRPr="00814008">
              <w:rPr>
                <w:noProof/>
                <w:sz w:val="18"/>
                <w:lang w:eastAsia="en-GB"/>
              </w:rPr>
              <w:t>Heat-pumps - medium</w:t>
            </w:r>
          </w:p>
        </w:tc>
        <w:tc>
          <w:tcPr>
            <w:tcW w:w="601" w:type="pct"/>
            <w:hideMark/>
          </w:tcPr>
          <w:p w14:paraId="10903A18"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commercial buildings</w:t>
            </w:r>
          </w:p>
        </w:tc>
        <w:tc>
          <w:tcPr>
            <w:tcW w:w="1121" w:type="pct"/>
            <w:noWrap/>
            <w:hideMark/>
          </w:tcPr>
          <w:p w14:paraId="08116D7C"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Services (Market and non-market)</w:t>
            </w:r>
          </w:p>
        </w:tc>
        <w:tc>
          <w:tcPr>
            <w:tcW w:w="1430" w:type="pct"/>
            <w:noWrap/>
            <w:hideMark/>
          </w:tcPr>
          <w:p w14:paraId="1FA1DB75"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Energy use for heat pumps in commercial buildings</w:t>
            </w:r>
          </w:p>
        </w:tc>
        <w:tc>
          <w:tcPr>
            <w:tcW w:w="991" w:type="pct"/>
            <w:noWrap/>
            <w:hideMark/>
          </w:tcPr>
          <w:p w14:paraId="1F6CCDD4"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EU Reference 2020</w:t>
            </w:r>
          </w:p>
        </w:tc>
      </w:tr>
      <w:tr w:rsidR="00A87143" w:rsidRPr="00814008" w14:paraId="5764DC47" w14:textId="77777777" w:rsidTr="00A87143">
        <w:trPr>
          <w:trHeight w:val="510"/>
        </w:trPr>
        <w:tc>
          <w:tcPr>
            <w:cnfStyle w:val="001000000000" w:firstRow="0" w:lastRow="0" w:firstColumn="1" w:lastColumn="0" w:oddVBand="0" w:evenVBand="0" w:oddHBand="0" w:evenHBand="0" w:firstRowFirstColumn="0" w:firstRowLastColumn="0" w:lastRowFirstColumn="0" w:lastRowLastColumn="0"/>
            <w:tcW w:w="856" w:type="pct"/>
            <w:noWrap/>
            <w:hideMark/>
          </w:tcPr>
          <w:p w14:paraId="0AD3F2CC" w14:textId="77777777" w:rsidR="00A87143" w:rsidRPr="00814008" w:rsidRDefault="00A87143" w:rsidP="00814008">
            <w:pPr>
              <w:jc w:val="left"/>
              <w:rPr>
                <w:noProof/>
                <w:sz w:val="18"/>
                <w:lang w:eastAsia="en-GB"/>
              </w:rPr>
            </w:pPr>
            <w:r w:rsidRPr="00814008">
              <w:rPr>
                <w:noProof/>
                <w:sz w:val="18"/>
                <w:lang w:eastAsia="en-GB"/>
              </w:rPr>
              <w:t>Heat pumps - large</w:t>
            </w:r>
          </w:p>
        </w:tc>
        <w:tc>
          <w:tcPr>
            <w:tcW w:w="601" w:type="pct"/>
            <w:hideMark/>
          </w:tcPr>
          <w:p w14:paraId="00163236"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Larger residential, commercial or industrial buildings, centrally operated equipment</w:t>
            </w:r>
          </w:p>
        </w:tc>
        <w:tc>
          <w:tcPr>
            <w:tcW w:w="1121" w:type="pct"/>
            <w:noWrap/>
            <w:hideMark/>
          </w:tcPr>
          <w:p w14:paraId="6E90FAA3"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All industrial and services sectors, households through district heat</w:t>
            </w:r>
          </w:p>
        </w:tc>
        <w:tc>
          <w:tcPr>
            <w:tcW w:w="1430" w:type="pct"/>
            <w:noWrap/>
            <w:hideMark/>
          </w:tcPr>
          <w:p w14:paraId="4AEC21D2"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 xml:space="preserve">Use of steam </w:t>
            </w:r>
          </w:p>
        </w:tc>
        <w:tc>
          <w:tcPr>
            <w:tcW w:w="991" w:type="pct"/>
            <w:noWrap/>
            <w:hideMark/>
          </w:tcPr>
          <w:p w14:paraId="5FDA5E69"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EU Reference 2020</w:t>
            </w:r>
          </w:p>
        </w:tc>
      </w:tr>
      <w:tr w:rsidR="00A87143" w:rsidRPr="00814008" w14:paraId="3F41A66D" w14:textId="77777777" w:rsidTr="00A87143">
        <w:trPr>
          <w:trHeight w:val="255"/>
        </w:trPr>
        <w:tc>
          <w:tcPr>
            <w:cnfStyle w:val="001000000000" w:firstRow="0" w:lastRow="0" w:firstColumn="1" w:lastColumn="0" w:oddVBand="0" w:evenVBand="0" w:oddHBand="0" w:evenHBand="0" w:firstRowFirstColumn="0" w:firstRowLastColumn="0" w:lastRowFirstColumn="0" w:lastRowLastColumn="0"/>
            <w:tcW w:w="856" w:type="pct"/>
            <w:noWrap/>
            <w:hideMark/>
          </w:tcPr>
          <w:p w14:paraId="53636C7A" w14:textId="77777777" w:rsidR="00A87143" w:rsidRPr="00814008" w:rsidRDefault="00A87143" w:rsidP="00814008">
            <w:pPr>
              <w:jc w:val="left"/>
              <w:rPr>
                <w:noProof/>
                <w:sz w:val="18"/>
                <w:lang w:eastAsia="en-GB"/>
              </w:rPr>
            </w:pPr>
            <w:r w:rsidRPr="00814008">
              <w:rPr>
                <w:noProof/>
                <w:sz w:val="18"/>
                <w:lang w:eastAsia="en-GB"/>
              </w:rPr>
              <w:t>Mobile AC - Passenger cars</w:t>
            </w:r>
          </w:p>
        </w:tc>
        <w:tc>
          <w:tcPr>
            <w:tcW w:w="601" w:type="pct"/>
            <w:hideMark/>
          </w:tcPr>
          <w:p w14:paraId="2845789C"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Private &amp; commercial owners of passenger cars</w:t>
            </w:r>
          </w:p>
        </w:tc>
        <w:tc>
          <w:tcPr>
            <w:tcW w:w="1121" w:type="pct"/>
            <w:noWrap/>
            <w:hideMark/>
          </w:tcPr>
          <w:p w14:paraId="0C30CEEB"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Households (purchase of private vehicles)</w:t>
            </w:r>
          </w:p>
        </w:tc>
        <w:tc>
          <w:tcPr>
            <w:tcW w:w="1430" w:type="pct"/>
            <w:noWrap/>
            <w:hideMark/>
          </w:tcPr>
          <w:p w14:paraId="477EC378"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Stock of private cars</w:t>
            </w:r>
          </w:p>
        </w:tc>
        <w:tc>
          <w:tcPr>
            <w:tcW w:w="991" w:type="pct"/>
            <w:noWrap/>
            <w:hideMark/>
          </w:tcPr>
          <w:p w14:paraId="651DB1FA"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EU Reference 2020</w:t>
            </w:r>
          </w:p>
        </w:tc>
      </w:tr>
      <w:tr w:rsidR="00A87143" w:rsidRPr="00814008" w14:paraId="7E9D8FD1" w14:textId="77777777" w:rsidTr="00A87143">
        <w:trPr>
          <w:trHeight w:val="255"/>
        </w:trPr>
        <w:tc>
          <w:tcPr>
            <w:cnfStyle w:val="001000000000" w:firstRow="0" w:lastRow="0" w:firstColumn="1" w:lastColumn="0" w:oddVBand="0" w:evenVBand="0" w:oddHBand="0" w:evenHBand="0" w:firstRowFirstColumn="0" w:firstRowLastColumn="0" w:lastRowFirstColumn="0" w:lastRowLastColumn="0"/>
            <w:tcW w:w="856" w:type="pct"/>
            <w:noWrap/>
            <w:hideMark/>
          </w:tcPr>
          <w:p w14:paraId="549A7EEF" w14:textId="77777777" w:rsidR="00A87143" w:rsidRPr="00814008" w:rsidRDefault="00A87143" w:rsidP="00814008">
            <w:pPr>
              <w:jc w:val="left"/>
              <w:rPr>
                <w:noProof/>
                <w:sz w:val="18"/>
                <w:lang w:eastAsia="en-GB"/>
              </w:rPr>
            </w:pPr>
            <w:r w:rsidRPr="00814008">
              <w:rPr>
                <w:noProof/>
                <w:sz w:val="18"/>
                <w:lang w:eastAsia="en-GB"/>
              </w:rPr>
              <w:t>Mobile AC - Buses</w:t>
            </w:r>
          </w:p>
        </w:tc>
        <w:tc>
          <w:tcPr>
            <w:tcW w:w="601" w:type="pct"/>
            <w:hideMark/>
          </w:tcPr>
          <w:p w14:paraId="460480C6"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Bus transport undertakings</w:t>
            </w:r>
          </w:p>
        </w:tc>
        <w:tc>
          <w:tcPr>
            <w:tcW w:w="1121" w:type="pct"/>
            <w:noWrap/>
            <w:hideMark/>
          </w:tcPr>
          <w:p w14:paraId="35CCFFA0"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Land transport</w:t>
            </w:r>
          </w:p>
        </w:tc>
        <w:tc>
          <w:tcPr>
            <w:tcW w:w="1430" w:type="pct"/>
            <w:noWrap/>
            <w:hideMark/>
          </w:tcPr>
          <w:p w14:paraId="147772D9"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Stock of buses</w:t>
            </w:r>
          </w:p>
        </w:tc>
        <w:tc>
          <w:tcPr>
            <w:tcW w:w="991" w:type="pct"/>
            <w:noWrap/>
            <w:hideMark/>
          </w:tcPr>
          <w:p w14:paraId="457D9A84"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EU Reference 2020</w:t>
            </w:r>
          </w:p>
        </w:tc>
      </w:tr>
      <w:tr w:rsidR="00A87143" w:rsidRPr="00814008" w14:paraId="1AAA3059" w14:textId="77777777" w:rsidTr="00A87143">
        <w:trPr>
          <w:trHeight w:val="255"/>
        </w:trPr>
        <w:tc>
          <w:tcPr>
            <w:cnfStyle w:val="001000000000" w:firstRow="0" w:lastRow="0" w:firstColumn="1" w:lastColumn="0" w:oddVBand="0" w:evenVBand="0" w:oddHBand="0" w:evenHBand="0" w:firstRowFirstColumn="0" w:firstRowLastColumn="0" w:lastRowFirstColumn="0" w:lastRowLastColumn="0"/>
            <w:tcW w:w="856" w:type="pct"/>
            <w:noWrap/>
            <w:hideMark/>
          </w:tcPr>
          <w:p w14:paraId="7DA34B45" w14:textId="77777777" w:rsidR="00A87143" w:rsidRPr="00814008" w:rsidRDefault="00A87143" w:rsidP="00814008">
            <w:pPr>
              <w:jc w:val="left"/>
              <w:rPr>
                <w:noProof/>
                <w:sz w:val="18"/>
                <w:lang w:eastAsia="en-GB"/>
              </w:rPr>
            </w:pPr>
            <w:r w:rsidRPr="00814008">
              <w:rPr>
                <w:noProof/>
                <w:sz w:val="18"/>
                <w:lang w:eastAsia="en-GB"/>
              </w:rPr>
              <w:t>Mobile AC - Trucks N1</w:t>
            </w:r>
          </w:p>
        </w:tc>
        <w:tc>
          <w:tcPr>
            <w:tcW w:w="601" w:type="pct"/>
            <w:vMerge w:val="restart"/>
            <w:hideMark/>
          </w:tcPr>
          <w:p w14:paraId="7C8B8A21"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Operators of road vehicles for commercial transport of goods</w:t>
            </w:r>
          </w:p>
        </w:tc>
        <w:tc>
          <w:tcPr>
            <w:tcW w:w="1121" w:type="pct"/>
            <w:noWrap/>
            <w:hideMark/>
          </w:tcPr>
          <w:p w14:paraId="103EFBC4"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Land transport</w:t>
            </w:r>
          </w:p>
        </w:tc>
        <w:tc>
          <w:tcPr>
            <w:tcW w:w="1430" w:type="pct"/>
            <w:noWrap/>
            <w:hideMark/>
          </w:tcPr>
          <w:p w14:paraId="5B4D57B5"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Stock of light-duty vehicles</w:t>
            </w:r>
          </w:p>
        </w:tc>
        <w:tc>
          <w:tcPr>
            <w:tcW w:w="991" w:type="pct"/>
            <w:noWrap/>
            <w:hideMark/>
          </w:tcPr>
          <w:p w14:paraId="412A9BDC"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EU Reference 2020</w:t>
            </w:r>
          </w:p>
        </w:tc>
      </w:tr>
      <w:tr w:rsidR="00A87143" w:rsidRPr="00814008" w14:paraId="6B39CB90" w14:textId="77777777" w:rsidTr="00A87143">
        <w:trPr>
          <w:trHeight w:val="255"/>
        </w:trPr>
        <w:tc>
          <w:tcPr>
            <w:cnfStyle w:val="001000000000" w:firstRow="0" w:lastRow="0" w:firstColumn="1" w:lastColumn="0" w:oddVBand="0" w:evenVBand="0" w:oddHBand="0" w:evenHBand="0" w:firstRowFirstColumn="0" w:firstRowLastColumn="0" w:lastRowFirstColumn="0" w:lastRowLastColumn="0"/>
            <w:tcW w:w="856" w:type="pct"/>
            <w:noWrap/>
            <w:hideMark/>
          </w:tcPr>
          <w:p w14:paraId="0E0D8F9E" w14:textId="77777777" w:rsidR="00A87143" w:rsidRPr="00814008" w:rsidRDefault="00A87143" w:rsidP="00814008">
            <w:pPr>
              <w:jc w:val="left"/>
              <w:rPr>
                <w:noProof/>
                <w:sz w:val="18"/>
                <w:lang w:eastAsia="en-GB"/>
              </w:rPr>
            </w:pPr>
            <w:r w:rsidRPr="00814008">
              <w:rPr>
                <w:noProof/>
                <w:sz w:val="18"/>
                <w:lang w:eastAsia="en-GB"/>
              </w:rPr>
              <w:t>Mobile AC - Trucks N2</w:t>
            </w:r>
          </w:p>
        </w:tc>
        <w:tc>
          <w:tcPr>
            <w:tcW w:w="601" w:type="pct"/>
            <w:vMerge/>
            <w:hideMark/>
          </w:tcPr>
          <w:p w14:paraId="394B463D"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p>
        </w:tc>
        <w:tc>
          <w:tcPr>
            <w:tcW w:w="1121" w:type="pct"/>
            <w:noWrap/>
            <w:hideMark/>
          </w:tcPr>
          <w:p w14:paraId="17D26196"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Land transport</w:t>
            </w:r>
          </w:p>
        </w:tc>
        <w:tc>
          <w:tcPr>
            <w:tcW w:w="1430" w:type="pct"/>
            <w:noWrap/>
            <w:hideMark/>
          </w:tcPr>
          <w:p w14:paraId="7CF67FA5"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Stock of heavy-duty vehicles</w:t>
            </w:r>
          </w:p>
        </w:tc>
        <w:tc>
          <w:tcPr>
            <w:tcW w:w="991" w:type="pct"/>
            <w:noWrap/>
            <w:hideMark/>
          </w:tcPr>
          <w:p w14:paraId="178BDA13"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EU Reference 2020</w:t>
            </w:r>
          </w:p>
        </w:tc>
      </w:tr>
      <w:tr w:rsidR="00A87143" w:rsidRPr="00814008" w14:paraId="6F1039A3" w14:textId="77777777" w:rsidTr="00A87143">
        <w:trPr>
          <w:trHeight w:val="255"/>
        </w:trPr>
        <w:tc>
          <w:tcPr>
            <w:cnfStyle w:val="001000000000" w:firstRow="0" w:lastRow="0" w:firstColumn="1" w:lastColumn="0" w:oddVBand="0" w:evenVBand="0" w:oddHBand="0" w:evenHBand="0" w:firstRowFirstColumn="0" w:firstRowLastColumn="0" w:lastRowFirstColumn="0" w:lastRowLastColumn="0"/>
            <w:tcW w:w="856" w:type="pct"/>
            <w:noWrap/>
            <w:hideMark/>
          </w:tcPr>
          <w:p w14:paraId="23434A27" w14:textId="77777777" w:rsidR="00A87143" w:rsidRPr="00814008" w:rsidRDefault="00A87143" w:rsidP="00814008">
            <w:pPr>
              <w:jc w:val="left"/>
              <w:rPr>
                <w:noProof/>
                <w:sz w:val="18"/>
                <w:lang w:eastAsia="en-GB"/>
              </w:rPr>
            </w:pPr>
            <w:r w:rsidRPr="00814008">
              <w:rPr>
                <w:noProof/>
                <w:sz w:val="18"/>
                <w:lang w:eastAsia="en-GB"/>
              </w:rPr>
              <w:t>Mobile AC - Trucks N3</w:t>
            </w:r>
          </w:p>
        </w:tc>
        <w:tc>
          <w:tcPr>
            <w:tcW w:w="601" w:type="pct"/>
            <w:vMerge/>
            <w:hideMark/>
          </w:tcPr>
          <w:p w14:paraId="678070F0"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p>
        </w:tc>
        <w:tc>
          <w:tcPr>
            <w:tcW w:w="1121" w:type="pct"/>
            <w:noWrap/>
            <w:hideMark/>
          </w:tcPr>
          <w:p w14:paraId="45799EEC"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Land transport</w:t>
            </w:r>
          </w:p>
        </w:tc>
        <w:tc>
          <w:tcPr>
            <w:tcW w:w="1430" w:type="pct"/>
            <w:noWrap/>
            <w:hideMark/>
          </w:tcPr>
          <w:p w14:paraId="65D2A79D"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Stock of heavy-duty vehicles</w:t>
            </w:r>
          </w:p>
        </w:tc>
        <w:tc>
          <w:tcPr>
            <w:tcW w:w="991" w:type="pct"/>
            <w:noWrap/>
            <w:hideMark/>
          </w:tcPr>
          <w:p w14:paraId="5D7510BE"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EU Reference 2020</w:t>
            </w:r>
          </w:p>
        </w:tc>
      </w:tr>
      <w:tr w:rsidR="00A87143" w:rsidRPr="00814008" w14:paraId="0F70DD86" w14:textId="77777777" w:rsidTr="00A87143">
        <w:trPr>
          <w:trHeight w:val="255"/>
        </w:trPr>
        <w:tc>
          <w:tcPr>
            <w:cnfStyle w:val="001000000000" w:firstRow="0" w:lastRow="0" w:firstColumn="1" w:lastColumn="0" w:oddVBand="0" w:evenVBand="0" w:oddHBand="0" w:evenHBand="0" w:firstRowFirstColumn="0" w:firstRowLastColumn="0" w:lastRowFirstColumn="0" w:lastRowLastColumn="0"/>
            <w:tcW w:w="856" w:type="pct"/>
            <w:noWrap/>
            <w:hideMark/>
          </w:tcPr>
          <w:p w14:paraId="5C8022A4" w14:textId="77777777" w:rsidR="00A87143" w:rsidRPr="00814008" w:rsidRDefault="00A87143" w:rsidP="00814008">
            <w:pPr>
              <w:jc w:val="left"/>
              <w:rPr>
                <w:noProof/>
                <w:sz w:val="18"/>
                <w:lang w:eastAsia="en-GB"/>
              </w:rPr>
            </w:pPr>
            <w:r w:rsidRPr="00814008">
              <w:rPr>
                <w:noProof/>
                <w:sz w:val="18"/>
                <w:lang w:eastAsia="en-GB"/>
              </w:rPr>
              <w:t>Mobile AC - Passenger ships</w:t>
            </w:r>
          </w:p>
        </w:tc>
        <w:tc>
          <w:tcPr>
            <w:tcW w:w="601" w:type="pct"/>
            <w:hideMark/>
          </w:tcPr>
          <w:p w14:paraId="3ABDD44E"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Water transport undertakings: Ferries / cruise ships etc</w:t>
            </w:r>
          </w:p>
        </w:tc>
        <w:tc>
          <w:tcPr>
            <w:tcW w:w="1121" w:type="pct"/>
            <w:noWrap/>
            <w:hideMark/>
          </w:tcPr>
          <w:p w14:paraId="1F868F4D"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Water transport</w:t>
            </w:r>
          </w:p>
        </w:tc>
        <w:tc>
          <w:tcPr>
            <w:tcW w:w="1430" w:type="pct"/>
            <w:noWrap/>
            <w:hideMark/>
          </w:tcPr>
          <w:p w14:paraId="08344415"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Activity (pkm) of passenger ships</w:t>
            </w:r>
          </w:p>
        </w:tc>
        <w:tc>
          <w:tcPr>
            <w:tcW w:w="991" w:type="pct"/>
            <w:noWrap/>
            <w:hideMark/>
          </w:tcPr>
          <w:p w14:paraId="58249B91"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EU Reference 2020</w:t>
            </w:r>
          </w:p>
        </w:tc>
      </w:tr>
      <w:tr w:rsidR="00A87143" w:rsidRPr="00814008" w14:paraId="5718DAFC" w14:textId="77777777" w:rsidTr="00A87143">
        <w:trPr>
          <w:trHeight w:val="255"/>
        </w:trPr>
        <w:tc>
          <w:tcPr>
            <w:cnfStyle w:val="001000000000" w:firstRow="0" w:lastRow="0" w:firstColumn="1" w:lastColumn="0" w:oddVBand="0" w:evenVBand="0" w:oddHBand="0" w:evenHBand="0" w:firstRowFirstColumn="0" w:firstRowLastColumn="0" w:lastRowFirstColumn="0" w:lastRowLastColumn="0"/>
            <w:tcW w:w="856" w:type="pct"/>
            <w:noWrap/>
            <w:hideMark/>
          </w:tcPr>
          <w:p w14:paraId="77EF1AF8" w14:textId="77777777" w:rsidR="00A87143" w:rsidRPr="00814008" w:rsidRDefault="00A87143" w:rsidP="00814008">
            <w:pPr>
              <w:jc w:val="left"/>
              <w:rPr>
                <w:noProof/>
                <w:sz w:val="18"/>
                <w:lang w:eastAsia="en-GB"/>
              </w:rPr>
            </w:pPr>
            <w:r w:rsidRPr="00814008">
              <w:rPr>
                <w:noProof/>
                <w:sz w:val="18"/>
                <w:lang w:eastAsia="en-GB"/>
              </w:rPr>
              <w:t>Mobile AC - Cargo ships</w:t>
            </w:r>
          </w:p>
        </w:tc>
        <w:tc>
          <w:tcPr>
            <w:tcW w:w="601" w:type="pct"/>
            <w:hideMark/>
          </w:tcPr>
          <w:p w14:paraId="2AEA8C43"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Water transport undertakings: transport of goods</w:t>
            </w:r>
          </w:p>
        </w:tc>
        <w:tc>
          <w:tcPr>
            <w:tcW w:w="1121" w:type="pct"/>
            <w:noWrap/>
            <w:hideMark/>
          </w:tcPr>
          <w:p w14:paraId="0313BD09"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Water transport</w:t>
            </w:r>
          </w:p>
        </w:tc>
        <w:tc>
          <w:tcPr>
            <w:tcW w:w="1430" w:type="pct"/>
            <w:noWrap/>
            <w:hideMark/>
          </w:tcPr>
          <w:p w14:paraId="2747BBD1"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Activity (tkm) of freight ships</w:t>
            </w:r>
          </w:p>
        </w:tc>
        <w:tc>
          <w:tcPr>
            <w:tcW w:w="991" w:type="pct"/>
            <w:noWrap/>
            <w:hideMark/>
          </w:tcPr>
          <w:p w14:paraId="05FD0797"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EU Reference 2020</w:t>
            </w:r>
          </w:p>
        </w:tc>
      </w:tr>
      <w:tr w:rsidR="00A87143" w:rsidRPr="00814008" w14:paraId="4677AECA" w14:textId="77777777" w:rsidTr="00A87143">
        <w:trPr>
          <w:trHeight w:val="255"/>
        </w:trPr>
        <w:tc>
          <w:tcPr>
            <w:cnfStyle w:val="001000000000" w:firstRow="0" w:lastRow="0" w:firstColumn="1" w:lastColumn="0" w:oddVBand="0" w:evenVBand="0" w:oddHBand="0" w:evenHBand="0" w:firstRowFirstColumn="0" w:firstRowLastColumn="0" w:lastRowFirstColumn="0" w:lastRowLastColumn="0"/>
            <w:tcW w:w="856" w:type="pct"/>
            <w:noWrap/>
            <w:hideMark/>
          </w:tcPr>
          <w:p w14:paraId="6F95D90D" w14:textId="77777777" w:rsidR="00A87143" w:rsidRPr="00814008" w:rsidRDefault="00A87143" w:rsidP="00814008">
            <w:pPr>
              <w:jc w:val="left"/>
              <w:rPr>
                <w:noProof/>
                <w:sz w:val="18"/>
                <w:lang w:eastAsia="en-GB"/>
              </w:rPr>
            </w:pPr>
            <w:r w:rsidRPr="00814008">
              <w:rPr>
                <w:noProof/>
                <w:sz w:val="18"/>
                <w:lang w:eastAsia="en-GB"/>
              </w:rPr>
              <w:t>Mobile AC - Tram</w:t>
            </w:r>
          </w:p>
        </w:tc>
        <w:tc>
          <w:tcPr>
            <w:tcW w:w="601" w:type="pct"/>
            <w:vMerge w:val="restart"/>
            <w:hideMark/>
          </w:tcPr>
          <w:p w14:paraId="62B4A9F4"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Public transport operators</w:t>
            </w:r>
          </w:p>
        </w:tc>
        <w:tc>
          <w:tcPr>
            <w:tcW w:w="1121" w:type="pct"/>
            <w:noWrap/>
            <w:hideMark/>
          </w:tcPr>
          <w:p w14:paraId="47E8D493"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Land transport</w:t>
            </w:r>
          </w:p>
        </w:tc>
        <w:tc>
          <w:tcPr>
            <w:tcW w:w="1430" w:type="pct"/>
            <w:noWrap/>
            <w:hideMark/>
          </w:tcPr>
          <w:p w14:paraId="4A2FEA90"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Activity (pkm) of trams and metro</w:t>
            </w:r>
          </w:p>
        </w:tc>
        <w:tc>
          <w:tcPr>
            <w:tcW w:w="991" w:type="pct"/>
            <w:noWrap/>
            <w:hideMark/>
          </w:tcPr>
          <w:p w14:paraId="2B466404"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EU Reference 2020</w:t>
            </w:r>
          </w:p>
        </w:tc>
      </w:tr>
      <w:tr w:rsidR="00A87143" w:rsidRPr="00814008" w14:paraId="7C809C8A" w14:textId="77777777" w:rsidTr="00A87143">
        <w:trPr>
          <w:trHeight w:val="255"/>
        </w:trPr>
        <w:tc>
          <w:tcPr>
            <w:cnfStyle w:val="001000000000" w:firstRow="0" w:lastRow="0" w:firstColumn="1" w:lastColumn="0" w:oddVBand="0" w:evenVBand="0" w:oddHBand="0" w:evenHBand="0" w:firstRowFirstColumn="0" w:firstRowLastColumn="0" w:lastRowFirstColumn="0" w:lastRowLastColumn="0"/>
            <w:tcW w:w="856" w:type="pct"/>
            <w:noWrap/>
            <w:hideMark/>
          </w:tcPr>
          <w:p w14:paraId="78796434" w14:textId="77777777" w:rsidR="00A87143" w:rsidRPr="00814008" w:rsidRDefault="00A87143" w:rsidP="00814008">
            <w:pPr>
              <w:jc w:val="left"/>
              <w:rPr>
                <w:noProof/>
                <w:sz w:val="18"/>
                <w:lang w:eastAsia="en-GB"/>
              </w:rPr>
            </w:pPr>
            <w:r w:rsidRPr="00814008">
              <w:rPr>
                <w:noProof/>
                <w:sz w:val="18"/>
                <w:lang w:eastAsia="en-GB"/>
              </w:rPr>
              <w:t>Mobile AC - Metro</w:t>
            </w:r>
          </w:p>
        </w:tc>
        <w:tc>
          <w:tcPr>
            <w:tcW w:w="601" w:type="pct"/>
            <w:vMerge/>
            <w:hideMark/>
          </w:tcPr>
          <w:p w14:paraId="64062383"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p>
        </w:tc>
        <w:tc>
          <w:tcPr>
            <w:tcW w:w="1121" w:type="pct"/>
            <w:noWrap/>
            <w:hideMark/>
          </w:tcPr>
          <w:p w14:paraId="5A8D45E9"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Land transport</w:t>
            </w:r>
          </w:p>
        </w:tc>
        <w:tc>
          <w:tcPr>
            <w:tcW w:w="1430" w:type="pct"/>
            <w:noWrap/>
            <w:hideMark/>
          </w:tcPr>
          <w:p w14:paraId="78BFD601"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Activity (pkm) of trams and metro</w:t>
            </w:r>
          </w:p>
        </w:tc>
        <w:tc>
          <w:tcPr>
            <w:tcW w:w="991" w:type="pct"/>
            <w:noWrap/>
            <w:hideMark/>
          </w:tcPr>
          <w:p w14:paraId="7281E6D0"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EU Reference 2020</w:t>
            </w:r>
          </w:p>
        </w:tc>
      </w:tr>
      <w:tr w:rsidR="00A87143" w:rsidRPr="00814008" w14:paraId="6EDF1AA0" w14:textId="77777777" w:rsidTr="00A87143">
        <w:trPr>
          <w:trHeight w:val="255"/>
        </w:trPr>
        <w:tc>
          <w:tcPr>
            <w:cnfStyle w:val="001000000000" w:firstRow="0" w:lastRow="0" w:firstColumn="1" w:lastColumn="0" w:oddVBand="0" w:evenVBand="0" w:oddHBand="0" w:evenHBand="0" w:firstRowFirstColumn="0" w:firstRowLastColumn="0" w:lastRowFirstColumn="0" w:lastRowLastColumn="0"/>
            <w:tcW w:w="856" w:type="pct"/>
            <w:noWrap/>
            <w:hideMark/>
          </w:tcPr>
          <w:p w14:paraId="6D025862" w14:textId="77777777" w:rsidR="00A87143" w:rsidRPr="00814008" w:rsidRDefault="00A87143" w:rsidP="00814008">
            <w:pPr>
              <w:jc w:val="left"/>
              <w:rPr>
                <w:noProof/>
                <w:sz w:val="18"/>
                <w:lang w:eastAsia="en-GB"/>
              </w:rPr>
            </w:pPr>
            <w:r w:rsidRPr="00814008">
              <w:rPr>
                <w:noProof/>
                <w:sz w:val="18"/>
                <w:lang w:eastAsia="en-GB"/>
              </w:rPr>
              <w:t>Mobile AC - Train</w:t>
            </w:r>
          </w:p>
        </w:tc>
        <w:tc>
          <w:tcPr>
            <w:tcW w:w="601" w:type="pct"/>
            <w:vMerge/>
            <w:hideMark/>
          </w:tcPr>
          <w:p w14:paraId="0E05AA5B"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p>
        </w:tc>
        <w:tc>
          <w:tcPr>
            <w:tcW w:w="1121" w:type="pct"/>
            <w:noWrap/>
            <w:hideMark/>
          </w:tcPr>
          <w:p w14:paraId="0A651730"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Land transport</w:t>
            </w:r>
          </w:p>
        </w:tc>
        <w:tc>
          <w:tcPr>
            <w:tcW w:w="1430" w:type="pct"/>
            <w:noWrap/>
            <w:hideMark/>
          </w:tcPr>
          <w:p w14:paraId="633753C4"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Activity (pkm) of trains</w:t>
            </w:r>
          </w:p>
        </w:tc>
        <w:tc>
          <w:tcPr>
            <w:tcW w:w="991" w:type="pct"/>
            <w:noWrap/>
            <w:hideMark/>
          </w:tcPr>
          <w:p w14:paraId="5C958368"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EU Reference 2020</w:t>
            </w:r>
          </w:p>
        </w:tc>
      </w:tr>
      <w:tr w:rsidR="00A87143" w:rsidRPr="00814008" w14:paraId="407D00F0" w14:textId="77777777" w:rsidTr="00A87143">
        <w:trPr>
          <w:trHeight w:val="255"/>
        </w:trPr>
        <w:tc>
          <w:tcPr>
            <w:cnfStyle w:val="001000000000" w:firstRow="0" w:lastRow="0" w:firstColumn="1" w:lastColumn="0" w:oddVBand="0" w:evenVBand="0" w:oddHBand="0" w:evenHBand="0" w:firstRowFirstColumn="0" w:firstRowLastColumn="0" w:lastRowFirstColumn="0" w:lastRowLastColumn="0"/>
            <w:tcW w:w="856" w:type="pct"/>
            <w:noWrap/>
            <w:hideMark/>
          </w:tcPr>
          <w:p w14:paraId="000D50E8" w14:textId="77777777" w:rsidR="00A87143" w:rsidRPr="00814008" w:rsidRDefault="00A87143" w:rsidP="00814008">
            <w:pPr>
              <w:jc w:val="left"/>
              <w:rPr>
                <w:noProof/>
                <w:sz w:val="18"/>
                <w:lang w:eastAsia="en-GB"/>
              </w:rPr>
            </w:pPr>
            <w:r w:rsidRPr="00814008">
              <w:rPr>
                <w:noProof/>
                <w:sz w:val="18"/>
                <w:lang w:eastAsia="en-GB"/>
              </w:rPr>
              <w:t>Aerosols - technical</w:t>
            </w:r>
          </w:p>
        </w:tc>
        <w:tc>
          <w:tcPr>
            <w:tcW w:w="601" w:type="pct"/>
            <w:hideMark/>
          </w:tcPr>
          <w:p w14:paraId="19E59399"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Domestic &amp; industrial applications</w:t>
            </w:r>
          </w:p>
        </w:tc>
        <w:tc>
          <w:tcPr>
            <w:tcW w:w="1121" w:type="pct"/>
            <w:noWrap/>
            <w:hideMark/>
          </w:tcPr>
          <w:p w14:paraId="175C1AB8"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Chemicals</w:t>
            </w:r>
          </w:p>
        </w:tc>
        <w:tc>
          <w:tcPr>
            <w:tcW w:w="1430" w:type="pct"/>
            <w:noWrap/>
            <w:hideMark/>
          </w:tcPr>
          <w:p w14:paraId="4379C693"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Output of chemical sector</w:t>
            </w:r>
          </w:p>
        </w:tc>
        <w:tc>
          <w:tcPr>
            <w:tcW w:w="991" w:type="pct"/>
            <w:noWrap/>
            <w:hideMark/>
          </w:tcPr>
          <w:p w14:paraId="31C3D2DC"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JRC-GEM-E3 baseline</w:t>
            </w:r>
          </w:p>
        </w:tc>
      </w:tr>
      <w:tr w:rsidR="00A87143" w:rsidRPr="00814008" w14:paraId="4FE376FE" w14:textId="77777777" w:rsidTr="00A87143">
        <w:trPr>
          <w:trHeight w:val="255"/>
        </w:trPr>
        <w:tc>
          <w:tcPr>
            <w:cnfStyle w:val="001000000000" w:firstRow="0" w:lastRow="0" w:firstColumn="1" w:lastColumn="0" w:oddVBand="0" w:evenVBand="0" w:oddHBand="0" w:evenHBand="0" w:firstRowFirstColumn="0" w:firstRowLastColumn="0" w:lastRowFirstColumn="0" w:lastRowLastColumn="0"/>
            <w:tcW w:w="856" w:type="pct"/>
            <w:noWrap/>
            <w:hideMark/>
          </w:tcPr>
          <w:p w14:paraId="1699C7D0" w14:textId="77777777" w:rsidR="00A87143" w:rsidRPr="00814008" w:rsidRDefault="00A87143" w:rsidP="00814008">
            <w:pPr>
              <w:jc w:val="left"/>
              <w:rPr>
                <w:noProof/>
                <w:sz w:val="18"/>
                <w:lang w:eastAsia="en-GB"/>
              </w:rPr>
            </w:pPr>
            <w:r w:rsidRPr="00814008">
              <w:rPr>
                <w:noProof/>
                <w:sz w:val="18"/>
                <w:lang w:eastAsia="en-GB"/>
              </w:rPr>
              <w:t>Aerosols - MDIs</w:t>
            </w:r>
          </w:p>
        </w:tc>
        <w:tc>
          <w:tcPr>
            <w:tcW w:w="601" w:type="pct"/>
            <w:hideMark/>
          </w:tcPr>
          <w:p w14:paraId="24933B20"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Domestic use (pharmaceutical products)</w:t>
            </w:r>
          </w:p>
        </w:tc>
        <w:tc>
          <w:tcPr>
            <w:tcW w:w="1121" w:type="pct"/>
            <w:noWrap/>
            <w:hideMark/>
          </w:tcPr>
          <w:p w14:paraId="3F4FF5D2"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Households (medical and health expenditures)</w:t>
            </w:r>
          </w:p>
        </w:tc>
        <w:tc>
          <w:tcPr>
            <w:tcW w:w="1430" w:type="pct"/>
            <w:noWrap/>
            <w:hideMark/>
          </w:tcPr>
          <w:p w14:paraId="79963FCB"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Population</w:t>
            </w:r>
          </w:p>
        </w:tc>
        <w:tc>
          <w:tcPr>
            <w:tcW w:w="991" w:type="pct"/>
            <w:noWrap/>
            <w:hideMark/>
          </w:tcPr>
          <w:p w14:paraId="141A4C07"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European Commission 2021 Ageing Report</w:t>
            </w:r>
          </w:p>
        </w:tc>
      </w:tr>
      <w:tr w:rsidR="00A87143" w:rsidRPr="00814008" w14:paraId="13924C57" w14:textId="77777777" w:rsidTr="00A87143">
        <w:trPr>
          <w:trHeight w:val="255"/>
        </w:trPr>
        <w:tc>
          <w:tcPr>
            <w:cnfStyle w:val="001000000000" w:firstRow="0" w:lastRow="0" w:firstColumn="1" w:lastColumn="0" w:oddVBand="0" w:evenVBand="0" w:oddHBand="0" w:evenHBand="0" w:firstRowFirstColumn="0" w:firstRowLastColumn="0" w:lastRowFirstColumn="0" w:lastRowLastColumn="0"/>
            <w:tcW w:w="856" w:type="pct"/>
            <w:noWrap/>
            <w:hideMark/>
          </w:tcPr>
          <w:p w14:paraId="6458CEEE" w14:textId="77777777" w:rsidR="00A87143" w:rsidRPr="00814008" w:rsidRDefault="00A87143" w:rsidP="00814008">
            <w:pPr>
              <w:jc w:val="left"/>
              <w:rPr>
                <w:noProof/>
                <w:sz w:val="18"/>
                <w:lang w:eastAsia="en-GB"/>
              </w:rPr>
            </w:pPr>
            <w:r w:rsidRPr="00814008">
              <w:rPr>
                <w:noProof/>
                <w:sz w:val="18"/>
                <w:lang w:eastAsia="en-GB"/>
              </w:rPr>
              <w:t>Fire extinguishers</w:t>
            </w:r>
          </w:p>
        </w:tc>
        <w:tc>
          <w:tcPr>
            <w:tcW w:w="601" w:type="pct"/>
            <w:hideMark/>
          </w:tcPr>
          <w:p w14:paraId="3E076670"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Special commercial &amp; industrial sectors</w:t>
            </w:r>
          </w:p>
        </w:tc>
        <w:tc>
          <w:tcPr>
            <w:tcW w:w="1121" w:type="pct"/>
            <w:noWrap/>
            <w:hideMark/>
          </w:tcPr>
          <w:p w14:paraId="3CF1B8B2"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Other equipment manufacturing</w:t>
            </w:r>
          </w:p>
        </w:tc>
        <w:tc>
          <w:tcPr>
            <w:tcW w:w="1430" w:type="pct"/>
            <w:noWrap/>
            <w:hideMark/>
          </w:tcPr>
          <w:p w14:paraId="20474E9F"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Population</w:t>
            </w:r>
          </w:p>
        </w:tc>
        <w:tc>
          <w:tcPr>
            <w:tcW w:w="991" w:type="pct"/>
            <w:noWrap/>
            <w:hideMark/>
          </w:tcPr>
          <w:p w14:paraId="6A9FE7F3"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European Commission 2021 Ageing Report</w:t>
            </w:r>
          </w:p>
        </w:tc>
      </w:tr>
      <w:tr w:rsidR="00A87143" w:rsidRPr="00814008" w14:paraId="42E10E9E" w14:textId="77777777" w:rsidTr="00A87143">
        <w:trPr>
          <w:trHeight w:val="255"/>
        </w:trPr>
        <w:tc>
          <w:tcPr>
            <w:cnfStyle w:val="001000000000" w:firstRow="0" w:lastRow="0" w:firstColumn="1" w:lastColumn="0" w:oddVBand="0" w:evenVBand="0" w:oddHBand="0" w:evenHBand="0" w:firstRowFirstColumn="0" w:firstRowLastColumn="0" w:lastRowFirstColumn="0" w:lastRowLastColumn="0"/>
            <w:tcW w:w="856" w:type="pct"/>
            <w:noWrap/>
            <w:hideMark/>
          </w:tcPr>
          <w:p w14:paraId="6E877121" w14:textId="77777777" w:rsidR="00A87143" w:rsidRPr="00814008" w:rsidRDefault="00A87143" w:rsidP="00814008">
            <w:pPr>
              <w:jc w:val="left"/>
              <w:rPr>
                <w:noProof/>
                <w:sz w:val="18"/>
                <w:lang w:eastAsia="en-GB"/>
              </w:rPr>
            </w:pPr>
            <w:r w:rsidRPr="00814008">
              <w:rPr>
                <w:noProof/>
                <w:sz w:val="18"/>
                <w:lang w:eastAsia="en-GB"/>
              </w:rPr>
              <w:t>Solvents</w:t>
            </w:r>
          </w:p>
        </w:tc>
        <w:tc>
          <w:tcPr>
            <w:tcW w:w="601" w:type="pct"/>
            <w:hideMark/>
          </w:tcPr>
          <w:p w14:paraId="5D0C02C9"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Special industrial applications</w:t>
            </w:r>
          </w:p>
        </w:tc>
        <w:tc>
          <w:tcPr>
            <w:tcW w:w="1121" w:type="pct"/>
            <w:noWrap/>
            <w:hideMark/>
          </w:tcPr>
          <w:p w14:paraId="30D3C657"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Chemicals</w:t>
            </w:r>
          </w:p>
        </w:tc>
        <w:tc>
          <w:tcPr>
            <w:tcW w:w="1430" w:type="pct"/>
            <w:noWrap/>
            <w:hideMark/>
          </w:tcPr>
          <w:p w14:paraId="476CD1F8"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Output of chemical sector</w:t>
            </w:r>
          </w:p>
        </w:tc>
        <w:tc>
          <w:tcPr>
            <w:tcW w:w="991" w:type="pct"/>
            <w:noWrap/>
            <w:hideMark/>
          </w:tcPr>
          <w:p w14:paraId="34BFF32E"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JRC-GEM-E3 baseline</w:t>
            </w:r>
          </w:p>
        </w:tc>
      </w:tr>
      <w:tr w:rsidR="00A87143" w:rsidRPr="00814008" w14:paraId="61A55F98" w14:textId="77777777" w:rsidTr="00A87143">
        <w:trPr>
          <w:trHeight w:val="255"/>
        </w:trPr>
        <w:tc>
          <w:tcPr>
            <w:cnfStyle w:val="001000000000" w:firstRow="0" w:lastRow="0" w:firstColumn="1" w:lastColumn="0" w:oddVBand="0" w:evenVBand="0" w:oddHBand="0" w:evenHBand="0" w:firstRowFirstColumn="0" w:firstRowLastColumn="0" w:lastRowFirstColumn="0" w:lastRowLastColumn="0"/>
            <w:tcW w:w="856" w:type="pct"/>
            <w:noWrap/>
            <w:hideMark/>
          </w:tcPr>
          <w:p w14:paraId="4EFA943F" w14:textId="77777777" w:rsidR="00A87143" w:rsidRPr="00814008" w:rsidRDefault="00A87143" w:rsidP="00814008">
            <w:pPr>
              <w:jc w:val="left"/>
              <w:rPr>
                <w:noProof/>
                <w:sz w:val="18"/>
                <w:lang w:eastAsia="en-GB"/>
              </w:rPr>
            </w:pPr>
            <w:r w:rsidRPr="00814008">
              <w:rPr>
                <w:noProof/>
                <w:sz w:val="18"/>
                <w:lang w:eastAsia="en-GB"/>
              </w:rPr>
              <w:t>Foam OCF</w:t>
            </w:r>
          </w:p>
        </w:tc>
        <w:tc>
          <w:tcPr>
            <w:tcW w:w="601" w:type="pct"/>
            <w:vMerge w:val="restart"/>
            <w:hideMark/>
          </w:tcPr>
          <w:p w14:paraId="7E160E59"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Insulation of buildings and equipment (fridges, freezers etc)</w:t>
            </w:r>
          </w:p>
        </w:tc>
        <w:tc>
          <w:tcPr>
            <w:tcW w:w="1121" w:type="pct"/>
            <w:noWrap/>
            <w:hideMark/>
          </w:tcPr>
          <w:p w14:paraId="2F3167E4"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Market Services</w:t>
            </w:r>
          </w:p>
        </w:tc>
        <w:tc>
          <w:tcPr>
            <w:tcW w:w="1430" w:type="pct"/>
            <w:noWrap/>
            <w:hideMark/>
          </w:tcPr>
          <w:p w14:paraId="156B5D8A"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Population</w:t>
            </w:r>
          </w:p>
        </w:tc>
        <w:tc>
          <w:tcPr>
            <w:tcW w:w="991" w:type="pct"/>
            <w:noWrap/>
            <w:hideMark/>
          </w:tcPr>
          <w:p w14:paraId="52F02417"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European Commission 2021 Ageing Report</w:t>
            </w:r>
          </w:p>
        </w:tc>
      </w:tr>
      <w:tr w:rsidR="00A87143" w:rsidRPr="00814008" w14:paraId="0C78EBD7" w14:textId="77777777" w:rsidTr="00A87143">
        <w:trPr>
          <w:trHeight w:val="255"/>
        </w:trPr>
        <w:tc>
          <w:tcPr>
            <w:cnfStyle w:val="001000000000" w:firstRow="0" w:lastRow="0" w:firstColumn="1" w:lastColumn="0" w:oddVBand="0" w:evenVBand="0" w:oddHBand="0" w:evenHBand="0" w:firstRowFirstColumn="0" w:firstRowLastColumn="0" w:lastRowFirstColumn="0" w:lastRowLastColumn="0"/>
            <w:tcW w:w="856" w:type="pct"/>
            <w:noWrap/>
            <w:hideMark/>
          </w:tcPr>
          <w:p w14:paraId="205130DF" w14:textId="77777777" w:rsidR="00A87143" w:rsidRPr="00814008" w:rsidRDefault="00A87143" w:rsidP="00814008">
            <w:pPr>
              <w:jc w:val="left"/>
              <w:rPr>
                <w:noProof/>
                <w:sz w:val="18"/>
                <w:lang w:eastAsia="en-GB"/>
              </w:rPr>
            </w:pPr>
            <w:r w:rsidRPr="00814008">
              <w:rPr>
                <w:noProof/>
                <w:sz w:val="18"/>
                <w:lang w:eastAsia="en-GB"/>
              </w:rPr>
              <w:t>Foam XPS</w:t>
            </w:r>
          </w:p>
        </w:tc>
        <w:tc>
          <w:tcPr>
            <w:tcW w:w="601" w:type="pct"/>
            <w:vMerge/>
            <w:hideMark/>
          </w:tcPr>
          <w:p w14:paraId="65CCAF01"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p>
        </w:tc>
        <w:tc>
          <w:tcPr>
            <w:tcW w:w="1121" w:type="pct"/>
            <w:noWrap/>
            <w:hideMark/>
          </w:tcPr>
          <w:p w14:paraId="7862AAF4"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Market Services</w:t>
            </w:r>
          </w:p>
        </w:tc>
        <w:tc>
          <w:tcPr>
            <w:tcW w:w="1430" w:type="pct"/>
            <w:noWrap/>
            <w:hideMark/>
          </w:tcPr>
          <w:p w14:paraId="7C453A90"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Population</w:t>
            </w:r>
          </w:p>
        </w:tc>
        <w:tc>
          <w:tcPr>
            <w:tcW w:w="991" w:type="pct"/>
            <w:noWrap/>
            <w:hideMark/>
          </w:tcPr>
          <w:p w14:paraId="06E4A41F"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European Commission 2021 Ageing Report</w:t>
            </w:r>
          </w:p>
        </w:tc>
      </w:tr>
      <w:tr w:rsidR="00A87143" w:rsidRPr="00814008" w14:paraId="7933B4D9" w14:textId="77777777" w:rsidTr="00A87143">
        <w:trPr>
          <w:trHeight w:val="255"/>
        </w:trPr>
        <w:tc>
          <w:tcPr>
            <w:cnfStyle w:val="001000000000" w:firstRow="0" w:lastRow="0" w:firstColumn="1" w:lastColumn="0" w:oddVBand="0" w:evenVBand="0" w:oddHBand="0" w:evenHBand="0" w:firstRowFirstColumn="0" w:firstRowLastColumn="0" w:lastRowFirstColumn="0" w:lastRowLastColumn="0"/>
            <w:tcW w:w="856" w:type="pct"/>
            <w:noWrap/>
            <w:hideMark/>
          </w:tcPr>
          <w:p w14:paraId="15FC61E3" w14:textId="77777777" w:rsidR="00A87143" w:rsidRPr="00814008" w:rsidRDefault="00A87143" w:rsidP="00814008">
            <w:pPr>
              <w:jc w:val="left"/>
              <w:rPr>
                <w:noProof/>
                <w:sz w:val="18"/>
                <w:lang w:eastAsia="en-GB"/>
              </w:rPr>
            </w:pPr>
            <w:r w:rsidRPr="00814008">
              <w:rPr>
                <w:noProof/>
                <w:sz w:val="18"/>
                <w:lang w:eastAsia="en-GB"/>
              </w:rPr>
              <w:t>Foam PU spray</w:t>
            </w:r>
          </w:p>
        </w:tc>
        <w:tc>
          <w:tcPr>
            <w:tcW w:w="601" w:type="pct"/>
            <w:vMerge/>
            <w:hideMark/>
          </w:tcPr>
          <w:p w14:paraId="0E43FF95"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p>
        </w:tc>
        <w:tc>
          <w:tcPr>
            <w:tcW w:w="1121" w:type="pct"/>
            <w:noWrap/>
            <w:hideMark/>
          </w:tcPr>
          <w:p w14:paraId="61B0C0DB"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Market Services</w:t>
            </w:r>
          </w:p>
        </w:tc>
        <w:tc>
          <w:tcPr>
            <w:tcW w:w="1430" w:type="pct"/>
            <w:noWrap/>
            <w:hideMark/>
          </w:tcPr>
          <w:p w14:paraId="54E38792"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Population</w:t>
            </w:r>
          </w:p>
        </w:tc>
        <w:tc>
          <w:tcPr>
            <w:tcW w:w="991" w:type="pct"/>
            <w:noWrap/>
            <w:hideMark/>
          </w:tcPr>
          <w:p w14:paraId="37D4C91A"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European Commission 2021 Ageing Report</w:t>
            </w:r>
          </w:p>
        </w:tc>
      </w:tr>
      <w:tr w:rsidR="00A87143" w:rsidRPr="00814008" w14:paraId="2C96E38F" w14:textId="77777777" w:rsidTr="00A87143">
        <w:trPr>
          <w:trHeight w:val="255"/>
        </w:trPr>
        <w:tc>
          <w:tcPr>
            <w:cnfStyle w:val="001000000000" w:firstRow="0" w:lastRow="0" w:firstColumn="1" w:lastColumn="0" w:oddVBand="0" w:evenVBand="0" w:oddHBand="0" w:evenHBand="0" w:firstRowFirstColumn="0" w:firstRowLastColumn="0" w:lastRowFirstColumn="0" w:lastRowLastColumn="0"/>
            <w:tcW w:w="856" w:type="pct"/>
            <w:noWrap/>
            <w:hideMark/>
          </w:tcPr>
          <w:p w14:paraId="4FADD0D5" w14:textId="77777777" w:rsidR="00A87143" w:rsidRPr="00814008" w:rsidRDefault="00A87143" w:rsidP="00814008">
            <w:pPr>
              <w:jc w:val="left"/>
              <w:rPr>
                <w:noProof/>
                <w:sz w:val="18"/>
                <w:lang w:eastAsia="en-GB"/>
              </w:rPr>
            </w:pPr>
            <w:r w:rsidRPr="00814008">
              <w:rPr>
                <w:noProof/>
                <w:sz w:val="18"/>
                <w:lang w:eastAsia="en-GB"/>
              </w:rPr>
              <w:t>Foam PU non-spray</w:t>
            </w:r>
          </w:p>
        </w:tc>
        <w:tc>
          <w:tcPr>
            <w:tcW w:w="601" w:type="pct"/>
            <w:vMerge/>
            <w:hideMark/>
          </w:tcPr>
          <w:p w14:paraId="5A3159B6"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p>
        </w:tc>
        <w:tc>
          <w:tcPr>
            <w:tcW w:w="1121" w:type="pct"/>
            <w:noWrap/>
            <w:hideMark/>
          </w:tcPr>
          <w:p w14:paraId="324B8F42"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Market Services</w:t>
            </w:r>
          </w:p>
        </w:tc>
        <w:tc>
          <w:tcPr>
            <w:tcW w:w="1430" w:type="pct"/>
            <w:noWrap/>
            <w:hideMark/>
          </w:tcPr>
          <w:p w14:paraId="17C39F49"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Population</w:t>
            </w:r>
          </w:p>
        </w:tc>
        <w:tc>
          <w:tcPr>
            <w:tcW w:w="991" w:type="pct"/>
            <w:noWrap/>
            <w:hideMark/>
          </w:tcPr>
          <w:p w14:paraId="46C271DC"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European Commission 2021 Ageing Report</w:t>
            </w:r>
          </w:p>
        </w:tc>
      </w:tr>
      <w:tr w:rsidR="00A87143" w:rsidRPr="00814008" w14:paraId="000C432E" w14:textId="77777777" w:rsidTr="00A87143">
        <w:trPr>
          <w:trHeight w:val="255"/>
        </w:trPr>
        <w:tc>
          <w:tcPr>
            <w:cnfStyle w:val="001000000000" w:firstRow="0" w:lastRow="0" w:firstColumn="1" w:lastColumn="0" w:oddVBand="0" w:evenVBand="0" w:oddHBand="0" w:evenHBand="0" w:firstRowFirstColumn="0" w:firstRowLastColumn="0" w:lastRowFirstColumn="0" w:lastRowLastColumn="0"/>
            <w:tcW w:w="856" w:type="pct"/>
            <w:noWrap/>
            <w:hideMark/>
          </w:tcPr>
          <w:p w14:paraId="33A4A83C" w14:textId="77777777" w:rsidR="00A87143" w:rsidRPr="00814008" w:rsidRDefault="00A87143" w:rsidP="00814008">
            <w:pPr>
              <w:jc w:val="left"/>
              <w:rPr>
                <w:noProof/>
                <w:sz w:val="18"/>
                <w:lang w:eastAsia="en-GB"/>
              </w:rPr>
            </w:pPr>
            <w:r w:rsidRPr="00814008">
              <w:rPr>
                <w:noProof/>
                <w:sz w:val="18"/>
                <w:lang w:eastAsia="en-GB"/>
              </w:rPr>
              <w:t>Switchgear MV</w:t>
            </w:r>
          </w:p>
        </w:tc>
        <w:tc>
          <w:tcPr>
            <w:tcW w:w="601" w:type="pct"/>
            <w:vMerge w:val="restart"/>
            <w:hideMark/>
          </w:tcPr>
          <w:p w14:paraId="4ED6E3FB"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Operators of electrical transmission &amp; distribution grid</w:t>
            </w:r>
          </w:p>
        </w:tc>
        <w:tc>
          <w:tcPr>
            <w:tcW w:w="1121" w:type="pct"/>
            <w:noWrap/>
            <w:hideMark/>
          </w:tcPr>
          <w:p w14:paraId="24F4FA63"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Electricity supply</w:t>
            </w:r>
          </w:p>
        </w:tc>
        <w:tc>
          <w:tcPr>
            <w:tcW w:w="1430" w:type="pct"/>
            <w:noWrap/>
            <w:hideMark/>
          </w:tcPr>
          <w:p w14:paraId="65367883"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Output of electricity supply sector</w:t>
            </w:r>
          </w:p>
        </w:tc>
        <w:tc>
          <w:tcPr>
            <w:tcW w:w="991" w:type="pct"/>
            <w:noWrap/>
            <w:hideMark/>
          </w:tcPr>
          <w:p w14:paraId="75BA1D8B"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JRC-GEM-E3 baseline</w:t>
            </w:r>
          </w:p>
        </w:tc>
      </w:tr>
      <w:tr w:rsidR="00A87143" w:rsidRPr="00814008" w14:paraId="6E001A06" w14:textId="77777777" w:rsidTr="00A87143">
        <w:trPr>
          <w:trHeight w:val="255"/>
        </w:trPr>
        <w:tc>
          <w:tcPr>
            <w:cnfStyle w:val="001000000000" w:firstRow="0" w:lastRow="0" w:firstColumn="1" w:lastColumn="0" w:oddVBand="0" w:evenVBand="0" w:oddHBand="0" w:evenHBand="0" w:firstRowFirstColumn="0" w:firstRowLastColumn="0" w:lastRowFirstColumn="0" w:lastRowLastColumn="0"/>
            <w:tcW w:w="856" w:type="pct"/>
            <w:noWrap/>
            <w:hideMark/>
          </w:tcPr>
          <w:p w14:paraId="7179DB8E" w14:textId="77777777" w:rsidR="00A87143" w:rsidRPr="00814008" w:rsidRDefault="00A87143" w:rsidP="00814008">
            <w:pPr>
              <w:jc w:val="left"/>
              <w:rPr>
                <w:noProof/>
                <w:sz w:val="18"/>
                <w:lang w:eastAsia="en-GB"/>
              </w:rPr>
            </w:pPr>
            <w:r w:rsidRPr="00814008">
              <w:rPr>
                <w:noProof/>
                <w:sz w:val="18"/>
                <w:lang w:eastAsia="en-GB"/>
              </w:rPr>
              <w:t>Switchgear HV</w:t>
            </w:r>
          </w:p>
        </w:tc>
        <w:tc>
          <w:tcPr>
            <w:tcW w:w="601" w:type="pct"/>
            <w:vMerge/>
            <w:hideMark/>
          </w:tcPr>
          <w:p w14:paraId="6AE8B7FE"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p>
        </w:tc>
        <w:tc>
          <w:tcPr>
            <w:tcW w:w="1121" w:type="pct"/>
            <w:noWrap/>
            <w:hideMark/>
          </w:tcPr>
          <w:p w14:paraId="7CE777FE"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Electricity supply</w:t>
            </w:r>
          </w:p>
        </w:tc>
        <w:tc>
          <w:tcPr>
            <w:tcW w:w="1430" w:type="pct"/>
            <w:noWrap/>
            <w:hideMark/>
          </w:tcPr>
          <w:p w14:paraId="56F33AB1"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Output of electricity supply sector</w:t>
            </w:r>
          </w:p>
        </w:tc>
        <w:tc>
          <w:tcPr>
            <w:tcW w:w="991" w:type="pct"/>
            <w:noWrap/>
            <w:hideMark/>
          </w:tcPr>
          <w:p w14:paraId="4C1F7609" w14:textId="77777777" w:rsidR="00A87143" w:rsidRPr="00814008" w:rsidRDefault="00A87143" w:rsidP="00814008">
            <w:pPr>
              <w:jc w:val="left"/>
              <w:cnfStyle w:val="000000000000" w:firstRow="0" w:lastRow="0" w:firstColumn="0" w:lastColumn="0" w:oddVBand="0" w:evenVBand="0" w:oddHBand="0" w:evenHBand="0" w:firstRowFirstColumn="0" w:firstRowLastColumn="0" w:lastRowFirstColumn="0" w:lastRowLastColumn="0"/>
              <w:rPr>
                <w:noProof/>
                <w:sz w:val="18"/>
                <w:lang w:eastAsia="en-GB"/>
              </w:rPr>
            </w:pPr>
            <w:r w:rsidRPr="00814008">
              <w:rPr>
                <w:noProof/>
                <w:sz w:val="18"/>
                <w:lang w:eastAsia="en-GB"/>
              </w:rPr>
              <w:t>JRC-GEM-E3 baseline</w:t>
            </w:r>
          </w:p>
        </w:tc>
      </w:tr>
    </w:tbl>
    <w:p w14:paraId="14F34175" w14:textId="77777777" w:rsidR="00814008" w:rsidRPr="00814008" w:rsidRDefault="00814008" w:rsidP="00814008">
      <w:pPr>
        <w:spacing w:line="240" w:lineRule="auto"/>
        <w:rPr>
          <w:rFonts w:eastAsia="Calibri" w:cs="Times New Roman"/>
          <w:noProof/>
        </w:rPr>
        <w:sectPr w:rsidR="00814008" w:rsidRPr="00814008" w:rsidSect="00814008">
          <w:headerReference w:type="even" r:id="rId67"/>
          <w:headerReference w:type="default" r:id="rId68"/>
          <w:footerReference w:type="even" r:id="rId69"/>
          <w:footerReference w:type="default" r:id="rId70"/>
          <w:headerReference w:type="first" r:id="rId71"/>
          <w:footerReference w:type="first" r:id="rId72"/>
          <w:pgSz w:w="16838" w:h="11906" w:orient="landscape"/>
          <w:pgMar w:top="1440" w:right="1440" w:bottom="1440" w:left="1440" w:header="708" w:footer="708" w:gutter="0"/>
          <w:cols w:space="708"/>
          <w:docGrid w:linePitch="360"/>
        </w:sectPr>
      </w:pPr>
    </w:p>
    <w:p w14:paraId="7C1B9925" w14:textId="77777777" w:rsidR="00814008" w:rsidRPr="00402186" w:rsidRDefault="00814008" w:rsidP="0017603A">
      <w:pPr>
        <w:pStyle w:val="AppendixHeadingLevel3"/>
        <w:numPr>
          <w:ilvl w:val="2"/>
          <w:numId w:val="114"/>
        </w:numPr>
        <w:rPr>
          <w:rFonts w:ascii="Times New Roman" w:hAnsi="Times New Roman" w:cs="Times New Roman"/>
          <w:noProof/>
        </w:rPr>
      </w:pPr>
      <w:r w:rsidRPr="00402186">
        <w:rPr>
          <w:rFonts w:ascii="Times New Roman" w:hAnsi="Times New Roman" w:cs="Times New Roman"/>
          <w:noProof/>
        </w:rPr>
        <w:t>Relevant closure rules and key assumptions</w:t>
      </w:r>
    </w:p>
    <w:p w14:paraId="49CF115C" w14:textId="77777777" w:rsidR="00814008" w:rsidRPr="00814008" w:rsidRDefault="00814008" w:rsidP="00225664">
      <w:pPr>
        <w:spacing w:after="120"/>
        <w:rPr>
          <w:rFonts w:eastAsia="Calibri" w:cs="Times New Roman"/>
          <w:noProof/>
        </w:rPr>
      </w:pPr>
      <w:r w:rsidRPr="00814008">
        <w:rPr>
          <w:rFonts w:eastAsia="Calibri" w:cs="Times New Roman"/>
          <w:noProof/>
        </w:rPr>
        <w:t>Alternative model assumptions can be made about a number of model parameters and closure rules of the JRC-GEM-E3 model. In this assessment, it was assumed the labour market is imperfect, i.e. no full employment is assumed. The implementation is based on a wage curve where increasing real wages lead to increased labour supply while decreasing real wages lead to increased unemployment. The policy scenario can therefore lead to increases or decreases of employment.</w:t>
      </w:r>
    </w:p>
    <w:p w14:paraId="68907D99" w14:textId="33201A8B" w:rsidR="006236AE" w:rsidRDefault="00814008" w:rsidP="009A623B">
      <w:pPr>
        <w:spacing w:after="120"/>
        <w:rPr>
          <w:rFonts w:eastAsia="Calibri" w:cs="Times New Roman"/>
          <w:noProof/>
        </w:rPr>
      </w:pPr>
      <w:r w:rsidRPr="00814008">
        <w:rPr>
          <w:rFonts w:eastAsia="Calibri" w:cs="Times New Roman"/>
          <w:noProof/>
        </w:rPr>
        <w:t xml:space="preserve">The modelling of the increased user cost arising from the value of the HFC quota is implemented as a tax faced by the </w:t>
      </w:r>
      <w:r w:rsidRPr="00A87143">
        <w:rPr>
          <w:rFonts w:eastAsia="Calibri" w:cs="Times New Roman"/>
          <w:noProof/>
        </w:rPr>
        <w:t xml:space="preserve">respective end user. This assumes a full path through of cost to the end user. As government expenditure is held constant in the policy scenarios relative to the baseline, any additional revenue is recycled </w:t>
      </w:r>
      <w:r w:rsidRPr="00A87143">
        <w:rPr>
          <w:rFonts w:eastAsia="Calibri" w:cs="Times New Roman"/>
          <w:i/>
          <w:noProof/>
        </w:rPr>
        <w:t>lump sum</w:t>
      </w:r>
      <w:r w:rsidRPr="00A87143">
        <w:rPr>
          <w:rFonts w:eastAsia="Calibri" w:cs="Times New Roman"/>
          <w:noProof/>
        </w:rPr>
        <w:t xml:space="preserve"> to households. Therefore, this implementation has an influence on the consumption choices of households and input choices of firms due to altered product prices, but no direct influence on income of the representative household. As there is only one representative household per region, this modelling approach is equivalent to modelling free allocation of quota rights to firms, which in turn would include the value of the quota allocation in the final price of their product, leading to windfall profits. Under both a tax and free allocation with windfall profits, user prices would change in the same way and in both cases the representative household would ultimately obtain the revenues (either via </w:t>
      </w:r>
      <w:r w:rsidRPr="00A87143">
        <w:rPr>
          <w:rFonts w:eastAsia="Calibri" w:cs="Times New Roman"/>
          <w:i/>
          <w:noProof/>
        </w:rPr>
        <w:t>lump sum</w:t>
      </w:r>
      <w:r w:rsidRPr="00A87143">
        <w:rPr>
          <w:rFonts w:eastAsia="Calibri" w:cs="Times New Roman"/>
          <w:noProof/>
        </w:rPr>
        <w:t xml:space="preserve"> transfers from the government or in the form of capital rents/dividends paid by firms).</w:t>
      </w:r>
      <w:r w:rsidRPr="00A87143">
        <w:rPr>
          <w:rFonts w:eastAsia="Calibri" w:cs="Times New Roman"/>
          <w:noProof/>
          <w:vertAlign w:val="superscript"/>
        </w:rPr>
        <w:footnoteReference w:id="151"/>
      </w:r>
      <w:r w:rsidRPr="00A87143">
        <w:rPr>
          <w:rFonts w:eastAsia="Calibri" w:cs="Times New Roman"/>
          <w:noProof/>
        </w:rPr>
        <w:t xml:space="preserve"> Obviously, the modelling outcome therefore would also be the same for any combination of </w:t>
      </w:r>
      <w:r w:rsidR="00163893">
        <w:rPr>
          <w:rFonts w:eastAsia="Calibri" w:cs="Times New Roman"/>
          <w:noProof/>
        </w:rPr>
        <w:t>a quota allocation price</w:t>
      </w:r>
      <w:r w:rsidRPr="00A87143">
        <w:rPr>
          <w:rFonts w:eastAsia="Calibri" w:cs="Times New Roman"/>
          <w:noProof/>
        </w:rPr>
        <w:t xml:space="preserve"> and free allocation to industry.</w:t>
      </w:r>
      <w:r w:rsidR="00BF27B5">
        <w:rPr>
          <w:rFonts w:eastAsia="Calibri" w:cs="Times New Roman"/>
          <w:noProof/>
        </w:rPr>
        <w:t xml:space="preserve"> </w:t>
      </w:r>
    </w:p>
    <w:p w14:paraId="71A71BD6" w14:textId="393726DB" w:rsidR="00777728" w:rsidRPr="00BF27B5" w:rsidRDefault="00777728" w:rsidP="00225664">
      <w:pPr>
        <w:rPr>
          <w:rFonts w:eastAsia="Calibri" w:cs="Times New Roman"/>
          <w:noProof/>
        </w:rPr>
      </w:pPr>
      <w:r>
        <w:rPr>
          <w:noProof/>
        </w:rPr>
        <w:t xml:space="preserve">The main limitation </w:t>
      </w:r>
      <w:r w:rsidR="00282DD8">
        <w:rPr>
          <w:noProof/>
        </w:rPr>
        <w:t>of the GEM-E3</w:t>
      </w:r>
      <w:r>
        <w:rPr>
          <w:noProof/>
        </w:rPr>
        <w:t xml:space="preserve"> </w:t>
      </w:r>
      <w:r w:rsidR="00282DD8">
        <w:rPr>
          <w:noProof/>
        </w:rPr>
        <w:t xml:space="preserve">model </w:t>
      </w:r>
      <w:r>
        <w:rPr>
          <w:noProof/>
        </w:rPr>
        <w:t xml:space="preserve">is </w:t>
      </w:r>
      <w:r w:rsidR="00282DD8">
        <w:rPr>
          <w:noProof/>
        </w:rPr>
        <w:t xml:space="preserve">the ability of </w:t>
      </w:r>
      <w:r>
        <w:rPr>
          <w:noProof/>
        </w:rPr>
        <w:t>the model to pick up</w:t>
      </w:r>
      <w:r w:rsidR="00282DD8">
        <w:rPr>
          <w:noProof/>
        </w:rPr>
        <w:t xml:space="preserve"> very </w:t>
      </w:r>
      <w:r>
        <w:rPr>
          <w:noProof/>
        </w:rPr>
        <w:t>small impacts on macro-economic parameters</w:t>
      </w:r>
      <w:r w:rsidR="00282DD8">
        <w:rPr>
          <w:noProof/>
        </w:rPr>
        <w:t>,</w:t>
      </w:r>
      <w:r>
        <w:rPr>
          <w:noProof/>
        </w:rPr>
        <w:t xml:space="preserve"> that </w:t>
      </w:r>
      <w:r w:rsidR="00282DD8">
        <w:rPr>
          <w:noProof/>
        </w:rPr>
        <w:t xml:space="preserve">may </w:t>
      </w:r>
      <w:r>
        <w:rPr>
          <w:noProof/>
        </w:rPr>
        <w:t xml:space="preserve">result </w:t>
      </w:r>
      <w:r w:rsidR="00282DD8">
        <w:rPr>
          <w:noProof/>
        </w:rPr>
        <w:t xml:space="preserve">for some variables </w:t>
      </w:r>
      <w:r>
        <w:rPr>
          <w:noProof/>
        </w:rPr>
        <w:t>from F-gas policies</w:t>
      </w:r>
      <w:r w:rsidR="00282DD8">
        <w:rPr>
          <w:noProof/>
        </w:rPr>
        <w:t xml:space="preserve">, </w:t>
      </w:r>
      <w:r>
        <w:rPr>
          <w:noProof/>
        </w:rPr>
        <w:t>as the latter only affect specific sectors and stakeholders of the overall economy.</w:t>
      </w:r>
    </w:p>
    <w:p w14:paraId="281433F0" w14:textId="2FFC0E99" w:rsidR="00170B18" w:rsidRDefault="005B39D2" w:rsidP="0017603A">
      <w:pPr>
        <w:pStyle w:val="AppendixHeadingLevel2"/>
        <w:numPr>
          <w:ilvl w:val="1"/>
          <w:numId w:val="114"/>
        </w:numPr>
        <w:rPr>
          <w:noProof/>
        </w:rPr>
      </w:pPr>
      <w:r w:rsidRPr="00A52439">
        <w:rPr>
          <w:noProof/>
        </w:rPr>
        <w:t>Determination of administrative costs</w:t>
      </w:r>
    </w:p>
    <w:p w14:paraId="1C1FBFE2" w14:textId="464B2C68" w:rsidR="00B742FD" w:rsidRPr="00B742FD" w:rsidRDefault="00B742FD" w:rsidP="00225664">
      <w:pPr>
        <w:spacing w:after="120"/>
        <w:rPr>
          <w:noProof/>
        </w:rPr>
      </w:pPr>
      <w:r w:rsidRPr="00B742FD">
        <w:rPr>
          <w:noProof/>
        </w:rPr>
        <w:t xml:space="preserve">For </w:t>
      </w:r>
      <w:r w:rsidRPr="00B742FD">
        <w:rPr>
          <w:b/>
          <w:noProof/>
        </w:rPr>
        <w:t>administrative costs to industry</w:t>
      </w:r>
      <w:r w:rsidRPr="00B742FD">
        <w:rPr>
          <w:noProof/>
        </w:rPr>
        <w:t>, industrial stakeholders were asked to provide information on costs</w:t>
      </w:r>
      <w:r>
        <w:rPr>
          <w:noProof/>
        </w:rPr>
        <w:t xml:space="preserve"> for any relevant policy options</w:t>
      </w:r>
      <w:r w:rsidRPr="00B742FD">
        <w:rPr>
          <w:noProof/>
        </w:rPr>
        <w:t xml:space="preserve">. The Regulation affects many different types of companies (gas producers, distributors, importers, equipment manufacturers, service companies, end users etc.) and in many different ways (different measures affect different companies (types)). The data collected was therefore necessarily incomplete. This required further analysis based on the data collected taking these issues into account. </w:t>
      </w:r>
      <w:r w:rsidR="00F9098C" w:rsidRPr="00B742FD">
        <w:rPr>
          <w:noProof/>
        </w:rPr>
        <w:t xml:space="preserve">The cost </w:t>
      </w:r>
      <w:r w:rsidR="00F9098C">
        <w:rPr>
          <w:noProof/>
        </w:rPr>
        <w:t xml:space="preserve">for each measure is therefore </w:t>
      </w:r>
      <w:r w:rsidR="00F9098C" w:rsidRPr="00B742FD">
        <w:rPr>
          <w:noProof/>
        </w:rPr>
        <w:t xml:space="preserve">based upon a combination of expert judgement and feedback received from stakeholders. </w:t>
      </w:r>
      <w:r w:rsidRPr="00B742FD">
        <w:rPr>
          <w:noProof/>
        </w:rPr>
        <w:fldChar w:fldCharType="begin"/>
      </w:r>
      <w:r w:rsidRPr="00B742FD">
        <w:rPr>
          <w:noProof/>
        </w:rPr>
        <w:instrText xml:space="preserve"> REF _Ref87277216 \h  \* MERGEFORMAT </w:instrText>
      </w:r>
      <w:r w:rsidRPr="00B742FD">
        <w:rPr>
          <w:noProof/>
        </w:rPr>
      </w:r>
      <w:r w:rsidRPr="00B742FD">
        <w:rPr>
          <w:noProof/>
        </w:rPr>
        <w:fldChar w:fldCharType="separate"/>
      </w:r>
      <w:r w:rsidR="00C66A21" w:rsidRPr="00C66A21">
        <w:rPr>
          <w:noProof/>
        </w:rPr>
        <w:t>Table 55</w:t>
      </w:r>
      <w:r w:rsidRPr="00B742FD">
        <w:rPr>
          <w:noProof/>
        </w:rPr>
        <w:fldChar w:fldCharType="end"/>
      </w:r>
      <w:r>
        <w:rPr>
          <w:noProof/>
        </w:rPr>
        <w:t xml:space="preserve"> in </w:t>
      </w:r>
      <w:r w:rsidRPr="00B742FD">
        <w:rPr>
          <w:noProof/>
        </w:rPr>
        <w:t>Annex A15</w:t>
      </w:r>
      <w:r>
        <w:rPr>
          <w:noProof/>
        </w:rPr>
        <w:t xml:space="preserve"> </w:t>
      </w:r>
      <w:r w:rsidRPr="00B742FD">
        <w:rPr>
          <w:noProof/>
        </w:rPr>
        <w:t xml:space="preserve">provides </w:t>
      </w:r>
      <w:r w:rsidR="00F9098C">
        <w:rPr>
          <w:noProof/>
        </w:rPr>
        <w:t>the details</w:t>
      </w:r>
      <w:r w:rsidRPr="00B742FD">
        <w:rPr>
          <w:noProof/>
        </w:rPr>
        <w:t xml:space="preserve"> of the methodology used to calculate the impact upon administrative burden for each policy option. This includes the approach used to determine the number of companies impacted </w:t>
      </w:r>
      <w:r>
        <w:rPr>
          <w:noProof/>
        </w:rPr>
        <w:t>by the proposed measure</w:t>
      </w:r>
      <w:r w:rsidRPr="00B742FD">
        <w:rPr>
          <w:noProof/>
        </w:rPr>
        <w:t xml:space="preserve">, and the change in administrative cost per company as a result. For a number of measures the administrative cost is expected to be consistent across different sized companies. </w:t>
      </w:r>
      <w:r>
        <w:rPr>
          <w:noProof/>
        </w:rPr>
        <w:t>For others an</w:t>
      </w:r>
      <w:r w:rsidRPr="00B742FD">
        <w:rPr>
          <w:noProof/>
        </w:rPr>
        <w:t xml:space="preserve"> adjustment that had to be made due to the fact that the stakeholder consultation focussed primarily upon interviews and feedback from large business organisations. From the data provided by stakeholders, </w:t>
      </w:r>
      <w:r>
        <w:rPr>
          <w:noProof/>
        </w:rPr>
        <w:t>a</w:t>
      </w:r>
      <w:r w:rsidRPr="00B742FD">
        <w:rPr>
          <w:noProof/>
        </w:rPr>
        <w:t xml:space="preserve">verage days per measure was used in preference to monetary costs per measure since it was considered there was a risk that the monetary estimates could include costs which are rather adjustment costs – e.g. for </w:t>
      </w:r>
      <w:r>
        <w:rPr>
          <w:noProof/>
        </w:rPr>
        <w:t>costs associated with the phase-</w:t>
      </w:r>
      <w:r w:rsidRPr="00B742FD">
        <w:rPr>
          <w:noProof/>
        </w:rPr>
        <w:t>down. The final number of estimated working days was calculated based upon the aggregated working days for each company. A cost of EUR 230 per day was applied to calculate a total estimated cost (based on an assumed average annual salary of around EUR 50,000, and annual days worked around 220).</w:t>
      </w:r>
    </w:p>
    <w:p w14:paraId="13CDF33B" w14:textId="69052107" w:rsidR="00F9098C" w:rsidRPr="00F9098C" w:rsidRDefault="00CF76EF" w:rsidP="00CA661E">
      <w:pPr>
        <w:spacing w:after="120"/>
        <w:rPr>
          <w:noProof/>
        </w:rPr>
      </w:pPr>
      <w:r>
        <w:rPr>
          <w:noProof/>
        </w:rPr>
        <w:t xml:space="preserve">At </w:t>
      </w:r>
      <w:r w:rsidRPr="00CF76EF">
        <w:rPr>
          <w:b/>
          <w:noProof/>
        </w:rPr>
        <w:t>European level</w:t>
      </w:r>
      <w:r>
        <w:rPr>
          <w:noProof/>
        </w:rPr>
        <w:t>, the costs were estimated by</w:t>
      </w:r>
      <w:r w:rsidR="00F9098C" w:rsidRPr="00F9098C">
        <w:rPr>
          <w:noProof/>
        </w:rPr>
        <w:t xml:space="preserve"> the </w:t>
      </w:r>
      <w:r w:rsidRPr="00CF76EF">
        <w:rPr>
          <w:noProof/>
        </w:rPr>
        <w:t>DG CLIMA</w:t>
      </w:r>
      <w:r w:rsidR="00F9098C" w:rsidRPr="00F9098C">
        <w:rPr>
          <w:noProof/>
        </w:rPr>
        <w:t xml:space="preserve"> </w:t>
      </w:r>
      <w:r>
        <w:rPr>
          <w:noProof/>
        </w:rPr>
        <w:t xml:space="preserve">and </w:t>
      </w:r>
      <w:r w:rsidR="00F9098C" w:rsidRPr="00F9098C">
        <w:rPr>
          <w:noProof/>
        </w:rPr>
        <w:t>the EEA.</w:t>
      </w:r>
      <w:r w:rsidRPr="00CF76EF">
        <w:rPr>
          <w:noProof/>
        </w:rPr>
        <w:t xml:space="preserve"> </w:t>
      </w:r>
      <w:r>
        <w:rPr>
          <w:noProof/>
        </w:rPr>
        <w:fldChar w:fldCharType="begin"/>
      </w:r>
      <w:r>
        <w:rPr>
          <w:noProof/>
        </w:rPr>
        <w:instrText xml:space="preserve"> REF _Ref87278379 \h </w:instrText>
      </w:r>
      <w:r>
        <w:rPr>
          <w:noProof/>
        </w:rPr>
      </w:r>
      <w:r>
        <w:rPr>
          <w:noProof/>
        </w:rPr>
        <w:fldChar w:fldCharType="separate"/>
      </w:r>
      <w:r w:rsidR="00C66A21" w:rsidRPr="0085241A">
        <w:rPr>
          <w:rFonts w:asciiTheme="minorHAnsi" w:hAnsiTheme="minorHAnsi"/>
          <w:b/>
          <w:noProof/>
        </w:rPr>
        <w:t xml:space="preserve">Table </w:t>
      </w:r>
      <w:r w:rsidR="00C66A21">
        <w:rPr>
          <w:rFonts w:asciiTheme="minorHAnsi" w:hAnsiTheme="minorHAnsi"/>
          <w:b/>
          <w:noProof/>
        </w:rPr>
        <w:t>63</w:t>
      </w:r>
      <w:r w:rsidR="00C66A21" w:rsidRPr="0085241A">
        <w:rPr>
          <w:rFonts w:asciiTheme="minorHAnsi" w:hAnsiTheme="minorHAnsi"/>
          <w:b/>
          <w:noProof/>
        </w:rPr>
        <w:t xml:space="preserve">. </w:t>
      </w:r>
      <w:r w:rsidR="00C66A21" w:rsidRPr="0085241A">
        <w:rPr>
          <w:rFonts w:asciiTheme="minorHAnsi" w:hAnsiTheme="minorHAnsi"/>
          <w:noProof/>
        </w:rPr>
        <w:t>Detail of the calculation and assumptions</w:t>
      </w:r>
      <w:r w:rsidR="00C66A21" w:rsidRPr="0085241A">
        <w:rPr>
          <w:rFonts w:asciiTheme="minorHAnsi" w:hAnsiTheme="minorHAnsi"/>
          <w:b/>
          <w:noProof/>
        </w:rPr>
        <w:t xml:space="preserve"> </w:t>
      </w:r>
      <w:r w:rsidR="00C66A21" w:rsidRPr="0085241A">
        <w:rPr>
          <w:rFonts w:asciiTheme="minorHAnsi" w:hAnsiTheme="minorHAnsi"/>
          <w:noProof/>
        </w:rPr>
        <w:t>for administrative burden of the European Commission</w:t>
      </w:r>
      <w:r>
        <w:rPr>
          <w:noProof/>
        </w:rPr>
        <w:fldChar w:fldCharType="end"/>
      </w:r>
      <w:r>
        <w:rPr>
          <w:noProof/>
        </w:rPr>
        <w:t xml:space="preserve"> and </w:t>
      </w:r>
      <w:r>
        <w:rPr>
          <w:noProof/>
        </w:rPr>
        <w:fldChar w:fldCharType="begin"/>
      </w:r>
      <w:r>
        <w:rPr>
          <w:noProof/>
        </w:rPr>
        <w:instrText xml:space="preserve"> REF _Ref86931217 \h </w:instrText>
      </w:r>
      <w:r>
        <w:rPr>
          <w:noProof/>
        </w:rPr>
      </w:r>
      <w:r>
        <w:rPr>
          <w:noProof/>
        </w:rPr>
        <w:fldChar w:fldCharType="separate"/>
      </w:r>
      <w:r w:rsidR="00C66A21" w:rsidRPr="0085241A">
        <w:rPr>
          <w:rFonts w:asciiTheme="minorHAnsi" w:hAnsiTheme="minorHAnsi"/>
          <w:b/>
          <w:noProof/>
        </w:rPr>
        <w:t xml:space="preserve">Table </w:t>
      </w:r>
      <w:r w:rsidR="00C66A21">
        <w:rPr>
          <w:rFonts w:asciiTheme="minorHAnsi" w:hAnsiTheme="minorHAnsi"/>
          <w:b/>
          <w:noProof/>
        </w:rPr>
        <w:t>64</w:t>
      </w:r>
      <w:r w:rsidR="00C66A21" w:rsidRPr="0085241A">
        <w:rPr>
          <w:rFonts w:asciiTheme="minorHAnsi" w:hAnsiTheme="minorHAnsi"/>
          <w:b/>
          <w:noProof/>
        </w:rPr>
        <w:t xml:space="preserve">. </w:t>
      </w:r>
      <w:r w:rsidR="00C66A21" w:rsidRPr="0085241A">
        <w:rPr>
          <w:rFonts w:asciiTheme="minorHAnsi" w:hAnsiTheme="minorHAnsi"/>
          <w:noProof/>
        </w:rPr>
        <w:t>Detail of calculation and assumptions</w:t>
      </w:r>
      <w:r w:rsidR="00C66A21" w:rsidRPr="0085241A">
        <w:rPr>
          <w:rFonts w:asciiTheme="minorHAnsi" w:hAnsiTheme="minorHAnsi"/>
          <w:b/>
          <w:noProof/>
        </w:rPr>
        <w:t xml:space="preserve"> </w:t>
      </w:r>
      <w:r w:rsidR="00C66A21" w:rsidRPr="0085241A">
        <w:rPr>
          <w:rFonts w:asciiTheme="minorHAnsi" w:hAnsiTheme="minorHAnsi"/>
          <w:noProof/>
        </w:rPr>
        <w:t>for administrative burden of the EEA</w:t>
      </w:r>
      <w:r>
        <w:rPr>
          <w:noProof/>
        </w:rPr>
        <w:fldChar w:fldCharType="end"/>
      </w:r>
      <w:r>
        <w:rPr>
          <w:noProof/>
        </w:rPr>
        <w:t xml:space="preserve"> in Annex </w:t>
      </w:r>
      <w:r w:rsidR="00C66A21">
        <w:rPr>
          <w:noProof/>
        </w:rPr>
        <w:t>A14.4.1</w:t>
      </w:r>
      <w:r>
        <w:rPr>
          <w:noProof/>
        </w:rPr>
        <w:t xml:space="preserve"> give the details of the assessment approach and assumptions made.</w:t>
      </w:r>
    </w:p>
    <w:p w14:paraId="2A193DE1" w14:textId="5F87378D" w:rsidR="00A52439" w:rsidRPr="00A52439" w:rsidRDefault="00F9098C" w:rsidP="0085241A">
      <w:pPr>
        <w:spacing w:after="120"/>
        <w:rPr>
          <w:noProof/>
        </w:rPr>
      </w:pPr>
      <w:r w:rsidRPr="00F9098C">
        <w:rPr>
          <w:noProof/>
        </w:rPr>
        <w:t xml:space="preserve">For </w:t>
      </w:r>
      <w:r w:rsidRPr="00F9098C">
        <w:rPr>
          <w:b/>
          <w:noProof/>
        </w:rPr>
        <w:t>Member States’</w:t>
      </w:r>
      <w:r w:rsidRPr="00F9098C">
        <w:rPr>
          <w:noProof/>
        </w:rPr>
        <w:t xml:space="preserve"> costs, all 27 Member States were asked to fill out a questionnaire related to the administrative costs </w:t>
      </w:r>
      <w:r>
        <w:rPr>
          <w:noProof/>
        </w:rPr>
        <w:t>expected for relevant policy options.</w:t>
      </w:r>
      <w:r w:rsidRPr="00F9098C">
        <w:rPr>
          <w:noProof/>
        </w:rPr>
        <w:t xml:space="preserve"> Evidence and data </w:t>
      </w:r>
      <w:r>
        <w:rPr>
          <w:noProof/>
        </w:rPr>
        <w:t>regarding the potential costs was somewhat</w:t>
      </w:r>
      <w:r w:rsidRPr="00F9098C">
        <w:rPr>
          <w:noProof/>
        </w:rPr>
        <w:t xml:space="preserve"> scarce, given the nature of the exercise: </w:t>
      </w:r>
      <w:r>
        <w:rPr>
          <w:noProof/>
        </w:rPr>
        <w:t>future not yet incurred needed to be estimated</w:t>
      </w:r>
      <w:r w:rsidRPr="00F9098C">
        <w:rPr>
          <w:noProof/>
        </w:rPr>
        <w:t>, and administrative burden typically depends on the detail</w:t>
      </w:r>
      <w:r>
        <w:rPr>
          <w:noProof/>
        </w:rPr>
        <w:t>ed implementation of the future measure</w:t>
      </w:r>
      <w:r w:rsidRPr="00F9098C">
        <w:rPr>
          <w:noProof/>
        </w:rPr>
        <w:t xml:space="preserve">. The assessment is </w:t>
      </w:r>
      <w:r>
        <w:rPr>
          <w:noProof/>
        </w:rPr>
        <w:t xml:space="preserve">therefore </w:t>
      </w:r>
      <w:r w:rsidRPr="00F9098C">
        <w:rPr>
          <w:noProof/>
        </w:rPr>
        <w:t xml:space="preserve">based on qualitative sentiment provided by </w:t>
      </w:r>
      <w:r>
        <w:rPr>
          <w:noProof/>
        </w:rPr>
        <w:t xml:space="preserve">the </w:t>
      </w:r>
      <w:r w:rsidRPr="00F9098C">
        <w:rPr>
          <w:noProof/>
        </w:rPr>
        <w:t xml:space="preserve">stakeholders, coupled with the administrative burden estimates from the evaluation </w:t>
      </w:r>
      <w:r>
        <w:rPr>
          <w:noProof/>
        </w:rPr>
        <w:t xml:space="preserve">for related measures </w:t>
      </w:r>
      <w:r w:rsidRPr="00F9098C">
        <w:rPr>
          <w:noProof/>
        </w:rPr>
        <w:t>and</w:t>
      </w:r>
      <w:r>
        <w:rPr>
          <w:noProof/>
        </w:rPr>
        <w:t xml:space="preserve"> expert evaluation</w:t>
      </w:r>
      <w:r w:rsidRPr="00F9098C">
        <w:rPr>
          <w:noProof/>
        </w:rPr>
        <w:t>.</w:t>
      </w:r>
      <w:r>
        <w:rPr>
          <w:noProof/>
        </w:rPr>
        <w:t xml:space="preserve"> </w:t>
      </w:r>
      <w:r w:rsidR="00CF76EF">
        <w:rPr>
          <w:noProof/>
        </w:rPr>
        <w:fldChar w:fldCharType="begin"/>
      </w:r>
      <w:r w:rsidR="00CF76EF">
        <w:rPr>
          <w:noProof/>
        </w:rPr>
        <w:instrText xml:space="preserve"> REF _Ref87277814 \h </w:instrText>
      </w:r>
      <w:r w:rsidR="00CF76EF">
        <w:rPr>
          <w:noProof/>
        </w:rPr>
      </w:r>
      <w:r w:rsidR="00CF76EF">
        <w:rPr>
          <w:noProof/>
        </w:rPr>
        <w:fldChar w:fldCharType="separate"/>
      </w:r>
      <w:r w:rsidR="00C66A21" w:rsidRPr="0085241A">
        <w:rPr>
          <w:rFonts w:asciiTheme="minorHAnsi" w:hAnsiTheme="minorHAnsi"/>
          <w:b/>
          <w:noProof/>
        </w:rPr>
        <w:t xml:space="preserve">Table </w:t>
      </w:r>
      <w:r w:rsidR="00C66A21">
        <w:rPr>
          <w:rFonts w:asciiTheme="minorHAnsi" w:hAnsiTheme="minorHAnsi"/>
          <w:b/>
          <w:noProof/>
        </w:rPr>
        <w:t>65</w:t>
      </w:r>
      <w:r w:rsidR="00CF76EF">
        <w:rPr>
          <w:noProof/>
        </w:rPr>
        <w:fldChar w:fldCharType="end"/>
      </w:r>
      <w:r w:rsidR="00CF76EF">
        <w:rPr>
          <w:noProof/>
        </w:rPr>
        <w:t xml:space="preserve"> </w:t>
      </w:r>
      <w:r>
        <w:rPr>
          <w:noProof/>
        </w:rPr>
        <w:t xml:space="preserve">in Annex </w:t>
      </w:r>
      <w:r w:rsidR="00C66A21">
        <w:rPr>
          <w:noProof/>
        </w:rPr>
        <w:t>A14.4.2</w:t>
      </w:r>
      <w:r w:rsidR="00CF76EF">
        <w:rPr>
          <w:noProof/>
        </w:rPr>
        <w:t xml:space="preserve"> </w:t>
      </w:r>
      <w:r>
        <w:rPr>
          <w:noProof/>
        </w:rPr>
        <w:t xml:space="preserve">gives the details of </w:t>
      </w:r>
      <w:r w:rsidR="00CF76EF">
        <w:rPr>
          <w:noProof/>
        </w:rPr>
        <w:t xml:space="preserve">the </w:t>
      </w:r>
      <w:r>
        <w:rPr>
          <w:noProof/>
        </w:rPr>
        <w:t>assessment approach and assumptions made.</w:t>
      </w:r>
    </w:p>
    <w:sectPr w:rsidR="00A52439" w:rsidRPr="00A52439" w:rsidSect="00D058D6">
      <w:headerReference w:type="even" r:id="rId73"/>
      <w:headerReference w:type="default" r:id="rId74"/>
      <w:footerReference w:type="even" r:id="rId75"/>
      <w:footerReference w:type="default" r:id="rId76"/>
      <w:headerReference w:type="first" r:id="rId77"/>
      <w:footerReference w:type="first" r:id="rId78"/>
      <w:pgSz w:w="11906" w:h="16838"/>
      <w:pgMar w:top="1020" w:right="1701" w:bottom="1020" w:left="1587" w:header="601" w:footer="1077" w:gutter="0"/>
      <w:cols w:space="720"/>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F4424" w16cex:dateUtc="2022-03-10T17:13:00Z"/>
  <w16cex:commentExtensible w16cex:durableId="25DF4425" w16cex:dateUtc="2022-03-14T13: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5799FCB" w16cid:durableId="25DF4424"/>
  <w16cid:commentId w16cid:paraId="05F412A1" w16cid:durableId="25DF442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D67B9E" w14:textId="77777777" w:rsidR="00F86647" w:rsidRDefault="00F86647" w:rsidP="006B087E">
      <w:pPr>
        <w:spacing w:after="0" w:line="240" w:lineRule="auto"/>
      </w:pPr>
      <w:r>
        <w:separator/>
      </w:r>
    </w:p>
    <w:p w14:paraId="21513CD5" w14:textId="77777777" w:rsidR="00F86647" w:rsidRDefault="00F86647"/>
    <w:p w14:paraId="44978874" w14:textId="77777777" w:rsidR="00F86647" w:rsidRDefault="00F86647" w:rsidP="00DF0122"/>
  </w:endnote>
  <w:endnote w:type="continuationSeparator" w:id="0">
    <w:p w14:paraId="21A584A3" w14:textId="77777777" w:rsidR="00F86647" w:rsidRDefault="00F86647" w:rsidP="006B087E">
      <w:pPr>
        <w:spacing w:after="0" w:line="240" w:lineRule="auto"/>
      </w:pPr>
      <w:r>
        <w:continuationSeparator/>
      </w:r>
    </w:p>
    <w:p w14:paraId="65DE29F8" w14:textId="77777777" w:rsidR="00F86647" w:rsidRDefault="00F86647"/>
    <w:p w14:paraId="16FCF73F" w14:textId="77777777" w:rsidR="00F86647" w:rsidRDefault="00F86647" w:rsidP="00DF0122"/>
  </w:endnote>
  <w:endnote w:type="continuationNotice" w:id="1">
    <w:p w14:paraId="5639E4A4" w14:textId="77777777" w:rsidR="00F86647" w:rsidRDefault="00F86647">
      <w:pPr>
        <w:spacing w:after="0" w:line="240" w:lineRule="auto"/>
      </w:pPr>
    </w:p>
    <w:p w14:paraId="06055700" w14:textId="77777777" w:rsidR="00F86647" w:rsidRDefault="00F86647"/>
    <w:p w14:paraId="15E75DC4" w14:textId="77777777" w:rsidR="00F86647" w:rsidRDefault="00F86647" w:rsidP="00DF01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EUAlbertina">
    <w:altName w:val="Cambria"/>
    <w:panose1 w:val="00000000000000000000"/>
    <w:charset w:val="00"/>
    <w:family w:val="roman"/>
    <w:notTrueType/>
    <w:pitch w:val="default"/>
    <w:sig w:usb0="00000003" w:usb1="00000000" w:usb2="00000000" w:usb3="00000000" w:csb0="00000001" w:csb1="00000000"/>
  </w:font>
  <w:font w:name="DemosEFOP-Medium">
    <w:altName w:val="Times New Roman"/>
    <w:panose1 w:val="00000000000000000000"/>
    <w:charset w:val="00"/>
    <w:family w:val="modern"/>
    <w:notTrueType/>
    <w:pitch w:val="variable"/>
    <w:sig w:usb0="8000002F" w:usb1="4000204A" w:usb2="00000000" w:usb3="00000000" w:csb0="00000001" w:csb1="00000000"/>
  </w:font>
  <w:font w:name="Verdana">
    <w:panose1 w:val="020B0604030504040204"/>
    <w:charset w:val="00"/>
    <w:family w:val="swiss"/>
    <w:pitch w:val="variable"/>
    <w:sig w:usb0="A00006FF" w:usb1="4000205B" w:usb2="00000010" w:usb3="00000000" w:csb0="0000019F" w:csb1="00000000"/>
  </w:font>
  <w:font w:name="NSimSun">
    <w:panose1 w:val="02010609030101010101"/>
    <w:charset w:val="86"/>
    <w:family w:val="modern"/>
    <w:pitch w:val="fixed"/>
    <w:sig w:usb0="0000028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OpenSymbol">
    <w:altName w:val="Times New Roman"/>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Trebuchet MS">
    <w:panose1 w:val="020B0603020202020204"/>
    <w:charset w:val="00"/>
    <w:family w:val="swiss"/>
    <w:pitch w:val="variable"/>
    <w:sig w:usb0="00000687" w:usb1="00000000" w:usb2="00000000" w:usb3="00000000" w:csb0="0000009F"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4FD01" w14:textId="77777777" w:rsidR="003C36B4" w:rsidRPr="003C36B4" w:rsidRDefault="003C36B4" w:rsidP="003C36B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1AFBC" w14:textId="77777777" w:rsidR="00F86647" w:rsidRDefault="00F8664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10045" w14:textId="2A3AC175" w:rsidR="00F86647" w:rsidRDefault="00F86647" w:rsidP="00F6079D">
    <w:pPr>
      <w:pStyle w:val="Footer"/>
      <w:tabs>
        <w:tab w:val="left" w:pos="3330"/>
      </w:tabs>
      <w:jc w:val="left"/>
    </w:pPr>
    <w:r>
      <w:tab/>
    </w:r>
    <w:r>
      <w:tab/>
    </w:r>
    <w:r>
      <w:fldChar w:fldCharType="begin"/>
    </w:r>
    <w:r>
      <w:instrText>PAGE</w:instrText>
    </w:r>
    <w:r>
      <w:fldChar w:fldCharType="separate"/>
    </w:r>
    <w:r w:rsidR="003C36B4">
      <w:rPr>
        <w:noProof/>
      </w:rPr>
      <w:t>9</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1506723"/>
      <w:docPartObj>
        <w:docPartGallery w:val="Page Numbers (Bottom of Page)"/>
        <w:docPartUnique/>
      </w:docPartObj>
    </w:sdtPr>
    <w:sdtEndPr>
      <w:rPr>
        <w:noProof/>
      </w:rPr>
    </w:sdtEndPr>
    <w:sdtContent>
      <w:p w14:paraId="788EB2B0" w14:textId="77777777" w:rsidR="00F86647" w:rsidRDefault="00F86647">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156A014D" w14:textId="77777777" w:rsidR="00F86647" w:rsidRDefault="00F8664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AA386" w14:textId="77777777" w:rsidR="00F86647" w:rsidRDefault="00F8664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24C84" w14:textId="0EF6B041" w:rsidR="00F86647" w:rsidRDefault="00F86647" w:rsidP="00F6079D">
    <w:pPr>
      <w:pStyle w:val="Footer"/>
      <w:tabs>
        <w:tab w:val="left" w:pos="3330"/>
      </w:tabs>
      <w:jc w:val="left"/>
    </w:pPr>
    <w:r>
      <w:tab/>
    </w:r>
    <w:r>
      <w:tab/>
    </w:r>
    <w:r>
      <w:fldChar w:fldCharType="begin"/>
    </w:r>
    <w:r>
      <w:instrText>PAGE</w:instrText>
    </w:r>
    <w:r>
      <w:fldChar w:fldCharType="separate"/>
    </w:r>
    <w:r w:rsidR="00C652A3">
      <w:rPr>
        <w:noProof/>
      </w:rPr>
      <w:t>50</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8232901"/>
      <w:docPartObj>
        <w:docPartGallery w:val="Page Numbers (Bottom of Page)"/>
        <w:docPartUnique/>
      </w:docPartObj>
    </w:sdtPr>
    <w:sdtEndPr>
      <w:rPr>
        <w:noProof/>
      </w:rPr>
    </w:sdtEndPr>
    <w:sdtContent>
      <w:p w14:paraId="256FD9A0" w14:textId="77777777" w:rsidR="00F86647" w:rsidRDefault="00F86647">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4EFC95C8" w14:textId="77777777" w:rsidR="00F86647" w:rsidRDefault="00F8664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4C1EC" w14:textId="77777777" w:rsidR="00F86647" w:rsidRDefault="00F8664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922BA" w14:textId="531E5651" w:rsidR="00F86647" w:rsidRDefault="00F86647" w:rsidP="00F6079D">
    <w:pPr>
      <w:pStyle w:val="Footer"/>
      <w:tabs>
        <w:tab w:val="left" w:pos="3330"/>
      </w:tabs>
      <w:jc w:val="left"/>
    </w:pPr>
    <w:r>
      <w:tab/>
    </w:r>
    <w:r>
      <w:tab/>
    </w:r>
    <w:r>
      <w:fldChar w:fldCharType="begin"/>
    </w:r>
    <w:r>
      <w:instrText>PAGE</w:instrText>
    </w:r>
    <w:r>
      <w:fldChar w:fldCharType="separate"/>
    </w:r>
    <w:r w:rsidR="00C652A3">
      <w:rPr>
        <w:noProof/>
      </w:rPr>
      <w:t>111</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3615314"/>
      <w:docPartObj>
        <w:docPartGallery w:val="Page Numbers (Bottom of Page)"/>
        <w:docPartUnique/>
      </w:docPartObj>
    </w:sdtPr>
    <w:sdtEndPr>
      <w:rPr>
        <w:noProof/>
      </w:rPr>
    </w:sdtEndPr>
    <w:sdtContent>
      <w:p w14:paraId="6042846B" w14:textId="77777777" w:rsidR="00F86647" w:rsidRDefault="00F86647">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72DEF07C" w14:textId="77777777" w:rsidR="00F86647" w:rsidRDefault="00F86647">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1864E" w14:textId="77777777" w:rsidR="00F86647" w:rsidRDefault="00F866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E8F59" w14:textId="7E01044F" w:rsidR="005B642F" w:rsidRPr="003C36B4" w:rsidRDefault="003C36B4" w:rsidP="003C36B4">
    <w:pPr>
      <w:pStyle w:val="FooterCoverPage"/>
      <w:rPr>
        <w:rFonts w:ascii="Arial" w:hAnsi="Arial" w:cs="Arial"/>
        <w:b/>
        <w:sz w:val="48"/>
      </w:rPr>
    </w:pPr>
    <w:r w:rsidRPr="003C36B4">
      <w:rPr>
        <w:rFonts w:ascii="Arial" w:hAnsi="Arial" w:cs="Arial"/>
        <w:b/>
        <w:sz w:val="48"/>
      </w:rPr>
      <w:t>EN</w:t>
    </w:r>
    <w:r w:rsidRPr="003C36B4">
      <w:rPr>
        <w:rFonts w:ascii="Arial" w:hAnsi="Arial" w:cs="Arial"/>
        <w:b/>
        <w:sz w:val="48"/>
      </w:rPr>
      <w:tab/>
    </w:r>
    <w:r w:rsidRPr="003C36B4">
      <w:rPr>
        <w:rFonts w:ascii="Arial" w:hAnsi="Arial" w:cs="Arial"/>
        <w:b/>
        <w:sz w:val="48"/>
      </w:rPr>
      <w:tab/>
    </w:r>
    <w:r w:rsidRPr="003C36B4">
      <w:tab/>
    </w:r>
    <w:r w:rsidRPr="003C36B4">
      <w:rPr>
        <w:rFonts w:ascii="Arial" w:hAnsi="Arial" w:cs="Arial"/>
        <w:b/>
        <w:sz w:val="48"/>
      </w:rPr>
      <w:t>EN</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5787D" w14:textId="49DAE166" w:rsidR="00F86647" w:rsidRDefault="00F86647" w:rsidP="00F6079D">
    <w:pPr>
      <w:pStyle w:val="Footer"/>
      <w:tabs>
        <w:tab w:val="left" w:pos="3330"/>
      </w:tabs>
      <w:jc w:val="left"/>
    </w:pPr>
    <w:r>
      <w:tab/>
    </w:r>
    <w:r>
      <w:tab/>
    </w:r>
    <w:r>
      <w:fldChar w:fldCharType="begin"/>
    </w:r>
    <w:r>
      <w:instrText>PAGE</w:instrText>
    </w:r>
    <w:r>
      <w:fldChar w:fldCharType="separate"/>
    </w:r>
    <w:r w:rsidR="00C652A3">
      <w:rPr>
        <w:noProof/>
      </w:rPr>
      <w:t>114</w:t>
    </w:r>
    <w: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3518394"/>
      <w:docPartObj>
        <w:docPartGallery w:val="Page Numbers (Bottom of Page)"/>
        <w:docPartUnique/>
      </w:docPartObj>
    </w:sdtPr>
    <w:sdtEndPr>
      <w:rPr>
        <w:noProof/>
      </w:rPr>
    </w:sdtEndPr>
    <w:sdtContent>
      <w:p w14:paraId="75B35713" w14:textId="77777777" w:rsidR="00F86647" w:rsidRDefault="00F86647">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7C2058FA" w14:textId="77777777" w:rsidR="00F86647" w:rsidRDefault="00F86647">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35C9C" w14:textId="77777777" w:rsidR="00F86647" w:rsidRDefault="00F86647">
    <w:pPr>
      <w:pStyle w:val="Footer"/>
    </w:pPr>
  </w:p>
  <w:p w14:paraId="31A4B80C" w14:textId="77777777" w:rsidR="00F86647" w:rsidRDefault="00F86647"/>
  <w:p w14:paraId="17356301" w14:textId="77777777" w:rsidR="00F86647" w:rsidRDefault="00F86647" w:rsidP="00DF0122"/>
  <w:p w14:paraId="7623CB24" w14:textId="77777777" w:rsidR="00F86647" w:rsidRDefault="00F86647"/>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1703361"/>
      <w:docPartObj>
        <w:docPartGallery w:val="Page Numbers (Bottom of Page)"/>
        <w:docPartUnique/>
      </w:docPartObj>
    </w:sdtPr>
    <w:sdtEndPr>
      <w:rPr>
        <w:sz w:val="20"/>
        <w:szCs w:val="20"/>
      </w:rPr>
    </w:sdtEndPr>
    <w:sdtContent>
      <w:sdt>
        <w:sdtPr>
          <w:id w:val="-532110311"/>
          <w:docPartObj>
            <w:docPartGallery w:val="Page Numbers (Bottom of Page)"/>
            <w:docPartUnique/>
          </w:docPartObj>
        </w:sdtPr>
        <w:sdtEndPr>
          <w:rPr>
            <w:sz w:val="20"/>
            <w:szCs w:val="20"/>
          </w:rPr>
        </w:sdtEndPr>
        <w:sdtContent>
          <w:p w14:paraId="54F8121D" w14:textId="31223ACF" w:rsidR="00F86647" w:rsidRPr="001E3F02" w:rsidRDefault="00F86647" w:rsidP="001E3F02">
            <w:pPr>
              <w:pStyle w:val="Footer"/>
              <w:jc w:val="center"/>
              <w:rPr>
                <w:sz w:val="20"/>
                <w:szCs w:val="20"/>
              </w:rPr>
            </w:pPr>
            <w:r>
              <w:rPr>
                <w:sz w:val="20"/>
                <w:szCs w:val="20"/>
              </w:rPr>
              <w:fldChar w:fldCharType="begin"/>
            </w:r>
            <w:r>
              <w:rPr>
                <w:sz w:val="20"/>
                <w:szCs w:val="20"/>
              </w:rPr>
              <w:instrText xml:space="preserve"> PAGE  \* Arabic \n \* MERGEFORMAT </w:instrText>
            </w:r>
            <w:r>
              <w:rPr>
                <w:sz w:val="20"/>
                <w:szCs w:val="20"/>
              </w:rPr>
              <w:fldChar w:fldCharType="separate"/>
            </w:r>
            <w:r w:rsidR="00C652A3">
              <w:rPr>
                <w:noProof/>
                <w:sz w:val="20"/>
                <w:szCs w:val="20"/>
              </w:rPr>
              <w:t>116</w:t>
            </w:r>
            <w:r>
              <w:rPr>
                <w:sz w:val="20"/>
                <w:szCs w:val="20"/>
              </w:rPr>
              <w:fldChar w:fldCharType="end"/>
            </w:r>
          </w:p>
        </w:sdtContent>
      </w:sdt>
    </w:sdtContent>
  </w:sdt>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C22DC" w14:textId="58AF5BA0" w:rsidR="00F86647" w:rsidRDefault="00F86647" w:rsidP="001E3F02">
    <w:pPr>
      <w:pStyle w:val="Footer"/>
      <w:jc w:val="center"/>
    </w:pPr>
    <w:r>
      <w:rPr>
        <w:caps/>
        <w:color w:val="5B9BD5"/>
      </w:rPr>
      <w:fldChar w:fldCharType="begin"/>
    </w:r>
    <w:r>
      <w:rPr>
        <w:caps/>
        <w:color w:val="5B9BD5"/>
      </w:rPr>
      <w:instrText xml:space="preserve"> PAGE   \* MERGEFORMAT </w:instrText>
    </w:r>
    <w:r>
      <w:rPr>
        <w:caps/>
        <w:color w:val="5B9BD5"/>
      </w:rPr>
      <w:fldChar w:fldCharType="separate"/>
    </w:r>
    <w:r w:rsidR="00C652A3">
      <w:rPr>
        <w:caps/>
        <w:noProof/>
        <w:color w:val="5B9BD5"/>
      </w:rPr>
      <w:t>115</w:t>
    </w:r>
    <w:r>
      <w:rPr>
        <w:caps/>
        <w:color w:val="5B9BD5"/>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92F5F" w14:textId="77777777" w:rsidR="003C36B4" w:rsidRPr="003C36B4" w:rsidRDefault="003C36B4" w:rsidP="003C36B4">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AD556" w14:textId="77777777" w:rsidR="00F86647" w:rsidRDefault="00F8664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F912E" w14:textId="77777777" w:rsidR="00F86647" w:rsidRPr="00E52E35" w:rsidRDefault="00F86647" w:rsidP="3982CBDC">
    <w:pPr>
      <w:pStyle w:val="FooterCoverPage"/>
      <w:rPr>
        <w:rFonts w:ascii="Arial" w:hAnsi="Arial" w:cs="Arial"/>
        <w:b/>
        <w:bCs/>
        <w:sz w:val="48"/>
        <w:szCs w:val="48"/>
      </w:rPr>
    </w:pPr>
    <w:r w:rsidRPr="3982CBDC">
      <w:rPr>
        <w:rFonts w:ascii="Arial" w:hAnsi="Arial" w:cs="Arial"/>
        <w:b/>
        <w:bCs/>
        <w:sz w:val="48"/>
        <w:szCs w:val="48"/>
      </w:rPr>
      <w:t>EN</w:t>
    </w:r>
    <w:r w:rsidRPr="00E52E35">
      <w:rPr>
        <w:rFonts w:ascii="Arial" w:hAnsi="Arial" w:cs="Arial"/>
        <w:b/>
        <w:sz w:val="48"/>
      </w:rPr>
      <w:tab/>
    </w:r>
    <w:r w:rsidRPr="00E52E35">
      <w:rPr>
        <w:rFonts w:ascii="Arial" w:hAnsi="Arial" w:cs="Arial"/>
        <w:b/>
        <w:sz w:val="48"/>
      </w:rPr>
      <w:tab/>
    </w:r>
    <w:r w:rsidRPr="00E52E35">
      <w:tab/>
    </w:r>
    <w:r w:rsidRPr="3982CBDC">
      <w:rPr>
        <w:rFonts w:ascii="Arial" w:hAnsi="Arial" w:cs="Arial"/>
        <w:b/>
        <w:bCs/>
        <w:sz w:val="48"/>
        <w:szCs w:val="48"/>
      </w:rPr>
      <w:t>EN</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E9C22" w14:textId="77777777" w:rsidR="00F86647" w:rsidRDefault="00F8664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8AEA2" w14:textId="77777777" w:rsidR="00F86647" w:rsidRDefault="00F8664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DF860" w14:textId="6B930328" w:rsidR="00F86647" w:rsidRDefault="00F86647" w:rsidP="00F6079D">
    <w:pPr>
      <w:pStyle w:val="Footer"/>
      <w:tabs>
        <w:tab w:val="left" w:pos="3330"/>
      </w:tabs>
      <w:jc w:val="left"/>
    </w:pPr>
    <w:r>
      <w:tab/>
    </w:r>
    <w:r>
      <w:tab/>
    </w:r>
    <w:r>
      <w:fldChar w:fldCharType="begin"/>
    </w:r>
    <w:r>
      <w:instrText>PAGE</w:instrText>
    </w:r>
    <w:r>
      <w:fldChar w:fldCharType="separate"/>
    </w:r>
    <w:r w:rsidR="003C36B4">
      <w:rPr>
        <w:noProof/>
      </w:rPr>
      <w:t>vi</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399700"/>
      <w:docPartObj>
        <w:docPartGallery w:val="Page Numbers (Bottom of Page)"/>
        <w:docPartUnique/>
      </w:docPartObj>
    </w:sdtPr>
    <w:sdtEndPr>
      <w:rPr>
        <w:noProof/>
      </w:rPr>
    </w:sdtEndPr>
    <w:sdtContent>
      <w:p w14:paraId="21B2ADC2" w14:textId="51D6F52C" w:rsidR="00F86647" w:rsidRDefault="00F86647">
        <w:pPr>
          <w:pStyle w:val="Footer"/>
          <w:jc w:val="center"/>
        </w:pPr>
        <w:r>
          <w:fldChar w:fldCharType="begin"/>
        </w:r>
        <w:r>
          <w:instrText xml:space="preserve"> PAGE   \* MERGEFORMAT </w:instrText>
        </w:r>
        <w:r>
          <w:fldChar w:fldCharType="separate"/>
        </w:r>
        <w:r w:rsidR="003C36B4">
          <w:rPr>
            <w:noProof/>
          </w:rPr>
          <w:t>i</w:t>
        </w:r>
        <w:r>
          <w:rPr>
            <w:noProof/>
          </w:rPr>
          <w:fldChar w:fldCharType="end"/>
        </w:r>
      </w:p>
    </w:sdtContent>
  </w:sdt>
  <w:p w14:paraId="5EC0A672" w14:textId="77777777" w:rsidR="00F86647" w:rsidRDefault="00F866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274AF7" w14:textId="77777777" w:rsidR="00F86647" w:rsidRDefault="00F86647" w:rsidP="00C81CB4">
      <w:pPr>
        <w:spacing w:after="0" w:line="240" w:lineRule="auto"/>
      </w:pPr>
      <w:r>
        <w:separator/>
      </w:r>
    </w:p>
  </w:footnote>
  <w:footnote w:type="continuationSeparator" w:id="0">
    <w:p w14:paraId="0F7D963B" w14:textId="77777777" w:rsidR="00F86647" w:rsidRPr="007321E3" w:rsidRDefault="00F86647" w:rsidP="007321E3">
      <w:pPr>
        <w:spacing w:after="0" w:line="240" w:lineRule="auto"/>
        <w:rPr>
          <w:lang w:val="de-DE"/>
        </w:rPr>
      </w:pPr>
      <w:r>
        <w:continuationSeparator/>
      </w:r>
    </w:p>
  </w:footnote>
  <w:footnote w:type="continuationNotice" w:id="1">
    <w:p w14:paraId="723EC8A3" w14:textId="77777777" w:rsidR="00F86647" w:rsidRPr="00455EA2" w:rsidRDefault="00F86647" w:rsidP="00455EA2">
      <w:pPr>
        <w:pStyle w:val="Footer"/>
        <w:spacing w:before="0"/>
        <w:ind w:left="0" w:right="-851"/>
      </w:pPr>
    </w:p>
  </w:footnote>
  <w:footnote w:id="2">
    <w:p w14:paraId="7D43EB6D" w14:textId="0431AE21" w:rsidR="00F86647" w:rsidRPr="00C1561A" w:rsidRDefault="00F86647" w:rsidP="00AD469F">
      <w:pPr>
        <w:pStyle w:val="FootnoteText"/>
        <w:ind w:left="567" w:hanging="340"/>
        <w:rPr>
          <w:rFonts w:asciiTheme="minorHAnsi" w:hAnsiTheme="minorHAnsi" w:cstheme="minorHAnsi"/>
        </w:rPr>
      </w:pPr>
      <w:r w:rsidRPr="00C1561A">
        <w:rPr>
          <w:rStyle w:val="FootnoteReference"/>
          <w:rFonts w:asciiTheme="minorHAnsi" w:hAnsiTheme="minorHAnsi" w:cstheme="minorHAnsi"/>
        </w:rPr>
        <w:footnoteRef/>
      </w:r>
      <w:r w:rsidRPr="00C1561A">
        <w:rPr>
          <w:rFonts w:asciiTheme="minorHAnsi" w:hAnsiTheme="minorHAnsi" w:cstheme="minorHAnsi"/>
        </w:rPr>
        <w:t xml:space="preserve"> </w:t>
      </w:r>
      <w:r>
        <w:rPr>
          <w:rFonts w:asciiTheme="minorHAnsi" w:hAnsiTheme="minorHAnsi" w:cstheme="minorHAnsi"/>
        </w:rPr>
        <w:tab/>
      </w:r>
      <w:r w:rsidRPr="00C1561A">
        <w:rPr>
          <w:rFonts w:asciiTheme="minorHAnsi" w:hAnsiTheme="minorHAnsi" w:cstheme="minorHAnsi"/>
        </w:rPr>
        <w:t>Note that F-gases themselves are not relevant for ozone depletion</w:t>
      </w:r>
    </w:p>
  </w:footnote>
  <w:footnote w:id="3">
    <w:p w14:paraId="79B90F18" w14:textId="116EEC0C" w:rsidR="00F86647" w:rsidRDefault="00F86647" w:rsidP="004C4D39">
      <w:pPr>
        <w:pStyle w:val="FootnoteText"/>
        <w:ind w:left="567" w:hanging="340"/>
      </w:pPr>
      <w:r w:rsidRPr="00C1561A">
        <w:rPr>
          <w:rFonts w:asciiTheme="minorHAnsi" w:hAnsiTheme="minorHAnsi" w:cstheme="minorBidi"/>
          <w:shd w:val="clear" w:color="auto" w:fill="FFFFFF"/>
          <w:vertAlign w:val="superscript"/>
          <w:lang w:val="pt-PT"/>
        </w:rPr>
        <w:footnoteRef/>
      </w:r>
      <w:r w:rsidRPr="001B638F">
        <w:rPr>
          <w:rFonts w:asciiTheme="minorHAnsi" w:hAnsiTheme="minorHAnsi" w:cstheme="minorBidi"/>
          <w:shd w:val="clear" w:color="auto" w:fill="FFFFFF"/>
          <w:lang w:val="pt-PT"/>
        </w:rPr>
        <w:t xml:space="preserve"> </w:t>
      </w:r>
      <w:r w:rsidR="009D3312">
        <w:rPr>
          <w:rFonts w:asciiTheme="minorHAnsi" w:hAnsiTheme="minorHAnsi" w:cstheme="minorBidi"/>
          <w:shd w:val="clear" w:color="auto" w:fill="FFFFFF"/>
          <w:lang w:val="pt-PT"/>
        </w:rPr>
        <w:tab/>
      </w:r>
      <w:r w:rsidRPr="001B638F">
        <w:rPr>
          <w:rFonts w:asciiTheme="minorHAnsi" w:hAnsiTheme="minorHAnsi" w:cstheme="minorBidi"/>
          <w:shd w:val="clear" w:color="auto" w:fill="FFFFFF"/>
          <w:lang w:val="pt-PT"/>
        </w:rPr>
        <w:t>Regulation (EC) 1005/2009 on substances that deplete the ozone layer.</w:t>
      </w:r>
      <w:r w:rsidRPr="00C1561A">
        <w:t xml:space="preserve"> </w:t>
      </w:r>
    </w:p>
    <w:p w14:paraId="2273C9CB" w14:textId="76CEE1CB" w:rsidR="00F86647" w:rsidRPr="001B638F" w:rsidRDefault="003C36B4" w:rsidP="007B47B4">
      <w:pPr>
        <w:pStyle w:val="FootnoteText"/>
        <w:ind w:left="567"/>
        <w:rPr>
          <w:rFonts w:asciiTheme="minorHAnsi" w:hAnsiTheme="minorHAnsi" w:cstheme="minorBidi"/>
          <w:shd w:val="clear" w:color="auto" w:fill="FFFFFF"/>
          <w:lang w:val="pt-PT"/>
        </w:rPr>
      </w:pPr>
      <w:hyperlink r:id="rId1" w:history="1">
        <w:r w:rsidR="00F86647" w:rsidRPr="00E354F5">
          <w:rPr>
            <w:rStyle w:val="Hyperlink"/>
            <w:rFonts w:asciiTheme="minorHAnsi" w:hAnsiTheme="minorHAnsi" w:cstheme="minorBidi"/>
            <w:shd w:val="clear" w:color="auto" w:fill="FFFFFF"/>
            <w:lang w:val="pt-PT"/>
          </w:rPr>
          <w:t>https://eur-lex.europa.eu/legal-content/EN/TXT/?uri=celex%3A32009R1005</w:t>
        </w:r>
      </w:hyperlink>
      <w:r w:rsidR="00F86647">
        <w:rPr>
          <w:rFonts w:asciiTheme="minorHAnsi" w:hAnsiTheme="minorHAnsi" w:cstheme="minorBidi"/>
          <w:shd w:val="clear" w:color="auto" w:fill="FFFFFF"/>
          <w:lang w:val="pt-PT"/>
        </w:rPr>
        <w:t xml:space="preserve"> </w:t>
      </w:r>
    </w:p>
  </w:footnote>
  <w:footnote w:id="4">
    <w:p w14:paraId="614DA735" w14:textId="77777777" w:rsidR="00F86647" w:rsidRDefault="00F86647" w:rsidP="005B118E">
      <w:pPr>
        <w:pStyle w:val="FootnoteText"/>
        <w:ind w:left="567" w:hanging="340"/>
      </w:pPr>
      <w:r w:rsidRPr="3B6623F1">
        <w:rPr>
          <w:rStyle w:val="FootnoteReference"/>
          <w:rFonts w:asciiTheme="minorHAnsi" w:hAnsiTheme="minorHAnsi" w:cstheme="minorBidi"/>
        </w:rPr>
        <w:footnoteRef/>
      </w:r>
      <w:r w:rsidRPr="3B6623F1">
        <w:rPr>
          <w:rFonts w:asciiTheme="minorHAnsi" w:hAnsiTheme="minorHAnsi" w:cstheme="minorBidi"/>
          <w:lang w:val="pt-PT"/>
        </w:rPr>
        <w:t xml:space="preserve"> </w:t>
      </w:r>
      <w:r w:rsidRPr="00C1561A">
        <w:tab/>
      </w:r>
      <w:r w:rsidRPr="3B6623F1">
        <w:rPr>
          <w:rFonts w:asciiTheme="minorHAnsi" w:hAnsiTheme="minorHAnsi" w:cstheme="minorBidi"/>
          <w:lang w:val="pt-PT"/>
        </w:rPr>
        <w:t xml:space="preserve">Regulation (EU) No 517/2014 </w:t>
      </w:r>
      <w:r>
        <w:rPr>
          <w:rFonts w:asciiTheme="minorHAnsi" w:hAnsiTheme="minorHAnsi" w:cstheme="minorBidi"/>
          <w:lang w:val="pt-PT"/>
        </w:rPr>
        <w:t>on fluorinated greenhouse gases</w:t>
      </w:r>
      <w:r w:rsidRPr="3B6623F1">
        <w:rPr>
          <w:rFonts w:asciiTheme="minorHAnsi" w:hAnsiTheme="minorHAnsi" w:cstheme="minorBidi"/>
          <w:lang w:val="pt-PT"/>
        </w:rPr>
        <w:t>.</w:t>
      </w:r>
      <w:r w:rsidRPr="00C1561A">
        <w:t xml:space="preserve"> </w:t>
      </w:r>
      <w:r>
        <w:tab/>
      </w:r>
    </w:p>
    <w:p w14:paraId="225B6018" w14:textId="3BCDCD66" w:rsidR="00F86647" w:rsidRDefault="003C36B4" w:rsidP="007B47B4">
      <w:pPr>
        <w:pStyle w:val="FootnoteText"/>
        <w:ind w:left="567"/>
        <w:rPr>
          <w:rFonts w:asciiTheme="minorHAnsi" w:hAnsiTheme="minorHAnsi" w:cstheme="minorBidi"/>
          <w:lang w:val="pt-PT"/>
        </w:rPr>
      </w:pPr>
      <w:hyperlink r:id="rId2" w:history="1">
        <w:r w:rsidR="00F86647" w:rsidRPr="00E354F5">
          <w:rPr>
            <w:rStyle w:val="Hyperlink"/>
            <w:rFonts w:asciiTheme="minorHAnsi" w:hAnsiTheme="minorHAnsi" w:cstheme="minorBidi"/>
            <w:lang w:val="pt-PT"/>
          </w:rPr>
          <w:t>https://eur-lex.europa.eu/legal-content/EN/TXT/?uri=celex%3A32014R0517</w:t>
        </w:r>
      </w:hyperlink>
      <w:r w:rsidR="00F86647">
        <w:rPr>
          <w:rFonts w:asciiTheme="minorHAnsi" w:hAnsiTheme="minorHAnsi" w:cstheme="minorBidi"/>
          <w:lang w:val="pt-PT"/>
        </w:rPr>
        <w:t xml:space="preserve"> </w:t>
      </w:r>
    </w:p>
  </w:footnote>
  <w:footnote w:id="5">
    <w:p w14:paraId="2CEAF9DA" w14:textId="1B44671B" w:rsidR="00F86647" w:rsidRPr="00455EA2" w:rsidRDefault="00F86647" w:rsidP="005B118E">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The EU started its F-gas policy in 2006 with Regulation</w:t>
      </w:r>
      <w:r>
        <w:rPr>
          <w:rFonts w:asciiTheme="minorHAnsi" w:hAnsiTheme="minorHAnsi" w:cstheme="minorHAnsi"/>
        </w:rPr>
        <w:t xml:space="preserve"> </w:t>
      </w:r>
      <w:r w:rsidRPr="00455EA2">
        <w:rPr>
          <w:rFonts w:asciiTheme="minorHAnsi" w:hAnsiTheme="minorHAnsi" w:cstheme="minorHAnsi"/>
        </w:rPr>
        <w:t>(EC) No 842/2006 on fluorinated greenhouse gases and Directive 2006/40/EC relating to emissions from air conditioning systems in motor vehicles (MAC Directive).</w:t>
      </w:r>
      <w:r>
        <w:rPr>
          <w:rFonts w:asciiTheme="minorHAnsi" w:hAnsiTheme="minorHAnsi" w:cstheme="minorHAnsi"/>
        </w:rPr>
        <w:t xml:space="preserve"> The Current Regulation has applied since 2015.</w:t>
      </w:r>
    </w:p>
  </w:footnote>
  <w:footnote w:id="6">
    <w:p w14:paraId="0FD87F30" w14:textId="4050625D" w:rsidR="00F86647" w:rsidRPr="007B47B4" w:rsidRDefault="00F86647" w:rsidP="007B47B4">
      <w:pPr>
        <w:pStyle w:val="FootnoteText"/>
        <w:ind w:left="567" w:hanging="340"/>
        <w:rPr>
          <w:lang w:val="pt-PT"/>
        </w:rPr>
      </w:pPr>
      <w:r w:rsidRPr="00464EE9">
        <w:rPr>
          <w:rStyle w:val="FootnoteReference"/>
          <w:rFonts w:asciiTheme="minorHAnsi" w:hAnsiTheme="minorHAnsi" w:cstheme="minorBidi"/>
        </w:rPr>
        <w:footnoteRef/>
      </w:r>
      <w:r w:rsidRPr="00464EE9">
        <w:rPr>
          <w:rFonts w:asciiTheme="minorHAnsi" w:hAnsiTheme="minorHAnsi" w:cstheme="minorBidi"/>
          <w:lang w:val="pt-PT"/>
        </w:rPr>
        <w:t xml:space="preserve"> </w:t>
      </w:r>
      <w:r w:rsidRPr="00464EE9">
        <w:rPr>
          <w:rFonts w:asciiTheme="minorHAnsi" w:hAnsiTheme="minorHAnsi" w:cstheme="minorHAnsi"/>
          <w:lang w:val="pt-PT"/>
        </w:rPr>
        <w:tab/>
      </w:r>
      <w:r>
        <w:rPr>
          <w:rFonts w:asciiTheme="minorHAnsi" w:hAnsiTheme="minorHAnsi" w:cstheme="minorBidi"/>
          <w:shd w:val="clear" w:color="auto" w:fill="FFFFFF"/>
          <w:lang w:val="pt-PT"/>
        </w:rPr>
        <w:t>Regulation (EU) 2021/1119.</w:t>
      </w:r>
      <w:r w:rsidRPr="007B47B4">
        <w:t xml:space="preserve"> </w:t>
      </w:r>
      <w:r>
        <w:tab/>
      </w:r>
      <w:hyperlink r:id="rId3" w:history="1">
        <w:r w:rsidRPr="007B47B4">
          <w:rPr>
            <w:rStyle w:val="Hyperlink"/>
            <w:rFonts w:asciiTheme="minorHAnsi" w:hAnsiTheme="minorHAnsi" w:cstheme="minorBidi"/>
            <w:sz w:val="18"/>
            <w:szCs w:val="18"/>
            <w:shd w:val="clear" w:color="auto" w:fill="FFFFFF"/>
            <w:lang w:val="pt-PT"/>
          </w:rPr>
          <w:t>https://eur-lex.europa.eu/legal-content/EN/TXT/?uri=celex%3A32021R1119</w:t>
        </w:r>
      </w:hyperlink>
      <w:r>
        <w:rPr>
          <w:rFonts w:asciiTheme="minorHAnsi" w:hAnsiTheme="minorHAnsi" w:cstheme="minorBidi"/>
          <w:shd w:val="clear" w:color="auto" w:fill="FFFFFF"/>
          <w:lang w:val="pt-PT"/>
        </w:rPr>
        <w:t xml:space="preserve"> </w:t>
      </w:r>
    </w:p>
  </w:footnote>
  <w:footnote w:id="7">
    <w:p w14:paraId="7A53FA90" w14:textId="2D95D291" w:rsidR="00F86647" w:rsidRPr="00F6079D" w:rsidRDefault="00F86647" w:rsidP="00C1561A">
      <w:pPr>
        <w:pStyle w:val="FootnoteText"/>
        <w:ind w:left="567" w:hanging="340"/>
        <w:rPr>
          <w:rFonts w:asciiTheme="minorHAnsi" w:hAnsiTheme="minorHAnsi" w:cstheme="minorBidi"/>
          <w:sz w:val="18"/>
          <w:szCs w:val="18"/>
          <w:shd w:val="clear" w:color="auto" w:fill="FFFFFF"/>
          <w:lang w:val="pt-PT"/>
        </w:rPr>
      </w:pPr>
      <w:r w:rsidRPr="00AD469F">
        <w:rPr>
          <w:rFonts w:asciiTheme="minorHAnsi" w:hAnsiTheme="minorHAnsi" w:cstheme="minorBidi"/>
          <w:shd w:val="clear" w:color="auto" w:fill="FFFFFF"/>
          <w:vertAlign w:val="superscript"/>
          <w:lang w:val="pt-PT"/>
        </w:rPr>
        <w:footnoteRef/>
      </w:r>
      <w:r w:rsidRPr="00C1561A">
        <w:rPr>
          <w:rFonts w:asciiTheme="minorHAnsi" w:hAnsiTheme="minorHAnsi" w:cstheme="minorBidi"/>
          <w:shd w:val="clear" w:color="auto" w:fill="FFFFFF"/>
          <w:lang w:val="pt-PT"/>
        </w:rPr>
        <w:t xml:space="preserve"> </w:t>
      </w:r>
      <w:r w:rsidRPr="00C1561A">
        <w:rPr>
          <w:rFonts w:asciiTheme="minorHAnsi" w:hAnsiTheme="minorHAnsi" w:cstheme="minorBidi"/>
          <w:shd w:val="clear" w:color="auto" w:fill="FFFFFF"/>
          <w:lang w:val="pt-PT"/>
        </w:rPr>
        <w:tab/>
        <w:t>COM(2020) 562 final</w:t>
      </w:r>
      <w:r>
        <w:rPr>
          <w:rFonts w:asciiTheme="minorHAnsi" w:hAnsiTheme="minorHAnsi" w:cstheme="minorBidi"/>
          <w:shd w:val="clear" w:color="auto" w:fill="FFFFFF"/>
          <w:lang w:val="pt-PT"/>
        </w:rPr>
        <w:t>.</w:t>
      </w:r>
      <w:r w:rsidRPr="007B47B4">
        <w:t xml:space="preserve"> </w:t>
      </w:r>
      <w:hyperlink r:id="rId4" w:history="1">
        <w:r w:rsidRPr="007B47B4">
          <w:rPr>
            <w:rStyle w:val="Hyperlink"/>
            <w:rFonts w:asciiTheme="minorHAnsi" w:hAnsiTheme="minorHAnsi" w:cstheme="minorBidi"/>
            <w:sz w:val="18"/>
            <w:szCs w:val="18"/>
            <w:shd w:val="clear" w:color="auto" w:fill="FFFFFF"/>
            <w:lang w:val="pt-PT"/>
          </w:rPr>
          <w:t>https://eur-lex.europa.eu/legal-content/EN/TXT/?uri=CELEX%3A52020DC0562</w:t>
        </w:r>
      </w:hyperlink>
      <w:r w:rsidRPr="007B47B4">
        <w:rPr>
          <w:rFonts w:asciiTheme="minorHAnsi" w:hAnsiTheme="minorHAnsi" w:cstheme="minorBidi"/>
          <w:sz w:val="18"/>
          <w:szCs w:val="18"/>
          <w:shd w:val="clear" w:color="auto" w:fill="FFFFFF"/>
          <w:lang w:val="pt-PT"/>
        </w:rPr>
        <w:t xml:space="preserve"> </w:t>
      </w:r>
    </w:p>
  </w:footnote>
  <w:footnote w:id="8">
    <w:p w14:paraId="51A15126" w14:textId="315040C0" w:rsidR="00F86647" w:rsidRPr="00F6079D" w:rsidRDefault="00F86647" w:rsidP="00F6079D">
      <w:pPr>
        <w:pStyle w:val="FootnoteText"/>
        <w:ind w:left="567" w:hanging="340"/>
        <w:rPr>
          <w:rFonts w:asciiTheme="minorHAnsi" w:hAnsiTheme="minorHAnsi" w:cstheme="minorBidi"/>
          <w:shd w:val="clear" w:color="auto" w:fill="FFFFFF"/>
          <w:lang w:val="pt-PT"/>
        </w:rPr>
      </w:pPr>
      <w:r w:rsidRPr="00AD469F">
        <w:rPr>
          <w:rFonts w:asciiTheme="minorHAnsi" w:hAnsiTheme="minorHAnsi" w:cstheme="minorBidi"/>
          <w:shd w:val="clear" w:color="auto" w:fill="FFFFFF"/>
          <w:vertAlign w:val="superscript"/>
          <w:lang w:val="pt-PT"/>
        </w:rPr>
        <w:footnoteRef/>
      </w:r>
      <w:r w:rsidRPr="00AD469F">
        <w:rPr>
          <w:rFonts w:asciiTheme="minorHAnsi" w:hAnsiTheme="minorHAnsi" w:cstheme="minorBidi"/>
          <w:shd w:val="clear" w:color="auto" w:fill="FFFFFF"/>
          <w:vertAlign w:val="superscript"/>
          <w:lang w:val="pt-PT"/>
        </w:rPr>
        <w:t xml:space="preserve"> </w:t>
      </w:r>
      <w:r>
        <w:rPr>
          <w:rFonts w:asciiTheme="minorHAnsi" w:hAnsiTheme="minorHAnsi" w:cstheme="minorBidi"/>
          <w:shd w:val="clear" w:color="auto" w:fill="FFFFFF"/>
          <w:lang w:val="pt-PT"/>
        </w:rPr>
        <w:tab/>
      </w:r>
      <w:r w:rsidRPr="00F6079D">
        <w:rPr>
          <w:rFonts w:asciiTheme="minorHAnsi" w:hAnsiTheme="minorHAnsi" w:cstheme="minorBidi"/>
          <w:shd w:val="clear" w:color="auto" w:fill="FFFFFF"/>
          <w:lang w:val="pt-PT"/>
        </w:rPr>
        <w:t>COM(2021) 555 final</w:t>
      </w:r>
      <w:r>
        <w:rPr>
          <w:rFonts w:asciiTheme="minorHAnsi" w:hAnsiTheme="minorHAnsi" w:cstheme="minorBidi"/>
          <w:shd w:val="clear" w:color="auto" w:fill="FFFFFF"/>
          <w:lang w:val="pt-PT"/>
        </w:rPr>
        <w:t xml:space="preserve">. </w:t>
      </w:r>
      <w:hyperlink r:id="rId5" w:history="1">
        <w:r w:rsidRPr="007B47B4">
          <w:rPr>
            <w:rStyle w:val="Hyperlink"/>
            <w:rFonts w:asciiTheme="minorHAnsi" w:hAnsiTheme="minorHAnsi" w:cstheme="minorBidi"/>
            <w:sz w:val="18"/>
            <w:szCs w:val="18"/>
            <w:shd w:val="clear" w:color="auto" w:fill="FFFFFF"/>
            <w:lang w:val="pt-PT"/>
          </w:rPr>
          <w:t>https://eur-lex.europa.eu/legal-content/EN/TXT/?uri=COM%3A2021%3A555%3AFIN</w:t>
        </w:r>
      </w:hyperlink>
      <w:r w:rsidRPr="007B47B4">
        <w:rPr>
          <w:rFonts w:asciiTheme="minorHAnsi" w:hAnsiTheme="minorHAnsi" w:cstheme="minorBidi"/>
          <w:sz w:val="18"/>
          <w:szCs w:val="18"/>
          <w:shd w:val="clear" w:color="auto" w:fill="FFFFFF"/>
          <w:lang w:val="pt-PT"/>
        </w:rPr>
        <w:t xml:space="preserve"> </w:t>
      </w:r>
    </w:p>
  </w:footnote>
  <w:footnote w:id="9">
    <w:p w14:paraId="762714CA" w14:textId="1ACFAFE2" w:rsidR="00F86647" w:rsidRPr="00F6079D" w:rsidRDefault="00F86647" w:rsidP="00F6079D">
      <w:pPr>
        <w:pStyle w:val="FootnoteText"/>
        <w:ind w:left="567" w:hanging="340"/>
        <w:rPr>
          <w:rFonts w:asciiTheme="minorHAnsi" w:hAnsiTheme="minorHAnsi" w:cstheme="minorBidi"/>
          <w:shd w:val="clear" w:color="auto" w:fill="FFFFFF"/>
          <w:lang w:val="pt-PT"/>
        </w:rPr>
      </w:pPr>
      <w:r w:rsidRPr="00AD469F">
        <w:rPr>
          <w:rFonts w:asciiTheme="minorHAnsi" w:hAnsiTheme="minorHAnsi" w:cstheme="minorBidi"/>
          <w:shd w:val="clear" w:color="auto" w:fill="FFFFFF"/>
          <w:vertAlign w:val="superscript"/>
          <w:lang w:val="pt-PT"/>
        </w:rPr>
        <w:footnoteRef/>
      </w:r>
      <w:r w:rsidRPr="00AD469F">
        <w:rPr>
          <w:rFonts w:asciiTheme="minorHAnsi" w:hAnsiTheme="minorHAnsi" w:cstheme="minorBidi"/>
          <w:shd w:val="clear" w:color="auto" w:fill="FFFFFF"/>
          <w:vertAlign w:val="superscript"/>
          <w:lang w:val="pt-PT"/>
        </w:rPr>
        <w:t xml:space="preserve"> </w:t>
      </w:r>
      <w:r>
        <w:rPr>
          <w:rFonts w:asciiTheme="minorHAnsi" w:hAnsiTheme="minorHAnsi" w:cstheme="minorBidi"/>
          <w:shd w:val="clear" w:color="auto" w:fill="FFFFFF"/>
          <w:lang w:val="pt-PT"/>
        </w:rPr>
        <w:tab/>
      </w:r>
      <w:r w:rsidRPr="00F6079D">
        <w:rPr>
          <w:rFonts w:asciiTheme="minorHAnsi" w:hAnsiTheme="minorHAnsi" w:cstheme="minorBidi"/>
          <w:shd w:val="clear" w:color="auto" w:fill="FFFFFF"/>
          <w:lang w:val="pt-PT"/>
        </w:rPr>
        <w:t>A very small fraction of F-gas emissions is covered by the EU ETS (perfluorocarbons emissions in the production of primary aluminium)</w:t>
      </w:r>
      <w:r>
        <w:rPr>
          <w:rFonts w:asciiTheme="minorHAnsi" w:hAnsiTheme="minorHAnsi" w:cstheme="minorBidi"/>
          <w:shd w:val="clear" w:color="auto" w:fill="FFFFFF"/>
          <w:lang w:val="pt-PT"/>
        </w:rPr>
        <w:t xml:space="preserve">. </w:t>
      </w:r>
      <w:r w:rsidRPr="00DD42FC">
        <w:rPr>
          <w:rFonts w:asciiTheme="minorHAnsi" w:hAnsiTheme="minorHAnsi" w:cstheme="minorBidi"/>
          <w:shd w:val="clear" w:color="auto" w:fill="FFFFFF"/>
          <w:lang w:val="pt-PT"/>
        </w:rPr>
        <w:t>There are also fluorinated GHG not covered by the ESR and the ETS, e.g. gases listed in Annex II of the F-gas Regulation (except for NF</w:t>
      </w:r>
      <w:r w:rsidRPr="00DB1EAE">
        <w:rPr>
          <w:rFonts w:asciiTheme="minorHAnsi" w:hAnsiTheme="minorHAnsi" w:cstheme="minorBidi"/>
          <w:shd w:val="clear" w:color="auto" w:fill="FFFFFF"/>
          <w:vertAlign w:val="subscript"/>
          <w:lang w:val="pt-PT"/>
        </w:rPr>
        <w:t>3</w:t>
      </w:r>
      <w:r w:rsidRPr="00DD42FC">
        <w:rPr>
          <w:rFonts w:asciiTheme="minorHAnsi" w:hAnsiTheme="minorHAnsi" w:cstheme="minorBidi"/>
          <w:shd w:val="clear" w:color="auto" w:fill="FFFFFF"/>
          <w:lang w:val="pt-PT"/>
        </w:rPr>
        <w:t>), and other, as yet unlisted fluorinated GHG.</w:t>
      </w:r>
    </w:p>
  </w:footnote>
  <w:footnote w:id="10">
    <w:p w14:paraId="50E46970" w14:textId="36DAE687" w:rsidR="00F86647" w:rsidRPr="001149AA" w:rsidRDefault="00F86647" w:rsidP="004D6845">
      <w:pPr>
        <w:pStyle w:val="FootnoteText"/>
        <w:ind w:left="567" w:hanging="340"/>
        <w:rPr>
          <w:rFonts w:asciiTheme="minorHAnsi" w:hAnsiTheme="minorHAnsi" w:cstheme="minorHAnsi"/>
        </w:rPr>
      </w:pPr>
      <w:r w:rsidRPr="001149AA">
        <w:rPr>
          <w:rStyle w:val="FootnoteReference"/>
          <w:rFonts w:asciiTheme="minorHAnsi" w:hAnsiTheme="minorHAnsi" w:cstheme="minorHAnsi"/>
        </w:rPr>
        <w:footnoteRef/>
      </w:r>
      <w:r w:rsidRPr="001149AA">
        <w:rPr>
          <w:rFonts w:asciiTheme="minorHAnsi" w:hAnsiTheme="minorHAnsi" w:cstheme="minorHAnsi"/>
        </w:rPr>
        <w:t xml:space="preserve"> </w:t>
      </w:r>
      <w:r>
        <w:rPr>
          <w:rFonts w:asciiTheme="minorHAnsi" w:hAnsiTheme="minorHAnsi" w:cstheme="minorHAnsi"/>
        </w:rPr>
        <w:tab/>
      </w:r>
      <w:r w:rsidRPr="001149AA">
        <w:rPr>
          <w:rFonts w:asciiTheme="minorHAnsi" w:hAnsiTheme="minorHAnsi" w:cstheme="minorHAnsi"/>
        </w:rPr>
        <w:t>HFCs are the most commonly used F-gases and contribute most of the emissions of this substance group</w:t>
      </w:r>
    </w:p>
  </w:footnote>
  <w:footnote w:id="11">
    <w:p w14:paraId="7D83E389" w14:textId="77777777" w:rsidR="00F86647" w:rsidRPr="001149AA" w:rsidRDefault="00F86647" w:rsidP="004D6845">
      <w:pPr>
        <w:pStyle w:val="FootnoteText"/>
        <w:ind w:left="567" w:hanging="340"/>
        <w:rPr>
          <w:rFonts w:asciiTheme="minorHAnsi" w:hAnsiTheme="minorHAnsi" w:cstheme="minorHAnsi"/>
        </w:rPr>
      </w:pPr>
      <w:r w:rsidRPr="001149AA">
        <w:rPr>
          <w:rStyle w:val="FootnoteReference"/>
          <w:rFonts w:asciiTheme="minorHAnsi" w:hAnsiTheme="minorHAnsi" w:cstheme="minorHAnsi"/>
        </w:rPr>
        <w:footnoteRef/>
      </w:r>
      <w:r w:rsidRPr="001149AA">
        <w:rPr>
          <w:rFonts w:asciiTheme="minorHAnsi" w:hAnsiTheme="minorHAnsi" w:cstheme="minorHAnsi"/>
        </w:rPr>
        <w:t xml:space="preserve"> </w:t>
      </w:r>
      <w:r w:rsidRPr="001149AA">
        <w:rPr>
          <w:rFonts w:asciiTheme="minorHAnsi" w:hAnsiTheme="minorHAnsi" w:cstheme="minorHAnsi"/>
        </w:rPr>
        <w:tab/>
        <w:t xml:space="preserve">IPCC Special Report. Global warming of 1.5 C (August 2021). </w:t>
      </w:r>
      <w:hyperlink r:id="rId6" w:history="1">
        <w:r w:rsidRPr="001149AA">
          <w:rPr>
            <w:rStyle w:val="Hyperlink"/>
            <w:rFonts w:asciiTheme="minorHAnsi" w:hAnsiTheme="minorHAnsi" w:cstheme="minorHAnsi"/>
          </w:rPr>
          <w:t>https://www.ipcc.ch/sr15/</w:t>
        </w:r>
      </w:hyperlink>
      <w:r w:rsidRPr="001149AA">
        <w:rPr>
          <w:rFonts w:asciiTheme="minorHAnsi" w:hAnsiTheme="minorHAnsi" w:cstheme="minorHAnsi"/>
        </w:rPr>
        <w:t xml:space="preserve"> </w:t>
      </w:r>
    </w:p>
  </w:footnote>
  <w:footnote w:id="12">
    <w:p w14:paraId="211BF838" w14:textId="1F1157F2" w:rsidR="00F86647" w:rsidRDefault="00F86647" w:rsidP="004D6845">
      <w:pPr>
        <w:pStyle w:val="FootnoteText"/>
        <w:ind w:left="567" w:hanging="340"/>
      </w:pPr>
      <w:r w:rsidRPr="001149AA">
        <w:rPr>
          <w:rStyle w:val="FootnoteReference"/>
          <w:rFonts w:asciiTheme="minorHAnsi" w:hAnsiTheme="minorHAnsi" w:cstheme="minorHAnsi"/>
        </w:rPr>
        <w:footnoteRef/>
      </w:r>
      <w:r w:rsidRPr="001149AA">
        <w:rPr>
          <w:rFonts w:asciiTheme="minorHAnsi" w:hAnsiTheme="minorHAnsi" w:cstheme="minorHAnsi"/>
        </w:rPr>
        <w:t xml:space="preserve"> </w:t>
      </w:r>
      <w:r>
        <w:rPr>
          <w:rFonts w:asciiTheme="minorHAnsi" w:hAnsiTheme="minorHAnsi" w:cstheme="minorHAnsi"/>
        </w:rPr>
        <w:tab/>
      </w:r>
      <w:hyperlink r:id="rId7" w:history="1">
        <w:r w:rsidRPr="001149AA">
          <w:rPr>
            <w:rStyle w:val="Hyperlink"/>
            <w:rFonts w:asciiTheme="minorHAnsi" w:hAnsiTheme="minorHAnsi" w:cstheme="minorHAnsi"/>
          </w:rPr>
          <w:t>Texts adopted - UN Climate Change Conference in Glasgow, UK (COP26) - Thursday, 21 October 2021 (europa.eu)</w:t>
        </w:r>
      </w:hyperlink>
      <w:r w:rsidRPr="001149AA">
        <w:rPr>
          <w:rFonts w:asciiTheme="minorHAnsi" w:hAnsiTheme="minorHAnsi" w:cstheme="minorHAnsi"/>
        </w:rPr>
        <w:t>, see point 94.</w:t>
      </w:r>
      <w:r>
        <w:rPr>
          <w:rFonts w:asciiTheme="minorHAnsi" w:hAnsiTheme="minorHAnsi" w:cstheme="minorHAnsi"/>
        </w:rPr>
        <w:t xml:space="preserve"> </w:t>
      </w:r>
    </w:p>
  </w:footnote>
  <w:footnote w:id="13">
    <w:p w14:paraId="2D40B2AD" w14:textId="149B7E32"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r>
      <w:r>
        <w:rPr>
          <w:rFonts w:asciiTheme="minorHAnsi" w:hAnsiTheme="minorHAnsi" w:cstheme="minorHAnsi"/>
        </w:rPr>
        <w:t>HFCs used as propellants in aerosol inhalers for medical use, e</w:t>
      </w:r>
      <w:r w:rsidRPr="00455EA2">
        <w:rPr>
          <w:rFonts w:asciiTheme="minorHAnsi" w:hAnsiTheme="minorHAnsi" w:cstheme="minorHAnsi"/>
        </w:rPr>
        <w:t>.g. asthma sprays.</w:t>
      </w:r>
    </w:p>
  </w:footnote>
  <w:footnote w:id="14">
    <w:p w14:paraId="735CC908" w14:textId="77777777" w:rsidR="00F86647" w:rsidRPr="00455EA2" w:rsidRDefault="00F86647" w:rsidP="003819CF">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Global Warming Potential. It is a metric for determining the relative contribution of a substance to climate warming. The GWP indicates how much (solar) energy the emissions of 1 tonne of a gas will absorb (and thus contribute to climate warming) over a given period of time, e.g. 100 years for GWP</w:t>
      </w:r>
      <w:r w:rsidRPr="00455EA2">
        <w:rPr>
          <w:rFonts w:asciiTheme="minorHAnsi" w:hAnsiTheme="minorHAnsi" w:cstheme="minorHAnsi"/>
          <w:vertAlign w:val="subscript"/>
        </w:rPr>
        <w:t>100</w:t>
      </w:r>
      <w:r w:rsidRPr="00455EA2">
        <w:rPr>
          <w:rFonts w:asciiTheme="minorHAnsi" w:hAnsiTheme="minorHAnsi" w:cstheme="minorHAnsi"/>
        </w:rPr>
        <w:t>, relative to the emissions of 1 tonne of carbon dioxide (CO</w:t>
      </w:r>
      <w:r w:rsidRPr="00455EA2">
        <w:rPr>
          <w:rFonts w:asciiTheme="minorHAnsi" w:hAnsiTheme="minorHAnsi" w:cstheme="minorHAnsi"/>
          <w:vertAlign w:val="subscript"/>
        </w:rPr>
        <w:t>2</w:t>
      </w:r>
      <w:r w:rsidRPr="00455EA2">
        <w:rPr>
          <w:rFonts w:asciiTheme="minorHAnsi" w:hAnsiTheme="minorHAnsi" w:cstheme="minorHAnsi"/>
        </w:rPr>
        <w:t>).</w:t>
      </w:r>
    </w:p>
  </w:footnote>
  <w:footnote w:id="15">
    <w:p w14:paraId="394A90EF" w14:textId="70F06A91"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 xml:space="preserve">To obtain these quantities of tCO2e, the metric tonnes of F-gases are multiplied with their respective GWP </w:t>
      </w:r>
    </w:p>
  </w:footnote>
  <w:footnote w:id="16">
    <w:p w14:paraId="532F9DDC" w14:textId="249A8872" w:rsidR="00F86647" w:rsidRPr="00851561" w:rsidRDefault="00F86647" w:rsidP="00851561">
      <w:pPr>
        <w:pStyle w:val="FootnoteText"/>
        <w:ind w:firstLine="227"/>
        <w:rPr>
          <w:rFonts w:asciiTheme="minorHAnsi" w:hAnsiTheme="minorHAnsi" w:cstheme="minorHAnsi"/>
        </w:rPr>
      </w:pPr>
      <w:r w:rsidRPr="00851561">
        <w:rPr>
          <w:rStyle w:val="FootnoteReference"/>
          <w:rFonts w:asciiTheme="minorHAnsi" w:hAnsiTheme="minorHAnsi" w:cstheme="minorHAnsi"/>
        </w:rPr>
        <w:footnoteRef/>
      </w:r>
      <w:r w:rsidRPr="00851561">
        <w:rPr>
          <w:rFonts w:asciiTheme="minorHAnsi" w:hAnsiTheme="minorHAnsi" w:cstheme="minorHAnsi"/>
        </w:rPr>
        <w:t xml:space="preserve"> </w:t>
      </w:r>
      <w:r>
        <w:rPr>
          <w:rFonts w:asciiTheme="minorHAnsi" w:hAnsiTheme="minorHAnsi" w:cstheme="minorHAnsi"/>
        </w:rPr>
        <w:t xml:space="preserve">    </w:t>
      </w:r>
      <w:hyperlink r:id="rId8" w:history="1">
        <w:r w:rsidRPr="004C3836">
          <w:rPr>
            <w:rStyle w:val="Hyperlink"/>
            <w:rFonts w:asciiTheme="minorHAnsi" w:hAnsiTheme="minorHAnsi" w:cstheme="minorHAnsi"/>
          </w:rPr>
          <w:t>http://eur-lex.europa.eu/LexUriServ/LexUriServ.do?uri=COM:2011:0112:FIN:EN:PDF</w:t>
        </w:r>
      </w:hyperlink>
      <w:r>
        <w:rPr>
          <w:rFonts w:asciiTheme="minorHAnsi" w:hAnsiTheme="minorHAnsi" w:cstheme="minorHAnsi"/>
        </w:rPr>
        <w:t xml:space="preserve"> </w:t>
      </w:r>
    </w:p>
  </w:footnote>
  <w:footnote w:id="17">
    <w:p w14:paraId="4F8866DA" w14:textId="61A6B1F5"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Directive 2009/125/EC</w:t>
      </w:r>
    </w:p>
  </w:footnote>
  <w:footnote w:id="18">
    <w:p w14:paraId="3EDE9F06" w14:textId="0E866900"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“Bulk” HFCs or gases refers to substances in containers (for transport, storage etc.) as opposed to HFCs or other F-gases already filled into products (e.g. an aerosol spray can) or equipment (e.g. an AC)</w:t>
      </w:r>
    </w:p>
  </w:footnote>
  <w:footnote w:id="19">
    <w:p w14:paraId="278946F6" w14:textId="4168BDBC" w:rsidR="00F86647" w:rsidRPr="005E43BE" w:rsidRDefault="00F86647" w:rsidP="005E43BE">
      <w:pPr>
        <w:pStyle w:val="FootnoteText"/>
        <w:ind w:left="567" w:hanging="340"/>
        <w:jc w:val="left"/>
        <w:rPr>
          <w:rFonts w:ascii="Calibri" w:hAnsi="Calibri" w:cs="Calibri"/>
        </w:rPr>
      </w:pPr>
      <w:r w:rsidRPr="005E43BE">
        <w:rPr>
          <w:rStyle w:val="FootnoteReference"/>
          <w:rFonts w:ascii="Calibri" w:hAnsi="Calibri" w:cs="Calibri"/>
        </w:rPr>
        <w:footnoteRef/>
      </w:r>
      <w:r>
        <w:rPr>
          <w:rFonts w:ascii="Calibri" w:hAnsi="Calibri" w:cs="Calibri"/>
        </w:rPr>
        <w:t xml:space="preserve">     </w:t>
      </w:r>
      <w:r w:rsidRPr="005E43BE">
        <w:rPr>
          <w:rFonts w:ascii="Calibri" w:hAnsi="Calibri" w:cs="Calibri"/>
        </w:rPr>
        <w:t>F-gas Regulation Impact Assessment. SWD(2012) 364https://ec.europa.eu/clima/document/download/4a34340e-9f82-41e7-adcb-5ce4035b764b_en</w:t>
      </w:r>
    </w:p>
  </w:footnote>
  <w:footnote w:id="20">
    <w:p w14:paraId="14DABEF8" w14:textId="42D9EEDE" w:rsidR="00F86647" w:rsidRPr="00322072" w:rsidRDefault="00F86647" w:rsidP="00322072">
      <w:pPr>
        <w:pStyle w:val="FootnoteText"/>
        <w:ind w:left="567" w:hanging="340"/>
        <w:rPr>
          <w:rFonts w:asciiTheme="minorHAnsi" w:hAnsiTheme="minorHAnsi" w:cstheme="minorHAnsi"/>
        </w:rPr>
      </w:pPr>
      <w:r w:rsidRPr="00322072">
        <w:rPr>
          <w:rStyle w:val="FootnoteReference"/>
          <w:rFonts w:asciiTheme="minorHAnsi" w:hAnsiTheme="minorHAnsi" w:cstheme="minorHAnsi"/>
        </w:rPr>
        <w:footnoteRef/>
      </w:r>
      <w:r w:rsidRPr="00322072">
        <w:rPr>
          <w:rFonts w:asciiTheme="minorHAnsi" w:hAnsiTheme="minorHAnsi" w:cstheme="minorHAnsi"/>
        </w:rPr>
        <w:t xml:space="preserve"> </w:t>
      </w:r>
      <w:r>
        <w:rPr>
          <w:rFonts w:asciiTheme="minorHAnsi" w:hAnsiTheme="minorHAnsi" w:cstheme="minorHAnsi"/>
        </w:rPr>
        <w:t xml:space="preserve">   </w:t>
      </w:r>
      <w:r w:rsidRPr="00322072">
        <w:rPr>
          <w:rFonts w:asciiTheme="minorHAnsi" w:hAnsiTheme="minorHAnsi" w:cstheme="minorHAnsi"/>
        </w:rPr>
        <w:t>Which were agreed in 2016 (Kigali Amendment)</w:t>
      </w:r>
      <w:r>
        <w:rPr>
          <w:rFonts w:asciiTheme="minorHAnsi" w:hAnsiTheme="minorHAnsi" w:cstheme="minorHAnsi"/>
        </w:rPr>
        <w:t>. Some alignment was achieved via implementing acts, e.g. Regulation (EU) 2017/1375 and Regulation (EU) 2019/522</w:t>
      </w:r>
    </w:p>
  </w:footnote>
  <w:footnote w:id="21">
    <w:p w14:paraId="51DCD272" w14:textId="19ABABFD"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r>
      <w:hyperlink r:id="rId9" w:history="1">
        <w:r w:rsidRPr="00FE6CE3">
          <w:rPr>
            <w:rStyle w:val="Hyperlink"/>
            <w:rFonts w:asciiTheme="minorHAnsi" w:hAnsiTheme="minorHAnsi" w:cstheme="minorHAnsi"/>
          </w:rPr>
          <w:t>https://eur-lex.europa.eu/legal-content/EN/TXT/PDF/?uri=CELEX:32018R1999&amp;from=EN</w:t>
        </w:r>
      </w:hyperlink>
      <w:r>
        <w:rPr>
          <w:rFonts w:asciiTheme="minorHAnsi" w:hAnsiTheme="minorHAnsi" w:cstheme="minorHAnsi"/>
        </w:rPr>
        <w:t xml:space="preserve"> </w:t>
      </w:r>
    </w:p>
  </w:footnote>
  <w:footnote w:id="22">
    <w:p w14:paraId="1F82434C" w14:textId="0AECF81A"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 xml:space="preserve">Hydrofluoroolefins (HFOs) and hydrochlorofluoroolefins (HCFOs) have been introduced as climate-friendly alternatives to HFCs. They break up quickly in the atmosphere and therefore have a very low GWP. </w:t>
      </w:r>
    </w:p>
  </w:footnote>
  <w:footnote w:id="23">
    <w:p w14:paraId="4583FC32" w14:textId="3F1041EF" w:rsidR="00F86647" w:rsidRPr="00F4774A" w:rsidRDefault="00F86647" w:rsidP="00F4774A">
      <w:pPr>
        <w:pStyle w:val="FootnoteText"/>
        <w:ind w:left="567" w:hanging="340"/>
        <w:rPr>
          <w:rFonts w:ascii="Calibri" w:hAnsi="Calibri" w:cs="Calibri"/>
        </w:rPr>
      </w:pPr>
      <w:r w:rsidRPr="00F4774A">
        <w:rPr>
          <w:rStyle w:val="FootnoteReference"/>
          <w:rFonts w:ascii="Calibri" w:hAnsi="Calibri" w:cs="Calibri"/>
        </w:rPr>
        <w:footnoteRef/>
      </w:r>
      <w:r w:rsidRPr="00F4774A">
        <w:rPr>
          <w:rFonts w:ascii="Calibri" w:hAnsi="Calibri" w:cs="Calibri"/>
        </w:rPr>
        <w:t xml:space="preserve"> </w:t>
      </w:r>
      <w:r>
        <w:rPr>
          <w:rFonts w:ascii="Calibri" w:hAnsi="Calibri" w:cs="Calibri"/>
        </w:rPr>
        <w:tab/>
      </w:r>
      <w:r w:rsidRPr="00F4774A">
        <w:rPr>
          <w:rFonts w:ascii="Calibri" w:hAnsi="Calibri" w:cs="Calibri"/>
        </w:rPr>
        <w:t xml:space="preserve">While HFCs replaced ODS in the past, this is not anymore the case today since ODS have been eliminated </w:t>
      </w:r>
      <w:r>
        <w:rPr>
          <w:rFonts w:ascii="Calibri" w:hAnsi="Calibri" w:cs="Calibri"/>
        </w:rPr>
        <w:t xml:space="preserve">in the EU in </w:t>
      </w:r>
      <w:r w:rsidRPr="00F4774A">
        <w:rPr>
          <w:rFonts w:ascii="Calibri" w:hAnsi="Calibri" w:cs="Calibri"/>
        </w:rPr>
        <w:t>sectors where this took place (in particular refrigeration, AC, foams,</w:t>
      </w:r>
      <w:r>
        <w:rPr>
          <w:rFonts w:ascii="Calibri" w:hAnsi="Calibri" w:cs="Calibri"/>
        </w:rPr>
        <w:t xml:space="preserve"> aerosols</w:t>
      </w:r>
      <w:r w:rsidRPr="00F4774A">
        <w:rPr>
          <w:rFonts w:ascii="Calibri" w:hAnsi="Calibri" w:cs="Calibri"/>
        </w:rPr>
        <w:t xml:space="preserve">..). Therefore, changes to the ODS Regulation regulating the few remaining uses </w:t>
      </w:r>
      <w:r>
        <w:rPr>
          <w:rFonts w:ascii="Calibri" w:hAnsi="Calibri" w:cs="Calibri"/>
        </w:rPr>
        <w:t xml:space="preserve">of ODS </w:t>
      </w:r>
      <w:r w:rsidRPr="00F4774A">
        <w:rPr>
          <w:rFonts w:ascii="Calibri" w:hAnsi="Calibri" w:cs="Calibri"/>
        </w:rPr>
        <w:t>will not affect the Fgas Regulation.</w:t>
      </w:r>
    </w:p>
  </w:footnote>
  <w:footnote w:id="24">
    <w:p w14:paraId="0CFBDFCA" w14:textId="04CF79D0" w:rsidR="00F86647" w:rsidRPr="00715326" w:rsidRDefault="00F86647" w:rsidP="00715326">
      <w:pPr>
        <w:pStyle w:val="FootnoteText"/>
        <w:ind w:left="567" w:hanging="340"/>
        <w:rPr>
          <w:rFonts w:ascii="Calibri" w:hAnsi="Calibri" w:cs="Calibri"/>
        </w:rPr>
      </w:pPr>
      <w:r w:rsidRPr="00715326">
        <w:rPr>
          <w:rStyle w:val="FootnoteReference"/>
          <w:rFonts w:ascii="Calibri" w:hAnsi="Calibri" w:cs="Calibri"/>
        </w:rPr>
        <w:footnoteRef/>
      </w:r>
      <w:r w:rsidRPr="00715326">
        <w:rPr>
          <w:rFonts w:ascii="Calibri" w:hAnsi="Calibri" w:cs="Calibri"/>
        </w:rPr>
        <w:t xml:space="preserve"> </w:t>
      </w:r>
      <w:r>
        <w:rPr>
          <w:rFonts w:ascii="Calibri" w:hAnsi="Calibri" w:cs="Calibri"/>
        </w:rPr>
        <w:tab/>
      </w:r>
      <w:r w:rsidRPr="00715326">
        <w:rPr>
          <w:rFonts w:ascii="Calibri" w:hAnsi="Calibri" w:cs="Calibri"/>
        </w:rPr>
        <w:t xml:space="preserve">Directive 2009/125/EC. </w:t>
      </w:r>
      <w:hyperlink r:id="rId10" w:history="1">
        <w:r w:rsidRPr="002B4E9C">
          <w:rPr>
            <w:rStyle w:val="Hyperlink"/>
            <w:rFonts w:ascii="Calibri" w:hAnsi="Calibri" w:cs="Calibri"/>
          </w:rPr>
          <w:t>https://eur-lex.europa.eu/legal-content/EN/TXT/?uri=CELEX:32009L0125</w:t>
        </w:r>
      </w:hyperlink>
      <w:r>
        <w:rPr>
          <w:rFonts w:ascii="Calibri" w:hAnsi="Calibri" w:cs="Calibri"/>
        </w:rPr>
        <w:t xml:space="preserve"> </w:t>
      </w:r>
    </w:p>
  </w:footnote>
  <w:footnote w:id="25">
    <w:p w14:paraId="635C72F4" w14:textId="75C3E791"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r>
      <w:hyperlink r:id="rId11" w:history="1">
        <w:r w:rsidRPr="00455EA2">
          <w:rPr>
            <w:rStyle w:val="Hyperlink"/>
            <w:rFonts w:asciiTheme="minorHAnsi" w:hAnsiTheme="minorHAnsi" w:cstheme="minorHAnsi"/>
          </w:rPr>
          <w:t>Press Release: EPEE Welcomes the Revision of the F-Gas Regulation: “Fine-tuning the gold standard” is key | EPEE (epeeglobal.org)</w:t>
        </w:r>
      </w:hyperlink>
    </w:p>
  </w:footnote>
  <w:footnote w:id="26">
    <w:p w14:paraId="42F32479" w14:textId="64177FD0" w:rsidR="00F86647" w:rsidRPr="009235A6" w:rsidRDefault="00F86647" w:rsidP="00C073BC">
      <w:pPr>
        <w:pStyle w:val="FootnoteText"/>
        <w:ind w:left="567" w:hanging="340"/>
        <w:rPr>
          <w:rFonts w:ascii="Calibri" w:hAnsi="Calibri" w:cs="Calibri"/>
        </w:rPr>
      </w:pPr>
      <w:r w:rsidRPr="00A22EEF">
        <w:rPr>
          <w:rStyle w:val="FootnoteReference"/>
          <w:rFonts w:ascii="Calibri" w:hAnsi="Calibri" w:cs="Calibri"/>
        </w:rPr>
        <w:footnoteRef/>
      </w:r>
      <w:r w:rsidRPr="00A22EEF">
        <w:rPr>
          <w:rFonts w:ascii="Calibri" w:hAnsi="Calibri" w:cs="Calibri"/>
        </w:rPr>
        <w:t xml:space="preserve"> </w:t>
      </w:r>
      <w:r>
        <w:rPr>
          <w:rFonts w:ascii="Calibri" w:hAnsi="Calibri" w:cs="Calibri"/>
        </w:rPr>
        <w:tab/>
      </w:r>
      <w:r w:rsidRPr="00A22EEF">
        <w:rPr>
          <w:rFonts w:ascii="Calibri" w:hAnsi="Calibri" w:cs="Calibri"/>
        </w:rPr>
        <w:t>The quota system made HFCs significantly more expensive in the EU. Thus</w:t>
      </w:r>
      <w:r>
        <w:rPr>
          <w:rFonts w:ascii="Calibri" w:hAnsi="Calibri" w:cs="Calibri"/>
        </w:rPr>
        <w:t>,</w:t>
      </w:r>
      <w:r w:rsidRPr="00A22EEF">
        <w:rPr>
          <w:rFonts w:ascii="Calibri" w:hAnsi="Calibri" w:cs="Calibri"/>
        </w:rPr>
        <w:t xml:space="preserve"> it made reclamation activities more profitable</w:t>
      </w:r>
      <w:r>
        <w:rPr>
          <w:rFonts w:ascii="Calibri" w:hAnsi="Calibri" w:cs="Calibri"/>
        </w:rPr>
        <w:t xml:space="preserve"> since no quota is needed for reclaimed gases</w:t>
      </w:r>
      <w:r w:rsidRPr="000E1101">
        <w:rPr>
          <w:rFonts w:ascii="Calibri" w:hAnsi="Calibri" w:cs="Calibri"/>
        </w:rPr>
        <w:t>.</w:t>
      </w:r>
      <w:r w:rsidRPr="00A22EEF">
        <w:rPr>
          <w:rFonts w:ascii="Calibri" w:hAnsi="Calibri" w:cs="Calibri"/>
        </w:rPr>
        <w:t xml:space="preserve"> This is clearly indicated by rising reclamation rates each year since 2014</w:t>
      </w:r>
      <w:r>
        <w:rPr>
          <w:rFonts w:ascii="Calibri" w:hAnsi="Calibri" w:cs="Calibri"/>
        </w:rPr>
        <w:t xml:space="preserve"> and quantities reclaimed tripling from 2014 to 2019</w:t>
      </w:r>
      <w:r w:rsidRPr="00A22EEF">
        <w:rPr>
          <w:rFonts w:ascii="Calibri" w:hAnsi="Calibri" w:cs="Calibri"/>
        </w:rPr>
        <w:t xml:space="preserve">. </w:t>
      </w:r>
      <w:r>
        <w:rPr>
          <w:rFonts w:ascii="Calibri" w:hAnsi="Calibri" w:cs="Calibri"/>
        </w:rPr>
        <w:t>See A5.6.1.1</w:t>
      </w:r>
      <w:r>
        <w:rPr>
          <w:rFonts w:ascii="Calibri" w:hAnsi="Calibri" w:cs="Calibri"/>
        </w:rPr>
        <w:fldChar w:fldCharType="begin"/>
      </w:r>
      <w:r>
        <w:rPr>
          <w:rFonts w:ascii="Calibri" w:hAnsi="Calibri" w:cs="Calibri"/>
        </w:rPr>
        <w:instrText xml:space="preserve"> PAGEREF _Ref90535271 \h </w:instrText>
      </w:r>
      <w:r>
        <w:rPr>
          <w:rFonts w:ascii="Calibri" w:hAnsi="Calibri" w:cs="Calibri"/>
        </w:rPr>
      </w:r>
      <w:r>
        <w:rPr>
          <w:rFonts w:ascii="Calibri" w:hAnsi="Calibri" w:cs="Calibri"/>
        </w:rPr>
        <w:fldChar w:fldCharType="end"/>
      </w:r>
    </w:p>
  </w:footnote>
  <w:footnote w:id="27">
    <w:p w14:paraId="00CF8998" w14:textId="7DF187DC" w:rsidR="00F86647" w:rsidRPr="000E0C84" w:rsidRDefault="00F86647" w:rsidP="00663B70">
      <w:pPr>
        <w:pStyle w:val="FootnoteText"/>
        <w:ind w:left="567" w:hanging="340"/>
        <w:jc w:val="left"/>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r>
      <w:r w:rsidRPr="00455EA2">
        <w:rPr>
          <w:rFonts w:asciiTheme="minorHAnsi" w:hAnsiTheme="minorHAnsi" w:cstheme="minorHAnsi"/>
          <w:color w:val="000000"/>
        </w:rPr>
        <w:t>C</w:t>
      </w:r>
      <w:r>
        <w:rPr>
          <w:rFonts w:asciiTheme="minorHAnsi" w:hAnsiTheme="minorHAnsi" w:cstheme="minorHAnsi"/>
          <w:color w:val="000000"/>
        </w:rPr>
        <w:t xml:space="preserve">OM (2011) 112. </w:t>
      </w:r>
      <w:hyperlink r:id="rId12" w:history="1">
        <w:r w:rsidRPr="009D2A6D">
          <w:rPr>
            <w:rStyle w:val="Hyperlink"/>
            <w:rFonts w:asciiTheme="minorHAnsi" w:hAnsiTheme="minorHAnsi" w:cstheme="minorHAnsi"/>
            <w:sz w:val="16"/>
            <w:szCs w:val="16"/>
          </w:rPr>
          <w:t>https://eur-lex.europa.eu/legal-content/EN/TXT/?uri=CELEX%3A52011DC0112&amp;qid=1646129502434</w:t>
        </w:r>
      </w:hyperlink>
      <w:r>
        <w:rPr>
          <w:rFonts w:asciiTheme="minorHAnsi" w:hAnsiTheme="minorHAnsi" w:cstheme="minorHAnsi"/>
          <w:color w:val="000000"/>
        </w:rPr>
        <w:t xml:space="preserve"> </w:t>
      </w:r>
    </w:p>
  </w:footnote>
  <w:footnote w:id="28">
    <w:p w14:paraId="5927BAA7" w14:textId="77777777" w:rsidR="00F86647" w:rsidRPr="00455EA2" w:rsidRDefault="00F86647" w:rsidP="00BC4357">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 xml:space="preserve">While significant technological developments have resulted in new climate-friendly alternatives becoming technically viable, market uptake </w:t>
      </w:r>
      <w:r>
        <w:rPr>
          <w:rFonts w:asciiTheme="minorHAnsi" w:hAnsiTheme="minorHAnsi" w:cstheme="minorHAnsi"/>
        </w:rPr>
        <w:t xml:space="preserve">is slow, for instance for </w:t>
      </w:r>
      <w:r w:rsidRPr="00455EA2">
        <w:rPr>
          <w:rFonts w:asciiTheme="minorHAnsi" w:hAnsiTheme="minorHAnsi" w:cstheme="minorHAnsi"/>
        </w:rPr>
        <w:t>switchgear and air conditioning (AC).</w:t>
      </w:r>
    </w:p>
  </w:footnote>
  <w:footnote w:id="29">
    <w:p w14:paraId="4E9DFBBB" w14:textId="77777777" w:rsidR="00F86647" w:rsidRPr="009A623B" w:rsidRDefault="00F86647" w:rsidP="00BC4357">
      <w:pPr>
        <w:pStyle w:val="FootnoteText"/>
        <w:ind w:firstLine="227"/>
        <w:rPr>
          <w:rFonts w:asciiTheme="minorHAnsi" w:hAnsiTheme="minorHAnsi" w:cstheme="minorHAnsi"/>
        </w:rPr>
      </w:pPr>
      <w:r w:rsidRPr="000E0C84">
        <w:rPr>
          <w:rStyle w:val="FootnoteReference"/>
          <w:rFonts w:asciiTheme="minorHAnsi" w:hAnsiTheme="minorHAnsi" w:cstheme="minorHAnsi"/>
        </w:rPr>
        <w:footnoteRef/>
      </w:r>
      <w:r w:rsidRPr="000E0C84">
        <w:rPr>
          <w:rFonts w:asciiTheme="minorHAnsi" w:hAnsiTheme="minorHAnsi" w:cstheme="minorHAnsi"/>
        </w:rPr>
        <w:t xml:space="preserve"> </w:t>
      </w:r>
      <w:r>
        <w:rPr>
          <w:rFonts w:asciiTheme="minorHAnsi" w:hAnsiTheme="minorHAnsi" w:cstheme="minorHAnsi"/>
        </w:rPr>
        <w:t xml:space="preserve">    See figure 79 of the In-Depth Analysis in support of the Commission Communication </w:t>
      </w:r>
      <w:r w:rsidRPr="00692365">
        <w:rPr>
          <w:rFonts w:asciiTheme="minorHAnsi" w:hAnsiTheme="minorHAnsi" w:cstheme="minorHAnsi"/>
        </w:rPr>
        <w:t>COM(2018) 773</w:t>
      </w:r>
    </w:p>
  </w:footnote>
  <w:footnote w:id="30">
    <w:p w14:paraId="20CB3DFB" w14:textId="77777777" w:rsidR="00F86647" w:rsidRPr="00C073BC" w:rsidRDefault="00F86647" w:rsidP="00692365">
      <w:pPr>
        <w:pStyle w:val="FootnoteText"/>
        <w:ind w:left="567" w:hanging="340"/>
        <w:rPr>
          <w:rFonts w:asciiTheme="minorHAnsi" w:hAnsiTheme="minorHAnsi" w:cstheme="minorHAnsi"/>
        </w:rPr>
      </w:pPr>
      <w:r w:rsidRPr="00C073BC">
        <w:rPr>
          <w:rStyle w:val="FootnoteReference"/>
          <w:rFonts w:asciiTheme="minorHAnsi" w:hAnsiTheme="minorHAnsi" w:cstheme="minorHAnsi"/>
        </w:rPr>
        <w:footnoteRef/>
      </w:r>
      <w:r w:rsidRPr="00C073BC">
        <w:rPr>
          <w:rFonts w:asciiTheme="minorHAnsi" w:hAnsiTheme="minorHAnsi" w:cstheme="minorHAnsi"/>
        </w:rPr>
        <w:t xml:space="preserve"> </w:t>
      </w:r>
      <w:r w:rsidRPr="00C073BC">
        <w:rPr>
          <w:rFonts w:asciiTheme="minorHAnsi" w:hAnsiTheme="minorHAnsi" w:cstheme="minorHAnsi"/>
        </w:rPr>
        <w:tab/>
      </w:r>
      <w:hyperlink r:id="rId13" w:history="1">
        <w:r w:rsidRPr="00C073BC">
          <w:rPr>
            <w:rStyle w:val="Hyperlink"/>
            <w:rFonts w:asciiTheme="minorHAnsi" w:hAnsiTheme="minorHAnsi" w:cstheme="minorHAnsi"/>
          </w:rPr>
          <w:t>https://energy.ec.europa.eu/publications-new/excel-files-mix-scenario_en</w:t>
        </w:r>
      </w:hyperlink>
      <w:r w:rsidRPr="00C073BC">
        <w:rPr>
          <w:rFonts w:asciiTheme="minorHAnsi" w:hAnsiTheme="minorHAnsi" w:cstheme="minorHAnsi"/>
        </w:rPr>
        <w:t xml:space="preserve"> </w:t>
      </w:r>
    </w:p>
  </w:footnote>
  <w:footnote w:id="31">
    <w:p w14:paraId="177EEF5D" w14:textId="3DA565BB" w:rsidR="00F86647" w:rsidRPr="00455EA2" w:rsidRDefault="00F86647" w:rsidP="00455EA2">
      <w:pPr>
        <w:pStyle w:val="FootnoteText"/>
        <w:ind w:left="567" w:hanging="340"/>
        <w:rPr>
          <w:rFonts w:asciiTheme="minorHAnsi" w:hAnsiTheme="minorHAnsi" w:cstheme="minorHAnsi"/>
          <w:lang w:val="en-US"/>
        </w:rPr>
      </w:pPr>
      <w:r w:rsidRPr="00455EA2">
        <w:rPr>
          <w:rStyle w:val="FootnoteReference"/>
          <w:rFonts w:asciiTheme="minorHAnsi" w:hAnsiTheme="minorHAnsi" w:cstheme="minorHAnsi"/>
        </w:rPr>
        <w:footnoteRef/>
      </w:r>
      <w:r w:rsidRPr="00455EA2">
        <w:rPr>
          <w:rFonts w:asciiTheme="minorHAnsi" w:hAnsiTheme="minorHAnsi" w:cstheme="minorHAnsi"/>
          <w:lang w:val="en-US"/>
        </w:rPr>
        <w:t xml:space="preserve"> </w:t>
      </w:r>
      <w:r w:rsidRPr="00455EA2">
        <w:rPr>
          <w:rFonts w:asciiTheme="minorHAnsi" w:hAnsiTheme="minorHAnsi" w:cstheme="minorHAnsi"/>
          <w:lang w:val="en-US"/>
        </w:rPr>
        <w:tab/>
        <w:t>F-gas equipment and products leak during their lifetime and at the end of their useful life. Thus use of F-gases in new products and equipment is resulting in emissions over a long period of time.</w:t>
      </w:r>
    </w:p>
  </w:footnote>
  <w:footnote w:id="32">
    <w:p w14:paraId="693C032E" w14:textId="35668E10" w:rsidR="00F86647" w:rsidRPr="00AA0577" w:rsidRDefault="00F86647" w:rsidP="004D6845">
      <w:pPr>
        <w:pStyle w:val="FootnoteText"/>
        <w:ind w:left="567" w:hanging="340"/>
        <w:rPr>
          <w:rFonts w:ascii="Calibri" w:hAnsi="Calibri" w:cs="Calibri"/>
        </w:rPr>
      </w:pPr>
      <w:r w:rsidRPr="009235A6">
        <w:rPr>
          <w:rStyle w:val="FootnoteReference"/>
          <w:rFonts w:ascii="Calibri" w:hAnsi="Calibri" w:cs="Calibri"/>
        </w:rPr>
        <w:footnoteRef/>
      </w:r>
      <w:r w:rsidRPr="009235A6">
        <w:rPr>
          <w:rFonts w:ascii="Calibri" w:hAnsi="Calibri" w:cs="Calibri"/>
        </w:rPr>
        <w:t xml:space="preserve"> </w:t>
      </w:r>
      <w:r>
        <w:rPr>
          <w:rFonts w:ascii="Calibri" w:hAnsi="Calibri" w:cs="Calibri"/>
        </w:rPr>
        <w:tab/>
      </w:r>
      <w:r w:rsidRPr="009235A6">
        <w:rPr>
          <w:rFonts w:ascii="Calibri" w:hAnsi="Calibri" w:cs="Calibri"/>
        </w:rPr>
        <w:t xml:space="preserve">HFCs in </w:t>
      </w:r>
      <w:r w:rsidRPr="00AA0577">
        <w:rPr>
          <w:rFonts w:ascii="Calibri" w:hAnsi="Calibri" w:cs="Calibri"/>
        </w:rPr>
        <w:t xml:space="preserve">insulation foams is only a modest problem but </w:t>
      </w:r>
      <w:r w:rsidRPr="003D7EAA">
        <w:rPr>
          <w:rFonts w:ascii="Calibri" w:hAnsi="Calibri" w:cs="Calibri"/>
        </w:rPr>
        <w:t>is</w:t>
      </w:r>
      <w:r>
        <w:rPr>
          <w:rFonts w:ascii="Calibri" w:hAnsi="Calibri" w:cs="Calibri"/>
        </w:rPr>
        <w:t xml:space="preserve"> </w:t>
      </w:r>
      <w:r w:rsidRPr="003D7EAA">
        <w:rPr>
          <w:rFonts w:ascii="Calibri" w:hAnsi="Calibri" w:cs="Calibri"/>
        </w:rPr>
        <w:t>relevant</w:t>
      </w:r>
      <w:r w:rsidRPr="00AA0577">
        <w:rPr>
          <w:rFonts w:ascii="Calibri" w:hAnsi="Calibri" w:cs="Calibri"/>
        </w:rPr>
        <w:t xml:space="preserve"> due to the synergies with ODS policies. See </w:t>
      </w:r>
      <w:r w:rsidRPr="009337FB">
        <w:rPr>
          <w:rFonts w:ascii="Calibri" w:hAnsi="Calibri" w:cs="Calibri"/>
        </w:rPr>
        <w:t>6.1.2.2</w:t>
      </w:r>
      <w:r w:rsidRPr="00AA0577">
        <w:rPr>
          <w:rFonts w:ascii="Calibri" w:hAnsi="Calibri" w:cs="Calibri"/>
        </w:rPr>
        <w:t>.</w:t>
      </w:r>
    </w:p>
  </w:footnote>
  <w:footnote w:id="33">
    <w:p w14:paraId="0A8C45A6" w14:textId="52778B5D" w:rsidR="00F86647" w:rsidRPr="00EC6476" w:rsidRDefault="00F86647" w:rsidP="004D6845">
      <w:pPr>
        <w:pStyle w:val="FootnoteText"/>
        <w:ind w:left="567" w:hanging="340"/>
      </w:pPr>
      <w:r w:rsidRPr="00AA0577">
        <w:rPr>
          <w:rStyle w:val="FootnoteReference"/>
          <w:rFonts w:ascii="Calibri" w:hAnsi="Calibri" w:cs="Calibri"/>
        </w:rPr>
        <w:footnoteRef/>
      </w:r>
      <w:r w:rsidRPr="00AA0577">
        <w:rPr>
          <w:rFonts w:ascii="Calibri" w:hAnsi="Calibri" w:cs="Calibri"/>
        </w:rPr>
        <w:t xml:space="preserve"> </w:t>
      </w:r>
      <w:r>
        <w:rPr>
          <w:rFonts w:ascii="Calibri" w:hAnsi="Calibri" w:cs="Calibri"/>
        </w:rPr>
        <w:t xml:space="preserve">  </w:t>
      </w:r>
      <w:r>
        <w:rPr>
          <w:rFonts w:ascii="Calibri" w:hAnsi="Calibri" w:cs="Calibri"/>
        </w:rPr>
        <w:tab/>
      </w:r>
      <w:r w:rsidRPr="00AA0577">
        <w:rPr>
          <w:rFonts w:ascii="Calibri" w:hAnsi="Calibri" w:cs="Calibri"/>
        </w:rPr>
        <w:t>e.g. 80% reduction from baseline levels in 2034, 85% reduction from baseline levels in 2036.</w:t>
      </w:r>
    </w:p>
  </w:footnote>
  <w:footnote w:id="34">
    <w:p w14:paraId="7E1FA51A" w14:textId="4740B11C" w:rsidR="00F86647" w:rsidRPr="003D7EAA" w:rsidRDefault="00F86647" w:rsidP="004D6845">
      <w:pPr>
        <w:pStyle w:val="FootnoteText"/>
        <w:ind w:left="567" w:hanging="340"/>
        <w:rPr>
          <w:rFonts w:ascii="Calibri" w:hAnsi="Calibri" w:cs="Calibri"/>
        </w:rPr>
      </w:pPr>
      <w:r w:rsidRPr="003D7EAA">
        <w:rPr>
          <w:rStyle w:val="FootnoteReference"/>
          <w:rFonts w:ascii="Calibri" w:hAnsi="Calibri" w:cs="Calibri"/>
        </w:rPr>
        <w:footnoteRef/>
      </w:r>
      <w:r w:rsidRPr="003D7EAA">
        <w:rPr>
          <w:rFonts w:ascii="Calibri" w:hAnsi="Calibri" w:cs="Calibri"/>
        </w:rPr>
        <w:t xml:space="preserve"> </w:t>
      </w:r>
      <w:r>
        <w:rPr>
          <w:rFonts w:ascii="Calibri" w:hAnsi="Calibri" w:cs="Calibri"/>
        </w:rPr>
        <w:tab/>
      </w:r>
      <w:r w:rsidRPr="003D7EAA">
        <w:rPr>
          <w:rFonts w:ascii="Calibri" w:hAnsi="Calibri" w:cs="Calibri"/>
        </w:rPr>
        <w:t>As the evaluation shows, HFCs used for MDIs have grown by 45% between 2015 and 2019</w:t>
      </w:r>
    </w:p>
  </w:footnote>
  <w:footnote w:id="35">
    <w:p w14:paraId="0978AC66" w14:textId="2059C03D" w:rsidR="00F86647" w:rsidRPr="00455EA2" w:rsidRDefault="00F86647" w:rsidP="004D6845">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 xml:space="preserve">Even though production is one of the relevant parameters of the quota system (“placing on the market”) </w:t>
      </w:r>
      <w:r>
        <w:rPr>
          <w:rFonts w:asciiTheme="minorHAnsi" w:hAnsiTheme="minorHAnsi" w:cstheme="minorHAnsi"/>
        </w:rPr>
        <w:t>and is thus indirectly regulated.</w:t>
      </w:r>
    </w:p>
  </w:footnote>
  <w:footnote w:id="36">
    <w:p w14:paraId="065DD8D4" w14:textId="24B1AA6E" w:rsidR="00F86647" w:rsidRPr="00455EA2" w:rsidRDefault="00F86647" w:rsidP="004D6845">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 xml:space="preserve">Only two Member States maintain HFC production today (France and Germany). 98% of EU production rights under the Protocol are assigned to five Member States (also ES, IT and NL). The EU has the option of complying with the production obligation at EU level, but Member States have so far not agreed on this (see 3.2.). </w:t>
      </w:r>
    </w:p>
  </w:footnote>
  <w:footnote w:id="37">
    <w:p w14:paraId="5953E0D5" w14:textId="4F9270C6"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 xml:space="preserve">I.e. companies below the threshold currently do not fall under the obligations to report, have quota, be registered etc. </w:t>
      </w:r>
      <w:r>
        <w:rPr>
          <w:rFonts w:asciiTheme="minorHAnsi" w:hAnsiTheme="minorHAnsi" w:cstheme="minorHAnsi"/>
        </w:rPr>
        <w:t>Industrial stakeholders such as large chemical firms</w:t>
      </w:r>
      <w:r w:rsidRPr="00455EA2">
        <w:rPr>
          <w:rFonts w:asciiTheme="minorHAnsi" w:hAnsiTheme="minorHAnsi" w:cstheme="minorHAnsi"/>
        </w:rPr>
        <w:t xml:space="preserve"> also pointed out that this threshold facilitated illegal imports (repeated imports).</w:t>
      </w:r>
    </w:p>
  </w:footnote>
  <w:footnote w:id="38">
    <w:p w14:paraId="715F6C69" w14:textId="692C6A20"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The EU phase-down concerns placing on the market (POM: includes import and EU production) whereas the Montreal Protocol regulates consumption (slightly different parameters than POM). To take into account these differences</w:t>
      </w:r>
      <w:r>
        <w:rPr>
          <w:rFonts w:asciiTheme="minorHAnsi" w:hAnsiTheme="minorHAnsi" w:cstheme="minorHAnsi"/>
        </w:rPr>
        <w:t>,</w:t>
      </w:r>
      <w:r w:rsidRPr="00455EA2">
        <w:rPr>
          <w:rFonts w:asciiTheme="minorHAnsi" w:hAnsiTheme="minorHAnsi" w:cstheme="minorHAnsi"/>
        </w:rPr>
        <w:t xml:space="preserve"> a “low consumption” a</w:t>
      </w:r>
      <w:r>
        <w:rPr>
          <w:rFonts w:asciiTheme="minorHAnsi" w:hAnsiTheme="minorHAnsi" w:cstheme="minorHAnsi"/>
        </w:rPr>
        <w:t>nd “high consumption” scenario we</w:t>
      </w:r>
      <w:r w:rsidRPr="00455EA2">
        <w:rPr>
          <w:rFonts w:asciiTheme="minorHAnsi" w:hAnsiTheme="minorHAnsi" w:cstheme="minorHAnsi"/>
        </w:rPr>
        <w:t>re used to estimate the low and high end</w:t>
      </w:r>
      <w:r>
        <w:rPr>
          <w:rFonts w:asciiTheme="minorHAnsi" w:hAnsiTheme="minorHAnsi" w:cstheme="minorHAnsi"/>
        </w:rPr>
        <w:t xml:space="preserve"> and see what the implications would be for EU compliance in the future</w:t>
      </w:r>
      <w:r w:rsidRPr="009337FB">
        <w:rPr>
          <w:rFonts w:asciiTheme="minorHAnsi" w:hAnsiTheme="minorHAnsi" w:cstheme="minorHAnsi"/>
        </w:rPr>
        <w:t xml:space="preserve"> </w:t>
      </w:r>
      <w:r>
        <w:rPr>
          <w:rFonts w:asciiTheme="minorHAnsi" w:hAnsiTheme="minorHAnsi" w:cstheme="minorHAnsi"/>
        </w:rPr>
        <w:t>(OekoRecherche et al., 2021).</w:t>
      </w:r>
    </w:p>
  </w:footnote>
  <w:footnote w:id="39">
    <w:p w14:paraId="30637914" w14:textId="59D8B6B0" w:rsidR="00F86647" w:rsidRPr="009235A6" w:rsidRDefault="00F86647" w:rsidP="00B56C5F">
      <w:pPr>
        <w:pStyle w:val="FootnoteText"/>
        <w:ind w:left="567" w:hanging="283"/>
        <w:rPr>
          <w:rFonts w:asciiTheme="minorHAnsi" w:hAnsiTheme="minorHAnsi" w:cstheme="minorHAnsi"/>
        </w:rPr>
      </w:pPr>
      <w:r w:rsidRPr="009235A6">
        <w:rPr>
          <w:rStyle w:val="FootnoteReference"/>
          <w:rFonts w:asciiTheme="minorHAnsi" w:hAnsiTheme="minorHAnsi" w:cstheme="minorHAnsi"/>
        </w:rPr>
        <w:footnoteRef/>
      </w:r>
      <w:r w:rsidRPr="009235A6">
        <w:rPr>
          <w:rFonts w:asciiTheme="minorHAnsi" w:hAnsiTheme="minorHAnsi" w:cstheme="minorHAnsi"/>
        </w:rPr>
        <w:t xml:space="preserve"> </w:t>
      </w:r>
      <w:r>
        <w:rPr>
          <w:rFonts w:asciiTheme="minorHAnsi" w:hAnsiTheme="minorHAnsi" w:cstheme="minorHAnsi"/>
        </w:rPr>
        <w:t xml:space="preserve"> </w:t>
      </w:r>
      <w:r w:rsidRPr="009235A6">
        <w:rPr>
          <w:rFonts w:asciiTheme="minorHAnsi" w:hAnsiTheme="minorHAnsi" w:cstheme="minorHAnsi"/>
        </w:rPr>
        <w:t xml:space="preserve">The evaluation also identified other challenges: The issue of possible eco-toxicological consequences </w:t>
      </w:r>
      <w:r>
        <w:rPr>
          <w:rFonts w:asciiTheme="minorHAnsi" w:hAnsiTheme="minorHAnsi" w:cstheme="minorHAnsi"/>
        </w:rPr>
        <w:t xml:space="preserve">of HFC and H(C)FOs </w:t>
      </w:r>
      <w:r w:rsidRPr="009235A6">
        <w:rPr>
          <w:rFonts w:asciiTheme="minorHAnsi" w:hAnsiTheme="minorHAnsi" w:cstheme="minorHAnsi"/>
        </w:rPr>
        <w:t xml:space="preserve">requires further observation </w:t>
      </w:r>
      <w:r>
        <w:rPr>
          <w:rFonts w:asciiTheme="minorHAnsi" w:hAnsiTheme="minorHAnsi" w:cstheme="minorHAnsi"/>
        </w:rPr>
        <w:t>(</w:t>
      </w:r>
      <w:r w:rsidRPr="009235A6">
        <w:rPr>
          <w:rFonts w:asciiTheme="minorHAnsi" w:hAnsiTheme="minorHAnsi" w:cstheme="minorHAnsi"/>
        </w:rPr>
        <w:t>section 6.1.4</w:t>
      </w:r>
      <w:r>
        <w:rPr>
          <w:rFonts w:asciiTheme="minorHAnsi" w:hAnsiTheme="minorHAnsi" w:cstheme="minorHAnsi"/>
        </w:rPr>
        <w:t>), but preventing their emissions is part of the higher ambition objective (section 2.1.1)</w:t>
      </w:r>
      <w:r w:rsidRPr="009235A6">
        <w:rPr>
          <w:rFonts w:asciiTheme="minorHAnsi" w:hAnsiTheme="minorHAnsi" w:cstheme="minorHAnsi"/>
        </w:rPr>
        <w:t>. Barriers to safety codes require remedial action outside of the scope of the Regulation. Penalties are discussed in connection with Illegal imports and the issue of data verification is discussed under “monitoring gaps” (section 2.1.4).</w:t>
      </w:r>
    </w:p>
  </w:footnote>
  <w:footnote w:id="40">
    <w:p w14:paraId="73B04FF5" w14:textId="0ABFCF77" w:rsidR="00F86647" w:rsidRPr="009235A6" w:rsidRDefault="00F86647" w:rsidP="00B56C5F">
      <w:pPr>
        <w:pStyle w:val="FootnoteText"/>
        <w:ind w:left="567" w:hanging="283"/>
        <w:rPr>
          <w:rFonts w:ascii="Calibri" w:hAnsi="Calibri" w:cs="Calibri"/>
        </w:rPr>
      </w:pPr>
      <w:r w:rsidRPr="009235A6">
        <w:rPr>
          <w:rStyle w:val="FootnoteReference"/>
          <w:rFonts w:ascii="Calibri" w:hAnsi="Calibri" w:cs="Calibri"/>
        </w:rPr>
        <w:footnoteRef/>
      </w:r>
      <w:r w:rsidRPr="009235A6">
        <w:rPr>
          <w:rFonts w:ascii="Calibri" w:hAnsi="Calibri" w:cs="Calibri"/>
        </w:rPr>
        <w:t xml:space="preserve"> </w:t>
      </w:r>
      <w:r>
        <w:rPr>
          <w:rFonts w:ascii="Calibri" w:hAnsi="Calibri" w:cs="Calibri"/>
        </w:rPr>
        <w:t xml:space="preserve"> </w:t>
      </w:r>
      <w:r w:rsidRPr="009235A6">
        <w:rPr>
          <w:rFonts w:ascii="Calibri" w:hAnsi="Calibri" w:cs="Calibri"/>
        </w:rPr>
        <w:t xml:space="preserve">Besides a discrepancy of trade statistics (exports to the EU by </w:t>
      </w:r>
      <w:r>
        <w:rPr>
          <w:rFonts w:ascii="Calibri" w:hAnsi="Calibri" w:cs="Calibri"/>
        </w:rPr>
        <w:t>China</w:t>
      </w:r>
      <w:r w:rsidRPr="009235A6">
        <w:rPr>
          <w:rFonts w:ascii="Calibri" w:hAnsi="Calibri" w:cs="Calibri"/>
        </w:rPr>
        <w:t xml:space="preserve"> and the corresponding EUROSTAT import statistics), many shipments of illegal gas are increasingly found at the borders. OLAF has discovered a number of fraudulent activities</w:t>
      </w:r>
      <w:r>
        <w:rPr>
          <w:rFonts w:ascii="Calibri" w:hAnsi="Calibri" w:cs="Calibri"/>
        </w:rPr>
        <w:t>,</w:t>
      </w:r>
      <w:r w:rsidRPr="009235A6">
        <w:rPr>
          <w:rFonts w:ascii="Calibri" w:hAnsi="Calibri" w:cs="Calibri"/>
        </w:rPr>
        <w:t xml:space="preserve"> and industrial stakeholders at all levels (producers, importers, distributors, service companies) report that they have come across these activities.</w:t>
      </w:r>
    </w:p>
  </w:footnote>
  <w:footnote w:id="41">
    <w:p w14:paraId="0517CE6C" w14:textId="77777777" w:rsidR="00F86647" w:rsidRDefault="00F86647" w:rsidP="00455EA2">
      <w:pPr>
        <w:pStyle w:val="FootnoteText"/>
        <w:ind w:left="567" w:hanging="340"/>
        <w:rPr>
          <w:rStyle w:val="Hyperlink"/>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r>
      <w:hyperlink r:id="rId14" w:history="1">
        <w:r w:rsidRPr="00455EA2">
          <w:rPr>
            <w:rStyle w:val="Hyperlink"/>
            <w:rFonts w:asciiTheme="minorHAnsi" w:hAnsiTheme="minorHAnsi" w:cstheme="minorHAnsi"/>
          </w:rPr>
          <w:t>https://ec.europa.eu/clima/document/download/8b970e78-c5c3-41fd-b846-c75c1b6b045b_en</w:t>
        </w:r>
      </w:hyperlink>
      <w:r>
        <w:rPr>
          <w:rStyle w:val="Hyperlink"/>
          <w:rFonts w:asciiTheme="minorHAnsi" w:hAnsiTheme="minorHAnsi" w:cstheme="minorHAnsi"/>
        </w:rPr>
        <w:t xml:space="preserve">. </w:t>
      </w:r>
    </w:p>
    <w:p w14:paraId="01E51E7A" w14:textId="191E812B" w:rsidR="00F86647" w:rsidRPr="000D77BF" w:rsidRDefault="00F86647" w:rsidP="000D77BF">
      <w:pPr>
        <w:pStyle w:val="FootnoteText"/>
        <w:ind w:left="567"/>
        <w:rPr>
          <w:rFonts w:asciiTheme="minorHAnsi" w:hAnsiTheme="minorHAnsi" w:cstheme="minorHAnsi"/>
        </w:rPr>
      </w:pPr>
      <w:r w:rsidRPr="000D77BF">
        <w:rPr>
          <w:rStyle w:val="Hyperlink"/>
          <w:rFonts w:asciiTheme="minorHAnsi" w:hAnsiTheme="minorHAnsi" w:cstheme="minorHAnsi"/>
          <w:color w:val="000000" w:themeColor="text1"/>
          <w:u w:val="none"/>
        </w:rPr>
        <w:t>The industry has claimed that illegal trade may be up to 30% of the total quota available in a year, but this assumes that (i) all discrepancies detected in trade statistics would actually be illegal imports while there may be other explanations (e.g. export data inaccuracies such as re-routing of trade) and/or (ii) unexplained higher imports into EU neighbouring countries are automatically assumed to end up in the EU without concrete evidence of the extent of cross-border smuggling.</w:t>
      </w:r>
      <w:r w:rsidRPr="000D77BF">
        <w:rPr>
          <w:rFonts w:asciiTheme="minorHAnsi" w:hAnsiTheme="minorHAnsi" w:cstheme="minorHAnsi"/>
          <w:color w:val="000000" w:themeColor="text1"/>
        </w:rPr>
        <w:t xml:space="preserve"> </w:t>
      </w:r>
    </w:p>
  </w:footnote>
  <w:footnote w:id="42">
    <w:p w14:paraId="28B5BAB1" w14:textId="2C71BE0A"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 xml:space="preserve">Data for the quota system (F-gas Reporting) and trade data (EUROSTAT trade statistics) matched very well. </w:t>
      </w:r>
    </w:p>
  </w:footnote>
  <w:footnote w:id="43">
    <w:p w14:paraId="4DCEF2A8" w14:textId="39FD781F"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 xml:space="preserve">Apparent from the F-gas and custom experts group that met several times between 2019 to 2021 to discuss illegal HFC trade. The Commission financed the group under the </w:t>
      </w:r>
      <w:r w:rsidRPr="00455EA2">
        <w:rPr>
          <w:rFonts w:asciiTheme="minorHAnsi" w:hAnsiTheme="minorHAnsi" w:cstheme="minorHAnsi"/>
          <w:i/>
        </w:rPr>
        <w:t>Customs 2020 Programme</w:t>
      </w:r>
      <w:r w:rsidRPr="00455EA2">
        <w:rPr>
          <w:rFonts w:asciiTheme="minorHAnsi" w:hAnsiTheme="minorHAnsi" w:cstheme="minorHAnsi"/>
        </w:rPr>
        <w:t xml:space="preserve">. </w:t>
      </w:r>
    </w:p>
  </w:footnote>
  <w:footnote w:id="44">
    <w:p w14:paraId="4494A105" w14:textId="25957CB2" w:rsidR="00F86647" w:rsidRPr="00455EA2" w:rsidRDefault="00F86647" w:rsidP="00455EA2">
      <w:pPr>
        <w:pStyle w:val="FootnoteText"/>
        <w:tabs>
          <w:tab w:val="left" w:pos="8647"/>
        </w:tabs>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 xml:space="preserve">The unsatisfactory level of illegal trade and </w:t>
      </w:r>
      <w:r w:rsidRPr="00455EA2">
        <w:rPr>
          <w:rFonts w:asciiTheme="minorHAnsi" w:hAnsiTheme="minorHAnsi" w:cstheme="minorHAnsi"/>
          <w:i/>
        </w:rPr>
        <w:t xml:space="preserve">modus operandi </w:t>
      </w:r>
      <w:r w:rsidRPr="00455EA2">
        <w:rPr>
          <w:rFonts w:asciiTheme="minorHAnsi" w:hAnsiTheme="minorHAnsi" w:cstheme="minorHAnsi"/>
        </w:rPr>
        <w:t xml:space="preserve">has been evidenced by customs and surveillance authorities, the European Anti-Fraud Office (OLAF), a private investigating firm hired by the industry. 53 stakeholders sent an open letter to policy makers calling for action against illegal imports that is harming their legitimate business. Also, the NGO Environmental Investigation Agency published two reports “Doors wide open: Europe’s flourishing illegal trade in hydrofluorocarbons (HFCs)” (2019) and “Europe’s Most Chilling Crime – The illegal trade in HFC refrigerant gases” (2021). </w:t>
      </w:r>
    </w:p>
  </w:footnote>
  <w:footnote w:id="45">
    <w:p w14:paraId="346200B4" w14:textId="72DD7A73"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 xml:space="preserve">CERTEX is an </w:t>
      </w:r>
      <w:r w:rsidRPr="00455EA2">
        <w:rPr>
          <w:rFonts w:asciiTheme="minorHAnsi" w:hAnsiTheme="minorHAnsi" w:cstheme="minorHAnsi"/>
          <w:color w:val="000000" w:themeColor="text1"/>
        </w:rPr>
        <w:t>IT system that allows to exchange data (“certificates”) on relevant F-gas shipments between the central EU F-gas Portal &amp; HFC Licensing System and custom offices in the Member States directly; IT precursor of the European Single Window Environment for Customs</w:t>
      </w:r>
    </w:p>
  </w:footnote>
  <w:footnote w:id="46">
    <w:p w14:paraId="2EC1CB10" w14:textId="240425C1"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 xml:space="preserve">EU Single Window Environment for Customs: This proposal would make the use of CERTEX for F-gases mandatory in all 27 Member States. </w:t>
      </w:r>
      <w:hyperlink r:id="rId15" w:history="1">
        <w:r w:rsidRPr="005B2AE5">
          <w:rPr>
            <w:rStyle w:val="Hyperlink"/>
            <w:rFonts w:asciiTheme="minorHAnsi" w:hAnsiTheme="minorHAnsi" w:cstheme="minorHAnsi"/>
          </w:rPr>
          <w:t>https://ec.europa.eu/taxation_customs/eu-single-window-environment-customs_en</w:t>
        </w:r>
      </w:hyperlink>
      <w:r>
        <w:rPr>
          <w:rFonts w:asciiTheme="minorHAnsi" w:hAnsiTheme="minorHAnsi" w:cstheme="minorHAnsi"/>
        </w:rPr>
        <w:t xml:space="preserve"> </w:t>
      </w:r>
    </w:p>
  </w:footnote>
  <w:footnote w:id="47">
    <w:p w14:paraId="0F2E7851" w14:textId="77777777" w:rsidR="00F86647" w:rsidRPr="00455EA2" w:rsidRDefault="00F86647" w:rsidP="004D6845">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 xml:space="preserve">COM/2016/0748. Commission report on the availability of training for service personnel regarding the safe handling of climate-friendly refrigerants. </w:t>
      </w:r>
    </w:p>
    <w:p w14:paraId="5B97FE33" w14:textId="1AE2F06E" w:rsidR="00F86647" w:rsidRPr="00455EA2" w:rsidRDefault="00F86647" w:rsidP="004D6845">
      <w:pPr>
        <w:pStyle w:val="FootnoteText"/>
        <w:ind w:left="567"/>
        <w:rPr>
          <w:rFonts w:asciiTheme="minorHAnsi" w:hAnsiTheme="minorHAnsi" w:cstheme="minorHAnsi"/>
        </w:rPr>
      </w:pPr>
      <w:r w:rsidRPr="00455EA2">
        <w:rPr>
          <w:rFonts w:asciiTheme="minorHAnsi" w:hAnsiTheme="minorHAnsi" w:cstheme="minorHAnsi"/>
        </w:rPr>
        <w:t>http://eur-lex.europa.eu/legal-content/EN/TXT/?uri=CELEX:52016DC0748</w:t>
      </w:r>
    </w:p>
  </w:footnote>
  <w:footnote w:id="48">
    <w:p w14:paraId="7B207D95" w14:textId="0F1E2C91" w:rsidR="00F86647" w:rsidRPr="007B56AB" w:rsidRDefault="00F86647" w:rsidP="004D6845">
      <w:pPr>
        <w:pStyle w:val="FootnoteText"/>
        <w:ind w:left="567" w:hanging="340"/>
      </w:pPr>
      <w:r w:rsidRPr="004D6845">
        <w:rPr>
          <w:rStyle w:val="FootnoteReference"/>
          <w:rFonts w:ascii="Calibri" w:hAnsi="Calibri" w:cs="Calibri"/>
        </w:rPr>
        <w:footnoteRef/>
      </w:r>
      <w:r w:rsidRPr="004D6845">
        <w:rPr>
          <w:rFonts w:ascii="Calibri" w:hAnsi="Calibri" w:cs="Calibri"/>
        </w:rPr>
        <w:t xml:space="preserve"> </w:t>
      </w:r>
      <w:r w:rsidRPr="004D6845">
        <w:rPr>
          <w:rFonts w:ascii="Calibri" w:hAnsi="Calibri" w:cs="Calibri"/>
        </w:rPr>
        <w:tab/>
      </w:r>
      <w:r w:rsidRPr="00DD4479">
        <w:rPr>
          <w:rFonts w:ascii="Calibri" w:hAnsi="Calibri" w:cs="Calibri"/>
        </w:rPr>
        <w:t>According to AREA, the European service personnel association, only 3.5-6% of F-gas certified personnel are trained on CO2, hydrocarbons and  HF(C)Os,</w:t>
      </w:r>
    </w:p>
  </w:footnote>
  <w:footnote w:id="49">
    <w:p w14:paraId="09885B3F" w14:textId="5597D657"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Depending on their respective properties of the alternatives (e.g. flammability, pressure, toxicity) other EU legislation is relevant (Explosive Atmospheres Directive 2014/34/EU (ATEX); Pressure Equipment Directive (PED: 2014/68/EU); 97/23/EC Directive 89/391/EEC – Occupational Safety and Health Framework Directive (OSH)</w:t>
      </w:r>
      <w:r>
        <w:rPr>
          <w:rFonts w:asciiTheme="minorHAnsi" w:hAnsiTheme="minorHAnsi" w:cstheme="minorHAnsi"/>
        </w:rPr>
        <w:t>.</w:t>
      </w:r>
    </w:p>
  </w:footnote>
  <w:footnote w:id="50">
    <w:p w14:paraId="1E06323E" w14:textId="223692FF"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 xml:space="preserve">The full list of gases is given in Annex </w:t>
      </w:r>
      <w:r>
        <w:rPr>
          <w:rFonts w:asciiTheme="minorHAnsi" w:hAnsiTheme="minorHAnsi" w:cstheme="minorHAnsi"/>
        </w:rPr>
        <w:t>A6.4.</w:t>
      </w:r>
    </w:p>
  </w:footnote>
  <w:footnote w:id="51">
    <w:p w14:paraId="64BF57E4" w14:textId="2169E397" w:rsidR="00F86647" w:rsidRPr="009235A6" w:rsidRDefault="00F86647" w:rsidP="004D6845">
      <w:pPr>
        <w:pStyle w:val="FootnoteText"/>
        <w:ind w:left="567" w:hanging="340"/>
        <w:rPr>
          <w:rFonts w:ascii="Calibri" w:hAnsi="Calibri" w:cs="Calibri"/>
        </w:rPr>
      </w:pPr>
      <w:r w:rsidRPr="009235A6">
        <w:rPr>
          <w:rStyle w:val="FootnoteReference"/>
          <w:rFonts w:ascii="Calibri" w:hAnsi="Calibri" w:cs="Calibri"/>
        </w:rPr>
        <w:footnoteRef/>
      </w:r>
      <w:r w:rsidRPr="009235A6">
        <w:rPr>
          <w:rFonts w:ascii="Calibri" w:hAnsi="Calibri" w:cs="Calibri"/>
        </w:rPr>
        <w:t xml:space="preserve"> </w:t>
      </w:r>
      <w:r>
        <w:rPr>
          <w:rFonts w:ascii="Calibri" w:hAnsi="Calibri" w:cs="Calibri"/>
        </w:rPr>
        <w:tab/>
      </w:r>
      <w:r w:rsidRPr="009235A6">
        <w:rPr>
          <w:rFonts w:ascii="Calibri" w:hAnsi="Calibri" w:cs="Calibri"/>
        </w:rPr>
        <w:t>Exempted are gases that are (i) imported for destruction, (ii) used as feedstock, i.e. input chemical, in chemical production processes, (iii) supplied directly for export, (iv) for use in military applications, (v) for semiconductor manufacture, or (vi) for MDI manufacture.</w:t>
      </w:r>
    </w:p>
  </w:footnote>
  <w:footnote w:id="52">
    <w:p w14:paraId="00783212" w14:textId="2F679BB5"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 xml:space="preserve">Only two Member States continue to have HFC production (Germany and France).  </w:t>
      </w:r>
    </w:p>
  </w:footnote>
  <w:footnote w:id="53">
    <w:p w14:paraId="1E257CD6" w14:textId="7FC1910D"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Pursuant to Article 2(8)(a) of the Protocol, an EU-level compliance under REIO on production is possible, but this is currently not the case as there was no agreement by Member States.</w:t>
      </w:r>
    </w:p>
  </w:footnote>
  <w:footnote w:id="54">
    <w:p w14:paraId="1F32DC3C" w14:textId="3937CCD1"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In the 2012 impact assessment it was demonstrated that even for EU-wide approaches the environmental benefit of having prohibitions alone was approximately 25 % inferior to also having am EU-wide phase-down (quota system), as the latter gradually introduces alternatives from an early date also in difficult sub-sectors where a prohibition to cover all or most of the sector would not yet be feasible.</w:t>
      </w:r>
    </w:p>
  </w:footnote>
  <w:footnote w:id="55">
    <w:p w14:paraId="1D86B9D7" w14:textId="1F695048" w:rsidR="00F86647" w:rsidRPr="009235A6" w:rsidRDefault="00F86647" w:rsidP="004D6845">
      <w:pPr>
        <w:pStyle w:val="FootnoteText"/>
        <w:ind w:left="567" w:hanging="340"/>
        <w:rPr>
          <w:rFonts w:ascii="Calibri" w:hAnsi="Calibri" w:cs="Calibri"/>
        </w:rPr>
      </w:pPr>
      <w:r w:rsidRPr="009235A6">
        <w:rPr>
          <w:rStyle w:val="FootnoteReference"/>
          <w:rFonts w:ascii="Calibri" w:hAnsi="Calibri" w:cs="Calibri"/>
        </w:rPr>
        <w:footnoteRef/>
      </w:r>
      <w:r w:rsidRPr="009235A6">
        <w:rPr>
          <w:rFonts w:ascii="Calibri" w:hAnsi="Calibri" w:cs="Calibri"/>
        </w:rPr>
        <w:t xml:space="preserve"> </w:t>
      </w:r>
      <w:r>
        <w:rPr>
          <w:rFonts w:ascii="Calibri" w:hAnsi="Calibri" w:cs="Calibri"/>
        </w:rPr>
        <w:tab/>
      </w:r>
      <w:r w:rsidRPr="009235A6">
        <w:rPr>
          <w:rFonts w:ascii="Calibri" w:hAnsi="Calibri" w:cs="Calibri"/>
        </w:rPr>
        <w:t xml:space="preserve">Therefore changes to emitted quantities usually follow changes in demand only with several years of delay. </w:t>
      </w:r>
    </w:p>
  </w:footnote>
  <w:footnote w:id="56">
    <w:p w14:paraId="494A43F4" w14:textId="50CAEA4D"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Other gases listed in Annex II are not included but their quantities are very small. F-gases not listed in the Annex I or II are similarly not included.</w:t>
      </w:r>
    </w:p>
  </w:footnote>
  <w:footnote w:id="57">
    <w:p w14:paraId="1B496C67" w14:textId="0723A454"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R32 replacing R410a in stationary AC and HFC-1234yf replacing HFC134a in passenger car AC due to the Directive 2006/40/EC relating to emissions from air conditioning systems in motor vehicles (MAC Directive).</w:t>
      </w:r>
    </w:p>
  </w:footnote>
  <w:footnote w:id="58">
    <w:p w14:paraId="6AD07DFD" w14:textId="7D63D299"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 xml:space="preserve">HFC-134a and HFC-227ea are currently used but in 2025 industry expects HFC152a (GWP 124) to become marketable after testing, homologation and approval by the European Medicines Agency. Research is also currently conducted on HFC-1234ze (GWP 7). </w:t>
      </w:r>
    </w:p>
  </w:footnote>
  <w:footnote w:id="59">
    <w:p w14:paraId="6B640D34" w14:textId="76DCD524" w:rsidR="00F86647" w:rsidRPr="001E68EB" w:rsidRDefault="00F86647" w:rsidP="007A1A81">
      <w:pPr>
        <w:spacing w:after="0"/>
        <w:ind w:left="567" w:hanging="340"/>
        <w:rPr>
          <w:rFonts w:asciiTheme="minorHAnsi" w:hAnsiTheme="minorHAnsi" w:cstheme="minorHAnsi"/>
          <w:sz w:val="20"/>
          <w:szCs w:val="20"/>
        </w:rPr>
      </w:pPr>
      <w:r w:rsidRPr="001E68EB">
        <w:rPr>
          <w:rStyle w:val="FootnoteReference"/>
          <w:rFonts w:asciiTheme="minorHAnsi" w:hAnsiTheme="minorHAnsi" w:cstheme="minorHAnsi"/>
          <w:sz w:val="20"/>
          <w:szCs w:val="20"/>
        </w:rPr>
        <w:footnoteRef/>
      </w:r>
      <w:hyperlink r:id="rId16" w:history="1">
        <w:r w:rsidRPr="001E68EB">
          <w:rPr>
            <w:rStyle w:val="Hyperlink"/>
            <w:rFonts w:asciiTheme="minorHAnsi" w:hAnsiTheme="minorHAnsi" w:cstheme="minorHAnsi"/>
            <w:sz w:val="20"/>
            <w:szCs w:val="20"/>
          </w:rPr>
          <w:t>https://www.zvei.org/fileadmin/user_upload/Presse_und_Medien/Publikationen/2020/April/SF_6_Reduktion/Szenario-zur-Reduktion-von-SF6-Betriebsemissionen-final-eng.pdf</w:t>
        </w:r>
      </w:hyperlink>
    </w:p>
  </w:footnote>
  <w:footnote w:id="60">
    <w:p w14:paraId="5F7F79AC" w14:textId="229AEF6E"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 xml:space="preserve">There are </w:t>
      </w:r>
      <w:r>
        <w:rPr>
          <w:rFonts w:asciiTheme="minorHAnsi" w:hAnsiTheme="minorHAnsi" w:cstheme="minorHAnsi"/>
        </w:rPr>
        <w:t xml:space="preserve">also </w:t>
      </w:r>
      <w:r w:rsidRPr="00455EA2">
        <w:rPr>
          <w:rFonts w:asciiTheme="minorHAnsi" w:hAnsiTheme="minorHAnsi" w:cstheme="minorHAnsi"/>
        </w:rPr>
        <w:t>indications that emissions of some F-gas</w:t>
      </w:r>
      <w:r w:rsidR="009D3312">
        <w:rPr>
          <w:rFonts w:asciiTheme="minorHAnsi" w:hAnsiTheme="minorHAnsi" w:cstheme="minorHAnsi"/>
        </w:rPr>
        <w:t>es e.g. sulfuryl</w:t>
      </w:r>
      <w:r w:rsidRPr="00455EA2">
        <w:rPr>
          <w:rFonts w:asciiTheme="minorHAnsi" w:hAnsiTheme="minorHAnsi" w:cstheme="minorHAnsi"/>
        </w:rPr>
        <w:t>fluoride (SO</w:t>
      </w:r>
      <w:r w:rsidRPr="00455EA2">
        <w:rPr>
          <w:rFonts w:asciiTheme="minorHAnsi" w:hAnsiTheme="minorHAnsi" w:cstheme="minorHAnsi"/>
          <w:vertAlign w:val="subscript"/>
        </w:rPr>
        <w:t>2</w:t>
      </w:r>
      <w:r w:rsidRPr="00455EA2">
        <w:rPr>
          <w:rFonts w:asciiTheme="minorHAnsi" w:hAnsiTheme="minorHAnsi" w:cstheme="minorHAnsi"/>
        </w:rPr>
        <w:t>F</w:t>
      </w:r>
      <w:r w:rsidRPr="00455EA2">
        <w:rPr>
          <w:rFonts w:asciiTheme="minorHAnsi" w:hAnsiTheme="minorHAnsi" w:cstheme="minorHAnsi"/>
          <w:vertAlign w:val="subscript"/>
        </w:rPr>
        <w:t>2</w:t>
      </w:r>
      <w:r w:rsidRPr="00455EA2">
        <w:rPr>
          <w:rFonts w:asciiTheme="minorHAnsi" w:hAnsiTheme="minorHAnsi" w:cstheme="minorHAnsi"/>
        </w:rPr>
        <w:t xml:space="preserve">; not currently listed in the Regulation) and others used for inhalation anaesthetics exceed 1 MtCO2e per year and would possibly increase without regulation (see also </w:t>
      </w:r>
      <w:r>
        <w:rPr>
          <w:rFonts w:asciiTheme="minorHAnsi" w:hAnsiTheme="minorHAnsi" w:cstheme="minorHAnsi"/>
        </w:rPr>
        <w:t>2.1.4</w:t>
      </w:r>
      <w:r w:rsidRPr="00455EA2">
        <w:rPr>
          <w:rFonts w:asciiTheme="minorHAnsi" w:hAnsiTheme="minorHAnsi" w:cstheme="minorHAnsi"/>
        </w:rPr>
        <w:t xml:space="preserve">). </w:t>
      </w:r>
    </w:p>
  </w:footnote>
  <w:footnote w:id="61">
    <w:p w14:paraId="7D465454" w14:textId="10CD3B71"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Insulation of windows with SF</w:t>
      </w:r>
      <w:r w:rsidRPr="009235A6">
        <w:rPr>
          <w:rFonts w:asciiTheme="minorHAnsi" w:hAnsiTheme="minorHAnsi" w:cstheme="minorHAnsi"/>
          <w:vertAlign w:val="subscript"/>
        </w:rPr>
        <w:t>6</w:t>
      </w:r>
      <w:r w:rsidRPr="00455EA2">
        <w:rPr>
          <w:rFonts w:asciiTheme="minorHAnsi" w:hAnsiTheme="minorHAnsi" w:cstheme="minorHAnsi"/>
        </w:rPr>
        <w:t xml:space="preserve"> is prohibited since 2008.</w:t>
      </w:r>
    </w:p>
  </w:footnote>
  <w:footnote w:id="62">
    <w:p w14:paraId="0E1E1E51" w14:textId="2C6E119A"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 xml:space="preserve">HFCs started to replace ozone-depleting substances in insulation foams from 1995. </w:t>
      </w:r>
    </w:p>
  </w:footnote>
  <w:footnote w:id="63">
    <w:p w14:paraId="129318DB" w14:textId="2B37386D" w:rsidR="00F86647" w:rsidRPr="009235A6" w:rsidRDefault="00F86647" w:rsidP="00660CAE">
      <w:pPr>
        <w:pStyle w:val="FootnoteText"/>
        <w:ind w:left="567" w:hanging="340"/>
        <w:rPr>
          <w:rFonts w:ascii="Calibri" w:hAnsi="Calibri" w:cs="Calibri"/>
        </w:rPr>
      </w:pPr>
      <w:r w:rsidRPr="009235A6">
        <w:rPr>
          <w:rStyle w:val="FootnoteReference"/>
          <w:rFonts w:ascii="Calibri" w:hAnsi="Calibri" w:cs="Calibri"/>
        </w:rPr>
        <w:footnoteRef/>
      </w:r>
      <w:r w:rsidRPr="009235A6">
        <w:rPr>
          <w:rFonts w:ascii="Calibri" w:hAnsi="Calibri" w:cs="Calibri"/>
        </w:rPr>
        <w:t xml:space="preserve"> </w:t>
      </w:r>
      <w:r>
        <w:rPr>
          <w:rFonts w:ascii="Calibri" w:hAnsi="Calibri" w:cs="Calibri"/>
        </w:rPr>
        <w:tab/>
      </w:r>
      <w:r w:rsidRPr="009235A6">
        <w:rPr>
          <w:rFonts w:ascii="Calibri" w:hAnsi="Calibri" w:cs="Calibri"/>
        </w:rPr>
        <w:t xml:space="preserve">The cost of technological change </w:t>
      </w:r>
      <w:r>
        <w:rPr>
          <w:rFonts w:ascii="Calibri" w:hAnsi="Calibri" w:cs="Calibri"/>
        </w:rPr>
        <w:t xml:space="preserve">is an adjustment cost and </w:t>
      </w:r>
      <w:r w:rsidRPr="009235A6">
        <w:rPr>
          <w:rFonts w:ascii="Calibri" w:hAnsi="Calibri" w:cs="Calibri"/>
        </w:rPr>
        <w:t>is borne by the equipment operators investing into alternatives to existing F-gas technologies and therefore experience additional capital costs (e.g. acquiring new hardware) and operational costs (e.g. costs for electricity, fuel, maintenance costs including leak checking and repairs).</w:t>
      </w:r>
      <w:r>
        <w:rPr>
          <w:rFonts w:ascii="Calibri" w:hAnsi="Calibri" w:cs="Calibri"/>
        </w:rPr>
        <w:t xml:space="preserve"> See Annex A4.2.10.</w:t>
      </w:r>
    </w:p>
  </w:footnote>
  <w:footnote w:id="64">
    <w:p w14:paraId="21EADADC" w14:textId="6274A130" w:rsidR="00F86647" w:rsidRPr="00455EA2" w:rsidRDefault="00F86647" w:rsidP="00E9190D">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 xml:space="preserve">The average price </w:t>
      </w:r>
      <w:r>
        <w:rPr>
          <w:rFonts w:asciiTheme="minorHAnsi" w:hAnsiTheme="minorHAnsi" w:cstheme="minorHAnsi"/>
        </w:rPr>
        <w:t>premium (difference of price to the situation without a quota system, i.e. relative to 2014 or to world market price)</w:t>
      </w:r>
      <w:r w:rsidRPr="00455EA2">
        <w:rPr>
          <w:rFonts w:asciiTheme="minorHAnsi" w:hAnsiTheme="minorHAnsi" w:cstheme="minorHAnsi"/>
        </w:rPr>
        <w:t xml:space="preserve"> in </w:t>
      </w:r>
      <w:r>
        <w:rPr>
          <w:rFonts w:asciiTheme="minorHAnsi" w:hAnsiTheme="minorHAnsi" w:cstheme="minorHAnsi"/>
        </w:rPr>
        <w:t xml:space="preserve">the period </w:t>
      </w:r>
      <w:r w:rsidRPr="00455EA2">
        <w:rPr>
          <w:rFonts w:asciiTheme="minorHAnsi" w:hAnsiTheme="minorHAnsi" w:cstheme="minorHAnsi"/>
        </w:rPr>
        <w:t>2015-2019 was 8€/tCO2e. Assuming the 2030 quota limit is maintained until 2050 a worst case simulation gives a €40</w:t>
      </w:r>
      <w:r>
        <w:rPr>
          <w:rFonts w:asciiTheme="minorHAnsi" w:hAnsiTheme="minorHAnsi" w:cstheme="minorHAnsi"/>
        </w:rPr>
        <w:t>/</w:t>
      </w:r>
      <w:r w:rsidRPr="00455EA2">
        <w:rPr>
          <w:rFonts w:asciiTheme="minorHAnsi" w:hAnsiTheme="minorHAnsi" w:cstheme="minorHAnsi"/>
        </w:rPr>
        <w:t xml:space="preserve">tCO2e </w:t>
      </w:r>
      <w:r>
        <w:rPr>
          <w:rFonts w:asciiTheme="minorHAnsi" w:hAnsiTheme="minorHAnsi" w:cstheme="minorHAnsi"/>
        </w:rPr>
        <w:t xml:space="preserve">premium on world market price </w:t>
      </w:r>
      <w:r w:rsidRPr="00455EA2">
        <w:rPr>
          <w:rFonts w:asciiTheme="minorHAnsi" w:hAnsiTheme="minorHAnsi" w:cstheme="minorHAnsi"/>
        </w:rPr>
        <w:t>(see section 6.2.1.2).</w:t>
      </w:r>
    </w:p>
  </w:footnote>
  <w:footnote w:id="65">
    <w:p w14:paraId="43C4C5A2" w14:textId="52A529C9" w:rsidR="00F86647" w:rsidRPr="00F207A3" w:rsidRDefault="00F86647" w:rsidP="00F207A3">
      <w:pPr>
        <w:pStyle w:val="FootnoteText"/>
        <w:ind w:firstLine="227"/>
        <w:rPr>
          <w:rFonts w:asciiTheme="minorHAnsi" w:hAnsiTheme="minorHAnsi" w:cstheme="minorHAnsi"/>
        </w:rPr>
      </w:pPr>
      <w:r w:rsidRPr="00F207A3">
        <w:rPr>
          <w:rStyle w:val="FootnoteReference"/>
          <w:rFonts w:asciiTheme="minorHAnsi" w:hAnsiTheme="minorHAnsi" w:cstheme="minorHAnsi"/>
        </w:rPr>
        <w:footnoteRef/>
      </w:r>
      <w:r w:rsidRPr="00F207A3">
        <w:rPr>
          <w:rFonts w:asciiTheme="minorHAnsi" w:hAnsiTheme="minorHAnsi" w:cstheme="minorHAnsi"/>
        </w:rPr>
        <w:t xml:space="preserve"> </w:t>
      </w:r>
      <w:r>
        <w:rPr>
          <w:rFonts w:asciiTheme="minorHAnsi" w:hAnsiTheme="minorHAnsi" w:cstheme="minorHAnsi"/>
        </w:rPr>
        <w:t xml:space="preserve">  </w:t>
      </w:r>
      <w:r w:rsidRPr="00F207A3">
        <w:rPr>
          <w:rFonts w:asciiTheme="minorHAnsi" w:hAnsiTheme="minorHAnsi" w:cstheme="minorHAnsi"/>
        </w:rPr>
        <w:t>COM(2022) 108 final</w:t>
      </w:r>
      <w:r w:rsidRPr="00F207A3">
        <w:rPr>
          <w:rFonts w:asciiTheme="minorHAnsi" w:hAnsiTheme="minorHAnsi" w:cstheme="minorHAnsi"/>
        </w:rPr>
        <w:cr/>
      </w:r>
    </w:p>
  </w:footnote>
  <w:footnote w:id="66">
    <w:p w14:paraId="4FDB6318" w14:textId="77777777" w:rsidR="00F86647" w:rsidRPr="00455EA2" w:rsidRDefault="00F86647" w:rsidP="00625F4A">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Exceptions are the different HFC phase-down schedules for the quota system (A1), the deadline for non-part trade (B4) and the electronic database of company data relevant for emissions (D3) that is encouraged in Option 2 and mandatory in Option 3.</w:t>
      </w:r>
    </w:p>
  </w:footnote>
  <w:footnote w:id="67">
    <w:p w14:paraId="37A169A5" w14:textId="43287396" w:rsidR="00F86647" w:rsidRPr="00455EA2" w:rsidRDefault="00F86647" w:rsidP="00660CAE">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Pr>
          <w:rFonts w:asciiTheme="minorHAnsi" w:hAnsiTheme="minorHAnsi" w:cstheme="minorHAnsi"/>
        </w:rPr>
        <w:t xml:space="preserve"> </w:t>
      </w:r>
      <w:r>
        <w:rPr>
          <w:rFonts w:asciiTheme="minorHAnsi" w:hAnsiTheme="minorHAnsi" w:cstheme="minorHAnsi"/>
        </w:rPr>
        <w:tab/>
        <w:t>B</w:t>
      </w:r>
      <w:r w:rsidRPr="00455EA2">
        <w:rPr>
          <w:rFonts w:asciiTheme="minorHAnsi" w:hAnsiTheme="minorHAnsi" w:cstheme="minorHAnsi"/>
        </w:rPr>
        <w:t xml:space="preserve">y requiring HFCs to be recovered during building renovation and demolition activities and destroyed (or reused). See Annex </w:t>
      </w:r>
      <w:r>
        <w:rPr>
          <w:rFonts w:asciiTheme="minorHAnsi" w:hAnsiTheme="minorHAnsi" w:cstheme="minorHAnsi"/>
        </w:rPr>
        <w:t>A15</w:t>
      </w:r>
      <w:r w:rsidRPr="00455EA2">
        <w:rPr>
          <w:rFonts w:asciiTheme="minorHAnsi" w:hAnsiTheme="minorHAnsi" w:cstheme="minorHAnsi"/>
        </w:rPr>
        <w:t>.</w:t>
      </w:r>
    </w:p>
  </w:footnote>
  <w:footnote w:id="68">
    <w:p w14:paraId="59651EE6" w14:textId="1B885144" w:rsidR="00F86647" w:rsidRPr="009235A6" w:rsidRDefault="00F86647" w:rsidP="00660CAE">
      <w:pPr>
        <w:pStyle w:val="FootnoteText"/>
        <w:ind w:left="567" w:hanging="340"/>
        <w:rPr>
          <w:rFonts w:asciiTheme="minorHAnsi" w:hAnsiTheme="minorHAnsi" w:cstheme="minorHAnsi"/>
        </w:rPr>
      </w:pPr>
      <w:r w:rsidRPr="00C8266A">
        <w:rPr>
          <w:rStyle w:val="FootnoteReference"/>
          <w:rFonts w:asciiTheme="minorHAnsi" w:hAnsiTheme="minorHAnsi" w:cstheme="minorHAnsi"/>
        </w:rPr>
        <w:footnoteRef/>
      </w:r>
      <w:r w:rsidRPr="00C8266A">
        <w:rPr>
          <w:rFonts w:asciiTheme="minorHAnsi" w:hAnsiTheme="minorHAnsi" w:cstheme="minorHAnsi"/>
        </w:rPr>
        <w:t xml:space="preserve"> </w:t>
      </w:r>
      <w:r>
        <w:rPr>
          <w:rFonts w:asciiTheme="minorHAnsi" w:hAnsiTheme="minorHAnsi" w:cstheme="minorHAnsi"/>
        </w:rPr>
        <w:tab/>
      </w:r>
      <w:r w:rsidRPr="00C8266A">
        <w:rPr>
          <w:rFonts w:asciiTheme="minorHAnsi" w:hAnsiTheme="minorHAnsi" w:cstheme="minorHAnsi"/>
        </w:rPr>
        <w:t xml:space="preserve">While currently quota compliance is based on an annual balance, </w:t>
      </w:r>
      <w:r>
        <w:rPr>
          <w:rFonts w:asciiTheme="minorHAnsi" w:hAnsiTheme="minorHAnsi" w:cstheme="minorHAnsi"/>
        </w:rPr>
        <w:t>which implies</w:t>
      </w:r>
      <w:r w:rsidRPr="00C8266A">
        <w:rPr>
          <w:rFonts w:asciiTheme="minorHAnsi" w:hAnsiTheme="minorHAnsi" w:cstheme="minorHAnsi"/>
        </w:rPr>
        <w:t xml:space="preserve"> that border controls</w:t>
      </w:r>
      <w:r>
        <w:rPr>
          <w:rFonts w:asciiTheme="minorHAnsi" w:hAnsiTheme="minorHAnsi" w:cstheme="minorHAnsi"/>
        </w:rPr>
        <w:t xml:space="preserve"> can</w:t>
      </w:r>
      <w:r w:rsidRPr="00C8266A">
        <w:rPr>
          <w:rFonts w:asciiTheme="minorHAnsi" w:hAnsiTheme="minorHAnsi" w:cstheme="minorHAnsi"/>
        </w:rPr>
        <w:t xml:space="preserve">not </w:t>
      </w:r>
      <w:r>
        <w:rPr>
          <w:rFonts w:asciiTheme="minorHAnsi" w:hAnsiTheme="minorHAnsi" w:cstheme="minorHAnsi"/>
        </w:rPr>
        <w:t xml:space="preserve">be </w:t>
      </w:r>
      <w:r w:rsidRPr="00C8266A">
        <w:rPr>
          <w:rFonts w:asciiTheme="minorHAnsi" w:hAnsiTheme="minorHAnsi" w:cstheme="minorHAnsi"/>
        </w:rPr>
        <w:t>effective and compliance checking must rely on ex-post reporting on verified data only.</w:t>
      </w:r>
    </w:p>
  </w:footnote>
  <w:footnote w:id="69">
    <w:p w14:paraId="62BA9CC6" w14:textId="70BB48D9" w:rsidR="00F86647" w:rsidRPr="00455EA2" w:rsidRDefault="00F86647" w:rsidP="00660CAE">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The allocation price must be below the addition price that quota holders would normally ask when they sell HFCs to avoid that the quota allocation price in itself increases the price for end-users. Given the uncertainty about future price developments, a price has been chosen which is very likely to be below the price increase while still having the effect that unserious traders will not request quota. The quota price would affect importers and EU-based producers in the same way.</w:t>
      </w:r>
    </w:p>
  </w:footnote>
  <w:footnote w:id="70">
    <w:p w14:paraId="5D546ACB" w14:textId="2AB7A35E" w:rsidR="00F86647" w:rsidRPr="009235A6" w:rsidRDefault="00F86647" w:rsidP="00660CAE">
      <w:pPr>
        <w:pStyle w:val="FootnoteText"/>
        <w:ind w:left="567" w:hanging="340"/>
        <w:rPr>
          <w:rFonts w:asciiTheme="minorHAnsi" w:hAnsiTheme="minorHAnsi" w:cstheme="minorHAnsi"/>
        </w:rPr>
      </w:pPr>
      <w:r w:rsidRPr="009235A6">
        <w:rPr>
          <w:rStyle w:val="FootnoteReference"/>
          <w:rFonts w:asciiTheme="minorHAnsi" w:hAnsiTheme="minorHAnsi" w:cstheme="minorHAnsi"/>
        </w:rPr>
        <w:footnoteRef/>
      </w:r>
      <w:r w:rsidRPr="009235A6">
        <w:rPr>
          <w:rFonts w:asciiTheme="minorHAnsi" w:hAnsiTheme="minorHAnsi" w:cstheme="minorHAnsi"/>
        </w:rPr>
        <w:t xml:space="preserve"> </w:t>
      </w:r>
      <w:r w:rsidRPr="009235A6">
        <w:rPr>
          <w:rFonts w:asciiTheme="minorHAnsi" w:hAnsiTheme="minorHAnsi" w:cstheme="minorHAnsi"/>
        </w:rPr>
        <w:tab/>
        <w:t>In case the quota allocation price is having unintended effects; in case of major HFC market disruptions; when cases are unsettled at the moment of annual quota allocation or to require certain s</w:t>
      </w:r>
      <w:r w:rsidRPr="00DE511E">
        <w:rPr>
          <w:rFonts w:asciiTheme="minorHAnsi" w:hAnsiTheme="minorHAnsi" w:cstheme="minorHAnsi"/>
        </w:rPr>
        <w:t>kills/characteristic</w:t>
      </w:r>
      <w:r>
        <w:rPr>
          <w:rFonts w:asciiTheme="minorHAnsi" w:hAnsiTheme="minorHAnsi" w:cstheme="minorHAnsi"/>
        </w:rPr>
        <w:t>s of</w:t>
      </w:r>
      <w:r w:rsidRPr="00DE511E">
        <w:rPr>
          <w:rFonts w:asciiTheme="minorHAnsi" w:hAnsiTheme="minorHAnsi" w:cstheme="minorHAnsi"/>
        </w:rPr>
        <w:t xml:space="preserve"> quota</w:t>
      </w:r>
      <w:r>
        <w:rPr>
          <w:rFonts w:asciiTheme="minorHAnsi" w:hAnsiTheme="minorHAnsi" w:cstheme="minorHAnsi"/>
        </w:rPr>
        <w:t>-</w:t>
      </w:r>
      <w:r w:rsidRPr="009235A6">
        <w:rPr>
          <w:rFonts w:asciiTheme="minorHAnsi" w:hAnsiTheme="minorHAnsi" w:cstheme="minorHAnsi"/>
        </w:rPr>
        <w:t>holding companies.</w:t>
      </w:r>
    </w:p>
  </w:footnote>
  <w:footnote w:id="71">
    <w:p w14:paraId="660450F2" w14:textId="5BB14D14"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Maintaining these exemptions in Option 1 and 2 does not endanger Protocol compliance as these small amounts can be compensated by a slightly higher phase-down ambition for all other sectors.</w:t>
      </w:r>
      <w:r>
        <w:rPr>
          <w:rFonts w:asciiTheme="minorHAnsi" w:hAnsiTheme="minorHAnsi" w:cstheme="minorHAnsi"/>
        </w:rPr>
        <w:t xml:space="preserve"> Given that the savings potential is very low while causing possible hardship to two special stakeholder types, e.g. the military and the semiconductor industry, this measure was not considered in the moderate cost/effort Option 2.</w:t>
      </w:r>
    </w:p>
  </w:footnote>
  <w:footnote w:id="72">
    <w:p w14:paraId="4EA25025" w14:textId="1DA5AF73"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 xml:space="preserve">RAC: refrigeration and air conditioning (including </w:t>
      </w:r>
      <w:r>
        <w:rPr>
          <w:rFonts w:asciiTheme="minorHAnsi" w:hAnsiTheme="minorHAnsi" w:cstheme="minorHAnsi"/>
        </w:rPr>
        <w:t>heat pumps</w:t>
      </w:r>
      <w:r w:rsidRPr="00455EA2">
        <w:rPr>
          <w:rFonts w:asciiTheme="minorHAnsi" w:hAnsiTheme="minorHAnsi" w:cstheme="minorHAnsi"/>
        </w:rPr>
        <w:t>)</w:t>
      </w:r>
    </w:p>
  </w:footnote>
  <w:footnote w:id="73">
    <w:p w14:paraId="43E97B6D" w14:textId="24E503F2"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MDIs exempted, maintaining of the total annual quota limit after 2030 assumed, remaining at 2030 levels (currently not regulated)</w:t>
      </w:r>
    </w:p>
  </w:footnote>
  <w:footnote w:id="74">
    <w:p w14:paraId="312DF601" w14:textId="18F0F5F3" w:rsidR="00F86647" w:rsidRPr="00C922D4" w:rsidRDefault="00F86647" w:rsidP="008752AF">
      <w:pPr>
        <w:pStyle w:val="FootnoteText"/>
        <w:ind w:left="567" w:hanging="340"/>
        <w:rPr>
          <w:rFonts w:ascii="Calibri" w:hAnsi="Calibri" w:cs="Calibri"/>
        </w:rPr>
      </w:pPr>
      <w:r w:rsidRPr="00C922D4">
        <w:rPr>
          <w:rStyle w:val="FootnoteReference"/>
          <w:rFonts w:ascii="Calibri" w:hAnsi="Calibri" w:cs="Calibri"/>
        </w:rPr>
        <w:footnoteRef/>
      </w:r>
      <w:r w:rsidRPr="00C922D4">
        <w:rPr>
          <w:rFonts w:ascii="Calibri" w:hAnsi="Calibri" w:cs="Calibri"/>
        </w:rPr>
        <w:t xml:space="preserve"> </w:t>
      </w:r>
      <w:r>
        <w:rPr>
          <w:rFonts w:ascii="Calibri" w:hAnsi="Calibri" w:cs="Calibri"/>
        </w:rPr>
        <w:tab/>
      </w:r>
      <w:r w:rsidRPr="00AB72A6">
        <w:rPr>
          <w:rFonts w:ascii="Calibri" w:hAnsi="Calibri" w:cs="Calibri"/>
        </w:rPr>
        <w:t xml:space="preserve">See also </w:t>
      </w:r>
      <w:r>
        <w:rPr>
          <w:rFonts w:ascii="Calibri" w:hAnsi="Calibri" w:cs="Calibri"/>
        </w:rPr>
        <w:t>1.1</w:t>
      </w:r>
      <w:r w:rsidRPr="00C922D4">
        <w:rPr>
          <w:rFonts w:ascii="Calibri" w:hAnsi="Calibri" w:cs="Calibri"/>
        </w:rPr>
        <w:t xml:space="preserve"> on </w:t>
      </w:r>
      <w:r>
        <w:rPr>
          <w:rFonts w:ascii="Calibri" w:hAnsi="Calibri" w:cs="Calibri"/>
        </w:rPr>
        <w:t xml:space="preserve">the </w:t>
      </w:r>
      <w:r w:rsidRPr="00C922D4">
        <w:rPr>
          <w:rFonts w:ascii="Calibri" w:hAnsi="Calibri" w:cs="Calibri"/>
        </w:rPr>
        <w:t>relationship between demand and emissions</w:t>
      </w:r>
      <w:r>
        <w:rPr>
          <w:rFonts w:ascii="Calibri" w:hAnsi="Calibri" w:cs="Calibri"/>
        </w:rPr>
        <w:t>.</w:t>
      </w:r>
    </w:p>
  </w:footnote>
  <w:footnote w:id="75">
    <w:p w14:paraId="4B4359EE" w14:textId="0E603843" w:rsidR="00F86647" w:rsidRPr="00213EED" w:rsidRDefault="00F86647" w:rsidP="008752AF">
      <w:pPr>
        <w:spacing w:after="0"/>
        <w:ind w:left="567" w:hanging="340"/>
        <w:rPr>
          <w:rFonts w:cs="Times New Roman"/>
          <w:sz w:val="20"/>
          <w:szCs w:val="20"/>
        </w:rPr>
      </w:pPr>
      <w:r w:rsidRPr="00213EED">
        <w:rPr>
          <w:rStyle w:val="FootnoteReference"/>
          <w:rFonts w:asciiTheme="minorHAnsi" w:hAnsiTheme="minorHAnsi" w:cstheme="minorHAnsi"/>
          <w:sz w:val="20"/>
          <w:szCs w:val="20"/>
        </w:rPr>
        <w:footnoteRef/>
      </w:r>
      <w:r w:rsidRPr="00213EED">
        <w:rPr>
          <w:rFonts w:asciiTheme="minorHAnsi" w:hAnsiTheme="minorHAnsi" w:cstheme="minorHAnsi"/>
          <w:sz w:val="20"/>
          <w:szCs w:val="20"/>
        </w:rPr>
        <w:t xml:space="preserve"> </w:t>
      </w:r>
      <w:r>
        <w:rPr>
          <w:rFonts w:asciiTheme="minorHAnsi" w:hAnsiTheme="minorHAnsi" w:cstheme="minorHAnsi"/>
          <w:sz w:val="20"/>
          <w:szCs w:val="20"/>
        </w:rPr>
        <w:tab/>
      </w:r>
      <w:r w:rsidRPr="00213EED">
        <w:rPr>
          <w:rFonts w:asciiTheme="minorHAnsi" w:hAnsiTheme="minorHAnsi" w:cstheme="minorHAnsi"/>
          <w:sz w:val="20"/>
          <w:szCs w:val="20"/>
        </w:rPr>
        <w:t xml:space="preserve">A detailed description of the model, its validation and modelling scenarios is found in </w:t>
      </w:r>
      <w:r w:rsidRPr="008752AF">
        <w:rPr>
          <w:rFonts w:asciiTheme="minorHAnsi" w:hAnsiTheme="minorHAnsi" w:cstheme="minorHAnsi"/>
          <w:sz w:val="20"/>
          <w:szCs w:val="20"/>
        </w:rPr>
        <w:t>Annex A4.2.</w:t>
      </w:r>
      <w:r w:rsidRPr="00213EED">
        <w:rPr>
          <w:rFonts w:asciiTheme="minorHAnsi" w:hAnsiTheme="minorHAnsi" w:cstheme="minorHAnsi"/>
          <w:sz w:val="20"/>
          <w:szCs w:val="20"/>
        </w:rPr>
        <w:t xml:space="preserve"> The early years, i.e. before 2015, were used in order to better validate the model with existing emission data.</w:t>
      </w:r>
    </w:p>
  </w:footnote>
  <w:footnote w:id="76">
    <w:p w14:paraId="696453EF" w14:textId="6BB6EF47" w:rsidR="00F86647" w:rsidRPr="007A1A81" w:rsidRDefault="00F86647" w:rsidP="007A1A81">
      <w:pPr>
        <w:pStyle w:val="Text1"/>
        <w:spacing w:after="0" w:line="276" w:lineRule="auto"/>
        <w:ind w:left="567" w:hanging="340"/>
        <w:rPr>
          <w:rFonts w:asciiTheme="minorHAnsi" w:hAnsiTheme="minorHAnsi" w:cstheme="minorHAnsi"/>
          <w:sz w:val="20"/>
        </w:rPr>
      </w:pPr>
      <w:r w:rsidRPr="00213EED">
        <w:rPr>
          <w:rStyle w:val="FootnoteReference"/>
          <w:rFonts w:asciiTheme="minorHAnsi" w:hAnsiTheme="minorHAnsi" w:cstheme="minorHAnsi"/>
          <w:sz w:val="20"/>
        </w:rPr>
        <w:footnoteRef/>
      </w:r>
      <w:r w:rsidRPr="00213EED">
        <w:rPr>
          <w:rFonts w:asciiTheme="minorHAnsi" w:hAnsiTheme="minorHAnsi" w:cstheme="minorHAnsi"/>
          <w:sz w:val="20"/>
        </w:rPr>
        <w:t xml:space="preserve"> </w:t>
      </w:r>
      <w:r>
        <w:rPr>
          <w:rFonts w:asciiTheme="minorHAnsi" w:hAnsiTheme="minorHAnsi" w:cstheme="minorHAnsi"/>
          <w:sz w:val="20"/>
        </w:rPr>
        <w:tab/>
      </w:r>
      <w:r w:rsidRPr="00213EED">
        <w:rPr>
          <w:rFonts w:asciiTheme="minorHAnsi" w:hAnsiTheme="minorHAnsi" w:cstheme="minorHAnsi"/>
          <w:sz w:val="20"/>
        </w:rPr>
        <w:t xml:space="preserve">The drivers include annual changes in equipment stock, composition and charge of the equipment, leakage during equipment lifetime and during disposal. Some of these components are driven by other factors such as population development, GDP growth or technological changes. Based on these drivers, annual emissions and banks as well as use can be calculated for each year, sub-sector and EU Member State. </w:t>
      </w:r>
      <w:r w:rsidRPr="00213EED">
        <w:rPr>
          <w:rFonts w:asciiTheme="minorHAnsi" w:eastAsia="Calibri" w:hAnsiTheme="minorHAnsi" w:cstheme="minorHAnsi"/>
          <w:sz w:val="20"/>
        </w:rPr>
        <w:t>A full list of parameters used to identify these emissions can be found in the external study.</w:t>
      </w:r>
    </w:p>
  </w:footnote>
  <w:footnote w:id="77">
    <w:p w14:paraId="1B0DC3F4" w14:textId="2ADB27FF" w:rsidR="00F86647" w:rsidRDefault="00F86647" w:rsidP="00B52095">
      <w:pPr>
        <w:pStyle w:val="FootnoteText"/>
        <w:ind w:left="567" w:hanging="340"/>
      </w:pPr>
      <w:r>
        <w:rPr>
          <w:rStyle w:val="FootnoteReference"/>
        </w:rPr>
        <w:footnoteRef/>
      </w:r>
      <w:r>
        <w:t xml:space="preserve"> </w:t>
      </w:r>
      <w:r>
        <w:tab/>
      </w:r>
      <w:r w:rsidRPr="00130353">
        <w:rPr>
          <w:rFonts w:asciiTheme="minorHAnsi" w:hAnsiTheme="minorHAnsi" w:cstheme="minorHAnsi"/>
        </w:rPr>
        <w:t>In</w:t>
      </w:r>
      <w:r>
        <w:rPr>
          <w:rFonts w:asciiTheme="minorHAnsi" w:hAnsiTheme="minorHAnsi" w:cstheme="minorHAnsi"/>
        </w:rPr>
        <w:t xml:space="preserve"> the modelled scenario for the in-depth a</w:t>
      </w:r>
      <w:r w:rsidRPr="00130353">
        <w:rPr>
          <w:rFonts w:asciiTheme="minorHAnsi" w:hAnsiTheme="minorHAnsi" w:cstheme="minorHAnsi"/>
        </w:rPr>
        <w:t>nalysis support</w:t>
      </w:r>
      <w:r>
        <w:rPr>
          <w:rFonts w:asciiTheme="minorHAnsi" w:hAnsiTheme="minorHAnsi" w:cstheme="minorHAnsi"/>
        </w:rPr>
        <w:t>ing</w:t>
      </w:r>
      <w:r w:rsidRPr="00130353">
        <w:rPr>
          <w:rFonts w:asciiTheme="minorHAnsi" w:hAnsiTheme="minorHAnsi" w:cstheme="minorHAnsi"/>
        </w:rPr>
        <w:t xml:space="preserve"> Commission Communication COM(2018) 773 (The EU long</w:t>
      </w:r>
      <w:r>
        <w:rPr>
          <w:rFonts w:asciiTheme="minorHAnsi" w:hAnsiTheme="minorHAnsi" w:cstheme="minorHAnsi"/>
        </w:rPr>
        <w:t xml:space="preserve"> term strategy for a climate-</w:t>
      </w:r>
      <w:r w:rsidRPr="00130353">
        <w:rPr>
          <w:rFonts w:asciiTheme="minorHAnsi" w:hAnsiTheme="minorHAnsi" w:cstheme="minorHAnsi"/>
        </w:rPr>
        <w:t xml:space="preserve">neutral economy), </w:t>
      </w:r>
      <w:r>
        <w:rPr>
          <w:rFonts w:asciiTheme="minorHAnsi" w:hAnsiTheme="minorHAnsi" w:cstheme="minorHAnsi"/>
        </w:rPr>
        <w:t xml:space="preserve">while </w:t>
      </w:r>
      <w:r w:rsidRPr="00130353">
        <w:rPr>
          <w:rFonts w:asciiTheme="minorHAnsi" w:hAnsiTheme="minorHAnsi" w:cstheme="minorHAnsi"/>
        </w:rPr>
        <w:t>using a different set of modelling tools</w:t>
      </w:r>
      <w:r>
        <w:rPr>
          <w:rFonts w:asciiTheme="minorHAnsi" w:hAnsiTheme="minorHAnsi" w:cstheme="minorHAnsi"/>
        </w:rPr>
        <w:t>, less sectoral granularity and less fluorinated substances considered, F-</w:t>
      </w:r>
      <w:r w:rsidRPr="00130353">
        <w:rPr>
          <w:rFonts w:asciiTheme="minorHAnsi" w:hAnsiTheme="minorHAnsi" w:cstheme="minorHAnsi"/>
        </w:rPr>
        <w:t xml:space="preserve">gas emissions </w:t>
      </w:r>
      <w:r>
        <w:rPr>
          <w:rFonts w:asciiTheme="minorHAnsi" w:hAnsiTheme="minorHAnsi" w:cstheme="minorHAnsi"/>
        </w:rPr>
        <w:t xml:space="preserve">were </w:t>
      </w:r>
      <w:r w:rsidRPr="00130353">
        <w:rPr>
          <w:rFonts w:asciiTheme="minorHAnsi" w:hAnsiTheme="minorHAnsi" w:cstheme="minorHAnsi"/>
        </w:rPr>
        <w:t>reduced to as much 5 MtCO2e by 2050, with total non-CO2 emissions reducing to as much as 286 MtCO2e by 2050</w:t>
      </w:r>
      <w:r w:rsidRPr="003F0ABA">
        <w:t>.</w:t>
      </w:r>
      <w:r>
        <w:t xml:space="preserve"> </w:t>
      </w:r>
    </w:p>
  </w:footnote>
  <w:footnote w:id="78">
    <w:p w14:paraId="2724AEE0" w14:textId="10C5B3D9"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Note that for Mobile AC abatement related to new passenger cars is part of the baseline (MAC Directive).</w:t>
      </w:r>
    </w:p>
  </w:footnote>
  <w:footnote w:id="79">
    <w:p w14:paraId="4555A0EA" w14:textId="1F95E427"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Al and non-ferrous metal production, production of fluorinated gases, semiconductor use, foams, technical aerosols, solvents, fire fighting, legacy emissions from windows, etc.</w:t>
      </w:r>
    </w:p>
  </w:footnote>
  <w:footnote w:id="80">
    <w:p w14:paraId="6767F5DA" w14:textId="7E6FF783"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Option 2 and 3 also prohibit the use of desflurane from 2026</w:t>
      </w:r>
    </w:p>
  </w:footnote>
  <w:footnote w:id="81">
    <w:p w14:paraId="1A4FABF3" w14:textId="068B1EB3"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Based on the recent IPCC AR6 report’s GWP for SO</w:t>
      </w:r>
      <w:r w:rsidRPr="00455EA2">
        <w:rPr>
          <w:rFonts w:asciiTheme="minorHAnsi" w:hAnsiTheme="minorHAnsi" w:cstheme="minorHAnsi"/>
          <w:vertAlign w:val="subscript"/>
        </w:rPr>
        <w:t>2</w:t>
      </w:r>
      <w:r w:rsidRPr="00455EA2">
        <w:rPr>
          <w:rFonts w:asciiTheme="minorHAnsi" w:hAnsiTheme="minorHAnsi" w:cstheme="minorHAnsi"/>
        </w:rPr>
        <w:t>F</w:t>
      </w:r>
      <w:r w:rsidRPr="00455EA2">
        <w:rPr>
          <w:rFonts w:asciiTheme="minorHAnsi" w:hAnsiTheme="minorHAnsi" w:cstheme="minorHAnsi"/>
          <w:vertAlign w:val="subscript"/>
        </w:rPr>
        <w:t>2</w:t>
      </w:r>
      <w:r w:rsidRPr="00455EA2">
        <w:rPr>
          <w:rFonts w:asciiTheme="minorHAnsi" w:hAnsiTheme="minorHAnsi" w:cstheme="minorHAnsi"/>
        </w:rPr>
        <w:t xml:space="preserve"> of 4 630, estimated emissions in Europe amount to 1.16 MtCO</w:t>
      </w:r>
      <w:r w:rsidRPr="00455EA2">
        <w:rPr>
          <w:rFonts w:asciiTheme="minorHAnsi" w:hAnsiTheme="minorHAnsi" w:cstheme="minorHAnsi"/>
          <w:vertAlign w:val="subscript"/>
        </w:rPr>
        <w:t>2</w:t>
      </w:r>
      <w:r w:rsidRPr="00455EA2">
        <w:rPr>
          <w:rFonts w:asciiTheme="minorHAnsi" w:hAnsiTheme="minorHAnsi" w:cstheme="minorHAnsi"/>
        </w:rPr>
        <w:t xml:space="preserve">e </w:t>
      </w:r>
    </w:p>
  </w:footnote>
  <w:footnote w:id="82">
    <w:p w14:paraId="7D845780" w14:textId="262FAF5D"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0.8 MtCO2e in 2020 but use growing rapidly</w:t>
      </w:r>
    </w:p>
  </w:footnote>
  <w:footnote w:id="83">
    <w:p w14:paraId="591DBB9D" w14:textId="3485177C"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Average emissions in 2010-2019 from the most important use in electronics industry were ca. 80,000 tCO2e</w:t>
      </w:r>
    </w:p>
  </w:footnote>
  <w:footnote w:id="84">
    <w:p w14:paraId="5DCE3EBD" w14:textId="7CDD1F1E"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HFCs have only been used in foams since 1995 replacing ODS, and due to the long lifetime of foams (and buildings) most effects will be after 2050</w:t>
      </w:r>
    </w:p>
  </w:footnote>
  <w:footnote w:id="85">
    <w:p w14:paraId="003931A8" w14:textId="232FC718"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Assuming a 25% recovery rate from laminated boards, which may increase in the future as better separation technologies are developed</w:t>
      </w:r>
    </w:p>
  </w:footnote>
  <w:footnote w:id="86">
    <w:p w14:paraId="52E3F0CC" w14:textId="38A11CFF"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By 2029 most cars on the road will be using HFO-1234yf, so when cars are replaced it no longer results in additional HFO emissions. Any increases of emissions from 2029 onwards result from other sectors, i.e. as a result of the F</w:t>
      </w:r>
      <w:r>
        <w:rPr>
          <w:rFonts w:asciiTheme="minorHAnsi" w:hAnsiTheme="minorHAnsi" w:cstheme="minorHAnsi"/>
        </w:rPr>
        <w:t>-</w:t>
      </w:r>
      <w:r w:rsidRPr="00455EA2">
        <w:rPr>
          <w:rFonts w:asciiTheme="minorHAnsi" w:hAnsiTheme="minorHAnsi" w:cstheme="minorHAnsi"/>
        </w:rPr>
        <w:t>gas Regulation.</w:t>
      </w:r>
    </w:p>
  </w:footnote>
  <w:footnote w:id="87">
    <w:p w14:paraId="3B43D925" w14:textId="01ED6989" w:rsidR="00F86647" w:rsidRPr="00455EA2" w:rsidRDefault="00F86647" w:rsidP="00455EA2">
      <w:pPr>
        <w:pStyle w:val="foonote"/>
        <w:ind w:hanging="340"/>
        <w:jc w:val="both"/>
        <w:rPr>
          <w:rFonts w:asciiTheme="minorHAnsi" w:hAnsiTheme="minorHAnsi" w:cstheme="minorHAnsi"/>
          <w:sz w:val="20"/>
          <w:szCs w:val="20"/>
        </w:rPr>
      </w:pPr>
      <w:r w:rsidRPr="00455EA2">
        <w:rPr>
          <w:rFonts w:asciiTheme="minorHAnsi" w:eastAsiaTheme="majorEastAsia" w:hAnsiTheme="minorHAnsi" w:cstheme="minorHAnsi"/>
          <w:sz w:val="20"/>
          <w:szCs w:val="20"/>
          <w:vertAlign w:val="superscript"/>
        </w:rPr>
        <w:footnoteRef/>
      </w:r>
      <w:r w:rsidRPr="00455EA2">
        <w:rPr>
          <w:rFonts w:asciiTheme="minorHAnsi" w:hAnsiTheme="minorHAnsi" w:cstheme="minorHAnsi"/>
          <w:sz w:val="20"/>
          <w:szCs w:val="20"/>
        </w:rPr>
        <w:t xml:space="preserve"> </w:t>
      </w:r>
      <w:r w:rsidRPr="00455EA2">
        <w:rPr>
          <w:rFonts w:asciiTheme="minorHAnsi" w:hAnsiTheme="minorHAnsi" w:cstheme="minorHAnsi"/>
          <w:sz w:val="20"/>
          <w:szCs w:val="20"/>
        </w:rPr>
        <w:tab/>
        <w:t xml:space="preserve">See Behringer et al. (2021): Persistent degradation products of halogenated refrigerants and blowing agents in the environment: type, environmental concentrations, and fate with particular regard to new halogenated substitutes with low global warming potential, UBA-TEXTE 73/2021. </w:t>
      </w:r>
    </w:p>
  </w:footnote>
  <w:footnote w:id="88">
    <w:p w14:paraId="11EFAA99" w14:textId="78541573"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According to the Protocol`s Environmental Effects Assessment Panel (October 2021), TFA has been recently detected even in beer, tea, herbal infusions and indoor dust, but so far only at levels that are magnitudes below those that would be considered toxic.</w:t>
      </w:r>
    </w:p>
  </w:footnote>
  <w:footnote w:id="89">
    <w:p w14:paraId="521BA6F7" w14:textId="77777777" w:rsidR="00F86647" w:rsidRPr="009235A6" w:rsidRDefault="00F86647" w:rsidP="008B707B">
      <w:pPr>
        <w:pStyle w:val="FootnoteText"/>
        <w:ind w:left="567" w:hanging="340"/>
        <w:rPr>
          <w:rFonts w:asciiTheme="minorHAnsi" w:hAnsiTheme="minorHAnsi" w:cstheme="minorHAnsi"/>
        </w:rPr>
      </w:pPr>
      <w:r w:rsidRPr="009235A6">
        <w:rPr>
          <w:rStyle w:val="FootnoteReference"/>
          <w:rFonts w:asciiTheme="minorHAnsi" w:hAnsiTheme="minorHAnsi" w:cstheme="minorHAnsi"/>
        </w:rPr>
        <w:footnoteRef/>
      </w:r>
      <w:r w:rsidRPr="009235A6">
        <w:rPr>
          <w:rFonts w:asciiTheme="minorHAnsi" w:hAnsiTheme="minorHAnsi" w:cstheme="minorHAnsi"/>
        </w:rPr>
        <w:t xml:space="preserve"> </w:t>
      </w:r>
      <w:r>
        <w:rPr>
          <w:rFonts w:asciiTheme="minorHAnsi" w:hAnsiTheme="minorHAnsi" w:cstheme="minorHAnsi"/>
        </w:rPr>
        <w:tab/>
      </w:r>
      <w:r w:rsidRPr="009235A6">
        <w:rPr>
          <w:rFonts w:asciiTheme="minorHAnsi" w:hAnsiTheme="minorHAnsi" w:cstheme="minorHAnsi"/>
          <w:lang w:val="en-US"/>
        </w:rPr>
        <w:t>The quantities needed is determined by both the growth rate of new equipment and by the existing stock and its servicing needs, the type of heat pump, its leakage rates and charge sizes, as well as the refrigerant used and how fast HFCs can be replaced in each appliance.</w:t>
      </w:r>
    </w:p>
  </w:footnote>
  <w:footnote w:id="90">
    <w:p w14:paraId="362C6F71" w14:textId="7AE4431D" w:rsidR="00F86647" w:rsidRPr="00641ADF" w:rsidRDefault="00F86647" w:rsidP="00F25E37">
      <w:pPr>
        <w:pStyle w:val="FootnoteText"/>
        <w:ind w:left="709" w:hanging="255"/>
        <w:rPr>
          <w:rFonts w:asciiTheme="minorHAnsi" w:hAnsiTheme="minorHAnsi" w:cstheme="minorHAnsi"/>
        </w:rPr>
      </w:pPr>
      <w:r w:rsidRPr="00641ADF">
        <w:rPr>
          <w:rStyle w:val="FootnoteReference"/>
          <w:rFonts w:asciiTheme="minorHAnsi" w:hAnsiTheme="minorHAnsi" w:cstheme="minorHAnsi"/>
        </w:rPr>
        <w:footnoteRef/>
      </w:r>
      <w:r w:rsidRPr="00641ADF">
        <w:rPr>
          <w:rFonts w:asciiTheme="minorHAnsi" w:hAnsiTheme="minorHAnsi" w:cstheme="minorHAnsi"/>
        </w:rPr>
        <w:t xml:space="preserve"> Based on the assumption of extra demand compared to the </w:t>
      </w:r>
      <w:r w:rsidRPr="00641ADF">
        <w:rPr>
          <w:rFonts w:asciiTheme="minorHAnsi" w:hAnsiTheme="minorHAnsi" w:cstheme="minorHAnsi"/>
          <w:szCs w:val="22"/>
        </w:rPr>
        <w:t>AnaFgas modelling</w:t>
      </w:r>
      <w:r w:rsidRPr="00641ADF">
        <w:rPr>
          <w:rFonts w:asciiTheme="minorHAnsi" w:hAnsiTheme="minorHAnsi" w:cstheme="minorHAnsi"/>
        </w:rPr>
        <w:t xml:space="preserve"> for the period 2024-2026 of 9.5 million </w:t>
      </w:r>
      <w:r>
        <w:rPr>
          <w:rFonts w:asciiTheme="minorHAnsi" w:hAnsiTheme="minorHAnsi" w:cstheme="minorHAnsi"/>
        </w:rPr>
        <w:t>hydronic</w:t>
      </w:r>
      <w:r w:rsidRPr="00641ADF">
        <w:rPr>
          <w:rFonts w:asciiTheme="minorHAnsi" w:hAnsiTheme="minorHAnsi" w:cstheme="minorHAnsi"/>
        </w:rPr>
        <w:t xml:space="preserve"> heat pumps</w:t>
      </w:r>
      <w:r>
        <w:rPr>
          <w:rFonts w:asciiTheme="minorHAnsi" w:hAnsiTheme="minorHAnsi" w:cstheme="minorHAnsi"/>
        </w:rPr>
        <w:t xml:space="preserve"> (both packaged and split systems)</w:t>
      </w:r>
      <w:r w:rsidRPr="00641ADF">
        <w:rPr>
          <w:rFonts w:asciiTheme="minorHAnsi" w:hAnsiTheme="minorHAnsi" w:cstheme="minorHAnsi"/>
        </w:rPr>
        <w:t xml:space="preserve"> and 4.9 million single split </w:t>
      </w:r>
      <w:r>
        <w:rPr>
          <w:rFonts w:asciiTheme="minorHAnsi" w:hAnsiTheme="minorHAnsi" w:cstheme="minorHAnsi"/>
        </w:rPr>
        <w:t xml:space="preserve">air-to-air </w:t>
      </w:r>
      <w:r w:rsidRPr="00641ADF">
        <w:rPr>
          <w:rFonts w:asciiTheme="minorHAnsi" w:hAnsiTheme="minorHAnsi" w:cstheme="minorHAnsi"/>
        </w:rPr>
        <w:t xml:space="preserve">heat pumps. </w:t>
      </w:r>
      <w:r>
        <w:rPr>
          <w:rFonts w:asciiTheme="minorHAnsi" w:hAnsiTheme="minorHAnsi" w:cstheme="minorHAnsi"/>
        </w:rPr>
        <w:t>The r</w:t>
      </w:r>
      <w:r w:rsidRPr="00641ADF">
        <w:rPr>
          <w:rFonts w:asciiTheme="minorHAnsi" w:hAnsiTheme="minorHAnsi" w:cstheme="minorHAnsi"/>
        </w:rPr>
        <w:t>efrigerant</w:t>
      </w:r>
      <w:r>
        <w:rPr>
          <w:rFonts w:asciiTheme="minorHAnsi" w:hAnsiTheme="minorHAnsi" w:cstheme="minorHAnsi"/>
        </w:rPr>
        <w:t xml:space="preserve"> used is</w:t>
      </w:r>
      <w:r w:rsidRPr="00641ADF">
        <w:rPr>
          <w:rFonts w:asciiTheme="minorHAnsi" w:hAnsiTheme="minorHAnsi" w:cstheme="minorHAnsi"/>
        </w:rPr>
        <w:t xml:space="preserve"> </w:t>
      </w:r>
      <w:r>
        <w:rPr>
          <w:rFonts w:asciiTheme="minorHAnsi" w:hAnsiTheme="minorHAnsi" w:cstheme="minorHAnsi"/>
        </w:rPr>
        <w:t xml:space="preserve">assumed to be </w:t>
      </w:r>
      <w:r w:rsidRPr="00641ADF">
        <w:rPr>
          <w:rFonts w:asciiTheme="minorHAnsi" w:hAnsiTheme="minorHAnsi" w:cstheme="minorHAnsi"/>
        </w:rPr>
        <w:t>R32</w:t>
      </w:r>
      <w:r>
        <w:rPr>
          <w:rFonts w:asciiTheme="minorHAnsi" w:hAnsiTheme="minorHAnsi" w:cstheme="minorHAnsi"/>
        </w:rPr>
        <w:t xml:space="preserve"> (originally)</w:t>
      </w:r>
      <w:r w:rsidRPr="00641ADF">
        <w:rPr>
          <w:rFonts w:asciiTheme="minorHAnsi" w:hAnsiTheme="minorHAnsi" w:cstheme="minorHAnsi"/>
        </w:rPr>
        <w:t xml:space="preserve"> </w:t>
      </w:r>
      <w:r>
        <w:rPr>
          <w:rFonts w:asciiTheme="minorHAnsi" w:hAnsiTheme="minorHAnsi" w:cstheme="minorHAnsi"/>
        </w:rPr>
        <w:t xml:space="preserve">and propane (increasingly) with </w:t>
      </w:r>
      <w:r w:rsidRPr="00641ADF">
        <w:rPr>
          <w:rFonts w:asciiTheme="minorHAnsi" w:hAnsiTheme="minorHAnsi" w:cstheme="minorHAnsi"/>
        </w:rPr>
        <w:t>a</w:t>
      </w:r>
      <w:r>
        <w:rPr>
          <w:rFonts w:asciiTheme="minorHAnsi" w:hAnsiTheme="minorHAnsi" w:cstheme="minorHAnsi"/>
        </w:rPr>
        <w:t xml:space="preserve">n increase over time of the </w:t>
      </w:r>
      <w:r w:rsidRPr="00641ADF">
        <w:rPr>
          <w:rFonts w:asciiTheme="minorHAnsi" w:hAnsiTheme="minorHAnsi" w:cstheme="minorHAnsi"/>
        </w:rPr>
        <w:t xml:space="preserve">penetration </w:t>
      </w:r>
      <w:r>
        <w:rPr>
          <w:rFonts w:asciiTheme="minorHAnsi" w:hAnsiTheme="minorHAnsi" w:cstheme="minorHAnsi"/>
        </w:rPr>
        <w:t>rate (</w:t>
      </w:r>
      <w:r w:rsidRPr="00641ADF">
        <w:rPr>
          <w:rFonts w:asciiTheme="minorHAnsi" w:hAnsiTheme="minorHAnsi" w:cstheme="minorHAnsi"/>
        </w:rPr>
        <w:t>respectively 25%</w:t>
      </w:r>
      <w:r>
        <w:rPr>
          <w:rFonts w:asciiTheme="minorHAnsi" w:hAnsiTheme="minorHAnsi" w:cstheme="minorHAnsi"/>
        </w:rPr>
        <w:t>,</w:t>
      </w:r>
      <w:r w:rsidRPr="00641ADF">
        <w:rPr>
          <w:rFonts w:asciiTheme="minorHAnsi" w:hAnsiTheme="minorHAnsi" w:cstheme="minorHAnsi"/>
        </w:rPr>
        <w:t xml:space="preserve"> 50% and 75% natural refrigerant in the years 2024 up to 2026</w:t>
      </w:r>
      <w:r>
        <w:rPr>
          <w:rFonts w:asciiTheme="minorHAnsi" w:hAnsiTheme="minorHAnsi" w:cstheme="minorHAnsi"/>
        </w:rPr>
        <w:t>), in anticipation</w:t>
      </w:r>
      <w:r w:rsidRPr="00641ADF">
        <w:rPr>
          <w:rFonts w:asciiTheme="minorHAnsi" w:hAnsiTheme="minorHAnsi" w:cstheme="minorHAnsi"/>
        </w:rPr>
        <w:t xml:space="preserve"> of the prohibition in 2027.</w:t>
      </w:r>
    </w:p>
  </w:footnote>
  <w:footnote w:id="91">
    <w:p w14:paraId="42C6CF5B" w14:textId="07C8759A" w:rsidR="00F86647" w:rsidRPr="00F25E37" w:rsidRDefault="00F86647" w:rsidP="00F25E37">
      <w:pPr>
        <w:pStyle w:val="FootnoteText"/>
        <w:ind w:left="709" w:hanging="283"/>
        <w:rPr>
          <w:rFonts w:asciiTheme="minorHAnsi" w:hAnsiTheme="minorHAnsi" w:cstheme="minorHAnsi"/>
        </w:rPr>
      </w:pPr>
      <w:r w:rsidRPr="00F25E37">
        <w:rPr>
          <w:rStyle w:val="FootnoteReference"/>
          <w:rFonts w:asciiTheme="minorHAnsi" w:hAnsiTheme="minorHAnsi" w:cstheme="minorHAnsi"/>
        </w:rPr>
        <w:footnoteRef/>
      </w:r>
      <w:r w:rsidRPr="00F25E37">
        <w:rPr>
          <w:rFonts w:asciiTheme="minorHAnsi" w:hAnsiTheme="minorHAnsi" w:cstheme="minorHAnsi"/>
        </w:rPr>
        <w:t xml:space="preserve"> </w:t>
      </w:r>
      <w:r>
        <w:rPr>
          <w:rFonts w:asciiTheme="minorHAnsi" w:hAnsiTheme="minorHAnsi" w:cstheme="minorHAnsi"/>
        </w:rPr>
        <w:t xml:space="preserve">Close to </w:t>
      </w:r>
      <w:r w:rsidRPr="00F25E37">
        <w:rPr>
          <w:rFonts w:asciiTheme="minorHAnsi" w:hAnsiTheme="minorHAnsi" w:cstheme="minorHAnsi"/>
        </w:rPr>
        <w:t xml:space="preserve">70 million tCO2e </w:t>
      </w:r>
      <w:r>
        <w:rPr>
          <w:rFonts w:asciiTheme="minorHAnsi" w:hAnsiTheme="minorHAnsi" w:cstheme="minorHAnsi"/>
        </w:rPr>
        <w:t xml:space="preserve">are banked as unused quota authorisations </w:t>
      </w:r>
      <w:r w:rsidRPr="00F25E37">
        <w:rPr>
          <w:rFonts w:asciiTheme="minorHAnsi" w:hAnsiTheme="minorHAnsi" w:cstheme="minorHAnsi"/>
        </w:rPr>
        <w:t>(EEA Report on fluorinated gases, 2021)</w:t>
      </w:r>
      <w:r>
        <w:rPr>
          <w:rFonts w:asciiTheme="minorHAnsi" w:hAnsiTheme="minorHAnsi" w:cstheme="minorHAnsi"/>
        </w:rPr>
        <w:t>.</w:t>
      </w:r>
    </w:p>
  </w:footnote>
  <w:footnote w:id="92">
    <w:p w14:paraId="09E13803" w14:textId="60FD3DE2" w:rsidR="00F86647" w:rsidRPr="00455EA2" w:rsidRDefault="00F86647" w:rsidP="00C535C8">
      <w:pPr>
        <w:pStyle w:val="FootnoteText"/>
        <w:ind w:left="709" w:hanging="142"/>
        <w:rPr>
          <w:rFonts w:asciiTheme="minorHAnsi" w:hAnsiTheme="minorHAnsi" w:cstheme="minorHAnsi"/>
        </w:rPr>
      </w:pPr>
      <w:r w:rsidRPr="00023E57">
        <w:rPr>
          <w:rStyle w:val="FootnoteReference"/>
          <w:rFonts w:asciiTheme="minorHAnsi" w:hAnsiTheme="minorHAnsi" w:cstheme="minorHAnsi"/>
        </w:rPr>
        <w:footnoteRef/>
      </w:r>
      <w:r>
        <w:rPr>
          <w:rFonts w:asciiTheme="minorHAnsi" w:hAnsiTheme="minorHAnsi" w:cstheme="minorHAnsi"/>
        </w:rPr>
        <w:t xml:space="preserve"> </w:t>
      </w:r>
      <w:r w:rsidRPr="00023E57">
        <w:rPr>
          <w:rFonts w:asciiTheme="minorHAnsi" w:hAnsiTheme="minorHAnsi" w:cstheme="minorHAnsi"/>
        </w:rPr>
        <w:t xml:space="preserve">In Option 2 and 3, </w:t>
      </w:r>
      <w:r>
        <w:rPr>
          <w:rFonts w:asciiTheme="minorHAnsi" w:hAnsiTheme="minorHAnsi" w:cstheme="minorHAnsi"/>
        </w:rPr>
        <w:t>27</w:t>
      </w:r>
      <w:r w:rsidRPr="00023E57">
        <w:rPr>
          <w:rFonts w:asciiTheme="minorHAnsi" w:hAnsiTheme="minorHAnsi" w:cstheme="minorHAnsi"/>
        </w:rPr>
        <w:t xml:space="preserve">% of medium-sized heat pumps (12-200 kW) would still require an HFC mixture </w:t>
      </w:r>
      <w:r w:rsidRPr="00455EA2">
        <w:rPr>
          <w:rFonts w:asciiTheme="minorHAnsi" w:hAnsiTheme="minorHAnsi" w:cstheme="minorHAnsi"/>
        </w:rPr>
        <w:t xml:space="preserve">with a GWP of </w:t>
      </w:r>
      <w:r>
        <w:rPr>
          <w:rFonts w:asciiTheme="minorHAnsi" w:hAnsiTheme="minorHAnsi" w:cstheme="minorHAnsi"/>
        </w:rPr>
        <w:t xml:space="preserve">at least </w:t>
      </w:r>
      <w:r w:rsidRPr="00455EA2">
        <w:rPr>
          <w:rFonts w:asciiTheme="minorHAnsi" w:hAnsiTheme="minorHAnsi" w:cstheme="minorHAnsi"/>
        </w:rPr>
        <w:t>4</w:t>
      </w:r>
      <w:r>
        <w:rPr>
          <w:rFonts w:asciiTheme="minorHAnsi" w:hAnsiTheme="minorHAnsi" w:cstheme="minorHAnsi"/>
        </w:rPr>
        <w:t>66</w:t>
      </w:r>
      <w:r w:rsidRPr="00455EA2">
        <w:rPr>
          <w:rFonts w:asciiTheme="minorHAnsi" w:hAnsiTheme="minorHAnsi" w:cstheme="minorHAnsi"/>
        </w:rPr>
        <w:t xml:space="preserve"> in 2030</w:t>
      </w:r>
      <w:r>
        <w:rPr>
          <w:rFonts w:asciiTheme="minorHAnsi" w:hAnsiTheme="minorHAnsi" w:cstheme="minorHAnsi"/>
        </w:rPr>
        <w:t>, but 73% could go to very low, single-digit GWP</w:t>
      </w:r>
      <w:r w:rsidRPr="00455EA2">
        <w:rPr>
          <w:rFonts w:asciiTheme="minorHAnsi" w:hAnsiTheme="minorHAnsi" w:cstheme="minorHAnsi"/>
        </w:rPr>
        <w:t xml:space="preserve">; </w:t>
      </w:r>
      <w:r>
        <w:rPr>
          <w:rFonts w:asciiTheme="minorHAnsi" w:hAnsiTheme="minorHAnsi" w:cstheme="minorHAnsi"/>
        </w:rPr>
        <w:t>41</w:t>
      </w:r>
      <w:r w:rsidRPr="00455EA2">
        <w:rPr>
          <w:rFonts w:asciiTheme="minorHAnsi" w:hAnsiTheme="minorHAnsi" w:cstheme="minorHAnsi"/>
        </w:rPr>
        <w:t xml:space="preserve">% of VRF heat pumps would require </w:t>
      </w:r>
      <w:r>
        <w:rPr>
          <w:rFonts w:asciiTheme="minorHAnsi" w:hAnsiTheme="minorHAnsi" w:cstheme="minorHAnsi"/>
        </w:rPr>
        <w:t>a GWP of at least 675, while 59</w:t>
      </w:r>
      <w:r w:rsidRPr="00455EA2">
        <w:rPr>
          <w:rFonts w:asciiTheme="minorHAnsi" w:hAnsiTheme="minorHAnsi" w:cstheme="minorHAnsi"/>
        </w:rPr>
        <w:t xml:space="preserve">% </w:t>
      </w:r>
      <w:r>
        <w:rPr>
          <w:rFonts w:asciiTheme="minorHAnsi" w:hAnsiTheme="minorHAnsi" w:cstheme="minorHAnsi"/>
        </w:rPr>
        <w:t xml:space="preserve">could use </w:t>
      </w:r>
      <w:r w:rsidRPr="00455EA2">
        <w:rPr>
          <w:rFonts w:asciiTheme="minorHAnsi" w:hAnsiTheme="minorHAnsi" w:cstheme="minorHAnsi"/>
        </w:rPr>
        <w:t xml:space="preserve">an HFC mixture with a GWP of </w:t>
      </w:r>
      <w:r>
        <w:rPr>
          <w:rFonts w:asciiTheme="minorHAnsi" w:hAnsiTheme="minorHAnsi" w:cstheme="minorHAnsi"/>
        </w:rPr>
        <w:t xml:space="preserve">lower than </w:t>
      </w:r>
      <w:r w:rsidRPr="00455EA2">
        <w:rPr>
          <w:rFonts w:asciiTheme="minorHAnsi" w:hAnsiTheme="minorHAnsi" w:cstheme="minorHAnsi"/>
        </w:rPr>
        <w:t xml:space="preserve">150. These are significant reductions of the GWP, as conventional technology until recently used to be R-410A with a GWP of 2088, e.g. </w:t>
      </w:r>
      <w:r>
        <w:rPr>
          <w:rFonts w:asciiTheme="minorHAnsi" w:hAnsiTheme="minorHAnsi" w:cstheme="minorHAnsi"/>
        </w:rPr>
        <w:t xml:space="preserve">even </w:t>
      </w:r>
      <w:r w:rsidRPr="00455EA2">
        <w:rPr>
          <w:rFonts w:asciiTheme="minorHAnsi" w:hAnsiTheme="minorHAnsi" w:cstheme="minorHAnsi"/>
        </w:rPr>
        <w:t xml:space="preserve">an HFC with </w:t>
      </w:r>
      <w:r>
        <w:rPr>
          <w:rFonts w:asciiTheme="minorHAnsi" w:hAnsiTheme="minorHAnsi" w:cstheme="minorHAnsi"/>
        </w:rPr>
        <w:t xml:space="preserve">a </w:t>
      </w:r>
      <w:r w:rsidRPr="00455EA2">
        <w:rPr>
          <w:rFonts w:asciiTheme="minorHAnsi" w:hAnsiTheme="minorHAnsi" w:cstheme="minorHAnsi"/>
        </w:rPr>
        <w:t xml:space="preserve">GWP </w:t>
      </w:r>
      <w:r>
        <w:rPr>
          <w:rFonts w:asciiTheme="minorHAnsi" w:hAnsiTheme="minorHAnsi" w:cstheme="minorHAnsi"/>
        </w:rPr>
        <w:t>as high as</w:t>
      </w:r>
      <w:r w:rsidRPr="00455EA2">
        <w:rPr>
          <w:rFonts w:asciiTheme="minorHAnsi" w:hAnsiTheme="minorHAnsi" w:cstheme="minorHAnsi"/>
        </w:rPr>
        <w:t xml:space="preserve"> 4</w:t>
      </w:r>
      <w:r>
        <w:rPr>
          <w:rFonts w:asciiTheme="minorHAnsi" w:hAnsiTheme="minorHAnsi" w:cstheme="minorHAnsi"/>
        </w:rPr>
        <w:t>66</w:t>
      </w:r>
      <w:r w:rsidRPr="00455EA2">
        <w:rPr>
          <w:rFonts w:asciiTheme="minorHAnsi" w:hAnsiTheme="minorHAnsi" w:cstheme="minorHAnsi"/>
        </w:rPr>
        <w:t xml:space="preserve"> would </w:t>
      </w:r>
      <w:r>
        <w:rPr>
          <w:rFonts w:asciiTheme="minorHAnsi" w:hAnsiTheme="minorHAnsi" w:cstheme="minorHAnsi"/>
        </w:rPr>
        <w:t xml:space="preserve">still only </w:t>
      </w:r>
      <w:r w:rsidRPr="00455EA2">
        <w:rPr>
          <w:rFonts w:asciiTheme="minorHAnsi" w:hAnsiTheme="minorHAnsi" w:cstheme="minorHAnsi"/>
        </w:rPr>
        <w:t>require only about a fifth of the quota measured in CO2e than does an R410A equipment with the same charge size</w:t>
      </w:r>
      <w:r>
        <w:rPr>
          <w:rFonts w:asciiTheme="minorHAnsi" w:hAnsiTheme="minorHAnsi" w:cstheme="minorHAnsi"/>
        </w:rPr>
        <w:t>.</w:t>
      </w:r>
      <w:r w:rsidRPr="00455EA2">
        <w:rPr>
          <w:rFonts w:asciiTheme="minorHAnsi" w:hAnsiTheme="minorHAnsi" w:cstheme="minorHAnsi"/>
        </w:rPr>
        <w:t xml:space="preserve"> </w:t>
      </w:r>
    </w:p>
  </w:footnote>
  <w:footnote w:id="93">
    <w:p w14:paraId="202E7C3F" w14:textId="565CC07B" w:rsidR="00F86647" w:rsidRPr="00455EA2" w:rsidRDefault="00F86647" w:rsidP="00C535C8">
      <w:pPr>
        <w:pStyle w:val="FootnoteText"/>
        <w:ind w:left="709" w:hanging="142"/>
        <w:rPr>
          <w:rFonts w:asciiTheme="minorHAnsi" w:hAnsiTheme="minorHAnsi" w:cstheme="minorHAnsi"/>
        </w:rPr>
      </w:pPr>
      <w:r w:rsidRPr="00455EA2">
        <w:rPr>
          <w:rStyle w:val="FootnoteReference"/>
          <w:rFonts w:asciiTheme="minorHAnsi" w:hAnsiTheme="minorHAnsi" w:cstheme="minorHAnsi"/>
        </w:rPr>
        <w:footnoteRef/>
      </w:r>
      <w:r>
        <w:rPr>
          <w:rFonts w:asciiTheme="minorHAnsi" w:hAnsiTheme="minorHAnsi" w:cstheme="minorHAnsi"/>
        </w:rPr>
        <w:t xml:space="preserve"> </w:t>
      </w:r>
      <w:r w:rsidRPr="00455EA2">
        <w:rPr>
          <w:rFonts w:asciiTheme="minorHAnsi" w:hAnsiTheme="minorHAnsi" w:cstheme="minorHAnsi"/>
        </w:rPr>
        <w:t>In addition, the transition to climate-friendly alternatives results in significant savings for the end users in terms of energy efficiency and is another incentive to use heat pumps in larger numbers</w:t>
      </w:r>
    </w:p>
  </w:footnote>
  <w:footnote w:id="94">
    <w:p w14:paraId="34EE3F60" w14:textId="5C64974A"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i.e. the time period that covers the presumed entry into force of the new Regulation (2024) until the last (lowest) compliance step of the Protocol (2036)</w:t>
      </w:r>
      <w:r>
        <w:rPr>
          <w:rFonts w:asciiTheme="minorHAnsi" w:hAnsiTheme="minorHAnsi" w:cstheme="minorHAnsi"/>
        </w:rPr>
        <w:t>. Annual costs for these years are determined and averaged over the period.</w:t>
      </w:r>
    </w:p>
  </w:footnote>
  <w:footnote w:id="95">
    <w:p w14:paraId="33022509" w14:textId="0ACC1968"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The options will not target new passenger cars as they are already required to use climate friendly refrigerants.</w:t>
      </w:r>
    </w:p>
  </w:footnote>
  <w:footnote w:id="96">
    <w:p w14:paraId="745397F8" w14:textId="25CB5B44"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This concerns only Option 2 and 3, as no mitigation actions for those sectors is expected in Option 1.</w:t>
      </w:r>
    </w:p>
  </w:footnote>
  <w:footnote w:id="97">
    <w:p w14:paraId="45F9ECCB" w14:textId="050453AA"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This is not relevant for Option 1 since there are no emission savings compared to the baseline.</w:t>
      </w:r>
    </w:p>
  </w:footnote>
  <w:footnote w:id="98">
    <w:p w14:paraId="4B7C99EA" w14:textId="1207E71A"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 xml:space="preserve">C(2020) 8842 final. REPORT FROM THE COMMISSION on the availability of hydrofluorocarbons on the Union market. </w:t>
      </w:r>
      <w:hyperlink r:id="rId17" w:history="1">
        <w:r w:rsidRPr="00CC03E3">
          <w:rPr>
            <w:rStyle w:val="Hyperlink"/>
            <w:rFonts w:asciiTheme="minorHAnsi" w:hAnsiTheme="minorHAnsi" w:cstheme="minorHAnsi"/>
            <w:sz w:val="18"/>
            <w:szCs w:val="18"/>
          </w:rPr>
          <w:t>https://ec.europa.eu/clima/document/download/11f89677-c97e-420d-97b7-97b9ad14618a_en</w:t>
        </w:r>
      </w:hyperlink>
      <w:r w:rsidRPr="00CC03E3">
        <w:rPr>
          <w:rFonts w:asciiTheme="minorHAnsi" w:hAnsiTheme="minorHAnsi" w:cstheme="minorHAnsi"/>
          <w:sz w:val="18"/>
          <w:szCs w:val="18"/>
        </w:rPr>
        <w:t xml:space="preserve"> </w:t>
      </w:r>
    </w:p>
  </w:footnote>
  <w:footnote w:id="99">
    <w:p w14:paraId="1FFE1093" w14:textId="6DC83FF0"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r>
      <w:r>
        <w:rPr>
          <w:rFonts w:asciiTheme="minorHAnsi" w:hAnsiTheme="minorHAnsi" w:cstheme="minorHAnsi"/>
        </w:rPr>
        <w:t>A</w:t>
      </w:r>
      <w:r w:rsidRPr="00455EA2">
        <w:rPr>
          <w:rFonts w:asciiTheme="minorHAnsi" w:hAnsiTheme="minorHAnsi" w:cstheme="minorHAnsi"/>
        </w:rPr>
        <w:t xml:space="preserve"> comparative analysis is difficult because on the one hand, options with a stricter phase-down have lower HFC supply and therefore HFC prices would tend to be higher. On the other hand, a stricter phase-down promotes technological change, which in turn will decrease demand for HFCs and thus prices. Also, HFC prices may be lower for options with additional prohibitions since prohibitions reduce HFC demand.</w:t>
      </w:r>
      <w:r>
        <w:rPr>
          <w:rFonts w:asciiTheme="minorHAnsi" w:hAnsiTheme="minorHAnsi" w:cstheme="minorHAnsi"/>
        </w:rPr>
        <w:t xml:space="preserve"> Since 2015, prices were stable in the first two years of the quota system, shooting up very strongly in 2018 and then coming back down in 2019 and 2020 (See evaluation, Annex A5.6.1.1).</w:t>
      </w:r>
    </w:p>
  </w:footnote>
  <w:footnote w:id="100">
    <w:p w14:paraId="3F5C43C8" w14:textId="3E5FD1CD"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Of total costs in 2024 -2036 price increases account for approximately 99% in Option 1, 95% in Option 2 and 80% in Option 3</w:t>
      </w:r>
      <w:r>
        <w:rPr>
          <w:rFonts w:asciiTheme="minorHAnsi" w:hAnsiTheme="minorHAnsi" w:cstheme="minorHAnsi"/>
        </w:rPr>
        <w:t>.</w:t>
      </w:r>
    </w:p>
  </w:footnote>
  <w:footnote w:id="101">
    <w:p w14:paraId="15FD6910" w14:textId="0FDA2F70" w:rsidR="00F86647" w:rsidRPr="00455EA2" w:rsidRDefault="00F86647" w:rsidP="00CC03E3">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€3/tCO2e would be below recent market levels on the HFC price premium (6 €/t CO</w:t>
      </w:r>
      <w:r w:rsidRPr="00455EA2">
        <w:rPr>
          <w:rFonts w:asciiTheme="minorHAnsi" w:hAnsiTheme="minorHAnsi" w:cstheme="minorHAnsi"/>
          <w:vertAlign w:val="subscript"/>
        </w:rPr>
        <w:t>2</w:t>
      </w:r>
      <w:r w:rsidRPr="00455EA2">
        <w:rPr>
          <w:rFonts w:asciiTheme="minorHAnsi" w:hAnsiTheme="minorHAnsi" w:cstheme="minorHAnsi"/>
        </w:rPr>
        <w:t>e as OEM purchasing prices from 2015-2019) and thus the ‘allocation price’ would normally decrease benefits in the HFC supply chain whereas it would not be passed on and result in an additional burden to end-users</w:t>
      </w:r>
      <w:r>
        <w:rPr>
          <w:rFonts w:asciiTheme="minorHAnsi" w:hAnsiTheme="minorHAnsi" w:cstheme="minorHAnsi"/>
        </w:rPr>
        <w:t>.</w:t>
      </w:r>
    </w:p>
  </w:footnote>
  <w:footnote w:id="102">
    <w:p w14:paraId="1253DE7E" w14:textId="77777777" w:rsidR="00F86647" w:rsidRPr="00455EA2" w:rsidRDefault="00F86647" w:rsidP="00AA4518">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13 Member States provided data based on time effort required, and 9 Member States provided data on financial costs.</w:t>
      </w:r>
    </w:p>
  </w:footnote>
  <w:footnote w:id="103">
    <w:p w14:paraId="5D624E67" w14:textId="24F19ED4" w:rsidR="00F86647" w:rsidRPr="009235A6" w:rsidRDefault="00F86647" w:rsidP="00CC03E3">
      <w:pPr>
        <w:pStyle w:val="FootnoteText"/>
        <w:ind w:left="567" w:hanging="340"/>
        <w:rPr>
          <w:rFonts w:ascii="Calibri" w:hAnsi="Calibri" w:cs="Calibri"/>
        </w:rPr>
      </w:pPr>
      <w:r w:rsidRPr="009235A6">
        <w:rPr>
          <w:rStyle w:val="FootnoteReference"/>
          <w:rFonts w:ascii="Calibri" w:hAnsi="Calibri" w:cs="Calibri"/>
        </w:rPr>
        <w:footnoteRef/>
      </w:r>
      <w:r w:rsidRPr="009235A6">
        <w:rPr>
          <w:rFonts w:ascii="Calibri" w:hAnsi="Calibri" w:cs="Calibri"/>
        </w:rPr>
        <w:t xml:space="preserve"> </w:t>
      </w:r>
      <w:r>
        <w:rPr>
          <w:rFonts w:ascii="Calibri" w:hAnsi="Calibri" w:cs="Calibri"/>
        </w:rPr>
        <w:tab/>
      </w:r>
      <w:r w:rsidRPr="009235A6">
        <w:rPr>
          <w:rFonts w:ascii="Calibri" w:hAnsi="Calibri" w:cs="Calibri"/>
        </w:rPr>
        <w:t>In addition, there are 20.8 million € costs estimated for attending additional training courses which is considered an additional adjustment cost for service companies</w:t>
      </w:r>
      <w:r>
        <w:rPr>
          <w:rFonts w:ascii="Calibri" w:hAnsi="Calibri" w:cs="Calibri"/>
        </w:rPr>
        <w:t>.</w:t>
      </w:r>
    </w:p>
  </w:footnote>
  <w:footnote w:id="104">
    <w:p w14:paraId="6CEFC96D" w14:textId="65EB1DE5" w:rsidR="00F86647" w:rsidRPr="00455EA2" w:rsidRDefault="00F86647" w:rsidP="00CC03E3">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Benefits related to automatic controls through the Single Window for Customs are in the baseline and saved payments to the EU Budget due to the quota price revenue transfer in Option 2 and 3 are not included.</w:t>
      </w:r>
    </w:p>
  </w:footnote>
  <w:footnote w:id="105">
    <w:p w14:paraId="335B7EFD" w14:textId="2E6E53EC"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European Commission (2021). EU Reference Scenario 2020: Energy, transport and GHG emissions - Trends to 2050.</w:t>
      </w:r>
    </w:p>
  </w:footnote>
  <w:footnote w:id="106">
    <w:p w14:paraId="6DC82533" w14:textId="349A2A51" w:rsidR="00F86647" w:rsidRPr="00C10AB1" w:rsidRDefault="00F86647" w:rsidP="00CC03E3">
      <w:pPr>
        <w:pStyle w:val="FootnoteText"/>
        <w:ind w:left="567" w:hanging="340"/>
      </w:pPr>
      <w:r>
        <w:rPr>
          <w:rStyle w:val="FootnoteReference"/>
        </w:rPr>
        <w:footnoteRef/>
      </w:r>
      <w:r>
        <w:t xml:space="preserve"> </w:t>
      </w:r>
      <w:r>
        <w:tab/>
      </w:r>
      <w:r w:rsidRPr="00A20E0E">
        <w:rPr>
          <w:rFonts w:asciiTheme="minorHAnsi" w:hAnsiTheme="minorHAnsi" w:cstheme="minorHAnsi"/>
        </w:rPr>
        <w:t xml:space="preserve">E.g. in the South smaller shops are </w:t>
      </w:r>
      <w:r>
        <w:rPr>
          <w:rFonts w:asciiTheme="minorHAnsi" w:hAnsiTheme="minorHAnsi" w:cstheme="minorHAnsi"/>
        </w:rPr>
        <w:t xml:space="preserve">comparatively </w:t>
      </w:r>
      <w:r w:rsidRPr="00A20E0E">
        <w:rPr>
          <w:rFonts w:asciiTheme="minorHAnsi" w:hAnsiTheme="minorHAnsi" w:cstheme="minorHAnsi"/>
        </w:rPr>
        <w:t>more relevant, requiring different types of equipment</w:t>
      </w:r>
      <w:r>
        <w:rPr>
          <w:rFonts w:asciiTheme="minorHAnsi" w:hAnsiTheme="minorHAnsi" w:cstheme="minorHAnsi"/>
        </w:rPr>
        <w:t>.</w:t>
      </w:r>
    </w:p>
  </w:footnote>
  <w:footnote w:id="107">
    <w:p w14:paraId="351BAE7B" w14:textId="4379DD5D"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 xml:space="preserve">There a no technical adjustment costs linked to mobile AC in </w:t>
      </w:r>
      <w:r w:rsidRPr="00455EA2">
        <w:rPr>
          <w:rFonts w:asciiTheme="minorHAnsi" w:hAnsiTheme="minorHAnsi" w:cstheme="minorHAnsi"/>
          <w:lang w:val="en-US"/>
        </w:rPr>
        <w:t xml:space="preserve">passenger cars except that higher HFC prices may increase </w:t>
      </w:r>
      <w:r>
        <w:rPr>
          <w:rFonts w:asciiTheme="minorHAnsi" w:hAnsiTheme="minorHAnsi" w:cstheme="minorHAnsi"/>
          <w:lang w:val="en-US"/>
        </w:rPr>
        <w:t xml:space="preserve">costs of maintaining AC in some </w:t>
      </w:r>
      <w:r w:rsidRPr="00455EA2">
        <w:rPr>
          <w:rFonts w:asciiTheme="minorHAnsi" w:hAnsiTheme="minorHAnsi" w:cstheme="minorHAnsi"/>
          <w:lang w:val="en-US"/>
        </w:rPr>
        <w:t>cars dating before 2017.</w:t>
      </w:r>
    </w:p>
  </w:footnote>
  <w:footnote w:id="108">
    <w:p w14:paraId="74213EB8" w14:textId="77777777" w:rsidR="00F86647" w:rsidRPr="00CC03E3" w:rsidRDefault="00F86647" w:rsidP="00CC03E3">
      <w:pPr>
        <w:pStyle w:val="FootnoteText"/>
        <w:ind w:left="567" w:hanging="340"/>
        <w:rPr>
          <w:rFonts w:asciiTheme="minorHAnsi" w:hAnsiTheme="minorHAnsi" w:cstheme="minorHAnsi"/>
        </w:rPr>
      </w:pPr>
      <w:r w:rsidRPr="00CC03E3">
        <w:rPr>
          <w:rStyle w:val="FootnoteReference"/>
          <w:rFonts w:asciiTheme="minorHAnsi" w:hAnsiTheme="minorHAnsi" w:cstheme="minorHAnsi"/>
        </w:rPr>
        <w:footnoteRef/>
      </w:r>
      <w:r w:rsidRPr="00CC03E3">
        <w:rPr>
          <w:rFonts w:asciiTheme="minorHAnsi" w:hAnsiTheme="minorHAnsi" w:cstheme="minorHAnsi"/>
        </w:rPr>
        <w:t xml:space="preserve">  These answers were obtained from 168 respondents from industry, of which 122 (73%) describe themselves as SMEs.</w:t>
      </w:r>
    </w:p>
  </w:footnote>
  <w:footnote w:id="109">
    <w:p w14:paraId="3A701407" w14:textId="19947EFC" w:rsidR="00F86647" w:rsidRPr="00CC03E3" w:rsidRDefault="00F86647" w:rsidP="00CC03E3">
      <w:pPr>
        <w:pStyle w:val="FootnoteText"/>
        <w:ind w:left="567" w:hanging="340"/>
        <w:rPr>
          <w:rFonts w:asciiTheme="minorHAnsi" w:hAnsiTheme="minorHAnsi" w:cstheme="minorHAnsi"/>
        </w:rPr>
      </w:pPr>
      <w:r w:rsidRPr="00CC03E3">
        <w:rPr>
          <w:rStyle w:val="FootnoteReference"/>
          <w:rFonts w:asciiTheme="minorHAnsi" w:hAnsiTheme="minorHAnsi" w:cstheme="minorHAnsi"/>
        </w:rPr>
        <w:footnoteRef/>
      </w:r>
      <w:r w:rsidRPr="00CC03E3">
        <w:rPr>
          <w:rFonts w:asciiTheme="minorHAnsi" w:hAnsiTheme="minorHAnsi" w:cstheme="minorHAnsi"/>
        </w:rPr>
        <w:t xml:space="preserve">   </w:t>
      </w:r>
      <w:r>
        <w:rPr>
          <w:rFonts w:asciiTheme="minorHAnsi" w:hAnsiTheme="minorHAnsi" w:cstheme="minorHAnsi"/>
        </w:rPr>
        <w:tab/>
      </w:r>
      <w:r w:rsidRPr="00CC03E3">
        <w:rPr>
          <w:rFonts w:asciiTheme="minorHAnsi" w:hAnsiTheme="minorHAnsi" w:cstheme="minorHAnsi"/>
        </w:rPr>
        <w:t xml:space="preserve">The remaining percentage (25%) could not say or did not answer. </w:t>
      </w:r>
    </w:p>
  </w:footnote>
  <w:footnote w:id="110">
    <w:p w14:paraId="12E1BCBA" w14:textId="7A30056B" w:rsidR="00F86647" w:rsidRPr="00455EA2" w:rsidRDefault="00F86647" w:rsidP="00CC03E3">
      <w:pPr>
        <w:pStyle w:val="FootnoteText"/>
        <w:ind w:left="567" w:hanging="340"/>
        <w:rPr>
          <w:rFonts w:asciiTheme="minorHAnsi" w:hAnsiTheme="minorHAnsi" w:cstheme="minorHAnsi"/>
        </w:rPr>
      </w:pPr>
      <w:r w:rsidRPr="00CC03E3">
        <w:rPr>
          <w:rStyle w:val="FootnoteReference"/>
          <w:rFonts w:asciiTheme="minorHAnsi" w:hAnsiTheme="minorHAnsi" w:cstheme="minorHAnsi"/>
        </w:rPr>
        <w:footnoteRef/>
      </w:r>
      <w:r w:rsidRPr="00CC03E3">
        <w:rPr>
          <w:rFonts w:asciiTheme="minorHAnsi" w:hAnsiTheme="minorHAnsi" w:cstheme="minorHAnsi"/>
        </w:rPr>
        <w:t xml:space="preserve"> </w:t>
      </w:r>
      <w:r w:rsidRPr="00CC03E3">
        <w:rPr>
          <w:rFonts w:asciiTheme="minorHAnsi" w:hAnsiTheme="minorHAnsi" w:cstheme="minorHAnsi"/>
        </w:rPr>
        <w:tab/>
        <w:t xml:space="preserve">The quota </w:t>
      </w:r>
      <w:r w:rsidR="00D06D35">
        <w:rPr>
          <w:rFonts w:asciiTheme="minorHAnsi" w:hAnsiTheme="minorHAnsi" w:cstheme="minorHAnsi"/>
        </w:rPr>
        <w:t>authorisation</w:t>
      </w:r>
      <w:r w:rsidRPr="00CC03E3">
        <w:rPr>
          <w:rFonts w:asciiTheme="minorHAnsi" w:hAnsiTheme="minorHAnsi" w:cstheme="minorHAnsi"/>
        </w:rPr>
        <w:t>s price has been developing similar to the HFC price premium.</w:t>
      </w:r>
      <w:r w:rsidRPr="00CC03E3">
        <w:rPr>
          <w:rFonts w:asciiTheme="minorHAnsi" w:eastAsia="Times New Roman" w:hAnsiTheme="minorHAnsi" w:cstheme="minorHAnsi"/>
        </w:rPr>
        <w:t xml:space="preserve"> It has been at a low levels since 2019 and many importers have already acquired a substantial authorisations for future use.</w:t>
      </w:r>
    </w:p>
  </w:footnote>
  <w:footnote w:id="111">
    <w:p w14:paraId="7CD985BB" w14:textId="5957CD97" w:rsidR="00F86647" w:rsidRPr="002E0626" w:rsidRDefault="00F86647" w:rsidP="00CC03E3">
      <w:pPr>
        <w:pStyle w:val="FootnoteText"/>
        <w:ind w:left="567" w:hanging="340"/>
        <w:rPr>
          <w:rFonts w:asciiTheme="minorHAnsi" w:hAnsiTheme="minorHAnsi" w:cstheme="minorHAnsi"/>
        </w:rPr>
      </w:pPr>
      <w:r w:rsidRPr="002E0626">
        <w:rPr>
          <w:rStyle w:val="FootnoteReference"/>
          <w:rFonts w:asciiTheme="minorHAnsi" w:hAnsiTheme="minorHAnsi" w:cstheme="minorHAnsi"/>
        </w:rPr>
        <w:footnoteRef/>
      </w:r>
      <w:r w:rsidRPr="002E0626">
        <w:rPr>
          <w:rFonts w:asciiTheme="minorHAnsi" w:hAnsiTheme="minorHAnsi" w:cstheme="minorHAnsi"/>
        </w:rPr>
        <w:t xml:space="preserve"> </w:t>
      </w:r>
      <w:r>
        <w:rPr>
          <w:rFonts w:asciiTheme="minorHAnsi" w:hAnsiTheme="minorHAnsi" w:cstheme="minorHAnsi"/>
        </w:rPr>
        <w:tab/>
      </w:r>
      <w:r w:rsidRPr="002E0626">
        <w:rPr>
          <w:rFonts w:asciiTheme="minorHAnsi" w:hAnsiTheme="minorHAnsi" w:cstheme="minorHAnsi"/>
        </w:rPr>
        <w:t>The respective prohibitions for SF</w:t>
      </w:r>
      <w:r w:rsidRPr="002E0626">
        <w:rPr>
          <w:rFonts w:asciiTheme="minorHAnsi" w:hAnsiTheme="minorHAnsi" w:cstheme="minorHAnsi"/>
          <w:vertAlign w:val="subscript"/>
        </w:rPr>
        <w:t>6</w:t>
      </w:r>
      <w:r w:rsidRPr="002E0626">
        <w:rPr>
          <w:rFonts w:asciiTheme="minorHAnsi" w:hAnsiTheme="minorHAnsi" w:cstheme="minorHAnsi"/>
        </w:rPr>
        <w:t xml:space="preserve"> equipment under Options 2 and 3</w:t>
      </w:r>
      <w:r w:rsidRPr="002E0626">
        <w:rPr>
          <w:rFonts w:asciiTheme="minorHAnsi" w:hAnsiTheme="minorHAnsi" w:cstheme="minorHAnsi"/>
          <w:b/>
          <w:bCs/>
          <w:i/>
          <w:iCs/>
          <w:lang w:val="en-US"/>
        </w:rPr>
        <w:t xml:space="preserve"> </w:t>
      </w:r>
      <w:r w:rsidRPr="002E0626">
        <w:rPr>
          <w:rFonts w:asciiTheme="minorHAnsi" w:hAnsiTheme="minorHAnsi" w:cstheme="minorHAnsi"/>
          <w:lang w:val="en-US"/>
        </w:rPr>
        <w:t>apply for placing on the EU market and installation only.</w:t>
      </w:r>
    </w:p>
  </w:footnote>
  <w:footnote w:id="112">
    <w:p w14:paraId="271DB27F" w14:textId="70DECC6D" w:rsidR="00F86647" w:rsidRPr="00DB1B5A" w:rsidRDefault="00F86647">
      <w:pPr>
        <w:pStyle w:val="FootnoteText"/>
      </w:pPr>
      <w:r>
        <w:rPr>
          <w:rStyle w:val="FootnoteReference"/>
        </w:rPr>
        <w:footnoteRef/>
      </w:r>
      <w:r>
        <w:t xml:space="preserve"> </w:t>
      </w:r>
      <w:r w:rsidRPr="00DB1B5A">
        <w:rPr>
          <w:rFonts w:asciiTheme="minorHAnsi" w:hAnsiTheme="minorHAnsi"/>
        </w:rPr>
        <w:t xml:space="preserve">For </w:t>
      </w:r>
      <w:r>
        <w:rPr>
          <w:rFonts w:asciiTheme="minorHAnsi" w:hAnsiTheme="minorHAnsi"/>
        </w:rPr>
        <w:t xml:space="preserve">total </w:t>
      </w:r>
      <w:r w:rsidRPr="00DB1B5A">
        <w:rPr>
          <w:rFonts w:asciiTheme="minorHAnsi" w:hAnsiTheme="minorHAnsi"/>
        </w:rPr>
        <w:t xml:space="preserve">cumulative emission savings see </w:t>
      </w:r>
      <w:r w:rsidRPr="00DB1B5A">
        <w:rPr>
          <w:rFonts w:asciiTheme="minorHAnsi" w:hAnsiTheme="minorHAnsi"/>
          <w:color w:val="000000" w:themeColor="text1"/>
        </w:rPr>
        <w:fldChar w:fldCharType="begin"/>
      </w:r>
      <w:r w:rsidRPr="00DB1B5A">
        <w:rPr>
          <w:rFonts w:asciiTheme="minorHAnsi" w:hAnsiTheme="minorHAnsi"/>
          <w:color w:val="000000" w:themeColor="text1"/>
        </w:rPr>
        <w:instrText xml:space="preserve"> REF _Ref94166009 \h  \* MERGEFORMAT </w:instrText>
      </w:r>
      <w:r w:rsidRPr="00DB1B5A">
        <w:rPr>
          <w:rFonts w:asciiTheme="minorHAnsi" w:hAnsiTheme="minorHAnsi"/>
          <w:color w:val="000000" w:themeColor="text1"/>
        </w:rPr>
      </w:r>
      <w:r w:rsidRPr="00DB1B5A">
        <w:rPr>
          <w:rFonts w:asciiTheme="minorHAnsi" w:hAnsiTheme="minorHAnsi"/>
          <w:color w:val="000000" w:themeColor="text1"/>
        </w:rPr>
        <w:fldChar w:fldCharType="separate"/>
      </w:r>
      <w:r w:rsidRPr="00DB1B5A">
        <w:rPr>
          <w:rFonts w:asciiTheme="minorHAnsi" w:hAnsiTheme="minorHAnsi"/>
          <w:bCs/>
          <w:color w:val="000000" w:themeColor="text1"/>
        </w:rPr>
        <w:t xml:space="preserve">Figure </w:t>
      </w:r>
      <w:r w:rsidRPr="00DB1B5A">
        <w:rPr>
          <w:rFonts w:asciiTheme="minorHAnsi" w:hAnsiTheme="minorHAnsi" w:cstheme="minorHAnsi"/>
          <w:noProof/>
          <w:color w:val="000000" w:themeColor="text1"/>
        </w:rPr>
        <w:t>6</w:t>
      </w:r>
      <w:r w:rsidRPr="00DB1B5A">
        <w:rPr>
          <w:rFonts w:asciiTheme="minorHAnsi" w:hAnsiTheme="minorHAnsi"/>
          <w:color w:val="000000" w:themeColor="text1"/>
        </w:rPr>
        <w:fldChar w:fldCharType="end"/>
      </w:r>
      <w:r w:rsidRPr="00DB1B5A">
        <w:rPr>
          <w:rFonts w:asciiTheme="minorHAnsi" w:hAnsiTheme="minorHAnsi"/>
          <w:color w:val="000000" w:themeColor="text1"/>
        </w:rPr>
        <w:t>.</w:t>
      </w:r>
    </w:p>
  </w:footnote>
  <w:footnote w:id="113">
    <w:p w14:paraId="3EECB266" w14:textId="2D8B09F9"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r>
      <w:hyperlink r:id="rId18" w:history="1">
        <w:r w:rsidRPr="00455EA2">
          <w:rPr>
            <w:rStyle w:val="Hyperlink"/>
            <w:rFonts w:asciiTheme="minorHAnsi" w:hAnsiTheme="minorHAnsi" w:cstheme="minorHAnsi"/>
          </w:rPr>
          <w:t>https://www.eea.europa.eu/publications/fluorinated-greenhouse-gases-2020</w:t>
        </w:r>
      </w:hyperlink>
      <w:r w:rsidRPr="00455EA2">
        <w:rPr>
          <w:rFonts w:asciiTheme="minorHAnsi" w:hAnsiTheme="minorHAnsi" w:cstheme="minorHAnsi"/>
        </w:rPr>
        <w:t xml:space="preserve"> </w:t>
      </w:r>
    </w:p>
  </w:footnote>
  <w:footnote w:id="114">
    <w:p w14:paraId="66401E3B" w14:textId="30117B30"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ab/>
      </w:r>
      <w:hyperlink r:id="rId19" w:history="1">
        <w:r w:rsidRPr="00455EA2">
          <w:rPr>
            <w:rStyle w:val="Hyperlink"/>
            <w:rFonts w:asciiTheme="minorHAnsi" w:hAnsiTheme="minorHAnsi" w:cstheme="minorHAnsi"/>
          </w:rPr>
          <w:t>https://ec.europa.eu/info/law/better-regulation/have-your-say/initiatives/12479-Fluorinated-greenhouse-gases-review-of-EU-rules-2015-20-_en</w:t>
        </w:r>
      </w:hyperlink>
      <w:r w:rsidRPr="00455EA2">
        <w:rPr>
          <w:rFonts w:asciiTheme="minorHAnsi" w:hAnsiTheme="minorHAnsi" w:cstheme="minorHAnsi"/>
        </w:rPr>
        <w:t xml:space="preserve"> </w:t>
      </w:r>
    </w:p>
  </w:footnote>
  <w:footnote w:id="115">
    <w:p w14:paraId="44D4AA28" w14:textId="0D81593C"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ab/>
      </w:r>
      <w:hyperlink r:id="rId20" w:history="1">
        <w:r w:rsidRPr="00455EA2">
          <w:rPr>
            <w:rStyle w:val="Hyperlink"/>
            <w:rFonts w:asciiTheme="minorHAnsi" w:hAnsiTheme="minorHAnsi" w:cstheme="minorHAnsi"/>
          </w:rPr>
          <w:t>https://ec.europa.eu/info/law/better-regulation/have-your-say/initiatives/12479-Fluorinated-greenhouse-gases-review-of-EU-rules-2015-20-/public-consultation_en</w:t>
        </w:r>
      </w:hyperlink>
    </w:p>
  </w:footnote>
  <w:footnote w:id="116">
    <w:p w14:paraId="000B73C9" w14:textId="4AB39CA1" w:rsidR="00F86647" w:rsidRPr="0069165C"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9A623B">
        <w:rPr>
          <w:rFonts w:asciiTheme="minorHAnsi" w:hAnsiTheme="minorHAnsi" w:cstheme="minorHAnsi"/>
          <w:lang w:val="da-DK"/>
        </w:rPr>
        <w:tab/>
      </w:r>
      <w:hyperlink r:id="rId21" w:history="1">
        <w:r w:rsidRPr="0069165C">
          <w:rPr>
            <w:rStyle w:val="Hyperlink"/>
            <w:rFonts w:asciiTheme="minorHAnsi" w:hAnsiTheme="minorHAnsi" w:cstheme="minorHAnsi"/>
          </w:rPr>
          <w:t>https://ec.europa.eu/info/law/better-regulation/have-your-say/initiatives/12479-Review-of-EU-rules-on-fluorinated-greenhouse-gases/public-consultation</w:t>
        </w:r>
      </w:hyperlink>
    </w:p>
  </w:footnote>
  <w:footnote w:id="117">
    <w:p w14:paraId="5265A748" w14:textId="3888BD3D" w:rsidR="00F86647" w:rsidRPr="0069165C"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69165C">
        <w:rPr>
          <w:rFonts w:asciiTheme="minorHAnsi" w:hAnsiTheme="minorHAnsi" w:cstheme="minorHAnsi"/>
        </w:rPr>
        <w:tab/>
      </w:r>
      <w:hyperlink r:id="rId22" w:history="1">
        <w:r w:rsidRPr="0069165C">
          <w:rPr>
            <w:rStyle w:val="Hyperlink"/>
            <w:rFonts w:asciiTheme="minorHAnsi" w:hAnsiTheme="minorHAnsi" w:cstheme="minorHAnsi"/>
          </w:rPr>
          <w:t>https://ec.europa.eu/clima/sites/default/files/f-gas/docs/20201216_c_2020_8842_en.pdf</w:t>
        </w:r>
      </w:hyperlink>
      <w:r w:rsidRPr="0069165C">
        <w:rPr>
          <w:rFonts w:asciiTheme="minorHAnsi" w:hAnsiTheme="minorHAnsi" w:cstheme="minorHAnsi"/>
        </w:rPr>
        <w:t xml:space="preserve"> </w:t>
      </w:r>
    </w:p>
  </w:footnote>
  <w:footnote w:id="118">
    <w:p w14:paraId="20CF5704" w14:textId="69786369" w:rsidR="00F86647" w:rsidRPr="0069165C"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69165C">
        <w:rPr>
          <w:rFonts w:asciiTheme="minorHAnsi" w:hAnsiTheme="minorHAnsi" w:cstheme="minorHAnsi"/>
        </w:rPr>
        <w:tab/>
      </w:r>
      <w:hyperlink r:id="rId23" w:history="1">
        <w:r w:rsidRPr="0069165C">
          <w:rPr>
            <w:rStyle w:val="Hyperlink"/>
            <w:rFonts w:asciiTheme="minorHAnsi" w:hAnsiTheme="minorHAnsi" w:cstheme="minorHAnsi"/>
          </w:rPr>
          <w:t>https://ec.europa.eu/clima/sites/default/files/news/docs/c_2020_6637_en.pdf</w:t>
        </w:r>
      </w:hyperlink>
      <w:r w:rsidRPr="0069165C">
        <w:rPr>
          <w:rFonts w:asciiTheme="minorHAnsi" w:hAnsiTheme="minorHAnsi" w:cstheme="minorHAnsi"/>
        </w:rPr>
        <w:t xml:space="preserve"> </w:t>
      </w:r>
    </w:p>
  </w:footnote>
  <w:footnote w:id="119">
    <w:p w14:paraId="4D49FE1B" w14:textId="197618E1" w:rsidR="00F86647" w:rsidRPr="0069165C"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69165C">
        <w:rPr>
          <w:rFonts w:asciiTheme="minorHAnsi" w:hAnsiTheme="minorHAnsi" w:cstheme="minorHAnsi"/>
        </w:rPr>
        <w:tab/>
      </w:r>
      <w:hyperlink r:id="rId24" w:history="1">
        <w:r w:rsidRPr="0069165C">
          <w:rPr>
            <w:rStyle w:val="Hyperlink"/>
            <w:rFonts w:asciiTheme="minorHAnsi" w:hAnsiTheme="minorHAnsi" w:cstheme="minorHAnsi"/>
          </w:rPr>
          <w:t>https://ec.europa.eu/clima/sites/default/files/news/docs/c_2020_6635_en.pdf</w:t>
        </w:r>
      </w:hyperlink>
      <w:r w:rsidRPr="0069165C">
        <w:rPr>
          <w:rFonts w:asciiTheme="minorHAnsi" w:hAnsiTheme="minorHAnsi" w:cstheme="minorHAnsi"/>
        </w:rPr>
        <w:t xml:space="preserve"> </w:t>
      </w:r>
    </w:p>
  </w:footnote>
  <w:footnote w:id="120">
    <w:p w14:paraId="2AA640DB" w14:textId="68848551" w:rsidR="00F86647" w:rsidRPr="0069165C"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69165C">
        <w:rPr>
          <w:rFonts w:asciiTheme="minorHAnsi" w:hAnsiTheme="minorHAnsi" w:cstheme="minorHAnsi"/>
        </w:rPr>
        <w:tab/>
      </w:r>
      <w:hyperlink r:id="rId25" w:history="1">
        <w:r w:rsidRPr="0069165C">
          <w:rPr>
            <w:rStyle w:val="Hyperlink"/>
            <w:rFonts w:asciiTheme="minorHAnsi" w:hAnsiTheme="minorHAnsi" w:cstheme="minorHAnsi"/>
          </w:rPr>
          <w:t>https://ec.europa.eu/clima/sites/default/files/f-gas/legislation/docs/c_2017_5230_en.pdf</w:t>
        </w:r>
      </w:hyperlink>
      <w:r w:rsidRPr="0069165C">
        <w:rPr>
          <w:rFonts w:asciiTheme="minorHAnsi" w:hAnsiTheme="minorHAnsi" w:cstheme="minorHAnsi"/>
        </w:rPr>
        <w:t xml:space="preserve"> </w:t>
      </w:r>
    </w:p>
  </w:footnote>
  <w:footnote w:id="121">
    <w:p w14:paraId="4712CC61" w14:textId="3CB3FB6A" w:rsidR="00F86647" w:rsidRPr="0069165C"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69165C">
        <w:rPr>
          <w:rFonts w:asciiTheme="minorHAnsi" w:hAnsiTheme="minorHAnsi" w:cstheme="minorHAnsi"/>
        </w:rPr>
        <w:tab/>
      </w:r>
      <w:hyperlink r:id="rId26" w:history="1">
        <w:r w:rsidRPr="0069165C">
          <w:rPr>
            <w:rStyle w:val="Hyperlink"/>
            <w:rFonts w:asciiTheme="minorHAnsi" w:hAnsiTheme="minorHAnsi" w:cstheme="minorHAnsi"/>
          </w:rPr>
          <w:t>https://ec.europa.eu/clima/sites/default/files/f-gas/legislation/docs/com_2017_377_en.pdf</w:t>
        </w:r>
      </w:hyperlink>
      <w:r w:rsidRPr="0069165C">
        <w:rPr>
          <w:rFonts w:asciiTheme="minorHAnsi" w:hAnsiTheme="minorHAnsi" w:cstheme="minorHAnsi"/>
        </w:rPr>
        <w:t xml:space="preserve"> </w:t>
      </w:r>
    </w:p>
  </w:footnote>
  <w:footnote w:id="122">
    <w:p w14:paraId="37376F45" w14:textId="5D3B115E" w:rsidR="00F86647" w:rsidRPr="0069165C" w:rsidRDefault="00F86647" w:rsidP="00455EA2">
      <w:pPr>
        <w:pStyle w:val="FootnoteText"/>
        <w:ind w:left="567" w:hanging="340"/>
        <w:rPr>
          <w:rFonts w:asciiTheme="minorHAnsi" w:hAnsiTheme="minorHAnsi" w:cstheme="minorHAnsi"/>
          <w:lang w:val="da-DK"/>
        </w:rPr>
      </w:pPr>
      <w:r w:rsidRPr="00455EA2">
        <w:rPr>
          <w:rStyle w:val="FootnoteReference"/>
          <w:rFonts w:asciiTheme="minorHAnsi" w:hAnsiTheme="minorHAnsi" w:cstheme="minorHAnsi"/>
        </w:rPr>
        <w:footnoteRef/>
      </w:r>
      <w:r w:rsidRPr="0069165C">
        <w:rPr>
          <w:rFonts w:asciiTheme="minorHAnsi" w:hAnsiTheme="minorHAnsi" w:cstheme="minorHAnsi"/>
        </w:rPr>
        <w:tab/>
      </w:r>
      <w:hyperlink r:id="rId27" w:history="1">
        <w:r w:rsidRPr="0069165C">
          <w:rPr>
            <w:rStyle w:val="Hyperlink"/>
            <w:rFonts w:asciiTheme="minorHAnsi" w:hAnsiTheme="minorHAnsi" w:cstheme="minorHAnsi"/>
            <w:lang w:val="da-DK"/>
          </w:rPr>
          <w:t>http://eur-lex.europa.eu/legal-content/EN/TXT/?uri=CELEX:52016DC0749</w:t>
        </w:r>
      </w:hyperlink>
      <w:r w:rsidRPr="0069165C">
        <w:rPr>
          <w:rFonts w:asciiTheme="minorHAnsi" w:hAnsiTheme="minorHAnsi" w:cstheme="minorHAnsi"/>
          <w:lang w:val="da-DK"/>
        </w:rPr>
        <w:t xml:space="preserve"> </w:t>
      </w:r>
    </w:p>
  </w:footnote>
  <w:footnote w:id="123">
    <w:p w14:paraId="64B46F39" w14:textId="3768EE00" w:rsidR="00F86647" w:rsidRPr="0069165C" w:rsidRDefault="00F86647" w:rsidP="00455EA2">
      <w:pPr>
        <w:pStyle w:val="FootnoteText"/>
        <w:ind w:left="567" w:hanging="340"/>
        <w:rPr>
          <w:rFonts w:asciiTheme="minorHAnsi" w:hAnsiTheme="minorHAnsi" w:cstheme="minorHAnsi"/>
          <w:lang w:val="da-DK"/>
        </w:rPr>
      </w:pPr>
      <w:r w:rsidRPr="00455EA2">
        <w:rPr>
          <w:rStyle w:val="FootnoteReference"/>
          <w:rFonts w:asciiTheme="minorHAnsi" w:hAnsiTheme="minorHAnsi" w:cstheme="minorHAnsi"/>
        </w:rPr>
        <w:footnoteRef/>
      </w:r>
      <w:r w:rsidRPr="0069165C">
        <w:rPr>
          <w:rFonts w:asciiTheme="minorHAnsi" w:hAnsiTheme="minorHAnsi" w:cstheme="minorHAnsi"/>
          <w:lang w:val="da-DK"/>
        </w:rPr>
        <w:tab/>
      </w:r>
      <w:hyperlink r:id="rId28" w:history="1">
        <w:r w:rsidRPr="0069165C">
          <w:rPr>
            <w:rStyle w:val="Hyperlink"/>
            <w:rFonts w:asciiTheme="minorHAnsi" w:hAnsiTheme="minorHAnsi" w:cstheme="minorHAnsi"/>
            <w:lang w:val="da-DK"/>
          </w:rPr>
          <w:t>http://eur-lex.europa.eu/legal-content/EN/TXT/?uri=CELEX:52016DC0748</w:t>
        </w:r>
      </w:hyperlink>
      <w:r w:rsidRPr="0069165C">
        <w:rPr>
          <w:rFonts w:asciiTheme="minorHAnsi" w:hAnsiTheme="minorHAnsi" w:cstheme="minorHAnsi"/>
          <w:lang w:val="da-DK"/>
        </w:rPr>
        <w:t xml:space="preserve"> </w:t>
      </w:r>
    </w:p>
  </w:footnote>
  <w:footnote w:id="124">
    <w:p w14:paraId="791BD0A5" w14:textId="6D2767E5" w:rsidR="00F86647" w:rsidRPr="0069165C" w:rsidRDefault="00F86647" w:rsidP="00455EA2">
      <w:pPr>
        <w:pStyle w:val="FootnoteText"/>
        <w:ind w:left="567" w:hanging="340"/>
        <w:rPr>
          <w:rFonts w:asciiTheme="minorHAnsi" w:hAnsiTheme="minorHAnsi" w:cstheme="minorHAnsi"/>
          <w:lang w:val="da-DK"/>
        </w:rPr>
      </w:pPr>
      <w:r w:rsidRPr="00455EA2">
        <w:rPr>
          <w:rStyle w:val="FootnoteReference"/>
          <w:rFonts w:asciiTheme="minorHAnsi" w:hAnsiTheme="minorHAnsi" w:cstheme="minorHAnsi"/>
        </w:rPr>
        <w:footnoteRef/>
      </w:r>
      <w:r w:rsidRPr="0069165C">
        <w:rPr>
          <w:rFonts w:asciiTheme="minorHAnsi" w:hAnsiTheme="minorHAnsi" w:cstheme="minorHAnsi"/>
          <w:lang w:val="da-DK"/>
        </w:rPr>
        <w:tab/>
      </w:r>
      <w:hyperlink r:id="rId29" w:history="1">
        <w:r w:rsidRPr="0069165C">
          <w:rPr>
            <w:rStyle w:val="Hyperlink"/>
            <w:rFonts w:asciiTheme="minorHAnsi" w:hAnsiTheme="minorHAnsi" w:cstheme="minorHAnsi"/>
            <w:lang w:val="da-DK"/>
          </w:rPr>
          <w:t>https://ec.europa.eu/info/law/better-regulation/have-your-say/initiatives/12479-Review-of-EU-rules-on-fluorinated-greenhouse-gases/public-consultation_en</w:t>
        </w:r>
      </w:hyperlink>
      <w:r w:rsidRPr="0069165C">
        <w:rPr>
          <w:rFonts w:asciiTheme="minorHAnsi" w:hAnsiTheme="minorHAnsi" w:cstheme="minorHAnsi"/>
          <w:lang w:val="da-DK"/>
        </w:rPr>
        <w:t xml:space="preserve"> </w:t>
      </w:r>
    </w:p>
  </w:footnote>
  <w:footnote w:id="125">
    <w:p w14:paraId="3B203C35" w14:textId="67C9A09B" w:rsidR="00F86647" w:rsidRPr="002E5790" w:rsidRDefault="00F86647" w:rsidP="00455EA2">
      <w:pPr>
        <w:pStyle w:val="FootnoteText"/>
        <w:ind w:left="567" w:hanging="340"/>
        <w:rPr>
          <w:rFonts w:asciiTheme="minorHAnsi" w:hAnsiTheme="minorHAnsi" w:cstheme="minorHAnsi"/>
          <w:lang w:val="da-DK"/>
        </w:rPr>
      </w:pPr>
      <w:r w:rsidRPr="00455EA2">
        <w:rPr>
          <w:rStyle w:val="FootnoteReference"/>
          <w:rFonts w:asciiTheme="minorHAnsi" w:hAnsiTheme="minorHAnsi" w:cstheme="minorHAnsi"/>
        </w:rPr>
        <w:footnoteRef/>
      </w:r>
      <w:r w:rsidRPr="0069165C">
        <w:rPr>
          <w:rFonts w:asciiTheme="minorHAnsi" w:hAnsiTheme="minorHAnsi" w:cstheme="minorHAnsi"/>
          <w:lang w:val="da-DK"/>
        </w:rPr>
        <w:tab/>
      </w:r>
      <w:hyperlink r:id="rId30" w:history="1">
        <w:r w:rsidRPr="0069165C">
          <w:rPr>
            <w:rStyle w:val="Hyperlink"/>
            <w:rFonts w:asciiTheme="minorHAnsi" w:hAnsiTheme="minorHAnsi" w:cstheme="minorHAnsi"/>
            <w:lang w:val="da-DK"/>
          </w:rPr>
          <w:t>https://ec.europa.eu/clima/sites/default/files/f-gas/legislation/docs/20210506_agenda_en.pdf</w:t>
        </w:r>
      </w:hyperlink>
    </w:p>
  </w:footnote>
  <w:footnote w:id="126">
    <w:p w14:paraId="5EB2973E" w14:textId="29069CC7" w:rsidR="00F86647" w:rsidRPr="002E5790" w:rsidRDefault="00F86647" w:rsidP="00455EA2">
      <w:pPr>
        <w:pStyle w:val="FootnoteText"/>
        <w:ind w:left="567" w:hanging="340"/>
        <w:rPr>
          <w:rFonts w:asciiTheme="minorHAnsi" w:hAnsiTheme="minorHAnsi" w:cstheme="minorHAnsi"/>
          <w:lang w:val="da-DK"/>
        </w:rPr>
      </w:pPr>
      <w:r w:rsidRPr="00455EA2">
        <w:rPr>
          <w:rStyle w:val="FootnoteReference"/>
          <w:rFonts w:asciiTheme="minorHAnsi" w:hAnsiTheme="minorHAnsi" w:cstheme="minorHAnsi"/>
        </w:rPr>
        <w:footnoteRef/>
      </w:r>
      <w:r w:rsidRPr="002E5790">
        <w:rPr>
          <w:rFonts w:asciiTheme="minorHAnsi" w:hAnsiTheme="minorHAnsi" w:cstheme="minorHAnsi"/>
          <w:lang w:val="da-DK"/>
        </w:rPr>
        <w:tab/>
      </w:r>
      <w:hyperlink r:id="rId31" w:history="1">
        <w:r w:rsidRPr="002E5790">
          <w:rPr>
            <w:rStyle w:val="Hyperlink"/>
            <w:rFonts w:asciiTheme="minorHAnsi" w:hAnsiTheme="minorHAnsi" w:cstheme="minorHAnsi"/>
            <w:lang w:val="da-DK"/>
          </w:rPr>
          <w:t>https://ec.europa.eu/clima/sites/default/files/events/docs/20210506_presentation_en.pdf</w:t>
        </w:r>
      </w:hyperlink>
      <w:r w:rsidRPr="002E5790">
        <w:rPr>
          <w:rFonts w:asciiTheme="minorHAnsi" w:hAnsiTheme="minorHAnsi" w:cstheme="minorHAnsi"/>
          <w:lang w:val="da-DK"/>
        </w:rPr>
        <w:t xml:space="preserve"> </w:t>
      </w:r>
    </w:p>
  </w:footnote>
  <w:footnote w:id="127">
    <w:p w14:paraId="04610523" w14:textId="44092B09" w:rsidR="00F86647" w:rsidRPr="002E5790" w:rsidRDefault="00F86647" w:rsidP="00455EA2">
      <w:pPr>
        <w:pStyle w:val="FootnoteText"/>
        <w:ind w:left="567" w:hanging="340"/>
        <w:rPr>
          <w:rFonts w:asciiTheme="minorHAnsi" w:hAnsiTheme="minorHAnsi" w:cstheme="minorHAnsi"/>
          <w:lang w:val="da-DK"/>
        </w:rPr>
      </w:pPr>
      <w:r w:rsidRPr="00455EA2">
        <w:rPr>
          <w:rStyle w:val="FootnoteReference"/>
          <w:rFonts w:asciiTheme="minorHAnsi" w:hAnsiTheme="minorHAnsi" w:cstheme="minorHAnsi"/>
        </w:rPr>
        <w:footnoteRef/>
      </w:r>
      <w:r w:rsidRPr="002E5790">
        <w:rPr>
          <w:rFonts w:asciiTheme="minorHAnsi" w:hAnsiTheme="minorHAnsi" w:cstheme="minorHAnsi"/>
          <w:lang w:val="da-DK"/>
        </w:rPr>
        <w:tab/>
      </w:r>
      <w:hyperlink r:id="rId32" w:history="1">
        <w:r w:rsidRPr="002E5790">
          <w:rPr>
            <w:rStyle w:val="Hyperlink"/>
            <w:rFonts w:asciiTheme="minorHAnsi" w:hAnsiTheme="minorHAnsi" w:cstheme="minorHAnsi"/>
            <w:lang w:val="da-DK"/>
          </w:rPr>
          <w:t>https://ec.europa.eu/clima/sites/default/files/f-gas/legislation/docs/20210506_briefing_en.pdf</w:t>
        </w:r>
      </w:hyperlink>
      <w:r w:rsidRPr="002E5790">
        <w:rPr>
          <w:rFonts w:asciiTheme="minorHAnsi" w:hAnsiTheme="minorHAnsi" w:cstheme="minorHAnsi"/>
          <w:lang w:val="da-DK"/>
        </w:rPr>
        <w:t xml:space="preserve"> </w:t>
      </w:r>
    </w:p>
  </w:footnote>
  <w:footnote w:id="128">
    <w:p w14:paraId="190EBA80" w14:textId="43CE7329"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Style w:val="FootnoteReference"/>
          <w:rFonts w:asciiTheme="minorHAnsi" w:hAnsiTheme="minorHAnsi" w:cstheme="minorHAnsi"/>
        </w:rPr>
        <w:t xml:space="preserve"> </w:t>
      </w:r>
      <w:r w:rsidRPr="00455EA2">
        <w:rPr>
          <w:rFonts w:asciiTheme="minorHAnsi" w:hAnsiTheme="minorHAnsi" w:cstheme="minorHAnsi"/>
        </w:rPr>
        <w:tab/>
        <w:t xml:space="preserve">Poly- and perfluorinated alkyl substances </w:t>
      </w:r>
    </w:p>
  </w:footnote>
  <w:footnote w:id="129">
    <w:p w14:paraId="65158F79" w14:textId="20774259"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ab/>
      </w:r>
      <w:hyperlink r:id="rId33" w:history="1">
        <w:r w:rsidRPr="00455EA2">
          <w:rPr>
            <w:rStyle w:val="Hyperlink"/>
            <w:rFonts w:asciiTheme="minorHAnsi" w:hAnsiTheme="minorHAnsi" w:cstheme="minorHAnsi"/>
          </w:rPr>
          <w:t>https://ec.europa.eu/info/law/better-regulation/have-your-say/initiatives/12479-Fluorinated-greenhouse-gases-review-of-EU-rules-2015-20-_en</w:t>
        </w:r>
      </w:hyperlink>
      <w:r w:rsidRPr="00455EA2">
        <w:rPr>
          <w:rFonts w:asciiTheme="minorHAnsi" w:hAnsiTheme="minorHAnsi" w:cstheme="minorHAnsi"/>
        </w:rPr>
        <w:t xml:space="preserve"> </w:t>
      </w:r>
    </w:p>
  </w:footnote>
  <w:footnote w:id="130">
    <w:p w14:paraId="072E0009" w14:textId="2A28F633"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 xml:space="preserve">VDE, FNN, Verband der Industriellen Energie- und Kraftwirtschaft, ZVEI 2020: Scenario for reducing SF6 operating emissions from electrical equipment through the use of alternative insulating gases, March 2020. </w:t>
      </w:r>
      <w:hyperlink r:id="rId34" w:history="1">
        <w:r w:rsidRPr="00455EA2">
          <w:rPr>
            <w:rStyle w:val="Hyperlink"/>
            <w:rFonts w:asciiTheme="minorHAnsi" w:hAnsiTheme="minorHAnsi" w:cstheme="minorHAnsi"/>
          </w:rPr>
          <w:t>https://www.zvei.org/fileadmin/user_upload/Presse_und_Medien/Publikationen/2020/April/SF_6_Reduktion/Szenario-zur-Reduktion-von-SF6-Betriebsemissionen-final-eng.pdf</w:t>
        </w:r>
      </w:hyperlink>
    </w:p>
  </w:footnote>
  <w:footnote w:id="131">
    <w:p w14:paraId="607D7FCF" w14:textId="036A7605" w:rsidR="00F86647" w:rsidRPr="002B56AA" w:rsidRDefault="00F86647">
      <w:pPr>
        <w:pStyle w:val="FootnoteText"/>
      </w:pPr>
      <w:r>
        <w:rPr>
          <w:rStyle w:val="FootnoteReference"/>
        </w:rPr>
        <w:footnoteRef/>
      </w:r>
      <w:r>
        <w:t xml:space="preserve"> </w:t>
      </w:r>
      <w:r w:rsidRPr="009235A6">
        <w:t xml:space="preserve">According to Annex A14.2 the </w:t>
      </w:r>
      <w:r>
        <w:t xml:space="preserve">individual </w:t>
      </w:r>
      <w:r w:rsidRPr="009235A6">
        <w:t xml:space="preserve">measures result in total </w:t>
      </w:r>
      <w:r>
        <w:t xml:space="preserve">gross </w:t>
      </w:r>
      <w:r w:rsidRPr="009235A6">
        <w:t xml:space="preserve">savings of </w:t>
      </w:r>
      <w:r>
        <w:t>€</w:t>
      </w:r>
      <w:r w:rsidRPr="009235A6">
        <w:t>4.5</w:t>
      </w:r>
      <w:r>
        <w:t xml:space="preserve"> million and additional gross burden of €12.1 million. These numbers cancel each other out when deriving summary costs and are therefore not apparent in the summary tables in e.g. section 6.2.2</w:t>
      </w:r>
    </w:p>
  </w:footnote>
  <w:footnote w:id="132">
    <w:p w14:paraId="0F36EC5E" w14:textId="17DEA18F"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ab/>
      </w:r>
      <w:hyperlink r:id="rId35" w:history="1">
        <w:r w:rsidRPr="00455EA2">
          <w:rPr>
            <w:rStyle w:val="Hyperlink"/>
            <w:rFonts w:asciiTheme="minorHAnsi" w:hAnsiTheme="minorHAnsi" w:cstheme="minorHAnsi"/>
          </w:rPr>
          <w:t>https://www.eea.europa.eu/publications/fluorinated-greenhouse-gases-2020</w:t>
        </w:r>
      </w:hyperlink>
      <w:r w:rsidRPr="00455EA2">
        <w:rPr>
          <w:rFonts w:asciiTheme="minorHAnsi" w:hAnsiTheme="minorHAnsi" w:cstheme="minorHAnsi"/>
        </w:rPr>
        <w:t xml:space="preserve"> </w:t>
      </w:r>
    </w:p>
  </w:footnote>
  <w:footnote w:id="133">
    <w:p w14:paraId="2D908983" w14:textId="5D4A39D1"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r>
      <w:hyperlink r:id="rId36" w:history="1">
        <w:r w:rsidRPr="00455EA2">
          <w:rPr>
            <w:rStyle w:val="Hyperlink"/>
            <w:rFonts w:asciiTheme="minorHAnsi" w:hAnsiTheme="minorHAnsi" w:cstheme="minorHAnsi"/>
          </w:rPr>
          <w:t>https://www.ehpa.org/</w:t>
        </w:r>
      </w:hyperlink>
      <w:r w:rsidRPr="00455EA2">
        <w:rPr>
          <w:rFonts w:asciiTheme="minorHAnsi" w:hAnsiTheme="minorHAnsi" w:cstheme="minorHAnsi"/>
        </w:rPr>
        <w:t xml:space="preserve"> </w:t>
      </w:r>
    </w:p>
  </w:footnote>
  <w:footnote w:id="134">
    <w:p w14:paraId="1CF83D49" w14:textId="28793FB6"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r>
      <w:hyperlink r:id="rId37" w:history="1">
        <w:r w:rsidRPr="00455EA2">
          <w:rPr>
            <w:rStyle w:val="Hyperlink"/>
            <w:rFonts w:asciiTheme="minorHAnsi" w:hAnsiTheme="minorHAnsi" w:cstheme="minorHAnsi"/>
          </w:rPr>
          <w:t>https://www.waermepumpe.de/</w:t>
        </w:r>
      </w:hyperlink>
      <w:r w:rsidRPr="00455EA2">
        <w:rPr>
          <w:rFonts w:asciiTheme="minorHAnsi" w:hAnsiTheme="minorHAnsi" w:cstheme="minorHAnsi"/>
        </w:rPr>
        <w:t xml:space="preserve"> </w:t>
      </w:r>
    </w:p>
  </w:footnote>
  <w:footnote w:id="135">
    <w:p w14:paraId="7A53D310" w14:textId="26BAA25D"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hyperlink r:id="rId38" w:history="1">
        <w:r w:rsidRPr="00455EA2">
          <w:rPr>
            <w:rStyle w:val="Hyperlink"/>
            <w:rFonts w:asciiTheme="minorHAnsi" w:hAnsiTheme="minorHAnsi" w:cstheme="minorHAnsi"/>
          </w:rPr>
          <w:t>https://www.zvei.org/fileadmin/user_upload/Presse_und_Medien/Publikationen/2020/April/SF_6_Reduktion/Szenario-zur-Reduktion-von-SF6-Betriebsemissionen-final-eng.pdf</w:t>
        </w:r>
      </w:hyperlink>
      <w:r w:rsidRPr="00455EA2">
        <w:rPr>
          <w:rFonts w:asciiTheme="minorHAnsi" w:hAnsiTheme="minorHAnsi" w:cstheme="minorHAnsi"/>
        </w:rPr>
        <w:t xml:space="preserve"> </w:t>
      </w:r>
    </w:p>
  </w:footnote>
  <w:footnote w:id="136">
    <w:p w14:paraId="7CD4F9D4" w14:textId="30715911"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Oeko-Recherche (2021)</w:t>
      </w:r>
    </w:p>
  </w:footnote>
  <w:footnote w:id="137">
    <w:p w14:paraId="274CB4F4" w14:textId="00C54FFA"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Importers of bulk HFCs receive quota for free. However, importers of pre-charged RAC equipment do have to acquire quota authorisation from quota holders. Thus, equipment importers are basically in the same situation as the EU original equipment manufacturers (OEMs): Both have to pay GWP-based a premium on the HFCs charged / to be charged into equipment. Findings of the Öko-Recherche HFC prices management support that authorisation cost have been approximately at the same level as HFC prices increases experienced by EU OEMs.</w:t>
      </w:r>
    </w:p>
  </w:footnote>
  <w:footnote w:id="138">
    <w:p w14:paraId="3C3B79C1" w14:textId="424DE7A3" w:rsidR="00F86647" w:rsidRPr="00455EA2" w:rsidRDefault="00F86647" w:rsidP="00455EA2">
      <w:pPr>
        <w:pStyle w:val="FootnoteText"/>
        <w:ind w:left="567" w:hanging="340"/>
        <w:rPr>
          <w:rFonts w:asciiTheme="minorHAnsi" w:hAnsiTheme="minorHAnsi" w:cstheme="minorHAnsi"/>
          <w:lang w:val="en-US"/>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Except for small admin cost related to quota management.</w:t>
      </w:r>
    </w:p>
  </w:footnote>
  <w:footnote w:id="139">
    <w:p w14:paraId="15BBE699" w14:textId="0C3B52D5"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Source: EU HFC price monitoring conducted by Öko-Recherche</w:t>
      </w:r>
    </w:p>
  </w:footnote>
  <w:footnote w:id="140">
    <w:p w14:paraId="648A313B" w14:textId="698759AC"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A value of 4% is suggested in the EU Better Regulation Guidelines.</w:t>
      </w:r>
    </w:p>
  </w:footnote>
  <w:footnote w:id="141">
    <w:p w14:paraId="303C917B" w14:textId="0A29B815" w:rsidR="00F86647" w:rsidRPr="00455EA2" w:rsidRDefault="00F86647" w:rsidP="00455EA2">
      <w:pPr>
        <w:pStyle w:val="FootnoteText"/>
        <w:ind w:left="567" w:hanging="340"/>
        <w:rPr>
          <w:rFonts w:asciiTheme="minorHAnsi" w:hAnsiTheme="minorHAnsi" w:cstheme="minorHAnsi"/>
          <w:color w:val="0563C1"/>
          <w:u w:val="single"/>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r>
      <w:hyperlink r:id="rId39" w:history="1">
        <w:r w:rsidRPr="004D17DF">
          <w:rPr>
            <w:rStyle w:val="Hyperlink"/>
          </w:rPr>
          <w:t>https://joint-research-centre.ec.europa.eu/gem-e3/gem-e3-model_en</w:t>
        </w:r>
      </w:hyperlink>
      <w:r>
        <w:t xml:space="preserve"> </w:t>
      </w:r>
    </w:p>
  </w:footnote>
  <w:footnote w:id="142">
    <w:p w14:paraId="1EA5F4C7" w14:textId="7C773F28"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 xml:space="preserve">Potentially need to add a reference: The 2021 Ageing Report: Underlying assumptions and projection methodologies </w:t>
      </w:r>
      <w:hyperlink r:id="rId40" w:history="1">
        <w:r w:rsidRPr="00455EA2">
          <w:rPr>
            <w:rStyle w:val="Hyperlink"/>
            <w:rFonts w:asciiTheme="minorHAnsi" w:hAnsiTheme="minorHAnsi" w:cstheme="minorHAnsi"/>
          </w:rPr>
          <w:t>https://ec.europa.eu/info/publications/2021-ageing-report-underlying-assumptions-and-projection-methodologies_en</w:t>
        </w:r>
      </w:hyperlink>
      <w:r w:rsidRPr="00455EA2">
        <w:rPr>
          <w:rFonts w:asciiTheme="minorHAnsi" w:hAnsiTheme="minorHAnsi" w:cstheme="minorHAnsi"/>
        </w:rPr>
        <w:t xml:space="preserve"> </w:t>
      </w:r>
    </w:p>
  </w:footnote>
  <w:footnote w:id="143">
    <w:p w14:paraId="5FAC28A5" w14:textId="30DEEE5B"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SWD(2021)601</w:t>
      </w:r>
    </w:p>
  </w:footnote>
  <w:footnote w:id="144">
    <w:p w14:paraId="6AA01E2D" w14:textId="1F04CB93" w:rsidR="00F86647" w:rsidRPr="00CF3976"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r>
      <w:r w:rsidRPr="00CF3976">
        <w:rPr>
          <w:rFonts w:asciiTheme="minorHAnsi" w:hAnsiTheme="minorHAnsi" w:cstheme="minorHAnsi"/>
        </w:rPr>
        <w:t xml:space="preserve">See </w:t>
      </w:r>
      <w:hyperlink r:id="rId41" w:history="1">
        <w:r w:rsidRPr="00CF3976">
          <w:rPr>
            <w:rStyle w:val="Hyperlink"/>
            <w:rFonts w:asciiTheme="minorHAnsi" w:hAnsiTheme="minorHAnsi" w:cstheme="minorHAnsi"/>
          </w:rPr>
          <w:t>https://joint-research-centre.ec.europa.eu/global-and-eu-macroeconomic-baselines-policy-assessments_en</w:t>
        </w:r>
      </w:hyperlink>
      <w:r w:rsidRPr="00CF3976">
        <w:rPr>
          <w:rFonts w:asciiTheme="minorHAnsi" w:hAnsiTheme="minorHAnsi" w:cstheme="minorHAnsi"/>
        </w:rPr>
        <w:t xml:space="preserve"> </w:t>
      </w:r>
    </w:p>
  </w:footnote>
  <w:footnote w:id="145">
    <w:p w14:paraId="1BB29531" w14:textId="5EE5EE04"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Keramidas, K., Fosse, F., Diaz-Vazquez, A., Schade, B., Tchung-Ming, S., Weitzel, M., Vandyck, T., Wojtowicz, K. Global Energy and Climate Outlook 2020: A New Normal Beyond Covid-19, doi: 10.2760/608429, JRC123203.</w:t>
      </w:r>
    </w:p>
  </w:footnote>
  <w:footnote w:id="146">
    <w:p w14:paraId="2D124168" w14:textId="293C6CA2"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SWD(2012) 364</w:t>
      </w:r>
    </w:p>
  </w:footnote>
  <w:footnote w:id="147">
    <w:p w14:paraId="30640CFF" w14:textId="04B7DAC8"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 xml:space="preserve">The chemical sector in JRC-GEM-E3 is relatively </w:t>
      </w:r>
      <w:r>
        <w:rPr>
          <w:rFonts w:asciiTheme="minorHAnsi" w:hAnsiTheme="minorHAnsi" w:cstheme="minorHAnsi"/>
        </w:rPr>
        <w:t>broad and chemicals leading to F</w:t>
      </w:r>
      <w:r w:rsidRPr="00455EA2">
        <w:rPr>
          <w:rFonts w:asciiTheme="minorHAnsi" w:hAnsiTheme="minorHAnsi" w:cstheme="minorHAnsi"/>
        </w:rPr>
        <w:t>-gas emissions only contribute a small fraction of the sector. However, in the upstream approach, all users of chemicals are equally affected; the effects are concentrated in the chemical industry sector. Other implications, e.g. energy savings on end users are difficult to implement under the upstream approach.</w:t>
      </w:r>
    </w:p>
  </w:footnote>
  <w:footnote w:id="148">
    <w:p w14:paraId="095360CA" w14:textId="56146155"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In the upstream approach, imported chemicals are a substitute to domestic chemicals. However, both imports and domest</w:t>
      </w:r>
      <w:r>
        <w:rPr>
          <w:rFonts w:asciiTheme="minorHAnsi" w:hAnsiTheme="minorHAnsi" w:cstheme="minorHAnsi"/>
        </w:rPr>
        <w:t>ic products are covered by the F</w:t>
      </w:r>
      <w:r w:rsidRPr="00455EA2">
        <w:rPr>
          <w:rFonts w:asciiTheme="minorHAnsi" w:hAnsiTheme="minorHAnsi" w:cstheme="minorHAnsi"/>
        </w:rPr>
        <w:t>-gas regulation.</w:t>
      </w:r>
    </w:p>
  </w:footnote>
  <w:footnote w:id="149">
    <w:p w14:paraId="5EB4EA2A" w14:textId="522A223D"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Energy is allocated to electricity for stationary air conditioning and heat pumps, while for mobile air conditioning, the fuel mix of the commercial transport sector of JRC-GEM-E3 was used (no energy saving was reported for private vehicles). Energy savings for households are allocated to the household consumption category “Fuels and Power”. This reflects the modelling of durables and related non-durables purchases in JRC-GEM-E3.</w:t>
      </w:r>
    </w:p>
  </w:footnote>
  <w:footnote w:id="150">
    <w:p w14:paraId="5D8843B8" w14:textId="3DE05C8C"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 xml:space="preserve">See Weitzel, M., Saveyn, B., &amp; Vandyck, T. (2019). Including bottom-up emission abatement technologies in a large-scale global economic model for policy assessments. </w:t>
      </w:r>
      <w:r w:rsidRPr="00455EA2">
        <w:rPr>
          <w:rFonts w:asciiTheme="minorHAnsi" w:hAnsiTheme="minorHAnsi" w:cstheme="minorHAnsi"/>
          <w:i/>
        </w:rPr>
        <w:t>Energy Economics</w:t>
      </w:r>
      <w:r w:rsidRPr="00455EA2">
        <w:rPr>
          <w:rFonts w:asciiTheme="minorHAnsi" w:hAnsiTheme="minorHAnsi" w:cstheme="minorHAnsi"/>
        </w:rPr>
        <w:t>, 83, 254-263.</w:t>
      </w:r>
    </w:p>
  </w:footnote>
  <w:footnote w:id="151">
    <w:p w14:paraId="4F9ACA5A" w14:textId="2CC9F714" w:rsidR="00F86647" w:rsidRPr="00455EA2" w:rsidRDefault="00F86647" w:rsidP="00455EA2">
      <w:pPr>
        <w:pStyle w:val="FootnoteText"/>
        <w:ind w:left="567" w:hanging="340"/>
        <w:rPr>
          <w:rFonts w:asciiTheme="minorHAnsi" w:hAnsiTheme="minorHAnsi" w:cstheme="minorHAnsi"/>
        </w:rPr>
      </w:pPr>
      <w:r w:rsidRPr="00455EA2">
        <w:rPr>
          <w:rStyle w:val="FootnoteReference"/>
          <w:rFonts w:asciiTheme="minorHAnsi" w:hAnsiTheme="minorHAnsi" w:cstheme="minorHAnsi"/>
        </w:rPr>
        <w:footnoteRef/>
      </w:r>
      <w:r w:rsidRPr="00455EA2">
        <w:rPr>
          <w:rFonts w:asciiTheme="minorHAnsi" w:hAnsiTheme="minorHAnsi" w:cstheme="minorHAnsi"/>
        </w:rPr>
        <w:t xml:space="preserve"> </w:t>
      </w:r>
      <w:r w:rsidRPr="00455EA2">
        <w:rPr>
          <w:rFonts w:asciiTheme="minorHAnsi" w:hAnsiTheme="minorHAnsi" w:cstheme="minorHAnsi"/>
        </w:rPr>
        <w:tab/>
        <w:t xml:space="preserve">If the modelling would include more than one representative household, the two options would lead to different distributional consequences.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CE8E3" w14:textId="77777777" w:rsidR="003C36B4" w:rsidRPr="003C36B4" w:rsidRDefault="003C36B4" w:rsidP="003C36B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EF79A" w14:textId="77777777" w:rsidR="00F86647" w:rsidRDefault="00F8664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72FEB" w14:textId="77777777" w:rsidR="00F86647" w:rsidRDefault="00F8664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9887F" w14:textId="77777777" w:rsidR="00F86647" w:rsidRDefault="00F8664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ABFE5" w14:textId="77777777" w:rsidR="00F86647" w:rsidRDefault="00F8664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FF124" w14:textId="77777777" w:rsidR="00F86647" w:rsidRDefault="00F8664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D5707" w14:textId="77777777" w:rsidR="00F86647" w:rsidRDefault="00F8664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4F2A7" w14:textId="77777777" w:rsidR="00F86647" w:rsidRDefault="00F8664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DF884" w14:textId="77777777" w:rsidR="00F86647" w:rsidRDefault="00F8664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6D2D4" w14:textId="77777777" w:rsidR="00F86647" w:rsidRDefault="00F8664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1E8FD" w14:textId="77777777" w:rsidR="00F86647" w:rsidRDefault="00F866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07033" w14:textId="77777777" w:rsidR="003C36B4" w:rsidRPr="003C36B4" w:rsidRDefault="003C36B4" w:rsidP="003C36B4">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41ADB" w14:textId="77777777" w:rsidR="00F86647" w:rsidRDefault="00F86647">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1E6C3" w14:textId="77777777" w:rsidR="00F86647" w:rsidRDefault="00F86647">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D38B3" w14:textId="77777777" w:rsidR="00F86647" w:rsidRDefault="00F86647">
    <w:pPr>
      <w:pStyle w:val="Header"/>
    </w:pPr>
  </w:p>
  <w:p w14:paraId="01B4EE18" w14:textId="77777777" w:rsidR="00F86647" w:rsidRDefault="00F86647"/>
  <w:p w14:paraId="151EB1A4" w14:textId="77777777" w:rsidR="00F86647" w:rsidRDefault="00F86647" w:rsidP="00DF0122"/>
  <w:p w14:paraId="55919D6A" w14:textId="77777777" w:rsidR="00F86647" w:rsidRDefault="00F86647"/>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7F0CC" w14:textId="77777777" w:rsidR="00F86647" w:rsidRPr="00C901DE" w:rsidRDefault="00F86647" w:rsidP="0085241A">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23CDF" w14:textId="77777777" w:rsidR="00F86647" w:rsidRPr="001E3F02" w:rsidRDefault="00F86647" w:rsidP="001E3F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1BDF0" w14:textId="77777777" w:rsidR="003C36B4" w:rsidRPr="003C36B4" w:rsidRDefault="003C36B4" w:rsidP="003C36B4">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E5C33" w14:textId="77777777" w:rsidR="00F86647" w:rsidRDefault="00F866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024"/>
      <w:gridCol w:w="3024"/>
      <w:gridCol w:w="3024"/>
    </w:tblGrid>
    <w:tr w:rsidR="00F86647" w14:paraId="52F6EAF4" w14:textId="77777777" w:rsidTr="3F3807E4">
      <w:tc>
        <w:tcPr>
          <w:tcW w:w="3024" w:type="dxa"/>
        </w:tcPr>
        <w:p w14:paraId="5E735726" w14:textId="77777777" w:rsidR="00F86647" w:rsidRDefault="00F86647" w:rsidP="3F3807E4">
          <w:pPr>
            <w:pStyle w:val="Header"/>
            <w:ind w:left="-115"/>
            <w:jc w:val="left"/>
          </w:pPr>
        </w:p>
      </w:tc>
      <w:tc>
        <w:tcPr>
          <w:tcW w:w="3024" w:type="dxa"/>
        </w:tcPr>
        <w:p w14:paraId="09E32599" w14:textId="77777777" w:rsidR="00F86647" w:rsidRDefault="00F86647" w:rsidP="3F3807E4">
          <w:pPr>
            <w:pStyle w:val="Header"/>
            <w:jc w:val="center"/>
          </w:pPr>
        </w:p>
      </w:tc>
      <w:tc>
        <w:tcPr>
          <w:tcW w:w="3024" w:type="dxa"/>
        </w:tcPr>
        <w:p w14:paraId="6A261B6C" w14:textId="77777777" w:rsidR="00F86647" w:rsidRDefault="00F86647" w:rsidP="3F3807E4">
          <w:pPr>
            <w:pStyle w:val="Header"/>
            <w:ind w:right="-115"/>
            <w:jc w:val="right"/>
          </w:pPr>
        </w:p>
      </w:tc>
    </w:tr>
  </w:tbl>
  <w:p w14:paraId="65A081FB" w14:textId="77777777" w:rsidR="00F86647" w:rsidRDefault="00F86647" w:rsidP="3F3807E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BFC96" w14:textId="77777777" w:rsidR="00F86647" w:rsidRDefault="00F8664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4F567" w14:textId="77777777" w:rsidR="00F86647" w:rsidRDefault="00F8664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C766E" w14:textId="77777777" w:rsidR="00F86647" w:rsidRDefault="00F8664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0DF1F" w14:textId="77777777" w:rsidR="00F86647" w:rsidRDefault="00F866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B1F9C"/>
    <w:multiLevelType w:val="hybridMultilevel"/>
    <w:tmpl w:val="78EC9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DD3817"/>
    <w:multiLevelType w:val="hybridMultilevel"/>
    <w:tmpl w:val="0C84A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1F6842"/>
    <w:multiLevelType w:val="hybridMultilevel"/>
    <w:tmpl w:val="D10065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2B2F69"/>
    <w:multiLevelType w:val="hybridMultilevel"/>
    <w:tmpl w:val="266428E2"/>
    <w:lvl w:ilvl="0" w:tplc="04090001">
      <w:start w:val="1"/>
      <w:numFmt w:val="bullet"/>
      <w:lvlText w:val=""/>
      <w:lvlJc w:val="left"/>
      <w:pPr>
        <w:ind w:left="720" w:hanging="360"/>
      </w:pPr>
      <w:rPr>
        <w:rFonts w:ascii="Symbol" w:hAnsi="Symbol"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 w15:restartNumberingAfterBreak="0">
    <w:nsid w:val="034401AE"/>
    <w:multiLevelType w:val="hybridMultilevel"/>
    <w:tmpl w:val="72FA628E"/>
    <w:lvl w:ilvl="0" w:tplc="08090001">
      <w:start w:val="1"/>
      <w:numFmt w:val="bullet"/>
      <w:lvlText w:val=""/>
      <w:lvlJc w:val="left"/>
      <w:pPr>
        <w:ind w:left="1222" w:hanging="360"/>
      </w:pPr>
      <w:rPr>
        <w:rFonts w:ascii="Symbol" w:hAnsi="Symbol" w:hint="default"/>
        <w:color w:val="auto"/>
        <w:sz w:val="16"/>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5" w15:restartNumberingAfterBreak="0">
    <w:nsid w:val="036B4A58"/>
    <w:multiLevelType w:val="hybridMultilevel"/>
    <w:tmpl w:val="8EFE4B00"/>
    <w:lvl w:ilvl="0" w:tplc="F59C054A">
      <w:start w:val="1"/>
      <w:numFmt w:val="bullet"/>
      <w:lvlText w:val=""/>
      <w:lvlJc w:val="left"/>
      <w:pPr>
        <w:ind w:left="720" w:hanging="360"/>
      </w:pPr>
      <w:rPr>
        <w:rFonts w:ascii="Symbol" w:hAnsi="Symbol" w:hint="default"/>
        <w:color w:val="000000" w:themeColor="text1"/>
        <w:sz w:val="1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4071D5F"/>
    <w:multiLevelType w:val="multilevel"/>
    <w:tmpl w:val="89AADE50"/>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046B37EB"/>
    <w:multiLevelType w:val="hybridMultilevel"/>
    <w:tmpl w:val="CAB87A34"/>
    <w:lvl w:ilvl="0" w:tplc="08090001">
      <w:start w:val="1"/>
      <w:numFmt w:val="bullet"/>
      <w:lvlText w:val=""/>
      <w:lvlJc w:val="left"/>
      <w:pPr>
        <w:ind w:left="1069" w:hanging="360"/>
      </w:pPr>
      <w:rPr>
        <w:rFonts w:ascii="Symbol" w:hAnsi="Symbol" w:hint="default"/>
      </w:rPr>
    </w:lvl>
    <w:lvl w:ilvl="1" w:tplc="08090003">
      <w:start w:val="1"/>
      <w:numFmt w:val="bullet"/>
      <w:lvlText w:val="o"/>
      <w:lvlJc w:val="left"/>
      <w:pPr>
        <w:ind w:left="1789" w:hanging="360"/>
      </w:pPr>
      <w:rPr>
        <w:rFonts w:ascii="Courier New" w:hAnsi="Courier New" w:cs="Courier New" w:hint="default"/>
      </w:rPr>
    </w:lvl>
    <w:lvl w:ilvl="2" w:tplc="08090005">
      <w:start w:val="1"/>
      <w:numFmt w:val="bullet"/>
      <w:lvlText w:val=""/>
      <w:lvlJc w:val="left"/>
      <w:pPr>
        <w:ind w:left="2509" w:hanging="360"/>
      </w:pPr>
      <w:rPr>
        <w:rFonts w:ascii="Wingdings" w:hAnsi="Wingdings" w:hint="default"/>
      </w:rPr>
    </w:lvl>
    <w:lvl w:ilvl="3" w:tplc="08090001">
      <w:start w:val="1"/>
      <w:numFmt w:val="bullet"/>
      <w:lvlText w:val=""/>
      <w:lvlJc w:val="left"/>
      <w:pPr>
        <w:ind w:left="3229" w:hanging="360"/>
      </w:pPr>
      <w:rPr>
        <w:rFonts w:ascii="Symbol" w:hAnsi="Symbol" w:hint="default"/>
      </w:rPr>
    </w:lvl>
    <w:lvl w:ilvl="4" w:tplc="08090003">
      <w:start w:val="1"/>
      <w:numFmt w:val="bullet"/>
      <w:lvlText w:val="o"/>
      <w:lvlJc w:val="left"/>
      <w:pPr>
        <w:ind w:left="3949" w:hanging="360"/>
      </w:pPr>
      <w:rPr>
        <w:rFonts w:ascii="Courier New" w:hAnsi="Courier New" w:cs="Courier New" w:hint="default"/>
      </w:rPr>
    </w:lvl>
    <w:lvl w:ilvl="5" w:tplc="08090005">
      <w:start w:val="1"/>
      <w:numFmt w:val="bullet"/>
      <w:lvlText w:val=""/>
      <w:lvlJc w:val="left"/>
      <w:pPr>
        <w:ind w:left="4669" w:hanging="360"/>
      </w:pPr>
      <w:rPr>
        <w:rFonts w:ascii="Wingdings" w:hAnsi="Wingdings" w:hint="default"/>
      </w:rPr>
    </w:lvl>
    <w:lvl w:ilvl="6" w:tplc="08090001">
      <w:start w:val="1"/>
      <w:numFmt w:val="bullet"/>
      <w:lvlText w:val=""/>
      <w:lvlJc w:val="left"/>
      <w:pPr>
        <w:ind w:left="5389" w:hanging="360"/>
      </w:pPr>
      <w:rPr>
        <w:rFonts w:ascii="Symbol" w:hAnsi="Symbol" w:hint="default"/>
      </w:rPr>
    </w:lvl>
    <w:lvl w:ilvl="7" w:tplc="08090003">
      <w:start w:val="1"/>
      <w:numFmt w:val="bullet"/>
      <w:lvlText w:val="o"/>
      <w:lvlJc w:val="left"/>
      <w:pPr>
        <w:ind w:left="6109" w:hanging="360"/>
      </w:pPr>
      <w:rPr>
        <w:rFonts w:ascii="Courier New" w:hAnsi="Courier New" w:cs="Courier New" w:hint="default"/>
      </w:rPr>
    </w:lvl>
    <w:lvl w:ilvl="8" w:tplc="08090005">
      <w:start w:val="1"/>
      <w:numFmt w:val="bullet"/>
      <w:lvlText w:val=""/>
      <w:lvlJc w:val="left"/>
      <w:pPr>
        <w:ind w:left="6829" w:hanging="360"/>
      </w:pPr>
      <w:rPr>
        <w:rFonts w:ascii="Wingdings" w:hAnsi="Wingdings" w:hint="default"/>
      </w:rPr>
    </w:lvl>
  </w:abstractNum>
  <w:abstractNum w:abstractNumId="8" w15:restartNumberingAfterBreak="0">
    <w:nsid w:val="067D0878"/>
    <w:multiLevelType w:val="multilevel"/>
    <w:tmpl w:val="DAF0D36A"/>
    <w:lvl w:ilvl="0">
      <w:start w:val="1"/>
      <w:numFmt w:val="decimal"/>
      <w:lvlText w:val="%1."/>
      <w:lvlJc w:val="left"/>
      <w:pPr>
        <w:tabs>
          <w:tab w:val="num" w:pos="480"/>
        </w:tabs>
        <w:ind w:left="480" w:hanging="480"/>
      </w:pPr>
    </w:lvl>
    <w:lvl w:ilvl="1">
      <w:start w:val="1"/>
      <w:numFmt w:val="decimal"/>
      <w:lvlText w:val="%1.%2."/>
      <w:lvlJc w:val="left"/>
      <w:pPr>
        <w:tabs>
          <w:tab w:val="num" w:pos="1004"/>
        </w:tabs>
        <w:ind w:left="1004"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8F5479F"/>
    <w:multiLevelType w:val="hybridMultilevel"/>
    <w:tmpl w:val="D9DA2DB2"/>
    <w:lvl w:ilvl="0" w:tplc="582CE896">
      <w:start w:val="6"/>
      <w:numFmt w:val="bullet"/>
      <w:lvlText w:val="-"/>
      <w:lvlJc w:val="left"/>
      <w:pPr>
        <w:ind w:left="720" w:hanging="360"/>
      </w:pPr>
      <w:rPr>
        <w:rFonts w:ascii="Calibri" w:eastAsia="Calibr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33191A"/>
    <w:multiLevelType w:val="hybridMultilevel"/>
    <w:tmpl w:val="56124E1A"/>
    <w:lvl w:ilvl="0" w:tplc="0C2681F0">
      <w:start w:val="1"/>
      <w:numFmt w:val="bullet"/>
      <w:lvlText w:val=""/>
      <w:lvlJc w:val="left"/>
      <w:pPr>
        <w:ind w:left="720" w:hanging="360"/>
      </w:pPr>
      <w:rPr>
        <w:rFonts w:ascii="Symbol" w:hAnsi="Symbol" w:hint="default"/>
        <w:color w:val="000000" w:themeColor="text1"/>
      </w:rPr>
    </w:lvl>
    <w:lvl w:ilvl="1" w:tplc="66287AA2">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CD1FB4"/>
    <w:multiLevelType w:val="hybridMultilevel"/>
    <w:tmpl w:val="03F40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131105"/>
    <w:multiLevelType w:val="hybridMultilevel"/>
    <w:tmpl w:val="530A37F4"/>
    <w:lvl w:ilvl="0" w:tplc="64744E96">
      <w:start w:val="1"/>
      <w:numFmt w:val="bullet"/>
      <w:pStyle w:val="BulletPs2CT"/>
      <w:lvlText w:val="-"/>
      <w:lvlJc w:val="left"/>
      <w:pPr>
        <w:tabs>
          <w:tab w:val="num" w:pos="284"/>
        </w:tabs>
        <w:ind w:left="1418" w:hanging="284"/>
      </w:pPr>
      <w:rPr>
        <w:rFonts w:ascii="Times New Roman" w:hAnsi="Times New Roman" w:hint="default"/>
        <w:color w:val="00808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F4612EE"/>
    <w:multiLevelType w:val="hybridMultilevel"/>
    <w:tmpl w:val="B0868ED8"/>
    <w:lvl w:ilvl="0" w:tplc="8570B5FA">
      <w:start w:val="1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2113BB4"/>
    <w:multiLevelType w:val="hybridMultilevel"/>
    <w:tmpl w:val="3884A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375509"/>
    <w:multiLevelType w:val="hybridMultilevel"/>
    <w:tmpl w:val="DE2E3F84"/>
    <w:lvl w:ilvl="0" w:tplc="618E16B0">
      <w:start w:val="1"/>
      <w:numFmt w:val="lowerLetter"/>
      <w:lvlText w:val="%1)"/>
      <w:lvlJc w:val="left"/>
      <w:pPr>
        <w:ind w:left="720" w:hanging="360"/>
      </w:pPr>
      <w:rPr>
        <w:rFonts w:hint="default"/>
        <w:sz w:val="16"/>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35E3C80"/>
    <w:multiLevelType w:val="hybridMultilevel"/>
    <w:tmpl w:val="7DA6CD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3E97FFC"/>
    <w:multiLevelType w:val="hybridMultilevel"/>
    <w:tmpl w:val="7E8C4388"/>
    <w:lvl w:ilvl="0" w:tplc="91642D5E">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4275A93"/>
    <w:multiLevelType w:val="hybridMultilevel"/>
    <w:tmpl w:val="2298888E"/>
    <w:lvl w:ilvl="0" w:tplc="0C2681F0">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49A1202"/>
    <w:multiLevelType w:val="hybridMultilevel"/>
    <w:tmpl w:val="F0023A1A"/>
    <w:lvl w:ilvl="0" w:tplc="0407000F">
      <w:start w:val="1"/>
      <w:numFmt w:val="bullet"/>
      <w:pStyle w:val="Meth-Bullet"/>
      <w:lvlText w:val=""/>
      <w:lvlJc w:val="left"/>
      <w:pPr>
        <w:tabs>
          <w:tab w:val="num" w:pos="720"/>
        </w:tabs>
        <w:ind w:left="720" w:hanging="360"/>
      </w:pPr>
      <w:rPr>
        <w:rFonts w:ascii="Symbol" w:hAnsi="Symbol" w:hint="default"/>
      </w:rPr>
    </w:lvl>
    <w:lvl w:ilvl="1" w:tplc="65FE181E">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49D043E"/>
    <w:multiLevelType w:val="hybridMultilevel"/>
    <w:tmpl w:val="66D69568"/>
    <w:lvl w:ilvl="0" w:tplc="EFA4F890">
      <w:start w:val="1"/>
      <w:numFmt w:val="bullet"/>
      <w:pStyle w:val="AEACV-Bullet"/>
      <w:lvlText w:val=""/>
      <w:lvlJc w:val="left"/>
      <w:pPr>
        <w:ind w:left="567" w:hanging="360"/>
      </w:pPr>
      <w:rPr>
        <w:rFonts w:ascii="Symbol" w:hAnsi="Symbol" w:hint="default"/>
        <w:b/>
        <w:i w:val="0"/>
        <w:color w:val="auto"/>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1B1530A4"/>
    <w:multiLevelType w:val="multilevel"/>
    <w:tmpl w:val="8CE23BCC"/>
    <w:lvl w:ilvl="0">
      <w:start w:val="1"/>
      <w:numFmt w:val="decimal"/>
      <w:lvlText w:val="(%1)"/>
      <w:lvlJc w:val="left"/>
      <w:pPr>
        <w:tabs>
          <w:tab w:val="num" w:pos="851"/>
        </w:tabs>
        <w:ind w:left="85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1D7256E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DCF33B6"/>
    <w:multiLevelType w:val="hybridMultilevel"/>
    <w:tmpl w:val="24F2D0AE"/>
    <w:lvl w:ilvl="0" w:tplc="66287AA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F59C054A">
      <w:start w:val="1"/>
      <w:numFmt w:val="bullet"/>
      <w:lvlText w:val=""/>
      <w:lvlJc w:val="left"/>
      <w:pPr>
        <w:ind w:left="2160" w:hanging="360"/>
      </w:pPr>
      <w:rPr>
        <w:rFonts w:ascii="Symbol" w:hAnsi="Symbol" w:hint="default"/>
        <w:color w:val="000000" w:themeColor="text1"/>
        <w:sz w:val="18"/>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E93268A"/>
    <w:multiLevelType w:val="hybridMultilevel"/>
    <w:tmpl w:val="8F52E850"/>
    <w:lvl w:ilvl="0" w:tplc="F59C054A">
      <w:start w:val="1"/>
      <w:numFmt w:val="bullet"/>
      <w:lvlText w:val=""/>
      <w:lvlJc w:val="left"/>
      <w:pPr>
        <w:ind w:left="862" w:hanging="360"/>
      </w:pPr>
      <w:rPr>
        <w:rFonts w:ascii="Symbol" w:hAnsi="Symbol" w:hint="default"/>
        <w:color w:val="000000" w:themeColor="text1"/>
        <w:sz w:val="18"/>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5" w15:restartNumberingAfterBreak="0">
    <w:nsid w:val="1F511F3B"/>
    <w:multiLevelType w:val="hybridMultilevel"/>
    <w:tmpl w:val="BE5C6B98"/>
    <w:lvl w:ilvl="0" w:tplc="F59C054A">
      <w:start w:val="1"/>
      <w:numFmt w:val="bullet"/>
      <w:lvlText w:val=""/>
      <w:lvlJc w:val="left"/>
      <w:pPr>
        <w:ind w:left="720" w:hanging="360"/>
      </w:pPr>
      <w:rPr>
        <w:rFonts w:ascii="Symbol" w:hAnsi="Symbol" w:hint="default"/>
        <w:color w:val="000000" w:themeColor="text1"/>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2B77FCA"/>
    <w:multiLevelType w:val="hybridMultilevel"/>
    <w:tmpl w:val="84066206"/>
    <w:lvl w:ilvl="0" w:tplc="205480A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2C94332"/>
    <w:multiLevelType w:val="hybridMultilevel"/>
    <w:tmpl w:val="2BF84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46C6986"/>
    <w:multiLevelType w:val="hybridMultilevel"/>
    <w:tmpl w:val="B854EB68"/>
    <w:lvl w:ilvl="0" w:tplc="279017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54F6FCF"/>
    <w:multiLevelType w:val="hybridMultilevel"/>
    <w:tmpl w:val="E3B07238"/>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0" w15:restartNumberingAfterBreak="0">
    <w:nsid w:val="257D77B2"/>
    <w:multiLevelType w:val="hybridMultilevel"/>
    <w:tmpl w:val="BF803912"/>
    <w:lvl w:ilvl="0" w:tplc="1A9C1DFC">
      <w:start w:val="1"/>
      <w:numFmt w:val="decimal"/>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5B426B1"/>
    <w:multiLevelType w:val="hybridMultilevel"/>
    <w:tmpl w:val="2C52B12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2" w15:restartNumberingAfterBreak="0">
    <w:nsid w:val="2625051B"/>
    <w:multiLevelType w:val="hybridMultilevel"/>
    <w:tmpl w:val="0ECE482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3" w15:restartNumberingAfterBreak="0">
    <w:nsid w:val="27C0197F"/>
    <w:multiLevelType w:val="multilevel"/>
    <w:tmpl w:val="21E00544"/>
    <w:lvl w:ilvl="0">
      <w:start w:val="1"/>
      <w:numFmt w:val="bullet"/>
      <w:pStyle w:val="OpsommingSymbool"/>
      <w:lvlText w:val=""/>
      <w:lvlJc w:val="left"/>
      <w:pPr>
        <w:tabs>
          <w:tab w:val="num" w:pos="284"/>
        </w:tabs>
        <w:ind w:left="284" w:hanging="284"/>
      </w:pPr>
      <w:rPr>
        <w:rFonts w:ascii="Symbol" w:hAnsi="Symbol" w:hint="default"/>
      </w:rPr>
    </w:lvl>
    <w:lvl w:ilvl="1">
      <w:numFmt w:val="bullet"/>
      <w:lvlText w:val="•"/>
      <w:lvlJc w:val="left"/>
      <w:pPr>
        <w:tabs>
          <w:tab w:val="num" w:pos="567"/>
        </w:tabs>
        <w:ind w:left="567" w:hanging="283"/>
      </w:pPr>
      <w:rPr>
        <w:rFonts w:ascii="Arial" w:eastAsia="Times New Roman" w:hAnsi="Arial" w:cs="Arial" w:hint="default"/>
      </w:rPr>
    </w:lvl>
    <w:lvl w:ilvl="2">
      <w:start w:val="1"/>
      <w:numFmt w:val="bullet"/>
      <w:lvlText w:val="o"/>
      <w:lvlJc w:val="left"/>
      <w:pPr>
        <w:tabs>
          <w:tab w:val="num" w:pos="851"/>
        </w:tabs>
        <w:ind w:left="851" w:hanging="284"/>
      </w:pPr>
      <w:rPr>
        <w:rFonts w:ascii="Courier New" w:hAnsi="Courier New" w:cs="Courier New"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4" w15:restartNumberingAfterBreak="0">
    <w:nsid w:val="27C56172"/>
    <w:multiLevelType w:val="hybridMultilevel"/>
    <w:tmpl w:val="5D9E1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8DA5B41"/>
    <w:multiLevelType w:val="hybridMultilevel"/>
    <w:tmpl w:val="46049420"/>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90E3D1D"/>
    <w:multiLevelType w:val="hybridMultilevel"/>
    <w:tmpl w:val="A830B9D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2CB2568D"/>
    <w:multiLevelType w:val="hybridMultilevel"/>
    <w:tmpl w:val="3320B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310A7DCF"/>
    <w:multiLevelType w:val="hybridMultilevel"/>
    <w:tmpl w:val="7C009E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1B81939"/>
    <w:multiLevelType w:val="hybridMultilevel"/>
    <w:tmpl w:val="745C4B2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1FE28E0"/>
    <w:multiLevelType w:val="hybridMultilevel"/>
    <w:tmpl w:val="977046A6"/>
    <w:lvl w:ilvl="0" w:tplc="04070017">
      <w:start w:val="1"/>
      <w:numFmt w:val="lowerLetter"/>
      <w:lvlText w:val="%1)"/>
      <w:lvlJc w:val="left"/>
      <w:pPr>
        <w:ind w:left="1080" w:hanging="72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3257643F"/>
    <w:multiLevelType w:val="hybridMultilevel"/>
    <w:tmpl w:val="DF5427FE"/>
    <w:lvl w:ilvl="0" w:tplc="91642D5E">
      <w:start w:val="1"/>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29E0369"/>
    <w:multiLevelType w:val="hybridMultilevel"/>
    <w:tmpl w:val="F1A0339C"/>
    <w:lvl w:ilvl="0" w:tplc="04090001">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F">
      <w:start w:val="1"/>
      <w:numFmt w:val="decimal"/>
      <w:lvlText w:val="%5."/>
      <w:lvlJc w:val="left"/>
      <w:pPr>
        <w:ind w:left="3600" w:hanging="360"/>
      </w:pPr>
      <w:rPr>
        <w:rFont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3FF6F7B"/>
    <w:multiLevelType w:val="hybridMultilevel"/>
    <w:tmpl w:val="457AAE8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5" w15:restartNumberingAfterBreak="0">
    <w:nsid w:val="35594C10"/>
    <w:multiLevelType w:val="hybridMultilevel"/>
    <w:tmpl w:val="21A4D85A"/>
    <w:lvl w:ilvl="0" w:tplc="989C206A">
      <w:start w:val="1"/>
      <w:numFmt w:val="bullet"/>
      <w:lvlText w:val="•"/>
      <w:lvlJc w:val="left"/>
      <w:pPr>
        <w:tabs>
          <w:tab w:val="num" w:pos="720"/>
        </w:tabs>
        <w:ind w:left="720" w:hanging="360"/>
      </w:pPr>
      <w:rPr>
        <w:rFonts w:ascii="Arial" w:hAnsi="Arial" w:hint="default"/>
      </w:rPr>
    </w:lvl>
    <w:lvl w:ilvl="1" w:tplc="054C900A">
      <w:start w:val="1"/>
      <w:numFmt w:val="bullet"/>
      <w:lvlText w:val="•"/>
      <w:lvlJc w:val="left"/>
      <w:pPr>
        <w:tabs>
          <w:tab w:val="num" w:pos="1440"/>
        </w:tabs>
        <w:ind w:left="1440" w:hanging="360"/>
      </w:pPr>
      <w:rPr>
        <w:rFonts w:ascii="Arial" w:hAnsi="Arial" w:hint="default"/>
      </w:rPr>
    </w:lvl>
    <w:lvl w:ilvl="2" w:tplc="67C8C7E8" w:tentative="1">
      <w:start w:val="1"/>
      <w:numFmt w:val="bullet"/>
      <w:lvlText w:val="•"/>
      <w:lvlJc w:val="left"/>
      <w:pPr>
        <w:tabs>
          <w:tab w:val="num" w:pos="2160"/>
        </w:tabs>
        <w:ind w:left="2160" w:hanging="360"/>
      </w:pPr>
      <w:rPr>
        <w:rFonts w:ascii="Arial" w:hAnsi="Arial" w:hint="default"/>
      </w:rPr>
    </w:lvl>
    <w:lvl w:ilvl="3" w:tplc="95CE6D82" w:tentative="1">
      <w:start w:val="1"/>
      <w:numFmt w:val="bullet"/>
      <w:lvlText w:val="•"/>
      <w:lvlJc w:val="left"/>
      <w:pPr>
        <w:tabs>
          <w:tab w:val="num" w:pos="2880"/>
        </w:tabs>
        <w:ind w:left="2880" w:hanging="360"/>
      </w:pPr>
      <w:rPr>
        <w:rFonts w:ascii="Arial" w:hAnsi="Arial" w:hint="default"/>
      </w:rPr>
    </w:lvl>
    <w:lvl w:ilvl="4" w:tplc="6E26250C" w:tentative="1">
      <w:start w:val="1"/>
      <w:numFmt w:val="bullet"/>
      <w:lvlText w:val="•"/>
      <w:lvlJc w:val="left"/>
      <w:pPr>
        <w:tabs>
          <w:tab w:val="num" w:pos="3600"/>
        </w:tabs>
        <w:ind w:left="3600" w:hanging="360"/>
      </w:pPr>
      <w:rPr>
        <w:rFonts w:ascii="Arial" w:hAnsi="Arial" w:hint="default"/>
      </w:rPr>
    </w:lvl>
    <w:lvl w:ilvl="5" w:tplc="9F7C07AC" w:tentative="1">
      <w:start w:val="1"/>
      <w:numFmt w:val="bullet"/>
      <w:lvlText w:val="•"/>
      <w:lvlJc w:val="left"/>
      <w:pPr>
        <w:tabs>
          <w:tab w:val="num" w:pos="4320"/>
        </w:tabs>
        <w:ind w:left="4320" w:hanging="360"/>
      </w:pPr>
      <w:rPr>
        <w:rFonts w:ascii="Arial" w:hAnsi="Arial" w:hint="default"/>
      </w:rPr>
    </w:lvl>
    <w:lvl w:ilvl="6" w:tplc="CC485C56" w:tentative="1">
      <w:start w:val="1"/>
      <w:numFmt w:val="bullet"/>
      <w:lvlText w:val="•"/>
      <w:lvlJc w:val="left"/>
      <w:pPr>
        <w:tabs>
          <w:tab w:val="num" w:pos="5040"/>
        </w:tabs>
        <w:ind w:left="5040" w:hanging="360"/>
      </w:pPr>
      <w:rPr>
        <w:rFonts w:ascii="Arial" w:hAnsi="Arial" w:hint="default"/>
      </w:rPr>
    </w:lvl>
    <w:lvl w:ilvl="7" w:tplc="E4D093C2" w:tentative="1">
      <w:start w:val="1"/>
      <w:numFmt w:val="bullet"/>
      <w:lvlText w:val="•"/>
      <w:lvlJc w:val="left"/>
      <w:pPr>
        <w:tabs>
          <w:tab w:val="num" w:pos="5760"/>
        </w:tabs>
        <w:ind w:left="5760" w:hanging="360"/>
      </w:pPr>
      <w:rPr>
        <w:rFonts w:ascii="Arial" w:hAnsi="Arial" w:hint="default"/>
      </w:rPr>
    </w:lvl>
    <w:lvl w:ilvl="8" w:tplc="15DE45EC"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357B72CA"/>
    <w:multiLevelType w:val="hybridMultilevel"/>
    <w:tmpl w:val="51F0D218"/>
    <w:lvl w:ilvl="0" w:tplc="A2FC14D4">
      <w:start w:val="1"/>
      <w:numFmt w:val="decimal"/>
      <w:lvlText w:val="%1)"/>
      <w:lvlJc w:val="left"/>
      <w:pPr>
        <w:ind w:left="720" w:hanging="360"/>
      </w:pPr>
      <w:rPr>
        <w:rFonts w:ascii="Arial" w:hAnsi="Arial" w:hint="default"/>
        <w:b/>
        <w:i w:val="0"/>
        <w:sz w:val="18"/>
      </w:rPr>
    </w:lvl>
    <w:lvl w:ilvl="1" w:tplc="9EEAE1CA">
      <w:start w:val="1"/>
      <w:numFmt w:val="upperLetter"/>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365924CD"/>
    <w:multiLevelType w:val="hybridMultilevel"/>
    <w:tmpl w:val="293A0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6D84630"/>
    <w:multiLevelType w:val="hybridMultilevel"/>
    <w:tmpl w:val="CD8612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38AD1160"/>
    <w:multiLevelType w:val="hybridMultilevel"/>
    <w:tmpl w:val="6532C03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0" w15:restartNumberingAfterBreak="0">
    <w:nsid w:val="39EA0D8A"/>
    <w:multiLevelType w:val="hybridMultilevel"/>
    <w:tmpl w:val="25B88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BB302CB"/>
    <w:multiLevelType w:val="multilevel"/>
    <w:tmpl w:val="00AE5D80"/>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15:restartNumberingAfterBreak="0">
    <w:nsid w:val="3BB371AD"/>
    <w:multiLevelType w:val="hybridMultilevel"/>
    <w:tmpl w:val="F58CB14E"/>
    <w:lvl w:ilvl="0" w:tplc="27901742">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54" w15:restartNumberingAfterBreak="0">
    <w:nsid w:val="3D257087"/>
    <w:multiLevelType w:val="hybridMultilevel"/>
    <w:tmpl w:val="5A9CA73A"/>
    <w:lvl w:ilvl="0" w:tplc="D5ACBA92">
      <w:start w:val="1"/>
      <w:numFmt w:val="bullet"/>
      <w:pStyle w:val="WDBullets"/>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0857BE7"/>
    <w:multiLevelType w:val="hybridMultilevel"/>
    <w:tmpl w:val="977046A6"/>
    <w:lvl w:ilvl="0" w:tplc="04070017">
      <w:start w:val="1"/>
      <w:numFmt w:val="lowerLetter"/>
      <w:lvlText w:val="%1)"/>
      <w:lvlJc w:val="left"/>
      <w:pPr>
        <w:ind w:left="1080" w:hanging="72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418E19A1"/>
    <w:multiLevelType w:val="hybridMultilevel"/>
    <w:tmpl w:val="746E1758"/>
    <w:lvl w:ilvl="0" w:tplc="C6BA7720">
      <w:start w:val="1"/>
      <w:numFmt w:val="bullet"/>
      <w:pStyle w:val="AEACV-BulletGreenKeySkillssectiononly"/>
      <w:lvlText w:val=""/>
      <w:lvlJc w:val="left"/>
      <w:pPr>
        <w:ind w:left="567" w:hanging="360"/>
      </w:pPr>
      <w:rPr>
        <w:rFonts w:ascii="Symbol" w:hAnsi="Symbol" w:hint="default"/>
        <w:b/>
        <w:i w:val="0"/>
        <w:color w:val="00800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7" w15:restartNumberingAfterBreak="0">
    <w:nsid w:val="437B767D"/>
    <w:multiLevelType w:val="hybridMultilevel"/>
    <w:tmpl w:val="E3E456CA"/>
    <w:lvl w:ilvl="0" w:tplc="58349167">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8" w15:restartNumberingAfterBreak="0">
    <w:nsid w:val="43F965F4"/>
    <w:multiLevelType w:val="hybridMultilevel"/>
    <w:tmpl w:val="2B5A6D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9" w15:restartNumberingAfterBreak="0">
    <w:nsid w:val="44855BC5"/>
    <w:multiLevelType w:val="hybridMultilevel"/>
    <w:tmpl w:val="A52E7E5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5B27EA7"/>
    <w:multiLevelType w:val="hybridMultilevel"/>
    <w:tmpl w:val="5712DF52"/>
    <w:lvl w:ilvl="0" w:tplc="66287AA2">
      <w:start w:val="1"/>
      <w:numFmt w:val="bullet"/>
      <w:lvlText w:val=""/>
      <w:lvlJc w:val="left"/>
      <w:pPr>
        <w:ind w:left="862" w:hanging="360"/>
      </w:pPr>
      <w:rPr>
        <w:rFonts w:ascii="Symbol" w:hAnsi="Symbol" w:hint="default"/>
        <w:color w:val="000000" w:themeColor="text1"/>
      </w:rPr>
    </w:lvl>
    <w:lvl w:ilvl="1" w:tplc="08090003" w:tentative="1">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1" w15:restartNumberingAfterBreak="0">
    <w:nsid w:val="45CE289A"/>
    <w:multiLevelType w:val="hybridMultilevel"/>
    <w:tmpl w:val="5B9AB02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467C4008"/>
    <w:multiLevelType w:val="hybridMultilevel"/>
    <w:tmpl w:val="6A6E5A70"/>
    <w:lvl w:ilvl="0" w:tplc="0C2681F0">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6CB2CBB"/>
    <w:multiLevelType w:val="hybridMultilevel"/>
    <w:tmpl w:val="5702489C"/>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4" w15:restartNumberingAfterBreak="0">
    <w:nsid w:val="4B5E2385"/>
    <w:multiLevelType w:val="multilevel"/>
    <w:tmpl w:val="89AADE50"/>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5" w15:restartNumberingAfterBreak="0">
    <w:nsid w:val="4C9653C5"/>
    <w:multiLevelType w:val="hybridMultilevel"/>
    <w:tmpl w:val="F3C68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E9F7CC4"/>
    <w:multiLevelType w:val="hybridMultilevel"/>
    <w:tmpl w:val="17EAEA2C"/>
    <w:styleLink w:val="list-bullet-color"/>
    <w:lvl w:ilvl="0" w:tplc="71EE2CE8">
      <w:start w:val="1"/>
      <w:numFmt w:val="bullet"/>
      <w:lvlText w:val=""/>
      <w:lvlJc w:val="left"/>
      <w:pPr>
        <w:ind w:left="720" w:hanging="360"/>
      </w:pPr>
      <w:rPr>
        <w:rFonts w:ascii="Symbol" w:hAnsi="Symbol" w:hint="default"/>
        <w:u w:color="FFFFFF" w:themeColor="background1"/>
      </w:rPr>
    </w:lvl>
    <w:lvl w:ilvl="1" w:tplc="320A15B4">
      <w:numFmt w:val="bullet"/>
      <w:lvlText w:val="•"/>
      <w:lvlJc w:val="left"/>
      <w:pPr>
        <w:ind w:left="1785" w:hanging="705"/>
      </w:pPr>
      <w:rPr>
        <w:rFonts w:ascii="Arial" w:eastAsia="Calibri" w:hAnsi="Arial"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7" w15:restartNumberingAfterBreak="0">
    <w:nsid w:val="4EA71879"/>
    <w:multiLevelType w:val="multilevel"/>
    <w:tmpl w:val="B2FCDDE4"/>
    <w:lvl w:ilvl="0">
      <w:start w:val="1"/>
      <w:numFmt w:val="upperRoman"/>
      <w:pStyle w:val="TESIS1"/>
      <w:lvlText w:val="CHAPTER %1:"/>
      <w:lvlJc w:val="left"/>
      <w:pPr>
        <w:ind w:left="357" w:hanging="357"/>
      </w:pPr>
      <w:rPr>
        <w:rFonts w:ascii="Calibri" w:hAnsi="Calibri" w:hint="default"/>
        <w:b/>
        <w:i w:val="0"/>
        <w:caps/>
        <w:color w:val="4F81BD"/>
        <w:sz w:val="22"/>
      </w:rPr>
    </w:lvl>
    <w:lvl w:ilvl="1">
      <w:start w:val="1"/>
      <w:numFmt w:val="decimal"/>
      <w:pStyle w:val="TESIS2"/>
      <w:lvlText w:val="%2."/>
      <w:lvlJc w:val="left"/>
      <w:pPr>
        <w:ind w:left="357" w:hanging="357"/>
      </w:pPr>
      <w:rPr>
        <w:rFonts w:ascii="Calibri" w:hAnsi="Calibri" w:hint="default"/>
        <w:b/>
        <w:i w:val="0"/>
        <w:color w:val="4F81BD"/>
        <w:sz w:val="20"/>
      </w:rPr>
    </w:lvl>
    <w:lvl w:ilvl="2">
      <w:start w:val="1"/>
      <w:numFmt w:val="decimal"/>
      <w:pStyle w:val="TESIS3"/>
      <w:lvlText w:val="%2.%3."/>
      <w:lvlJc w:val="left"/>
      <w:pPr>
        <w:ind w:left="357" w:hanging="357"/>
      </w:pPr>
      <w:rPr>
        <w:rFonts w:ascii="Calibri" w:hAnsi="Calibri" w:hint="default"/>
        <w:b w:val="0"/>
        <w:i/>
        <w:color w:val="4F81BD"/>
        <w:sz w:val="18"/>
      </w:rPr>
    </w:lvl>
    <w:lvl w:ilvl="3">
      <w:start w:val="1"/>
      <w:numFmt w:val="decimal"/>
      <w:pStyle w:val="TESIS4"/>
      <w:lvlText w:val="%2.%3.%4"/>
      <w:lvlJc w:val="left"/>
      <w:pPr>
        <w:ind w:left="357" w:hanging="357"/>
      </w:pPr>
      <w:rPr>
        <w:rFonts w:ascii="Calibri" w:hAnsi="Calibri" w:hint="default"/>
        <w:b w:val="0"/>
        <w:i w:val="0"/>
        <w:color w:val="4F81BD"/>
        <w:sz w:val="18"/>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68" w15:restartNumberingAfterBreak="0">
    <w:nsid w:val="50051717"/>
    <w:multiLevelType w:val="hybridMultilevel"/>
    <w:tmpl w:val="1354E37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9" w15:restartNumberingAfterBreak="0">
    <w:nsid w:val="51C65A62"/>
    <w:multiLevelType w:val="hybridMultilevel"/>
    <w:tmpl w:val="5B90144C"/>
    <w:lvl w:ilvl="0" w:tplc="27901742">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15:restartNumberingAfterBreak="0">
    <w:nsid w:val="55241EF8"/>
    <w:multiLevelType w:val="hybridMultilevel"/>
    <w:tmpl w:val="918E97D4"/>
    <w:lvl w:ilvl="0" w:tplc="91642D5E">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8516CB3"/>
    <w:multiLevelType w:val="hybridMultilevel"/>
    <w:tmpl w:val="8254419E"/>
    <w:lvl w:ilvl="0" w:tplc="582CE896">
      <w:start w:val="6"/>
      <w:numFmt w:val="bullet"/>
      <w:lvlText w:val="-"/>
      <w:lvlJc w:val="left"/>
      <w:pPr>
        <w:ind w:left="720" w:hanging="360"/>
      </w:pPr>
      <w:rPr>
        <w:rFonts w:ascii="Calibri" w:eastAsia="Calibr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8D40D5D"/>
    <w:multiLevelType w:val="hybridMultilevel"/>
    <w:tmpl w:val="BFEE9944"/>
    <w:lvl w:ilvl="0" w:tplc="F1980016">
      <w:start w:val="2"/>
      <w:numFmt w:val="bullet"/>
      <w:lvlText w:val="-"/>
      <w:lvlJc w:val="left"/>
      <w:pPr>
        <w:ind w:left="720" w:hanging="360"/>
      </w:pPr>
      <w:rPr>
        <w:rFonts w:ascii="Times New Roman" w:eastAsiaTheme="minorHAnsi" w:hAnsi="Times New Roman" w:cs="Times New Roman"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8E174F0"/>
    <w:multiLevelType w:val="hybridMultilevel"/>
    <w:tmpl w:val="BF3E3AD0"/>
    <w:lvl w:ilvl="0" w:tplc="10806734">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B523073"/>
    <w:multiLevelType w:val="multilevel"/>
    <w:tmpl w:val="04EE841E"/>
    <w:lvl w:ilvl="0">
      <w:start w:val="1"/>
      <w:numFmt w:val="decimal"/>
      <w:lvlText w:val="A%1"/>
      <w:lvlJc w:val="left"/>
      <w:pPr>
        <w:tabs>
          <w:tab w:val="num" w:pos="851"/>
        </w:tabs>
        <w:ind w:left="851" w:hanging="851"/>
      </w:pPr>
      <w:rPr>
        <w:rFonts w:hint="default"/>
      </w:rPr>
    </w:lvl>
    <w:lvl w:ilvl="1">
      <w:start w:val="1"/>
      <w:numFmt w:val="decimal"/>
      <w:lvlText w:val="A%1.%2"/>
      <w:lvlJc w:val="left"/>
      <w:pPr>
        <w:tabs>
          <w:tab w:val="num" w:pos="851"/>
        </w:tabs>
        <w:ind w:left="851" w:hanging="851"/>
      </w:pPr>
      <w:rPr>
        <w:rFonts w:hint="default"/>
      </w:rPr>
    </w:lvl>
    <w:lvl w:ilvl="2">
      <w:start w:val="1"/>
      <w:numFmt w:val="decimal"/>
      <w:lvlText w:val="A%1.%2.%3"/>
      <w:lvlJc w:val="left"/>
      <w:pPr>
        <w:tabs>
          <w:tab w:val="num" w:pos="851"/>
        </w:tabs>
        <w:ind w:left="851" w:hanging="851"/>
      </w:pPr>
      <w:rPr>
        <w:rFonts w:hint="default"/>
      </w:rPr>
    </w:lvl>
    <w:lvl w:ilvl="3">
      <w:start w:val="1"/>
      <w:numFmt w:val="decimal"/>
      <w:lvlText w:val="A%1.%2.%3.%4"/>
      <w:lvlJc w:val="left"/>
      <w:pPr>
        <w:ind w:left="851" w:hanging="851"/>
      </w:pPr>
      <w:rPr>
        <w:rFonts w:hint="default"/>
      </w:rPr>
    </w:lvl>
    <w:lvl w:ilvl="4">
      <w:start w:val="1"/>
      <w:numFmt w:val="decimal"/>
      <w:lvlText w:val="A%1.%2.%3.%4.%5"/>
      <w:lvlJc w:val="left"/>
      <w:pPr>
        <w:ind w:left="992" w:firstLine="0"/>
      </w:pPr>
      <w:rPr>
        <w:rFonts w:hint="default"/>
      </w:rPr>
    </w:lvl>
    <w:lvl w:ilvl="5">
      <w:start w:val="1"/>
      <w:numFmt w:val="lowerRoman"/>
      <w:lvlText w:val="(%6)"/>
      <w:lvlJc w:val="left"/>
      <w:pPr>
        <w:ind w:left="2160" w:hanging="360"/>
      </w:pPr>
      <w:rPr>
        <w:rFonts w:hint="default"/>
        <w:b/>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5BA521B1"/>
    <w:multiLevelType w:val="hybridMultilevel"/>
    <w:tmpl w:val="9D2661D8"/>
    <w:lvl w:ilvl="0" w:tplc="F1980016">
      <w:start w:val="2"/>
      <w:numFmt w:val="bullet"/>
      <w:lvlText w:val="-"/>
      <w:lvlJc w:val="left"/>
      <w:pPr>
        <w:ind w:left="720" w:hanging="360"/>
      </w:pPr>
      <w:rPr>
        <w:rFonts w:ascii="Times New Roman" w:eastAsiaTheme="minorHAnsi" w:hAnsi="Times New Roman" w:cs="Times New Roman"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BE401C7"/>
    <w:multiLevelType w:val="hybridMultilevel"/>
    <w:tmpl w:val="A830B9D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7" w15:restartNumberingAfterBreak="0">
    <w:nsid w:val="5C185EC5"/>
    <w:multiLevelType w:val="hybridMultilevel"/>
    <w:tmpl w:val="E376E7A2"/>
    <w:lvl w:ilvl="0" w:tplc="91642D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C690376"/>
    <w:multiLevelType w:val="hybridMultilevel"/>
    <w:tmpl w:val="41D87B72"/>
    <w:lvl w:ilvl="0" w:tplc="29B0B4F0">
      <w:start w:val="1"/>
      <w:numFmt w:val="upperRoman"/>
      <w:pStyle w:val="AnhangnummerierungI"/>
      <w:lvlText w:val="%1."/>
      <w:lvlJc w:val="left"/>
      <w:pPr>
        <w:tabs>
          <w:tab w:val="num" w:pos="454"/>
        </w:tabs>
        <w:ind w:left="454" w:hanging="45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9" w15:restartNumberingAfterBreak="0">
    <w:nsid w:val="5D4159F2"/>
    <w:multiLevelType w:val="hybridMultilevel"/>
    <w:tmpl w:val="3D88E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D9B5647"/>
    <w:multiLevelType w:val="hybridMultilevel"/>
    <w:tmpl w:val="3DB25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FF50449"/>
    <w:multiLevelType w:val="multilevel"/>
    <w:tmpl w:val="3B520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62495659"/>
    <w:multiLevelType w:val="hybridMultilevel"/>
    <w:tmpl w:val="B6F20B24"/>
    <w:lvl w:ilvl="0" w:tplc="279017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3283FDA"/>
    <w:multiLevelType w:val="hybridMultilevel"/>
    <w:tmpl w:val="BF803912"/>
    <w:lvl w:ilvl="0" w:tplc="1A9C1DFC">
      <w:start w:val="1"/>
      <w:numFmt w:val="decimal"/>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63B84C42"/>
    <w:multiLevelType w:val="hybridMultilevel"/>
    <w:tmpl w:val="E51AB4C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5" w15:restartNumberingAfterBreak="0">
    <w:nsid w:val="64475480"/>
    <w:multiLevelType w:val="hybridMultilevel"/>
    <w:tmpl w:val="FFE0E21C"/>
    <w:lvl w:ilvl="0" w:tplc="53A8C2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67B73754"/>
    <w:multiLevelType w:val="hybridMultilevel"/>
    <w:tmpl w:val="B1CEE08E"/>
    <w:lvl w:ilvl="0" w:tplc="2790174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BE2083E"/>
    <w:multiLevelType w:val="hybridMultilevel"/>
    <w:tmpl w:val="AFDC3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C5E1416"/>
    <w:multiLevelType w:val="hybridMultilevel"/>
    <w:tmpl w:val="6B8E8A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9" w15:restartNumberingAfterBreak="0">
    <w:nsid w:val="6CDC0BCC"/>
    <w:multiLevelType w:val="hybridMultilevel"/>
    <w:tmpl w:val="9F94874E"/>
    <w:lvl w:ilvl="0" w:tplc="27901742">
      <w:start w:val="1"/>
      <w:numFmt w:val="bullet"/>
      <w:lvlText w:val=""/>
      <w:lvlJc w:val="left"/>
      <w:pPr>
        <w:ind w:left="1500" w:hanging="360"/>
      </w:pPr>
      <w:rPr>
        <w:rFonts w:ascii="Symbol" w:hAnsi="Symbol" w:hint="default"/>
        <w:color w:val="auto"/>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90" w15:restartNumberingAfterBreak="0">
    <w:nsid w:val="6D2F70DC"/>
    <w:multiLevelType w:val="hybridMultilevel"/>
    <w:tmpl w:val="E098CCAC"/>
    <w:lvl w:ilvl="0" w:tplc="04070017">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1" w15:restartNumberingAfterBreak="0">
    <w:nsid w:val="6E766A37"/>
    <w:multiLevelType w:val="hybridMultilevel"/>
    <w:tmpl w:val="FAF4F790"/>
    <w:lvl w:ilvl="0" w:tplc="27901742">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2" w15:restartNumberingAfterBreak="0">
    <w:nsid w:val="6E877846"/>
    <w:multiLevelType w:val="hybridMultilevel"/>
    <w:tmpl w:val="DEA2A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0245F2F"/>
    <w:multiLevelType w:val="hybridMultilevel"/>
    <w:tmpl w:val="AF305548"/>
    <w:lvl w:ilvl="0" w:tplc="11B0D35C">
      <w:start w:val="1"/>
      <w:numFmt w:val="bullet"/>
      <w:lvlText w:val="•"/>
      <w:lvlJc w:val="left"/>
      <w:pPr>
        <w:tabs>
          <w:tab w:val="num" w:pos="720"/>
        </w:tabs>
        <w:ind w:left="720" w:hanging="360"/>
      </w:pPr>
      <w:rPr>
        <w:rFonts w:ascii="Times New Roman" w:hAnsi="Times New Roman" w:hint="default"/>
      </w:rPr>
    </w:lvl>
    <w:lvl w:ilvl="1" w:tplc="F7200ED8" w:tentative="1">
      <w:start w:val="1"/>
      <w:numFmt w:val="bullet"/>
      <w:lvlText w:val="•"/>
      <w:lvlJc w:val="left"/>
      <w:pPr>
        <w:tabs>
          <w:tab w:val="num" w:pos="1440"/>
        </w:tabs>
        <w:ind w:left="1440" w:hanging="360"/>
      </w:pPr>
      <w:rPr>
        <w:rFonts w:ascii="Times New Roman" w:hAnsi="Times New Roman" w:hint="default"/>
      </w:rPr>
    </w:lvl>
    <w:lvl w:ilvl="2" w:tplc="DE1C65E6" w:tentative="1">
      <w:start w:val="1"/>
      <w:numFmt w:val="bullet"/>
      <w:lvlText w:val="•"/>
      <w:lvlJc w:val="left"/>
      <w:pPr>
        <w:tabs>
          <w:tab w:val="num" w:pos="2160"/>
        </w:tabs>
        <w:ind w:left="2160" w:hanging="360"/>
      </w:pPr>
      <w:rPr>
        <w:rFonts w:ascii="Times New Roman" w:hAnsi="Times New Roman" w:hint="default"/>
      </w:rPr>
    </w:lvl>
    <w:lvl w:ilvl="3" w:tplc="983CA00A" w:tentative="1">
      <w:start w:val="1"/>
      <w:numFmt w:val="bullet"/>
      <w:lvlText w:val="•"/>
      <w:lvlJc w:val="left"/>
      <w:pPr>
        <w:tabs>
          <w:tab w:val="num" w:pos="2880"/>
        </w:tabs>
        <w:ind w:left="2880" w:hanging="360"/>
      </w:pPr>
      <w:rPr>
        <w:rFonts w:ascii="Times New Roman" w:hAnsi="Times New Roman" w:hint="default"/>
      </w:rPr>
    </w:lvl>
    <w:lvl w:ilvl="4" w:tplc="17487F5A" w:tentative="1">
      <w:start w:val="1"/>
      <w:numFmt w:val="bullet"/>
      <w:lvlText w:val="•"/>
      <w:lvlJc w:val="left"/>
      <w:pPr>
        <w:tabs>
          <w:tab w:val="num" w:pos="3600"/>
        </w:tabs>
        <w:ind w:left="3600" w:hanging="360"/>
      </w:pPr>
      <w:rPr>
        <w:rFonts w:ascii="Times New Roman" w:hAnsi="Times New Roman" w:hint="default"/>
      </w:rPr>
    </w:lvl>
    <w:lvl w:ilvl="5" w:tplc="450C3124" w:tentative="1">
      <w:start w:val="1"/>
      <w:numFmt w:val="bullet"/>
      <w:lvlText w:val="•"/>
      <w:lvlJc w:val="left"/>
      <w:pPr>
        <w:tabs>
          <w:tab w:val="num" w:pos="4320"/>
        </w:tabs>
        <w:ind w:left="4320" w:hanging="360"/>
      </w:pPr>
      <w:rPr>
        <w:rFonts w:ascii="Times New Roman" w:hAnsi="Times New Roman" w:hint="default"/>
      </w:rPr>
    </w:lvl>
    <w:lvl w:ilvl="6" w:tplc="7D082F06" w:tentative="1">
      <w:start w:val="1"/>
      <w:numFmt w:val="bullet"/>
      <w:lvlText w:val="•"/>
      <w:lvlJc w:val="left"/>
      <w:pPr>
        <w:tabs>
          <w:tab w:val="num" w:pos="5040"/>
        </w:tabs>
        <w:ind w:left="5040" w:hanging="360"/>
      </w:pPr>
      <w:rPr>
        <w:rFonts w:ascii="Times New Roman" w:hAnsi="Times New Roman" w:hint="default"/>
      </w:rPr>
    </w:lvl>
    <w:lvl w:ilvl="7" w:tplc="82D0E15A" w:tentative="1">
      <w:start w:val="1"/>
      <w:numFmt w:val="bullet"/>
      <w:lvlText w:val="•"/>
      <w:lvlJc w:val="left"/>
      <w:pPr>
        <w:tabs>
          <w:tab w:val="num" w:pos="5760"/>
        </w:tabs>
        <w:ind w:left="5760" w:hanging="360"/>
      </w:pPr>
      <w:rPr>
        <w:rFonts w:ascii="Times New Roman" w:hAnsi="Times New Roman" w:hint="default"/>
      </w:rPr>
    </w:lvl>
    <w:lvl w:ilvl="8" w:tplc="F274EF34" w:tentative="1">
      <w:start w:val="1"/>
      <w:numFmt w:val="bullet"/>
      <w:lvlText w:val="•"/>
      <w:lvlJc w:val="left"/>
      <w:pPr>
        <w:tabs>
          <w:tab w:val="num" w:pos="6480"/>
        </w:tabs>
        <w:ind w:left="6480" w:hanging="360"/>
      </w:pPr>
      <w:rPr>
        <w:rFonts w:ascii="Times New Roman" w:hAnsi="Times New Roman" w:hint="default"/>
      </w:rPr>
    </w:lvl>
  </w:abstractNum>
  <w:abstractNum w:abstractNumId="94" w15:restartNumberingAfterBreak="0">
    <w:nsid w:val="71407202"/>
    <w:multiLevelType w:val="hybridMultilevel"/>
    <w:tmpl w:val="BF803912"/>
    <w:lvl w:ilvl="0" w:tplc="1A9C1DFC">
      <w:start w:val="1"/>
      <w:numFmt w:val="decimal"/>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72EC1E5F"/>
    <w:multiLevelType w:val="hybridMultilevel"/>
    <w:tmpl w:val="0DE6A62E"/>
    <w:styleLink w:val="CowiBulletList"/>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6" w15:restartNumberingAfterBreak="0">
    <w:nsid w:val="73265237"/>
    <w:multiLevelType w:val="hybridMultilevel"/>
    <w:tmpl w:val="C408F292"/>
    <w:styleLink w:val="Aufzhlungerweitert"/>
    <w:lvl w:ilvl="0" w:tplc="8696B5AC">
      <w:start w:val="1"/>
      <w:numFmt w:val="bullet"/>
      <w:lvlText w:val=""/>
      <w:lvlJc w:val="left"/>
      <w:pPr>
        <w:ind w:left="720" w:hanging="360"/>
      </w:pPr>
      <w:rPr>
        <w:rFonts w:ascii="Symbol" w:hAnsi="Symbol" w:hint="default"/>
      </w:rPr>
    </w:lvl>
    <w:lvl w:ilvl="1" w:tplc="3E54A116">
      <w:start w:val="1"/>
      <w:numFmt w:val="bullet"/>
      <w:lvlText w:val="o"/>
      <w:lvlJc w:val="left"/>
      <w:pPr>
        <w:ind w:left="1440" w:hanging="360"/>
      </w:pPr>
      <w:rPr>
        <w:rFonts w:ascii="Courier New" w:hAnsi="Courier New" w:hint="default"/>
      </w:rPr>
    </w:lvl>
    <w:lvl w:ilvl="2" w:tplc="4F5278C8">
      <w:start w:val="1"/>
      <w:numFmt w:val="bullet"/>
      <w:lvlText w:val=""/>
      <w:lvlJc w:val="left"/>
      <w:pPr>
        <w:ind w:left="2160" w:hanging="360"/>
      </w:pPr>
      <w:rPr>
        <w:rFonts w:ascii="Wingdings" w:hAnsi="Wingdings" w:hint="default"/>
      </w:rPr>
    </w:lvl>
    <w:lvl w:ilvl="3" w:tplc="33AA8FC2">
      <w:start w:val="1"/>
      <w:numFmt w:val="bullet"/>
      <w:lvlText w:val=""/>
      <w:lvlJc w:val="left"/>
      <w:pPr>
        <w:ind w:left="2880" w:hanging="360"/>
      </w:pPr>
      <w:rPr>
        <w:rFonts w:ascii="Symbol" w:hAnsi="Symbol" w:hint="default"/>
      </w:rPr>
    </w:lvl>
    <w:lvl w:ilvl="4" w:tplc="6AA0FB64">
      <w:start w:val="1"/>
      <w:numFmt w:val="bullet"/>
      <w:lvlText w:val="o"/>
      <w:lvlJc w:val="left"/>
      <w:pPr>
        <w:ind w:left="3600" w:hanging="360"/>
      </w:pPr>
      <w:rPr>
        <w:rFonts w:ascii="Courier New" w:hAnsi="Courier New" w:hint="default"/>
      </w:rPr>
    </w:lvl>
    <w:lvl w:ilvl="5" w:tplc="B9822E14">
      <w:start w:val="1"/>
      <w:numFmt w:val="bullet"/>
      <w:lvlText w:val=""/>
      <w:lvlJc w:val="left"/>
      <w:pPr>
        <w:ind w:left="4320" w:hanging="360"/>
      </w:pPr>
      <w:rPr>
        <w:rFonts w:ascii="Wingdings" w:hAnsi="Wingdings" w:hint="default"/>
      </w:rPr>
    </w:lvl>
    <w:lvl w:ilvl="6" w:tplc="38487276">
      <w:start w:val="1"/>
      <w:numFmt w:val="bullet"/>
      <w:lvlText w:val=""/>
      <w:lvlJc w:val="left"/>
      <w:pPr>
        <w:ind w:left="5040" w:hanging="360"/>
      </w:pPr>
      <w:rPr>
        <w:rFonts w:ascii="Symbol" w:hAnsi="Symbol" w:hint="default"/>
      </w:rPr>
    </w:lvl>
    <w:lvl w:ilvl="7" w:tplc="ACE68A6E">
      <w:start w:val="1"/>
      <w:numFmt w:val="bullet"/>
      <w:lvlText w:val="o"/>
      <w:lvlJc w:val="left"/>
      <w:pPr>
        <w:ind w:left="5760" w:hanging="360"/>
      </w:pPr>
      <w:rPr>
        <w:rFonts w:ascii="Courier New" w:hAnsi="Courier New" w:hint="default"/>
      </w:rPr>
    </w:lvl>
    <w:lvl w:ilvl="8" w:tplc="2DC2B03C">
      <w:start w:val="1"/>
      <w:numFmt w:val="bullet"/>
      <w:lvlText w:val=""/>
      <w:lvlJc w:val="left"/>
      <w:pPr>
        <w:ind w:left="6480" w:hanging="360"/>
      </w:pPr>
      <w:rPr>
        <w:rFonts w:ascii="Wingdings" w:hAnsi="Wingdings" w:hint="default"/>
      </w:rPr>
    </w:lvl>
  </w:abstractNum>
  <w:abstractNum w:abstractNumId="97" w15:restartNumberingAfterBreak="0">
    <w:nsid w:val="741B0F3B"/>
    <w:multiLevelType w:val="hybridMultilevel"/>
    <w:tmpl w:val="EB48AA62"/>
    <w:lvl w:ilvl="0" w:tplc="08090001">
      <w:start w:val="1"/>
      <w:numFmt w:val="bullet"/>
      <w:lvlText w:val=""/>
      <w:lvlJc w:val="left"/>
      <w:pPr>
        <w:tabs>
          <w:tab w:val="num" w:pos="284"/>
        </w:tabs>
        <w:ind w:left="1134" w:hanging="283"/>
      </w:pPr>
      <w:rPr>
        <w:rFonts w:ascii="Symbol" w:hAnsi="Symbol" w:hint="default"/>
        <w:color w:val="00808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pStyle w:val="Style4"/>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74680CBA"/>
    <w:multiLevelType w:val="hybridMultilevel"/>
    <w:tmpl w:val="FA7E3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5F45F16"/>
    <w:multiLevelType w:val="hybridMultilevel"/>
    <w:tmpl w:val="4E823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86211DE"/>
    <w:multiLevelType w:val="hybridMultilevel"/>
    <w:tmpl w:val="27984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B6655BB"/>
    <w:multiLevelType w:val="hybridMultilevel"/>
    <w:tmpl w:val="ACF82C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2" w15:restartNumberingAfterBreak="0">
    <w:nsid w:val="7B734428"/>
    <w:multiLevelType w:val="hybridMultilevel"/>
    <w:tmpl w:val="F40650B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3" w15:restartNumberingAfterBreak="0">
    <w:nsid w:val="7BAE071C"/>
    <w:multiLevelType w:val="hybridMultilevel"/>
    <w:tmpl w:val="F0045392"/>
    <w:lvl w:ilvl="0" w:tplc="582CE896">
      <w:start w:val="6"/>
      <w:numFmt w:val="bullet"/>
      <w:lvlText w:val="-"/>
      <w:lvlJc w:val="left"/>
      <w:pPr>
        <w:ind w:left="720" w:hanging="360"/>
      </w:pPr>
      <w:rPr>
        <w:rFonts w:ascii="Calibri" w:eastAsia="Calibr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C72709F"/>
    <w:multiLevelType w:val="hybridMultilevel"/>
    <w:tmpl w:val="B19AF810"/>
    <w:lvl w:ilvl="0" w:tplc="F1980016">
      <w:start w:val="2"/>
      <w:numFmt w:val="bullet"/>
      <w:lvlText w:val="-"/>
      <w:lvlJc w:val="left"/>
      <w:pPr>
        <w:ind w:left="720" w:hanging="360"/>
      </w:pPr>
      <w:rPr>
        <w:rFonts w:ascii="Times New Roman" w:eastAsiaTheme="minorHAnsi" w:hAnsi="Times New Roman" w:cs="Times New Roman"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D7A0F88"/>
    <w:multiLevelType w:val="hybridMultilevel"/>
    <w:tmpl w:val="1FF2CF46"/>
    <w:lvl w:ilvl="0" w:tplc="D5ACBA92">
      <w:start w:val="1"/>
      <w:numFmt w:val="bullet"/>
      <w:lvlText w:val=""/>
      <w:lvlJc w:val="left"/>
      <w:pPr>
        <w:ind w:left="862" w:hanging="360"/>
      </w:pPr>
      <w:rPr>
        <w:rFonts w:ascii="Symbol" w:hAnsi="Symbol" w:hint="default"/>
        <w:color w:val="000000" w:themeColor="text1"/>
      </w:rPr>
    </w:lvl>
    <w:lvl w:ilvl="1" w:tplc="08090003">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06" w15:restartNumberingAfterBreak="0">
    <w:nsid w:val="7FBC1B1F"/>
    <w:multiLevelType w:val="hybridMultilevel"/>
    <w:tmpl w:val="555AE006"/>
    <w:lvl w:ilvl="0" w:tplc="08090019">
      <w:start w:val="1"/>
      <w:numFmt w:val="lowerLetter"/>
      <w:lvlText w:val="%1."/>
      <w:lvlJc w:val="left"/>
      <w:pPr>
        <w:ind w:left="1080" w:hanging="360"/>
      </w:pPr>
    </w:lvl>
    <w:lvl w:ilvl="1" w:tplc="0809001B">
      <w:start w:val="1"/>
      <w:numFmt w:val="lowerRoman"/>
      <w:lvlText w:val="%2."/>
      <w:lvlJc w:val="righ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53"/>
  </w:num>
  <w:num w:numId="2">
    <w:abstractNumId w:val="35"/>
  </w:num>
  <w:num w:numId="3">
    <w:abstractNumId w:val="74"/>
  </w:num>
  <w:num w:numId="4">
    <w:abstractNumId w:val="51"/>
  </w:num>
  <w:num w:numId="5">
    <w:abstractNumId w:val="8"/>
  </w:num>
  <w:num w:numId="6">
    <w:abstractNumId w:val="6"/>
  </w:num>
  <w:num w:numId="7">
    <w:abstractNumId w:val="40"/>
  </w:num>
  <w:num w:numId="8">
    <w:abstractNumId w:val="11"/>
  </w:num>
  <w:num w:numId="9">
    <w:abstractNumId w:val="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2"/>
  </w:num>
  <w:num w:numId="11">
    <w:abstractNumId w:val="64"/>
  </w:num>
  <w:num w:numId="12">
    <w:abstractNumId w:val="73"/>
  </w:num>
  <w:num w:numId="13">
    <w:abstractNumId w:val="105"/>
  </w:num>
  <w:num w:numId="14">
    <w:abstractNumId w:val="4"/>
  </w:num>
  <w:num w:numId="15">
    <w:abstractNumId w:val="60"/>
  </w:num>
  <w:num w:numId="16">
    <w:abstractNumId w:val="24"/>
  </w:num>
  <w:num w:numId="17">
    <w:abstractNumId w:val="5"/>
  </w:num>
  <w:num w:numId="18">
    <w:abstractNumId w:val="47"/>
  </w:num>
  <w:num w:numId="19">
    <w:abstractNumId w:val="50"/>
  </w:num>
  <w:num w:numId="20">
    <w:abstractNumId w:val="48"/>
  </w:num>
  <w:num w:numId="21">
    <w:abstractNumId w:val="23"/>
  </w:num>
  <w:num w:numId="22">
    <w:abstractNumId w:val="13"/>
  </w:num>
  <w:num w:numId="23">
    <w:abstractNumId w:val="49"/>
  </w:num>
  <w:num w:numId="24">
    <w:abstractNumId w:val="93"/>
  </w:num>
  <w:num w:numId="25">
    <w:abstractNumId w:val="39"/>
  </w:num>
  <w:num w:numId="26">
    <w:abstractNumId w:val="41"/>
  </w:num>
  <w:num w:numId="27">
    <w:abstractNumId w:val="55"/>
  </w:num>
  <w:num w:numId="28">
    <w:abstractNumId w:val="102"/>
  </w:num>
  <w:num w:numId="29">
    <w:abstractNumId w:val="84"/>
  </w:num>
  <w:num w:numId="30">
    <w:abstractNumId w:val="16"/>
  </w:num>
  <w:num w:numId="31">
    <w:abstractNumId w:val="88"/>
  </w:num>
  <w:num w:numId="32">
    <w:abstractNumId w:val="36"/>
  </w:num>
  <w:num w:numId="33">
    <w:abstractNumId w:val="76"/>
  </w:num>
  <w:num w:numId="34">
    <w:abstractNumId w:val="90"/>
  </w:num>
  <w:num w:numId="35">
    <w:abstractNumId w:val="31"/>
  </w:num>
  <w:num w:numId="36">
    <w:abstractNumId w:val="66"/>
  </w:num>
  <w:num w:numId="37">
    <w:abstractNumId w:val="66"/>
  </w:num>
  <w:num w:numId="38">
    <w:abstractNumId w:val="68"/>
  </w:num>
  <w:num w:numId="39">
    <w:abstractNumId w:val="96"/>
  </w:num>
  <w:num w:numId="40">
    <w:abstractNumId w:val="21"/>
  </w:num>
  <w:num w:numId="41">
    <w:abstractNumId w:val="97"/>
  </w:num>
  <w:num w:numId="42">
    <w:abstractNumId w:val="12"/>
  </w:num>
  <w:num w:numId="43">
    <w:abstractNumId w:val="78"/>
  </w:num>
  <w:num w:numId="44">
    <w:abstractNumId w:val="56"/>
  </w:num>
  <w:num w:numId="45">
    <w:abstractNumId w:val="67"/>
  </w:num>
  <w:num w:numId="46">
    <w:abstractNumId w:val="33"/>
  </w:num>
  <w:num w:numId="47">
    <w:abstractNumId w:val="20"/>
  </w:num>
  <w:num w:numId="48">
    <w:abstractNumId w:val="95"/>
  </w:num>
  <w:num w:numId="49">
    <w:abstractNumId w:val="54"/>
  </w:num>
  <w:num w:numId="50">
    <w:abstractNumId w:val="19"/>
  </w:num>
  <w:num w:numId="51">
    <w:abstractNumId w:val="51"/>
  </w:num>
  <w:num w:numId="52">
    <w:abstractNumId w:val="101"/>
  </w:num>
  <w:num w:numId="53">
    <w:abstractNumId w:val="32"/>
  </w:num>
  <w:num w:numId="5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4"/>
  </w:num>
  <w:num w:numId="56">
    <w:abstractNumId w:val="58"/>
  </w:num>
  <w:num w:numId="57">
    <w:abstractNumId w:val="71"/>
  </w:num>
  <w:num w:numId="58">
    <w:abstractNumId w:val="81"/>
  </w:num>
  <w:num w:numId="59">
    <w:abstractNumId w:val="7"/>
  </w:num>
  <w:num w:numId="60">
    <w:abstractNumId w:val="99"/>
  </w:num>
  <w:num w:numId="61">
    <w:abstractNumId w:val="98"/>
  </w:num>
  <w:num w:numId="62">
    <w:abstractNumId w:val="0"/>
  </w:num>
  <w:num w:numId="63">
    <w:abstractNumId w:val="37"/>
  </w:num>
  <w:num w:numId="64">
    <w:abstractNumId w:val="15"/>
  </w:num>
  <w:num w:numId="65">
    <w:abstractNumId w:val="25"/>
  </w:num>
  <w:num w:numId="66">
    <w:abstractNumId w:val="63"/>
  </w:num>
  <w:num w:numId="67">
    <w:abstractNumId w:val="45"/>
  </w:num>
  <w:num w:numId="68">
    <w:abstractNumId w:val="80"/>
  </w:num>
  <w:num w:numId="69">
    <w:abstractNumId w:val="1"/>
  </w:num>
  <w:num w:numId="70">
    <w:abstractNumId w:val="2"/>
  </w:num>
  <w:num w:numId="71">
    <w:abstractNumId w:val="43"/>
  </w:num>
  <w:num w:numId="72">
    <w:abstractNumId w:val="62"/>
  </w:num>
  <w:num w:numId="73">
    <w:abstractNumId w:val="10"/>
  </w:num>
  <w:num w:numId="74">
    <w:abstractNumId w:val="18"/>
  </w:num>
  <w:num w:numId="75">
    <w:abstractNumId w:val="91"/>
  </w:num>
  <w:num w:numId="76">
    <w:abstractNumId w:val="79"/>
  </w:num>
  <w:num w:numId="77">
    <w:abstractNumId w:val="61"/>
  </w:num>
  <w:num w:numId="78">
    <w:abstractNumId w:val="46"/>
  </w:num>
  <w:num w:numId="79">
    <w:abstractNumId w:val="106"/>
  </w:num>
  <w:num w:numId="80">
    <w:abstractNumId w:val="14"/>
  </w:num>
  <w:num w:numId="81">
    <w:abstractNumId w:val="26"/>
  </w:num>
  <w:num w:numId="82">
    <w:abstractNumId w:val="100"/>
  </w:num>
  <w:num w:numId="83">
    <w:abstractNumId w:val="27"/>
  </w:num>
  <w:num w:numId="84">
    <w:abstractNumId w:val="65"/>
  </w:num>
  <w:num w:numId="85">
    <w:abstractNumId w:val="52"/>
  </w:num>
  <w:num w:numId="86">
    <w:abstractNumId w:val="69"/>
  </w:num>
  <w:num w:numId="87">
    <w:abstractNumId w:val="103"/>
  </w:num>
  <w:num w:numId="88">
    <w:abstractNumId w:val="57"/>
  </w:num>
  <w:num w:numId="89">
    <w:abstractNumId w:val="92"/>
  </w:num>
  <w:num w:numId="90">
    <w:abstractNumId w:val="82"/>
  </w:num>
  <w:num w:numId="91">
    <w:abstractNumId w:val="104"/>
  </w:num>
  <w:num w:numId="92">
    <w:abstractNumId w:val="72"/>
  </w:num>
  <w:num w:numId="93">
    <w:abstractNumId w:val="75"/>
  </w:num>
  <w:num w:numId="94">
    <w:abstractNumId w:val="17"/>
  </w:num>
  <w:num w:numId="95">
    <w:abstractNumId w:val="9"/>
  </w:num>
  <w:num w:numId="96">
    <w:abstractNumId w:val="86"/>
  </w:num>
  <w:num w:numId="97">
    <w:abstractNumId w:val="70"/>
  </w:num>
  <w:num w:numId="98">
    <w:abstractNumId w:val="77"/>
  </w:num>
  <w:num w:numId="99">
    <w:abstractNumId w:val="28"/>
  </w:num>
  <w:num w:numId="100">
    <w:abstractNumId w:val="87"/>
  </w:num>
  <w:num w:numId="101">
    <w:abstractNumId w:val="34"/>
  </w:num>
  <w:num w:numId="102">
    <w:abstractNumId w:val="3"/>
  </w:num>
  <w:num w:numId="103">
    <w:abstractNumId w:val="59"/>
  </w:num>
  <w:num w:numId="104">
    <w:abstractNumId w:val="38"/>
  </w:num>
  <w:num w:numId="105">
    <w:abstractNumId w:val="22"/>
  </w:num>
  <w:num w:numId="106">
    <w:abstractNumId w:val="74"/>
  </w:num>
  <w:num w:numId="107">
    <w:abstractNumId w:val="74"/>
  </w:num>
  <w:num w:numId="108">
    <w:abstractNumId w:val="74"/>
  </w:num>
  <w:num w:numId="109">
    <w:abstractNumId w:val="74"/>
  </w:num>
  <w:num w:numId="110">
    <w:abstractNumId w:val="74"/>
  </w:num>
  <w:num w:numId="111">
    <w:abstractNumId w:val="74"/>
  </w:num>
  <w:num w:numId="112">
    <w:abstractNumId w:val="74"/>
  </w:num>
  <w:num w:numId="113">
    <w:abstractNumId w:val="74"/>
  </w:num>
  <w:num w:numId="114">
    <w:abstractNumId w:val="74"/>
  </w:num>
  <w:num w:numId="115">
    <w:abstractNumId w:val="74"/>
  </w:num>
  <w:num w:numId="116">
    <w:abstractNumId w:val="74"/>
  </w:num>
  <w:num w:numId="117">
    <w:abstractNumId w:val="74"/>
  </w:num>
  <w:num w:numId="118">
    <w:abstractNumId w:val="74"/>
  </w:num>
  <w:num w:numId="119">
    <w:abstractNumId w:val="74"/>
  </w:num>
  <w:num w:numId="120">
    <w:abstractNumId w:val="74"/>
  </w:num>
  <w:num w:numId="121">
    <w:abstractNumId w:val="74"/>
  </w:num>
  <w:num w:numId="122">
    <w:abstractNumId w:val="74"/>
  </w:num>
  <w:num w:numId="123">
    <w:abstractNumId w:val="74"/>
  </w:num>
  <w:num w:numId="124">
    <w:abstractNumId w:val="74"/>
  </w:num>
  <w:num w:numId="125">
    <w:abstractNumId w:val="74"/>
  </w:num>
  <w:num w:numId="126">
    <w:abstractNumId w:val="74"/>
  </w:num>
  <w:num w:numId="127">
    <w:abstractNumId w:val="74"/>
  </w:num>
  <w:num w:numId="128">
    <w:abstractNumId w:val="74"/>
  </w:num>
  <w:num w:numId="129">
    <w:abstractNumId w:val="94"/>
  </w:num>
  <w:num w:numId="130">
    <w:abstractNumId w:val="85"/>
  </w:num>
  <w:num w:numId="131">
    <w:abstractNumId w:val="83"/>
  </w:num>
  <w:num w:numId="132">
    <w:abstractNumId w:val="30"/>
  </w:num>
  <w:num w:numId="133">
    <w:abstractNumId w:val="89"/>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activeWritingStyle w:appName="MSWord" w:lang="pt-PT"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6" w:nlCheck="1" w:checkStyle="0"/>
  <w:activeWritingStyle w:appName="MSWord" w:lang="fr-BE" w:vendorID="64" w:dllVersion="6" w:nlCheck="1" w:checkStyle="0"/>
  <w:activeWritingStyle w:appName="MSWord" w:lang="en-IE" w:vendorID="64" w:dllVersion="6" w:nlCheck="1" w:checkStyle="1"/>
  <w:activeWritingStyle w:appName="MSWord" w:lang="nl-NL" w:vendorID="64" w:dllVersion="6" w:nlCheck="1" w:checkStyle="0"/>
  <w:activeWritingStyle w:appName="MSWord" w:lang="da-DK" w:vendorID="64" w:dllVersion="6" w:nlCheck="1" w:checkStyle="0"/>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en-IE" w:vendorID="64" w:dllVersion="0" w:nlCheck="1" w:checkStyle="0"/>
  <w:activeWritingStyle w:appName="MSWord" w:lang="fr-BE" w:vendorID="64" w:dllVersion="0" w:nlCheck="1" w:checkStyle="0"/>
  <w:activeWritingStyle w:appName="MSWord" w:lang="pt-PT" w:vendorID="64" w:dllVersion="0" w:nlCheck="1" w:checkStyle="0"/>
  <w:activeWritingStyle w:appName="MSWord" w:lang="nl-NL" w:vendorID="64" w:dllVersion="0" w:nlCheck="1" w:checkStyle="0"/>
  <w:activeWritingStyle w:appName="MSWord" w:lang="da-DK" w:vendorID="64" w:dllVersion="0" w:nlCheck="1" w:checkStyle="0"/>
  <w:activeWritingStyle w:appName="MSWord" w:lang="pl-PL"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0"/>
  <w:activeWritingStyle w:appName="MSWord" w:lang="en-IE" w:vendorID="64" w:dllVersion="131078" w:nlCheck="1" w:checkStyle="1"/>
  <w:activeWritingStyle w:appName="MSWord" w:lang="fr-BE" w:vendorID="64" w:dllVersion="131078" w:nlCheck="1" w:checkStyle="0"/>
  <w:activeWritingStyle w:appName="MSWord" w:lang="pt-PT" w:vendorID="64" w:dllVersion="131078" w:nlCheck="1" w:checkStyle="0"/>
  <w:activeWritingStyle w:appName="MSWord" w:lang="nl-NL" w:vendorID="64" w:dllVersion="131078" w:nlCheck="1" w:checkStyle="0"/>
  <w:activeWritingStyle w:appName="MSWord" w:lang="da-DK" w:vendorID="64" w:dllVersion="131078" w:nlCheck="1" w:checkStyle="0"/>
  <w:revisionView w:markup="0"/>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ED0ED350-8A86-4604-AB8B-2F51DB685201"/>
    <w:docVar w:name="LW_COVERPAGE_TYPE" w:val="1"/>
    <w:docVar w:name="LW_CROSSREFERENCE" w:val="{COM(2022) 150 final} - {SEC(2022) 156 final} - {SWD(2022) 95 final} - {SWD(2022) 97 final}"/>
    <w:docVar w:name="LW_DocType" w:val="NORMAL"/>
    <w:docVar w:name="LW_EMISSION" w:val="5.4.2022"/>
    <w:docVar w:name="LW_EMISSION_ISODATE" w:val="2022-04-05"/>
    <w:docVar w:name="LW_EMISSION_LOCATION" w:val="STR"/>
    <w:docVar w:name="LW_EMISSION_PREFIX" w:val="Strasbourg,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on fluorinated greenhouse gases, amending Directive (EU) 2019/1937 and repealing Regulation (EU) No 517/2014"/>
    <w:docVar w:name="LW_PART_NBR" w:val="1"/>
    <w:docVar w:name="LW_PART_NBR_TOTAL" w:val="2"/>
    <w:docVar w:name="LW_REF.INST.NEW" w:val="SWD"/>
    <w:docVar w:name="LW_REF.INST.NEW_ADOPTED" w:val="final"/>
    <w:docVar w:name="LW_REF.INST.NEW_TEXT" w:val="(2022) 9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 REPORT_x000b_"/>
    <w:docVar w:name="LW_TYPEACTEPRINCIPAL.CP" w:val="Proposal for a _x000b_REGULATION OF THE EUROPEAN PARLIAMENT AND OF THE COUNCIL"/>
    <w:docVar w:name="LwApiVersions" w:val="LW4CoDe 1.23.2.0; LW 8.0, Build 20211117"/>
  </w:docVars>
  <w:rsids>
    <w:rsidRoot w:val="006B087E"/>
    <w:rsid w:val="00000048"/>
    <w:rsid w:val="00000C1C"/>
    <w:rsid w:val="00002B14"/>
    <w:rsid w:val="00002C3C"/>
    <w:rsid w:val="00003011"/>
    <w:rsid w:val="00003D2A"/>
    <w:rsid w:val="00004986"/>
    <w:rsid w:val="00004EA0"/>
    <w:rsid w:val="000050F6"/>
    <w:rsid w:val="00005125"/>
    <w:rsid w:val="0000523B"/>
    <w:rsid w:val="00005CD4"/>
    <w:rsid w:val="00005EE0"/>
    <w:rsid w:val="00006124"/>
    <w:rsid w:val="000064A1"/>
    <w:rsid w:val="000068C6"/>
    <w:rsid w:val="0000711B"/>
    <w:rsid w:val="000071E4"/>
    <w:rsid w:val="000076E2"/>
    <w:rsid w:val="00007848"/>
    <w:rsid w:val="00007868"/>
    <w:rsid w:val="000078DB"/>
    <w:rsid w:val="000106AB"/>
    <w:rsid w:val="00010965"/>
    <w:rsid w:val="0001180B"/>
    <w:rsid w:val="000119C0"/>
    <w:rsid w:val="00011AD7"/>
    <w:rsid w:val="0001272A"/>
    <w:rsid w:val="00014506"/>
    <w:rsid w:val="00015058"/>
    <w:rsid w:val="000167AD"/>
    <w:rsid w:val="00016DC1"/>
    <w:rsid w:val="00017095"/>
    <w:rsid w:val="000175E4"/>
    <w:rsid w:val="0001773E"/>
    <w:rsid w:val="000203D2"/>
    <w:rsid w:val="00020EE4"/>
    <w:rsid w:val="00021819"/>
    <w:rsid w:val="00022DC7"/>
    <w:rsid w:val="00022FBC"/>
    <w:rsid w:val="00023C46"/>
    <w:rsid w:val="00023E57"/>
    <w:rsid w:val="00024C42"/>
    <w:rsid w:val="00024EF3"/>
    <w:rsid w:val="00025717"/>
    <w:rsid w:val="00026165"/>
    <w:rsid w:val="000265B3"/>
    <w:rsid w:val="000268F7"/>
    <w:rsid w:val="000276B8"/>
    <w:rsid w:val="000276F0"/>
    <w:rsid w:val="00030F53"/>
    <w:rsid w:val="0003156E"/>
    <w:rsid w:val="00031865"/>
    <w:rsid w:val="00031C78"/>
    <w:rsid w:val="0003201E"/>
    <w:rsid w:val="000325E9"/>
    <w:rsid w:val="00033B32"/>
    <w:rsid w:val="000349E9"/>
    <w:rsid w:val="00034C9B"/>
    <w:rsid w:val="000353FF"/>
    <w:rsid w:val="00036669"/>
    <w:rsid w:val="0003700A"/>
    <w:rsid w:val="000374BC"/>
    <w:rsid w:val="00037A6E"/>
    <w:rsid w:val="00037B9A"/>
    <w:rsid w:val="00037F64"/>
    <w:rsid w:val="000408C1"/>
    <w:rsid w:val="00040BA5"/>
    <w:rsid w:val="00040E75"/>
    <w:rsid w:val="000414F3"/>
    <w:rsid w:val="00041B51"/>
    <w:rsid w:val="000420ED"/>
    <w:rsid w:val="0004225B"/>
    <w:rsid w:val="000423EF"/>
    <w:rsid w:val="00042AEA"/>
    <w:rsid w:val="00042DB8"/>
    <w:rsid w:val="000431A7"/>
    <w:rsid w:val="00043E6C"/>
    <w:rsid w:val="00044654"/>
    <w:rsid w:val="00044CBC"/>
    <w:rsid w:val="00044CFE"/>
    <w:rsid w:val="00044D59"/>
    <w:rsid w:val="000451CB"/>
    <w:rsid w:val="000451EB"/>
    <w:rsid w:val="00045261"/>
    <w:rsid w:val="0004587E"/>
    <w:rsid w:val="00045CA6"/>
    <w:rsid w:val="00045FC8"/>
    <w:rsid w:val="000465F8"/>
    <w:rsid w:val="000466BF"/>
    <w:rsid w:val="000469C2"/>
    <w:rsid w:val="00046C52"/>
    <w:rsid w:val="00047321"/>
    <w:rsid w:val="0004739A"/>
    <w:rsid w:val="00047783"/>
    <w:rsid w:val="00047B05"/>
    <w:rsid w:val="0005075C"/>
    <w:rsid w:val="00050B8B"/>
    <w:rsid w:val="000512C1"/>
    <w:rsid w:val="00053503"/>
    <w:rsid w:val="00054024"/>
    <w:rsid w:val="00054159"/>
    <w:rsid w:val="000542B2"/>
    <w:rsid w:val="00054DA2"/>
    <w:rsid w:val="00054ECB"/>
    <w:rsid w:val="0005540C"/>
    <w:rsid w:val="000559A6"/>
    <w:rsid w:val="00055EFF"/>
    <w:rsid w:val="00056C4D"/>
    <w:rsid w:val="00057109"/>
    <w:rsid w:val="00057414"/>
    <w:rsid w:val="00057859"/>
    <w:rsid w:val="00057F1D"/>
    <w:rsid w:val="00060873"/>
    <w:rsid w:val="00060915"/>
    <w:rsid w:val="00060C08"/>
    <w:rsid w:val="00060F0F"/>
    <w:rsid w:val="00062546"/>
    <w:rsid w:val="00062813"/>
    <w:rsid w:val="0006299E"/>
    <w:rsid w:val="00062DE2"/>
    <w:rsid w:val="00063B04"/>
    <w:rsid w:val="00063BA4"/>
    <w:rsid w:val="00063ED1"/>
    <w:rsid w:val="00064265"/>
    <w:rsid w:val="00064E59"/>
    <w:rsid w:val="00065E01"/>
    <w:rsid w:val="00066717"/>
    <w:rsid w:val="000669F1"/>
    <w:rsid w:val="00066D69"/>
    <w:rsid w:val="00066D76"/>
    <w:rsid w:val="00066E83"/>
    <w:rsid w:val="00070D5C"/>
    <w:rsid w:val="000714BB"/>
    <w:rsid w:val="00072B3E"/>
    <w:rsid w:val="000731AB"/>
    <w:rsid w:val="00073874"/>
    <w:rsid w:val="00073EC8"/>
    <w:rsid w:val="00074946"/>
    <w:rsid w:val="00074AE1"/>
    <w:rsid w:val="00075D48"/>
    <w:rsid w:val="00075EFD"/>
    <w:rsid w:val="000765A3"/>
    <w:rsid w:val="00076B59"/>
    <w:rsid w:val="00077917"/>
    <w:rsid w:val="00080393"/>
    <w:rsid w:val="00080B94"/>
    <w:rsid w:val="000810F6"/>
    <w:rsid w:val="000816D9"/>
    <w:rsid w:val="000819F9"/>
    <w:rsid w:val="00081F0F"/>
    <w:rsid w:val="00082381"/>
    <w:rsid w:val="00082953"/>
    <w:rsid w:val="00082BE1"/>
    <w:rsid w:val="00082C78"/>
    <w:rsid w:val="00082C86"/>
    <w:rsid w:val="000833C3"/>
    <w:rsid w:val="00083422"/>
    <w:rsid w:val="000834CE"/>
    <w:rsid w:val="000835DD"/>
    <w:rsid w:val="000838D8"/>
    <w:rsid w:val="00083B45"/>
    <w:rsid w:val="00084370"/>
    <w:rsid w:val="00084DDF"/>
    <w:rsid w:val="000850D5"/>
    <w:rsid w:val="000857F7"/>
    <w:rsid w:val="0008591F"/>
    <w:rsid w:val="000873B6"/>
    <w:rsid w:val="0008749A"/>
    <w:rsid w:val="00090059"/>
    <w:rsid w:val="00090294"/>
    <w:rsid w:val="00090398"/>
    <w:rsid w:val="00090A11"/>
    <w:rsid w:val="000914E1"/>
    <w:rsid w:val="000919ED"/>
    <w:rsid w:val="00092EFF"/>
    <w:rsid w:val="00093247"/>
    <w:rsid w:val="0009340B"/>
    <w:rsid w:val="0009434C"/>
    <w:rsid w:val="000944C3"/>
    <w:rsid w:val="00094C22"/>
    <w:rsid w:val="0009513C"/>
    <w:rsid w:val="00095195"/>
    <w:rsid w:val="000954E5"/>
    <w:rsid w:val="000960AC"/>
    <w:rsid w:val="0009611E"/>
    <w:rsid w:val="00096367"/>
    <w:rsid w:val="0009677E"/>
    <w:rsid w:val="00097879"/>
    <w:rsid w:val="000A1FE5"/>
    <w:rsid w:val="000A3998"/>
    <w:rsid w:val="000A428D"/>
    <w:rsid w:val="000A4F28"/>
    <w:rsid w:val="000A672E"/>
    <w:rsid w:val="000A772B"/>
    <w:rsid w:val="000A7792"/>
    <w:rsid w:val="000A78F7"/>
    <w:rsid w:val="000B080C"/>
    <w:rsid w:val="000B093B"/>
    <w:rsid w:val="000B0B76"/>
    <w:rsid w:val="000B10C6"/>
    <w:rsid w:val="000B11F5"/>
    <w:rsid w:val="000B1544"/>
    <w:rsid w:val="000B1551"/>
    <w:rsid w:val="000B1778"/>
    <w:rsid w:val="000B1AB2"/>
    <w:rsid w:val="000B1FB4"/>
    <w:rsid w:val="000B2259"/>
    <w:rsid w:val="000B2418"/>
    <w:rsid w:val="000B3C63"/>
    <w:rsid w:val="000B4E63"/>
    <w:rsid w:val="000B4F54"/>
    <w:rsid w:val="000B5765"/>
    <w:rsid w:val="000B63D5"/>
    <w:rsid w:val="000B72B1"/>
    <w:rsid w:val="000B78DF"/>
    <w:rsid w:val="000C04F9"/>
    <w:rsid w:val="000C06A2"/>
    <w:rsid w:val="000C15CC"/>
    <w:rsid w:val="000C1980"/>
    <w:rsid w:val="000C1988"/>
    <w:rsid w:val="000C202F"/>
    <w:rsid w:val="000C2231"/>
    <w:rsid w:val="000C23BD"/>
    <w:rsid w:val="000C2A96"/>
    <w:rsid w:val="000C2C3E"/>
    <w:rsid w:val="000C2DE2"/>
    <w:rsid w:val="000C30E0"/>
    <w:rsid w:val="000C3218"/>
    <w:rsid w:val="000C3DEC"/>
    <w:rsid w:val="000C4A06"/>
    <w:rsid w:val="000C4C3F"/>
    <w:rsid w:val="000C5095"/>
    <w:rsid w:val="000C5336"/>
    <w:rsid w:val="000C5463"/>
    <w:rsid w:val="000C597D"/>
    <w:rsid w:val="000C6888"/>
    <w:rsid w:val="000C77BE"/>
    <w:rsid w:val="000C7CF0"/>
    <w:rsid w:val="000C7D50"/>
    <w:rsid w:val="000C7FCD"/>
    <w:rsid w:val="000D03FE"/>
    <w:rsid w:val="000D0516"/>
    <w:rsid w:val="000D061A"/>
    <w:rsid w:val="000D0A10"/>
    <w:rsid w:val="000D1FBD"/>
    <w:rsid w:val="000D2061"/>
    <w:rsid w:val="000D2417"/>
    <w:rsid w:val="000D2BB0"/>
    <w:rsid w:val="000D2D55"/>
    <w:rsid w:val="000D31B3"/>
    <w:rsid w:val="000D34BE"/>
    <w:rsid w:val="000D3769"/>
    <w:rsid w:val="000D3C1A"/>
    <w:rsid w:val="000D4D45"/>
    <w:rsid w:val="000D5080"/>
    <w:rsid w:val="000D57DA"/>
    <w:rsid w:val="000D595F"/>
    <w:rsid w:val="000D5CD1"/>
    <w:rsid w:val="000D7013"/>
    <w:rsid w:val="000D77BF"/>
    <w:rsid w:val="000D77CA"/>
    <w:rsid w:val="000D7EFE"/>
    <w:rsid w:val="000E046E"/>
    <w:rsid w:val="000E0C84"/>
    <w:rsid w:val="000E0D3B"/>
    <w:rsid w:val="000E0D59"/>
    <w:rsid w:val="000E1101"/>
    <w:rsid w:val="000E1AE6"/>
    <w:rsid w:val="000E2A4C"/>
    <w:rsid w:val="000E340C"/>
    <w:rsid w:val="000E342F"/>
    <w:rsid w:val="000E3882"/>
    <w:rsid w:val="000E3DC9"/>
    <w:rsid w:val="000E437C"/>
    <w:rsid w:val="000E43DD"/>
    <w:rsid w:val="000E57AC"/>
    <w:rsid w:val="000E5828"/>
    <w:rsid w:val="000E5F5D"/>
    <w:rsid w:val="000E60F3"/>
    <w:rsid w:val="000E6885"/>
    <w:rsid w:val="000E7C59"/>
    <w:rsid w:val="000E7E12"/>
    <w:rsid w:val="000F0174"/>
    <w:rsid w:val="000F030F"/>
    <w:rsid w:val="000F032C"/>
    <w:rsid w:val="000F061D"/>
    <w:rsid w:val="000F099C"/>
    <w:rsid w:val="000F0E32"/>
    <w:rsid w:val="000F15F7"/>
    <w:rsid w:val="000F17E9"/>
    <w:rsid w:val="000F1FF1"/>
    <w:rsid w:val="000F23FB"/>
    <w:rsid w:val="000F3089"/>
    <w:rsid w:val="000F4A8E"/>
    <w:rsid w:val="000F6436"/>
    <w:rsid w:val="000F715F"/>
    <w:rsid w:val="000F75D6"/>
    <w:rsid w:val="000F7B12"/>
    <w:rsid w:val="0010016B"/>
    <w:rsid w:val="0010060A"/>
    <w:rsid w:val="00100626"/>
    <w:rsid w:val="00101625"/>
    <w:rsid w:val="0010174F"/>
    <w:rsid w:val="00101779"/>
    <w:rsid w:val="001017B5"/>
    <w:rsid w:val="001017F3"/>
    <w:rsid w:val="001019D3"/>
    <w:rsid w:val="00101E75"/>
    <w:rsid w:val="00102442"/>
    <w:rsid w:val="001030CC"/>
    <w:rsid w:val="00103237"/>
    <w:rsid w:val="001032E6"/>
    <w:rsid w:val="00103ABA"/>
    <w:rsid w:val="001042FD"/>
    <w:rsid w:val="001044C4"/>
    <w:rsid w:val="001044C8"/>
    <w:rsid w:val="00104B6D"/>
    <w:rsid w:val="00104C76"/>
    <w:rsid w:val="001053BF"/>
    <w:rsid w:val="00105C78"/>
    <w:rsid w:val="00106064"/>
    <w:rsid w:val="00106718"/>
    <w:rsid w:val="00107A09"/>
    <w:rsid w:val="00110639"/>
    <w:rsid w:val="001106A8"/>
    <w:rsid w:val="00110BE0"/>
    <w:rsid w:val="00110EBA"/>
    <w:rsid w:val="00110FDD"/>
    <w:rsid w:val="0011186C"/>
    <w:rsid w:val="001123B8"/>
    <w:rsid w:val="0011347B"/>
    <w:rsid w:val="001137E9"/>
    <w:rsid w:val="001146FB"/>
    <w:rsid w:val="001149AA"/>
    <w:rsid w:val="00114CDB"/>
    <w:rsid w:val="00114FC9"/>
    <w:rsid w:val="00115088"/>
    <w:rsid w:val="00115209"/>
    <w:rsid w:val="0011638D"/>
    <w:rsid w:val="00116549"/>
    <w:rsid w:val="0011654E"/>
    <w:rsid w:val="00116C29"/>
    <w:rsid w:val="00116F84"/>
    <w:rsid w:val="00117006"/>
    <w:rsid w:val="0011726A"/>
    <w:rsid w:val="00117638"/>
    <w:rsid w:val="00117AEF"/>
    <w:rsid w:val="0012044C"/>
    <w:rsid w:val="00120805"/>
    <w:rsid w:val="001212AA"/>
    <w:rsid w:val="001216C3"/>
    <w:rsid w:val="00121BE8"/>
    <w:rsid w:val="001223E8"/>
    <w:rsid w:val="0012318D"/>
    <w:rsid w:val="00123D48"/>
    <w:rsid w:val="00123E7C"/>
    <w:rsid w:val="00124225"/>
    <w:rsid w:val="001246E3"/>
    <w:rsid w:val="00124791"/>
    <w:rsid w:val="00124AD8"/>
    <w:rsid w:val="00124E06"/>
    <w:rsid w:val="00124F81"/>
    <w:rsid w:val="00125157"/>
    <w:rsid w:val="001254E2"/>
    <w:rsid w:val="001259BB"/>
    <w:rsid w:val="00125B96"/>
    <w:rsid w:val="00125D59"/>
    <w:rsid w:val="0012693A"/>
    <w:rsid w:val="00126960"/>
    <w:rsid w:val="00126BCD"/>
    <w:rsid w:val="00126FF8"/>
    <w:rsid w:val="00127240"/>
    <w:rsid w:val="00127786"/>
    <w:rsid w:val="00127A8B"/>
    <w:rsid w:val="001301EB"/>
    <w:rsid w:val="00130353"/>
    <w:rsid w:val="00130435"/>
    <w:rsid w:val="001309B7"/>
    <w:rsid w:val="00130D67"/>
    <w:rsid w:val="00130E38"/>
    <w:rsid w:val="00131056"/>
    <w:rsid w:val="00131C2E"/>
    <w:rsid w:val="00131E99"/>
    <w:rsid w:val="00131ED9"/>
    <w:rsid w:val="001332E8"/>
    <w:rsid w:val="0013582B"/>
    <w:rsid w:val="0013603F"/>
    <w:rsid w:val="00136455"/>
    <w:rsid w:val="0013653E"/>
    <w:rsid w:val="0013695D"/>
    <w:rsid w:val="00137153"/>
    <w:rsid w:val="0013737B"/>
    <w:rsid w:val="001376F2"/>
    <w:rsid w:val="001377B4"/>
    <w:rsid w:val="00137B75"/>
    <w:rsid w:val="00140012"/>
    <w:rsid w:val="0014017A"/>
    <w:rsid w:val="001408D0"/>
    <w:rsid w:val="001409BE"/>
    <w:rsid w:val="00140CAE"/>
    <w:rsid w:val="00140E15"/>
    <w:rsid w:val="00141061"/>
    <w:rsid w:val="001411E9"/>
    <w:rsid w:val="0014141E"/>
    <w:rsid w:val="0014208F"/>
    <w:rsid w:val="0014214C"/>
    <w:rsid w:val="001424C7"/>
    <w:rsid w:val="00142EC8"/>
    <w:rsid w:val="00143178"/>
    <w:rsid w:val="0014332B"/>
    <w:rsid w:val="001437AF"/>
    <w:rsid w:val="001438D7"/>
    <w:rsid w:val="00144543"/>
    <w:rsid w:val="00144D02"/>
    <w:rsid w:val="00144EAE"/>
    <w:rsid w:val="00145525"/>
    <w:rsid w:val="00145F0E"/>
    <w:rsid w:val="00146654"/>
    <w:rsid w:val="001469BE"/>
    <w:rsid w:val="00146EF7"/>
    <w:rsid w:val="001478E4"/>
    <w:rsid w:val="00147DEF"/>
    <w:rsid w:val="00147ECB"/>
    <w:rsid w:val="001500B9"/>
    <w:rsid w:val="00150288"/>
    <w:rsid w:val="00150F1D"/>
    <w:rsid w:val="0015151F"/>
    <w:rsid w:val="00151E3F"/>
    <w:rsid w:val="00152147"/>
    <w:rsid w:val="00152172"/>
    <w:rsid w:val="001526E7"/>
    <w:rsid w:val="00152E5E"/>
    <w:rsid w:val="0015363C"/>
    <w:rsid w:val="001538CD"/>
    <w:rsid w:val="001538D2"/>
    <w:rsid w:val="00153B3E"/>
    <w:rsid w:val="00153C0F"/>
    <w:rsid w:val="00153C6A"/>
    <w:rsid w:val="00154283"/>
    <w:rsid w:val="001543B6"/>
    <w:rsid w:val="00156A4E"/>
    <w:rsid w:val="00157289"/>
    <w:rsid w:val="00157B19"/>
    <w:rsid w:val="00157ECB"/>
    <w:rsid w:val="001602DC"/>
    <w:rsid w:val="00161972"/>
    <w:rsid w:val="00162736"/>
    <w:rsid w:val="00162C6E"/>
    <w:rsid w:val="00163657"/>
    <w:rsid w:val="00163893"/>
    <w:rsid w:val="00163AB7"/>
    <w:rsid w:val="00163EEF"/>
    <w:rsid w:val="00165601"/>
    <w:rsid w:val="00165791"/>
    <w:rsid w:val="0016610D"/>
    <w:rsid w:val="00166AD2"/>
    <w:rsid w:val="00166FE3"/>
    <w:rsid w:val="0016744E"/>
    <w:rsid w:val="00167F46"/>
    <w:rsid w:val="001701F7"/>
    <w:rsid w:val="00170318"/>
    <w:rsid w:val="0017080F"/>
    <w:rsid w:val="00170B18"/>
    <w:rsid w:val="00170DE2"/>
    <w:rsid w:val="001712E0"/>
    <w:rsid w:val="00171596"/>
    <w:rsid w:val="00171772"/>
    <w:rsid w:val="00171C6F"/>
    <w:rsid w:val="0017248D"/>
    <w:rsid w:val="00173BDB"/>
    <w:rsid w:val="001741EB"/>
    <w:rsid w:val="001744C6"/>
    <w:rsid w:val="00174B20"/>
    <w:rsid w:val="0017591E"/>
    <w:rsid w:val="00175BDD"/>
    <w:rsid w:val="00175FD4"/>
    <w:rsid w:val="0017603A"/>
    <w:rsid w:val="0017644C"/>
    <w:rsid w:val="0017688F"/>
    <w:rsid w:val="00177E32"/>
    <w:rsid w:val="001800D1"/>
    <w:rsid w:val="0018090C"/>
    <w:rsid w:val="00181070"/>
    <w:rsid w:val="00181C3E"/>
    <w:rsid w:val="00182129"/>
    <w:rsid w:val="00183084"/>
    <w:rsid w:val="00184C67"/>
    <w:rsid w:val="0018508F"/>
    <w:rsid w:val="00185C62"/>
    <w:rsid w:val="00185C99"/>
    <w:rsid w:val="00185CB0"/>
    <w:rsid w:val="001867F6"/>
    <w:rsid w:val="00187951"/>
    <w:rsid w:val="001902C7"/>
    <w:rsid w:val="00190315"/>
    <w:rsid w:val="001904C0"/>
    <w:rsid w:val="00190822"/>
    <w:rsid w:val="00190CF4"/>
    <w:rsid w:val="00191BCD"/>
    <w:rsid w:val="00191C0E"/>
    <w:rsid w:val="00191FD9"/>
    <w:rsid w:val="0019209F"/>
    <w:rsid w:val="0019228C"/>
    <w:rsid w:val="001926AA"/>
    <w:rsid w:val="00193497"/>
    <w:rsid w:val="00193576"/>
    <w:rsid w:val="0019357A"/>
    <w:rsid w:val="001949B4"/>
    <w:rsid w:val="0019563A"/>
    <w:rsid w:val="001957DE"/>
    <w:rsid w:val="00195B6A"/>
    <w:rsid w:val="0019641D"/>
    <w:rsid w:val="00196706"/>
    <w:rsid w:val="00196F66"/>
    <w:rsid w:val="00197893"/>
    <w:rsid w:val="00197A19"/>
    <w:rsid w:val="00197F47"/>
    <w:rsid w:val="001A019F"/>
    <w:rsid w:val="001A07D9"/>
    <w:rsid w:val="001A0C1F"/>
    <w:rsid w:val="001A1006"/>
    <w:rsid w:val="001A1D1D"/>
    <w:rsid w:val="001A290C"/>
    <w:rsid w:val="001A2C40"/>
    <w:rsid w:val="001A2F90"/>
    <w:rsid w:val="001A33A5"/>
    <w:rsid w:val="001A3573"/>
    <w:rsid w:val="001A3D1F"/>
    <w:rsid w:val="001A40FC"/>
    <w:rsid w:val="001A5734"/>
    <w:rsid w:val="001A6651"/>
    <w:rsid w:val="001A6AE6"/>
    <w:rsid w:val="001A72F4"/>
    <w:rsid w:val="001A755F"/>
    <w:rsid w:val="001A7EFA"/>
    <w:rsid w:val="001B0806"/>
    <w:rsid w:val="001B0824"/>
    <w:rsid w:val="001B1396"/>
    <w:rsid w:val="001B1C36"/>
    <w:rsid w:val="001B1F70"/>
    <w:rsid w:val="001B2EC6"/>
    <w:rsid w:val="001B332F"/>
    <w:rsid w:val="001B338F"/>
    <w:rsid w:val="001B4836"/>
    <w:rsid w:val="001B4893"/>
    <w:rsid w:val="001B49F7"/>
    <w:rsid w:val="001B4AC2"/>
    <w:rsid w:val="001B4F34"/>
    <w:rsid w:val="001B4F82"/>
    <w:rsid w:val="001B5372"/>
    <w:rsid w:val="001B56BF"/>
    <w:rsid w:val="001B6936"/>
    <w:rsid w:val="001B6CDB"/>
    <w:rsid w:val="001B7AF5"/>
    <w:rsid w:val="001C06A0"/>
    <w:rsid w:val="001C0C60"/>
    <w:rsid w:val="001C0CA4"/>
    <w:rsid w:val="001C13B8"/>
    <w:rsid w:val="001C14D7"/>
    <w:rsid w:val="001C1DE0"/>
    <w:rsid w:val="001C2A35"/>
    <w:rsid w:val="001C334C"/>
    <w:rsid w:val="001C3658"/>
    <w:rsid w:val="001C3889"/>
    <w:rsid w:val="001C3A3C"/>
    <w:rsid w:val="001C4BCE"/>
    <w:rsid w:val="001C4DFD"/>
    <w:rsid w:val="001C513B"/>
    <w:rsid w:val="001C5386"/>
    <w:rsid w:val="001C5CD0"/>
    <w:rsid w:val="001C5ED8"/>
    <w:rsid w:val="001C6A59"/>
    <w:rsid w:val="001C6DFA"/>
    <w:rsid w:val="001C718D"/>
    <w:rsid w:val="001C7426"/>
    <w:rsid w:val="001D08C4"/>
    <w:rsid w:val="001D0A32"/>
    <w:rsid w:val="001D0FE8"/>
    <w:rsid w:val="001D1CAD"/>
    <w:rsid w:val="001D22CD"/>
    <w:rsid w:val="001D233B"/>
    <w:rsid w:val="001D2CE8"/>
    <w:rsid w:val="001D337A"/>
    <w:rsid w:val="001D39CC"/>
    <w:rsid w:val="001D3CD1"/>
    <w:rsid w:val="001D408A"/>
    <w:rsid w:val="001D4AEF"/>
    <w:rsid w:val="001D57C2"/>
    <w:rsid w:val="001D5A0B"/>
    <w:rsid w:val="001D5B6C"/>
    <w:rsid w:val="001D619A"/>
    <w:rsid w:val="001D68A6"/>
    <w:rsid w:val="001D6A93"/>
    <w:rsid w:val="001D6CA1"/>
    <w:rsid w:val="001D70F1"/>
    <w:rsid w:val="001D728B"/>
    <w:rsid w:val="001D78FC"/>
    <w:rsid w:val="001D7A67"/>
    <w:rsid w:val="001E07A0"/>
    <w:rsid w:val="001E07EC"/>
    <w:rsid w:val="001E0E4B"/>
    <w:rsid w:val="001E0EBD"/>
    <w:rsid w:val="001E17E4"/>
    <w:rsid w:val="001E1F5C"/>
    <w:rsid w:val="001E2218"/>
    <w:rsid w:val="001E24DD"/>
    <w:rsid w:val="001E25BB"/>
    <w:rsid w:val="001E295E"/>
    <w:rsid w:val="001E2EA0"/>
    <w:rsid w:val="001E3939"/>
    <w:rsid w:val="001E394B"/>
    <w:rsid w:val="001E3F02"/>
    <w:rsid w:val="001E4A8A"/>
    <w:rsid w:val="001E4DC1"/>
    <w:rsid w:val="001E54A6"/>
    <w:rsid w:val="001E58CE"/>
    <w:rsid w:val="001E6301"/>
    <w:rsid w:val="001E67B7"/>
    <w:rsid w:val="001E68EB"/>
    <w:rsid w:val="001E6C48"/>
    <w:rsid w:val="001E6E44"/>
    <w:rsid w:val="001E754E"/>
    <w:rsid w:val="001E7B69"/>
    <w:rsid w:val="001E7B88"/>
    <w:rsid w:val="001F0414"/>
    <w:rsid w:val="001F0B33"/>
    <w:rsid w:val="001F0DBC"/>
    <w:rsid w:val="001F16C3"/>
    <w:rsid w:val="001F17E2"/>
    <w:rsid w:val="001F1953"/>
    <w:rsid w:val="001F1C07"/>
    <w:rsid w:val="001F1C1A"/>
    <w:rsid w:val="001F1D49"/>
    <w:rsid w:val="001F1EDC"/>
    <w:rsid w:val="001F22A1"/>
    <w:rsid w:val="001F27BA"/>
    <w:rsid w:val="001F291C"/>
    <w:rsid w:val="001F2E2E"/>
    <w:rsid w:val="001F32D4"/>
    <w:rsid w:val="001F33CC"/>
    <w:rsid w:val="001F3C3C"/>
    <w:rsid w:val="001F3E16"/>
    <w:rsid w:val="001F3F79"/>
    <w:rsid w:val="001F4867"/>
    <w:rsid w:val="001F4C66"/>
    <w:rsid w:val="001F4CFB"/>
    <w:rsid w:val="001F52A6"/>
    <w:rsid w:val="001F5A49"/>
    <w:rsid w:val="001F6069"/>
    <w:rsid w:val="001F6792"/>
    <w:rsid w:val="001F69F0"/>
    <w:rsid w:val="001F6EB2"/>
    <w:rsid w:val="001F7B86"/>
    <w:rsid w:val="002000FB"/>
    <w:rsid w:val="00200150"/>
    <w:rsid w:val="00200AF9"/>
    <w:rsid w:val="00201E6E"/>
    <w:rsid w:val="00202662"/>
    <w:rsid w:val="00202AD3"/>
    <w:rsid w:val="0020314C"/>
    <w:rsid w:val="0020347F"/>
    <w:rsid w:val="0020429D"/>
    <w:rsid w:val="002042FE"/>
    <w:rsid w:val="00204387"/>
    <w:rsid w:val="002047C0"/>
    <w:rsid w:val="002048A3"/>
    <w:rsid w:val="002049CB"/>
    <w:rsid w:val="00205856"/>
    <w:rsid w:val="00205859"/>
    <w:rsid w:val="0020600C"/>
    <w:rsid w:val="002063AC"/>
    <w:rsid w:val="0020662D"/>
    <w:rsid w:val="00206712"/>
    <w:rsid w:val="00206845"/>
    <w:rsid w:val="00206D55"/>
    <w:rsid w:val="00207A39"/>
    <w:rsid w:val="00207A5A"/>
    <w:rsid w:val="00207BA4"/>
    <w:rsid w:val="00207E09"/>
    <w:rsid w:val="00212781"/>
    <w:rsid w:val="00212D0E"/>
    <w:rsid w:val="00212D3A"/>
    <w:rsid w:val="00212EA9"/>
    <w:rsid w:val="00213EED"/>
    <w:rsid w:val="002155B1"/>
    <w:rsid w:val="00215791"/>
    <w:rsid w:val="0021614B"/>
    <w:rsid w:val="00216674"/>
    <w:rsid w:val="002167C7"/>
    <w:rsid w:val="00216914"/>
    <w:rsid w:val="002178EB"/>
    <w:rsid w:val="00217A29"/>
    <w:rsid w:val="00217AF2"/>
    <w:rsid w:val="002209AD"/>
    <w:rsid w:val="00221793"/>
    <w:rsid w:val="00221EFB"/>
    <w:rsid w:val="00221FCB"/>
    <w:rsid w:val="0022204F"/>
    <w:rsid w:val="00222234"/>
    <w:rsid w:val="002224C4"/>
    <w:rsid w:val="002230EF"/>
    <w:rsid w:val="0022334D"/>
    <w:rsid w:val="002235BF"/>
    <w:rsid w:val="002235C0"/>
    <w:rsid w:val="002253E7"/>
    <w:rsid w:val="00225638"/>
    <w:rsid w:val="00225664"/>
    <w:rsid w:val="0022663D"/>
    <w:rsid w:val="00226745"/>
    <w:rsid w:val="00226F8D"/>
    <w:rsid w:val="002271BE"/>
    <w:rsid w:val="002301A8"/>
    <w:rsid w:val="00230753"/>
    <w:rsid w:val="00231173"/>
    <w:rsid w:val="00231760"/>
    <w:rsid w:val="00231FF7"/>
    <w:rsid w:val="0023227F"/>
    <w:rsid w:val="00232EC0"/>
    <w:rsid w:val="00233958"/>
    <w:rsid w:val="00233AEA"/>
    <w:rsid w:val="00233BC1"/>
    <w:rsid w:val="00233D96"/>
    <w:rsid w:val="00233E14"/>
    <w:rsid w:val="00233F24"/>
    <w:rsid w:val="002343C2"/>
    <w:rsid w:val="0023491F"/>
    <w:rsid w:val="00234FE7"/>
    <w:rsid w:val="002355EA"/>
    <w:rsid w:val="002359A4"/>
    <w:rsid w:val="002359F8"/>
    <w:rsid w:val="00235A6D"/>
    <w:rsid w:val="0023671E"/>
    <w:rsid w:val="00236805"/>
    <w:rsid w:val="00236B77"/>
    <w:rsid w:val="00236B8F"/>
    <w:rsid w:val="00236DCC"/>
    <w:rsid w:val="0023775D"/>
    <w:rsid w:val="002405F7"/>
    <w:rsid w:val="002423F5"/>
    <w:rsid w:val="002434DE"/>
    <w:rsid w:val="0024372E"/>
    <w:rsid w:val="0024386D"/>
    <w:rsid w:val="00243A67"/>
    <w:rsid w:val="00244314"/>
    <w:rsid w:val="0024443F"/>
    <w:rsid w:val="002445B7"/>
    <w:rsid w:val="00244F5D"/>
    <w:rsid w:val="00245249"/>
    <w:rsid w:val="002452CB"/>
    <w:rsid w:val="00245FC5"/>
    <w:rsid w:val="00246091"/>
    <w:rsid w:val="0024636D"/>
    <w:rsid w:val="002468DA"/>
    <w:rsid w:val="002471C6"/>
    <w:rsid w:val="00247A64"/>
    <w:rsid w:val="00250813"/>
    <w:rsid w:val="00250F03"/>
    <w:rsid w:val="0025123B"/>
    <w:rsid w:val="002516AC"/>
    <w:rsid w:val="002518C2"/>
    <w:rsid w:val="002519F3"/>
    <w:rsid w:val="0025220F"/>
    <w:rsid w:val="002523AF"/>
    <w:rsid w:val="002529E5"/>
    <w:rsid w:val="00252CED"/>
    <w:rsid w:val="002538CE"/>
    <w:rsid w:val="002543B4"/>
    <w:rsid w:val="002545D3"/>
    <w:rsid w:val="00254A08"/>
    <w:rsid w:val="00255171"/>
    <w:rsid w:val="002565C2"/>
    <w:rsid w:val="00256E7C"/>
    <w:rsid w:val="00257374"/>
    <w:rsid w:val="002573A8"/>
    <w:rsid w:val="00260095"/>
    <w:rsid w:val="00260C3D"/>
    <w:rsid w:val="002619DA"/>
    <w:rsid w:val="00262008"/>
    <w:rsid w:val="00262E6C"/>
    <w:rsid w:val="00262E6D"/>
    <w:rsid w:val="002631FB"/>
    <w:rsid w:val="00263434"/>
    <w:rsid w:val="00263743"/>
    <w:rsid w:val="00263B57"/>
    <w:rsid w:val="00264274"/>
    <w:rsid w:val="00265134"/>
    <w:rsid w:val="0026798F"/>
    <w:rsid w:val="00267B06"/>
    <w:rsid w:val="00267C27"/>
    <w:rsid w:val="002705F6"/>
    <w:rsid w:val="00270730"/>
    <w:rsid w:val="002708CA"/>
    <w:rsid w:val="00271113"/>
    <w:rsid w:val="002715FD"/>
    <w:rsid w:val="00271727"/>
    <w:rsid w:val="002722E5"/>
    <w:rsid w:val="00272BAA"/>
    <w:rsid w:val="00272CF8"/>
    <w:rsid w:val="00272EA4"/>
    <w:rsid w:val="00273B4E"/>
    <w:rsid w:val="00273C75"/>
    <w:rsid w:val="00273F91"/>
    <w:rsid w:val="00274171"/>
    <w:rsid w:val="00274417"/>
    <w:rsid w:val="00274728"/>
    <w:rsid w:val="00274B38"/>
    <w:rsid w:val="00275211"/>
    <w:rsid w:val="002754A6"/>
    <w:rsid w:val="00275DF8"/>
    <w:rsid w:val="00275FBC"/>
    <w:rsid w:val="00276E9D"/>
    <w:rsid w:val="00276FA8"/>
    <w:rsid w:val="00277448"/>
    <w:rsid w:val="00277F7A"/>
    <w:rsid w:val="00280A1F"/>
    <w:rsid w:val="0028145A"/>
    <w:rsid w:val="0028145F"/>
    <w:rsid w:val="002817B7"/>
    <w:rsid w:val="002819D5"/>
    <w:rsid w:val="00281C92"/>
    <w:rsid w:val="00282CA1"/>
    <w:rsid w:val="00282DD8"/>
    <w:rsid w:val="00283F03"/>
    <w:rsid w:val="002840DF"/>
    <w:rsid w:val="00284B53"/>
    <w:rsid w:val="00285016"/>
    <w:rsid w:val="00285559"/>
    <w:rsid w:val="00285A05"/>
    <w:rsid w:val="00286692"/>
    <w:rsid w:val="002867AB"/>
    <w:rsid w:val="00286D09"/>
    <w:rsid w:val="00286E2A"/>
    <w:rsid w:val="00287979"/>
    <w:rsid w:val="00287F84"/>
    <w:rsid w:val="00290841"/>
    <w:rsid w:val="00290FE5"/>
    <w:rsid w:val="0029131A"/>
    <w:rsid w:val="002914C9"/>
    <w:rsid w:val="002916CF"/>
    <w:rsid w:val="00291DBD"/>
    <w:rsid w:val="00292ADC"/>
    <w:rsid w:val="00292D19"/>
    <w:rsid w:val="002932D1"/>
    <w:rsid w:val="00293838"/>
    <w:rsid w:val="00294341"/>
    <w:rsid w:val="00294C20"/>
    <w:rsid w:val="00295395"/>
    <w:rsid w:val="00295459"/>
    <w:rsid w:val="00295E9F"/>
    <w:rsid w:val="00295F70"/>
    <w:rsid w:val="00296070"/>
    <w:rsid w:val="00296777"/>
    <w:rsid w:val="00297158"/>
    <w:rsid w:val="002973F8"/>
    <w:rsid w:val="002A0064"/>
    <w:rsid w:val="002A0293"/>
    <w:rsid w:val="002A03D7"/>
    <w:rsid w:val="002A0AB3"/>
    <w:rsid w:val="002A0C8F"/>
    <w:rsid w:val="002A15B0"/>
    <w:rsid w:val="002A168B"/>
    <w:rsid w:val="002A2787"/>
    <w:rsid w:val="002A2829"/>
    <w:rsid w:val="002A2B9F"/>
    <w:rsid w:val="002A34EE"/>
    <w:rsid w:val="002A38B3"/>
    <w:rsid w:val="002A4397"/>
    <w:rsid w:val="002A43E5"/>
    <w:rsid w:val="002A4698"/>
    <w:rsid w:val="002A49DE"/>
    <w:rsid w:val="002A5071"/>
    <w:rsid w:val="002A51DE"/>
    <w:rsid w:val="002A63A1"/>
    <w:rsid w:val="002A6449"/>
    <w:rsid w:val="002A6889"/>
    <w:rsid w:val="002A6D44"/>
    <w:rsid w:val="002A76D9"/>
    <w:rsid w:val="002A7EEF"/>
    <w:rsid w:val="002B0CDC"/>
    <w:rsid w:val="002B1D37"/>
    <w:rsid w:val="002B2239"/>
    <w:rsid w:val="002B22D4"/>
    <w:rsid w:val="002B24C1"/>
    <w:rsid w:val="002B28E2"/>
    <w:rsid w:val="002B2EF1"/>
    <w:rsid w:val="002B32BA"/>
    <w:rsid w:val="002B35E4"/>
    <w:rsid w:val="002B393D"/>
    <w:rsid w:val="002B4CE8"/>
    <w:rsid w:val="002B4E11"/>
    <w:rsid w:val="002B5215"/>
    <w:rsid w:val="002B56AA"/>
    <w:rsid w:val="002B5DA7"/>
    <w:rsid w:val="002B6124"/>
    <w:rsid w:val="002B63D1"/>
    <w:rsid w:val="002B6BC2"/>
    <w:rsid w:val="002B74C4"/>
    <w:rsid w:val="002B757F"/>
    <w:rsid w:val="002C041A"/>
    <w:rsid w:val="002C056A"/>
    <w:rsid w:val="002C061F"/>
    <w:rsid w:val="002C08F7"/>
    <w:rsid w:val="002C11A2"/>
    <w:rsid w:val="002C1393"/>
    <w:rsid w:val="002C1702"/>
    <w:rsid w:val="002C18AC"/>
    <w:rsid w:val="002C1F9C"/>
    <w:rsid w:val="002C3897"/>
    <w:rsid w:val="002C4287"/>
    <w:rsid w:val="002C4B5A"/>
    <w:rsid w:val="002C60F2"/>
    <w:rsid w:val="002C6848"/>
    <w:rsid w:val="002D08B5"/>
    <w:rsid w:val="002D0E34"/>
    <w:rsid w:val="002D11B4"/>
    <w:rsid w:val="002D1455"/>
    <w:rsid w:val="002D1BEC"/>
    <w:rsid w:val="002D1C89"/>
    <w:rsid w:val="002D1CD2"/>
    <w:rsid w:val="002D2E5D"/>
    <w:rsid w:val="002D3A17"/>
    <w:rsid w:val="002D46FD"/>
    <w:rsid w:val="002D4856"/>
    <w:rsid w:val="002D4954"/>
    <w:rsid w:val="002D56E4"/>
    <w:rsid w:val="002D5F9F"/>
    <w:rsid w:val="002D678C"/>
    <w:rsid w:val="002D68BB"/>
    <w:rsid w:val="002D690A"/>
    <w:rsid w:val="002D6CC9"/>
    <w:rsid w:val="002D6CD1"/>
    <w:rsid w:val="002D6D8C"/>
    <w:rsid w:val="002D6EEB"/>
    <w:rsid w:val="002E001A"/>
    <w:rsid w:val="002E0232"/>
    <w:rsid w:val="002E151F"/>
    <w:rsid w:val="002E1EBB"/>
    <w:rsid w:val="002E249D"/>
    <w:rsid w:val="002E3860"/>
    <w:rsid w:val="002E392A"/>
    <w:rsid w:val="002E44F0"/>
    <w:rsid w:val="002E46AE"/>
    <w:rsid w:val="002E52B8"/>
    <w:rsid w:val="002E5790"/>
    <w:rsid w:val="002E69A1"/>
    <w:rsid w:val="002E6D44"/>
    <w:rsid w:val="002E71C7"/>
    <w:rsid w:val="002E75D4"/>
    <w:rsid w:val="002E7660"/>
    <w:rsid w:val="002E7EBF"/>
    <w:rsid w:val="002E7F96"/>
    <w:rsid w:val="002E7FE4"/>
    <w:rsid w:val="002F0CCF"/>
    <w:rsid w:val="002F10EC"/>
    <w:rsid w:val="002F1496"/>
    <w:rsid w:val="002F154C"/>
    <w:rsid w:val="002F15C4"/>
    <w:rsid w:val="002F1C5D"/>
    <w:rsid w:val="002F1F54"/>
    <w:rsid w:val="002F2084"/>
    <w:rsid w:val="002F2A8B"/>
    <w:rsid w:val="002F2CFC"/>
    <w:rsid w:val="002F308E"/>
    <w:rsid w:val="002F38FD"/>
    <w:rsid w:val="002F3B2B"/>
    <w:rsid w:val="002F3CCC"/>
    <w:rsid w:val="002F3CED"/>
    <w:rsid w:val="002F3D88"/>
    <w:rsid w:val="002F4CF9"/>
    <w:rsid w:val="002F532B"/>
    <w:rsid w:val="002F56F3"/>
    <w:rsid w:val="002F5CC9"/>
    <w:rsid w:val="002F5D70"/>
    <w:rsid w:val="002F6344"/>
    <w:rsid w:val="002F66D9"/>
    <w:rsid w:val="002F6827"/>
    <w:rsid w:val="002F6DC6"/>
    <w:rsid w:val="002F777F"/>
    <w:rsid w:val="002F7E23"/>
    <w:rsid w:val="003013EC"/>
    <w:rsid w:val="00301453"/>
    <w:rsid w:val="003019B8"/>
    <w:rsid w:val="00302400"/>
    <w:rsid w:val="003036C0"/>
    <w:rsid w:val="00303AFB"/>
    <w:rsid w:val="00304A04"/>
    <w:rsid w:val="00304BE9"/>
    <w:rsid w:val="00304CA9"/>
    <w:rsid w:val="0030662A"/>
    <w:rsid w:val="00306A0C"/>
    <w:rsid w:val="00306BC5"/>
    <w:rsid w:val="00306CA9"/>
    <w:rsid w:val="00307849"/>
    <w:rsid w:val="00307FCE"/>
    <w:rsid w:val="0031043B"/>
    <w:rsid w:val="00310733"/>
    <w:rsid w:val="00311223"/>
    <w:rsid w:val="003117F7"/>
    <w:rsid w:val="00311B1C"/>
    <w:rsid w:val="00312994"/>
    <w:rsid w:val="00313040"/>
    <w:rsid w:val="003130F2"/>
    <w:rsid w:val="0031329B"/>
    <w:rsid w:val="00313367"/>
    <w:rsid w:val="003135E8"/>
    <w:rsid w:val="00313617"/>
    <w:rsid w:val="00313677"/>
    <w:rsid w:val="003137DC"/>
    <w:rsid w:val="00313859"/>
    <w:rsid w:val="00313B91"/>
    <w:rsid w:val="00313F9B"/>
    <w:rsid w:val="003146F8"/>
    <w:rsid w:val="00314C05"/>
    <w:rsid w:val="003158B7"/>
    <w:rsid w:val="00315A25"/>
    <w:rsid w:val="0031644C"/>
    <w:rsid w:val="0031731A"/>
    <w:rsid w:val="0031734A"/>
    <w:rsid w:val="00317C91"/>
    <w:rsid w:val="00321424"/>
    <w:rsid w:val="00321C4F"/>
    <w:rsid w:val="00322072"/>
    <w:rsid w:val="003229EB"/>
    <w:rsid w:val="003236D1"/>
    <w:rsid w:val="00323A13"/>
    <w:rsid w:val="00323EB5"/>
    <w:rsid w:val="00324090"/>
    <w:rsid w:val="00324B19"/>
    <w:rsid w:val="00324C7A"/>
    <w:rsid w:val="00324F0A"/>
    <w:rsid w:val="00325B6D"/>
    <w:rsid w:val="003266DF"/>
    <w:rsid w:val="0032685D"/>
    <w:rsid w:val="00326A4E"/>
    <w:rsid w:val="00326A70"/>
    <w:rsid w:val="0032740A"/>
    <w:rsid w:val="00327B54"/>
    <w:rsid w:val="00327CFE"/>
    <w:rsid w:val="00327E18"/>
    <w:rsid w:val="00327F12"/>
    <w:rsid w:val="00330363"/>
    <w:rsid w:val="003317C9"/>
    <w:rsid w:val="00333D1F"/>
    <w:rsid w:val="003340AC"/>
    <w:rsid w:val="003344D5"/>
    <w:rsid w:val="003360E7"/>
    <w:rsid w:val="0033721A"/>
    <w:rsid w:val="00340999"/>
    <w:rsid w:val="00341106"/>
    <w:rsid w:val="00341718"/>
    <w:rsid w:val="00341908"/>
    <w:rsid w:val="0034233D"/>
    <w:rsid w:val="003423B4"/>
    <w:rsid w:val="00342A00"/>
    <w:rsid w:val="00342AC9"/>
    <w:rsid w:val="00342B1F"/>
    <w:rsid w:val="00342DD6"/>
    <w:rsid w:val="00342E93"/>
    <w:rsid w:val="00342E9B"/>
    <w:rsid w:val="0034388D"/>
    <w:rsid w:val="00344142"/>
    <w:rsid w:val="0034438B"/>
    <w:rsid w:val="00344709"/>
    <w:rsid w:val="0034480F"/>
    <w:rsid w:val="003448FF"/>
    <w:rsid w:val="00345C5B"/>
    <w:rsid w:val="00345C86"/>
    <w:rsid w:val="00345C90"/>
    <w:rsid w:val="00346AC9"/>
    <w:rsid w:val="003475A0"/>
    <w:rsid w:val="0034772D"/>
    <w:rsid w:val="0035073A"/>
    <w:rsid w:val="00350C3D"/>
    <w:rsid w:val="00350E48"/>
    <w:rsid w:val="00350FFD"/>
    <w:rsid w:val="0035243D"/>
    <w:rsid w:val="003524CB"/>
    <w:rsid w:val="00352AC3"/>
    <w:rsid w:val="00353060"/>
    <w:rsid w:val="00353856"/>
    <w:rsid w:val="0035391B"/>
    <w:rsid w:val="00353E28"/>
    <w:rsid w:val="00353E68"/>
    <w:rsid w:val="00354013"/>
    <w:rsid w:val="00354834"/>
    <w:rsid w:val="003553F3"/>
    <w:rsid w:val="0035568C"/>
    <w:rsid w:val="00355A6B"/>
    <w:rsid w:val="003563E4"/>
    <w:rsid w:val="00356A53"/>
    <w:rsid w:val="003571E2"/>
    <w:rsid w:val="0035735C"/>
    <w:rsid w:val="00357456"/>
    <w:rsid w:val="003578E0"/>
    <w:rsid w:val="00357D8F"/>
    <w:rsid w:val="00357E4B"/>
    <w:rsid w:val="00360460"/>
    <w:rsid w:val="003607B1"/>
    <w:rsid w:val="00360DFA"/>
    <w:rsid w:val="00361385"/>
    <w:rsid w:val="003617B9"/>
    <w:rsid w:val="00361809"/>
    <w:rsid w:val="00361933"/>
    <w:rsid w:val="00361D69"/>
    <w:rsid w:val="003621C6"/>
    <w:rsid w:val="00362456"/>
    <w:rsid w:val="0036251A"/>
    <w:rsid w:val="00362893"/>
    <w:rsid w:val="003628EB"/>
    <w:rsid w:val="00363320"/>
    <w:rsid w:val="003636C4"/>
    <w:rsid w:val="003638EF"/>
    <w:rsid w:val="00363D03"/>
    <w:rsid w:val="00363DBF"/>
    <w:rsid w:val="00363F58"/>
    <w:rsid w:val="0036411E"/>
    <w:rsid w:val="00364EFC"/>
    <w:rsid w:val="00365809"/>
    <w:rsid w:val="00365BBA"/>
    <w:rsid w:val="00366176"/>
    <w:rsid w:val="0036653E"/>
    <w:rsid w:val="00366A89"/>
    <w:rsid w:val="003670B0"/>
    <w:rsid w:val="00367259"/>
    <w:rsid w:val="00367477"/>
    <w:rsid w:val="0036786D"/>
    <w:rsid w:val="00367A49"/>
    <w:rsid w:val="00367B95"/>
    <w:rsid w:val="0037018D"/>
    <w:rsid w:val="00370851"/>
    <w:rsid w:val="003713BF"/>
    <w:rsid w:val="00371CF5"/>
    <w:rsid w:val="00371D37"/>
    <w:rsid w:val="003725EF"/>
    <w:rsid w:val="00372BD7"/>
    <w:rsid w:val="00372E35"/>
    <w:rsid w:val="00373703"/>
    <w:rsid w:val="00373A41"/>
    <w:rsid w:val="003740B5"/>
    <w:rsid w:val="0037486C"/>
    <w:rsid w:val="0037495F"/>
    <w:rsid w:val="0037511B"/>
    <w:rsid w:val="00375A74"/>
    <w:rsid w:val="00375B46"/>
    <w:rsid w:val="003761F1"/>
    <w:rsid w:val="003762C4"/>
    <w:rsid w:val="003770F8"/>
    <w:rsid w:val="0037715F"/>
    <w:rsid w:val="00377D9E"/>
    <w:rsid w:val="00380121"/>
    <w:rsid w:val="00380816"/>
    <w:rsid w:val="0038081A"/>
    <w:rsid w:val="00380902"/>
    <w:rsid w:val="00380950"/>
    <w:rsid w:val="003811D1"/>
    <w:rsid w:val="00381466"/>
    <w:rsid w:val="003819BC"/>
    <w:rsid w:val="003819CF"/>
    <w:rsid w:val="00382F5C"/>
    <w:rsid w:val="00382F87"/>
    <w:rsid w:val="003837B6"/>
    <w:rsid w:val="00383E77"/>
    <w:rsid w:val="00383F09"/>
    <w:rsid w:val="00383FAE"/>
    <w:rsid w:val="003845F4"/>
    <w:rsid w:val="00385378"/>
    <w:rsid w:val="003857BD"/>
    <w:rsid w:val="00385DC3"/>
    <w:rsid w:val="00385F5B"/>
    <w:rsid w:val="003861CF"/>
    <w:rsid w:val="00386F8E"/>
    <w:rsid w:val="00387696"/>
    <w:rsid w:val="00387F24"/>
    <w:rsid w:val="003901EC"/>
    <w:rsid w:val="003925F6"/>
    <w:rsid w:val="00392686"/>
    <w:rsid w:val="00392738"/>
    <w:rsid w:val="00392BAC"/>
    <w:rsid w:val="00392DBB"/>
    <w:rsid w:val="00393334"/>
    <w:rsid w:val="0039405F"/>
    <w:rsid w:val="003950F6"/>
    <w:rsid w:val="003957D6"/>
    <w:rsid w:val="0039650B"/>
    <w:rsid w:val="00396928"/>
    <w:rsid w:val="00397479"/>
    <w:rsid w:val="00397A23"/>
    <w:rsid w:val="003A09E2"/>
    <w:rsid w:val="003A0D5A"/>
    <w:rsid w:val="003A14F5"/>
    <w:rsid w:val="003A18A7"/>
    <w:rsid w:val="003A2516"/>
    <w:rsid w:val="003A2B3D"/>
    <w:rsid w:val="003A2DDF"/>
    <w:rsid w:val="003A354E"/>
    <w:rsid w:val="003A3767"/>
    <w:rsid w:val="003A3794"/>
    <w:rsid w:val="003A4537"/>
    <w:rsid w:val="003A4F1B"/>
    <w:rsid w:val="003A4F68"/>
    <w:rsid w:val="003A539B"/>
    <w:rsid w:val="003A59F1"/>
    <w:rsid w:val="003A5B39"/>
    <w:rsid w:val="003A5CE8"/>
    <w:rsid w:val="003A7552"/>
    <w:rsid w:val="003A7A94"/>
    <w:rsid w:val="003A7D88"/>
    <w:rsid w:val="003B02BD"/>
    <w:rsid w:val="003B034A"/>
    <w:rsid w:val="003B0981"/>
    <w:rsid w:val="003B0B68"/>
    <w:rsid w:val="003B0EBD"/>
    <w:rsid w:val="003B0FF1"/>
    <w:rsid w:val="003B12C0"/>
    <w:rsid w:val="003B1861"/>
    <w:rsid w:val="003B18F3"/>
    <w:rsid w:val="003B1D5F"/>
    <w:rsid w:val="003B21C9"/>
    <w:rsid w:val="003B264B"/>
    <w:rsid w:val="003B2698"/>
    <w:rsid w:val="003B294E"/>
    <w:rsid w:val="003B2BFE"/>
    <w:rsid w:val="003B4055"/>
    <w:rsid w:val="003B4671"/>
    <w:rsid w:val="003B5492"/>
    <w:rsid w:val="003B56B9"/>
    <w:rsid w:val="003B5CBE"/>
    <w:rsid w:val="003B636E"/>
    <w:rsid w:val="003B64BF"/>
    <w:rsid w:val="003B78E1"/>
    <w:rsid w:val="003C0B58"/>
    <w:rsid w:val="003C1179"/>
    <w:rsid w:val="003C1AC0"/>
    <w:rsid w:val="003C1B6D"/>
    <w:rsid w:val="003C1C1C"/>
    <w:rsid w:val="003C21C4"/>
    <w:rsid w:val="003C2A13"/>
    <w:rsid w:val="003C3145"/>
    <w:rsid w:val="003C3583"/>
    <w:rsid w:val="003C36B4"/>
    <w:rsid w:val="003C44D2"/>
    <w:rsid w:val="003C4832"/>
    <w:rsid w:val="003C5024"/>
    <w:rsid w:val="003C5091"/>
    <w:rsid w:val="003C5E95"/>
    <w:rsid w:val="003C67C6"/>
    <w:rsid w:val="003C7378"/>
    <w:rsid w:val="003C73A3"/>
    <w:rsid w:val="003C757A"/>
    <w:rsid w:val="003C7703"/>
    <w:rsid w:val="003C7CDD"/>
    <w:rsid w:val="003D05BF"/>
    <w:rsid w:val="003D0A15"/>
    <w:rsid w:val="003D15D9"/>
    <w:rsid w:val="003D1F05"/>
    <w:rsid w:val="003D26EC"/>
    <w:rsid w:val="003D29A2"/>
    <w:rsid w:val="003D2A14"/>
    <w:rsid w:val="003D33E6"/>
    <w:rsid w:val="003D3708"/>
    <w:rsid w:val="003D372A"/>
    <w:rsid w:val="003D3D4C"/>
    <w:rsid w:val="003D3F74"/>
    <w:rsid w:val="003D3F82"/>
    <w:rsid w:val="003D453C"/>
    <w:rsid w:val="003D4B0C"/>
    <w:rsid w:val="003D4BD9"/>
    <w:rsid w:val="003D5F67"/>
    <w:rsid w:val="003D6497"/>
    <w:rsid w:val="003D651B"/>
    <w:rsid w:val="003D700F"/>
    <w:rsid w:val="003D70BF"/>
    <w:rsid w:val="003D7EAA"/>
    <w:rsid w:val="003E0037"/>
    <w:rsid w:val="003E056F"/>
    <w:rsid w:val="003E0CBA"/>
    <w:rsid w:val="003E0EFD"/>
    <w:rsid w:val="003E1933"/>
    <w:rsid w:val="003E2684"/>
    <w:rsid w:val="003E393B"/>
    <w:rsid w:val="003E4738"/>
    <w:rsid w:val="003E483C"/>
    <w:rsid w:val="003E51E4"/>
    <w:rsid w:val="003E56B6"/>
    <w:rsid w:val="003E575A"/>
    <w:rsid w:val="003E6165"/>
    <w:rsid w:val="003E67E7"/>
    <w:rsid w:val="003E6BAC"/>
    <w:rsid w:val="003E7116"/>
    <w:rsid w:val="003F0098"/>
    <w:rsid w:val="003F04CE"/>
    <w:rsid w:val="003F07BE"/>
    <w:rsid w:val="003F0ABA"/>
    <w:rsid w:val="003F0CF8"/>
    <w:rsid w:val="003F118C"/>
    <w:rsid w:val="003F1DEB"/>
    <w:rsid w:val="003F2A59"/>
    <w:rsid w:val="003F2A5B"/>
    <w:rsid w:val="003F31D3"/>
    <w:rsid w:val="003F4EA5"/>
    <w:rsid w:val="003F54D6"/>
    <w:rsid w:val="003F5505"/>
    <w:rsid w:val="003F6626"/>
    <w:rsid w:val="003F6C99"/>
    <w:rsid w:val="003F70E0"/>
    <w:rsid w:val="003F77F7"/>
    <w:rsid w:val="003F787D"/>
    <w:rsid w:val="003F79D8"/>
    <w:rsid w:val="004002D6"/>
    <w:rsid w:val="0040140C"/>
    <w:rsid w:val="0040155B"/>
    <w:rsid w:val="00401F34"/>
    <w:rsid w:val="00402186"/>
    <w:rsid w:val="004025AB"/>
    <w:rsid w:val="00403807"/>
    <w:rsid w:val="00403E52"/>
    <w:rsid w:val="004049FC"/>
    <w:rsid w:val="00404F6D"/>
    <w:rsid w:val="00404F88"/>
    <w:rsid w:val="004050C0"/>
    <w:rsid w:val="004057B7"/>
    <w:rsid w:val="00406438"/>
    <w:rsid w:val="00407190"/>
    <w:rsid w:val="004073AF"/>
    <w:rsid w:val="00407DDB"/>
    <w:rsid w:val="00407E08"/>
    <w:rsid w:val="00407FF9"/>
    <w:rsid w:val="004104DC"/>
    <w:rsid w:val="00410EC9"/>
    <w:rsid w:val="00411D45"/>
    <w:rsid w:val="00413C2C"/>
    <w:rsid w:val="00413DD6"/>
    <w:rsid w:val="0041476A"/>
    <w:rsid w:val="00414FD3"/>
    <w:rsid w:val="004159DA"/>
    <w:rsid w:val="00415CB4"/>
    <w:rsid w:val="00415DAB"/>
    <w:rsid w:val="004173F8"/>
    <w:rsid w:val="0041743A"/>
    <w:rsid w:val="00417A07"/>
    <w:rsid w:val="00420231"/>
    <w:rsid w:val="00421784"/>
    <w:rsid w:val="00421AE6"/>
    <w:rsid w:val="00422A92"/>
    <w:rsid w:val="00422E01"/>
    <w:rsid w:val="004236B8"/>
    <w:rsid w:val="00423FBB"/>
    <w:rsid w:val="0042421E"/>
    <w:rsid w:val="00424358"/>
    <w:rsid w:val="00425559"/>
    <w:rsid w:val="00425BA2"/>
    <w:rsid w:val="00425CBA"/>
    <w:rsid w:val="00425D1A"/>
    <w:rsid w:val="004260BF"/>
    <w:rsid w:val="0042648F"/>
    <w:rsid w:val="0042650C"/>
    <w:rsid w:val="00426BFE"/>
    <w:rsid w:val="00426DD2"/>
    <w:rsid w:val="00426F3C"/>
    <w:rsid w:val="00427206"/>
    <w:rsid w:val="00427319"/>
    <w:rsid w:val="00427E09"/>
    <w:rsid w:val="004309BA"/>
    <w:rsid w:val="004309F4"/>
    <w:rsid w:val="00430C04"/>
    <w:rsid w:val="00430E78"/>
    <w:rsid w:val="00430E9E"/>
    <w:rsid w:val="0043107E"/>
    <w:rsid w:val="0043132B"/>
    <w:rsid w:val="0043134F"/>
    <w:rsid w:val="004319C5"/>
    <w:rsid w:val="00431B00"/>
    <w:rsid w:val="004326C0"/>
    <w:rsid w:val="00432BFE"/>
    <w:rsid w:val="004331FA"/>
    <w:rsid w:val="00433464"/>
    <w:rsid w:val="00433493"/>
    <w:rsid w:val="00433859"/>
    <w:rsid w:val="00434322"/>
    <w:rsid w:val="00434619"/>
    <w:rsid w:val="0043480A"/>
    <w:rsid w:val="0043546F"/>
    <w:rsid w:val="004355FC"/>
    <w:rsid w:val="00436CDE"/>
    <w:rsid w:val="00436F62"/>
    <w:rsid w:val="0043730D"/>
    <w:rsid w:val="004401C2"/>
    <w:rsid w:val="004402E9"/>
    <w:rsid w:val="0044162A"/>
    <w:rsid w:val="00441D76"/>
    <w:rsid w:val="00441EEF"/>
    <w:rsid w:val="00443050"/>
    <w:rsid w:val="00443927"/>
    <w:rsid w:val="004442A4"/>
    <w:rsid w:val="00444891"/>
    <w:rsid w:val="00445038"/>
    <w:rsid w:val="0044542A"/>
    <w:rsid w:val="00445483"/>
    <w:rsid w:val="004455AF"/>
    <w:rsid w:val="00445DCD"/>
    <w:rsid w:val="00446290"/>
    <w:rsid w:val="00446CB7"/>
    <w:rsid w:val="004507CC"/>
    <w:rsid w:val="004514AA"/>
    <w:rsid w:val="00451716"/>
    <w:rsid w:val="004520A3"/>
    <w:rsid w:val="0045241A"/>
    <w:rsid w:val="00452865"/>
    <w:rsid w:val="00453203"/>
    <w:rsid w:val="0045358D"/>
    <w:rsid w:val="004543F2"/>
    <w:rsid w:val="004554A3"/>
    <w:rsid w:val="00455D13"/>
    <w:rsid w:val="00455D82"/>
    <w:rsid w:val="00455EA2"/>
    <w:rsid w:val="004560B1"/>
    <w:rsid w:val="0045740D"/>
    <w:rsid w:val="004611AA"/>
    <w:rsid w:val="00461B37"/>
    <w:rsid w:val="00462288"/>
    <w:rsid w:val="00463315"/>
    <w:rsid w:val="00463382"/>
    <w:rsid w:val="004633F8"/>
    <w:rsid w:val="00463529"/>
    <w:rsid w:val="00463C7C"/>
    <w:rsid w:val="00464491"/>
    <w:rsid w:val="00464CF0"/>
    <w:rsid w:val="00464EE9"/>
    <w:rsid w:val="004655EE"/>
    <w:rsid w:val="00466143"/>
    <w:rsid w:val="00466243"/>
    <w:rsid w:val="00466879"/>
    <w:rsid w:val="00466BF9"/>
    <w:rsid w:val="00466C85"/>
    <w:rsid w:val="00466CDA"/>
    <w:rsid w:val="00466D1C"/>
    <w:rsid w:val="00467076"/>
    <w:rsid w:val="004672D4"/>
    <w:rsid w:val="004714C7"/>
    <w:rsid w:val="00471752"/>
    <w:rsid w:val="00471DAD"/>
    <w:rsid w:val="004725C2"/>
    <w:rsid w:val="00472B28"/>
    <w:rsid w:val="00472DE6"/>
    <w:rsid w:val="00473142"/>
    <w:rsid w:val="00473556"/>
    <w:rsid w:val="004737B2"/>
    <w:rsid w:val="0047389B"/>
    <w:rsid w:val="00473DEB"/>
    <w:rsid w:val="00473F33"/>
    <w:rsid w:val="004744D4"/>
    <w:rsid w:val="004747B0"/>
    <w:rsid w:val="00475A3E"/>
    <w:rsid w:val="00475AB1"/>
    <w:rsid w:val="0047618D"/>
    <w:rsid w:val="004769AF"/>
    <w:rsid w:val="004771DF"/>
    <w:rsid w:val="00477247"/>
    <w:rsid w:val="0047792E"/>
    <w:rsid w:val="00480447"/>
    <w:rsid w:val="0048061E"/>
    <w:rsid w:val="00480B86"/>
    <w:rsid w:val="00481362"/>
    <w:rsid w:val="0048147B"/>
    <w:rsid w:val="00481F42"/>
    <w:rsid w:val="00482534"/>
    <w:rsid w:val="00482E65"/>
    <w:rsid w:val="00482F3A"/>
    <w:rsid w:val="0048368C"/>
    <w:rsid w:val="00484D18"/>
    <w:rsid w:val="00485C1C"/>
    <w:rsid w:val="00485C49"/>
    <w:rsid w:val="00485D1C"/>
    <w:rsid w:val="00486E12"/>
    <w:rsid w:val="00486F29"/>
    <w:rsid w:val="00487717"/>
    <w:rsid w:val="004909AF"/>
    <w:rsid w:val="00490D4D"/>
    <w:rsid w:val="00491D7F"/>
    <w:rsid w:val="00491F80"/>
    <w:rsid w:val="00492D4F"/>
    <w:rsid w:val="00492D82"/>
    <w:rsid w:val="00493939"/>
    <w:rsid w:val="0049411F"/>
    <w:rsid w:val="004958A4"/>
    <w:rsid w:val="0049626B"/>
    <w:rsid w:val="00497C18"/>
    <w:rsid w:val="00497D6E"/>
    <w:rsid w:val="00497E9A"/>
    <w:rsid w:val="00497F0F"/>
    <w:rsid w:val="004A075B"/>
    <w:rsid w:val="004A0BB6"/>
    <w:rsid w:val="004A1040"/>
    <w:rsid w:val="004A1F56"/>
    <w:rsid w:val="004A22D6"/>
    <w:rsid w:val="004A2313"/>
    <w:rsid w:val="004A29D2"/>
    <w:rsid w:val="004A331B"/>
    <w:rsid w:val="004A3D2E"/>
    <w:rsid w:val="004A41B7"/>
    <w:rsid w:val="004A476A"/>
    <w:rsid w:val="004A5086"/>
    <w:rsid w:val="004A545A"/>
    <w:rsid w:val="004A586D"/>
    <w:rsid w:val="004A68C3"/>
    <w:rsid w:val="004A690A"/>
    <w:rsid w:val="004A7CD0"/>
    <w:rsid w:val="004B0F92"/>
    <w:rsid w:val="004B16E5"/>
    <w:rsid w:val="004B1873"/>
    <w:rsid w:val="004B241B"/>
    <w:rsid w:val="004B25FB"/>
    <w:rsid w:val="004B34BE"/>
    <w:rsid w:val="004B3FEB"/>
    <w:rsid w:val="004B4020"/>
    <w:rsid w:val="004B428F"/>
    <w:rsid w:val="004B42F9"/>
    <w:rsid w:val="004B4515"/>
    <w:rsid w:val="004B477C"/>
    <w:rsid w:val="004B4CC3"/>
    <w:rsid w:val="004B62B9"/>
    <w:rsid w:val="004B6328"/>
    <w:rsid w:val="004B6CDE"/>
    <w:rsid w:val="004B7182"/>
    <w:rsid w:val="004B737B"/>
    <w:rsid w:val="004B79A3"/>
    <w:rsid w:val="004B7BEB"/>
    <w:rsid w:val="004C08A6"/>
    <w:rsid w:val="004C0D9C"/>
    <w:rsid w:val="004C2279"/>
    <w:rsid w:val="004C23C4"/>
    <w:rsid w:val="004C2A3B"/>
    <w:rsid w:val="004C3E1B"/>
    <w:rsid w:val="004C4667"/>
    <w:rsid w:val="004C4959"/>
    <w:rsid w:val="004C4D39"/>
    <w:rsid w:val="004C5A3B"/>
    <w:rsid w:val="004C5EDD"/>
    <w:rsid w:val="004C68AB"/>
    <w:rsid w:val="004C6AA7"/>
    <w:rsid w:val="004C6AFE"/>
    <w:rsid w:val="004C79ED"/>
    <w:rsid w:val="004C7D42"/>
    <w:rsid w:val="004C7DF0"/>
    <w:rsid w:val="004D1573"/>
    <w:rsid w:val="004D1DF0"/>
    <w:rsid w:val="004D1E99"/>
    <w:rsid w:val="004D2266"/>
    <w:rsid w:val="004D27EE"/>
    <w:rsid w:val="004D2946"/>
    <w:rsid w:val="004D2976"/>
    <w:rsid w:val="004D2A35"/>
    <w:rsid w:val="004D336E"/>
    <w:rsid w:val="004D363C"/>
    <w:rsid w:val="004D36D1"/>
    <w:rsid w:val="004D46CC"/>
    <w:rsid w:val="004D617C"/>
    <w:rsid w:val="004D6450"/>
    <w:rsid w:val="004D6845"/>
    <w:rsid w:val="004D6ABE"/>
    <w:rsid w:val="004D6C0C"/>
    <w:rsid w:val="004E0186"/>
    <w:rsid w:val="004E2A24"/>
    <w:rsid w:val="004E3180"/>
    <w:rsid w:val="004E323C"/>
    <w:rsid w:val="004E38A6"/>
    <w:rsid w:val="004E4680"/>
    <w:rsid w:val="004E469F"/>
    <w:rsid w:val="004E4D59"/>
    <w:rsid w:val="004E5D59"/>
    <w:rsid w:val="004E665B"/>
    <w:rsid w:val="004E68D6"/>
    <w:rsid w:val="004E7253"/>
    <w:rsid w:val="004E741A"/>
    <w:rsid w:val="004E7B07"/>
    <w:rsid w:val="004F0312"/>
    <w:rsid w:val="004F0E1C"/>
    <w:rsid w:val="004F1E17"/>
    <w:rsid w:val="004F25C9"/>
    <w:rsid w:val="004F48FE"/>
    <w:rsid w:val="004F4A29"/>
    <w:rsid w:val="004F6EBB"/>
    <w:rsid w:val="004F7AFD"/>
    <w:rsid w:val="004F7BD0"/>
    <w:rsid w:val="00500505"/>
    <w:rsid w:val="00500742"/>
    <w:rsid w:val="00500EFB"/>
    <w:rsid w:val="005010A2"/>
    <w:rsid w:val="005010F2"/>
    <w:rsid w:val="005013FF"/>
    <w:rsid w:val="0050162E"/>
    <w:rsid w:val="00501849"/>
    <w:rsid w:val="00501A7B"/>
    <w:rsid w:val="00501E8B"/>
    <w:rsid w:val="005020D7"/>
    <w:rsid w:val="0050270F"/>
    <w:rsid w:val="005029BE"/>
    <w:rsid w:val="00502FA4"/>
    <w:rsid w:val="00503CBC"/>
    <w:rsid w:val="005046AF"/>
    <w:rsid w:val="0050480B"/>
    <w:rsid w:val="00504A04"/>
    <w:rsid w:val="00504A84"/>
    <w:rsid w:val="00504FC9"/>
    <w:rsid w:val="0050505E"/>
    <w:rsid w:val="00505314"/>
    <w:rsid w:val="005056CD"/>
    <w:rsid w:val="005057B4"/>
    <w:rsid w:val="00505C7A"/>
    <w:rsid w:val="005061C6"/>
    <w:rsid w:val="00506865"/>
    <w:rsid w:val="0050767E"/>
    <w:rsid w:val="00511991"/>
    <w:rsid w:val="00512B2F"/>
    <w:rsid w:val="00512CBF"/>
    <w:rsid w:val="00512D86"/>
    <w:rsid w:val="00512EF9"/>
    <w:rsid w:val="00513822"/>
    <w:rsid w:val="005138A3"/>
    <w:rsid w:val="0051394F"/>
    <w:rsid w:val="00513BA2"/>
    <w:rsid w:val="005149E6"/>
    <w:rsid w:val="00514AD7"/>
    <w:rsid w:val="00514C0F"/>
    <w:rsid w:val="00514C76"/>
    <w:rsid w:val="0051536E"/>
    <w:rsid w:val="0051618D"/>
    <w:rsid w:val="00516875"/>
    <w:rsid w:val="00516A16"/>
    <w:rsid w:val="00516FE6"/>
    <w:rsid w:val="0051751B"/>
    <w:rsid w:val="00517D02"/>
    <w:rsid w:val="00520AB1"/>
    <w:rsid w:val="005210A7"/>
    <w:rsid w:val="005216E8"/>
    <w:rsid w:val="00521C97"/>
    <w:rsid w:val="00521CBF"/>
    <w:rsid w:val="00522072"/>
    <w:rsid w:val="0052259E"/>
    <w:rsid w:val="005225E9"/>
    <w:rsid w:val="005226C9"/>
    <w:rsid w:val="005228B4"/>
    <w:rsid w:val="00522B82"/>
    <w:rsid w:val="00522CC5"/>
    <w:rsid w:val="00523489"/>
    <w:rsid w:val="00523970"/>
    <w:rsid w:val="00524487"/>
    <w:rsid w:val="00524EBF"/>
    <w:rsid w:val="005251F9"/>
    <w:rsid w:val="005253DF"/>
    <w:rsid w:val="00525842"/>
    <w:rsid w:val="00525A6C"/>
    <w:rsid w:val="00526297"/>
    <w:rsid w:val="0052670F"/>
    <w:rsid w:val="00526E92"/>
    <w:rsid w:val="0052712F"/>
    <w:rsid w:val="0052717A"/>
    <w:rsid w:val="0052737F"/>
    <w:rsid w:val="00530215"/>
    <w:rsid w:val="0053074B"/>
    <w:rsid w:val="00530856"/>
    <w:rsid w:val="00530860"/>
    <w:rsid w:val="005308AE"/>
    <w:rsid w:val="00530BC9"/>
    <w:rsid w:val="00530CC3"/>
    <w:rsid w:val="00531405"/>
    <w:rsid w:val="0053141D"/>
    <w:rsid w:val="005317F3"/>
    <w:rsid w:val="00531B7E"/>
    <w:rsid w:val="00532AAD"/>
    <w:rsid w:val="005340FD"/>
    <w:rsid w:val="00534AC5"/>
    <w:rsid w:val="00535035"/>
    <w:rsid w:val="00535183"/>
    <w:rsid w:val="005354B3"/>
    <w:rsid w:val="00536458"/>
    <w:rsid w:val="00536BFF"/>
    <w:rsid w:val="0053716D"/>
    <w:rsid w:val="005378DA"/>
    <w:rsid w:val="00537AA4"/>
    <w:rsid w:val="00537F4B"/>
    <w:rsid w:val="005406F7"/>
    <w:rsid w:val="00540E7A"/>
    <w:rsid w:val="00540FB5"/>
    <w:rsid w:val="0054129E"/>
    <w:rsid w:val="00541322"/>
    <w:rsid w:val="005415C5"/>
    <w:rsid w:val="00541D8B"/>
    <w:rsid w:val="0054254B"/>
    <w:rsid w:val="005430D4"/>
    <w:rsid w:val="005432B6"/>
    <w:rsid w:val="00544098"/>
    <w:rsid w:val="00544112"/>
    <w:rsid w:val="0054427D"/>
    <w:rsid w:val="00544D56"/>
    <w:rsid w:val="0054523F"/>
    <w:rsid w:val="00545E3A"/>
    <w:rsid w:val="00545E3F"/>
    <w:rsid w:val="0054617F"/>
    <w:rsid w:val="0054632C"/>
    <w:rsid w:val="005476C3"/>
    <w:rsid w:val="005478C5"/>
    <w:rsid w:val="0055018B"/>
    <w:rsid w:val="005513F2"/>
    <w:rsid w:val="00551575"/>
    <w:rsid w:val="00551F92"/>
    <w:rsid w:val="00552FBA"/>
    <w:rsid w:val="00553392"/>
    <w:rsid w:val="00553926"/>
    <w:rsid w:val="00553C10"/>
    <w:rsid w:val="00553CA1"/>
    <w:rsid w:val="0055407A"/>
    <w:rsid w:val="00556316"/>
    <w:rsid w:val="00556F27"/>
    <w:rsid w:val="00557064"/>
    <w:rsid w:val="00557156"/>
    <w:rsid w:val="00557422"/>
    <w:rsid w:val="00557563"/>
    <w:rsid w:val="005577AE"/>
    <w:rsid w:val="00557E7B"/>
    <w:rsid w:val="005607A2"/>
    <w:rsid w:val="005609AD"/>
    <w:rsid w:val="00560B04"/>
    <w:rsid w:val="005619D9"/>
    <w:rsid w:val="00562231"/>
    <w:rsid w:val="005623B4"/>
    <w:rsid w:val="00562747"/>
    <w:rsid w:val="00562A52"/>
    <w:rsid w:val="00562CB2"/>
    <w:rsid w:val="00562D19"/>
    <w:rsid w:val="005639B3"/>
    <w:rsid w:val="00563B09"/>
    <w:rsid w:val="00563C10"/>
    <w:rsid w:val="00563D1F"/>
    <w:rsid w:val="00563D42"/>
    <w:rsid w:val="00564017"/>
    <w:rsid w:val="0056490F"/>
    <w:rsid w:val="00564F5A"/>
    <w:rsid w:val="0056570D"/>
    <w:rsid w:val="00566159"/>
    <w:rsid w:val="005664AB"/>
    <w:rsid w:val="005666BD"/>
    <w:rsid w:val="00566815"/>
    <w:rsid w:val="00567398"/>
    <w:rsid w:val="0057063D"/>
    <w:rsid w:val="00572522"/>
    <w:rsid w:val="0057300B"/>
    <w:rsid w:val="00573617"/>
    <w:rsid w:val="00573EDB"/>
    <w:rsid w:val="00574A8A"/>
    <w:rsid w:val="005753F9"/>
    <w:rsid w:val="005758A5"/>
    <w:rsid w:val="00575ABC"/>
    <w:rsid w:val="00575D96"/>
    <w:rsid w:val="005769A6"/>
    <w:rsid w:val="0057721B"/>
    <w:rsid w:val="005773CF"/>
    <w:rsid w:val="00580A18"/>
    <w:rsid w:val="00580B0E"/>
    <w:rsid w:val="0058131F"/>
    <w:rsid w:val="00581400"/>
    <w:rsid w:val="005818C8"/>
    <w:rsid w:val="00581C3D"/>
    <w:rsid w:val="00581F33"/>
    <w:rsid w:val="0058259D"/>
    <w:rsid w:val="00582B49"/>
    <w:rsid w:val="00583D85"/>
    <w:rsid w:val="00583EA9"/>
    <w:rsid w:val="00583FEE"/>
    <w:rsid w:val="00584859"/>
    <w:rsid w:val="005848ED"/>
    <w:rsid w:val="00584D14"/>
    <w:rsid w:val="0058511D"/>
    <w:rsid w:val="0058514E"/>
    <w:rsid w:val="005851E4"/>
    <w:rsid w:val="00585642"/>
    <w:rsid w:val="005866D1"/>
    <w:rsid w:val="00586A1B"/>
    <w:rsid w:val="00586BD5"/>
    <w:rsid w:val="00586D24"/>
    <w:rsid w:val="00586DD9"/>
    <w:rsid w:val="00587D1D"/>
    <w:rsid w:val="00590564"/>
    <w:rsid w:val="005906A0"/>
    <w:rsid w:val="00590BF1"/>
    <w:rsid w:val="00590D8C"/>
    <w:rsid w:val="0059123A"/>
    <w:rsid w:val="0059133B"/>
    <w:rsid w:val="005915A4"/>
    <w:rsid w:val="00592912"/>
    <w:rsid w:val="00593081"/>
    <w:rsid w:val="00593667"/>
    <w:rsid w:val="00593FB7"/>
    <w:rsid w:val="00594273"/>
    <w:rsid w:val="00594354"/>
    <w:rsid w:val="00594B7B"/>
    <w:rsid w:val="005951A8"/>
    <w:rsid w:val="005967CE"/>
    <w:rsid w:val="005967E6"/>
    <w:rsid w:val="00596C5A"/>
    <w:rsid w:val="005A0ADC"/>
    <w:rsid w:val="005A13F9"/>
    <w:rsid w:val="005A19FF"/>
    <w:rsid w:val="005A1DCA"/>
    <w:rsid w:val="005A25E0"/>
    <w:rsid w:val="005A2BC1"/>
    <w:rsid w:val="005A31AE"/>
    <w:rsid w:val="005A3B65"/>
    <w:rsid w:val="005A3F65"/>
    <w:rsid w:val="005A43C4"/>
    <w:rsid w:val="005A4796"/>
    <w:rsid w:val="005A4C63"/>
    <w:rsid w:val="005A526F"/>
    <w:rsid w:val="005A5EA3"/>
    <w:rsid w:val="005A777B"/>
    <w:rsid w:val="005A7AFF"/>
    <w:rsid w:val="005A7BA6"/>
    <w:rsid w:val="005B118E"/>
    <w:rsid w:val="005B11BE"/>
    <w:rsid w:val="005B183E"/>
    <w:rsid w:val="005B19FB"/>
    <w:rsid w:val="005B1E75"/>
    <w:rsid w:val="005B1F5A"/>
    <w:rsid w:val="005B1F69"/>
    <w:rsid w:val="005B2555"/>
    <w:rsid w:val="005B259B"/>
    <w:rsid w:val="005B2F43"/>
    <w:rsid w:val="005B2FF0"/>
    <w:rsid w:val="005B39D2"/>
    <w:rsid w:val="005B486E"/>
    <w:rsid w:val="005B55E1"/>
    <w:rsid w:val="005B56C0"/>
    <w:rsid w:val="005B5A7F"/>
    <w:rsid w:val="005B5BFB"/>
    <w:rsid w:val="005B610B"/>
    <w:rsid w:val="005B62EF"/>
    <w:rsid w:val="005B642F"/>
    <w:rsid w:val="005B689D"/>
    <w:rsid w:val="005B6C22"/>
    <w:rsid w:val="005B74F5"/>
    <w:rsid w:val="005B794A"/>
    <w:rsid w:val="005B7A7C"/>
    <w:rsid w:val="005B7DD1"/>
    <w:rsid w:val="005B7F16"/>
    <w:rsid w:val="005C0CFC"/>
    <w:rsid w:val="005C1030"/>
    <w:rsid w:val="005C1074"/>
    <w:rsid w:val="005C1D81"/>
    <w:rsid w:val="005C2AD8"/>
    <w:rsid w:val="005C2D79"/>
    <w:rsid w:val="005C3462"/>
    <w:rsid w:val="005C357A"/>
    <w:rsid w:val="005C3FF3"/>
    <w:rsid w:val="005C7367"/>
    <w:rsid w:val="005C7AB7"/>
    <w:rsid w:val="005C7DC0"/>
    <w:rsid w:val="005D01FD"/>
    <w:rsid w:val="005D174E"/>
    <w:rsid w:val="005D1821"/>
    <w:rsid w:val="005D18F1"/>
    <w:rsid w:val="005D28CA"/>
    <w:rsid w:val="005D2C63"/>
    <w:rsid w:val="005D31B5"/>
    <w:rsid w:val="005D374C"/>
    <w:rsid w:val="005D3A21"/>
    <w:rsid w:val="005D3C68"/>
    <w:rsid w:val="005D3F81"/>
    <w:rsid w:val="005D4198"/>
    <w:rsid w:val="005D4479"/>
    <w:rsid w:val="005D4C00"/>
    <w:rsid w:val="005D5282"/>
    <w:rsid w:val="005D58C0"/>
    <w:rsid w:val="005D5DC4"/>
    <w:rsid w:val="005D69ED"/>
    <w:rsid w:val="005D6BF9"/>
    <w:rsid w:val="005D6CE0"/>
    <w:rsid w:val="005D7241"/>
    <w:rsid w:val="005D7471"/>
    <w:rsid w:val="005D7600"/>
    <w:rsid w:val="005E02EB"/>
    <w:rsid w:val="005E093F"/>
    <w:rsid w:val="005E17B0"/>
    <w:rsid w:val="005E188D"/>
    <w:rsid w:val="005E23A6"/>
    <w:rsid w:val="005E2488"/>
    <w:rsid w:val="005E2577"/>
    <w:rsid w:val="005E2BAE"/>
    <w:rsid w:val="005E31F6"/>
    <w:rsid w:val="005E364B"/>
    <w:rsid w:val="005E3651"/>
    <w:rsid w:val="005E3C1A"/>
    <w:rsid w:val="005E3CC0"/>
    <w:rsid w:val="005E3FF5"/>
    <w:rsid w:val="005E43BE"/>
    <w:rsid w:val="005E4A9F"/>
    <w:rsid w:val="005E4BBD"/>
    <w:rsid w:val="005E4DAA"/>
    <w:rsid w:val="005E50BB"/>
    <w:rsid w:val="005E52E7"/>
    <w:rsid w:val="005E6333"/>
    <w:rsid w:val="005E66B3"/>
    <w:rsid w:val="005E6DF7"/>
    <w:rsid w:val="005E7756"/>
    <w:rsid w:val="005E7ACB"/>
    <w:rsid w:val="005F0061"/>
    <w:rsid w:val="005F0E4F"/>
    <w:rsid w:val="005F1220"/>
    <w:rsid w:val="005F17F6"/>
    <w:rsid w:val="005F39AF"/>
    <w:rsid w:val="005F39D0"/>
    <w:rsid w:val="005F3D1A"/>
    <w:rsid w:val="005F4D62"/>
    <w:rsid w:val="005F5308"/>
    <w:rsid w:val="005F5AA1"/>
    <w:rsid w:val="005F657A"/>
    <w:rsid w:val="005F6632"/>
    <w:rsid w:val="005F692E"/>
    <w:rsid w:val="005F693F"/>
    <w:rsid w:val="005F6CCD"/>
    <w:rsid w:val="005F7120"/>
    <w:rsid w:val="005F71DC"/>
    <w:rsid w:val="005F7529"/>
    <w:rsid w:val="005F764F"/>
    <w:rsid w:val="005F7979"/>
    <w:rsid w:val="00600EA6"/>
    <w:rsid w:val="00601A7C"/>
    <w:rsid w:val="00602282"/>
    <w:rsid w:val="00602431"/>
    <w:rsid w:val="00603C84"/>
    <w:rsid w:val="00604959"/>
    <w:rsid w:val="006059E5"/>
    <w:rsid w:val="0060664A"/>
    <w:rsid w:val="00606666"/>
    <w:rsid w:val="006066A8"/>
    <w:rsid w:val="0060670A"/>
    <w:rsid w:val="00606E69"/>
    <w:rsid w:val="0060751E"/>
    <w:rsid w:val="00607C28"/>
    <w:rsid w:val="00607FB8"/>
    <w:rsid w:val="00610050"/>
    <w:rsid w:val="00610960"/>
    <w:rsid w:val="00610ECE"/>
    <w:rsid w:val="00610EF8"/>
    <w:rsid w:val="0061149E"/>
    <w:rsid w:val="00611D32"/>
    <w:rsid w:val="00612FEF"/>
    <w:rsid w:val="00613665"/>
    <w:rsid w:val="0061381C"/>
    <w:rsid w:val="00613B6C"/>
    <w:rsid w:val="00614A39"/>
    <w:rsid w:val="00614B32"/>
    <w:rsid w:val="006154C4"/>
    <w:rsid w:val="00616043"/>
    <w:rsid w:val="00616318"/>
    <w:rsid w:val="006163D4"/>
    <w:rsid w:val="0061641E"/>
    <w:rsid w:val="006164E4"/>
    <w:rsid w:val="006165C7"/>
    <w:rsid w:val="006178E4"/>
    <w:rsid w:val="00617BFE"/>
    <w:rsid w:val="00617CDC"/>
    <w:rsid w:val="0062086B"/>
    <w:rsid w:val="00620F74"/>
    <w:rsid w:val="006217F6"/>
    <w:rsid w:val="00621940"/>
    <w:rsid w:val="00621D13"/>
    <w:rsid w:val="00621E86"/>
    <w:rsid w:val="006222A9"/>
    <w:rsid w:val="006223AC"/>
    <w:rsid w:val="00622975"/>
    <w:rsid w:val="00622A75"/>
    <w:rsid w:val="00623009"/>
    <w:rsid w:val="0062360D"/>
    <w:rsid w:val="006236AE"/>
    <w:rsid w:val="00623B45"/>
    <w:rsid w:val="00623D92"/>
    <w:rsid w:val="006241C4"/>
    <w:rsid w:val="006246B2"/>
    <w:rsid w:val="0062474B"/>
    <w:rsid w:val="00624DBB"/>
    <w:rsid w:val="00625701"/>
    <w:rsid w:val="00625F4A"/>
    <w:rsid w:val="00626A62"/>
    <w:rsid w:val="0062730F"/>
    <w:rsid w:val="006279E5"/>
    <w:rsid w:val="00630014"/>
    <w:rsid w:val="00630D77"/>
    <w:rsid w:val="0063231A"/>
    <w:rsid w:val="00632786"/>
    <w:rsid w:val="0063311B"/>
    <w:rsid w:val="006333A4"/>
    <w:rsid w:val="00633562"/>
    <w:rsid w:val="00633A23"/>
    <w:rsid w:val="00633A6C"/>
    <w:rsid w:val="00633B20"/>
    <w:rsid w:val="00633DE5"/>
    <w:rsid w:val="00634271"/>
    <w:rsid w:val="00634B0C"/>
    <w:rsid w:val="00635541"/>
    <w:rsid w:val="00635B75"/>
    <w:rsid w:val="00635DF7"/>
    <w:rsid w:val="0063740B"/>
    <w:rsid w:val="0063760B"/>
    <w:rsid w:val="0064008B"/>
    <w:rsid w:val="0064033B"/>
    <w:rsid w:val="006411B0"/>
    <w:rsid w:val="006418C2"/>
    <w:rsid w:val="00641ADF"/>
    <w:rsid w:val="00641BD7"/>
    <w:rsid w:val="006432E0"/>
    <w:rsid w:val="006439C2"/>
    <w:rsid w:val="00643D75"/>
    <w:rsid w:val="00643D7A"/>
    <w:rsid w:val="00645636"/>
    <w:rsid w:val="00645832"/>
    <w:rsid w:val="00645EE5"/>
    <w:rsid w:val="0064669C"/>
    <w:rsid w:val="006467A5"/>
    <w:rsid w:val="00647010"/>
    <w:rsid w:val="00647B5F"/>
    <w:rsid w:val="00650361"/>
    <w:rsid w:val="006506E2"/>
    <w:rsid w:val="00651555"/>
    <w:rsid w:val="0065182F"/>
    <w:rsid w:val="00652C88"/>
    <w:rsid w:val="00653658"/>
    <w:rsid w:val="00653DC2"/>
    <w:rsid w:val="00653E3C"/>
    <w:rsid w:val="00654299"/>
    <w:rsid w:val="0065465A"/>
    <w:rsid w:val="00654C02"/>
    <w:rsid w:val="00654DC6"/>
    <w:rsid w:val="0065503C"/>
    <w:rsid w:val="00655899"/>
    <w:rsid w:val="00657197"/>
    <w:rsid w:val="006572BC"/>
    <w:rsid w:val="00657586"/>
    <w:rsid w:val="00657858"/>
    <w:rsid w:val="006578FA"/>
    <w:rsid w:val="00657BC5"/>
    <w:rsid w:val="006600B7"/>
    <w:rsid w:val="006600CA"/>
    <w:rsid w:val="006600E7"/>
    <w:rsid w:val="00660311"/>
    <w:rsid w:val="0066038E"/>
    <w:rsid w:val="00660956"/>
    <w:rsid w:val="00660CAE"/>
    <w:rsid w:val="00661012"/>
    <w:rsid w:val="00661121"/>
    <w:rsid w:val="0066187F"/>
    <w:rsid w:val="00661882"/>
    <w:rsid w:val="00661A92"/>
    <w:rsid w:val="00662075"/>
    <w:rsid w:val="006622BC"/>
    <w:rsid w:val="00662318"/>
    <w:rsid w:val="00662704"/>
    <w:rsid w:val="00662B41"/>
    <w:rsid w:val="00662D4A"/>
    <w:rsid w:val="00663B70"/>
    <w:rsid w:val="006641CE"/>
    <w:rsid w:val="00664206"/>
    <w:rsid w:val="006644A4"/>
    <w:rsid w:val="0066456C"/>
    <w:rsid w:val="00664B55"/>
    <w:rsid w:val="006650A4"/>
    <w:rsid w:val="006658D3"/>
    <w:rsid w:val="00665AC8"/>
    <w:rsid w:val="0066606A"/>
    <w:rsid w:val="006660F1"/>
    <w:rsid w:val="00666285"/>
    <w:rsid w:val="0066669C"/>
    <w:rsid w:val="00666E4A"/>
    <w:rsid w:val="00667B2C"/>
    <w:rsid w:val="00667C3C"/>
    <w:rsid w:val="006726ED"/>
    <w:rsid w:val="00672956"/>
    <w:rsid w:val="00672B5F"/>
    <w:rsid w:val="00672BCC"/>
    <w:rsid w:val="00672F62"/>
    <w:rsid w:val="00673651"/>
    <w:rsid w:val="00674C73"/>
    <w:rsid w:val="00675138"/>
    <w:rsid w:val="00675F20"/>
    <w:rsid w:val="00677508"/>
    <w:rsid w:val="00677A64"/>
    <w:rsid w:val="00677A69"/>
    <w:rsid w:val="00677F2E"/>
    <w:rsid w:val="006807A2"/>
    <w:rsid w:val="006816E5"/>
    <w:rsid w:val="00681ED5"/>
    <w:rsid w:val="006820FE"/>
    <w:rsid w:val="0068242C"/>
    <w:rsid w:val="00682A83"/>
    <w:rsid w:val="00682ACD"/>
    <w:rsid w:val="006839F4"/>
    <w:rsid w:val="00683B12"/>
    <w:rsid w:val="00683DBB"/>
    <w:rsid w:val="00684338"/>
    <w:rsid w:val="00684441"/>
    <w:rsid w:val="00684F10"/>
    <w:rsid w:val="0068632D"/>
    <w:rsid w:val="006867B6"/>
    <w:rsid w:val="00686A42"/>
    <w:rsid w:val="00686D8B"/>
    <w:rsid w:val="00687204"/>
    <w:rsid w:val="00687D2D"/>
    <w:rsid w:val="00687F5F"/>
    <w:rsid w:val="006907B5"/>
    <w:rsid w:val="006915BD"/>
    <w:rsid w:val="0069165C"/>
    <w:rsid w:val="0069174E"/>
    <w:rsid w:val="00692365"/>
    <w:rsid w:val="006928C0"/>
    <w:rsid w:val="00692BE0"/>
    <w:rsid w:val="00692FA5"/>
    <w:rsid w:val="0069368B"/>
    <w:rsid w:val="00693D78"/>
    <w:rsid w:val="00693ECB"/>
    <w:rsid w:val="0069466E"/>
    <w:rsid w:val="00694ACA"/>
    <w:rsid w:val="00694D30"/>
    <w:rsid w:val="0069520C"/>
    <w:rsid w:val="0069573A"/>
    <w:rsid w:val="00696519"/>
    <w:rsid w:val="0069663E"/>
    <w:rsid w:val="00696D86"/>
    <w:rsid w:val="00697624"/>
    <w:rsid w:val="006A0C22"/>
    <w:rsid w:val="006A13ED"/>
    <w:rsid w:val="006A1415"/>
    <w:rsid w:val="006A1C5E"/>
    <w:rsid w:val="006A241F"/>
    <w:rsid w:val="006A260F"/>
    <w:rsid w:val="006A34CB"/>
    <w:rsid w:val="006A3FCF"/>
    <w:rsid w:val="006A41E2"/>
    <w:rsid w:val="006A4549"/>
    <w:rsid w:val="006A4668"/>
    <w:rsid w:val="006A49F5"/>
    <w:rsid w:val="006A4AF6"/>
    <w:rsid w:val="006A4D98"/>
    <w:rsid w:val="006A6C3D"/>
    <w:rsid w:val="006A6FBD"/>
    <w:rsid w:val="006A7532"/>
    <w:rsid w:val="006A7E3D"/>
    <w:rsid w:val="006B0349"/>
    <w:rsid w:val="006B087E"/>
    <w:rsid w:val="006B0A3A"/>
    <w:rsid w:val="006B0D76"/>
    <w:rsid w:val="006B0F79"/>
    <w:rsid w:val="006B139B"/>
    <w:rsid w:val="006B142D"/>
    <w:rsid w:val="006B1C96"/>
    <w:rsid w:val="006B2632"/>
    <w:rsid w:val="006B2A77"/>
    <w:rsid w:val="006B2CDE"/>
    <w:rsid w:val="006B31EF"/>
    <w:rsid w:val="006B3456"/>
    <w:rsid w:val="006B37AC"/>
    <w:rsid w:val="006B40F1"/>
    <w:rsid w:val="006B42B3"/>
    <w:rsid w:val="006B4392"/>
    <w:rsid w:val="006B44DE"/>
    <w:rsid w:val="006B4E0C"/>
    <w:rsid w:val="006B5327"/>
    <w:rsid w:val="006B533B"/>
    <w:rsid w:val="006B55A7"/>
    <w:rsid w:val="006B564B"/>
    <w:rsid w:val="006B5A60"/>
    <w:rsid w:val="006B5CC1"/>
    <w:rsid w:val="006B62CA"/>
    <w:rsid w:val="006B6ABE"/>
    <w:rsid w:val="006B74A9"/>
    <w:rsid w:val="006B7691"/>
    <w:rsid w:val="006B7F97"/>
    <w:rsid w:val="006C02C8"/>
    <w:rsid w:val="006C0490"/>
    <w:rsid w:val="006C0535"/>
    <w:rsid w:val="006C116B"/>
    <w:rsid w:val="006C1397"/>
    <w:rsid w:val="006C1A6B"/>
    <w:rsid w:val="006C1E5D"/>
    <w:rsid w:val="006C1E91"/>
    <w:rsid w:val="006C2010"/>
    <w:rsid w:val="006C221D"/>
    <w:rsid w:val="006C2302"/>
    <w:rsid w:val="006C281F"/>
    <w:rsid w:val="006C2ED7"/>
    <w:rsid w:val="006C31F4"/>
    <w:rsid w:val="006C33F3"/>
    <w:rsid w:val="006C394C"/>
    <w:rsid w:val="006C40DC"/>
    <w:rsid w:val="006C53EF"/>
    <w:rsid w:val="006C7836"/>
    <w:rsid w:val="006C7C89"/>
    <w:rsid w:val="006C7DE8"/>
    <w:rsid w:val="006C7F63"/>
    <w:rsid w:val="006D0300"/>
    <w:rsid w:val="006D1953"/>
    <w:rsid w:val="006D1AF2"/>
    <w:rsid w:val="006D2324"/>
    <w:rsid w:val="006D2BC0"/>
    <w:rsid w:val="006D2FF9"/>
    <w:rsid w:val="006D323D"/>
    <w:rsid w:val="006D33EE"/>
    <w:rsid w:val="006D342C"/>
    <w:rsid w:val="006D3862"/>
    <w:rsid w:val="006D4358"/>
    <w:rsid w:val="006D43D3"/>
    <w:rsid w:val="006D4572"/>
    <w:rsid w:val="006D54DE"/>
    <w:rsid w:val="006D5974"/>
    <w:rsid w:val="006D5B8E"/>
    <w:rsid w:val="006D6953"/>
    <w:rsid w:val="006D6DF0"/>
    <w:rsid w:val="006D6E7F"/>
    <w:rsid w:val="006D71E7"/>
    <w:rsid w:val="006D79F9"/>
    <w:rsid w:val="006E0DB1"/>
    <w:rsid w:val="006E112C"/>
    <w:rsid w:val="006E1263"/>
    <w:rsid w:val="006E153C"/>
    <w:rsid w:val="006E1743"/>
    <w:rsid w:val="006E291E"/>
    <w:rsid w:val="006E34B1"/>
    <w:rsid w:val="006E3724"/>
    <w:rsid w:val="006E3F77"/>
    <w:rsid w:val="006E3F99"/>
    <w:rsid w:val="006E4970"/>
    <w:rsid w:val="006E4EB1"/>
    <w:rsid w:val="006E5C66"/>
    <w:rsid w:val="006E68C4"/>
    <w:rsid w:val="006E76F6"/>
    <w:rsid w:val="006E793F"/>
    <w:rsid w:val="006E7DCA"/>
    <w:rsid w:val="006E7FA8"/>
    <w:rsid w:val="006F01E4"/>
    <w:rsid w:val="006F02BC"/>
    <w:rsid w:val="006F0B0B"/>
    <w:rsid w:val="006F128B"/>
    <w:rsid w:val="006F192E"/>
    <w:rsid w:val="006F1B53"/>
    <w:rsid w:val="006F1C2D"/>
    <w:rsid w:val="006F1D48"/>
    <w:rsid w:val="006F1FFB"/>
    <w:rsid w:val="006F2487"/>
    <w:rsid w:val="006F3039"/>
    <w:rsid w:val="006F53BE"/>
    <w:rsid w:val="006F582D"/>
    <w:rsid w:val="006F5D53"/>
    <w:rsid w:val="006F638F"/>
    <w:rsid w:val="006F6937"/>
    <w:rsid w:val="006F7B04"/>
    <w:rsid w:val="00700980"/>
    <w:rsid w:val="0070098E"/>
    <w:rsid w:val="00700B0B"/>
    <w:rsid w:val="00700CC4"/>
    <w:rsid w:val="00700E67"/>
    <w:rsid w:val="00702073"/>
    <w:rsid w:val="007023D8"/>
    <w:rsid w:val="00702855"/>
    <w:rsid w:val="007029BE"/>
    <w:rsid w:val="00702A3E"/>
    <w:rsid w:val="007045CC"/>
    <w:rsid w:val="00705894"/>
    <w:rsid w:val="00705936"/>
    <w:rsid w:val="00705EEF"/>
    <w:rsid w:val="007068C1"/>
    <w:rsid w:val="00706D63"/>
    <w:rsid w:val="007075F1"/>
    <w:rsid w:val="0071031E"/>
    <w:rsid w:val="007105CD"/>
    <w:rsid w:val="0071081F"/>
    <w:rsid w:val="00710BEF"/>
    <w:rsid w:val="00710F74"/>
    <w:rsid w:val="0071174E"/>
    <w:rsid w:val="00711C8B"/>
    <w:rsid w:val="0071201D"/>
    <w:rsid w:val="0071292F"/>
    <w:rsid w:val="00712F59"/>
    <w:rsid w:val="00713ECE"/>
    <w:rsid w:val="007141E6"/>
    <w:rsid w:val="00714856"/>
    <w:rsid w:val="00714859"/>
    <w:rsid w:val="00714FD5"/>
    <w:rsid w:val="00715326"/>
    <w:rsid w:val="00715EC4"/>
    <w:rsid w:val="007160A2"/>
    <w:rsid w:val="00716B4D"/>
    <w:rsid w:val="0071709F"/>
    <w:rsid w:val="0071775D"/>
    <w:rsid w:val="007178B6"/>
    <w:rsid w:val="00717AA7"/>
    <w:rsid w:val="007204B4"/>
    <w:rsid w:val="007211FA"/>
    <w:rsid w:val="0072142C"/>
    <w:rsid w:val="00721E7C"/>
    <w:rsid w:val="0072221F"/>
    <w:rsid w:val="007230E6"/>
    <w:rsid w:val="007231EB"/>
    <w:rsid w:val="0072340B"/>
    <w:rsid w:val="00723AA4"/>
    <w:rsid w:val="00723CFF"/>
    <w:rsid w:val="00724B5C"/>
    <w:rsid w:val="007252DF"/>
    <w:rsid w:val="00725935"/>
    <w:rsid w:val="00725B15"/>
    <w:rsid w:val="00726709"/>
    <w:rsid w:val="00727383"/>
    <w:rsid w:val="007273FA"/>
    <w:rsid w:val="0073002E"/>
    <w:rsid w:val="00730124"/>
    <w:rsid w:val="00730419"/>
    <w:rsid w:val="007305EF"/>
    <w:rsid w:val="007307BC"/>
    <w:rsid w:val="00730F34"/>
    <w:rsid w:val="00730F6B"/>
    <w:rsid w:val="00731787"/>
    <w:rsid w:val="007321E3"/>
    <w:rsid w:val="00733782"/>
    <w:rsid w:val="00733800"/>
    <w:rsid w:val="0073433C"/>
    <w:rsid w:val="00734C13"/>
    <w:rsid w:val="007357D7"/>
    <w:rsid w:val="00736BBB"/>
    <w:rsid w:val="00736DBF"/>
    <w:rsid w:val="007375D4"/>
    <w:rsid w:val="00740354"/>
    <w:rsid w:val="00740D90"/>
    <w:rsid w:val="00741766"/>
    <w:rsid w:val="007418EC"/>
    <w:rsid w:val="0074206C"/>
    <w:rsid w:val="00742546"/>
    <w:rsid w:val="00743AFF"/>
    <w:rsid w:val="00743D2A"/>
    <w:rsid w:val="007441CF"/>
    <w:rsid w:val="00744E93"/>
    <w:rsid w:val="00745F3C"/>
    <w:rsid w:val="00746200"/>
    <w:rsid w:val="00746A0D"/>
    <w:rsid w:val="007471AE"/>
    <w:rsid w:val="007474DD"/>
    <w:rsid w:val="0075000F"/>
    <w:rsid w:val="007504DD"/>
    <w:rsid w:val="0075079C"/>
    <w:rsid w:val="007508FD"/>
    <w:rsid w:val="00750E7F"/>
    <w:rsid w:val="0075128A"/>
    <w:rsid w:val="007512C1"/>
    <w:rsid w:val="00751603"/>
    <w:rsid w:val="0075286C"/>
    <w:rsid w:val="00752F4B"/>
    <w:rsid w:val="007538C9"/>
    <w:rsid w:val="00753C9E"/>
    <w:rsid w:val="0075478E"/>
    <w:rsid w:val="007548B4"/>
    <w:rsid w:val="00755BF9"/>
    <w:rsid w:val="0075619A"/>
    <w:rsid w:val="007564F4"/>
    <w:rsid w:val="0075650F"/>
    <w:rsid w:val="00756584"/>
    <w:rsid w:val="007566A9"/>
    <w:rsid w:val="00756F07"/>
    <w:rsid w:val="0075707A"/>
    <w:rsid w:val="007604FE"/>
    <w:rsid w:val="00760698"/>
    <w:rsid w:val="0076111F"/>
    <w:rsid w:val="0076115C"/>
    <w:rsid w:val="007611E3"/>
    <w:rsid w:val="00761501"/>
    <w:rsid w:val="007615C6"/>
    <w:rsid w:val="00761725"/>
    <w:rsid w:val="00761D8A"/>
    <w:rsid w:val="0076273A"/>
    <w:rsid w:val="0076339F"/>
    <w:rsid w:val="0076378F"/>
    <w:rsid w:val="00764676"/>
    <w:rsid w:val="00764E72"/>
    <w:rsid w:val="0076564D"/>
    <w:rsid w:val="007667FE"/>
    <w:rsid w:val="007669A5"/>
    <w:rsid w:val="00766BB7"/>
    <w:rsid w:val="00766D0E"/>
    <w:rsid w:val="00766D5A"/>
    <w:rsid w:val="00766F73"/>
    <w:rsid w:val="0077038C"/>
    <w:rsid w:val="0077046B"/>
    <w:rsid w:val="00770621"/>
    <w:rsid w:val="00770B90"/>
    <w:rsid w:val="00770E17"/>
    <w:rsid w:val="00770F21"/>
    <w:rsid w:val="007710EF"/>
    <w:rsid w:val="007712A4"/>
    <w:rsid w:val="0077178F"/>
    <w:rsid w:val="00771AE2"/>
    <w:rsid w:val="00771D1A"/>
    <w:rsid w:val="0077229B"/>
    <w:rsid w:val="00773AC9"/>
    <w:rsid w:val="00773B54"/>
    <w:rsid w:val="00774483"/>
    <w:rsid w:val="007749D7"/>
    <w:rsid w:val="00775A7F"/>
    <w:rsid w:val="00775AFC"/>
    <w:rsid w:val="00775C3E"/>
    <w:rsid w:val="00776011"/>
    <w:rsid w:val="0077635A"/>
    <w:rsid w:val="0077656F"/>
    <w:rsid w:val="00776830"/>
    <w:rsid w:val="00777295"/>
    <w:rsid w:val="00777728"/>
    <w:rsid w:val="0077788D"/>
    <w:rsid w:val="007806B0"/>
    <w:rsid w:val="00780F24"/>
    <w:rsid w:val="00782474"/>
    <w:rsid w:val="00782E14"/>
    <w:rsid w:val="007831AE"/>
    <w:rsid w:val="00783494"/>
    <w:rsid w:val="007834A1"/>
    <w:rsid w:val="00783791"/>
    <w:rsid w:val="00783806"/>
    <w:rsid w:val="00783977"/>
    <w:rsid w:val="00783BE6"/>
    <w:rsid w:val="00784333"/>
    <w:rsid w:val="00784475"/>
    <w:rsid w:val="007844B0"/>
    <w:rsid w:val="00784F90"/>
    <w:rsid w:val="00785222"/>
    <w:rsid w:val="00785494"/>
    <w:rsid w:val="0078675F"/>
    <w:rsid w:val="00787597"/>
    <w:rsid w:val="007878EB"/>
    <w:rsid w:val="00790197"/>
    <w:rsid w:val="007901C2"/>
    <w:rsid w:val="0079088A"/>
    <w:rsid w:val="00790899"/>
    <w:rsid w:val="00791B7A"/>
    <w:rsid w:val="00791B8F"/>
    <w:rsid w:val="00792038"/>
    <w:rsid w:val="007921AF"/>
    <w:rsid w:val="00792699"/>
    <w:rsid w:val="00793BAF"/>
    <w:rsid w:val="007944B3"/>
    <w:rsid w:val="00795225"/>
    <w:rsid w:val="00795245"/>
    <w:rsid w:val="00796271"/>
    <w:rsid w:val="0079669E"/>
    <w:rsid w:val="007A1A81"/>
    <w:rsid w:val="007A1CDE"/>
    <w:rsid w:val="007A2403"/>
    <w:rsid w:val="007A2A94"/>
    <w:rsid w:val="007A333E"/>
    <w:rsid w:val="007A3B23"/>
    <w:rsid w:val="007A3FA7"/>
    <w:rsid w:val="007A4CA6"/>
    <w:rsid w:val="007A5069"/>
    <w:rsid w:val="007A5F05"/>
    <w:rsid w:val="007A6D35"/>
    <w:rsid w:val="007A708E"/>
    <w:rsid w:val="007A7143"/>
    <w:rsid w:val="007A7DB7"/>
    <w:rsid w:val="007A7E90"/>
    <w:rsid w:val="007B0E6B"/>
    <w:rsid w:val="007B13EB"/>
    <w:rsid w:val="007B1431"/>
    <w:rsid w:val="007B22F0"/>
    <w:rsid w:val="007B2A51"/>
    <w:rsid w:val="007B2C9F"/>
    <w:rsid w:val="007B3224"/>
    <w:rsid w:val="007B37D8"/>
    <w:rsid w:val="007B3CC4"/>
    <w:rsid w:val="007B4010"/>
    <w:rsid w:val="007B4689"/>
    <w:rsid w:val="007B47B4"/>
    <w:rsid w:val="007B4FB6"/>
    <w:rsid w:val="007B5539"/>
    <w:rsid w:val="007B56AB"/>
    <w:rsid w:val="007B5C47"/>
    <w:rsid w:val="007B6070"/>
    <w:rsid w:val="007B6276"/>
    <w:rsid w:val="007B7186"/>
    <w:rsid w:val="007B7811"/>
    <w:rsid w:val="007C00FE"/>
    <w:rsid w:val="007C0AFB"/>
    <w:rsid w:val="007C0C44"/>
    <w:rsid w:val="007C0C76"/>
    <w:rsid w:val="007C214E"/>
    <w:rsid w:val="007C22DF"/>
    <w:rsid w:val="007C2866"/>
    <w:rsid w:val="007C29D2"/>
    <w:rsid w:val="007C2D1C"/>
    <w:rsid w:val="007C3201"/>
    <w:rsid w:val="007C33F9"/>
    <w:rsid w:val="007C3789"/>
    <w:rsid w:val="007C381E"/>
    <w:rsid w:val="007C5361"/>
    <w:rsid w:val="007C62EA"/>
    <w:rsid w:val="007C66AF"/>
    <w:rsid w:val="007C6E4B"/>
    <w:rsid w:val="007C7303"/>
    <w:rsid w:val="007C78C0"/>
    <w:rsid w:val="007C7A8A"/>
    <w:rsid w:val="007C7EF0"/>
    <w:rsid w:val="007C7FDA"/>
    <w:rsid w:val="007D1279"/>
    <w:rsid w:val="007D1999"/>
    <w:rsid w:val="007D29DA"/>
    <w:rsid w:val="007D3309"/>
    <w:rsid w:val="007D347A"/>
    <w:rsid w:val="007D375E"/>
    <w:rsid w:val="007D37FB"/>
    <w:rsid w:val="007D4AEF"/>
    <w:rsid w:val="007D4CEE"/>
    <w:rsid w:val="007D4D98"/>
    <w:rsid w:val="007D4FA4"/>
    <w:rsid w:val="007D55BF"/>
    <w:rsid w:val="007D573C"/>
    <w:rsid w:val="007D57FA"/>
    <w:rsid w:val="007D5BEA"/>
    <w:rsid w:val="007D630A"/>
    <w:rsid w:val="007D6B83"/>
    <w:rsid w:val="007D6F3F"/>
    <w:rsid w:val="007D712B"/>
    <w:rsid w:val="007D7A4C"/>
    <w:rsid w:val="007D7BB6"/>
    <w:rsid w:val="007D7E5E"/>
    <w:rsid w:val="007E0AD5"/>
    <w:rsid w:val="007E0F7E"/>
    <w:rsid w:val="007E105D"/>
    <w:rsid w:val="007E175B"/>
    <w:rsid w:val="007E1B42"/>
    <w:rsid w:val="007E1B82"/>
    <w:rsid w:val="007E2041"/>
    <w:rsid w:val="007E20D6"/>
    <w:rsid w:val="007E2804"/>
    <w:rsid w:val="007E3ED5"/>
    <w:rsid w:val="007E4B2B"/>
    <w:rsid w:val="007E50A4"/>
    <w:rsid w:val="007E57CC"/>
    <w:rsid w:val="007E5818"/>
    <w:rsid w:val="007F00D9"/>
    <w:rsid w:val="007F0B19"/>
    <w:rsid w:val="007F0B40"/>
    <w:rsid w:val="007F0C2B"/>
    <w:rsid w:val="007F0FC8"/>
    <w:rsid w:val="007F1E91"/>
    <w:rsid w:val="007F21DF"/>
    <w:rsid w:val="007F2C78"/>
    <w:rsid w:val="007F2DBB"/>
    <w:rsid w:val="007F2DF6"/>
    <w:rsid w:val="007F3528"/>
    <w:rsid w:val="007F3B00"/>
    <w:rsid w:val="007F3CDC"/>
    <w:rsid w:val="007F402A"/>
    <w:rsid w:val="007F40C9"/>
    <w:rsid w:val="007F5067"/>
    <w:rsid w:val="007F525E"/>
    <w:rsid w:val="007F5681"/>
    <w:rsid w:val="007F5845"/>
    <w:rsid w:val="007F72E3"/>
    <w:rsid w:val="0080030B"/>
    <w:rsid w:val="00800599"/>
    <w:rsid w:val="008027BF"/>
    <w:rsid w:val="00802B0D"/>
    <w:rsid w:val="00803691"/>
    <w:rsid w:val="00803D5E"/>
    <w:rsid w:val="00804B21"/>
    <w:rsid w:val="00804F5E"/>
    <w:rsid w:val="00805B76"/>
    <w:rsid w:val="0080701C"/>
    <w:rsid w:val="0080709F"/>
    <w:rsid w:val="008077A3"/>
    <w:rsid w:val="00807E9D"/>
    <w:rsid w:val="00810564"/>
    <w:rsid w:val="00811260"/>
    <w:rsid w:val="00811D7F"/>
    <w:rsid w:val="00811FF4"/>
    <w:rsid w:val="00812238"/>
    <w:rsid w:val="00812CD1"/>
    <w:rsid w:val="00813095"/>
    <w:rsid w:val="008133BE"/>
    <w:rsid w:val="00813D40"/>
    <w:rsid w:val="00814008"/>
    <w:rsid w:val="0081406E"/>
    <w:rsid w:val="00814284"/>
    <w:rsid w:val="0081451A"/>
    <w:rsid w:val="00814734"/>
    <w:rsid w:val="00814909"/>
    <w:rsid w:val="00814DC5"/>
    <w:rsid w:val="00814DF5"/>
    <w:rsid w:val="00816056"/>
    <w:rsid w:val="008168AB"/>
    <w:rsid w:val="00816936"/>
    <w:rsid w:val="00816B7B"/>
    <w:rsid w:val="00820190"/>
    <w:rsid w:val="0082064A"/>
    <w:rsid w:val="00821A2C"/>
    <w:rsid w:val="00821B85"/>
    <w:rsid w:val="00821BEA"/>
    <w:rsid w:val="00821D5F"/>
    <w:rsid w:val="008232AC"/>
    <w:rsid w:val="0082347F"/>
    <w:rsid w:val="008236BF"/>
    <w:rsid w:val="008242D2"/>
    <w:rsid w:val="008250D8"/>
    <w:rsid w:val="00826D35"/>
    <w:rsid w:val="00826DB6"/>
    <w:rsid w:val="0082757A"/>
    <w:rsid w:val="00827D46"/>
    <w:rsid w:val="0083019B"/>
    <w:rsid w:val="00830261"/>
    <w:rsid w:val="00830E80"/>
    <w:rsid w:val="008324F7"/>
    <w:rsid w:val="008329D6"/>
    <w:rsid w:val="00833228"/>
    <w:rsid w:val="008337D3"/>
    <w:rsid w:val="008345C5"/>
    <w:rsid w:val="00835820"/>
    <w:rsid w:val="008362EB"/>
    <w:rsid w:val="00837472"/>
    <w:rsid w:val="00837499"/>
    <w:rsid w:val="00837BD4"/>
    <w:rsid w:val="0084010E"/>
    <w:rsid w:val="00840263"/>
    <w:rsid w:val="008405E7"/>
    <w:rsid w:val="00840AEA"/>
    <w:rsid w:val="00840E2C"/>
    <w:rsid w:val="00841BEE"/>
    <w:rsid w:val="00841DEC"/>
    <w:rsid w:val="00842490"/>
    <w:rsid w:val="00843780"/>
    <w:rsid w:val="00844557"/>
    <w:rsid w:val="00844AB4"/>
    <w:rsid w:val="0084507A"/>
    <w:rsid w:val="008467DB"/>
    <w:rsid w:val="00846903"/>
    <w:rsid w:val="00846E98"/>
    <w:rsid w:val="00847009"/>
    <w:rsid w:val="00847747"/>
    <w:rsid w:val="00847B64"/>
    <w:rsid w:val="00847F27"/>
    <w:rsid w:val="008503A6"/>
    <w:rsid w:val="008508BF"/>
    <w:rsid w:val="00850B66"/>
    <w:rsid w:val="00850C19"/>
    <w:rsid w:val="0085100C"/>
    <w:rsid w:val="00851561"/>
    <w:rsid w:val="00851C21"/>
    <w:rsid w:val="00851E0F"/>
    <w:rsid w:val="0085241A"/>
    <w:rsid w:val="00853038"/>
    <w:rsid w:val="00853965"/>
    <w:rsid w:val="0085414A"/>
    <w:rsid w:val="00854519"/>
    <w:rsid w:val="0085490B"/>
    <w:rsid w:val="00855455"/>
    <w:rsid w:val="00855DA6"/>
    <w:rsid w:val="00855F77"/>
    <w:rsid w:val="008560C1"/>
    <w:rsid w:val="00856A69"/>
    <w:rsid w:val="00856B35"/>
    <w:rsid w:val="00856BFF"/>
    <w:rsid w:val="0085726B"/>
    <w:rsid w:val="0085738F"/>
    <w:rsid w:val="008574E2"/>
    <w:rsid w:val="00857B26"/>
    <w:rsid w:val="00860859"/>
    <w:rsid w:val="00860D0A"/>
    <w:rsid w:val="00860E0C"/>
    <w:rsid w:val="008611EF"/>
    <w:rsid w:val="00862BE8"/>
    <w:rsid w:val="008634B0"/>
    <w:rsid w:val="00863778"/>
    <w:rsid w:val="00865793"/>
    <w:rsid w:val="008658CC"/>
    <w:rsid w:val="00865CB0"/>
    <w:rsid w:val="00866132"/>
    <w:rsid w:val="00866183"/>
    <w:rsid w:val="0086666B"/>
    <w:rsid w:val="00866700"/>
    <w:rsid w:val="00866810"/>
    <w:rsid w:val="008668E4"/>
    <w:rsid w:val="00866D55"/>
    <w:rsid w:val="0086787F"/>
    <w:rsid w:val="00867B41"/>
    <w:rsid w:val="00867D41"/>
    <w:rsid w:val="00867FC1"/>
    <w:rsid w:val="00870181"/>
    <w:rsid w:val="008701BA"/>
    <w:rsid w:val="00870369"/>
    <w:rsid w:val="008705CE"/>
    <w:rsid w:val="008708E5"/>
    <w:rsid w:val="008711B6"/>
    <w:rsid w:val="008711E2"/>
    <w:rsid w:val="0087144C"/>
    <w:rsid w:val="0087144F"/>
    <w:rsid w:val="00872053"/>
    <w:rsid w:val="0087210D"/>
    <w:rsid w:val="008727FE"/>
    <w:rsid w:val="0087289E"/>
    <w:rsid w:val="00872A2F"/>
    <w:rsid w:val="008731E0"/>
    <w:rsid w:val="008733A6"/>
    <w:rsid w:val="008733C8"/>
    <w:rsid w:val="00873DA8"/>
    <w:rsid w:val="008752AF"/>
    <w:rsid w:val="0087532B"/>
    <w:rsid w:val="008759F0"/>
    <w:rsid w:val="0087680C"/>
    <w:rsid w:val="00877270"/>
    <w:rsid w:val="008778B0"/>
    <w:rsid w:val="00881D05"/>
    <w:rsid w:val="008820D1"/>
    <w:rsid w:val="00882DD7"/>
    <w:rsid w:val="00883141"/>
    <w:rsid w:val="00883310"/>
    <w:rsid w:val="008833E1"/>
    <w:rsid w:val="00883D46"/>
    <w:rsid w:val="0088423F"/>
    <w:rsid w:val="0088605C"/>
    <w:rsid w:val="00886408"/>
    <w:rsid w:val="00886422"/>
    <w:rsid w:val="008868B3"/>
    <w:rsid w:val="00886DE9"/>
    <w:rsid w:val="008907AB"/>
    <w:rsid w:val="008913F4"/>
    <w:rsid w:val="0089160E"/>
    <w:rsid w:val="008916A5"/>
    <w:rsid w:val="008918E1"/>
    <w:rsid w:val="00891C61"/>
    <w:rsid w:val="00891DE0"/>
    <w:rsid w:val="00891E74"/>
    <w:rsid w:val="0089242C"/>
    <w:rsid w:val="00892D65"/>
    <w:rsid w:val="00892FC6"/>
    <w:rsid w:val="0089389D"/>
    <w:rsid w:val="008945EC"/>
    <w:rsid w:val="00894A87"/>
    <w:rsid w:val="0089517F"/>
    <w:rsid w:val="00895323"/>
    <w:rsid w:val="00895F17"/>
    <w:rsid w:val="00896003"/>
    <w:rsid w:val="00896331"/>
    <w:rsid w:val="00896A28"/>
    <w:rsid w:val="00896D4D"/>
    <w:rsid w:val="00896DD4"/>
    <w:rsid w:val="008977AB"/>
    <w:rsid w:val="008A0404"/>
    <w:rsid w:val="008A0646"/>
    <w:rsid w:val="008A08F3"/>
    <w:rsid w:val="008A2390"/>
    <w:rsid w:val="008A295F"/>
    <w:rsid w:val="008A2EBB"/>
    <w:rsid w:val="008A34BC"/>
    <w:rsid w:val="008A37BF"/>
    <w:rsid w:val="008A386B"/>
    <w:rsid w:val="008A462F"/>
    <w:rsid w:val="008A5593"/>
    <w:rsid w:val="008A6111"/>
    <w:rsid w:val="008A6125"/>
    <w:rsid w:val="008A6159"/>
    <w:rsid w:val="008A6E31"/>
    <w:rsid w:val="008A7006"/>
    <w:rsid w:val="008A7D9C"/>
    <w:rsid w:val="008B0060"/>
    <w:rsid w:val="008B00CA"/>
    <w:rsid w:val="008B0CC2"/>
    <w:rsid w:val="008B15D6"/>
    <w:rsid w:val="008B1D9D"/>
    <w:rsid w:val="008B227F"/>
    <w:rsid w:val="008B23F9"/>
    <w:rsid w:val="008B26C0"/>
    <w:rsid w:val="008B2AB5"/>
    <w:rsid w:val="008B340C"/>
    <w:rsid w:val="008B373E"/>
    <w:rsid w:val="008B4284"/>
    <w:rsid w:val="008B42CE"/>
    <w:rsid w:val="008B4325"/>
    <w:rsid w:val="008B4AB4"/>
    <w:rsid w:val="008B4C88"/>
    <w:rsid w:val="008B5B02"/>
    <w:rsid w:val="008B651F"/>
    <w:rsid w:val="008B6FEE"/>
    <w:rsid w:val="008B707B"/>
    <w:rsid w:val="008B729C"/>
    <w:rsid w:val="008B7D86"/>
    <w:rsid w:val="008C04A9"/>
    <w:rsid w:val="008C0967"/>
    <w:rsid w:val="008C0C56"/>
    <w:rsid w:val="008C0D20"/>
    <w:rsid w:val="008C1AFF"/>
    <w:rsid w:val="008C21D9"/>
    <w:rsid w:val="008C2269"/>
    <w:rsid w:val="008C22D3"/>
    <w:rsid w:val="008C246D"/>
    <w:rsid w:val="008C2946"/>
    <w:rsid w:val="008C3D53"/>
    <w:rsid w:val="008C505C"/>
    <w:rsid w:val="008C553F"/>
    <w:rsid w:val="008C5ADD"/>
    <w:rsid w:val="008C5C1F"/>
    <w:rsid w:val="008C5CC0"/>
    <w:rsid w:val="008C5F81"/>
    <w:rsid w:val="008C7042"/>
    <w:rsid w:val="008C7B4A"/>
    <w:rsid w:val="008C7FD0"/>
    <w:rsid w:val="008D009B"/>
    <w:rsid w:val="008D13D9"/>
    <w:rsid w:val="008D1503"/>
    <w:rsid w:val="008D1C5D"/>
    <w:rsid w:val="008D21BF"/>
    <w:rsid w:val="008D2337"/>
    <w:rsid w:val="008D2503"/>
    <w:rsid w:val="008D2F72"/>
    <w:rsid w:val="008D363A"/>
    <w:rsid w:val="008D3AC6"/>
    <w:rsid w:val="008D40B7"/>
    <w:rsid w:val="008D4464"/>
    <w:rsid w:val="008D4591"/>
    <w:rsid w:val="008D4F3E"/>
    <w:rsid w:val="008D65DE"/>
    <w:rsid w:val="008D7160"/>
    <w:rsid w:val="008D7736"/>
    <w:rsid w:val="008D7AA8"/>
    <w:rsid w:val="008E04B1"/>
    <w:rsid w:val="008E06A2"/>
    <w:rsid w:val="008E12F8"/>
    <w:rsid w:val="008E1974"/>
    <w:rsid w:val="008E1DBF"/>
    <w:rsid w:val="008E2B4D"/>
    <w:rsid w:val="008E2C4E"/>
    <w:rsid w:val="008E311F"/>
    <w:rsid w:val="008E32AA"/>
    <w:rsid w:val="008E3912"/>
    <w:rsid w:val="008E3A2D"/>
    <w:rsid w:val="008E4AE1"/>
    <w:rsid w:val="008E4F36"/>
    <w:rsid w:val="008E4FF0"/>
    <w:rsid w:val="008E5A3F"/>
    <w:rsid w:val="008E5C42"/>
    <w:rsid w:val="008E60A8"/>
    <w:rsid w:val="008E6C5F"/>
    <w:rsid w:val="008E7181"/>
    <w:rsid w:val="008E7645"/>
    <w:rsid w:val="008E7CF7"/>
    <w:rsid w:val="008F0C02"/>
    <w:rsid w:val="008F0E4F"/>
    <w:rsid w:val="008F1121"/>
    <w:rsid w:val="008F1557"/>
    <w:rsid w:val="008F225C"/>
    <w:rsid w:val="008F2906"/>
    <w:rsid w:val="008F2D29"/>
    <w:rsid w:val="008F392C"/>
    <w:rsid w:val="008F4297"/>
    <w:rsid w:val="008F5C32"/>
    <w:rsid w:val="008F5C7F"/>
    <w:rsid w:val="008F6083"/>
    <w:rsid w:val="008F6AFD"/>
    <w:rsid w:val="008F7E52"/>
    <w:rsid w:val="00900642"/>
    <w:rsid w:val="00901047"/>
    <w:rsid w:val="00901B4D"/>
    <w:rsid w:val="0090245A"/>
    <w:rsid w:val="00902823"/>
    <w:rsid w:val="00902851"/>
    <w:rsid w:val="00903230"/>
    <w:rsid w:val="00903D96"/>
    <w:rsid w:val="0090411D"/>
    <w:rsid w:val="00905949"/>
    <w:rsid w:val="00906102"/>
    <w:rsid w:val="009075F5"/>
    <w:rsid w:val="00910AE9"/>
    <w:rsid w:val="00910E17"/>
    <w:rsid w:val="00911776"/>
    <w:rsid w:val="009122DE"/>
    <w:rsid w:val="00912318"/>
    <w:rsid w:val="009128D0"/>
    <w:rsid w:val="00912B0F"/>
    <w:rsid w:val="00913243"/>
    <w:rsid w:val="009138FE"/>
    <w:rsid w:val="00913934"/>
    <w:rsid w:val="009141E4"/>
    <w:rsid w:val="009142FA"/>
    <w:rsid w:val="009148C5"/>
    <w:rsid w:val="00914AE8"/>
    <w:rsid w:val="00914C2E"/>
    <w:rsid w:val="00915486"/>
    <w:rsid w:val="0091620B"/>
    <w:rsid w:val="00916260"/>
    <w:rsid w:val="00916632"/>
    <w:rsid w:val="009166CD"/>
    <w:rsid w:val="00917F29"/>
    <w:rsid w:val="009201DF"/>
    <w:rsid w:val="0092041D"/>
    <w:rsid w:val="00920586"/>
    <w:rsid w:val="00920700"/>
    <w:rsid w:val="00920F63"/>
    <w:rsid w:val="009217B3"/>
    <w:rsid w:val="009218BB"/>
    <w:rsid w:val="00921CCA"/>
    <w:rsid w:val="00921E35"/>
    <w:rsid w:val="00922079"/>
    <w:rsid w:val="0092279A"/>
    <w:rsid w:val="009235A6"/>
    <w:rsid w:val="0092365B"/>
    <w:rsid w:val="0092388E"/>
    <w:rsid w:val="00923913"/>
    <w:rsid w:val="009240BB"/>
    <w:rsid w:val="00924A7A"/>
    <w:rsid w:val="00924BC7"/>
    <w:rsid w:val="00925081"/>
    <w:rsid w:val="00925544"/>
    <w:rsid w:val="00925CE5"/>
    <w:rsid w:val="00926065"/>
    <w:rsid w:val="009261E4"/>
    <w:rsid w:val="0092670D"/>
    <w:rsid w:val="009269C9"/>
    <w:rsid w:val="00926DEC"/>
    <w:rsid w:val="00927069"/>
    <w:rsid w:val="00927C1A"/>
    <w:rsid w:val="00927ED3"/>
    <w:rsid w:val="00930794"/>
    <w:rsid w:val="00930DA7"/>
    <w:rsid w:val="00932E30"/>
    <w:rsid w:val="00932F5F"/>
    <w:rsid w:val="00933317"/>
    <w:rsid w:val="009337FB"/>
    <w:rsid w:val="00933815"/>
    <w:rsid w:val="00933A16"/>
    <w:rsid w:val="00934697"/>
    <w:rsid w:val="009348CF"/>
    <w:rsid w:val="00934964"/>
    <w:rsid w:val="009350DA"/>
    <w:rsid w:val="0093620E"/>
    <w:rsid w:val="00936A32"/>
    <w:rsid w:val="00936AEF"/>
    <w:rsid w:val="00937322"/>
    <w:rsid w:val="009373BD"/>
    <w:rsid w:val="009373FD"/>
    <w:rsid w:val="00937B61"/>
    <w:rsid w:val="009404EA"/>
    <w:rsid w:val="00940ED2"/>
    <w:rsid w:val="00940EE2"/>
    <w:rsid w:val="0094156E"/>
    <w:rsid w:val="0094185D"/>
    <w:rsid w:val="00941F03"/>
    <w:rsid w:val="009425A7"/>
    <w:rsid w:val="00942630"/>
    <w:rsid w:val="00942840"/>
    <w:rsid w:val="00943043"/>
    <w:rsid w:val="00943044"/>
    <w:rsid w:val="009437C4"/>
    <w:rsid w:val="00943A01"/>
    <w:rsid w:val="00943CC0"/>
    <w:rsid w:val="00944196"/>
    <w:rsid w:val="0094539D"/>
    <w:rsid w:val="00945621"/>
    <w:rsid w:val="00945FF0"/>
    <w:rsid w:val="009463CB"/>
    <w:rsid w:val="0094648C"/>
    <w:rsid w:val="009468F3"/>
    <w:rsid w:val="00946908"/>
    <w:rsid w:val="00947020"/>
    <w:rsid w:val="00947412"/>
    <w:rsid w:val="009477DA"/>
    <w:rsid w:val="00947DA0"/>
    <w:rsid w:val="009505D3"/>
    <w:rsid w:val="00950E8F"/>
    <w:rsid w:val="00952193"/>
    <w:rsid w:val="00952C14"/>
    <w:rsid w:val="0095365C"/>
    <w:rsid w:val="009540C4"/>
    <w:rsid w:val="00954F47"/>
    <w:rsid w:val="00954FE6"/>
    <w:rsid w:val="009556D7"/>
    <w:rsid w:val="00955725"/>
    <w:rsid w:val="00955B66"/>
    <w:rsid w:val="0095621C"/>
    <w:rsid w:val="0095636B"/>
    <w:rsid w:val="00956D85"/>
    <w:rsid w:val="00956F06"/>
    <w:rsid w:val="009575FE"/>
    <w:rsid w:val="00957612"/>
    <w:rsid w:val="00957843"/>
    <w:rsid w:val="00957FB9"/>
    <w:rsid w:val="00960DCF"/>
    <w:rsid w:val="00960EA0"/>
    <w:rsid w:val="00961650"/>
    <w:rsid w:val="00963729"/>
    <w:rsid w:val="00964179"/>
    <w:rsid w:val="00964551"/>
    <w:rsid w:val="00964D5F"/>
    <w:rsid w:val="00964DDC"/>
    <w:rsid w:val="00965584"/>
    <w:rsid w:val="009665AC"/>
    <w:rsid w:val="00966B8C"/>
    <w:rsid w:val="00966DD9"/>
    <w:rsid w:val="00966FFF"/>
    <w:rsid w:val="00967240"/>
    <w:rsid w:val="009674E3"/>
    <w:rsid w:val="0096788C"/>
    <w:rsid w:val="0097058C"/>
    <w:rsid w:val="009707B8"/>
    <w:rsid w:val="00971291"/>
    <w:rsid w:val="00971904"/>
    <w:rsid w:val="009720A6"/>
    <w:rsid w:val="00973866"/>
    <w:rsid w:val="00974052"/>
    <w:rsid w:val="0097474D"/>
    <w:rsid w:val="009751C4"/>
    <w:rsid w:val="0097616A"/>
    <w:rsid w:val="0097712E"/>
    <w:rsid w:val="00977550"/>
    <w:rsid w:val="009779C2"/>
    <w:rsid w:val="00977AFB"/>
    <w:rsid w:val="00977C90"/>
    <w:rsid w:val="00980358"/>
    <w:rsid w:val="009803A2"/>
    <w:rsid w:val="00980734"/>
    <w:rsid w:val="00980784"/>
    <w:rsid w:val="00981589"/>
    <w:rsid w:val="00982335"/>
    <w:rsid w:val="009827E7"/>
    <w:rsid w:val="00982C61"/>
    <w:rsid w:val="00982CEC"/>
    <w:rsid w:val="00983A95"/>
    <w:rsid w:val="00983F22"/>
    <w:rsid w:val="009863A2"/>
    <w:rsid w:val="009879C8"/>
    <w:rsid w:val="00987BF9"/>
    <w:rsid w:val="00990106"/>
    <w:rsid w:val="009901B8"/>
    <w:rsid w:val="0099051F"/>
    <w:rsid w:val="00990D50"/>
    <w:rsid w:val="00992031"/>
    <w:rsid w:val="0099300A"/>
    <w:rsid w:val="00994028"/>
    <w:rsid w:val="009945DE"/>
    <w:rsid w:val="00994604"/>
    <w:rsid w:val="00995F74"/>
    <w:rsid w:val="00996EA9"/>
    <w:rsid w:val="00997DBE"/>
    <w:rsid w:val="009A0039"/>
    <w:rsid w:val="009A0603"/>
    <w:rsid w:val="009A0CA2"/>
    <w:rsid w:val="009A11F0"/>
    <w:rsid w:val="009A1A1B"/>
    <w:rsid w:val="009A1C35"/>
    <w:rsid w:val="009A25A6"/>
    <w:rsid w:val="009A28AC"/>
    <w:rsid w:val="009A3CB1"/>
    <w:rsid w:val="009A4301"/>
    <w:rsid w:val="009A576E"/>
    <w:rsid w:val="009A6110"/>
    <w:rsid w:val="009A623B"/>
    <w:rsid w:val="009A63C9"/>
    <w:rsid w:val="009A6594"/>
    <w:rsid w:val="009A6A0D"/>
    <w:rsid w:val="009A6EA2"/>
    <w:rsid w:val="009A6EE2"/>
    <w:rsid w:val="009A7258"/>
    <w:rsid w:val="009A7796"/>
    <w:rsid w:val="009A7FAD"/>
    <w:rsid w:val="009B0176"/>
    <w:rsid w:val="009B0248"/>
    <w:rsid w:val="009B033F"/>
    <w:rsid w:val="009B052F"/>
    <w:rsid w:val="009B0B84"/>
    <w:rsid w:val="009B102D"/>
    <w:rsid w:val="009B160A"/>
    <w:rsid w:val="009B1951"/>
    <w:rsid w:val="009B1C56"/>
    <w:rsid w:val="009B2432"/>
    <w:rsid w:val="009B2613"/>
    <w:rsid w:val="009B30AC"/>
    <w:rsid w:val="009B3469"/>
    <w:rsid w:val="009B3931"/>
    <w:rsid w:val="009B3FAA"/>
    <w:rsid w:val="009B41B7"/>
    <w:rsid w:val="009B48E0"/>
    <w:rsid w:val="009B534A"/>
    <w:rsid w:val="009B53C5"/>
    <w:rsid w:val="009B58CA"/>
    <w:rsid w:val="009B5972"/>
    <w:rsid w:val="009B5DDB"/>
    <w:rsid w:val="009B60F3"/>
    <w:rsid w:val="009B62F7"/>
    <w:rsid w:val="009B7201"/>
    <w:rsid w:val="009B75C7"/>
    <w:rsid w:val="009B7EE2"/>
    <w:rsid w:val="009C0401"/>
    <w:rsid w:val="009C05A3"/>
    <w:rsid w:val="009C0CE3"/>
    <w:rsid w:val="009C0E4C"/>
    <w:rsid w:val="009C1770"/>
    <w:rsid w:val="009C19D5"/>
    <w:rsid w:val="009C1BF9"/>
    <w:rsid w:val="009C1EBE"/>
    <w:rsid w:val="009C2C00"/>
    <w:rsid w:val="009C2D0E"/>
    <w:rsid w:val="009C30F4"/>
    <w:rsid w:val="009C33A1"/>
    <w:rsid w:val="009C3C99"/>
    <w:rsid w:val="009C405C"/>
    <w:rsid w:val="009C415A"/>
    <w:rsid w:val="009C5A3E"/>
    <w:rsid w:val="009C5C85"/>
    <w:rsid w:val="009C5D0F"/>
    <w:rsid w:val="009C6681"/>
    <w:rsid w:val="009C71F9"/>
    <w:rsid w:val="009C788E"/>
    <w:rsid w:val="009C7C0C"/>
    <w:rsid w:val="009C7D99"/>
    <w:rsid w:val="009D0174"/>
    <w:rsid w:val="009D03E4"/>
    <w:rsid w:val="009D03F2"/>
    <w:rsid w:val="009D11BD"/>
    <w:rsid w:val="009D17DD"/>
    <w:rsid w:val="009D1B26"/>
    <w:rsid w:val="009D2A6D"/>
    <w:rsid w:val="009D2A78"/>
    <w:rsid w:val="009D3312"/>
    <w:rsid w:val="009D4AEC"/>
    <w:rsid w:val="009D5BCB"/>
    <w:rsid w:val="009D6AAF"/>
    <w:rsid w:val="009D6E70"/>
    <w:rsid w:val="009D7046"/>
    <w:rsid w:val="009D730A"/>
    <w:rsid w:val="009D7D69"/>
    <w:rsid w:val="009D7D8A"/>
    <w:rsid w:val="009E024D"/>
    <w:rsid w:val="009E039E"/>
    <w:rsid w:val="009E0743"/>
    <w:rsid w:val="009E109D"/>
    <w:rsid w:val="009E1367"/>
    <w:rsid w:val="009E15B9"/>
    <w:rsid w:val="009E1779"/>
    <w:rsid w:val="009E1BFA"/>
    <w:rsid w:val="009E1FE3"/>
    <w:rsid w:val="009E2248"/>
    <w:rsid w:val="009E2A62"/>
    <w:rsid w:val="009E363C"/>
    <w:rsid w:val="009E382A"/>
    <w:rsid w:val="009E3BCA"/>
    <w:rsid w:val="009E41BE"/>
    <w:rsid w:val="009E461C"/>
    <w:rsid w:val="009E511F"/>
    <w:rsid w:val="009E57AA"/>
    <w:rsid w:val="009E5A66"/>
    <w:rsid w:val="009E6C09"/>
    <w:rsid w:val="009E7077"/>
    <w:rsid w:val="009E73FB"/>
    <w:rsid w:val="009E76DA"/>
    <w:rsid w:val="009E77B5"/>
    <w:rsid w:val="009E7B50"/>
    <w:rsid w:val="009F01CA"/>
    <w:rsid w:val="009F0A21"/>
    <w:rsid w:val="009F19E5"/>
    <w:rsid w:val="009F219B"/>
    <w:rsid w:val="009F40EC"/>
    <w:rsid w:val="009F430D"/>
    <w:rsid w:val="009F62A5"/>
    <w:rsid w:val="009F68CF"/>
    <w:rsid w:val="009F6C90"/>
    <w:rsid w:val="009F6EEA"/>
    <w:rsid w:val="009F6FAF"/>
    <w:rsid w:val="009F7E85"/>
    <w:rsid w:val="00A00003"/>
    <w:rsid w:val="00A006ED"/>
    <w:rsid w:val="00A00A79"/>
    <w:rsid w:val="00A00ED8"/>
    <w:rsid w:val="00A00FF1"/>
    <w:rsid w:val="00A0141D"/>
    <w:rsid w:val="00A01521"/>
    <w:rsid w:val="00A01D6F"/>
    <w:rsid w:val="00A02907"/>
    <w:rsid w:val="00A02A4F"/>
    <w:rsid w:val="00A02F71"/>
    <w:rsid w:val="00A036A3"/>
    <w:rsid w:val="00A03740"/>
    <w:rsid w:val="00A04300"/>
    <w:rsid w:val="00A04544"/>
    <w:rsid w:val="00A05B01"/>
    <w:rsid w:val="00A06132"/>
    <w:rsid w:val="00A061E6"/>
    <w:rsid w:val="00A061FF"/>
    <w:rsid w:val="00A065D0"/>
    <w:rsid w:val="00A0662E"/>
    <w:rsid w:val="00A07004"/>
    <w:rsid w:val="00A07489"/>
    <w:rsid w:val="00A074E5"/>
    <w:rsid w:val="00A1018D"/>
    <w:rsid w:val="00A1037E"/>
    <w:rsid w:val="00A104B6"/>
    <w:rsid w:val="00A10662"/>
    <w:rsid w:val="00A107D4"/>
    <w:rsid w:val="00A1081E"/>
    <w:rsid w:val="00A110BC"/>
    <w:rsid w:val="00A123E4"/>
    <w:rsid w:val="00A126DD"/>
    <w:rsid w:val="00A12BEB"/>
    <w:rsid w:val="00A132A6"/>
    <w:rsid w:val="00A1338A"/>
    <w:rsid w:val="00A14107"/>
    <w:rsid w:val="00A14FC1"/>
    <w:rsid w:val="00A14FCD"/>
    <w:rsid w:val="00A15021"/>
    <w:rsid w:val="00A1502A"/>
    <w:rsid w:val="00A15810"/>
    <w:rsid w:val="00A15CB4"/>
    <w:rsid w:val="00A15D39"/>
    <w:rsid w:val="00A15DEA"/>
    <w:rsid w:val="00A1718E"/>
    <w:rsid w:val="00A17EC1"/>
    <w:rsid w:val="00A208E9"/>
    <w:rsid w:val="00A20B12"/>
    <w:rsid w:val="00A20BA8"/>
    <w:rsid w:val="00A20D73"/>
    <w:rsid w:val="00A20E0E"/>
    <w:rsid w:val="00A20E16"/>
    <w:rsid w:val="00A21405"/>
    <w:rsid w:val="00A21937"/>
    <w:rsid w:val="00A21F87"/>
    <w:rsid w:val="00A22EEF"/>
    <w:rsid w:val="00A23299"/>
    <w:rsid w:val="00A233DB"/>
    <w:rsid w:val="00A2449E"/>
    <w:rsid w:val="00A2479C"/>
    <w:rsid w:val="00A24845"/>
    <w:rsid w:val="00A24903"/>
    <w:rsid w:val="00A24B49"/>
    <w:rsid w:val="00A24EC0"/>
    <w:rsid w:val="00A25A46"/>
    <w:rsid w:val="00A2638C"/>
    <w:rsid w:val="00A26411"/>
    <w:rsid w:val="00A30004"/>
    <w:rsid w:val="00A306A7"/>
    <w:rsid w:val="00A30A80"/>
    <w:rsid w:val="00A30FF0"/>
    <w:rsid w:val="00A31040"/>
    <w:rsid w:val="00A31685"/>
    <w:rsid w:val="00A317B1"/>
    <w:rsid w:val="00A319B3"/>
    <w:rsid w:val="00A319D8"/>
    <w:rsid w:val="00A31BA2"/>
    <w:rsid w:val="00A32635"/>
    <w:rsid w:val="00A329EF"/>
    <w:rsid w:val="00A32A15"/>
    <w:rsid w:val="00A331AB"/>
    <w:rsid w:val="00A33BFA"/>
    <w:rsid w:val="00A34A9B"/>
    <w:rsid w:val="00A35638"/>
    <w:rsid w:val="00A35E89"/>
    <w:rsid w:val="00A362D6"/>
    <w:rsid w:val="00A3655B"/>
    <w:rsid w:val="00A36648"/>
    <w:rsid w:val="00A3664D"/>
    <w:rsid w:val="00A370E2"/>
    <w:rsid w:val="00A37389"/>
    <w:rsid w:val="00A373C8"/>
    <w:rsid w:val="00A378C3"/>
    <w:rsid w:val="00A40375"/>
    <w:rsid w:val="00A403CE"/>
    <w:rsid w:val="00A41902"/>
    <w:rsid w:val="00A41B24"/>
    <w:rsid w:val="00A42BBC"/>
    <w:rsid w:val="00A43437"/>
    <w:rsid w:val="00A44555"/>
    <w:rsid w:val="00A44CBE"/>
    <w:rsid w:val="00A45366"/>
    <w:rsid w:val="00A459F8"/>
    <w:rsid w:val="00A45C6A"/>
    <w:rsid w:val="00A45ECC"/>
    <w:rsid w:val="00A46908"/>
    <w:rsid w:val="00A473CA"/>
    <w:rsid w:val="00A47775"/>
    <w:rsid w:val="00A47B6D"/>
    <w:rsid w:val="00A47F56"/>
    <w:rsid w:val="00A5020B"/>
    <w:rsid w:val="00A5073D"/>
    <w:rsid w:val="00A50EE3"/>
    <w:rsid w:val="00A50EF9"/>
    <w:rsid w:val="00A510E4"/>
    <w:rsid w:val="00A51D02"/>
    <w:rsid w:val="00A51DE3"/>
    <w:rsid w:val="00A520C0"/>
    <w:rsid w:val="00A52439"/>
    <w:rsid w:val="00A534F5"/>
    <w:rsid w:val="00A53593"/>
    <w:rsid w:val="00A540E6"/>
    <w:rsid w:val="00A5473C"/>
    <w:rsid w:val="00A54EB1"/>
    <w:rsid w:val="00A553FD"/>
    <w:rsid w:val="00A562F5"/>
    <w:rsid w:val="00A56C38"/>
    <w:rsid w:val="00A570DF"/>
    <w:rsid w:val="00A57AFA"/>
    <w:rsid w:val="00A57D36"/>
    <w:rsid w:val="00A60144"/>
    <w:rsid w:val="00A60D0B"/>
    <w:rsid w:val="00A61A9C"/>
    <w:rsid w:val="00A61DDD"/>
    <w:rsid w:val="00A61DE0"/>
    <w:rsid w:val="00A621BA"/>
    <w:rsid w:val="00A6247E"/>
    <w:rsid w:val="00A6253D"/>
    <w:rsid w:val="00A631F9"/>
    <w:rsid w:val="00A63625"/>
    <w:rsid w:val="00A63843"/>
    <w:rsid w:val="00A63BCA"/>
    <w:rsid w:val="00A64111"/>
    <w:rsid w:val="00A6530D"/>
    <w:rsid w:val="00A65902"/>
    <w:rsid w:val="00A66224"/>
    <w:rsid w:val="00A66BD6"/>
    <w:rsid w:val="00A67F96"/>
    <w:rsid w:val="00A7107B"/>
    <w:rsid w:val="00A7158A"/>
    <w:rsid w:val="00A7163D"/>
    <w:rsid w:val="00A71A8D"/>
    <w:rsid w:val="00A71D48"/>
    <w:rsid w:val="00A721AB"/>
    <w:rsid w:val="00A721BE"/>
    <w:rsid w:val="00A727EC"/>
    <w:rsid w:val="00A72E9B"/>
    <w:rsid w:val="00A73048"/>
    <w:rsid w:val="00A7443D"/>
    <w:rsid w:val="00A746C4"/>
    <w:rsid w:val="00A753DD"/>
    <w:rsid w:val="00A755E5"/>
    <w:rsid w:val="00A75BD1"/>
    <w:rsid w:val="00A75F5E"/>
    <w:rsid w:val="00A7635D"/>
    <w:rsid w:val="00A773CF"/>
    <w:rsid w:val="00A801E4"/>
    <w:rsid w:val="00A80E74"/>
    <w:rsid w:val="00A80F5D"/>
    <w:rsid w:val="00A8144E"/>
    <w:rsid w:val="00A816BD"/>
    <w:rsid w:val="00A81CC6"/>
    <w:rsid w:val="00A823A2"/>
    <w:rsid w:val="00A82EB6"/>
    <w:rsid w:val="00A831BF"/>
    <w:rsid w:val="00A8338B"/>
    <w:rsid w:val="00A8346B"/>
    <w:rsid w:val="00A8350B"/>
    <w:rsid w:val="00A83E82"/>
    <w:rsid w:val="00A84215"/>
    <w:rsid w:val="00A842D0"/>
    <w:rsid w:val="00A85090"/>
    <w:rsid w:val="00A8526A"/>
    <w:rsid w:val="00A860CD"/>
    <w:rsid w:val="00A86A46"/>
    <w:rsid w:val="00A87143"/>
    <w:rsid w:val="00A87833"/>
    <w:rsid w:val="00A90578"/>
    <w:rsid w:val="00A90EEA"/>
    <w:rsid w:val="00A90F74"/>
    <w:rsid w:val="00A936C4"/>
    <w:rsid w:val="00A937F0"/>
    <w:rsid w:val="00A93913"/>
    <w:rsid w:val="00A93B0B"/>
    <w:rsid w:val="00A93FBB"/>
    <w:rsid w:val="00A94054"/>
    <w:rsid w:val="00A941E6"/>
    <w:rsid w:val="00A958EC"/>
    <w:rsid w:val="00A95DCF"/>
    <w:rsid w:val="00A95F50"/>
    <w:rsid w:val="00A966C8"/>
    <w:rsid w:val="00A96C32"/>
    <w:rsid w:val="00A96CD6"/>
    <w:rsid w:val="00AA0118"/>
    <w:rsid w:val="00AA0577"/>
    <w:rsid w:val="00AA1674"/>
    <w:rsid w:val="00AA1A9D"/>
    <w:rsid w:val="00AA2268"/>
    <w:rsid w:val="00AA244F"/>
    <w:rsid w:val="00AA2A3D"/>
    <w:rsid w:val="00AA3F3E"/>
    <w:rsid w:val="00AA41DA"/>
    <w:rsid w:val="00AA4328"/>
    <w:rsid w:val="00AA4518"/>
    <w:rsid w:val="00AA6C9A"/>
    <w:rsid w:val="00AA6D61"/>
    <w:rsid w:val="00AA7447"/>
    <w:rsid w:val="00AA7A21"/>
    <w:rsid w:val="00AA7BDA"/>
    <w:rsid w:val="00AB06E2"/>
    <w:rsid w:val="00AB0C87"/>
    <w:rsid w:val="00AB132D"/>
    <w:rsid w:val="00AB2C59"/>
    <w:rsid w:val="00AB2DCD"/>
    <w:rsid w:val="00AB2F7E"/>
    <w:rsid w:val="00AB3641"/>
    <w:rsid w:val="00AB467C"/>
    <w:rsid w:val="00AB4979"/>
    <w:rsid w:val="00AB4D5C"/>
    <w:rsid w:val="00AB4DFF"/>
    <w:rsid w:val="00AB564C"/>
    <w:rsid w:val="00AB5CE2"/>
    <w:rsid w:val="00AB6427"/>
    <w:rsid w:val="00AB6854"/>
    <w:rsid w:val="00AB7294"/>
    <w:rsid w:val="00AB72A6"/>
    <w:rsid w:val="00AB7EC3"/>
    <w:rsid w:val="00AC0B15"/>
    <w:rsid w:val="00AC155E"/>
    <w:rsid w:val="00AC168F"/>
    <w:rsid w:val="00AC18E2"/>
    <w:rsid w:val="00AC2020"/>
    <w:rsid w:val="00AC26E6"/>
    <w:rsid w:val="00AC3C5A"/>
    <w:rsid w:val="00AC521B"/>
    <w:rsid w:val="00AC5649"/>
    <w:rsid w:val="00AC5DF0"/>
    <w:rsid w:val="00AC6A40"/>
    <w:rsid w:val="00AC6F93"/>
    <w:rsid w:val="00AC7153"/>
    <w:rsid w:val="00AC7520"/>
    <w:rsid w:val="00AD06BF"/>
    <w:rsid w:val="00AD0D9B"/>
    <w:rsid w:val="00AD13AF"/>
    <w:rsid w:val="00AD18FD"/>
    <w:rsid w:val="00AD1B8F"/>
    <w:rsid w:val="00AD23E2"/>
    <w:rsid w:val="00AD2810"/>
    <w:rsid w:val="00AD3D0A"/>
    <w:rsid w:val="00AD40CD"/>
    <w:rsid w:val="00AD4329"/>
    <w:rsid w:val="00AD469F"/>
    <w:rsid w:val="00AD4C77"/>
    <w:rsid w:val="00AD52EE"/>
    <w:rsid w:val="00AD586E"/>
    <w:rsid w:val="00AD5F1B"/>
    <w:rsid w:val="00AD6C0E"/>
    <w:rsid w:val="00AD7235"/>
    <w:rsid w:val="00AD7297"/>
    <w:rsid w:val="00AE0508"/>
    <w:rsid w:val="00AE0BAC"/>
    <w:rsid w:val="00AE0F66"/>
    <w:rsid w:val="00AE1BB5"/>
    <w:rsid w:val="00AE1EF9"/>
    <w:rsid w:val="00AE2226"/>
    <w:rsid w:val="00AE2970"/>
    <w:rsid w:val="00AE3319"/>
    <w:rsid w:val="00AE4EE8"/>
    <w:rsid w:val="00AE55DD"/>
    <w:rsid w:val="00AE5BF9"/>
    <w:rsid w:val="00AE5D40"/>
    <w:rsid w:val="00AE6CA4"/>
    <w:rsid w:val="00AF007A"/>
    <w:rsid w:val="00AF0839"/>
    <w:rsid w:val="00AF0AC1"/>
    <w:rsid w:val="00AF0F44"/>
    <w:rsid w:val="00AF14A3"/>
    <w:rsid w:val="00AF1B9A"/>
    <w:rsid w:val="00AF1FB9"/>
    <w:rsid w:val="00AF23C4"/>
    <w:rsid w:val="00AF270C"/>
    <w:rsid w:val="00AF2D7A"/>
    <w:rsid w:val="00AF32AA"/>
    <w:rsid w:val="00AF32AB"/>
    <w:rsid w:val="00AF41AE"/>
    <w:rsid w:val="00AF4318"/>
    <w:rsid w:val="00AF511B"/>
    <w:rsid w:val="00AF56BC"/>
    <w:rsid w:val="00AF580C"/>
    <w:rsid w:val="00AF606B"/>
    <w:rsid w:val="00AF6280"/>
    <w:rsid w:val="00AF678B"/>
    <w:rsid w:val="00AF69DF"/>
    <w:rsid w:val="00AF6B8C"/>
    <w:rsid w:val="00AF6C36"/>
    <w:rsid w:val="00AF6EFF"/>
    <w:rsid w:val="00B001A8"/>
    <w:rsid w:val="00B009A4"/>
    <w:rsid w:val="00B00E07"/>
    <w:rsid w:val="00B0136A"/>
    <w:rsid w:val="00B016AE"/>
    <w:rsid w:val="00B01879"/>
    <w:rsid w:val="00B01A7B"/>
    <w:rsid w:val="00B01B09"/>
    <w:rsid w:val="00B01E2B"/>
    <w:rsid w:val="00B02005"/>
    <w:rsid w:val="00B0351E"/>
    <w:rsid w:val="00B04457"/>
    <w:rsid w:val="00B049E3"/>
    <w:rsid w:val="00B05166"/>
    <w:rsid w:val="00B0526B"/>
    <w:rsid w:val="00B05B26"/>
    <w:rsid w:val="00B0602F"/>
    <w:rsid w:val="00B0633B"/>
    <w:rsid w:val="00B063B3"/>
    <w:rsid w:val="00B06669"/>
    <w:rsid w:val="00B06B73"/>
    <w:rsid w:val="00B06D5A"/>
    <w:rsid w:val="00B072F9"/>
    <w:rsid w:val="00B07640"/>
    <w:rsid w:val="00B0796B"/>
    <w:rsid w:val="00B07D02"/>
    <w:rsid w:val="00B07E32"/>
    <w:rsid w:val="00B07EFF"/>
    <w:rsid w:val="00B1072E"/>
    <w:rsid w:val="00B108F6"/>
    <w:rsid w:val="00B1099E"/>
    <w:rsid w:val="00B109B1"/>
    <w:rsid w:val="00B10CFF"/>
    <w:rsid w:val="00B116FF"/>
    <w:rsid w:val="00B11F59"/>
    <w:rsid w:val="00B11F64"/>
    <w:rsid w:val="00B1300E"/>
    <w:rsid w:val="00B1371A"/>
    <w:rsid w:val="00B13998"/>
    <w:rsid w:val="00B14013"/>
    <w:rsid w:val="00B14082"/>
    <w:rsid w:val="00B14510"/>
    <w:rsid w:val="00B14B55"/>
    <w:rsid w:val="00B14E24"/>
    <w:rsid w:val="00B15C64"/>
    <w:rsid w:val="00B15E49"/>
    <w:rsid w:val="00B169A4"/>
    <w:rsid w:val="00B17033"/>
    <w:rsid w:val="00B17081"/>
    <w:rsid w:val="00B17377"/>
    <w:rsid w:val="00B2045B"/>
    <w:rsid w:val="00B20EC3"/>
    <w:rsid w:val="00B217D0"/>
    <w:rsid w:val="00B21D6A"/>
    <w:rsid w:val="00B224E0"/>
    <w:rsid w:val="00B22683"/>
    <w:rsid w:val="00B2358A"/>
    <w:rsid w:val="00B23598"/>
    <w:rsid w:val="00B235D5"/>
    <w:rsid w:val="00B235DF"/>
    <w:rsid w:val="00B243EC"/>
    <w:rsid w:val="00B24A0B"/>
    <w:rsid w:val="00B25274"/>
    <w:rsid w:val="00B252EE"/>
    <w:rsid w:val="00B254C6"/>
    <w:rsid w:val="00B25F7C"/>
    <w:rsid w:val="00B268E9"/>
    <w:rsid w:val="00B26A8E"/>
    <w:rsid w:val="00B274F9"/>
    <w:rsid w:val="00B277AD"/>
    <w:rsid w:val="00B27A3F"/>
    <w:rsid w:val="00B27E74"/>
    <w:rsid w:val="00B31738"/>
    <w:rsid w:val="00B32514"/>
    <w:rsid w:val="00B32B33"/>
    <w:rsid w:val="00B33385"/>
    <w:rsid w:val="00B34205"/>
    <w:rsid w:val="00B34B5B"/>
    <w:rsid w:val="00B353B1"/>
    <w:rsid w:val="00B35DE1"/>
    <w:rsid w:val="00B3609B"/>
    <w:rsid w:val="00B366D7"/>
    <w:rsid w:val="00B36BED"/>
    <w:rsid w:val="00B36D4E"/>
    <w:rsid w:val="00B36DF3"/>
    <w:rsid w:val="00B37327"/>
    <w:rsid w:val="00B37C71"/>
    <w:rsid w:val="00B37D33"/>
    <w:rsid w:val="00B37DA5"/>
    <w:rsid w:val="00B40915"/>
    <w:rsid w:val="00B40A6D"/>
    <w:rsid w:val="00B40E62"/>
    <w:rsid w:val="00B41103"/>
    <w:rsid w:val="00B4152C"/>
    <w:rsid w:val="00B41771"/>
    <w:rsid w:val="00B41AAF"/>
    <w:rsid w:val="00B42610"/>
    <w:rsid w:val="00B428D8"/>
    <w:rsid w:val="00B42A12"/>
    <w:rsid w:val="00B42D02"/>
    <w:rsid w:val="00B42F8E"/>
    <w:rsid w:val="00B440FE"/>
    <w:rsid w:val="00B444C7"/>
    <w:rsid w:val="00B446D0"/>
    <w:rsid w:val="00B44841"/>
    <w:rsid w:val="00B44E57"/>
    <w:rsid w:val="00B45184"/>
    <w:rsid w:val="00B4529F"/>
    <w:rsid w:val="00B4561B"/>
    <w:rsid w:val="00B45888"/>
    <w:rsid w:val="00B45B31"/>
    <w:rsid w:val="00B46197"/>
    <w:rsid w:val="00B46ADC"/>
    <w:rsid w:val="00B46C26"/>
    <w:rsid w:val="00B46DE5"/>
    <w:rsid w:val="00B475F4"/>
    <w:rsid w:val="00B47BE0"/>
    <w:rsid w:val="00B5007C"/>
    <w:rsid w:val="00B50432"/>
    <w:rsid w:val="00B50696"/>
    <w:rsid w:val="00B50BDD"/>
    <w:rsid w:val="00B514D5"/>
    <w:rsid w:val="00B51696"/>
    <w:rsid w:val="00B51830"/>
    <w:rsid w:val="00B51D84"/>
    <w:rsid w:val="00B51FF8"/>
    <w:rsid w:val="00B52095"/>
    <w:rsid w:val="00B5285F"/>
    <w:rsid w:val="00B52C19"/>
    <w:rsid w:val="00B546E1"/>
    <w:rsid w:val="00B547E1"/>
    <w:rsid w:val="00B55340"/>
    <w:rsid w:val="00B5545E"/>
    <w:rsid w:val="00B554D6"/>
    <w:rsid w:val="00B555CF"/>
    <w:rsid w:val="00B55661"/>
    <w:rsid w:val="00B55E58"/>
    <w:rsid w:val="00B561DC"/>
    <w:rsid w:val="00B56400"/>
    <w:rsid w:val="00B56878"/>
    <w:rsid w:val="00B56996"/>
    <w:rsid w:val="00B56C5F"/>
    <w:rsid w:val="00B57251"/>
    <w:rsid w:val="00B576DE"/>
    <w:rsid w:val="00B57C33"/>
    <w:rsid w:val="00B60AA8"/>
    <w:rsid w:val="00B60D3D"/>
    <w:rsid w:val="00B60E69"/>
    <w:rsid w:val="00B60F08"/>
    <w:rsid w:val="00B610F9"/>
    <w:rsid w:val="00B61376"/>
    <w:rsid w:val="00B61E07"/>
    <w:rsid w:val="00B61E7E"/>
    <w:rsid w:val="00B61FED"/>
    <w:rsid w:val="00B6202C"/>
    <w:rsid w:val="00B62901"/>
    <w:rsid w:val="00B63721"/>
    <w:rsid w:val="00B63E38"/>
    <w:rsid w:val="00B642EA"/>
    <w:rsid w:val="00B64EB0"/>
    <w:rsid w:val="00B6521C"/>
    <w:rsid w:val="00B65289"/>
    <w:rsid w:val="00B65352"/>
    <w:rsid w:val="00B66779"/>
    <w:rsid w:val="00B66A42"/>
    <w:rsid w:val="00B66B72"/>
    <w:rsid w:val="00B67D16"/>
    <w:rsid w:val="00B70D2A"/>
    <w:rsid w:val="00B70E12"/>
    <w:rsid w:val="00B70E68"/>
    <w:rsid w:val="00B7141F"/>
    <w:rsid w:val="00B7156A"/>
    <w:rsid w:val="00B7168C"/>
    <w:rsid w:val="00B720F7"/>
    <w:rsid w:val="00B723A7"/>
    <w:rsid w:val="00B726B8"/>
    <w:rsid w:val="00B72BCA"/>
    <w:rsid w:val="00B72C26"/>
    <w:rsid w:val="00B7311F"/>
    <w:rsid w:val="00B73397"/>
    <w:rsid w:val="00B735AF"/>
    <w:rsid w:val="00B742FD"/>
    <w:rsid w:val="00B7697A"/>
    <w:rsid w:val="00B77493"/>
    <w:rsid w:val="00B77E6F"/>
    <w:rsid w:val="00B8106A"/>
    <w:rsid w:val="00B82CB9"/>
    <w:rsid w:val="00B832D9"/>
    <w:rsid w:val="00B848D9"/>
    <w:rsid w:val="00B84A82"/>
    <w:rsid w:val="00B8546C"/>
    <w:rsid w:val="00B85886"/>
    <w:rsid w:val="00B85C93"/>
    <w:rsid w:val="00B86186"/>
    <w:rsid w:val="00B86409"/>
    <w:rsid w:val="00B87020"/>
    <w:rsid w:val="00B873FB"/>
    <w:rsid w:val="00B8755D"/>
    <w:rsid w:val="00B8780A"/>
    <w:rsid w:val="00B87A57"/>
    <w:rsid w:val="00B9000D"/>
    <w:rsid w:val="00B90603"/>
    <w:rsid w:val="00B90949"/>
    <w:rsid w:val="00B912C0"/>
    <w:rsid w:val="00B926EB"/>
    <w:rsid w:val="00B92A40"/>
    <w:rsid w:val="00B92FC0"/>
    <w:rsid w:val="00B936CC"/>
    <w:rsid w:val="00B93746"/>
    <w:rsid w:val="00B94681"/>
    <w:rsid w:val="00B94C5E"/>
    <w:rsid w:val="00B94FFC"/>
    <w:rsid w:val="00B95362"/>
    <w:rsid w:val="00B9536B"/>
    <w:rsid w:val="00B95E4B"/>
    <w:rsid w:val="00B967F9"/>
    <w:rsid w:val="00B96B6C"/>
    <w:rsid w:val="00B97610"/>
    <w:rsid w:val="00B976F3"/>
    <w:rsid w:val="00BA046B"/>
    <w:rsid w:val="00BA0622"/>
    <w:rsid w:val="00BA1633"/>
    <w:rsid w:val="00BA1AB3"/>
    <w:rsid w:val="00BA1D7F"/>
    <w:rsid w:val="00BA23A3"/>
    <w:rsid w:val="00BA2D0D"/>
    <w:rsid w:val="00BA2D24"/>
    <w:rsid w:val="00BA3A96"/>
    <w:rsid w:val="00BA4FA9"/>
    <w:rsid w:val="00BA5ACF"/>
    <w:rsid w:val="00BA6B37"/>
    <w:rsid w:val="00BA7574"/>
    <w:rsid w:val="00BB039A"/>
    <w:rsid w:val="00BB046B"/>
    <w:rsid w:val="00BB1316"/>
    <w:rsid w:val="00BB239F"/>
    <w:rsid w:val="00BB2A5B"/>
    <w:rsid w:val="00BB2C41"/>
    <w:rsid w:val="00BB2E14"/>
    <w:rsid w:val="00BB336D"/>
    <w:rsid w:val="00BB3408"/>
    <w:rsid w:val="00BB3938"/>
    <w:rsid w:val="00BB3B2F"/>
    <w:rsid w:val="00BB3D46"/>
    <w:rsid w:val="00BB3F89"/>
    <w:rsid w:val="00BB43F1"/>
    <w:rsid w:val="00BB4760"/>
    <w:rsid w:val="00BB4994"/>
    <w:rsid w:val="00BB4E5B"/>
    <w:rsid w:val="00BB5E25"/>
    <w:rsid w:val="00BB6702"/>
    <w:rsid w:val="00BB677C"/>
    <w:rsid w:val="00BB6970"/>
    <w:rsid w:val="00BB75C7"/>
    <w:rsid w:val="00BC03E5"/>
    <w:rsid w:val="00BC05F4"/>
    <w:rsid w:val="00BC07BB"/>
    <w:rsid w:val="00BC22E8"/>
    <w:rsid w:val="00BC4124"/>
    <w:rsid w:val="00BC4357"/>
    <w:rsid w:val="00BC5050"/>
    <w:rsid w:val="00BC5DE5"/>
    <w:rsid w:val="00BC61FC"/>
    <w:rsid w:val="00BC65F3"/>
    <w:rsid w:val="00BC6DCA"/>
    <w:rsid w:val="00BC717A"/>
    <w:rsid w:val="00BC71F5"/>
    <w:rsid w:val="00BC750A"/>
    <w:rsid w:val="00BC7698"/>
    <w:rsid w:val="00BC7B0C"/>
    <w:rsid w:val="00BD125C"/>
    <w:rsid w:val="00BD16E1"/>
    <w:rsid w:val="00BD1B3F"/>
    <w:rsid w:val="00BD1C7B"/>
    <w:rsid w:val="00BD2277"/>
    <w:rsid w:val="00BD2D9A"/>
    <w:rsid w:val="00BD2FA5"/>
    <w:rsid w:val="00BD38E3"/>
    <w:rsid w:val="00BD3AB9"/>
    <w:rsid w:val="00BD4725"/>
    <w:rsid w:val="00BD50DF"/>
    <w:rsid w:val="00BD61B6"/>
    <w:rsid w:val="00BD624D"/>
    <w:rsid w:val="00BD68CB"/>
    <w:rsid w:val="00BD6D4B"/>
    <w:rsid w:val="00BD7F0E"/>
    <w:rsid w:val="00BE01B9"/>
    <w:rsid w:val="00BE0351"/>
    <w:rsid w:val="00BE0B44"/>
    <w:rsid w:val="00BE0D0B"/>
    <w:rsid w:val="00BE142C"/>
    <w:rsid w:val="00BE1A35"/>
    <w:rsid w:val="00BE1A51"/>
    <w:rsid w:val="00BE20F5"/>
    <w:rsid w:val="00BE2449"/>
    <w:rsid w:val="00BE2EC0"/>
    <w:rsid w:val="00BE399B"/>
    <w:rsid w:val="00BE4016"/>
    <w:rsid w:val="00BE4423"/>
    <w:rsid w:val="00BE465B"/>
    <w:rsid w:val="00BE478B"/>
    <w:rsid w:val="00BE4A7F"/>
    <w:rsid w:val="00BE503B"/>
    <w:rsid w:val="00BE5E8A"/>
    <w:rsid w:val="00BE6281"/>
    <w:rsid w:val="00BE69C6"/>
    <w:rsid w:val="00BE785F"/>
    <w:rsid w:val="00BE7B38"/>
    <w:rsid w:val="00BE7F7D"/>
    <w:rsid w:val="00BF04DA"/>
    <w:rsid w:val="00BF0D4F"/>
    <w:rsid w:val="00BF0F48"/>
    <w:rsid w:val="00BF13D2"/>
    <w:rsid w:val="00BF169F"/>
    <w:rsid w:val="00BF1A78"/>
    <w:rsid w:val="00BF1ACD"/>
    <w:rsid w:val="00BF1B58"/>
    <w:rsid w:val="00BF22F6"/>
    <w:rsid w:val="00BF27B5"/>
    <w:rsid w:val="00BF2D17"/>
    <w:rsid w:val="00BF3F7B"/>
    <w:rsid w:val="00BF43AA"/>
    <w:rsid w:val="00BF5B01"/>
    <w:rsid w:val="00BF5B28"/>
    <w:rsid w:val="00BF72AD"/>
    <w:rsid w:val="00BF7AA4"/>
    <w:rsid w:val="00BF7B8D"/>
    <w:rsid w:val="00BF7BDC"/>
    <w:rsid w:val="00BF7FA2"/>
    <w:rsid w:val="00C00578"/>
    <w:rsid w:val="00C014AA"/>
    <w:rsid w:val="00C018F5"/>
    <w:rsid w:val="00C021D5"/>
    <w:rsid w:val="00C02749"/>
    <w:rsid w:val="00C02EB3"/>
    <w:rsid w:val="00C03F7C"/>
    <w:rsid w:val="00C04114"/>
    <w:rsid w:val="00C04DDF"/>
    <w:rsid w:val="00C050AF"/>
    <w:rsid w:val="00C05F90"/>
    <w:rsid w:val="00C066AC"/>
    <w:rsid w:val="00C06A81"/>
    <w:rsid w:val="00C06C67"/>
    <w:rsid w:val="00C06CBD"/>
    <w:rsid w:val="00C07189"/>
    <w:rsid w:val="00C073BC"/>
    <w:rsid w:val="00C07883"/>
    <w:rsid w:val="00C078B3"/>
    <w:rsid w:val="00C079CF"/>
    <w:rsid w:val="00C07B2E"/>
    <w:rsid w:val="00C07C48"/>
    <w:rsid w:val="00C07DBF"/>
    <w:rsid w:val="00C100C2"/>
    <w:rsid w:val="00C10818"/>
    <w:rsid w:val="00C1094D"/>
    <w:rsid w:val="00C10AB1"/>
    <w:rsid w:val="00C10E52"/>
    <w:rsid w:val="00C1112A"/>
    <w:rsid w:val="00C11580"/>
    <w:rsid w:val="00C11DCB"/>
    <w:rsid w:val="00C11E21"/>
    <w:rsid w:val="00C123C3"/>
    <w:rsid w:val="00C1289F"/>
    <w:rsid w:val="00C12FC9"/>
    <w:rsid w:val="00C13603"/>
    <w:rsid w:val="00C14BD8"/>
    <w:rsid w:val="00C1561A"/>
    <w:rsid w:val="00C15798"/>
    <w:rsid w:val="00C15A8B"/>
    <w:rsid w:val="00C15DE4"/>
    <w:rsid w:val="00C15F9D"/>
    <w:rsid w:val="00C166EC"/>
    <w:rsid w:val="00C1694F"/>
    <w:rsid w:val="00C16F48"/>
    <w:rsid w:val="00C174D4"/>
    <w:rsid w:val="00C1777C"/>
    <w:rsid w:val="00C17DA7"/>
    <w:rsid w:val="00C210E7"/>
    <w:rsid w:val="00C21282"/>
    <w:rsid w:val="00C21443"/>
    <w:rsid w:val="00C234AD"/>
    <w:rsid w:val="00C23891"/>
    <w:rsid w:val="00C23903"/>
    <w:rsid w:val="00C255F7"/>
    <w:rsid w:val="00C2577F"/>
    <w:rsid w:val="00C25996"/>
    <w:rsid w:val="00C25B06"/>
    <w:rsid w:val="00C2655F"/>
    <w:rsid w:val="00C26BBA"/>
    <w:rsid w:val="00C27198"/>
    <w:rsid w:val="00C27761"/>
    <w:rsid w:val="00C279EF"/>
    <w:rsid w:val="00C27A76"/>
    <w:rsid w:val="00C27B87"/>
    <w:rsid w:val="00C30005"/>
    <w:rsid w:val="00C301B8"/>
    <w:rsid w:val="00C30BAA"/>
    <w:rsid w:val="00C31995"/>
    <w:rsid w:val="00C31B21"/>
    <w:rsid w:val="00C330D4"/>
    <w:rsid w:val="00C3374B"/>
    <w:rsid w:val="00C33831"/>
    <w:rsid w:val="00C338EA"/>
    <w:rsid w:val="00C34A70"/>
    <w:rsid w:val="00C351A3"/>
    <w:rsid w:val="00C353D3"/>
    <w:rsid w:val="00C35737"/>
    <w:rsid w:val="00C35A38"/>
    <w:rsid w:val="00C35C04"/>
    <w:rsid w:val="00C36310"/>
    <w:rsid w:val="00C36E06"/>
    <w:rsid w:val="00C371B5"/>
    <w:rsid w:val="00C373CA"/>
    <w:rsid w:val="00C37424"/>
    <w:rsid w:val="00C3743A"/>
    <w:rsid w:val="00C37C2D"/>
    <w:rsid w:val="00C37DA4"/>
    <w:rsid w:val="00C40895"/>
    <w:rsid w:val="00C408BA"/>
    <w:rsid w:val="00C4155A"/>
    <w:rsid w:val="00C41B42"/>
    <w:rsid w:val="00C41CA1"/>
    <w:rsid w:val="00C42384"/>
    <w:rsid w:val="00C42566"/>
    <w:rsid w:val="00C42EF1"/>
    <w:rsid w:val="00C42F25"/>
    <w:rsid w:val="00C43163"/>
    <w:rsid w:val="00C4321F"/>
    <w:rsid w:val="00C43275"/>
    <w:rsid w:val="00C43C4F"/>
    <w:rsid w:val="00C43D19"/>
    <w:rsid w:val="00C44AB3"/>
    <w:rsid w:val="00C451E7"/>
    <w:rsid w:val="00C45326"/>
    <w:rsid w:val="00C457F0"/>
    <w:rsid w:val="00C45A9F"/>
    <w:rsid w:val="00C45BA6"/>
    <w:rsid w:val="00C4643D"/>
    <w:rsid w:val="00C469DD"/>
    <w:rsid w:val="00C46B92"/>
    <w:rsid w:val="00C47F63"/>
    <w:rsid w:val="00C50A4B"/>
    <w:rsid w:val="00C50AEE"/>
    <w:rsid w:val="00C50D45"/>
    <w:rsid w:val="00C51253"/>
    <w:rsid w:val="00C5196E"/>
    <w:rsid w:val="00C51B73"/>
    <w:rsid w:val="00C52A61"/>
    <w:rsid w:val="00C52B43"/>
    <w:rsid w:val="00C535C8"/>
    <w:rsid w:val="00C53749"/>
    <w:rsid w:val="00C53DBA"/>
    <w:rsid w:val="00C55791"/>
    <w:rsid w:val="00C56D76"/>
    <w:rsid w:val="00C571BD"/>
    <w:rsid w:val="00C573C0"/>
    <w:rsid w:val="00C57819"/>
    <w:rsid w:val="00C6009E"/>
    <w:rsid w:val="00C60115"/>
    <w:rsid w:val="00C6054C"/>
    <w:rsid w:val="00C60667"/>
    <w:rsid w:val="00C60A48"/>
    <w:rsid w:val="00C61129"/>
    <w:rsid w:val="00C6171C"/>
    <w:rsid w:val="00C61A73"/>
    <w:rsid w:val="00C62EDC"/>
    <w:rsid w:val="00C63F49"/>
    <w:rsid w:val="00C64DBD"/>
    <w:rsid w:val="00C652A3"/>
    <w:rsid w:val="00C65B1D"/>
    <w:rsid w:val="00C667CE"/>
    <w:rsid w:val="00C66A21"/>
    <w:rsid w:val="00C67FE6"/>
    <w:rsid w:val="00C70140"/>
    <w:rsid w:val="00C7052A"/>
    <w:rsid w:val="00C70A94"/>
    <w:rsid w:val="00C718E7"/>
    <w:rsid w:val="00C72108"/>
    <w:rsid w:val="00C72800"/>
    <w:rsid w:val="00C72FC7"/>
    <w:rsid w:val="00C73915"/>
    <w:rsid w:val="00C740D0"/>
    <w:rsid w:val="00C75154"/>
    <w:rsid w:val="00C752AA"/>
    <w:rsid w:val="00C7530E"/>
    <w:rsid w:val="00C75714"/>
    <w:rsid w:val="00C75AEE"/>
    <w:rsid w:val="00C766CF"/>
    <w:rsid w:val="00C76E35"/>
    <w:rsid w:val="00C77346"/>
    <w:rsid w:val="00C77B09"/>
    <w:rsid w:val="00C77E21"/>
    <w:rsid w:val="00C80653"/>
    <w:rsid w:val="00C80AC3"/>
    <w:rsid w:val="00C80CA9"/>
    <w:rsid w:val="00C80D68"/>
    <w:rsid w:val="00C814FA"/>
    <w:rsid w:val="00C81CB4"/>
    <w:rsid w:val="00C82319"/>
    <w:rsid w:val="00C8266A"/>
    <w:rsid w:val="00C82687"/>
    <w:rsid w:val="00C82911"/>
    <w:rsid w:val="00C83358"/>
    <w:rsid w:val="00C837AD"/>
    <w:rsid w:val="00C83B21"/>
    <w:rsid w:val="00C83D38"/>
    <w:rsid w:val="00C83EB4"/>
    <w:rsid w:val="00C840E0"/>
    <w:rsid w:val="00C84DDA"/>
    <w:rsid w:val="00C85E28"/>
    <w:rsid w:val="00C86449"/>
    <w:rsid w:val="00C869D3"/>
    <w:rsid w:val="00C87254"/>
    <w:rsid w:val="00C87267"/>
    <w:rsid w:val="00C872EA"/>
    <w:rsid w:val="00C87A50"/>
    <w:rsid w:val="00C87AA2"/>
    <w:rsid w:val="00C87CD9"/>
    <w:rsid w:val="00C901DE"/>
    <w:rsid w:val="00C9056E"/>
    <w:rsid w:val="00C909F9"/>
    <w:rsid w:val="00C90DE8"/>
    <w:rsid w:val="00C91B08"/>
    <w:rsid w:val="00C9281E"/>
    <w:rsid w:val="00C9311C"/>
    <w:rsid w:val="00C9316D"/>
    <w:rsid w:val="00C933DD"/>
    <w:rsid w:val="00C936AB"/>
    <w:rsid w:val="00C94BC3"/>
    <w:rsid w:val="00C95352"/>
    <w:rsid w:val="00C95991"/>
    <w:rsid w:val="00C95EDF"/>
    <w:rsid w:val="00C960B6"/>
    <w:rsid w:val="00C966A5"/>
    <w:rsid w:val="00C97FE1"/>
    <w:rsid w:val="00CA13B1"/>
    <w:rsid w:val="00CA26BC"/>
    <w:rsid w:val="00CA31B8"/>
    <w:rsid w:val="00CA32E7"/>
    <w:rsid w:val="00CA3311"/>
    <w:rsid w:val="00CA3A46"/>
    <w:rsid w:val="00CA3A9E"/>
    <w:rsid w:val="00CA4680"/>
    <w:rsid w:val="00CA4954"/>
    <w:rsid w:val="00CA52F3"/>
    <w:rsid w:val="00CA6256"/>
    <w:rsid w:val="00CA661E"/>
    <w:rsid w:val="00CA674F"/>
    <w:rsid w:val="00CA67B4"/>
    <w:rsid w:val="00CA6DDE"/>
    <w:rsid w:val="00CA709F"/>
    <w:rsid w:val="00CB02DC"/>
    <w:rsid w:val="00CB08BB"/>
    <w:rsid w:val="00CB094D"/>
    <w:rsid w:val="00CB09D3"/>
    <w:rsid w:val="00CB0A0A"/>
    <w:rsid w:val="00CB0A4A"/>
    <w:rsid w:val="00CB11E1"/>
    <w:rsid w:val="00CB11E3"/>
    <w:rsid w:val="00CB176E"/>
    <w:rsid w:val="00CB1FD2"/>
    <w:rsid w:val="00CB206C"/>
    <w:rsid w:val="00CB2088"/>
    <w:rsid w:val="00CB2156"/>
    <w:rsid w:val="00CB2584"/>
    <w:rsid w:val="00CB40C9"/>
    <w:rsid w:val="00CB4350"/>
    <w:rsid w:val="00CB44E7"/>
    <w:rsid w:val="00CB4F9C"/>
    <w:rsid w:val="00CB55D1"/>
    <w:rsid w:val="00CB5690"/>
    <w:rsid w:val="00CB57FF"/>
    <w:rsid w:val="00CB59F7"/>
    <w:rsid w:val="00CB5E8A"/>
    <w:rsid w:val="00CB6138"/>
    <w:rsid w:val="00CB6355"/>
    <w:rsid w:val="00CB6C19"/>
    <w:rsid w:val="00CB6D8C"/>
    <w:rsid w:val="00CB6E6F"/>
    <w:rsid w:val="00CB7837"/>
    <w:rsid w:val="00CC03E3"/>
    <w:rsid w:val="00CC0E3B"/>
    <w:rsid w:val="00CC1975"/>
    <w:rsid w:val="00CC2D31"/>
    <w:rsid w:val="00CC3103"/>
    <w:rsid w:val="00CC3EBB"/>
    <w:rsid w:val="00CC41B3"/>
    <w:rsid w:val="00CC4B2D"/>
    <w:rsid w:val="00CC5B55"/>
    <w:rsid w:val="00CC71FA"/>
    <w:rsid w:val="00CC72AC"/>
    <w:rsid w:val="00CD05A7"/>
    <w:rsid w:val="00CD18B6"/>
    <w:rsid w:val="00CD1CF9"/>
    <w:rsid w:val="00CD3DB3"/>
    <w:rsid w:val="00CD3EB3"/>
    <w:rsid w:val="00CD4280"/>
    <w:rsid w:val="00CD4ACE"/>
    <w:rsid w:val="00CD5464"/>
    <w:rsid w:val="00CD5493"/>
    <w:rsid w:val="00CD62F2"/>
    <w:rsid w:val="00CD638C"/>
    <w:rsid w:val="00CD6705"/>
    <w:rsid w:val="00CD6789"/>
    <w:rsid w:val="00CD6C05"/>
    <w:rsid w:val="00CD7028"/>
    <w:rsid w:val="00CD71AA"/>
    <w:rsid w:val="00CD71D5"/>
    <w:rsid w:val="00CD7616"/>
    <w:rsid w:val="00CE13F8"/>
    <w:rsid w:val="00CE1B64"/>
    <w:rsid w:val="00CE1D06"/>
    <w:rsid w:val="00CE1E36"/>
    <w:rsid w:val="00CE1F13"/>
    <w:rsid w:val="00CE210C"/>
    <w:rsid w:val="00CE24E4"/>
    <w:rsid w:val="00CE2BD8"/>
    <w:rsid w:val="00CE2D95"/>
    <w:rsid w:val="00CE3755"/>
    <w:rsid w:val="00CE378A"/>
    <w:rsid w:val="00CE3BFC"/>
    <w:rsid w:val="00CE42D7"/>
    <w:rsid w:val="00CE4B32"/>
    <w:rsid w:val="00CE5332"/>
    <w:rsid w:val="00CE6E9A"/>
    <w:rsid w:val="00CE709A"/>
    <w:rsid w:val="00CE74ED"/>
    <w:rsid w:val="00CF00AC"/>
    <w:rsid w:val="00CF04B8"/>
    <w:rsid w:val="00CF0B6B"/>
    <w:rsid w:val="00CF0D00"/>
    <w:rsid w:val="00CF1033"/>
    <w:rsid w:val="00CF14EE"/>
    <w:rsid w:val="00CF1CFA"/>
    <w:rsid w:val="00CF1F0C"/>
    <w:rsid w:val="00CF28BC"/>
    <w:rsid w:val="00CF305C"/>
    <w:rsid w:val="00CF338B"/>
    <w:rsid w:val="00CF38C7"/>
    <w:rsid w:val="00CF3976"/>
    <w:rsid w:val="00CF3F94"/>
    <w:rsid w:val="00CF404C"/>
    <w:rsid w:val="00CF40AE"/>
    <w:rsid w:val="00CF475A"/>
    <w:rsid w:val="00CF7173"/>
    <w:rsid w:val="00CF76EF"/>
    <w:rsid w:val="00D0003A"/>
    <w:rsid w:val="00D00952"/>
    <w:rsid w:val="00D00AA0"/>
    <w:rsid w:val="00D02406"/>
    <w:rsid w:val="00D03026"/>
    <w:rsid w:val="00D03663"/>
    <w:rsid w:val="00D03831"/>
    <w:rsid w:val="00D03ED1"/>
    <w:rsid w:val="00D04627"/>
    <w:rsid w:val="00D046C3"/>
    <w:rsid w:val="00D046DD"/>
    <w:rsid w:val="00D04AD5"/>
    <w:rsid w:val="00D04C1F"/>
    <w:rsid w:val="00D04F59"/>
    <w:rsid w:val="00D058D6"/>
    <w:rsid w:val="00D05CFB"/>
    <w:rsid w:val="00D06351"/>
    <w:rsid w:val="00D06573"/>
    <w:rsid w:val="00D065E8"/>
    <w:rsid w:val="00D068AA"/>
    <w:rsid w:val="00D06D35"/>
    <w:rsid w:val="00D07156"/>
    <w:rsid w:val="00D071B9"/>
    <w:rsid w:val="00D071F3"/>
    <w:rsid w:val="00D10934"/>
    <w:rsid w:val="00D10D89"/>
    <w:rsid w:val="00D10E00"/>
    <w:rsid w:val="00D114B4"/>
    <w:rsid w:val="00D11662"/>
    <w:rsid w:val="00D117B1"/>
    <w:rsid w:val="00D12045"/>
    <w:rsid w:val="00D12686"/>
    <w:rsid w:val="00D133BE"/>
    <w:rsid w:val="00D133D2"/>
    <w:rsid w:val="00D13A99"/>
    <w:rsid w:val="00D13A9E"/>
    <w:rsid w:val="00D13B67"/>
    <w:rsid w:val="00D13C0A"/>
    <w:rsid w:val="00D13CA1"/>
    <w:rsid w:val="00D1447F"/>
    <w:rsid w:val="00D145F6"/>
    <w:rsid w:val="00D1474B"/>
    <w:rsid w:val="00D155DF"/>
    <w:rsid w:val="00D16A5D"/>
    <w:rsid w:val="00D16DEC"/>
    <w:rsid w:val="00D170AF"/>
    <w:rsid w:val="00D17EA8"/>
    <w:rsid w:val="00D1B57E"/>
    <w:rsid w:val="00D20072"/>
    <w:rsid w:val="00D2015C"/>
    <w:rsid w:val="00D20A4C"/>
    <w:rsid w:val="00D20C10"/>
    <w:rsid w:val="00D20D47"/>
    <w:rsid w:val="00D20DA8"/>
    <w:rsid w:val="00D20FD1"/>
    <w:rsid w:val="00D22635"/>
    <w:rsid w:val="00D22B05"/>
    <w:rsid w:val="00D22B42"/>
    <w:rsid w:val="00D23249"/>
    <w:rsid w:val="00D232CF"/>
    <w:rsid w:val="00D23B67"/>
    <w:rsid w:val="00D23EE5"/>
    <w:rsid w:val="00D2425D"/>
    <w:rsid w:val="00D243B7"/>
    <w:rsid w:val="00D2456B"/>
    <w:rsid w:val="00D24ED9"/>
    <w:rsid w:val="00D255BF"/>
    <w:rsid w:val="00D255EA"/>
    <w:rsid w:val="00D25B10"/>
    <w:rsid w:val="00D2631A"/>
    <w:rsid w:val="00D2644B"/>
    <w:rsid w:val="00D26774"/>
    <w:rsid w:val="00D2719E"/>
    <w:rsid w:val="00D27271"/>
    <w:rsid w:val="00D27562"/>
    <w:rsid w:val="00D3042F"/>
    <w:rsid w:val="00D307C4"/>
    <w:rsid w:val="00D30A8F"/>
    <w:rsid w:val="00D30AC5"/>
    <w:rsid w:val="00D30B81"/>
    <w:rsid w:val="00D30F2E"/>
    <w:rsid w:val="00D312E3"/>
    <w:rsid w:val="00D31CCF"/>
    <w:rsid w:val="00D31E21"/>
    <w:rsid w:val="00D32AA8"/>
    <w:rsid w:val="00D32E4F"/>
    <w:rsid w:val="00D33101"/>
    <w:rsid w:val="00D33670"/>
    <w:rsid w:val="00D33945"/>
    <w:rsid w:val="00D33F4B"/>
    <w:rsid w:val="00D34EBE"/>
    <w:rsid w:val="00D352A8"/>
    <w:rsid w:val="00D3664D"/>
    <w:rsid w:val="00D36F6E"/>
    <w:rsid w:val="00D37954"/>
    <w:rsid w:val="00D404B1"/>
    <w:rsid w:val="00D40DBD"/>
    <w:rsid w:val="00D40FD0"/>
    <w:rsid w:val="00D4166B"/>
    <w:rsid w:val="00D42049"/>
    <w:rsid w:val="00D42279"/>
    <w:rsid w:val="00D42F87"/>
    <w:rsid w:val="00D4373F"/>
    <w:rsid w:val="00D438BE"/>
    <w:rsid w:val="00D4410E"/>
    <w:rsid w:val="00D447CD"/>
    <w:rsid w:val="00D44A2D"/>
    <w:rsid w:val="00D451A4"/>
    <w:rsid w:val="00D45392"/>
    <w:rsid w:val="00D4544A"/>
    <w:rsid w:val="00D456FE"/>
    <w:rsid w:val="00D46393"/>
    <w:rsid w:val="00D46D59"/>
    <w:rsid w:val="00D47974"/>
    <w:rsid w:val="00D47E35"/>
    <w:rsid w:val="00D50182"/>
    <w:rsid w:val="00D5026E"/>
    <w:rsid w:val="00D508E1"/>
    <w:rsid w:val="00D50F5D"/>
    <w:rsid w:val="00D515D8"/>
    <w:rsid w:val="00D51BA7"/>
    <w:rsid w:val="00D52B59"/>
    <w:rsid w:val="00D53768"/>
    <w:rsid w:val="00D53AB3"/>
    <w:rsid w:val="00D54C84"/>
    <w:rsid w:val="00D5581F"/>
    <w:rsid w:val="00D559CB"/>
    <w:rsid w:val="00D55BCE"/>
    <w:rsid w:val="00D56508"/>
    <w:rsid w:val="00D566FD"/>
    <w:rsid w:val="00D57AC9"/>
    <w:rsid w:val="00D57CE3"/>
    <w:rsid w:val="00D57D25"/>
    <w:rsid w:val="00D6011E"/>
    <w:rsid w:val="00D605D2"/>
    <w:rsid w:val="00D60662"/>
    <w:rsid w:val="00D632EB"/>
    <w:rsid w:val="00D634D9"/>
    <w:rsid w:val="00D6486A"/>
    <w:rsid w:val="00D6501F"/>
    <w:rsid w:val="00D67168"/>
    <w:rsid w:val="00D67405"/>
    <w:rsid w:val="00D67577"/>
    <w:rsid w:val="00D67ACB"/>
    <w:rsid w:val="00D7051E"/>
    <w:rsid w:val="00D708E4"/>
    <w:rsid w:val="00D70A31"/>
    <w:rsid w:val="00D70AEF"/>
    <w:rsid w:val="00D70F6F"/>
    <w:rsid w:val="00D711E3"/>
    <w:rsid w:val="00D71A1F"/>
    <w:rsid w:val="00D71CDA"/>
    <w:rsid w:val="00D72019"/>
    <w:rsid w:val="00D72B68"/>
    <w:rsid w:val="00D73AC8"/>
    <w:rsid w:val="00D73B0A"/>
    <w:rsid w:val="00D73CE0"/>
    <w:rsid w:val="00D740EF"/>
    <w:rsid w:val="00D7465A"/>
    <w:rsid w:val="00D74881"/>
    <w:rsid w:val="00D74AC9"/>
    <w:rsid w:val="00D7502A"/>
    <w:rsid w:val="00D75700"/>
    <w:rsid w:val="00D76819"/>
    <w:rsid w:val="00D769F6"/>
    <w:rsid w:val="00D76DDB"/>
    <w:rsid w:val="00D7704F"/>
    <w:rsid w:val="00D770DC"/>
    <w:rsid w:val="00D80F89"/>
    <w:rsid w:val="00D81401"/>
    <w:rsid w:val="00D81E2D"/>
    <w:rsid w:val="00D81FBF"/>
    <w:rsid w:val="00D82A82"/>
    <w:rsid w:val="00D83695"/>
    <w:rsid w:val="00D83703"/>
    <w:rsid w:val="00D83B59"/>
    <w:rsid w:val="00D84442"/>
    <w:rsid w:val="00D84902"/>
    <w:rsid w:val="00D84CE0"/>
    <w:rsid w:val="00D84F38"/>
    <w:rsid w:val="00D8555E"/>
    <w:rsid w:val="00D85B06"/>
    <w:rsid w:val="00D865E0"/>
    <w:rsid w:val="00D86D58"/>
    <w:rsid w:val="00D86E87"/>
    <w:rsid w:val="00D87B4A"/>
    <w:rsid w:val="00D9020B"/>
    <w:rsid w:val="00D906DE"/>
    <w:rsid w:val="00D906E6"/>
    <w:rsid w:val="00D9074A"/>
    <w:rsid w:val="00D90794"/>
    <w:rsid w:val="00D90886"/>
    <w:rsid w:val="00D90DE4"/>
    <w:rsid w:val="00D911DF"/>
    <w:rsid w:val="00D918CC"/>
    <w:rsid w:val="00D91F30"/>
    <w:rsid w:val="00D939C1"/>
    <w:rsid w:val="00D93A03"/>
    <w:rsid w:val="00D93A76"/>
    <w:rsid w:val="00D93C3A"/>
    <w:rsid w:val="00D9459C"/>
    <w:rsid w:val="00D9473D"/>
    <w:rsid w:val="00D958F4"/>
    <w:rsid w:val="00D95991"/>
    <w:rsid w:val="00D95D76"/>
    <w:rsid w:val="00D95F69"/>
    <w:rsid w:val="00D96064"/>
    <w:rsid w:val="00D960A9"/>
    <w:rsid w:val="00D970C8"/>
    <w:rsid w:val="00D97545"/>
    <w:rsid w:val="00D97ED0"/>
    <w:rsid w:val="00DA0BC9"/>
    <w:rsid w:val="00DA2889"/>
    <w:rsid w:val="00DA2CD9"/>
    <w:rsid w:val="00DA2E84"/>
    <w:rsid w:val="00DA30E6"/>
    <w:rsid w:val="00DA332E"/>
    <w:rsid w:val="00DA420B"/>
    <w:rsid w:val="00DA42B3"/>
    <w:rsid w:val="00DA4983"/>
    <w:rsid w:val="00DA5144"/>
    <w:rsid w:val="00DA5B23"/>
    <w:rsid w:val="00DA5E2E"/>
    <w:rsid w:val="00DA6537"/>
    <w:rsid w:val="00DA6940"/>
    <w:rsid w:val="00DB033B"/>
    <w:rsid w:val="00DB0692"/>
    <w:rsid w:val="00DB082B"/>
    <w:rsid w:val="00DB0A1E"/>
    <w:rsid w:val="00DB1296"/>
    <w:rsid w:val="00DB1815"/>
    <w:rsid w:val="00DB1885"/>
    <w:rsid w:val="00DB1B5A"/>
    <w:rsid w:val="00DB1EAE"/>
    <w:rsid w:val="00DB1F01"/>
    <w:rsid w:val="00DB2772"/>
    <w:rsid w:val="00DB293F"/>
    <w:rsid w:val="00DB320B"/>
    <w:rsid w:val="00DB4428"/>
    <w:rsid w:val="00DB5810"/>
    <w:rsid w:val="00DB5EAD"/>
    <w:rsid w:val="00DB6418"/>
    <w:rsid w:val="00DB681C"/>
    <w:rsid w:val="00DB6833"/>
    <w:rsid w:val="00DB705F"/>
    <w:rsid w:val="00DB7079"/>
    <w:rsid w:val="00DB78C1"/>
    <w:rsid w:val="00DB7C68"/>
    <w:rsid w:val="00DC03BE"/>
    <w:rsid w:val="00DC0A90"/>
    <w:rsid w:val="00DC0A9F"/>
    <w:rsid w:val="00DC198E"/>
    <w:rsid w:val="00DC1DF1"/>
    <w:rsid w:val="00DC1F2D"/>
    <w:rsid w:val="00DC33C8"/>
    <w:rsid w:val="00DC352E"/>
    <w:rsid w:val="00DC3E35"/>
    <w:rsid w:val="00DC42EC"/>
    <w:rsid w:val="00DC4679"/>
    <w:rsid w:val="00DC47AF"/>
    <w:rsid w:val="00DC5305"/>
    <w:rsid w:val="00DC5619"/>
    <w:rsid w:val="00DC57A9"/>
    <w:rsid w:val="00DC58BB"/>
    <w:rsid w:val="00DC6CF1"/>
    <w:rsid w:val="00DC7175"/>
    <w:rsid w:val="00DC7207"/>
    <w:rsid w:val="00DC7323"/>
    <w:rsid w:val="00DC771A"/>
    <w:rsid w:val="00DD0571"/>
    <w:rsid w:val="00DD0BAA"/>
    <w:rsid w:val="00DD1670"/>
    <w:rsid w:val="00DD1D1C"/>
    <w:rsid w:val="00DD1F72"/>
    <w:rsid w:val="00DD23F3"/>
    <w:rsid w:val="00DD2483"/>
    <w:rsid w:val="00DD3C27"/>
    <w:rsid w:val="00DD42FC"/>
    <w:rsid w:val="00DD4479"/>
    <w:rsid w:val="00DD4527"/>
    <w:rsid w:val="00DD5385"/>
    <w:rsid w:val="00DD553F"/>
    <w:rsid w:val="00DD5836"/>
    <w:rsid w:val="00DD77E7"/>
    <w:rsid w:val="00DD7AB7"/>
    <w:rsid w:val="00DD7E57"/>
    <w:rsid w:val="00DE0096"/>
    <w:rsid w:val="00DE1155"/>
    <w:rsid w:val="00DE1631"/>
    <w:rsid w:val="00DE18F2"/>
    <w:rsid w:val="00DE27A9"/>
    <w:rsid w:val="00DE290F"/>
    <w:rsid w:val="00DE2A57"/>
    <w:rsid w:val="00DE3174"/>
    <w:rsid w:val="00DE3D78"/>
    <w:rsid w:val="00DE40DF"/>
    <w:rsid w:val="00DE511E"/>
    <w:rsid w:val="00DE5A1B"/>
    <w:rsid w:val="00DE5E2B"/>
    <w:rsid w:val="00DE620B"/>
    <w:rsid w:val="00DE631E"/>
    <w:rsid w:val="00DE7089"/>
    <w:rsid w:val="00DE7620"/>
    <w:rsid w:val="00DF0005"/>
    <w:rsid w:val="00DF0122"/>
    <w:rsid w:val="00DF1A4B"/>
    <w:rsid w:val="00DF1BB5"/>
    <w:rsid w:val="00DF1E6F"/>
    <w:rsid w:val="00DF1EAA"/>
    <w:rsid w:val="00DF202E"/>
    <w:rsid w:val="00DF33B6"/>
    <w:rsid w:val="00DF38CA"/>
    <w:rsid w:val="00DF3D51"/>
    <w:rsid w:val="00DF457D"/>
    <w:rsid w:val="00DF45C6"/>
    <w:rsid w:val="00DF48CF"/>
    <w:rsid w:val="00DF528F"/>
    <w:rsid w:val="00DF5415"/>
    <w:rsid w:val="00DF55B4"/>
    <w:rsid w:val="00DF5F9A"/>
    <w:rsid w:val="00DF6024"/>
    <w:rsid w:val="00DF7731"/>
    <w:rsid w:val="00E0029E"/>
    <w:rsid w:val="00E0156B"/>
    <w:rsid w:val="00E01C93"/>
    <w:rsid w:val="00E029BF"/>
    <w:rsid w:val="00E02C51"/>
    <w:rsid w:val="00E02F90"/>
    <w:rsid w:val="00E03542"/>
    <w:rsid w:val="00E04186"/>
    <w:rsid w:val="00E046DC"/>
    <w:rsid w:val="00E04F0C"/>
    <w:rsid w:val="00E06AC9"/>
    <w:rsid w:val="00E06BA6"/>
    <w:rsid w:val="00E0762C"/>
    <w:rsid w:val="00E0799E"/>
    <w:rsid w:val="00E07A28"/>
    <w:rsid w:val="00E07E30"/>
    <w:rsid w:val="00E100D4"/>
    <w:rsid w:val="00E10279"/>
    <w:rsid w:val="00E1085D"/>
    <w:rsid w:val="00E114B2"/>
    <w:rsid w:val="00E11685"/>
    <w:rsid w:val="00E11927"/>
    <w:rsid w:val="00E11AC1"/>
    <w:rsid w:val="00E11CF2"/>
    <w:rsid w:val="00E11D98"/>
    <w:rsid w:val="00E12321"/>
    <w:rsid w:val="00E130ED"/>
    <w:rsid w:val="00E1439A"/>
    <w:rsid w:val="00E1457E"/>
    <w:rsid w:val="00E14A9D"/>
    <w:rsid w:val="00E152B4"/>
    <w:rsid w:val="00E1636F"/>
    <w:rsid w:val="00E16DB2"/>
    <w:rsid w:val="00E17094"/>
    <w:rsid w:val="00E175AD"/>
    <w:rsid w:val="00E2044F"/>
    <w:rsid w:val="00E20564"/>
    <w:rsid w:val="00E20703"/>
    <w:rsid w:val="00E20BAE"/>
    <w:rsid w:val="00E20DBF"/>
    <w:rsid w:val="00E20E0D"/>
    <w:rsid w:val="00E217CF"/>
    <w:rsid w:val="00E21EA3"/>
    <w:rsid w:val="00E22245"/>
    <w:rsid w:val="00E22BD9"/>
    <w:rsid w:val="00E238BF"/>
    <w:rsid w:val="00E23B72"/>
    <w:rsid w:val="00E23E0E"/>
    <w:rsid w:val="00E241D6"/>
    <w:rsid w:val="00E241FB"/>
    <w:rsid w:val="00E24D7F"/>
    <w:rsid w:val="00E24E6D"/>
    <w:rsid w:val="00E25939"/>
    <w:rsid w:val="00E25CE1"/>
    <w:rsid w:val="00E26FAF"/>
    <w:rsid w:val="00E27DCD"/>
    <w:rsid w:val="00E30094"/>
    <w:rsid w:val="00E305C8"/>
    <w:rsid w:val="00E305FC"/>
    <w:rsid w:val="00E308BF"/>
    <w:rsid w:val="00E313A4"/>
    <w:rsid w:val="00E3148F"/>
    <w:rsid w:val="00E31703"/>
    <w:rsid w:val="00E31A2D"/>
    <w:rsid w:val="00E31C27"/>
    <w:rsid w:val="00E32051"/>
    <w:rsid w:val="00E32263"/>
    <w:rsid w:val="00E32891"/>
    <w:rsid w:val="00E32E32"/>
    <w:rsid w:val="00E33D08"/>
    <w:rsid w:val="00E341CC"/>
    <w:rsid w:val="00E34778"/>
    <w:rsid w:val="00E361A5"/>
    <w:rsid w:val="00E364FE"/>
    <w:rsid w:val="00E365BA"/>
    <w:rsid w:val="00E371ED"/>
    <w:rsid w:val="00E379DF"/>
    <w:rsid w:val="00E37ADA"/>
    <w:rsid w:val="00E40B7F"/>
    <w:rsid w:val="00E40DE9"/>
    <w:rsid w:val="00E41998"/>
    <w:rsid w:val="00E41CDC"/>
    <w:rsid w:val="00E41E4E"/>
    <w:rsid w:val="00E41EB9"/>
    <w:rsid w:val="00E421EA"/>
    <w:rsid w:val="00E423B0"/>
    <w:rsid w:val="00E42CCD"/>
    <w:rsid w:val="00E43850"/>
    <w:rsid w:val="00E44116"/>
    <w:rsid w:val="00E44196"/>
    <w:rsid w:val="00E44278"/>
    <w:rsid w:val="00E4464B"/>
    <w:rsid w:val="00E44BE9"/>
    <w:rsid w:val="00E44C7B"/>
    <w:rsid w:val="00E452F8"/>
    <w:rsid w:val="00E46136"/>
    <w:rsid w:val="00E469F9"/>
    <w:rsid w:val="00E47120"/>
    <w:rsid w:val="00E47782"/>
    <w:rsid w:val="00E5029F"/>
    <w:rsid w:val="00E506AB"/>
    <w:rsid w:val="00E512B9"/>
    <w:rsid w:val="00E51CC7"/>
    <w:rsid w:val="00E51CE4"/>
    <w:rsid w:val="00E51EBC"/>
    <w:rsid w:val="00E52002"/>
    <w:rsid w:val="00E52E35"/>
    <w:rsid w:val="00E54032"/>
    <w:rsid w:val="00E5455F"/>
    <w:rsid w:val="00E54579"/>
    <w:rsid w:val="00E5468D"/>
    <w:rsid w:val="00E54B8E"/>
    <w:rsid w:val="00E54BB6"/>
    <w:rsid w:val="00E54BC7"/>
    <w:rsid w:val="00E564D6"/>
    <w:rsid w:val="00E5787D"/>
    <w:rsid w:val="00E57AC7"/>
    <w:rsid w:val="00E603D9"/>
    <w:rsid w:val="00E60F40"/>
    <w:rsid w:val="00E611F5"/>
    <w:rsid w:val="00E615E4"/>
    <w:rsid w:val="00E6171A"/>
    <w:rsid w:val="00E61C70"/>
    <w:rsid w:val="00E61F49"/>
    <w:rsid w:val="00E61F63"/>
    <w:rsid w:val="00E620A1"/>
    <w:rsid w:val="00E623EE"/>
    <w:rsid w:val="00E6244C"/>
    <w:rsid w:val="00E62529"/>
    <w:rsid w:val="00E62687"/>
    <w:rsid w:val="00E62BA3"/>
    <w:rsid w:val="00E62BD3"/>
    <w:rsid w:val="00E63791"/>
    <w:rsid w:val="00E63D04"/>
    <w:rsid w:val="00E64550"/>
    <w:rsid w:val="00E646D5"/>
    <w:rsid w:val="00E6482A"/>
    <w:rsid w:val="00E64D87"/>
    <w:rsid w:val="00E6507D"/>
    <w:rsid w:val="00E659F6"/>
    <w:rsid w:val="00E65E5D"/>
    <w:rsid w:val="00E6668F"/>
    <w:rsid w:val="00E66EFA"/>
    <w:rsid w:val="00E66F17"/>
    <w:rsid w:val="00E670D0"/>
    <w:rsid w:val="00E6739C"/>
    <w:rsid w:val="00E673B8"/>
    <w:rsid w:val="00E675E6"/>
    <w:rsid w:val="00E67F09"/>
    <w:rsid w:val="00E70060"/>
    <w:rsid w:val="00E7010A"/>
    <w:rsid w:val="00E70391"/>
    <w:rsid w:val="00E707E2"/>
    <w:rsid w:val="00E709AC"/>
    <w:rsid w:val="00E70BC1"/>
    <w:rsid w:val="00E71949"/>
    <w:rsid w:val="00E724BB"/>
    <w:rsid w:val="00E72F4A"/>
    <w:rsid w:val="00E730C4"/>
    <w:rsid w:val="00E73555"/>
    <w:rsid w:val="00E73E6E"/>
    <w:rsid w:val="00E73E85"/>
    <w:rsid w:val="00E7416F"/>
    <w:rsid w:val="00E7482A"/>
    <w:rsid w:val="00E75325"/>
    <w:rsid w:val="00E7576C"/>
    <w:rsid w:val="00E759F4"/>
    <w:rsid w:val="00E75C1D"/>
    <w:rsid w:val="00E7620D"/>
    <w:rsid w:val="00E76A57"/>
    <w:rsid w:val="00E76F61"/>
    <w:rsid w:val="00E776CF"/>
    <w:rsid w:val="00E80A33"/>
    <w:rsid w:val="00E80D81"/>
    <w:rsid w:val="00E81312"/>
    <w:rsid w:val="00E814BB"/>
    <w:rsid w:val="00E81BB5"/>
    <w:rsid w:val="00E81D9A"/>
    <w:rsid w:val="00E825EF"/>
    <w:rsid w:val="00E826B1"/>
    <w:rsid w:val="00E82744"/>
    <w:rsid w:val="00E827CC"/>
    <w:rsid w:val="00E82C88"/>
    <w:rsid w:val="00E82F73"/>
    <w:rsid w:val="00E8398D"/>
    <w:rsid w:val="00E847EA"/>
    <w:rsid w:val="00E84AF4"/>
    <w:rsid w:val="00E84F26"/>
    <w:rsid w:val="00E856E0"/>
    <w:rsid w:val="00E85704"/>
    <w:rsid w:val="00E85D5A"/>
    <w:rsid w:val="00E85F01"/>
    <w:rsid w:val="00E86A6D"/>
    <w:rsid w:val="00E878FB"/>
    <w:rsid w:val="00E90011"/>
    <w:rsid w:val="00E904E4"/>
    <w:rsid w:val="00E90503"/>
    <w:rsid w:val="00E9190D"/>
    <w:rsid w:val="00E92586"/>
    <w:rsid w:val="00E925D1"/>
    <w:rsid w:val="00E92AC3"/>
    <w:rsid w:val="00E935C5"/>
    <w:rsid w:val="00E949B6"/>
    <w:rsid w:val="00E949EC"/>
    <w:rsid w:val="00E9506D"/>
    <w:rsid w:val="00E95328"/>
    <w:rsid w:val="00E95756"/>
    <w:rsid w:val="00E96574"/>
    <w:rsid w:val="00E966FB"/>
    <w:rsid w:val="00E96C1D"/>
    <w:rsid w:val="00E9721E"/>
    <w:rsid w:val="00E97879"/>
    <w:rsid w:val="00E97BCB"/>
    <w:rsid w:val="00EA0277"/>
    <w:rsid w:val="00EA1131"/>
    <w:rsid w:val="00EA12D6"/>
    <w:rsid w:val="00EA17AF"/>
    <w:rsid w:val="00EA18ED"/>
    <w:rsid w:val="00EA219E"/>
    <w:rsid w:val="00EA24F4"/>
    <w:rsid w:val="00EA377E"/>
    <w:rsid w:val="00EA3F99"/>
    <w:rsid w:val="00EA4139"/>
    <w:rsid w:val="00EA4595"/>
    <w:rsid w:val="00EA4A27"/>
    <w:rsid w:val="00EA548C"/>
    <w:rsid w:val="00EA597A"/>
    <w:rsid w:val="00EA5DC9"/>
    <w:rsid w:val="00EA6D4D"/>
    <w:rsid w:val="00EA7971"/>
    <w:rsid w:val="00EB0739"/>
    <w:rsid w:val="00EB2416"/>
    <w:rsid w:val="00EB281A"/>
    <w:rsid w:val="00EB28E0"/>
    <w:rsid w:val="00EB2CCB"/>
    <w:rsid w:val="00EB2E3F"/>
    <w:rsid w:val="00EB3868"/>
    <w:rsid w:val="00EB3D16"/>
    <w:rsid w:val="00EB3E41"/>
    <w:rsid w:val="00EB421D"/>
    <w:rsid w:val="00EB5544"/>
    <w:rsid w:val="00EB59E8"/>
    <w:rsid w:val="00EB5A41"/>
    <w:rsid w:val="00EB61B7"/>
    <w:rsid w:val="00EB62B1"/>
    <w:rsid w:val="00EB6E24"/>
    <w:rsid w:val="00EB763C"/>
    <w:rsid w:val="00EB799A"/>
    <w:rsid w:val="00EC040D"/>
    <w:rsid w:val="00EC0537"/>
    <w:rsid w:val="00EC0CAE"/>
    <w:rsid w:val="00EC0F2E"/>
    <w:rsid w:val="00EC0FFB"/>
    <w:rsid w:val="00EC12D1"/>
    <w:rsid w:val="00EC1BA2"/>
    <w:rsid w:val="00EC2C79"/>
    <w:rsid w:val="00EC3103"/>
    <w:rsid w:val="00EC3346"/>
    <w:rsid w:val="00EC3512"/>
    <w:rsid w:val="00EC3C9D"/>
    <w:rsid w:val="00EC3E4F"/>
    <w:rsid w:val="00EC3F35"/>
    <w:rsid w:val="00EC4338"/>
    <w:rsid w:val="00EC43E0"/>
    <w:rsid w:val="00EC4632"/>
    <w:rsid w:val="00EC4B1C"/>
    <w:rsid w:val="00EC51BD"/>
    <w:rsid w:val="00EC541D"/>
    <w:rsid w:val="00EC617B"/>
    <w:rsid w:val="00EC6238"/>
    <w:rsid w:val="00EC6476"/>
    <w:rsid w:val="00EC65A1"/>
    <w:rsid w:val="00EC6B30"/>
    <w:rsid w:val="00EC70E6"/>
    <w:rsid w:val="00ED04E2"/>
    <w:rsid w:val="00ED0577"/>
    <w:rsid w:val="00ED05A8"/>
    <w:rsid w:val="00ED05BC"/>
    <w:rsid w:val="00ED0BAB"/>
    <w:rsid w:val="00ED11D5"/>
    <w:rsid w:val="00ED1996"/>
    <w:rsid w:val="00ED36F6"/>
    <w:rsid w:val="00ED3B87"/>
    <w:rsid w:val="00ED413E"/>
    <w:rsid w:val="00ED47E0"/>
    <w:rsid w:val="00ED4891"/>
    <w:rsid w:val="00ED4D6A"/>
    <w:rsid w:val="00ED4F18"/>
    <w:rsid w:val="00ED570D"/>
    <w:rsid w:val="00ED5C6F"/>
    <w:rsid w:val="00ED65F5"/>
    <w:rsid w:val="00ED669B"/>
    <w:rsid w:val="00ED67ED"/>
    <w:rsid w:val="00ED6AA4"/>
    <w:rsid w:val="00ED6C87"/>
    <w:rsid w:val="00ED7576"/>
    <w:rsid w:val="00ED768E"/>
    <w:rsid w:val="00ED76F8"/>
    <w:rsid w:val="00ED77B6"/>
    <w:rsid w:val="00EE07AC"/>
    <w:rsid w:val="00EE2600"/>
    <w:rsid w:val="00EE2E63"/>
    <w:rsid w:val="00EE3075"/>
    <w:rsid w:val="00EE3193"/>
    <w:rsid w:val="00EE33E9"/>
    <w:rsid w:val="00EE3F81"/>
    <w:rsid w:val="00EE4089"/>
    <w:rsid w:val="00EE467B"/>
    <w:rsid w:val="00EE50DB"/>
    <w:rsid w:val="00EE52CB"/>
    <w:rsid w:val="00EE570E"/>
    <w:rsid w:val="00EE5D31"/>
    <w:rsid w:val="00EE5E32"/>
    <w:rsid w:val="00EE6232"/>
    <w:rsid w:val="00EE6B21"/>
    <w:rsid w:val="00EE6BFE"/>
    <w:rsid w:val="00EE6CE9"/>
    <w:rsid w:val="00EE7446"/>
    <w:rsid w:val="00EE79D6"/>
    <w:rsid w:val="00EE7BE5"/>
    <w:rsid w:val="00EE7C55"/>
    <w:rsid w:val="00EF0BC5"/>
    <w:rsid w:val="00EF0C89"/>
    <w:rsid w:val="00EF10C4"/>
    <w:rsid w:val="00EF1EF8"/>
    <w:rsid w:val="00EF22E4"/>
    <w:rsid w:val="00EF27F7"/>
    <w:rsid w:val="00EF28EB"/>
    <w:rsid w:val="00EF31CE"/>
    <w:rsid w:val="00EF359C"/>
    <w:rsid w:val="00EF387A"/>
    <w:rsid w:val="00EF389D"/>
    <w:rsid w:val="00EF3B7E"/>
    <w:rsid w:val="00EF3FF1"/>
    <w:rsid w:val="00EF4938"/>
    <w:rsid w:val="00EF4F8B"/>
    <w:rsid w:val="00EF52AC"/>
    <w:rsid w:val="00EF5571"/>
    <w:rsid w:val="00EF57CC"/>
    <w:rsid w:val="00EF5D40"/>
    <w:rsid w:val="00EF5E59"/>
    <w:rsid w:val="00EF5EA2"/>
    <w:rsid w:val="00F01A41"/>
    <w:rsid w:val="00F01C92"/>
    <w:rsid w:val="00F028EB"/>
    <w:rsid w:val="00F02A22"/>
    <w:rsid w:val="00F02BA7"/>
    <w:rsid w:val="00F02FC1"/>
    <w:rsid w:val="00F031D1"/>
    <w:rsid w:val="00F0346C"/>
    <w:rsid w:val="00F04A48"/>
    <w:rsid w:val="00F04C99"/>
    <w:rsid w:val="00F060C9"/>
    <w:rsid w:val="00F06A7F"/>
    <w:rsid w:val="00F06E9C"/>
    <w:rsid w:val="00F07117"/>
    <w:rsid w:val="00F07806"/>
    <w:rsid w:val="00F10740"/>
    <w:rsid w:val="00F10ADB"/>
    <w:rsid w:val="00F114C9"/>
    <w:rsid w:val="00F117D6"/>
    <w:rsid w:val="00F120D0"/>
    <w:rsid w:val="00F121A8"/>
    <w:rsid w:val="00F12D29"/>
    <w:rsid w:val="00F13C9A"/>
    <w:rsid w:val="00F1472E"/>
    <w:rsid w:val="00F149CC"/>
    <w:rsid w:val="00F15839"/>
    <w:rsid w:val="00F158E7"/>
    <w:rsid w:val="00F16325"/>
    <w:rsid w:val="00F166FC"/>
    <w:rsid w:val="00F174E9"/>
    <w:rsid w:val="00F1782D"/>
    <w:rsid w:val="00F17BC9"/>
    <w:rsid w:val="00F2072E"/>
    <w:rsid w:val="00F207A3"/>
    <w:rsid w:val="00F21134"/>
    <w:rsid w:val="00F21237"/>
    <w:rsid w:val="00F21536"/>
    <w:rsid w:val="00F21981"/>
    <w:rsid w:val="00F22038"/>
    <w:rsid w:val="00F221E7"/>
    <w:rsid w:val="00F22F9F"/>
    <w:rsid w:val="00F2449A"/>
    <w:rsid w:val="00F24D0C"/>
    <w:rsid w:val="00F24E42"/>
    <w:rsid w:val="00F25E37"/>
    <w:rsid w:val="00F261FA"/>
    <w:rsid w:val="00F271A3"/>
    <w:rsid w:val="00F27258"/>
    <w:rsid w:val="00F273C8"/>
    <w:rsid w:val="00F27BB2"/>
    <w:rsid w:val="00F3008F"/>
    <w:rsid w:val="00F30C16"/>
    <w:rsid w:val="00F310EE"/>
    <w:rsid w:val="00F31318"/>
    <w:rsid w:val="00F31D78"/>
    <w:rsid w:val="00F323A2"/>
    <w:rsid w:val="00F3288B"/>
    <w:rsid w:val="00F337B3"/>
    <w:rsid w:val="00F3410B"/>
    <w:rsid w:val="00F349AB"/>
    <w:rsid w:val="00F3513D"/>
    <w:rsid w:val="00F35D6D"/>
    <w:rsid w:val="00F35DB4"/>
    <w:rsid w:val="00F366CF"/>
    <w:rsid w:val="00F367C1"/>
    <w:rsid w:val="00F36DA8"/>
    <w:rsid w:val="00F36F7F"/>
    <w:rsid w:val="00F37419"/>
    <w:rsid w:val="00F3796E"/>
    <w:rsid w:val="00F37F7A"/>
    <w:rsid w:val="00F4042C"/>
    <w:rsid w:val="00F40F93"/>
    <w:rsid w:val="00F43058"/>
    <w:rsid w:val="00F43689"/>
    <w:rsid w:val="00F44848"/>
    <w:rsid w:val="00F453AE"/>
    <w:rsid w:val="00F45B84"/>
    <w:rsid w:val="00F46067"/>
    <w:rsid w:val="00F47126"/>
    <w:rsid w:val="00F47298"/>
    <w:rsid w:val="00F473AC"/>
    <w:rsid w:val="00F473E6"/>
    <w:rsid w:val="00F4774A"/>
    <w:rsid w:val="00F47B09"/>
    <w:rsid w:val="00F47E48"/>
    <w:rsid w:val="00F50461"/>
    <w:rsid w:val="00F507EC"/>
    <w:rsid w:val="00F50993"/>
    <w:rsid w:val="00F5099D"/>
    <w:rsid w:val="00F50FC6"/>
    <w:rsid w:val="00F5170B"/>
    <w:rsid w:val="00F51E1E"/>
    <w:rsid w:val="00F51EEA"/>
    <w:rsid w:val="00F5229A"/>
    <w:rsid w:val="00F525B4"/>
    <w:rsid w:val="00F53575"/>
    <w:rsid w:val="00F539FA"/>
    <w:rsid w:val="00F5469D"/>
    <w:rsid w:val="00F546BE"/>
    <w:rsid w:val="00F5514A"/>
    <w:rsid w:val="00F5636E"/>
    <w:rsid w:val="00F563C3"/>
    <w:rsid w:val="00F56A72"/>
    <w:rsid w:val="00F56D4D"/>
    <w:rsid w:val="00F5743C"/>
    <w:rsid w:val="00F574CE"/>
    <w:rsid w:val="00F577E2"/>
    <w:rsid w:val="00F5782D"/>
    <w:rsid w:val="00F6079D"/>
    <w:rsid w:val="00F618A6"/>
    <w:rsid w:val="00F61F0B"/>
    <w:rsid w:val="00F636C2"/>
    <w:rsid w:val="00F63DBB"/>
    <w:rsid w:val="00F649CD"/>
    <w:rsid w:val="00F64E41"/>
    <w:rsid w:val="00F6500D"/>
    <w:rsid w:val="00F65128"/>
    <w:rsid w:val="00F658C8"/>
    <w:rsid w:val="00F666AC"/>
    <w:rsid w:val="00F66DB0"/>
    <w:rsid w:val="00F66EC9"/>
    <w:rsid w:val="00F66F97"/>
    <w:rsid w:val="00F70283"/>
    <w:rsid w:val="00F705F2"/>
    <w:rsid w:val="00F7062C"/>
    <w:rsid w:val="00F71B76"/>
    <w:rsid w:val="00F728DF"/>
    <w:rsid w:val="00F72967"/>
    <w:rsid w:val="00F7424B"/>
    <w:rsid w:val="00F748F9"/>
    <w:rsid w:val="00F75BAB"/>
    <w:rsid w:val="00F75CB4"/>
    <w:rsid w:val="00F76AF3"/>
    <w:rsid w:val="00F771D6"/>
    <w:rsid w:val="00F804B9"/>
    <w:rsid w:val="00F8050A"/>
    <w:rsid w:val="00F8183F"/>
    <w:rsid w:val="00F81EBA"/>
    <w:rsid w:val="00F82129"/>
    <w:rsid w:val="00F82E70"/>
    <w:rsid w:val="00F830F4"/>
    <w:rsid w:val="00F832D1"/>
    <w:rsid w:val="00F834BE"/>
    <w:rsid w:val="00F83664"/>
    <w:rsid w:val="00F83734"/>
    <w:rsid w:val="00F83C93"/>
    <w:rsid w:val="00F847A6"/>
    <w:rsid w:val="00F84C3C"/>
    <w:rsid w:val="00F854AA"/>
    <w:rsid w:val="00F854EF"/>
    <w:rsid w:val="00F85920"/>
    <w:rsid w:val="00F85B9D"/>
    <w:rsid w:val="00F85E36"/>
    <w:rsid w:val="00F8609F"/>
    <w:rsid w:val="00F860CA"/>
    <w:rsid w:val="00F863F3"/>
    <w:rsid w:val="00F86647"/>
    <w:rsid w:val="00F86659"/>
    <w:rsid w:val="00F86954"/>
    <w:rsid w:val="00F86C45"/>
    <w:rsid w:val="00F86D2A"/>
    <w:rsid w:val="00F86FAB"/>
    <w:rsid w:val="00F87BAA"/>
    <w:rsid w:val="00F87C74"/>
    <w:rsid w:val="00F90099"/>
    <w:rsid w:val="00F9098C"/>
    <w:rsid w:val="00F90F43"/>
    <w:rsid w:val="00F92482"/>
    <w:rsid w:val="00F92A8D"/>
    <w:rsid w:val="00F9321D"/>
    <w:rsid w:val="00F94F33"/>
    <w:rsid w:val="00F94FC7"/>
    <w:rsid w:val="00F95103"/>
    <w:rsid w:val="00F95296"/>
    <w:rsid w:val="00F95A23"/>
    <w:rsid w:val="00F961E6"/>
    <w:rsid w:val="00F962E2"/>
    <w:rsid w:val="00F96F59"/>
    <w:rsid w:val="00F97646"/>
    <w:rsid w:val="00F979DD"/>
    <w:rsid w:val="00FA0418"/>
    <w:rsid w:val="00FA0807"/>
    <w:rsid w:val="00FA0FC4"/>
    <w:rsid w:val="00FA11AD"/>
    <w:rsid w:val="00FA189F"/>
    <w:rsid w:val="00FA1D13"/>
    <w:rsid w:val="00FA1EF9"/>
    <w:rsid w:val="00FA200B"/>
    <w:rsid w:val="00FA265C"/>
    <w:rsid w:val="00FA29A1"/>
    <w:rsid w:val="00FA2AD4"/>
    <w:rsid w:val="00FA2D56"/>
    <w:rsid w:val="00FA3307"/>
    <w:rsid w:val="00FA379A"/>
    <w:rsid w:val="00FA42E5"/>
    <w:rsid w:val="00FA4558"/>
    <w:rsid w:val="00FA4B81"/>
    <w:rsid w:val="00FA4C66"/>
    <w:rsid w:val="00FA4D41"/>
    <w:rsid w:val="00FA572A"/>
    <w:rsid w:val="00FA5809"/>
    <w:rsid w:val="00FA663B"/>
    <w:rsid w:val="00FA6C51"/>
    <w:rsid w:val="00FA7781"/>
    <w:rsid w:val="00FA7CD6"/>
    <w:rsid w:val="00FA7D40"/>
    <w:rsid w:val="00FA7F9D"/>
    <w:rsid w:val="00FB00BE"/>
    <w:rsid w:val="00FB02E3"/>
    <w:rsid w:val="00FB07AF"/>
    <w:rsid w:val="00FB0E39"/>
    <w:rsid w:val="00FB0F78"/>
    <w:rsid w:val="00FB11E4"/>
    <w:rsid w:val="00FB12A2"/>
    <w:rsid w:val="00FB2030"/>
    <w:rsid w:val="00FB2E4B"/>
    <w:rsid w:val="00FB3115"/>
    <w:rsid w:val="00FB3C22"/>
    <w:rsid w:val="00FB3EDD"/>
    <w:rsid w:val="00FB42A9"/>
    <w:rsid w:val="00FB5433"/>
    <w:rsid w:val="00FB5828"/>
    <w:rsid w:val="00FB6237"/>
    <w:rsid w:val="00FB62F2"/>
    <w:rsid w:val="00FB67B0"/>
    <w:rsid w:val="00FB67D7"/>
    <w:rsid w:val="00FB67EB"/>
    <w:rsid w:val="00FB6D32"/>
    <w:rsid w:val="00FB77F9"/>
    <w:rsid w:val="00FC0B6A"/>
    <w:rsid w:val="00FC0D9E"/>
    <w:rsid w:val="00FC0EC3"/>
    <w:rsid w:val="00FC19EF"/>
    <w:rsid w:val="00FC1A2A"/>
    <w:rsid w:val="00FC200F"/>
    <w:rsid w:val="00FC233D"/>
    <w:rsid w:val="00FC234D"/>
    <w:rsid w:val="00FC27C6"/>
    <w:rsid w:val="00FC2837"/>
    <w:rsid w:val="00FC2C21"/>
    <w:rsid w:val="00FC2FA3"/>
    <w:rsid w:val="00FC30F4"/>
    <w:rsid w:val="00FC4834"/>
    <w:rsid w:val="00FC48B6"/>
    <w:rsid w:val="00FC51B5"/>
    <w:rsid w:val="00FC562D"/>
    <w:rsid w:val="00FC5779"/>
    <w:rsid w:val="00FC5C2B"/>
    <w:rsid w:val="00FC5CAE"/>
    <w:rsid w:val="00FC5DDA"/>
    <w:rsid w:val="00FC5FE5"/>
    <w:rsid w:val="00FC61D2"/>
    <w:rsid w:val="00FC660A"/>
    <w:rsid w:val="00FC6726"/>
    <w:rsid w:val="00FC6A06"/>
    <w:rsid w:val="00FC73BA"/>
    <w:rsid w:val="00FC7AC8"/>
    <w:rsid w:val="00FD0259"/>
    <w:rsid w:val="00FD0D76"/>
    <w:rsid w:val="00FD2B65"/>
    <w:rsid w:val="00FD2BCA"/>
    <w:rsid w:val="00FD3355"/>
    <w:rsid w:val="00FD4181"/>
    <w:rsid w:val="00FD4344"/>
    <w:rsid w:val="00FD4F00"/>
    <w:rsid w:val="00FD55BF"/>
    <w:rsid w:val="00FD5F75"/>
    <w:rsid w:val="00FD6A9C"/>
    <w:rsid w:val="00FD6EE6"/>
    <w:rsid w:val="00FD7A36"/>
    <w:rsid w:val="00FD7F2D"/>
    <w:rsid w:val="00FE01FF"/>
    <w:rsid w:val="00FE02CB"/>
    <w:rsid w:val="00FE0CAC"/>
    <w:rsid w:val="00FE10E9"/>
    <w:rsid w:val="00FE1859"/>
    <w:rsid w:val="00FE275C"/>
    <w:rsid w:val="00FE2B93"/>
    <w:rsid w:val="00FE322A"/>
    <w:rsid w:val="00FE36AF"/>
    <w:rsid w:val="00FE44F2"/>
    <w:rsid w:val="00FE4FF7"/>
    <w:rsid w:val="00FE576B"/>
    <w:rsid w:val="00FE59E5"/>
    <w:rsid w:val="00FE65B0"/>
    <w:rsid w:val="00FE6641"/>
    <w:rsid w:val="00FE6BBB"/>
    <w:rsid w:val="00FE70A8"/>
    <w:rsid w:val="00FE7407"/>
    <w:rsid w:val="00FE740D"/>
    <w:rsid w:val="00FF0203"/>
    <w:rsid w:val="00FF082D"/>
    <w:rsid w:val="00FF0C96"/>
    <w:rsid w:val="00FF180D"/>
    <w:rsid w:val="00FF19D4"/>
    <w:rsid w:val="00FF253F"/>
    <w:rsid w:val="00FF27CF"/>
    <w:rsid w:val="00FF2BF7"/>
    <w:rsid w:val="00FF3823"/>
    <w:rsid w:val="00FF3B0A"/>
    <w:rsid w:val="00FF55A8"/>
    <w:rsid w:val="00FF58AC"/>
    <w:rsid w:val="00FF58F6"/>
    <w:rsid w:val="00FF5B90"/>
    <w:rsid w:val="00FF6D69"/>
    <w:rsid w:val="00FF7B94"/>
    <w:rsid w:val="0140E03F"/>
    <w:rsid w:val="0260467B"/>
    <w:rsid w:val="02839C54"/>
    <w:rsid w:val="02B2BC23"/>
    <w:rsid w:val="02FB17A9"/>
    <w:rsid w:val="030C21BD"/>
    <w:rsid w:val="034C1BE8"/>
    <w:rsid w:val="035D6F55"/>
    <w:rsid w:val="03904B1B"/>
    <w:rsid w:val="03AC26F3"/>
    <w:rsid w:val="03C4F6C9"/>
    <w:rsid w:val="03DAC48B"/>
    <w:rsid w:val="041A39EF"/>
    <w:rsid w:val="043656A9"/>
    <w:rsid w:val="0441AC7B"/>
    <w:rsid w:val="04569C02"/>
    <w:rsid w:val="04D0CF4F"/>
    <w:rsid w:val="05DBAF3C"/>
    <w:rsid w:val="05F4CEE4"/>
    <w:rsid w:val="05F6A479"/>
    <w:rsid w:val="062CF45F"/>
    <w:rsid w:val="0672BD1E"/>
    <w:rsid w:val="0686EC18"/>
    <w:rsid w:val="06BB8BFE"/>
    <w:rsid w:val="06F84454"/>
    <w:rsid w:val="06FCAADB"/>
    <w:rsid w:val="0712654D"/>
    <w:rsid w:val="071C5F4D"/>
    <w:rsid w:val="0726E005"/>
    <w:rsid w:val="077D449C"/>
    <w:rsid w:val="07AB51AB"/>
    <w:rsid w:val="07DEBCEC"/>
    <w:rsid w:val="07ECC59B"/>
    <w:rsid w:val="07F20D42"/>
    <w:rsid w:val="07F7104A"/>
    <w:rsid w:val="093E296F"/>
    <w:rsid w:val="09830E29"/>
    <w:rsid w:val="09BB5D6C"/>
    <w:rsid w:val="0AC62035"/>
    <w:rsid w:val="0B026642"/>
    <w:rsid w:val="0B7FC1DE"/>
    <w:rsid w:val="0B986999"/>
    <w:rsid w:val="0BA87580"/>
    <w:rsid w:val="0BAC0155"/>
    <w:rsid w:val="0C1EC00F"/>
    <w:rsid w:val="0C5CF138"/>
    <w:rsid w:val="0C938AC3"/>
    <w:rsid w:val="0CBD9D8A"/>
    <w:rsid w:val="0D7FF422"/>
    <w:rsid w:val="0DCCA028"/>
    <w:rsid w:val="0DD47184"/>
    <w:rsid w:val="0DE8256A"/>
    <w:rsid w:val="0DFE527D"/>
    <w:rsid w:val="0E0B93BF"/>
    <w:rsid w:val="0E5D1E6F"/>
    <w:rsid w:val="0E92687F"/>
    <w:rsid w:val="0F9F52D4"/>
    <w:rsid w:val="0FEE8BA9"/>
    <w:rsid w:val="0FF91C02"/>
    <w:rsid w:val="11272498"/>
    <w:rsid w:val="1157E109"/>
    <w:rsid w:val="11694287"/>
    <w:rsid w:val="11CE5CD7"/>
    <w:rsid w:val="11EA86B1"/>
    <w:rsid w:val="128A1A77"/>
    <w:rsid w:val="12BA3244"/>
    <w:rsid w:val="12EE23B5"/>
    <w:rsid w:val="134F9A64"/>
    <w:rsid w:val="135104DB"/>
    <w:rsid w:val="136A2D38"/>
    <w:rsid w:val="13701A2F"/>
    <w:rsid w:val="14D20547"/>
    <w:rsid w:val="14ECD53C"/>
    <w:rsid w:val="15332D5E"/>
    <w:rsid w:val="1688A59D"/>
    <w:rsid w:val="16A1CDFA"/>
    <w:rsid w:val="16B9F6D4"/>
    <w:rsid w:val="16CB606E"/>
    <w:rsid w:val="173D1FAC"/>
    <w:rsid w:val="173FBA8F"/>
    <w:rsid w:val="17A1F392"/>
    <w:rsid w:val="17A4B7F8"/>
    <w:rsid w:val="17C3CFE8"/>
    <w:rsid w:val="17D09147"/>
    <w:rsid w:val="17FE33EC"/>
    <w:rsid w:val="187D4CE8"/>
    <w:rsid w:val="18A2B620"/>
    <w:rsid w:val="18CC48A0"/>
    <w:rsid w:val="19104B6B"/>
    <w:rsid w:val="192973C8"/>
    <w:rsid w:val="19B81C6B"/>
    <w:rsid w:val="1A2EF9CA"/>
    <w:rsid w:val="1A3AC256"/>
    <w:rsid w:val="1A4CA99B"/>
    <w:rsid w:val="1A5A0FE0"/>
    <w:rsid w:val="1A7164B0"/>
    <w:rsid w:val="1B0B39BF"/>
    <w:rsid w:val="1B389BAB"/>
    <w:rsid w:val="1B587FF4"/>
    <w:rsid w:val="1B5FC1FB"/>
    <w:rsid w:val="1B8DAA51"/>
    <w:rsid w:val="1BD21A83"/>
    <w:rsid w:val="1BEABF63"/>
    <w:rsid w:val="1BFA6FDB"/>
    <w:rsid w:val="1C022E78"/>
    <w:rsid w:val="1C31EE81"/>
    <w:rsid w:val="1C5325A4"/>
    <w:rsid w:val="1C96855B"/>
    <w:rsid w:val="1CE7CFA7"/>
    <w:rsid w:val="1D27A9B2"/>
    <w:rsid w:val="1D531A8A"/>
    <w:rsid w:val="1D955554"/>
    <w:rsid w:val="1DACA9FA"/>
    <w:rsid w:val="1DB12F66"/>
    <w:rsid w:val="1DBE6F29"/>
    <w:rsid w:val="1DE6F2EB"/>
    <w:rsid w:val="1DFD3E9B"/>
    <w:rsid w:val="1E1263F6"/>
    <w:rsid w:val="1E3882F6"/>
    <w:rsid w:val="1E4E4BE5"/>
    <w:rsid w:val="1E5C976F"/>
    <w:rsid w:val="1E885020"/>
    <w:rsid w:val="1E97F7E7"/>
    <w:rsid w:val="1EE7FCAE"/>
    <w:rsid w:val="1F1A729F"/>
    <w:rsid w:val="1F96F859"/>
    <w:rsid w:val="201FD218"/>
    <w:rsid w:val="2037B0B4"/>
    <w:rsid w:val="203898C6"/>
    <w:rsid w:val="20568621"/>
    <w:rsid w:val="205F1A71"/>
    <w:rsid w:val="2066D945"/>
    <w:rsid w:val="207AF41E"/>
    <w:rsid w:val="20ACD1EA"/>
    <w:rsid w:val="217C4FA6"/>
    <w:rsid w:val="21863207"/>
    <w:rsid w:val="21BA58B8"/>
    <w:rsid w:val="220BA466"/>
    <w:rsid w:val="227C2009"/>
    <w:rsid w:val="23360FA1"/>
    <w:rsid w:val="234E8217"/>
    <w:rsid w:val="23703988"/>
    <w:rsid w:val="23C25C0E"/>
    <w:rsid w:val="242421DD"/>
    <w:rsid w:val="24D98ADC"/>
    <w:rsid w:val="2515840E"/>
    <w:rsid w:val="2528967E"/>
    <w:rsid w:val="2529F744"/>
    <w:rsid w:val="25A04E96"/>
    <w:rsid w:val="25B81DCD"/>
    <w:rsid w:val="264C687F"/>
    <w:rsid w:val="267D7716"/>
    <w:rsid w:val="2704948D"/>
    <w:rsid w:val="276D7EEB"/>
    <w:rsid w:val="27847B39"/>
    <w:rsid w:val="27972269"/>
    <w:rsid w:val="284ADB08"/>
    <w:rsid w:val="2855BAF7"/>
    <w:rsid w:val="2872AE86"/>
    <w:rsid w:val="288F9C9E"/>
    <w:rsid w:val="2891618F"/>
    <w:rsid w:val="2897FF63"/>
    <w:rsid w:val="28B2483E"/>
    <w:rsid w:val="290A1895"/>
    <w:rsid w:val="29B517D8"/>
    <w:rsid w:val="29DE779C"/>
    <w:rsid w:val="2A30C332"/>
    <w:rsid w:val="2AB4A6D7"/>
    <w:rsid w:val="2ACF52FF"/>
    <w:rsid w:val="2AF92897"/>
    <w:rsid w:val="2BD0CC56"/>
    <w:rsid w:val="2C6B2B04"/>
    <w:rsid w:val="2C812E1A"/>
    <w:rsid w:val="2CCAF780"/>
    <w:rsid w:val="2CFA867C"/>
    <w:rsid w:val="2D1A8006"/>
    <w:rsid w:val="2D33A863"/>
    <w:rsid w:val="2D45ECD8"/>
    <w:rsid w:val="2D5DABC7"/>
    <w:rsid w:val="2E0F9268"/>
    <w:rsid w:val="2E896064"/>
    <w:rsid w:val="2EB1D637"/>
    <w:rsid w:val="2EB2EC2F"/>
    <w:rsid w:val="2F2C1B21"/>
    <w:rsid w:val="2F667E2C"/>
    <w:rsid w:val="2F7C17BA"/>
    <w:rsid w:val="2F8EB708"/>
    <w:rsid w:val="302C46E2"/>
    <w:rsid w:val="3037DD71"/>
    <w:rsid w:val="3055582D"/>
    <w:rsid w:val="306B4925"/>
    <w:rsid w:val="309BA644"/>
    <w:rsid w:val="30A0C305"/>
    <w:rsid w:val="30E3DA48"/>
    <w:rsid w:val="30E58F27"/>
    <w:rsid w:val="31A2ADCF"/>
    <w:rsid w:val="31BA60F6"/>
    <w:rsid w:val="31DCA4AD"/>
    <w:rsid w:val="32B7147A"/>
    <w:rsid w:val="32EBF9A1"/>
    <w:rsid w:val="32FEDFD6"/>
    <w:rsid w:val="336EFBF9"/>
    <w:rsid w:val="33997574"/>
    <w:rsid w:val="3410883A"/>
    <w:rsid w:val="346921DC"/>
    <w:rsid w:val="34696635"/>
    <w:rsid w:val="346B938B"/>
    <w:rsid w:val="348F3867"/>
    <w:rsid w:val="35191CD0"/>
    <w:rsid w:val="352616BA"/>
    <w:rsid w:val="353B927E"/>
    <w:rsid w:val="355D1A28"/>
    <w:rsid w:val="35781385"/>
    <w:rsid w:val="35D9B209"/>
    <w:rsid w:val="35E7EB23"/>
    <w:rsid w:val="35EB8D72"/>
    <w:rsid w:val="35EE835C"/>
    <w:rsid w:val="362CA106"/>
    <w:rsid w:val="364FC733"/>
    <w:rsid w:val="3751A074"/>
    <w:rsid w:val="37EEC0D1"/>
    <w:rsid w:val="38633574"/>
    <w:rsid w:val="3866A1E0"/>
    <w:rsid w:val="391C123B"/>
    <w:rsid w:val="3958CFAB"/>
    <w:rsid w:val="3982CBDC"/>
    <w:rsid w:val="39E37BED"/>
    <w:rsid w:val="3A30F792"/>
    <w:rsid w:val="3AA5D638"/>
    <w:rsid w:val="3B6623F1"/>
    <w:rsid w:val="3BEE9F84"/>
    <w:rsid w:val="3BFBE894"/>
    <w:rsid w:val="3C6FD68E"/>
    <w:rsid w:val="3C86ABA3"/>
    <w:rsid w:val="3C895662"/>
    <w:rsid w:val="3D1B1CAF"/>
    <w:rsid w:val="3D555D9F"/>
    <w:rsid w:val="3D568C8F"/>
    <w:rsid w:val="3D6237C0"/>
    <w:rsid w:val="3DA8FFAF"/>
    <w:rsid w:val="3ED43B6F"/>
    <w:rsid w:val="3ED5C27D"/>
    <w:rsid w:val="3F3807E4"/>
    <w:rsid w:val="3F496D07"/>
    <w:rsid w:val="3F5AAE1A"/>
    <w:rsid w:val="3F5B2867"/>
    <w:rsid w:val="3F5E5A1A"/>
    <w:rsid w:val="3FDE325D"/>
    <w:rsid w:val="400937A1"/>
    <w:rsid w:val="407E4525"/>
    <w:rsid w:val="40A640E8"/>
    <w:rsid w:val="41193393"/>
    <w:rsid w:val="411D0542"/>
    <w:rsid w:val="4139F965"/>
    <w:rsid w:val="41A58349"/>
    <w:rsid w:val="41AF121D"/>
    <w:rsid w:val="42698FE8"/>
    <w:rsid w:val="42B35418"/>
    <w:rsid w:val="42EBEF4E"/>
    <w:rsid w:val="42F7D7E6"/>
    <w:rsid w:val="431CD7D9"/>
    <w:rsid w:val="432BE4D1"/>
    <w:rsid w:val="43C02CCB"/>
    <w:rsid w:val="4506699D"/>
    <w:rsid w:val="459A7CB3"/>
    <w:rsid w:val="45A36C44"/>
    <w:rsid w:val="45A8D30D"/>
    <w:rsid w:val="45BA1420"/>
    <w:rsid w:val="46EDF62E"/>
    <w:rsid w:val="4743487D"/>
    <w:rsid w:val="47767904"/>
    <w:rsid w:val="47AD9917"/>
    <w:rsid w:val="4832046F"/>
    <w:rsid w:val="48775B64"/>
    <w:rsid w:val="48833E07"/>
    <w:rsid w:val="48A85EDE"/>
    <w:rsid w:val="48B3E887"/>
    <w:rsid w:val="490EEECA"/>
    <w:rsid w:val="49124965"/>
    <w:rsid w:val="4A187524"/>
    <w:rsid w:val="4AF674B0"/>
    <w:rsid w:val="4B05DBF6"/>
    <w:rsid w:val="4B0C3817"/>
    <w:rsid w:val="4B172779"/>
    <w:rsid w:val="4B313F96"/>
    <w:rsid w:val="4B3CFED7"/>
    <w:rsid w:val="4B7C0C70"/>
    <w:rsid w:val="4BD9FB73"/>
    <w:rsid w:val="4CABA9DC"/>
    <w:rsid w:val="4D34BEE6"/>
    <w:rsid w:val="4DB0B21C"/>
    <w:rsid w:val="4E2E050E"/>
    <w:rsid w:val="4E64BABB"/>
    <w:rsid w:val="4EBF2954"/>
    <w:rsid w:val="4EEA8581"/>
    <w:rsid w:val="4EFEB44E"/>
    <w:rsid w:val="4F5090A9"/>
    <w:rsid w:val="4F8F6B25"/>
    <w:rsid w:val="4F9C218B"/>
    <w:rsid w:val="4FA13526"/>
    <w:rsid w:val="4FED6BAD"/>
    <w:rsid w:val="500BF0DF"/>
    <w:rsid w:val="5096BE36"/>
    <w:rsid w:val="51222E26"/>
    <w:rsid w:val="51A24A9B"/>
    <w:rsid w:val="52184DFE"/>
    <w:rsid w:val="52222643"/>
    <w:rsid w:val="52376AA8"/>
    <w:rsid w:val="529F0A16"/>
    <w:rsid w:val="535B10CB"/>
    <w:rsid w:val="5376EA78"/>
    <w:rsid w:val="539598D2"/>
    <w:rsid w:val="53DC212B"/>
    <w:rsid w:val="54562A01"/>
    <w:rsid w:val="54969BE3"/>
    <w:rsid w:val="54CB34FD"/>
    <w:rsid w:val="55241213"/>
    <w:rsid w:val="5577F18C"/>
    <w:rsid w:val="557ED528"/>
    <w:rsid w:val="5594D01F"/>
    <w:rsid w:val="56461585"/>
    <w:rsid w:val="56B9FC42"/>
    <w:rsid w:val="57028716"/>
    <w:rsid w:val="57393A13"/>
    <w:rsid w:val="5746B73F"/>
    <w:rsid w:val="57531305"/>
    <w:rsid w:val="5777BFAA"/>
    <w:rsid w:val="57C5DB9B"/>
    <w:rsid w:val="57D031FC"/>
    <w:rsid w:val="57FB9BE7"/>
    <w:rsid w:val="5864131D"/>
    <w:rsid w:val="586BCA4F"/>
    <w:rsid w:val="589E5777"/>
    <w:rsid w:val="589F7AD4"/>
    <w:rsid w:val="58A141D8"/>
    <w:rsid w:val="597F8B62"/>
    <w:rsid w:val="59B32B86"/>
    <w:rsid w:val="59B92E31"/>
    <w:rsid w:val="59F2C90D"/>
    <w:rsid w:val="59FC6827"/>
    <w:rsid w:val="5A065D12"/>
    <w:rsid w:val="5A838678"/>
    <w:rsid w:val="5AADFFFE"/>
    <w:rsid w:val="5B02FB35"/>
    <w:rsid w:val="5B15F841"/>
    <w:rsid w:val="5B96EAE2"/>
    <w:rsid w:val="5B9988D0"/>
    <w:rsid w:val="5BD256D5"/>
    <w:rsid w:val="5BE5761D"/>
    <w:rsid w:val="5C8F407E"/>
    <w:rsid w:val="5D2A69CF"/>
    <w:rsid w:val="5D6E2736"/>
    <w:rsid w:val="5D830371"/>
    <w:rsid w:val="5DE07778"/>
    <w:rsid w:val="5DE2B5F5"/>
    <w:rsid w:val="5E5D398F"/>
    <w:rsid w:val="5E890B75"/>
    <w:rsid w:val="5EBFD151"/>
    <w:rsid w:val="5EDB0BD3"/>
    <w:rsid w:val="5FDB43E1"/>
    <w:rsid w:val="604863EE"/>
    <w:rsid w:val="6149E05B"/>
    <w:rsid w:val="61EF3D50"/>
    <w:rsid w:val="62FE8202"/>
    <w:rsid w:val="6308A255"/>
    <w:rsid w:val="63418658"/>
    <w:rsid w:val="6342A340"/>
    <w:rsid w:val="6356ACA2"/>
    <w:rsid w:val="6391023C"/>
    <w:rsid w:val="6399AB53"/>
    <w:rsid w:val="63BEC248"/>
    <w:rsid w:val="64321181"/>
    <w:rsid w:val="64630DF9"/>
    <w:rsid w:val="6496C916"/>
    <w:rsid w:val="64CF2A26"/>
    <w:rsid w:val="65ADC66C"/>
    <w:rsid w:val="65D42FEC"/>
    <w:rsid w:val="65D95EB0"/>
    <w:rsid w:val="65FA195D"/>
    <w:rsid w:val="65FC4119"/>
    <w:rsid w:val="6603B53B"/>
    <w:rsid w:val="662DF8D0"/>
    <w:rsid w:val="6758D17B"/>
    <w:rsid w:val="67BF7BEA"/>
    <w:rsid w:val="67E52342"/>
    <w:rsid w:val="68556359"/>
    <w:rsid w:val="68661C72"/>
    <w:rsid w:val="689650BA"/>
    <w:rsid w:val="68A49BAF"/>
    <w:rsid w:val="697438BF"/>
    <w:rsid w:val="69CDB564"/>
    <w:rsid w:val="69D3F899"/>
    <w:rsid w:val="69E05B7A"/>
    <w:rsid w:val="69EFC47A"/>
    <w:rsid w:val="69FAB577"/>
    <w:rsid w:val="6A7749E0"/>
    <w:rsid w:val="6B22BC44"/>
    <w:rsid w:val="6BA6DD88"/>
    <w:rsid w:val="6BF52CE6"/>
    <w:rsid w:val="6BFD56DA"/>
    <w:rsid w:val="6C1FCC88"/>
    <w:rsid w:val="6C6697FA"/>
    <w:rsid w:val="6C8B176B"/>
    <w:rsid w:val="6CA51F3D"/>
    <w:rsid w:val="6CB00CB8"/>
    <w:rsid w:val="6CCFC77C"/>
    <w:rsid w:val="6CEF5CDA"/>
    <w:rsid w:val="6D00E7CF"/>
    <w:rsid w:val="6D592AF3"/>
    <w:rsid w:val="6D87EC64"/>
    <w:rsid w:val="6D94617F"/>
    <w:rsid w:val="6DCB5244"/>
    <w:rsid w:val="6E849B84"/>
    <w:rsid w:val="6E8CEA2E"/>
    <w:rsid w:val="6EADA78F"/>
    <w:rsid w:val="6EB80CA5"/>
    <w:rsid w:val="6F14C7CB"/>
    <w:rsid w:val="6F23BCC5"/>
    <w:rsid w:val="6F327A7C"/>
    <w:rsid w:val="6F408B75"/>
    <w:rsid w:val="6F479431"/>
    <w:rsid w:val="6FBBB2B9"/>
    <w:rsid w:val="707BC527"/>
    <w:rsid w:val="70AD2E02"/>
    <w:rsid w:val="70AE8D9A"/>
    <w:rsid w:val="70CE0ED1"/>
    <w:rsid w:val="70E9E87E"/>
    <w:rsid w:val="71467BA0"/>
    <w:rsid w:val="717ECDCE"/>
    <w:rsid w:val="7267D2A2"/>
    <w:rsid w:val="72AAD153"/>
    <w:rsid w:val="73B63590"/>
    <w:rsid w:val="73C4A0C0"/>
    <w:rsid w:val="73E7166E"/>
    <w:rsid w:val="7492274F"/>
    <w:rsid w:val="75182693"/>
    <w:rsid w:val="757B447A"/>
    <w:rsid w:val="75A73AA2"/>
    <w:rsid w:val="75BB4C90"/>
    <w:rsid w:val="7618E403"/>
    <w:rsid w:val="76543414"/>
    <w:rsid w:val="7726A4B6"/>
    <w:rsid w:val="77A44EF0"/>
    <w:rsid w:val="77DBEF81"/>
    <w:rsid w:val="77EB718A"/>
    <w:rsid w:val="77FCF2A3"/>
    <w:rsid w:val="77FDB4DC"/>
    <w:rsid w:val="782DE4F6"/>
    <w:rsid w:val="7958E414"/>
    <w:rsid w:val="7970CE2B"/>
    <w:rsid w:val="79981377"/>
    <w:rsid w:val="79B4B785"/>
    <w:rsid w:val="79BBC0E9"/>
    <w:rsid w:val="79DCF170"/>
    <w:rsid w:val="79F87F84"/>
    <w:rsid w:val="7A338025"/>
    <w:rsid w:val="7AD3C40A"/>
    <w:rsid w:val="7B0DDCA5"/>
    <w:rsid w:val="7B27A537"/>
    <w:rsid w:val="7C2B3F09"/>
    <w:rsid w:val="7C33641F"/>
    <w:rsid w:val="7C3B4270"/>
    <w:rsid w:val="7C86467E"/>
    <w:rsid w:val="7C9AE132"/>
    <w:rsid w:val="7CF17664"/>
    <w:rsid w:val="7D44E1FB"/>
    <w:rsid w:val="7D525AA9"/>
    <w:rsid w:val="7D92FEFD"/>
    <w:rsid w:val="7D9AA5C8"/>
    <w:rsid w:val="7E5E0D0F"/>
    <w:rsid w:val="7E689767"/>
    <w:rsid w:val="7E87554B"/>
    <w:rsid w:val="7EB7C8FC"/>
    <w:rsid w:val="7EBAA546"/>
    <w:rsid w:val="7EE174A6"/>
    <w:rsid w:val="7F4E0E09"/>
    <w:rsid w:val="7F6D2DB1"/>
    <w:rsid w:val="7FE9DB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5BE6EC4"/>
  <w15:chartTrackingRefBased/>
  <w15:docId w15:val="{E4B8588D-C798-489E-8EAD-905443ABD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lsdException w:name="List Bullet 3" w:semiHidden="1" w:uiPriority="4" w:unhideWhenUsed="1"/>
    <w:lsdException w:name="List Bullet 4" w:semiHidden="1" w:uiPriority="4"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0122"/>
    <w:pPr>
      <w:jc w:val="both"/>
    </w:pPr>
    <w:rPr>
      <w:rFonts w:ascii="Times New Roman" w:hAnsi="Times New Roman"/>
      <w:sz w:val="24"/>
    </w:rPr>
  </w:style>
  <w:style w:type="paragraph" w:styleId="Heading1">
    <w:name w:val="heading 1"/>
    <w:aliases w:val="(Section),MOVE-it 1,Heading 11,Hoofdstuk,Επικεφαλίδα 1 ΌΧΙ,Heading 1 - Main Heading of Document,F3 Heading 1 - Section,Numbered - 1,Section,Chapter Hdg,h1,CH TITLE 1,Chapter Heading,AChapter,Sub code header,Section Heading,Do Not Use,1,Chapter"/>
    <w:basedOn w:val="Normal"/>
    <w:next w:val="Text1"/>
    <w:link w:val="Heading1Char"/>
    <w:uiPriority w:val="9"/>
    <w:qFormat/>
    <w:rsid w:val="006B087E"/>
    <w:pPr>
      <w:keepNext/>
      <w:tabs>
        <w:tab w:val="num" w:pos="480"/>
      </w:tabs>
      <w:spacing w:before="240" w:after="240" w:line="240" w:lineRule="auto"/>
      <w:ind w:left="480" w:hanging="480"/>
      <w:outlineLvl w:val="0"/>
    </w:pPr>
    <w:rPr>
      <w:rFonts w:eastAsia="Times New Roman" w:cs="Times New Roman"/>
      <w:b/>
      <w:smallCaps/>
      <w:szCs w:val="20"/>
    </w:rPr>
  </w:style>
  <w:style w:type="paragraph" w:styleId="Heading2">
    <w:name w:val="heading 2"/>
    <w:aliases w:val="(SubSection),Heading 21,2/1,Paragraaf,cv titles,H2,F4 Heading 2 - SubSection,(Main Heading),ASection,Heading 2 - Main Heading within Document,Heading Two,h2,(1.1,1.2,1.3 etc),Prophead 2,2,RFP Heading 2,Activit...,Activity,l2,Major,Outline2"/>
    <w:basedOn w:val="Normal"/>
    <w:next w:val="Text2"/>
    <w:link w:val="Heading2Char"/>
    <w:uiPriority w:val="9"/>
    <w:qFormat/>
    <w:rsid w:val="006B087E"/>
    <w:pPr>
      <w:keepNext/>
      <w:tabs>
        <w:tab w:val="num" w:pos="1004"/>
      </w:tabs>
      <w:spacing w:after="240" w:line="240" w:lineRule="auto"/>
      <w:ind w:left="1004" w:hanging="720"/>
      <w:outlineLvl w:val="1"/>
    </w:pPr>
    <w:rPr>
      <w:rFonts w:eastAsia="Times New Roman" w:cs="Times New Roman"/>
      <w:b/>
      <w:szCs w:val="20"/>
    </w:rPr>
  </w:style>
  <w:style w:type="paragraph" w:styleId="Heading3">
    <w:name w:val="heading 3"/>
    <w:aliases w:val="Subparagraaf,Outline3,Heading 3 - Bold heading for document - will appear in index,F5 Heading 3,H3,Prophead 3,h3,HHHeading,Heading 31,Heading 32,Heading 33,Heading...,Numbered - 3,l3,CT,h3 sub heading,Head 3,3m,H31,(Alt+3),C Sub-Sub/Italic"/>
    <w:basedOn w:val="Normal"/>
    <w:next w:val="Normal"/>
    <w:link w:val="Heading3Char"/>
    <w:uiPriority w:val="9"/>
    <w:qFormat/>
    <w:rsid w:val="006B087E"/>
    <w:pPr>
      <w:keepNext/>
      <w:tabs>
        <w:tab w:val="num" w:pos="1920"/>
      </w:tabs>
      <w:spacing w:after="240" w:line="240" w:lineRule="auto"/>
      <w:ind w:left="1920" w:hanging="720"/>
      <w:outlineLvl w:val="2"/>
    </w:pPr>
    <w:rPr>
      <w:rFonts w:eastAsia="Times New Roman" w:cs="Times New Roman"/>
      <w:i/>
      <w:szCs w:val="20"/>
    </w:rPr>
  </w:style>
  <w:style w:type="paragraph" w:styleId="Heading4">
    <w:name w:val="heading 4"/>
    <w:aliases w:val="ALK_K4,NEA4,Kopje,Tussenkop,Ü 4,H4,Numbered - 4,itth4,TABLE,heading 4 Char,heading 4,- Niveau 4,level 3 subhead,PA Micro Section,(Alt+4),H41,(Alt+4)1,H42,(Alt+4)2,H43,(Alt+4)3,H44,(Alt+4)4,H45,(Alt+4)5,H411,(Alt+4)11,H421,(Alt+4)21,H431"/>
    <w:basedOn w:val="Normal"/>
    <w:next w:val="Normal"/>
    <w:link w:val="Heading4Char"/>
    <w:uiPriority w:val="9"/>
    <w:qFormat/>
    <w:rsid w:val="006B087E"/>
    <w:pPr>
      <w:keepNext/>
      <w:tabs>
        <w:tab w:val="num" w:pos="1920"/>
      </w:tabs>
      <w:spacing w:after="240" w:line="240" w:lineRule="auto"/>
      <w:ind w:left="1920" w:hanging="720"/>
      <w:outlineLvl w:val="3"/>
    </w:pPr>
    <w:rPr>
      <w:rFonts w:eastAsia="Times New Roman" w:cs="Times New Roman"/>
      <w:szCs w:val="20"/>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Normal"/>
    <w:next w:val="Normal"/>
    <w:link w:val="Heading5Char"/>
    <w:uiPriority w:val="9"/>
    <w:unhideWhenUsed/>
    <w:qFormat/>
    <w:rsid w:val="0043480A"/>
    <w:pPr>
      <w:keepNext/>
      <w:keepLines/>
      <w:spacing w:before="40" w:after="0" w:line="259" w:lineRule="auto"/>
      <w:ind w:left="1008" w:hanging="1008"/>
      <w:outlineLvl w:val="4"/>
    </w:pPr>
    <w:rPr>
      <w:rFonts w:asciiTheme="majorHAnsi" w:eastAsiaTheme="majorEastAsia" w:hAnsiTheme="majorHAnsi" w:cstheme="majorBidi"/>
      <w:color w:val="365F91" w:themeColor="accent1" w:themeShade="BF"/>
      <w:sz w:val="20"/>
    </w:rPr>
  </w:style>
  <w:style w:type="paragraph" w:styleId="Heading6">
    <w:name w:val="heading 6"/>
    <w:aliases w:val="Footer 1"/>
    <w:basedOn w:val="Normal"/>
    <w:next w:val="Normal"/>
    <w:link w:val="Heading6Char"/>
    <w:uiPriority w:val="9"/>
    <w:unhideWhenUsed/>
    <w:qFormat/>
    <w:rsid w:val="0043480A"/>
    <w:pPr>
      <w:keepNext/>
      <w:keepLines/>
      <w:spacing w:before="40" w:after="0" w:line="259" w:lineRule="auto"/>
      <w:ind w:left="1152" w:hanging="1152"/>
      <w:outlineLvl w:val="5"/>
    </w:pPr>
    <w:rPr>
      <w:rFonts w:asciiTheme="majorHAnsi" w:eastAsiaTheme="majorEastAsia" w:hAnsiTheme="majorHAnsi" w:cstheme="majorBidi"/>
      <w:color w:val="243F60" w:themeColor="accent1" w:themeShade="7F"/>
      <w:sz w:val="20"/>
    </w:rPr>
  </w:style>
  <w:style w:type="paragraph" w:styleId="Heading7">
    <w:name w:val="heading 7"/>
    <w:aliases w:val="sub3,Heading 7 (do not use),aoua-titre annexes"/>
    <w:basedOn w:val="Normal"/>
    <w:next w:val="Normal"/>
    <w:link w:val="Heading7Char"/>
    <w:uiPriority w:val="9"/>
    <w:unhideWhenUsed/>
    <w:qFormat/>
    <w:rsid w:val="0043480A"/>
    <w:pPr>
      <w:keepNext/>
      <w:keepLines/>
      <w:spacing w:before="40" w:after="0" w:line="259" w:lineRule="auto"/>
      <w:ind w:left="1296" w:hanging="1296"/>
      <w:outlineLvl w:val="6"/>
    </w:pPr>
    <w:rPr>
      <w:rFonts w:asciiTheme="majorHAnsi" w:eastAsiaTheme="majorEastAsia" w:hAnsiTheme="majorHAnsi" w:cstheme="majorBidi"/>
      <w:i/>
      <w:iCs/>
      <w:color w:val="243F60" w:themeColor="accent1" w:themeShade="7F"/>
      <w:sz w:val="20"/>
    </w:rPr>
  </w:style>
  <w:style w:type="paragraph" w:styleId="Heading8">
    <w:name w:val="heading 8"/>
    <w:aliases w:val="sub4,Heading 8 (do not use)"/>
    <w:basedOn w:val="Normal"/>
    <w:next w:val="Normal"/>
    <w:link w:val="Heading8Char"/>
    <w:uiPriority w:val="9"/>
    <w:unhideWhenUsed/>
    <w:qFormat/>
    <w:rsid w:val="0043480A"/>
    <w:pPr>
      <w:keepNext/>
      <w:keepLines/>
      <w:spacing w:before="40" w:after="0" w:line="259" w:lineRule="auto"/>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43480A"/>
    <w:pPr>
      <w:keepNext/>
      <w:keepLines/>
      <w:spacing w:before="40" w:after="0" w:line="259" w:lineRule="auto"/>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MOVE-it 1 Char,Heading 11 Char,Hoofdstuk Char,Επικεφαλίδα 1 ΌΧΙ Char,Heading 1 - Main Heading of Document Char,F3 Heading 1 - Section Char,Numbered - 1 Char,Section Char,Chapter Hdg Char,h1 Char,CH TITLE 1 Char,1 Char"/>
    <w:basedOn w:val="DefaultParagraphFont"/>
    <w:link w:val="Heading1"/>
    <w:uiPriority w:val="9"/>
    <w:rsid w:val="006B087E"/>
    <w:rPr>
      <w:rFonts w:ascii="Times New Roman" w:eastAsia="Times New Roman" w:hAnsi="Times New Roman" w:cs="Times New Roman"/>
      <w:b/>
      <w:smallCaps/>
      <w:sz w:val="24"/>
      <w:szCs w:val="20"/>
    </w:rPr>
  </w:style>
  <w:style w:type="character" w:customStyle="1" w:styleId="Heading2Char">
    <w:name w:val="Heading 2 Char"/>
    <w:aliases w:val="(SubSection) Char,Heading 21 Char,2/1 Char,Paragraaf Char,cv titles Char,H2 Char,F4 Heading 2 - SubSection Char,(Main Heading) Char,ASection Char,Heading 2 - Main Heading within Document Char,Heading Two Char,h2 Char,(1.1 Char,1.2 Char"/>
    <w:basedOn w:val="DefaultParagraphFont"/>
    <w:link w:val="Heading2"/>
    <w:uiPriority w:val="9"/>
    <w:rsid w:val="006B087E"/>
    <w:rPr>
      <w:rFonts w:ascii="Times New Roman" w:eastAsia="Times New Roman" w:hAnsi="Times New Roman" w:cs="Times New Roman"/>
      <w:b/>
      <w:sz w:val="24"/>
      <w:szCs w:val="20"/>
    </w:rPr>
  </w:style>
  <w:style w:type="character" w:customStyle="1" w:styleId="Heading3Char">
    <w:name w:val="Heading 3 Char"/>
    <w:aliases w:val="Subparagraaf Char,Outline3 Char,Heading 3 - Bold heading for document - will appear in index Char,F5 Heading 3 Char,H3 Char,Prophead 3 Char,h3 Char,HHHeading Char,Heading 31 Char,Heading 32 Char,Heading 33 Char,Heading... Char,l3 Char"/>
    <w:basedOn w:val="DefaultParagraphFont"/>
    <w:link w:val="Heading3"/>
    <w:uiPriority w:val="9"/>
    <w:rsid w:val="006B087E"/>
    <w:rPr>
      <w:rFonts w:ascii="Times New Roman" w:eastAsia="Times New Roman" w:hAnsi="Times New Roman" w:cs="Times New Roman"/>
      <w:i/>
      <w:sz w:val="24"/>
      <w:szCs w:val="20"/>
    </w:rPr>
  </w:style>
  <w:style w:type="character" w:customStyle="1" w:styleId="Heading4Char">
    <w:name w:val="Heading 4 Char"/>
    <w:aliases w:val="ALK_K4 Char,NEA4 Char,Kopje Char,Tussenkop Char,Ü 4 Char,H4 Char,Numbered - 4 Char,itth4 Char,TABLE Char,heading 4 Char Char,heading 4 Char1,- Niveau 4 Char,level 3 subhead Char,PA Micro Section Char,(Alt+4) Char,H41 Char,(Alt+4)1 Char"/>
    <w:basedOn w:val="DefaultParagraphFont"/>
    <w:link w:val="Heading4"/>
    <w:uiPriority w:val="9"/>
    <w:rsid w:val="006B087E"/>
    <w:rPr>
      <w:rFonts w:ascii="Times New Roman" w:eastAsia="Times New Roman" w:hAnsi="Times New Roman" w:cs="Times New Roman"/>
      <w:sz w:val="24"/>
      <w:szCs w:val="20"/>
    </w:rPr>
  </w:style>
  <w:style w:type="character" w:customStyle="1" w:styleId="Marker">
    <w:name w:val="Marker"/>
    <w:basedOn w:val="DefaultParagraphFont"/>
    <w:rsid w:val="006B087E"/>
    <w:rPr>
      <w:color w:val="0000FF"/>
      <w:shd w:val="clear" w:color="auto" w:fill="auto"/>
    </w:rPr>
  </w:style>
  <w:style w:type="paragraph" w:customStyle="1" w:styleId="Pagedecouverture">
    <w:name w:val="Page de couverture"/>
    <w:basedOn w:val="Normal"/>
    <w:next w:val="Normal"/>
    <w:rsid w:val="006B087E"/>
    <w:pPr>
      <w:spacing w:after="0" w:line="240" w:lineRule="auto"/>
    </w:pPr>
    <w:rPr>
      <w:rFonts w:cs="Times New Roman"/>
    </w:rPr>
  </w:style>
  <w:style w:type="paragraph" w:styleId="Header">
    <w:name w:val="header"/>
    <w:basedOn w:val="Normal"/>
    <w:link w:val="HeaderChar"/>
    <w:uiPriority w:val="99"/>
    <w:unhideWhenUsed/>
    <w:rsid w:val="006B087E"/>
    <w:pPr>
      <w:tabs>
        <w:tab w:val="center" w:pos="4535"/>
        <w:tab w:val="right" w:pos="9071"/>
      </w:tabs>
      <w:spacing w:after="120" w:line="240" w:lineRule="auto"/>
    </w:pPr>
    <w:rPr>
      <w:rFonts w:cs="Times New Roman"/>
    </w:rPr>
  </w:style>
  <w:style w:type="character" w:customStyle="1" w:styleId="HeaderChar">
    <w:name w:val="Header Char"/>
    <w:basedOn w:val="DefaultParagraphFont"/>
    <w:link w:val="Header"/>
    <w:uiPriority w:val="99"/>
    <w:rsid w:val="006B087E"/>
    <w:rPr>
      <w:rFonts w:ascii="Times New Roman" w:hAnsi="Times New Roman" w:cs="Times New Roman"/>
      <w:sz w:val="24"/>
    </w:rPr>
  </w:style>
  <w:style w:type="paragraph" w:styleId="Footer">
    <w:name w:val="footer"/>
    <w:basedOn w:val="Normal"/>
    <w:link w:val="FooterChar"/>
    <w:uiPriority w:val="99"/>
    <w:unhideWhenUsed/>
    <w:rsid w:val="006B087E"/>
    <w:pPr>
      <w:tabs>
        <w:tab w:val="center" w:pos="4535"/>
        <w:tab w:val="right" w:pos="9071"/>
        <w:tab w:val="right" w:pos="9921"/>
      </w:tabs>
      <w:spacing w:before="360" w:after="0" w:line="240" w:lineRule="auto"/>
      <w:ind w:left="-850" w:right="-850"/>
    </w:pPr>
    <w:rPr>
      <w:rFonts w:cs="Times New Roman"/>
    </w:rPr>
  </w:style>
  <w:style w:type="character" w:customStyle="1" w:styleId="FooterChar">
    <w:name w:val="Footer Char"/>
    <w:basedOn w:val="DefaultParagraphFont"/>
    <w:link w:val="Footer"/>
    <w:uiPriority w:val="99"/>
    <w:rsid w:val="006B087E"/>
    <w:rPr>
      <w:rFonts w:ascii="Times New Roman" w:hAnsi="Times New Roman" w:cs="Times New Roman"/>
      <w:sz w:val="24"/>
    </w:rPr>
  </w:style>
  <w:style w:type="paragraph" w:customStyle="1" w:styleId="FooterCoverPage">
    <w:name w:val="Footer Cover Page"/>
    <w:basedOn w:val="Normal"/>
    <w:link w:val="FooterCoverPageChar"/>
    <w:rsid w:val="006B087E"/>
    <w:pPr>
      <w:tabs>
        <w:tab w:val="center" w:pos="4535"/>
        <w:tab w:val="right" w:pos="9071"/>
        <w:tab w:val="right" w:pos="9921"/>
      </w:tabs>
      <w:spacing w:before="360" w:after="0" w:line="240" w:lineRule="auto"/>
      <w:ind w:left="-850" w:right="-850"/>
      <w:jc w:val="left"/>
    </w:pPr>
  </w:style>
  <w:style w:type="character" w:customStyle="1" w:styleId="FooterCoverPageChar">
    <w:name w:val="Footer Cover Page Char"/>
    <w:basedOn w:val="DefaultParagraphFont"/>
    <w:link w:val="FooterCoverPage"/>
    <w:rsid w:val="006B087E"/>
    <w:rPr>
      <w:rFonts w:ascii="Times New Roman" w:hAnsi="Times New Roman"/>
      <w:sz w:val="24"/>
    </w:rPr>
  </w:style>
  <w:style w:type="paragraph" w:customStyle="1" w:styleId="HeaderCoverPage">
    <w:name w:val="Header Cover Page"/>
    <w:basedOn w:val="Normal"/>
    <w:link w:val="HeaderCoverPageChar"/>
    <w:rsid w:val="006B087E"/>
    <w:pPr>
      <w:tabs>
        <w:tab w:val="center" w:pos="4535"/>
        <w:tab w:val="right" w:pos="9071"/>
      </w:tabs>
      <w:spacing w:after="120" w:line="240" w:lineRule="auto"/>
    </w:pPr>
  </w:style>
  <w:style w:type="character" w:customStyle="1" w:styleId="HeaderCoverPageChar">
    <w:name w:val="Header Cover Page Char"/>
    <w:basedOn w:val="DefaultParagraphFont"/>
    <w:link w:val="HeaderCoverPage"/>
    <w:rsid w:val="006B087E"/>
    <w:rPr>
      <w:rFonts w:ascii="Times New Roman" w:hAnsi="Times New Roman"/>
      <w:sz w:val="24"/>
    </w:rPr>
  </w:style>
  <w:style w:type="paragraph" w:customStyle="1" w:styleId="Text1">
    <w:name w:val="Text 1"/>
    <w:basedOn w:val="Normal"/>
    <w:rsid w:val="006B087E"/>
    <w:pPr>
      <w:spacing w:after="240" w:line="240" w:lineRule="auto"/>
      <w:ind w:left="482"/>
    </w:pPr>
    <w:rPr>
      <w:rFonts w:eastAsia="Times New Roman" w:cs="Times New Roman"/>
      <w:szCs w:val="20"/>
    </w:rPr>
  </w:style>
  <w:style w:type="paragraph" w:customStyle="1" w:styleId="Text2">
    <w:name w:val="Text 2"/>
    <w:basedOn w:val="Normal"/>
    <w:link w:val="Text2Char1"/>
    <w:rsid w:val="006B087E"/>
    <w:pPr>
      <w:tabs>
        <w:tab w:val="left" w:pos="2302"/>
      </w:tabs>
      <w:spacing w:after="240" w:line="240" w:lineRule="auto"/>
      <w:ind w:left="1202"/>
    </w:pPr>
    <w:rPr>
      <w:rFonts w:eastAsia="Times New Roman" w:cs="Times New Roman"/>
      <w:szCs w:val="20"/>
    </w:rPr>
  </w:style>
  <w:style w:type="paragraph" w:styleId="ListBullet">
    <w:name w:val="List Bullet"/>
    <w:basedOn w:val="Normal"/>
    <w:rsid w:val="006B087E"/>
    <w:pPr>
      <w:numPr>
        <w:numId w:val="1"/>
      </w:numPr>
      <w:spacing w:after="240" w:line="240" w:lineRule="auto"/>
    </w:pPr>
    <w:rPr>
      <w:rFonts w:eastAsia="Times New Roman" w:cs="Times New Roman"/>
      <w:szCs w:val="20"/>
    </w:rPr>
  </w:style>
  <w:style w:type="paragraph" w:customStyle="1" w:styleId="ListDash1">
    <w:name w:val="List Dash 1"/>
    <w:basedOn w:val="Text1"/>
    <w:rsid w:val="006B087E"/>
    <w:pPr>
      <w:tabs>
        <w:tab w:val="num" w:pos="765"/>
      </w:tabs>
      <w:ind w:left="765" w:hanging="283"/>
    </w:pPr>
  </w:style>
  <w:style w:type="table" w:styleId="TableGrid">
    <w:name w:val="Table Grid"/>
    <w:aliases w:val="Document Table,CV1"/>
    <w:basedOn w:val="TableNormal"/>
    <w:uiPriority w:val="39"/>
    <w:rsid w:val="006B087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rsid w:val="006B087E"/>
    <w:pPr>
      <w:keepNext/>
      <w:spacing w:after="480" w:line="240" w:lineRule="auto"/>
      <w:jc w:val="center"/>
    </w:pPr>
    <w:rPr>
      <w:rFonts w:eastAsia="Times New Roman" w:cs="Times New Roman"/>
      <w:b/>
      <w:sz w:val="32"/>
      <w:szCs w:val="20"/>
    </w:rPr>
  </w:style>
  <w:style w:type="character" w:customStyle="1" w:styleId="AnnexTitleChar">
    <w:name w:val="Annex Title Char"/>
    <w:basedOn w:val="DefaultParagraphFont"/>
    <w:link w:val="AnnexTitle"/>
    <w:rsid w:val="006B087E"/>
    <w:rPr>
      <w:rFonts w:ascii="Times New Roman" w:eastAsia="Times New Roman" w:hAnsi="Times New Roman" w:cs="Times New Roman"/>
      <w:b/>
      <w:sz w:val="32"/>
      <w:szCs w:val="20"/>
    </w:rPr>
  </w:style>
  <w:style w:type="table" w:customStyle="1" w:styleId="CV11">
    <w:name w:val="CV11"/>
    <w:basedOn w:val="TableNormal"/>
    <w:next w:val="TableGrid"/>
    <w:uiPriority w:val="39"/>
    <w:rsid w:val="006B087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rsid w:val="006B087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rsid w:val="006B087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6B087E"/>
    <w:pPr>
      <w:tabs>
        <w:tab w:val="right" w:leader="dot" w:pos="8640"/>
      </w:tabs>
      <w:spacing w:before="120" w:after="120" w:line="240" w:lineRule="auto"/>
      <w:ind w:left="482" w:right="720" w:hanging="482"/>
    </w:pPr>
    <w:rPr>
      <w:rFonts w:eastAsia="Times New Roman" w:cs="Times New Roman"/>
      <w:caps/>
      <w:sz w:val="20"/>
      <w:szCs w:val="20"/>
    </w:rPr>
  </w:style>
  <w:style w:type="paragraph" w:styleId="TOC2">
    <w:name w:val="toc 2"/>
    <w:basedOn w:val="Normal"/>
    <w:next w:val="Normal"/>
    <w:uiPriority w:val="39"/>
    <w:rsid w:val="006B087E"/>
    <w:pPr>
      <w:tabs>
        <w:tab w:val="right" w:leader="dot" w:pos="8640"/>
      </w:tabs>
      <w:spacing w:before="60" w:after="60" w:line="240" w:lineRule="auto"/>
      <w:ind w:left="1077" w:right="720" w:hanging="595"/>
    </w:pPr>
    <w:rPr>
      <w:rFonts w:eastAsia="Times New Roman" w:cs="Times New Roman"/>
      <w:szCs w:val="20"/>
    </w:rPr>
  </w:style>
  <w:style w:type="paragraph" w:styleId="TOCHeading">
    <w:name w:val="TOC Heading"/>
    <w:basedOn w:val="Normal"/>
    <w:next w:val="Normal"/>
    <w:link w:val="TOCHeadingChar"/>
    <w:uiPriority w:val="39"/>
    <w:qFormat/>
    <w:rsid w:val="006B087E"/>
    <w:pPr>
      <w:keepNext/>
      <w:spacing w:before="240" w:after="240" w:line="240" w:lineRule="auto"/>
      <w:jc w:val="center"/>
    </w:pPr>
    <w:rPr>
      <w:rFonts w:eastAsia="Times New Roman" w:cs="Times New Roman"/>
      <w:b/>
      <w:szCs w:val="20"/>
    </w:rPr>
  </w:style>
  <w:style w:type="character" w:styleId="Hyperlink">
    <w:name w:val="Hyperlink"/>
    <w:aliases w:val=" Znak Znak Znak,Znak Znak Znak"/>
    <w:basedOn w:val="DefaultParagraphFont"/>
    <w:uiPriority w:val="99"/>
    <w:unhideWhenUsed/>
    <w:qFormat/>
    <w:rsid w:val="006B087E"/>
    <w:rPr>
      <w:color w:val="0000FF" w:themeColor="hyperlink"/>
      <w:u w:val="single"/>
    </w:rPr>
  </w:style>
  <w:style w:type="paragraph" w:styleId="BalloonText">
    <w:name w:val="Balloon Text"/>
    <w:basedOn w:val="Normal"/>
    <w:link w:val="BalloonTextChar"/>
    <w:uiPriority w:val="99"/>
    <w:semiHidden/>
    <w:unhideWhenUsed/>
    <w:rsid w:val="006B08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87E"/>
    <w:rPr>
      <w:rFonts w:ascii="Tahoma" w:hAnsi="Tahoma" w:cs="Tahoma"/>
      <w:sz w:val="16"/>
      <w:szCs w:val="16"/>
    </w:rPr>
  </w:style>
  <w:style w:type="paragraph" w:customStyle="1" w:styleId="Declassification">
    <w:name w:val="Declassification"/>
    <w:basedOn w:val="Normal"/>
    <w:next w:val="Normal"/>
    <w:rsid w:val="006B087E"/>
    <w:pPr>
      <w:spacing w:after="0" w:line="240" w:lineRule="auto"/>
    </w:pPr>
    <w:rPr>
      <w:rFonts w:cs="Times New Roman"/>
    </w:rPr>
  </w:style>
  <w:style w:type="paragraph" w:customStyle="1" w:styleId="HeaderLandscape">
    <w:name w:val="HeaderLandscape"/>
    <w:basedOn w:val="Normal"/>
    <w:rsid w:val="006B087E"/>
    <w:pPr>
      <w:tabs>
        <w:tab w:val="center" w:pos="7285"/>
        <w:tab w:val="right" w:pos="14003"/>
      </w:tabs>
      <w:spacing w:after="120" w:line="240" w:lineRule="auto"/>
    </w:pPr>
    <w:rPr>
      <w:rFonts w:cs="Times New Roman"/>
    </w:rPr>
  </w:style>
  <w:style w:type="paragraph" w:customStyle="1" w:styleId="HeaderSensitivity">
    <w:name w:val="Header Sensitivity"/>
    <w:basedOn w:val="Normal"/>
    <w:link w:val="HeaderSensitivityChar"/>
    <w:rsid w:val="006B087E"/>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paragraph" w:customStyle="1" w:styleId="FooterLandscape">
    <w:name w:val="FooterLandscape"/>
    <w:basedOn w:val="Normal"/>
    <w:rsid w:val="006B087E"/>
    <w:pPr>
      <w:tabs>
        <w:tab w:val="center" w:pos="7285"/>
        <w:tab w:val="center" w:pos="10913"/>
        <w:tab w:val="right" w:pos="15137"/>
      </w:tabs>
      <w:spacing w:before="360" w:after="0" w:line="240" w:lineRule="auto"/>
      <w:ind w:left="-567" w:right="-567"/>
    </w:pPr>
    <w:rPr>
      <w:rFonts w:cs="Times New Roman"/>
    </w:rPr>
  </w:style>
  <w:style w:type="paragraph" w:customStyle="1" w:styleId="FooterSensitivity">
    <w:name w:val="Footer Sensitivity"/>
    <w:basedOn w:val="Normal"/>
    <w:link w:val="FooterSensitivityChar"/>
    <w:rsid w:val="006B087E"/>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paragraph" w:customStyle="1" w:styleId="HeaderSensitivityRight">
    <w:name w:val="Header Sensitivity Right"/>
    <w:basedOn w:val="Normal"/>
    <w:link w:val="HeaderSensitivityRightChar"/>
    <w:rsid w:val="006B087E"/>
    <w:pPr>
      <w:spacing w:after="120" w:line="240" w:lineRule="auto"/>
      <w:jc w:val="right"/>
    </w:pPr>
    <w:rPr>
      <w:sz w:val="28"/>
    </w:rPr>
  </w:style>
  <w:style w:type="character" w:customStyle="1" w:styleId="HeaderSensitivityRightChar">
    <w:name w:val="Header Sensitivity Right Char"/>
    <w:basedOn w:val="DefaultParagraphFont"/>
    <w:link w:val="HeaderSensitivityRight"/>
    <w:rsid w:val="006B087E"/>
    <w:rPr>
      <w:rFonts w:ascii="Times New Roman" w:hAnsi="Times New Roman"/>
      <w:sz w:val="28"/>
    </w:rPr>
  </w:style>
  <w:style w:type="paragraph" w:styleId="Caption">
    <w:name w:val="caption"/>
    <w:aliases w:val="Tasks,Beschriftung Char2,Beschriftung Char1 Char1,Beschriftung Char Char Char1,Beschriftung Char1 Char Char,Beschriftung Char Char Char Char,Beschriftung Char Char1 Char,Beschriftung Char Char2,Beschriftung Char1 Cha...,Table legend,Tabelle"/>
    <w:basedOn w:val="Normal"/>
    <w:next w:val="Normal"/>
    <w:link w:val="CaptionChar"/>
    <w:uiPriority w:val="35"/>
    <w:unhideWhenUsed/>
    <w:qFormat/>
    <w:rsid w:val="003158B7"/>
    <w:pPr>
      <w:keepNext/>
      <w:spacing w:after="120" w:line="240" w:lineRule="auto"/>
    </w:pPr>
    <w:rPr>
      <w:rFonts w:ascii="Arial" w:hAnsi="Arial" w:cs="Arial"/>
      <w:iCs/>
      <w:color w:val="006BB7"/>
      <w:sz w:val="20"/>
      <w:szCs w:val="18"/>
    </w:rPr>
  </w:style>
  <w:style w:type="character" w:customStyle="1" w:styleId="CaptionChar">
    <w:name w:val="Caption Char"/>
    <w:aliases w:val="Tasks Char,Beschriftung Char2 Char,Beschriftung Char1 Char1 Char,Beschriftung Char Char Char1 Char,Beschriftung Char1 Char Char Char,Beschriftung Char Char Char Char Char,Beschriftung Char Char1 Char Char,Beschriftung Char Char2 Char"/>
    <w:basedOn w:val="DefaultParagraphFont"/>
    <w:link w:val="Caption"/>
    <w:uiPriority w:val="35"/>
    <w:locked/>
    <w:rsid w:val="003158B7"/>
    <w:rPr>
      <w:rFonts w:ascii="Arial" w:hAnsi="Arial" w:cs="Arial"/>
      <w:iCs/>
      <w:color w:val="006BB7"/>
      <w:sz w:val="20"/>
      <w:szCs w:val="18"/>
    </w:rPr>
  </w:style>
  <w:style w:type="paragraph" w:styleId="FootnoteText">
    <w:name w:val="footnote text"/>
    <w:aliases w:val="DTE-Voetnoottekst,Fußnotentextf,Tekst przypisu,Fußnotentextr,Schriftart: 9 pt,Schriftart: 10 pt,Schriftart: 8 pt,WB-Fußnotentext,Footnote text,o,Voetnoottekst Char,Voetnoottekst Char1,Voetnoottekst Char2 Char Char,fn,fuß,Текст сноски Знак"/>
    <w:basedOn w:val="Normal"/>
    <w:link w:val="FootnoteTextChar"/>
    <w:unhideWhenUsed/>
    <w:qFormat/>
    <w:rsid w:val="003158B7"/>
    <w:pPr>
      <w:spacing w:after="0" w:line="240" w:lineRule="auto"/>
    </w:pPr>
    <w:rPr>
      <w:rFonts w:ascii="Arial" w:hAnsi="Arial" w:cs="Arial"/>
      <w:sz w:val="20"/>
      <w:szCs w:val="20"/>
    </w:rPr>
  </w:style>
  <w:style w:type="character" w:customStyle="1" w:styleId="FootnoteTextChar">
    <w:name w:val="Footnote Text Char"/>
    <w:aliases w:val="DTE-Voetnoottekst Char,Fußnotentextf Char,Tekst przypisu Char,Fußnotentextr Char,Schriftart: 9 pt Char,Schriftart: 10 pt Char,Schriftart: 8 pt Char,WB-Fußnotentext Char,Footnote text Char,o Char,Voetnoottekst Char Char,fn Char"/>
    <w:basedOn w:val="DefaultParagraphFont"/>
    <w:link w:val="FootnoteText"/>
    <w:qFormat/>
    <w:rsid w:val="003158B7"/>
    <w:rPr>
      <w:rFonts w:ascii="Arial" w:hAnsi="Arial" w:cs="Arial"/>
      <w:sz w:val="20"/>
      <w:szCs w:val="20"/>
    </w:rPr>
  </w:style>
  <w:style w:type="character" w:styleId="FootnoteReference">
    <w:name w:val="footnote reference"/>
    <w:aliases w:val="SUPERS,Odwołanie przypisu,Times 10 Point,Exposant 3 Point,Footnote symbol,Footnote reference number,number,Footnote Reference Superscript,stylish,Знак сноски-FN,Ciae niinee-FN,Знак сноски 1,-E Fußnotenzeichen,-E Fuﬂnotenzeichen,ftref"/>
    <w:basedOn w:val="DefaultParagraphFont"/>
    <w:link w:val="SUPERSCharCharCharCharCharCharCharChar"/>
    <w:uiPriority w:val="99"/>
    <w:unhideWhenUsed/>
    <w:qFormat/>
    <w:rsid w:val="003158B7"/>
    <w:rPr>
      <w:vertAlign w:val="superscript"/>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link w:val="FootnoteReference"/>
    <w:uiPriority w:val="99"/>
    <w:rsid w:val="003158B7"/>
    <w:pPr>
      <w:spacing w:after="160" w:line="240" w:lineRule="exact"/>
      <w:ind w:right="-23"/>
    </w:pPr>
    <w:rPr>
      <w:vertAlign w:val="superscript"/>
    </w:rPr>
  </w:style>
  <w:style w:type="table" w:customStyle="1" w:styleId="Mainbidtables1">
    <w:name w:val="Main bid tables1"/>
    <w:basedOn w:val="TableNormal"/>
    <w:uiPriority w:val="99"/>
    <w:rsid w:val="003158B7"/>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paragraph" w:customStyle="1" w:styleId="l51">
    <w:name w:val="l51"/>
    <w:basedOn w:val="Normal"/>
    <w:next w:val="Normal"/>
    <w:uiPriority w:val="9"/>
    <w:unhideWhenUsed/>
    <w:qFormat/>
    <w:rsid w:val="00F7062C"/>
    <w:pPr>
      <w:keepNext/>
      <w:keepLines/>
      <w:tabs>
        <w:tab w:val="num" w:pos="283"/>
      </w:tabs>
      <w:spacing w:before="40" w:after="0" w:line="259" w:lineRule="auto"/>
      <w:ind w:left="283" w:hanging="283"/>
      <w:outlineLvl w:val="4"/>
    </w:pPr>
    <w:rPr>
      <w:rFonts w:ascii="Calibri Light" w:eastAsia="Yu Gothic Light" w:hAnsi="Calibri Light" w:cs="Times New Roman"/>
      <w:color w:val="2F5496"/>
      <w:sz w:val="20"/>
    </w:rPr>
  </w:style>
  <w:style w:type="paragraph" w:customStyle="1" w:styleId="Footer11">
    <w:name w:val="Footer 11"/>
    <w:basedOn w:val="Normal"/>
    <w:next w:val="Normal"/>
    <w:uiPriority w:val="9"/>
    <w:unhideWhenUsed/>
    <w:qFormat/>
    <w:rsid w:val="00F7062C"/>
    <w:pPr>
      <w:keepNext/>
      <w:keepLines/>
      <w:tabs>
        <w:tab w:val="num" w:pos="283"/>
      </w:tabs>
      <w:spacing w:before="40" w:after="0" w:line="259" w:lineRule="auto"/>
      <w:ind w:left="283" w:hanging="283"/>
      <w:outlineLvl w:val="5"/>
    </w:pPr>
    <w:rPr>
      <w:rFonts w:ascii="Calibri Light" w:eastAsia="Yu Gothic Light" w:hAnsi="Calibri Light" w:cs="Times New Roman"/>
      <w:color w:val="1F3763"/>
      <w:sz w:val="20"/>
    </w:rPr>
  </w:style>
  <w:style w:type="paragraph" w:customStyle="1" w:styleId="aoua-titreannexes1">
    <w:name w:val="aoua-titre annexes1"/>
    <w:basedOn w:val="Normal"/>
    <w:next w:val="Normal"/>
    <w:uiPriority w:val="9"/>
    <w:unhideWhenUsed/>
    <w:qFormat/>
    <w:rsid w:val="00F7062C"/>
    <w:pPr>
      <w:keepNext/>
      <w:keepLines/>
      <w:tabs>
        <w:tab w:val="num" w:pos="283"/>
      </w:tabs>
      <w:spacing w:before="40" w:after="0" w:line="259" w:lineRule="auto"/>
      <w:ind w:left="283" w:hanging="283"/>
      <w:outlineLvl w:val="6"/>
    </w:pPr>
    <w:rPr>
      <w:rFonts w:ascii="Calibri Light" w:eastAsia="Yu Gothic Light" w:hAnsi="Calibri Light" w:cs="Times New Roman"/>
      <w:i/>
      <w:iCs/>
      <w:color w:val="1F3763"/>
      <w:sz w:val="20"/>
    </w:rPr>
  </w:style>
  <w:style w:type="paragraph" w:customStyle="1" w:styleId="Heading8donotuse1">
    <w:name w:val="Heading 8 (do not use)1"/>
    <w:basedOn w:val="Normal"/>
    <w:next w:val="Normal"/>
    <w:uiPriority w:val="9"/>
    <w:unhideWhenUsed/>
    <w:qFormat/>
    <w:rsid w:val="00F7062C"/>
    <w:pPr>
      <w:keepNext/>
      <w:keepLines/>
      <w:tabs>
        <w:tab w:val="num" w:pos="283"/>
      </w:tabs>
      <w:spacing w:before="40" w:after="0" w:line="259" w:lineRule="auto"/>
      <w:ind w:left="283" w:hanging="283"/>
      <w:outlineLvl w:val="7"/>
    </w:pPr>
    <w:rPr>
      <w:rFonts w:ascii="Calibri Light" w:eastAsia="Yu Gothic Light" w:hAnsi="Calibri Light" w:cs="Times New Roman"/>
      <w:color w:val="272727"/>
      <w:sz w:val="21"/>
      <w:szCs w:val="21"/>
    </w:rPr>
  </w:style>
  <w:style w:type="paragraph" w:customStyle="1" w:styleId="Heading91">
    <w:name w:val="Heading 91"/>
    <w:basedOn w:val="Normal"/>
    <w:next w:val="Normal"/>
    <w:uiPriority w:val="9"/>
    <w:unhideWhenUsed/>
    <w:qFormat/>
    <w:rsid w:val="00F7062C"/>
    <w:pPr>
      <w:keepNext/>
      <w:keepLines/>
      <w:tabs>
        <w:tab w:val="num" w:pos="283"/>
      </w:tabs>
      <w:spacing w:before="40" w:after="0" w:line="259" w:lineRule="auto"/>
      <w:ind w:left="283" w:hanging="283"/>
      <w:outlineLvl w:val="8"/>
    </w:pPr>
    <w:rPr>
      <w:rFonts w:ascii="Calibri Light" w:eastAsia="Yu Gothic Light" w:hAnsi="Calibri Light" w:cs="Times New Roman"/>
      <w:i/>
      <w:iCs/>
      <w:color w:val="272727"/>
      <w:sz w:val="21"/>
      <w:szCs w:val="21"/>
    </w:rPr>
  </w:style>
  <w:style w:type="character" w:styleId="CommentReference">
    <w:name w:val="annotation reference"/>
    <w:basedOn w:val="DefaultParagraphFont"/>
    <w:uiPriority w:val="99"/>
    <w:unhideWhenUsed/>
    <w:qFormat/>
    <w:rsid w:val="00F7062C"/>
    <w:rPr>
      <w:sz w:val="16"/>
      <w:szCs w:val="16"/>
    </w:rPr>
  </w:style>
  <w:style w:type="paragraph" w:styleId="CommentText">
    <w:name w:val="annotation text"/>
    <w:basedOn w:val="Normal"/>
    <w:link w:val="CommentTextChar"/>
    <w:uiPriority w:val="99"/>
    <w:unhideWhenUsed/>
    <w:rsid w:val="00F7062C"/>
    <w:pPr>
      <w:spacing w:after="120" w:line="240" w:lineRule="auto"/>
    </w:pPr>
    <w:rPr>
      <w:rFonts w:ascii="Arial" w:hAnsi="Arial" w:cs="Arial"/>
      <w:sz w:val="20"/>
      <w:szCs w:val="20"/>
    </w:rPr>
  </w:style>
  <w:style w:type="character" w:customStyle="1" w:styleId="CommentTextChar">
    <w:name w:val="Comment Text Char"/>
    <w:basedOn w:val="DefaultParagraphFont"/>
    <w:link w:val="CommentText"/>
    <w:uiPriority w:val="99"/>
    <w:rsid w:val="00F7062C"/>
    <w:rPr>
      <w:rFonts w:ascii="Arial" w:hAnsi="Arial" w:cs="Arial"/>
      <w:sz w:val="20"/>
      <w:szCs w:val="20"/>
    </w:rPr>
  </w:style>
  <w:style w:type="table" w:customStyle="1" w:styleId="Mainbidtables">
    <w:name w:val="Main bid tables"/>
    <w:basedOn w:val="TableNormal"/>
    <w:uiPriority w:val="99"/>
    <w:rsid w:val="00F7062C"/>
    <w:pPr>
      <w:spacing w:before="60" w:after="0" w:line="240" w:lineRule="auto"/>
      <w:ind w:left="709"/>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paragraph" w:styleId="CommentSubject">
    <w:name w:val="annotation subject"/>
    <w:basedOn w:val="CommentText"/>
    <w:next w:val="CommentText"/>
    <w:link w:val="CommentSubjectChar"/>
    <w:uiPriority w:val="99"/>
    <w:semiHidden/>
    <w:unhideWhenUsed/>
    <w:rsid w:val="0048368C"/>
    <w:pPr>
      <w:spacing w:after="200"/>
      <w:jc w:val="left"/>
    </w:pPr>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48368C"/>
    <w:rPr>
      <w:rFonts w:ascii="Arial" w:hAnsi="Arial" w:cs="Arial"/>
      <w:b/>
      <w:bCs/>
      <w:sz w:val="20"/>
      <w:szCs w:val="20"/>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Ha"/>
    <w:basedOn w:val="Normal"/>
    <w:link w:val="ListParagraphChar"/>
    <w:uiPriority w:val="34"/>
    <w:qFormat/>
    <w:rsid w:val="00F3796E"/>
    <w:pPr>
      <w:ind w:left="720"/>
      <w:contextualSpacing/>
    </w:p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uiPriority w:val="9"/>
    <w:rsid w:val="0043480A"/>
    <w:rPr>
      <w:rFonts w:asciiTheme="majorHAnsi" w:eastAsiaTheme="majorEastAsia" w:hAnsiTheme="majorHAnsi" w:cstheme="majorBidi"/>
      <w:color w:val="365F91" w:themeColor="accent1" w:themeShade="BF"/>
      <w:sz w:val="20"/>
    </w:rPr>
  </w:style>
  <w:style w:type="character" w:customStyle="1" w:styleId="Heading6Char">
    <w:name w:val="Heading 6 Char"/>
    <w:aliases w:val="Footer 1 Char"/>
    <w:basedOn w:val="DefaultParagraphFont"/>
    <w:link w:val="Heading6"/>
    <w:uiPriority w:val="9"/>
    <w:rsid w:val="0043480A"/>
    <w:rPr>
      <w:rFonts w:asciiTheme="majorHAnsi" w:eastAsiaTheme="majorEastAsia" w:hAnsiTheme="majorHAnsi" w:cstheme="majorBidi"/>
      <w:color w:val="243F60" w:themeColor="accent1" w:themeShade="7F"/>
      <w:sz w:val="20"/>
    </w:rPr>
  </w:style>
  <w:style w:type="character" w:customStyle="1" w:styleId="Heading7Char">
    <w:name w:val="Heading 7 Char"/>
    <w:aliases w:val="sub3 Char,Heading 7 (do not use) Char,aoua-titre annexes Char"/>
    <w:basedOn w:val="DefaultParagraphFont"/>
    <w:link w:val="Heading7"/>
    <w:uiPriority w:val="9"/>
    <w:rsid w:val="0043480A"/>
    <w:rPr>
      <w:rFonts w:asciiTheme="majorHAnsi" w:eastAsiaTheme="majorEastAsia" w:hAnsiTheme="majorHAnsi" w:cstheme="majorBidi"/>
      <w:i/>
      <w:iCs/>
      <w:color w:val="243F60" w:themeColor="accent1" w:themeShade="7F"/>
      <w:sz w:val="20"/>
    </w:rPr>
  </w:style>
  <w:style w:type="character" w:customStyle="1" w:styleId="Heading8Char">
    <w:name w:val="Heading 8 Char"/>
    <w:aliases w:val="sub4 Char,Heading 8 (do not use) Char"/>
    <w:basedOn w:val="DefaultParagraphFont"/>
    <w:link w:val="Heading8"/>
    <w:uiPriority w:val="9"/>
    <w:rsid w:val="0043480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43480A"/>
    <w:rPr>
      <w:rFonts w:asciiTheme="majorHAnsi" w:eastAsiaTheme="majorEastAsia" w:hAnsiTheme="majorHAnsi" w:cstheme="majorBidi"/>
      <w:i/>
      <w:iCs/>
      <w:color w:val="272727" w:themeColor="text1" w:themeTint="D8"/>
      <w:sz w:val="21"/>
      <w:szCs w:val="21"/>
    </w:rPr>
  </w:style>
  <w:style w:type="table" w:customStyle="1" w:styleId="TableGrid12">
    <w:name w:val="Table Grid12"/>
    <w:basedOn w:val="TableNormal"/>
    <w:next w:val="TableGrid"/>
    <w:uiPriority w:val="59"/>
    <w:rsid w:val="00C11E21"/>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cPr>
    </w:tblStylePr>
  </w:style>
  <w:style w:type="table" w:customStyle="1" w:styleId="TableGrid121">
    <w:name w:val="Table Grid121"/>
    <w:basedOn w:val="TableNormal"/>
    <w:next w:val="TableGrid"/>
    <w:uiPriority w:val="59"/>
    <w:rsid w:val="008F7E52"/>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cPr>
    </w:tblStylePr>
  </w:style>
  <w:style w:type="table" w:customStyle="1" w:styleId="Mainbidtables11">
    <w:name w:val="Main bid tables11"/>
    <w:basedOn w:val="TableNormal"/>
    <w:uiPriority w:val="99"/>
    <w:rsid w:val="00DB1F01"/>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table" w:customStyle="1" w:styleId="TableGrid122">
    <w:name w:val="Table Grid122"/>
    <w:basedOn w:val="TableNormal"/>
    <w:next w:val="TableGrid"/>
    <w:uiPriority w:val="59"/>
    <w:rsid w:val="00896331"/>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cPr>
    </w:tblStylePr>
  </w:style>
  <w:style w:type="table" w:customStyle="1" w:styleId="TableGrid123">
    <w:name w:val="Table Grid123"/>
    <w:basedOn w:val="TableNormal"/>
    <w:next w:val="TableGrid"/>
    <w:uiPriority w:val="59"/>
    <w:rsid w:val="00B561DC"/>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cPr>
    </w:tblStylePr>
  </w:style>
  <w:style w:type="table" w:customStyle="1" w:styleId="TableGrid124">
    <w:name w:val="Table Grid124"/>
    <w:basedOn w:val="TableNormal"/>
    <w:next w:val="TableGrid"/>
    <w:uiPriority w:val="59"/>
    <w:rsid w:val="002529E5"/>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cPr>
    </w:tblStylePr>
  </w:style>
  <w:style w:type="table" w:customStyle="1" w:styleId="TableGrid125">
    <w:name w:val="Table Grid125"/>
    <w:basedOn w:val="TableNormal"/>
    <w:next w:val="TableGrid"/>
    <w:uiPriority w:val="59"/>
    <w:rsid w:val="002529E5"/>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cPr>
    </w:tblStylePr>
  </w:style>
  <w:style w:type="paragraph" w:styleId="TOC3">
    <w:name w:val="toc 3"/>
    <w:basedOn w:val="Normal"/>
    <w:next w:val="Normal"/>
    <w:autoRedefine/>
    <w:uiPriority w:val="39"/>
    <w:unhideWhenUsed/>
    <w:rsid w:val="00E02C51"/>
    <w:pPr>
      <w:spacing w:after="100"/>
      <w:ind w:left="440"/>
    </w:pPr>
  </w:style>
  <w:style w:type="paragraph" w:styleId="EndnoteText">
    <w:name w:val="endnote text"/>
    <w:basedOn w:val="Normal"/>
    <w:link w:val="EndnoteTextChar"/>
    <w:uiPriority w:val="99"/>
    <w:semiHidden/>
    <w:unhideWhenUsed/>
    <w:rsid w:val="004334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33493"/>
    <w:rPr>
      <w:sz w:val="20"/>
      <w:szCs w:val="20"/>
    </w:rPr>
  </w:style>
  <w:style w:type="character" w:styleId="EndnoteReference">
    <w:name w:val="endnote reference"/>
    <w:basedOn w:val="DefaultParagraphFont"/>
    <w:uiPriority w:val="99"/>
    <w:semiHidden/>
    <w:unhideWhenUsed/>
    <w:rsid w:val="00433493"/>
    <w:rPr>
      <w:vertAlign w:val="superscript"/>
    </w:rPr>
  </w:style>
  <w:style w:type="table" w:customStyle="1" w:styleId="Mainbidtables12">
    <w:name w:val="Main bid tables12"/>
    <w:basedOn w:val="TableNormal"/>
    <w:uiPriority w:val="99"/>
    <w:rsid w:val="005967E6"/>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paragraph" w:customStyle="1" w:styleId="Default">
    <w:name w:val="Default"/>
    <w:link w:val="DefaultZchn"/>
    <w:rsid w:val="005967E6"/>
    <w:pPr>
      <w:autoSpaceDE w:val="0"/>
      <w:autoSpaceDN w:val="0"/>
      <w:adjustRightInd w:val="0"/>
      <w:spacing w:after="0" w:line="240" w:lineRule="auto"/>
    </w:pPr>
    <w:rPr>
      <w:rFonts w:ascii="EUAlbertina" w:hAnsi="EUAlbertina" w:cs="EUAlbertina"/>
      <w:color w:val="000000"/>
      <w:sz w:val="24"/>
      <w:szCs w:val="24"/>
    </w:rPr>
  </w:style>
  <w:style w:type="table" w:customStyle="1" w:styleId="Mainbidtables13">
    <w:name w:val="Main bid tables13"/>
    <w:basedOn w:val="TableNormal"/>
    <w:uiPriority w:val="99"/>
    <w:rsid w:val="005967E6"/>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table" w:customStyle="1" w:styleId="Mainbidtables10">
    <w:name w:val="Main bid tables10"/>
    <w:basedOn w:val="TableNormal"/>
    <w:uiPriority w:val="99"/>
    <w:rsid w:val="00090294"/>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table" w:customStyle="1" w:styleId="DocumentTable1">
    <w:name w:val="Document Table1"/>
    <w:basedOn w:val="TableNormal"/>
    <w:next w:val="TableGrid"/>
    <w:uiPriority w:val="39"/>
    <w:rsid w:val="00913243"/>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uiPriority w:val="59"/>
    <w:rsid w:val="00BE478B"/>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cPr>
    </w:tblStylePr>
  </w:style>
  <w:style w:type="table" w:customStyle="1" w:styleId="Mainbidtables14">
    <w:name w:val="Main bid tables14"/>
    <w:basedOn w:val="TableNormal"/>
    <w:uiPriority w:val="99"/>
    <w:rsid w:val="00D906E6"/>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Ha Char"/>
    <w:basedOn w:val="DefaultParagraphFont"/>
    <w:link w:val="ListParagraph"/>
    <w:uiPriority w:val="34"/>
    <w:qFormat/>
    <w:rsid w:val="00B23598"/>
  </w:style>
  <w:style w:type="table" w:customStyle="1" w:styleId="TableGrid127">
    <w:name w:val="Table Grid127"/>
    <w:basedOn w:val="TableNormal"/>
    <w:next w:val="TableGrid"/>
    <w:uiPriority w:val="59"/>
    <w:rsid w:val="005308AE"/>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cPr>
    </w:tblStylePr>
  </w:style>
  <w:style w:type="table" w:customStyle="1" w:styleId="TableGrid128">
    <w:name w:val="Table Grid128"/>
    <w:basedOn w:val="TableNormal"/>
    <w:next w:val="TableGrid"/>
    <w:uiPriority w:val="59"/>
    <w:rsid w:val="00165601"/>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cPr>
    </w:tblStylePr>
  </w:style>
  <w:style w:type="table" w:customStyle="1" w:styleId="TableGrid129">
    <w:name w:val="Table Grid129"/>
    <w:basedOn w:val="TableNormal"/>
    <w:next w:val="TableGrid"/>
    <w:uiPriority w:val="59"/>
    <w:rsid w:val="00165601"/>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cPr>
    </w:tblStylePr>
  </w:style>
  <w:style w:type="table" w:styleId="GridTable4-Accent5">
    <w:name w:val="Grid Table 4 Accent 5"/>
    <w:basedOn w:val="TableNormal"/>
    <w:uiPriority w:val="49"/>
    <w:rsid w:val="00766BB7"/>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AppendixHeadingLevel1">
    <w:name w:val="Appendix Heading Level 1"/>
    <w:next w:val="Normal"/>
    <w:link w:val="AppendixHeadingLevel1Char"/>
    <w:uiPriority w:val="10"/>
    <w:qFormat/>
    <w:rsid w:val="00C5196E"/>
    <w:pPr>
      <w:keepNext/>
      <w:pageBreakBefore/>
      <w:tabs>
        <w:tab w:val="num" w:pos="851"/>
      </w:tabs>
      <w:spacing w:before="120" w:after="120" w:line="259" w:lineRule="auto"/>
      <w:ind w:left="851" w:hanging="851"/>
      <w:outlineLvl w:val="0"/>
    </w:pPr>
    <w:rPr>
      <w:rFonts w:ascii="Arial" w:eastAsia="Times New Roman" w:hAnsi="Arial" w:cs="Arial"/>
      <w:bCs/>
      <w:color w:val="006BB7"/>
      <w:sz w:val="36"/>
      <w:szCs w:val="32"/>
    </w:rPr>
  </w:style>
  <w:style w:type="character" w:customStyle="1" w:styleId="AppendixHeadingLevel1Char">
    <w:name w:val="Appendix Heading Level 1 Char"/>
    <w:basedOn w:val="Heading1Char"/>
    <w:link w:val="AppendixHeadingLevel1"/>
    <w:uiPriority w:val="10"/>
    <w:rsid w:val="00C5196E"/>
    <w:rPr>
      <w:rFonts w:ascii="Arial" w:eastAsia="Times New Roman" w:hAnsi="Arial" w:cs="Arial"/>
      <w:b w:val="0"/>
      <w:bCs/>
      <w:smallCaps w:val="0"/>
      <w:color w:val="006BB7"/>
      <w:sz w:val="36"/>
      <w:szCs w:val="32"/>
    </w:rPr>
  </w:style>
  <w:style w:type="paragraph" w:customStyle="1" w:styleId="AppendixHeadingLevel2">
    <w:name w:val="Appendix Heading Level 2"/>
    <w:basedOn w:val="Heading2"/>
    <w:next w:val="Normal"/>
    <w:uiPriority w:val="10"/>
    <w:qFormat/>
    <w:rsid w:val="00C5196E"/>
    <w:pPr>
      <w:tabs>
        <w:tab w:val="clear" w:pos="1004"/>
        <w:tab w:val="num" w:pos="851"/>
      </w:tabs>
      <w:spacing w:before="240" w:after="120"/>
      <w:ind w:left="851" w:hanging="851"/>
    </w:pPr>
    <w:rPr>
      <w:rFonts w:ascii="Arial" w:hAnsi="Arial" w:cs="Arial"/>
      <w:b w:val="0"/>
      <w:bCs/>
      <w:iCs/>
      <w:color w:val="006BB7"/>
      <w:sz w:val="32"/>
      <w:szCs w:val="28"/>
    </w:rPr>
  </w:style>
  <w:style w:type="paragraph" w:customStyle="1" w:styleId="AppendixHeadingLevel3">
    <w:name w:val="Appendix Heading Level 3"/>
    <w:basedOn w:val="Heading3"/>
    <w:next w:val="Normal"/>
    <w:uiPriority w:val="10"/>
    <w:qFormat/>
    <w:rsid w:val="00C5196E"/>
    <w:pPr>
      <w:tabs>
        <w:tab w:val="clear" w:pos="1920"/>
        <w:tab w:val="num" w:pos="851"/>
      </w:tabs>
      <w:spacing w:before="120" w:after="120" w:line="305" w:lineRule="auto"/>
      <w:ind w:left="851" w:hanging="851"/>
    </w:pPr>
    <w:rPr>
      <w:rFonts w:ascii="Arial" w:hAnsi="Arial" w:cs="Arial"/>
      <w:bCs/>
      <w:i w:val="0"/>
      <w:color w:val="006BB7"/>
      <w:szCs w:val="26"/>
    </w:rPr>
  </w:style>
  <w:style w:type="paragraph" w:customStyle="1" w:styleId="AppendixHeadingLevel4">
    <w:name w:val="Appendix Heading Level 4"/>
    <w:basedOn w:val="AppendixHeadingLevel3"/>
    <w:next w:val="Normal"/>
    <w:uiPriority w:val="10"/>
    <w:qFormat/>
    <w:rsid w:val="00C5196E"/>
    <w:pPr>
      <w:numPr>
        <w:ilvl w:val="3"/>
      </w:numPr>
      <w:tabs>
        <w:tab w:val="num" w:pos="851"/>
        <w:tab w:val="left" w:pos="993"/>
      </w:tabs>
      <w:spacing w:before="40" w:line="259" w:lineRule="auto"/>
      <w:ind w:left="851" w:hanging="851"/>
      <w:outlineLvl w:val="3"/>
    </w:pPr>
    <w:rPr>
      <w:sz w:val="20"/>
    </w:rPr>
  </w:style>
  <w:style w:type="paragraph" w:customStyle="1" w:styleId="AppendixHeadingLevel5">
    <w:name w:val="Appendix Heading Level 5"/>
    <w:basedOn w:val="AppendixHeadingLevel4"/>
    <w:next w:val="Normal"/>
    <w:uiPriority w:val="10"/>
    <w:unhideWhenUsed/>
    <w:qFormat/>
    <w:rsid w:val="00C5196E"/>
    <w:pPr>
      <w:numPr>
        <w:ilvl w:val="4"/>
      </w:numPr>
      <w:tabs>
        <w:tab w:val="clear" w:pos="993"/>
        <w:tab w:val="num" w:pos="851"/>
        <w:tab w:val="left" w:pos="1134"/>
      </w:tabs>
      <w:ind w:left="851" w:hanging="851"/>
      <w:outlineLvl w:val="4"/>
    </w:pPr>
    <w:rPr>
      <w:b/>
      <w:bCs w:val="0"/>
      <w:i/>
      <w:iCs/>
      <w:color w:val="auto"/>
    </w:rPr>
  </w:style>
  <w:style w:type="table" w:customStyle="1" w:styleId="TableGrid1210">
    <w:name w:val="Table Grid1210"/>
    <w:basedOn w:val="TableNormal"/>
    <w:next w:val="TableGrid"/>
    <w:uiPriority w:val="59"/>
    <w:rsid w:val="00C5196E"/>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cPr>
    </w:tblStylePr>
  </w:style>
  <w:style w:type="table" w:styleId="GridTable4-Accent1">
    <w:name w:val="Grid Table 4 Accent 1"/>
    <w:basedOn w:val="TableNormal"/>
    <w:uiPriority w:val="49"/>
    <w:rsid w:val="00545E3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tion1">
    <w:name w:val="Mention1"/>
    <w:basedOn w:val="DefaultParagraphFont"/>
    <w:uiPriority w:val="99"/>
    <w:unhideWhenUsed/>
    <w:rsid w:val="00275FBC"/>
    <w:rPr>
      <w:color w:val="2B579A"/>
      <w:shd w:val="clear" w:color="auto" w:fill="E1DFDD"/>
    </w:rPr>
  </w:style>
  <w:style w:type="table" w:customStyle="1" w:styleId="GridTable4-Accent11">
    <w:name w:val="Grid Table 4 - Accent 11"/>
    <w:basedOn w:val="TableNormal"/>
    <w:next w:val="GridTable4-Accent1"/>
    <w:uiPriority w:val="49"/>
    <w:rsid w:val="00275FBC"/>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Mainbidtables15">
    <w:name w:val="Main bid tables15"/>
    <w:basedOn w:val="TableNormal"/>
    <w:uiPriority w:val="99"/>
    <w:rsid w:val="009A7258"/>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paragraph" w:customStyle="1" w:styleId="ODP">
    <w:name w:val="ODP"/>
    <w:basedOn w:val="Text2"/>
    <w:rsid w:val="000D5CD1"/>
    <w:pPr>
      <w:ind w:left="0"/>
    </w:pPr>
  </w:style>
  <w:style w:type="paragraph" w:styleId="Revision">
    <w:name w:val="Revision"/>
    <w:hidden/>
    <w:uiPriority w:val="99"/>
    <w:semiHidden/>
    <w:rsid w:val="00633A23"/>
    <w:pPr>
      <w:spacing w:after="0" w:line="240" w:lineRule="auto"/>
    </w:pPr>
  </w:style>
  <w:style w:type="character" w:styleId="FollowedHyperlink">
    <w:name w:val="FollowedHyperlink"/>
    <w:basedOn w:val="DefaultParagraphFont"/>
    <w:uiPriority w:val="99"/>
    <w:unhideWhenUsed/>
    <w:rsid w:val="00BD6D4B"/>
    <w:rPr>
      <w:color w:val="800080" w:themeColor="followedHyperlink"/>
      <w:u w:val="single"/>
    </w:rPr>
  </w:style>
  <w:style w:type="paragraph" w:styleId="Bibliography">
    <w:name w:val="Bibliography"/>
    <w:basedOn w:val="Normal"/>
    <w:next w:val="Normal"/>
    <w:uiPriority w:val="37"/>
    <w:unhideWhenUsed/>
    <w:rsid w:val="00C84DDA"/>
    <w:pPr>
      <w:spacing w:after="120" w:line="259" w:lineRule="auto"/>
    </w:pPr>
    <w:rPr>
      <w:rFonts w:ascii="Arial" w:hAnsi="Arial" w:cs="Arial"/>
      <w:sz w:val="20"/>
    </w:rPr>
  </w:style>
  <w:style w:type="numbering" w:customStyle="1" w:styleId="NoList1">
    <w:name w:val="No List1"/>
    <w:next w:val="NoList"/>
    <w:uiPriority w:val="99"/>
    <w:semiHidden/>
    <w:unhideWhenUsed/>
    <w:rsid w:val="00A14107"/>
  </w:style>
  <w:style w:type="table" w:customStyle="1" w:styleId="CV14">
    <w:name w:val="CV14"/>
    <w:basedOn w:val="TableNormal"/>
    <w:next w:val="TableGrid"/>
    <w:uiPriority w:val="39"/>
    <w:rsid w:val="00A1410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1">
    <w:name w:val="CV111"/>
    <w:basedOn w:val="TableNormal"/>
    <w:next w:val="TableGrid"/>
    <w:uiPriority w:val="39"/>
    <w:rsid w:val="00A1410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1">
    <w:name w:val="CV121"/>
    <w:basedOn w:val="TableNormal"/>
    <w:next w:val="TableGrid"/>
    <w:uiPriority w:val="39"/>
    <w:rsid w:val="00A1410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1">
    <w:name w:val="CV131"/>
    <w:basedOn w:val="TableNormal"/>
    <w:next w:val="TableGrid"/>
    <w:uiPriority w:val="39"/>
    <w:rsid w:val="00A1410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ainbidtables16">
    <w:name w:val="Main bid tables16"/>
    <w:basedOn w:val="TableNormal"/>
    <w:uiPriority w:val="99"/>
    <w:rsid w:val="00A14107"/>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table" w:customStyle="1" w:styleId="Mainbidtables2">
    <w:name w:val="Main bid tables2"/>
    <w:basedOn w:val="TableNormal"/>
    <w:uiPriority w:val="99"/>
    <w:rsid w:val="00A14107"/>
    <w:pPr>
      <w:spacing w:before="60" w:after="0" w:line="240" w:lineRule="auto"/>
      <w:ind w:left="709"/>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table" w:customStyle="1" w:styleId="TableGrid1211">
    <w:name w:val="Table Grid1211"/>
    <w:basedOn w:val="TableNormal"/>
    <w:next w:val="TableGrid"/>
    <w:uiPriority w:val="59"/>
    <w:rsid w:val="00A14107"/>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cPr>
    </w:tblStylePr>
  </w:style>
  <w:style w:type="table" w:customStyle="1" w:styleId="TableGrid1212">
    <w:name w:val="Table Grid1212"/>
    <w:basedOn w:val="TableNormal"/>
    <w:next w:val="TableGrid"/>
    <w:uiPriority w:val="59"/>
    <w:rsid w:val="00A14107"/>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cPr>
    </w:tblStylePr>
  </w:style>
  <w:style w:type="table" w:customStyle="1" w:styleId="Mainbidtables111">
    <w:name w:val="Main bid tables111"/>
    <w:basedOn w:val="TableNormal"/>
    <w:uiPriority w:val="99"/>
    <w:rsid w:val="00A14107"/>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table" w:customStyle="1" w:styleId="TableGrid1221">
    <w:name w:val="Table Grid1221"/>
    <w:basedOn w:val="TableNormal"/>
    <w:next w:val="TableGrid"/>
    <w:uiPriority w:val="59"/>
    <w:rsid w:val="00A14107"/>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cPr>
    </w:tblStylePr>
  </w:style>
  <w:style w:type="table" w:customStyle="1" w:styleId="TableGrid1231">
    <w:name w:val="Table Grid1231"/>
    <w:basedOn w:val="TableNormal"/>
    <w:next w:val="TableGrid"/>
    <w:uiPriority w:val="59"/>
    <w:rsid w:val="00A14107"/>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cPr>
    </w:tblStylePr>
  </w:style>
  <w:style w:type="table" w:customStyle="1" w:styleId="TableGrid1241">
    <w:name w:val="Table Grid1241"/>
    <w:basedOn w:val="TableNormal"/>
    <w:next w:val="TableGrid"/>
    <w:uiPriority w:val="59"/>
    <w:rsid w:val="00A14107"/>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cPr>
    </w:tblStylePr>
  </w:style>
  <w:style w:type="table" w:customStyle="1" w:styleId="TableGrid1251">
    <w:name w:val="Table Grid1251"/>
    <w:basedOn w:val="TableNormal"/>
    <w:next w:val="TableGrid"/>
    <w:uiPriority w:val="59"/>
    <w:rsid w:val="00A14107"/>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cPr>
    </w:tblStylePr>
  </w:style>
  <w:style w:type="table" w:customStyle="1" w:styleId="Mainbidtables121">
    <w:name w:val="Main bid tables121"/>
    <w:basedOn w:val="TableNormal"/>
    <w:uiPriority w:val="99"/>
    <w:rsid w:val="00A14107"/>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table" w:customStyle="1" w:styleId="Mainbidtables131">
    <w:name w:val="Main bid tables131"/>
    <w:basedOn w:val="TableNormal"/>
    <w:uiPriority w:val="99"/>
    <w:rsid w:val="00A14107"/>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table" w:customStyle="1" w:styleId="Mainbidtables101">
    <w:name w:val="Main bid tables101"/>
    <w:basedOn w:val="TableNormal"/>
    <w:uiPriority w:val="99"/>
    <w:rsid w:val="00A14107"/>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table" w:customStyle="1" w:styleId="DocumentTable11">
    <w:name w:val="Document Table11"/>
    <w:basedOn w:val="TableNormal"/>
    <w:next w:val="TableGrid"/>
    <w:uiPriority w:val="39"/>
    <w:rsid w:val="00A1410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
    <w:name w:val="Table Grid1261"/>
    <w:basedOn w:val="TableNormal"/>
    <w:next w:val="TableGrid"/>
    <w:uiPriority w:val="59"/>
    <w:rsid w:val="00A14107"/>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cPr>
    </w:tblStylePr>
  </w:style>
  <w:style w:type="table" w:customStyle="1" w:styleId="Mainbidtables141">
    <w:name w:val="Main bid tables141"/>
    <w:basedOn w:val="TableNormal"/>
    <w:uiPriority w:val="99"/>
    <w:rsid w:val="00A14107"/>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table" w:customStyle="1" w:styleId="TableGrid1271">
    <w:name w:val="Table Grid1271"/>
    <w:basedOn w:val="TableNormal"/>
    <w:next w:val="TableGrid"/>
    <w:uiPriority w:val="59"/>
    <w:rsid w:val="00A14107"/>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cPr>
    </w:tblStylePr>
  </w:style>
  <w:style w:type="table" w:customStyle="1" w:styleId="TableGrid1281">
    <w:name w:val="Table Grid1281"/>
    <w:basedOn w:val="TableNormal"/>
    <w:next w:val="TableGrid"/>
    <w:uiPriority w:val="59"/>
    <w:rsid w:val="00A14107"/>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cPr>
    </w:tblStylePr>
  </w:style>
  <w:style w:type="table" w:customStyle="1" w:styleId="TableGrid1291">
    <w:name w:val="Table Grid1291"/>
    <w:basedOn w:val="TableNormal"/>
    <w:next w:val="TableGrid"/>
    <w:uiPriority w:val="59"/>
    <w:rsid w:val="00A14107"/>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cPr>
    </w:tblStylePr>
  </w:style>
  <w:style w:type="table" w:customStyle="1" w:styleId="GridTable4-Accent51">
    <w:name w:val="Grid Table 4 - Accent 51"/>
    <w:basedOn w:val="TableNormal"/>
    <w:next w:val="GridTable4-Accent5"/>
    <w:uiPriority w:val="49"/>
    <w:rsid w:val="00A14107"/>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12101">
    <w:name w:val="Table Grid12101"/>
    <w:basedOn w:val="TableNormal"/>
    <w:next w:val="TableGrid"/>
    <w:uiPriority w:val="59"/>
    <w:rsid w:val="00A14107"/>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cPr>
    </w:tblStylePr>
  </w:style>
  <w:style w:type="table" w:customStyle="1" w:styleId="GridTable4-Accent12">
    <w:name w:val="Grid Table 4 - Accent 12"/>
    <w:basedOn w:val="TableNormal"/>
    <w:next w:val="GridTable4-Accent1"/>
    <w:uiPriority w:val="49"/>
    <w:rsid w:val="00A1410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111">
    <w:name w:val="Grid Table 4 - Accent 111"/>
    <w:basedOn w:val="TableNormal"/>
    <w:next w:val="GridTable4-Accent1"/>
    <w:uiPriority w:val="49"/>
    <w:rsid w:val="00A1410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Mainbidtables151">
    <w:name w:val="Main bid tables151"/>
    <w:basedOn w:val="TableNormal"/>
    <w:uiPriority w:val="99"/>
    <w:rsid w:val="00A14107"/>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paragraph" w:styleId="TableofFigures">
    <w:name w:val="table of figures"/>
    <w:basedOn w:val="Normal"/>
    <w:next w:val="Normal"/>
    <w:uiPriority w:val="99"/>
    <w:unhideWhenUsed/>
    <w:rsid w:val="00A14107"/>
    <w:pPr>
      <w:spacing w:after="0" w:line="259" w:lineRule="auto"/>
    </w:pPr>
    <w:rPr>
      <w:rFonts w:ascii="Arial" w:hAnsi="Arial" w:cs="Arial"/>
      <w:sz w:val="20"/>
    </w:rPr>
  </w:style>
  <w:style w:type="paragraph" w:styleId="NormalWeb">
    <w:name w:val="Normal (Web)"/>
    <w:basedOn w:val="Normal"/>
    <w:uiPriority w:val="99"/>
    <w:unhideWhenUsed/>
    <w:rsid w:val="00A36648"/>
    <w:rPr>
      <w:rFonts w:cs="Times New Roman"/>
      <w:szCs w:val="24"/>
    </w:rPr>
  </w:style>
  <w:style w:type="table" w:customStyle="1" w:styleId="DocumentTable2">
    <w:name w:val="Document Table2"/>
    <w:basedOn w:val="TableNormal"/>
    <w:next w:val="TableGrid"/>
    <w:uiPriority w:val="39"/>
    <w:rsid w:val="004B34BE"/>
    <w:pPr>
      <w:spacing w:before="60"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721AB"/>
    <w:pPr>
      <w:spacing w:after="0" w:line="240" w:lineRule="auto"/>
    </w:pPr>
    <w:rPr>
      <w:lang w:val="fr-BE"/>
    </w:rPr>
    <w:tblPr>
      <w:tblStyleRowBandSize w:val="1"/>
      <w:tblStyleColBandSize w:val="1"/>
      <w:tblInd w:w="0" w:type="nil"/>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UBATabellemitKopf">
    <w:name w:val="UBA_Tabelle_mit_Kopf"/>
    <w:basedOn w:val="TableNormal"/>
    <w:uiPriority w:val="99"/>
    <w:qFormat/>
    <w:rsid w:val="00127A8B"/>
    <w:pPr>
      <w:spacing w:after="0" w:line="240" w:lineRule="auto"/>
    </w:pPr>
    <w:rPr>
      <w:rFonts w:ascii="DemosEFOP-Medium" w:eastAsia="Times New Roman" w:hAnsi="DemosEFOP-Medium" w:cs="Times New Roman"/>
      <w:sz w:val="20"/>
      <w:szCs w:val="20"/>
      <w:lang w:val="de-DE" w:eastAsia="de-DE"/>
    </w:rPr>
    <w:tblPr>
      <w:tblStyleRowBandSize w:val="1"/>
      <w:tblInd w:w="113" w:type="dxa"/>
      <w:tblBorders>
        <w:insideV w:val="single" w:sz="4" w:space="0" w:color="auto"/>
      </w:tblBorders>
      <w:tblCellMar>
        <w:top w:w="28" w:type="dxa"/>
        <w:bottom w:w="28" w:type="dxa"/>
      </w:tblCellMar>
    </w:tblPr>
    <w:tblStylePr w:type="firstRow">
      <w:tblPr/>
      <w:tcPr>
        <w:shd w:val="clear" w:color="auto" w:fill="4B4B4D"/>
      </w:tcPr>
    </w:tblStylePr>
    <w:tblStylePr w:type="band1Horz">
      <w:tblPr/>
      <w:tcPr>
        <w:shd w:val="clear" w:color="auto" w:fill="F2F2F2"/>
      </w:tcPr>
    </w:tblStylePr>
  </w:style>
  <w:style w:type="table" w:customStyle="1" w:styleId="DocumentTable3">
    <w:name w:val="Document Table3"/>
    <w:basedOn w:val="TableNormal"/>
    <w:next w:val="TableGrid"/>
    <w:uiPriority w:val="39"/>
    <w:rsid w:val="00DC58BB"/>
    <w:pPr>
      <w:spacing w:before="60"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uiPriority w:val="99"/>
    <w:rsid w:val="00814008"/>
    <w:pPr>
      <w:keepLines/>
      <w:spacing w:after="160" w:line="240" w:lineRule="exact"/>
    </w:pPr>
    <w:rPr>
      <w:rFonts w:ascii="Calibri" w:hAnsi="Calibri"/>
      <w:sz w:val="22"/>
      <w:vertAlign w:val="superscript"/>
    </w:rPr>
  </w:style>
  <w:style w:type="character" w:customStyle="1" w:styleId="Hyperlink1">
    <w:name w:val="Hyperlink1"/>
    <w:basedOn w:val="DefaultParagraphFont"/>
    <w:uiPriority w:val="99"/>
    <w:unhideWhenUsed/>
    <w:rsid w:val="00814008"/>
    <w:rPr>
      <w:color w:val="0000FF"/>
      <w:u w:val="single"/>
    </w:rPr>
  </w:style>
  <w:style w:type="table" w:customStyle="1" w:styleId="GridTable1Light1">
    <w:name w:val="Grid Table 1 Light1"/>
    <w:basedOn w:val="TableNormal"/>
    <w:next w:val="GridTable1Light"/>
    <w:uiPriority w:val="46"/>
    <w:rsid w:val="00814008"/>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
    <w:name w:val="Grid Table 1 Light"/>
    <w:basedOn w:val="TableNormal"/>
    <w:uiPriority w:val="46"/>
    <w:rsid w:val="0081400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Note">
    <w:name w:val="Note"/>
    <w:basedOn w:val="Normal"/>
    <w:link w:val="NoteZchn"/>
    <w:qFormat/>
    <w:rsid w:val="001B0806"/>
    <w:pPr>
      <w:spacing w:before="120" w:after="120"/>
    </w:pPr>
    <w:rPr>
      <w:rFonts w:ascii="Arial" w:hAnsi="Arial" w:cs="Arial"/>
      <w:sz w:val="18"/>
      <w:szCs w:val="20"/>
    </w:rPr>
  </w:style>
  <w:style w:type="character" w:customStyle="1" w:styleId="NoteZchn">
    <w:name w:val="Note Zchn"/>
    <w:basedOn w:val="DefaultParagraphFont"/>
    <w:link w:val="Note"/>
    <w:rsid w:val="001B0806"/>
    <w:rPr>
      <w:rFonts w:ascii="Arial" w:hAnsi="Arial" w:cs="Arial"/>
      <w:sz w:val="18"/>
      <w:szCs w:val="20"/>
    </w:rPr>
  </w:style>
  <w:style w:type="table" w:customStyle="1" w:styleId="TableGrid1">
    <w:name w:val="Table Grid1"/>
    <w:basedOn w:val="TableNormal"/>
    <w:next w:val="TableGrid"/>
    <w:uiPriority w:val="39"/>
    <w:rsid w:val="00B547E1"/>
    <w:pPr>
      <w:spacing w:after="0" w:line="240" w:lineRule="auto"/>
    </w:pPr>
    <w:rPr>
      <w:rFonts w:ascii="Arial" w:hAnsi="Arial"/>
      <w:sz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547E1"/>
    <w:pPr>
      <w:spacing w:after="0" w:line="240" w:lineRule="auto"/>
    </w:pPr>
    <w:rPr>
      <w:rFonts w:ascii="Arial" w:hAnsi="Arial"/>
      <w:sz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46903"/>
    <w:pPr>
      <w:spacing w:after="0" w:line="240" w:lineRule="auto"/>
    </w:pPr>
    <w:rPr>
      <w:rFonts w:ascii="Arial" w:hAnsi="Arial"/>
      <w:sz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27C1A"/>
    <w:pPr>
      <w:spacing w:after="0" w:line="240" w:lineRule="auto"/>
    </w:pPr>
    <w:rPr>
      <w:rFonts w:ascii="Arial" w:hAnsi="Arial"/>
      <w:sz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eko2">
    <w:name w:val="Oeko_2"/>
    <w:basedOn w:val="TableNormal"/>
    <w:uiPriority w:val="99"/>
    <w:rsid w:val="00B72C26"/>
    <w:pPr>
      <w:spacing w:before="40" w:after="40" w:line="240" w:lineRule="auto"/>
    </w:pPr>
    <w:rPr>
      <w:rFonts w:ascii="Arial" w:hAnsi="Arial"/>
      <w:sz w:val="20"/>
      <w:lang w:val="de-DE"/>
    </w:rPr>
    <w:tblPr>
      <w:tblStyleRowBandSize w:val="1"/>
      <w:tblInd w:w="85" w:type="dxa"/>
      <w:tblBorders>
        <w:insideV w:val="single" w:sz="2" w:space="0" w:color="868686"/>
      </w:tblBorders>
      <w:tblCellMar>
        <w:left w:w="85" w:type="dxa"/>
        <w:right w:w="85" w:type="dxa"/>
      </w:tblCellMar>
    </w:tblPr>
    <w:tblStylePr w:type="firstRow">
      <w:rPr>
        <w:b/>
      </w:rPr>
      <w:tblPr/>
      <w:tcPr>
        <w:tcBorders>
          <w:bottom w:val="single" w:sz="12" w:space="0" w:color="9BBB59"/>
        </w:tcBorders>
      </w:tcPr>
    </w:tblStylePr>
    <w:tblStylePr w:type="firstCol">
      <w:pPr>
        <w:wordWrap/>
        <w:ind w:leftChars="0" w:left="0"/>
      </w:pPr>
      <w:tblPr/>
      <w:tcPr>
        <w:tcBorders>
          <w:right w:val="single" w:sz="4" w:space="0" w:color="868686"/>
          <w:insideV w:val="nil"/>
        </w:tcBorders>
      </w:tcPr>
    </w:tblStylePr>
    <w:tblStylePr w:type="band1Horz">
      <w:tblPr/>
      <w:tcPr>
        <w:tcBorders>
          <w:bottom w:val="single" w:sz="2" w:space="0" w:color="868686"/>
        </w:tcBorders>
      </w:tcPr>
    </w:tblStylePr>
    <w:tblStylePr w:type="band2Horz">
      <w:tblPr/>
      <w:tcPr>
        <w:tcBorders>
          <w:bottom w:val="single" w:sz="2" w:space="0" w:color="868686"/>
        </w:tcBorders>
      </w:tcPr>
    </w:tblStylePr>
  </w:style>
  <w:style w:type="table" w:customStyle="1" w:styleId="TableGrid5">
    <w:name w:val="Table Grid5"/>
    <w:basedOn w:val="TableNormal"/>
    <w:next w:val="TableGrid"/>
    <w:uiPriority w:val="39"/>
    <w:rsid w:val="005B7A7C"/>
    <w:pPr>
      <w:spacing w:after="0" w:line="240" w:lineRule="auto"/>
    </w:pPr>
    <w:rPr>
      <w:rFonts w:ascii="Arial" w:hAnsi="Arial"/>
      <w:sz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rsid w:val="0031644C"/>
    <w:pPr>
      <w:spacing w:after="120" w:line="300" w:lineRule="atLeast"/>
      <w:jc w:val="both"/>
    </w:pPr>
    <w:rPr>
      <w:rFonts w:ascii="Times New Roman" w:eastAsia="Times New Roman" w:hAnsi="Times New Roman" w:cs="Times New Roman"/>
      <w:sz w:val="20"/>
      <w:szCs w:val="20"/>
      <w:lang w:val="de-DE" w:eastAsia="de-D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dTable1Light-Accent11">
    <w:name w:val="Grid Table 1 Light - Accent 11"/>
    <w:basedOn w:val="TableNormal"/>
    <w:next w:val="GridTable1Light-Accent1"/>
    <w:uiPriority w:val="46"/>
    <w:rsid w:val="0088605C"/>
    <w:pPr>
      <w:spacing w:after="0" w:line="240" w:lineRule="auto"/>
    </w:pPr>
    <w:rPr>
      <w:sz w:val="20"/>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HTG1">
    <w:name w:val="HTG1"/>
    <w:basedOn w:val="TableNormal"/>
    <w:next w:val="TableGrid"/>
    <w:uiPriority w:val="39"/>
    <w:rsid w:val="0023227F"/>
    <w:pPr>
      <w:spacing w:after="0" w:line="240" w:lineRule="auto"/>
    </w:pPr>
    <w:rPr>
      <w:rFonts w:ascii="Arial" w:hAnsi="Arial"/>
      <w:sz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TG2">
    <w:name w:val="HTG2"/>
    <w:basedOn w:val="TableNormal"/>
    <w:next w:val="TableGrid"/>
    <w:uiPriority w:val="39"/>
    <w:rsid w:val="009E1FE3"/>
    <w:pPr>
      <w:spacing w:after="0" w:line="240" w:lineRule="auto"/>
    </w:pPr>
    <w:rPr>
      <w:rFonts w:ascii="Arial" w:hAnsi="Arial"/>
      <w:sz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TG3">
    <w:name w:val="HTG3"/>
    <w:basedOn w:val="TableNormal"/>
    <w:next w:val="TableGrid"/>
    <w:uiPriority w:val="39"/>
    <w:rsid w:val="009E1FE3"/>
    <w:pPr>
      <w:spacing w:after="0" w:line="240" w:lineRule="auto"/>
    </w:pPr>
    <w:rPr>
      <w:rFonts w:ascii="Arial" w:hAnsi="Arial"/>
      <w:sz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TG4">
    <w:name w:val="HTG4"/>
    <w:basedOn w:val="TableNormal"/>
    <w:next w:val="TableGrid"/>
    <w:uiPriority w:val="39"/>
    <w:rsid w:val="00714FD5"/>
    <w:pPr>
      <w:spacing w:after="0" w:line="240" w:lineRule="auto"/>
    </w:pPr>
    <w:rPr>
      <w:rFonts w:ascii="Arial" w:hAnsi="Arial"/>
      <w:sz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Heading1Char">
    <w:name w:val="EC Heading 1 Char"/>
    <w:basedOn w:val="DefaultParagraphFont"/>
    <w:link w:val="ECHeading1"/>
    <w:locked/>
    <w:rsid w:val="008E12F8"/>
    <w:rPr>
      <w:rFonts w:ascii="Times New Roman" w:eastAsia="Times New Roman" w:hAnsi="Times New Roman" w:cs="Times New Roman"/>
      <w:color w:val="006BB7"/>
      <w:sz w:val="40"/>
      <w:szCs w:val="24"/>
    </w:rPr>
  </w:style>
  <w:style w:type="paragraph" w:customStyle="1" w:styleId="ECHeading1">
    <w:name w:val="EC Heading 1"/>
    <w:basedOn w:val="ListParagraph"/>
    <w:link w:val="ECHeading1Char"/>
    <w:qFormat/>
    <w:rsid w:val="008E12F8"/>
    <w:pPr>
      <w:tabs>
        <w:tab w:val="num" w:pos="1440"/>
      </w:tabs>
      <w:spacing w:before="120" w:after="240"/>
      <w:ind w:left="1440" w:right="-23" w:hanging="360"/>
      <w:contextualSpacing w:val="0"/>
      <w:outlineLvl w:val="0"/>
    </w:pPr>
    <w:rPr>
      <w:rFonts w:eastAsia="Times New Roman" w:cs="Times New Roman"/>
      <w:color w:val="006BB7"/>
      <w:sz w:val="40"/>
      <w:szCs w:val="24"/>
    </w:rPr>
  </w:style>
  <w:style w:type="table" w:customStyle="1" w:styleId="David">
    <w:name w:val="David"/>
    <w:basedOn w:val="TableNormal"/>
    <w:uiPriority w:val="99"/>
    <w:qFormat/>
    <w:rsid w:val="008E12F8"/>
    <w:pPr>
      <w:spacing w:before="20" w:after="20" w:line="240" w:lineRule="auto"/>
    </w:pPr>
    <w:rPr>
      <w:rFonts w:ascii="Arial" w:eastAsia="Times New Roman" w:hAnsi="Arial" w:cs="Times New Roman"/>
      <w:sz w:val="20"/>
      <w:szCs w:val="20"/>
      <w:lang w:val="de-DE"/>
    </w:rPr>
    <w:tblPr>
      <w:tblInd w:w="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rPr>
        <w:rFonts w:ascii="Arial" w:hAnsi="Arial" w:cs="Arial"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numbering" w:customStyle="1" w:styleId="list-bullet-color">
    <w:name w:val="list-bullet-color"/>
    <w:rsid w:val="008E12F8"/>
    <w:pPr>
      <w:numPr>
        <w:numId w:val="36"/>
      </w:numPr>
    </w:pPr>
  </w:style>
  <w:style w:type="numbering" w:customStyle="1" w:styleId="NoList2">
    <w:name w:val="No List2"/>
    <w:next w:val="NoList"/>
    <w:uiPriority w:val="99"/>
    <w:semiHidden/>
    <w:unhideWhenUsed/>
    <w:rsid w:val="009F430D"/>
  </w:style>
  <w:style w:type="paragraph" w:styleId="ListNumber2">
    <w:name w:val="List Number 2"/>
    <w:basedOn w:val="Normal"/>
    <w:rsid w:val="009F430D"/>
    <w:pPr>
      <w:tabs>
        <w:tab w:val="num" w:pos="851"/>
      </w:tabs>
      <w:spacing w:before="60" w:after="240" w:line="240" w:lineRule="auto"/>
      <w:ind w:left="1418" w:hanging="284"/>
      <w:jc w:val="left"/>
    </w:pPr>
    <w:rPr>
      <w:rFonts w:eastAsia="Times New Roman"/>
      <w:szCs w:val="20"/>
      <w:lang w:val="de-DE"/>
    </w:rPr>
  </w:style>
  <w:style w:type="paragraph" w:customStyle="1" w:styleId="ListNumber2Level2">
    <w:name w:val="List Number 2 (Level 2)"/>
    <w:basedOn w:val="Normal"/>
    <w:rsid w:val="009F430D"/>
    <w:pPr>
      <w:numPr>
        <w:ilvl w:val="1"/>
        <w:numId w:val="40"/>
      </w:numPr>
      <w:tabs>
        <w:tab w:val="clear" w:pos="2619"/>
        <w:tab w:val="num" w:pos="851"/>
        <w:tab w:val="num" w:pos="1440"/>
      </w:tabs>
      <w:spacing w:before="60" w:after="240" w:line="240" w:lineRule="auto"/>
      <w:ind w:left="1440" w:hanging="360"/>
      <w:jc w:val="left"/>
    </w:pPr>
    <w:rPr>
      <w:rFonts w:eastAsia="Times New Roman"/>
      <w:szCs w:val="20"/>
      <w:lang w:val="de-DE"/>
    </w:rPr>
  </w:style>
  <w:style w:type="paragraph" w:customStyle="1" w:styleId="ListNumber2Level3">
    <w:name w:val="List Number 2 (Level 3)"/>
    <w:basedOn w:val="Normal"/>
    <w:rsid w:val="009F430D"/>
    <w:pPr>
      <w:numPr>
        <w:ilvl w:val="2"/>
        <w:numId w:val="40"/>
      </w:numPr>
      <w:tabs>
        <w:tab w:val="clear" w:pos="3328"/>
        <w:tab w:val="num" w:pos="851"/>
        <w:tab w:val="num" w:pos="2160"/>
      </w:tabs>
      <w:spacing w:before="60" w:after="240" w:line="240" w:lineRule="auto"/>
      <w:ind w:left="851" w:hanging="851"/>
      <w:jc w:val="left"/>
    </w:pPr>
    <w:rPr>
      <w:rFonts w:eastAsia="Times New Roman"/>
      <w:szCs w:val="20"/>
      <w:lang w:val="de-DE"/>
    </w:rPr>
  </w:style>
  <w:style w:type="paragraph" w:customStyle="1" w:styleId="ListNumber2Level4">
    <w:name w:val="List Number 2 (Level 4)"/>
    <w:basedOn w:val="Normal"/>
    <w:rsid w:val="009F430D"/>
    <w:pPr>
      <w:numPr>
        <w:ilvl w:val="3"/>
        <w:numId w:val="40"/>
      </w:numPr>
      <w:tabs>
        <w:tab w:val="clear" w:pos="4037"/>
        <w:tab w:val="num" w:pos="2880"/>
      </w:tabs>
      <w:spacing w:before="60" w:after="240" w:line="240" w:lineRule="auto"/>
      <w:ind w:left="851" w:hanging="851"/>
      <w:jc w:val="left"/>
    </w:pPr>
    <w:rPr>
      <w:rFonts w:eastAsia="Times New Roman"/>
      <w:szCs w:val="20"/>
      <w:lang w:val="de-DE"/>
    </w:rPr>
  </w:style>
  <w:style w:type="table" w:customStyle="1" w:styleId="HTG5">
    <w:name w:val="HTG5"/>
    <w:basedOn w:val="TableNormal"/>
    <w:next w:val="TableGrid"/>
    <w:uiPriority w:val="39"/>
    <w:rsid w:val="009F430D"/>
    <w:pPr>
      <w:spacing w:before="60"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ormal">
    <w:name w:val="E_Normal"/>
    <w:link w:val="ENormalChar"/>
    <w:rsid w:val="009F430D"/>
    <w:pPr>
      <w:tabs>
        <w:tab w:val="left" w:pos="1701"/>
      </w:tabs>
      <w:spacing w:before="60" w:after="0" w:line="300" w:lineRule="atLeast"/>
    </w:pPr>
    <w:rPr>
      <w:rFonts w:ascii="Verdana" w:eastAsia="NSimSun" w:hAnsi="Verdana" w:cs="Times New Roman"/>
      <w:sz w:val="20"/>
      <w:szCs w:val="20"/>
      <w:lang w:val="en-US"/>
    </w:rPr>
  </w:style>
  <w:style w:type="character" w:customStyle="1" w:styleId="ENormalChar">
    <w:name w:val="E_Normal Char"/>
    <w:link w:val="ENormal"/>
    <w:rsid w:val="009F430D"/>
    <w:rPr>
      <w:rFonts w:ascii="Verdana" w:eastAsia="NSimSun" w:hAnsi="Verdana" w:cs="Times New Roman"/>
      <w:sz w:val="20"/>
      <w:szCs w:val="20"/>
      <w:lang w:val="en-US"/>
    </w:rPr>
  </w:style>
  <w:style w:type="paragraph" w:customStyle="1" w:styleId="NormalBodyCT">
    <w:name w:val="Normal Body (CT)"/>
    <w:link w:val="NormalBodyCTChar1"/>
    <w:rsid w:val="009F430D"/>
    <w:pPr>
      <w:suppressAutoHyphens/>
      <w:spacing w:before="60" w:after="240" w:line="288" w:lineRule="auto"/>
    </w:pPr>
    <w:rPr>
      <w:rFonts w:ascii="Times New Roman" w:eastAsia="Times New Roman" w:hAnsi="Times New Roman" w:cs="Times New Roman"/>
      <w:sz w:val="20"/>
      <w:lang w:eastAsia="en-GB"/>
    </w:rPr>
  </w:style>
  <w:style w:type="character" w:customStyle="1" w:styleId="NormalBodyCTChar1">
    <w:name w:val="Normal Body (CT) Char1"/>
    <w:link w:val="NormalBodyCT"/>
    <w:rsid w:val="009F430D"/>
    <w:rPr>
      <w:rFonts w:ascii="Times New Roman" w:eastAsia="Times New Roman" w:hAnsi="Times New Roman" w:cs="Times New Roman"/>
      <w:sz w:val="20"/>
      <w:lang w:eastAsia="en-GB"/>
    </w:rPr>
  </w:style>
  <w:style w:type="paragraph" w:styleId="DocumentMap">
    <w:name w:val="Document Map"/>
    <w:basedOn w:val="Normal"/>
    <w:link w:val="DocumentMapChar"/>
    <w:uiPriority w:val="99"/>
    <w:semiHidden/>
    <w:unhideWhenUsed/>
    <w:rsid w:val="009F430D"/>
    <w:pPr>
      <w:spacing w:before="60" w:after="0" w:line="288" w:lineRule="auto"/>
      <w:jc w:val="left"/>
    </w:pPr>
    <w:rPr>
      <w:rFonts w:ascii="Tahoma" w:hAnsi="Tahoma"/>
      <w:sz w:val="16"/>
      <w:szCs w:val="16"/>
      <w:lang w:val="x-none"/>
    </w:rPr>
  </w:style>
  <w:style w:type="character" w:customStyle="1" w:styleId="DocumentMapChar">
    <w:name w:val="Document Map Char"/>
    <w:basedOn w:val="DefaultParagraphFont"/>
    <w:link w:val="DocumentMap"/>
    <w:uiPriority w:val="99"/>
    <w:semiHidden/>
    <w:rsid w:val="009F430D"/>
    <w:rPr>
      <w:rFonts w:ascii="Tahoma" w:hAnsi="Tahoma"/>
      <w:sz w:val="16"/>
      <w:szCs w:val="16"/>
      <w:lang w:val="x-none"/>
    </w:rPr>
  </w:style>
  <w:style w:type="paragraph" w:customStyle="1" w:styleId="Table-ContentsCT">
    <w:name w:val="Table - Contents (CT)"/>
    <w:link w:val="Table-ContentsCTChar"/>
    <w:rsid w:val="009F430D"/>
    <w:pPr>
      <w:spacing w:before="80" w:after="80" w:line="240" w:lineRule="auto"/>
    </w:pPr>
    <w:rPr>
      <w:rFonts w:ascii="Arial" w:eastAsia="Times New Roman" w:hAnsi="Arial" w:cs="Times New Roman"/>
      <w:sz w:val="16"/>
    </w:rPr>
  </w:style>
  <w:style w:type="paragraph" w:customStyle="1" w:styleId="BoxHeadingCT">
    <w:name w:val="Box Heading (CT)"/>
    <w:next w:val="Table-ContentsCT"/>
    <w:uiPriority w:val="99"/>
    <w:semiHidden/>
    <w:rsid w:val="009F430D"/>
    <w:pPr>
      <w:spacing w:before="240" w:after="240" w:line="240" w:lineRule="auto"/>
    </w:pPr>
    <w:rPr>
      <w:rFonts w:ascii="Arial" w:eastAsia="Times New Roman" w:hAnsi="Arial" w:cs="Times New Roman"/>
      <w:b/>
      <w:color w:val="000000"/>
      <w:kern w:val="28"/>
      <w:sz w:val="18"/>
      <w:szCs w:val="20"/>
    </w:rPr>
  </w:style>
  <w:style w:type="character" w:customStyle="1" w:styleId="Table-ContentsCTChar">
    <w:name w:val="Table - Contents (CT) Char"/>
    <w:link w:val="Table-ContentsCT"/>
    <w:rsid w:val="009F430D"/>
    <w:rPr>
      <w:rFonts w:ascii="Arial" w:eastAsia="Times New Roman" w:hAnsi="Arial" w:cs="Times New Roman"/>
      <w:sz w:val="16"/>
    </w:rPr>
  </w:style>
  <w:style w:type="paragraph" w:customStyle="1" w:styleId="Table-HeadingCT">
    <w:name w:val="Table - Heading (CT)"/>
    <w:link w:val="Table-HeadingCTChar"/>
    <w:rsid w:val="009F430D"/>
    <w:pPr>
      <w:keepNext/>
      <w:tabs>
        <w:tab w:val="left" w:pos="1304"/>
      </w:tabs>
      <w:spacing w:before="240" w:after="240" w:line="240" w:lineRule="auto"/>
    </w:pPr>
    <w:rPr>
      <w:rFonts w:ascii="Arial" w:eastAsia="Times New Roman" w:hAnsi="Arial" w:cs="Times New Roman"/>
      <w:b/>
      <w:color w:val="000000"/>
      <w:kern w:val="28"/>
      <w:sz w:val="18"/>
    </w:rPr>
  </w:style>
  <w:style w:type="character" w:customStyle="1" w:styleId="Table-HeadingCTChar">
    <w:name w:val="Table - Heading (CT) Char"/>
    <w:link w:val="Table-HeadingCT"/>
    <w:rsid w:val="009F430D"/>
    <w:rPr>
      <w:rFonts w:ascii="Arial" w:eastAsia="Times New Roman" w:hAnsi="Arial" w:cs="Times New Roman"/>
      <w:b/>
      <w:color w:val="000000"/>
      <w:kern w:val="28"/>
      <w:sz w:val="18"/>
    </w:rPr>
  </w:style>
  <w:style w:type="paragraph" w:customStyle="1" w:styleId="Table-Contents">
    <w:name w:val="Table - Contents"/>
    <w:basedOn w:val="Normal"/>
    <w:rsid w:val="009F430D"/>
    <w:pPr>
      <w:suppressAutoHyphens/>
      <w:spacing w:before="80" w:after="80" w:line="180" w:lineRule="exact"/>
      <w:jc w:val="left"/>
    </w:pPr>
    <w:rPr>
      <w:rFonts w:ascii="Arial" w:eastAsia="Times New Roman" w:hAnsi="Arial"/>
      <w:sz w:val="16"/>
      <w:szCs w:val="20"/>
      <w:lang w:val="de-DE"/>
    </w:rPr>
  </w:style>
  <w:style w:type="paragraph" w:customStyle="1" w:styleId="CVNormal">
    <w:name w:val="CV Normal"/>
    <w:basedOn w:val="Normal"/>
    <w:rsid w:val="009F430D"/>
    <w:pPr>
      <w:suppressAutoHyphens/>
      <w:spacing w:before="60" w:after="0" w:line="240" w:lineRule="auto"/>
      <w:ind w:left="113" w:right="113"/>
      <w:jc w:val="left"/>
    </w:pPr>
    <w:rPr>
      <w:rFonts w:ascii="Arial Narrow" w:eastAsia="Times New Roman" w:hAnsi="Arial Narrow"/>
      <w:sz w:val="20"/>
      <w:szCs w:val="20"/>
      <w:lang w:val="en-US" w:eastAsia="ar-SA"/>
    </w:rPr>
  </w:style>
  <w:style w:type="character" w:styleId="Strong">
    <w:name w:val="Strong"/>
    <w:uiPriority w:val="22"/>
    <w:qFormat/>
    <w:rsid w:val="009F430D"/>
    <w:rPr>
      <w:b/>
      <w:bCs/>
    </w:rPr>
  </w:style>
  <w:style w:type="paragraph" w:customStyle="1" w:styleId="CVHeading1">
    <w:name w:val="CV Heading 1"/>
    <w:basedOn w:val="Normal"/>
    <w:next w:val="Normal"/>
    <w:rsid w:val="009F430D"/>
    <w:pPr>
      <w:suppressAutoHyphens/>
      <w:spacing w:before="74" w:after="0" w:line="240" w:lineRule="auto"/>
      <w:ind w:left="113" w:right="113"/>
      <w:jc w:val="right"/>
    </w:pPr>
    <w:rPr>
      <w:rFonts w:ascii="Arial Narrow" w:eastAsia="Times New Roman" w:hAnsi="Arial Narrow"/>
      <w:b/>
      <w:szCs w:val="20"/>
      <w:lang w:val="en-US" w:eastAsia="ar-SA"/>
    </w:rPr>
  </w:style>
  <w:style w:type="paragraph" w:customStyle="1" w:styleId="CVSpacer">
    <w:name w:val="CV Spacer"/>
    <w:basedOn w:val="CVNormal"/>
    <w:rsid w:val="009F430D"/>
    <w:rPr>
      <w:sz w:val="4"/>
    </w:rPr>
  </w:style>
  <w:style w:type="paragraph" w:customStyle="1" w:styleId="BulletPsCT">
    <w:name w:val="Bullet Ps (CT)"/>
    <w:basedOn w:val="NormalBodyCT"/>
    <w:link w:val="BulletPsCTChar"/>
    <w:uiPriority w:val="99"/>
    <w:rsid w:val="009F430D"/>
    <w:pPr>
      <w:tabs>
        <w:tab w:val="num" w:pos="284"/>
      </w:tabs>
      <w:spacing w:line="240" w:lineRule="auto"/>
      <w:ind w:left="1134" w:hanging="283"/>
    </w:pPr>
    <w:rPr>
      <w:szCs w:val="20"/>
      <w:lang w:val="en-US" w:eastAsia="en-US"/>
    </w:rPr>
  </w:style>
  <w:style w:type="paragraph" w:customStyle="1" w:styleId="BulletPs2CT">
    <w:name w:val="Bullet Ps 2 (CT)"/>
    <w:basedOn w:val="BulletPsCT"/>
    <w:uiPriority w:val="99"/>
    <w:rsid w:val="009F430D"/>
    <w:pPr>
      <w:numPr>
        <w:numId w:val="42"/>
      </w:numPr>
      <w:tabs>
        <w:tab w:val="clear" w:pos="284"/>
        <w:tab w:val="num" w:pos="480"/>
      </w:tabs>
      <w:ind w:left="480" w:hanging="480"/>
    </w:pPr>
  </w:style>
  <w:style w:type="character" w:customStyle="1" w:styleId="BulletPsCTChar">
    <w:name w:val="Bullet Ps (CT) Char"/>
    <w:link w:val="BulletPsCT"/>
    <w:uiPriority w:val="99"/>
    <w:rsid w:val="009F430D"/>
    <w:rPr>
      <w:rFonts w:ascii="Times New Roman" w:eastAsia="Times New Roman" w:hAnsi="Times New Roman" w:cs="Times New Roman"/>
      <w:sz w:val="20"/>
      <w:szCs w:val="20"/>
      <w:lang w:val="en-US"/>
    </w:rPr>
  </w:style>
  <w:style w:type="paragraph" w:styleId="BodyTextIndent2">
    <w:name w:val="Body Text Indent 2"/>
    <w:basedOn w:val="Normal"/>
    <w:link w:val="BodyTextIndent2Char"/>
    <w:rsid w:val="009F430D"/>
    <w:pPr>
      <w:suppressAutoHyphens/>
      <w:spacing w:after="0" w:line="480" w:lineRule="auto"/>
      <w:ind w:left="283"/>
      <w:jc w:val="left"/>
    </w:pPr>
    <w:rPr>
      <w:rFonts w:ascii="Arial Narrow" w:eastAsia="Times New Roman" w:hAnsi="Arial Narrow"/>
      <w:sz w:val="20"/>
      <w:szCs w:val="20"/>
      <w:lang w:val="en-US" w:eastAsia="ar-SA"/>
    </w:rPr>
  </w:style>
  <w:style w:type="character" w:customStyle="1" w:styleId="BodyTextIndent2Char">
    <w:name w:val="Body Text Indent 2 Char"/>
    <w:basedOn w:val="DefaultParagraphFont"/>
    <w:link w:val="BodyTextIndent2"/>
    <w:rsid w:val="009F430D"/>
    <w:rPr>
      <w:rFonts w:ascii="Arial Narrow" w:eastAsia="Times New Roman" w:hAnsi="Arial Narrow"/>
      <w:sz w:val="20"/>
      <w:szCs w:val="20"/>
      <w:lang w:val="en-US" w:eastAsia="ar-SA"/>
    </w:rPr>
  </w:style>
  <w:style w:type="paragraph" w:styleId="BodyText2">
    <w:name w:val="Body Text 2"/>
    <w:basedOn w:val="Normal"/>
    <w:link w:val="BodyText2Char"/>
    <w:rsid w:val="009F430D"/>
    <w:pPr>
      <w:suppressAutoHyphens/>
      <w:spacing w:after="0" w:line="480" w:lineRule="auto"/>
      <w:ind w:left="8223" w:hanging="851"/>
      <w:jc w:val="left"/>
    </w:pPr>
    <w:rPr>
      <w:rFonts w:ascii="Arial Narrow" w:eastAsia="Times New Roman" w:hAnsi="Arial Narrow"/>
      <w:sz w:val="20"/>
      <w:szCs w:val="20"/>
      <w:lang w:val="en-US" w:eastAsia="ar-SA"/>
    </w:rPr>
  </w:style>
  <w:style w:type="character" w:customStyle="1" w:styleId="BodyText2Char">
    <w:name w:val="Body Text 2 Char"/>
    <w:basedOn w:val="DefaultParagraphFont"/>
    <w:link w:val="BodyText2"/>
    <w:rsid w:val="009F430D"/>
    <w:rPr>
      <w:rFonts w:ascii="Arial Narrow" w:eastAsia="Times New Roman" w:hAnsi="Arial Narrow"/>
      <w:sz w:val="20"/>
      <w:szCs w:val="20"/>
      <w:lang w:val="en-US" w:eastAsia="ar-SA"/>
    </w:rPr>
  </w:style>
  <w:style w:type="character" w:customStyle="1" w:styleId="hps">
    <w:name w:val="hps"/>
    <w:basedOn w:val="DefaultParagraphFont"/>
    <w:rsid w:val="009F430D"/>
  </w:style>
  <w:style w:type="character" w:styleId="Emphasis">
    <w:name w:val="Emphasis"/>
    <w:aliases w:val="Italics"/>
    <w:uiPriority w:val="20"/>
    <w:qFormat/>
    <w:rsid w:val="009F430D"/>
    <w:rPr>
      <w:i/>
      <w:iCs/>
    </w:rPr>
  </w:style>
  <w:style w:type="numbering" w:customStyle="1" w:styleId="KeineListe1">
    <w:name w:val="Keine Liste1"/>
    <w:next w:val="NoList"/>
    <w:uiPriority w:val="99"/>
    <w:semiHidden/>
    <w:unhideWhenUsed/>
    <w:rsid w:val="009F430D"/>
  </w:style>
  <w:style w:type="table" w:customStyle="1" w:styleId="Tabellenraster1">
    <w:name w:val="Tabellenraster1"/>
    <w:basedOn w:val="TableNormal"/>
    <w:next w:val="TableGrid"/>
    <w:uiPriority w:val="59"/>
    <w:rsid w:val="009F430D"/>
    <w:pPr>
      <w:spacing w:before="60" w:after="0" w:line="240" w:lineRule="auto"/>
    </w:pPr>
    <w:rPr>
      <w:rFonts w:ascii="Calibri" w:eastAsia="MS Mincho" w:hAnsi="Calibri" w:cs="Times New Roman"/>
      <w:sz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
    <w:name w:val="Grid Table 2 - Accent 31"/>
    <w:basedOn w:val="TableGrid20"/>
    <w:uiPriority w:val="47"/>
    <w:rsid w:val="009F430D"/>
    <w:pPr>
      <w:spacing w:before="0" w:after="0" w:line="240" w:lineRule="auto"/>
      <w:jc w:val="left"/>
    </w:pPr>
    <w:rPr>
      <w:rFonts w:cs="Cordia New"/>
      <w:lang w:val="fr-FR" w:eastAsia="ja-JP"/>
    </w:rPr>
    <w:tblPr>
      <w:tblStyleRowBandSize w:val="1"/>
      <w:tblStyleColBandSize w:val="1"/>
      <w:tblBorders>
        <w:top w:val="single" w:sz="2" w:space="0" w:color="auto"/>
        <w:bottom w:val="single" w:sz="2" w:space="0" w:color="auto"/>
        <w:insideH w:val="single" w:sz="2" w:space="0" w:color="auto"/>
        <w:insideV w:val="single" w:sz="2" w:space="0" w:color="auto"/>
      </w:tblBorders>
    </w:tblPr>
    <w:tcPr>
      <w:shd w:val="clear" w:color="auto" w:fill="auto"/>
    </w:tcPr>
    <w:tblStylePr w:type="firstRow">
      <w:rPr>
        <w:b/>
        <w:bCs/>
      </w:rPr>
      <w:tblPr/>
      <w:tcPr>
        <w:tcBorders>
          <w:top w:val="nil"/>
          <w:bottom w:val="single" w:sz="12" w:space="0" w:color="C9C9C9"/>
          <w:insideH w:val="nil"/>
          <w:insideV w:val="nil"/>
          <w:tl2br w:val="none" w:sz="0" w:space="0" w:color="auto"/>
          <w:tr2bl w:val="none" w:sz="0" w:space="0" w:color="auto"/>
        </w:tcBorders>
        <w:shd w:val="clear" w:color="auto" w:fill="FFFFFF"/>
      </w:tcPr>
    </w:tblStylePr>
    <w:tblStylePr w:type="lastRow">
      <w:rPr>
        <w:b/>
        <w:bCs/>
      </w:rPr>
      <w:tblPr/>
      <w:tcPr>
        <w:tcBorders>
          <w:top w:val="double" w:sz="2" w:space="0" w:color="C9C9C9"/>
          <w:bottom w:val="nil"/>
          <w:insideH w:val="nil"/>
          <w:insideV w:val="nil"/>
          <w:tl2br w:val="none" w:sz="0" w:space="0" w:color="auto"/>
          <w:tr2bl w:val="none" w:sz="0" w:space="0" w:color="auto"/>
        </w:tcBorders>
        <w:shd w:val="clear" w:color="auto" w:fill="FFFFFF"/>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tblPr/>
      <w:tcPr>
        <w:shd w:val="clear" w:color="auto" w:fill="EDEDED"/>
      </w:tcPr>
    </w:tblStylePr>
    <w:tblStylePr w:type="band1Horz">
      <w:tblPr/>
      <w:tcPr>
        <w:shd w:val="clear" w:color="auto" w:fill="EDEDED"/>
      </w:tcPr>
    </w:tblStylePr>
  </w:style>
  <w:style w:type="table" w:styleId="TableGrid20">
    <w:name w:val="Table Grid 2"/>
    <w:basedOn w:val="TableNormal"/>
    <w:uiPriority w:val="99"/>
    <w:semiHidden/>
    <w:unhideWhenUsed/>
    <w:rsid w:val="009F430D"/>
    <w:pPr>
      <w:spacing w:before="240" w:after="120" w:line="288" w:lineRule="auto"/>
      <w:jc w:val="both"/>
    </w:pPr>
    <w:rPr>
      <w:rFonts w:ascii="Calibri" w:eastAsia="Calibri" w:hAnsi="Calibri"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BodyText">
    <w:name w:val="Body Text"/>
    <w:aliases w:val="Brødtekst Tegn,Body Text Char1 Tegn,Body Text Char3 Char Tegn,Body Text Char2 Char Char Tegn,Body Text Char1 Char Char1 Char Tegn,Body Text Char2 Char Char Char Char Tegn,Body Text Char1 Char Char Char Char1 Char Tegn,Body Text Char1"/>
    <w:basedOn w:val="Normal"/>
    <w:link w:val="BodyTextChar"/>
    <w:uiPriority w:val="1"/>
    <w:unhideWhenUsed/>
    <w:qFormat/>
    <w:rsid w:val="009F430D"/>
    <w:pPr>
      <w:spacing w:before="60" w:after="0" w:line="288" w:lineRule="auto"/>
      <w:jc w:val="left"/>
    </w:pPr>
    <w:rPr>
      <w:rFonts w:ascii="Arial" w:hAnsi="Arial"/>
      <w:sz w:val="20"/>
      <w:lang w:val="de-DE"/>
    </w:rPr>
  </w:style>
  <w:style w:type="character" w:customStyle="1" w:styleId="BodyTextChar">
    <w:name w:val="Body Text Char"/>
    <w:aliases w:val="Brødtekst Tegn Char,Body Text Char1 Tegn Char,Body Text Char3 Char Tegn Char,Body Text Char2 Char Char Tegn Char,Body Text Char1 Char Char1 Char Tegn Char,Body Text Char2 Char Char Char Char Tegn Char,Body Text Char1 Char"/>
    <w:basedOn w:val="DefaultParagraphFont"/>
    <w:link w:val="BodyText"/>
    <w:uiPriority w:val="1"/>
    <w:rsid w:val="009F430D"/>
    <w:rPr>
      <w:rFonts w:ascii="Arial" w:hAnsi="Arial"/>
      <w:sz w:val="20"/>
      <w:lang w:val="de-DE"/>
    </w:rPr>
  </w:style>
  <w:style w:type="paragraph" w:customStyle="1" w:styleId="Standardtext">
    <w:name w:val="Standardtext"/>
    <w:basedOn w:val="Normal"/>
    <w:link w:val="StandardtextZchn"/>
    <w:qFormat/>
    <w:rsid w:val="009F430D"/>
    <w:pPr>
      <w:spacing w:after="180" w:line="280" w:lineRule="atLeast"/>
      <w:jc w:val="left"/>
    </w:pPr>
    <w:rPr>
      <w:rFonts w:ascii="Arial" w:eastAsia="Arial" w:hAnsi="Arial" w:cs="Arial"/>
      <w:sz w:val="20"/>
      <w:szCs w:val="20"/>
      <w:lang w:val="de-DE"/>
    </w:rPr>
  </w:style>
  <w:style w:type="character" w:customStyle="1" w:styleId="style226">
    <w:name w:val="style226"/>
    <w:rsid w:val="009F430D"/>
  </w:style>
  <w:style w:type="paragraph" w:customStyle="1" w:styleId="T1">
    <w:name w:val="T1"/>
    <w:basedOn w:val="BodyText"/>
    <w:link w:val="T1Char"/>
    <w:qFormat/>
    <w:rsid w:val="009F430D"/>
    <w:pPr>
      <w:spacing w:before="0" w:line="276" w:lineRule="auto"/>
      <w:jc w:val="center"/>
    </w:pPr>
    <w:rPr>
      <w:rFonts w:ascii="Verdana" w:eastAsia="Times New Roman" w:hAnsi="Verdana"/>
      <w:b/>
      <w:color w:val="333333"/>
      <w:sz w:val="28"/>
      <w:szCs w:val="28"/>
      <w:lang w:eastAsia="en-GB"/>
    </w:rPr>
  </w:style>
  <w:style w:type="character" w:customStyle="1" w:styleId="T1Char">
    <w:name w:val="T1 Char"/>
    <w:link w:val="T1"/>
    <w:rsid w:val="009F430D"/>
    <w:rPr>
      <w:rFonts w:ascii="Verdana" w:eastAsia="Times New Roman" w:hAnsi="Verdana"/>
      <w:b/>
      <w:color w:val="333333"/>
      <w:sz w:val="28"/>
      <w:szCs w:val="28"/>
      <w:lang w:val="de-DE" w:eastAsia="en-GB"/>
    </w:rPr>
  </w:style>
  <w:style w:type="paragraph" w:customStyle="1" w:styleId="T2">
    <w:name w:val="T2"/>
    <w:basedOn w:val="BodyText"/>
    <w:link w:val="T2Char"/>
    <w:qFormat/>
    <w:rsid w:val="009F430D"/>
    <w:pPr>
      <w:spacing w:before="0" w:line="276" w:lineRule="auto"/>
      <w:jc w:val="center"/>
    </w:pPr>
    <w:rPr>
      <w:rFonts w:ascii="Verdana" w:eastAsia="Times New Roman" w:hAnsi="Verdana"/>
      <w:b/>
      <w:color w:val="333333"/>
      <w:lang w:eastAsia="en-GB"/>
    </w:rPr>
  </w:style>
  <w:style w:type="character" w:customStyle="1" w:styleId="T2Char">
    <w:name w:val="T2 Char"/>
    <w:link w:val="T2"/>
    <w:rsid w:val="009F430D"/>
    <w:rPr>
      <w:rFonts w:ascii="Verdana" w:eastAsia="Times New Roman" w:hAnsi="Verdana"/>
      <w:b/>
      <w:color w:val="333333"/>
      <w:sz w:val="20"/>
      <w:lang w:val="de-DE" w:eastAsia="en-GB"/>
    </w:rPr>
  </w:style>
  <w:style w:type="numbering" w:customStyle="1" w:styleId="Aufzhlungerweitert">
    <w:name w:val="Aufzählung erweitert"/>
    <w:uiPriority w:val="99"/>
    <w:rsid w:val="009F430D"/>
    <w:pPr>
      <w:numPr>
        <w:numId w:val="39"/>
      </w:numPr>
    </w:pPr>
  </w:style>
  <w:style w:type="paragraph" w:customStyle="1" w:styleId="Aufzhlung1I">
    <w:name w:val="Aufzählung_1_ÖI"/>
    <w:basedOn w:val="Normal"/>
    <w:uiPriority w:val="22"/>
    <w:qFormat/>
    <w:rsid w:val="009F430D"/>
    <w:pPr>
      <w:tabs>
        <w:tab w:val="left" w:pos="227"/>
      </w:tabs>
      <w:spacing w:after="0" w:line="280" w:lineRule="atLeast"/>
      <w:ind w:left="720" w:hanging="360"/>
      <w:jc w:val="left"/>
    </w:pPr>
    <w:rPr>
      <w:rFonts w:ascii="Arial" w:eastAsia="Arial" w:hAnsi="Arial" w:cs="Arial"/>
      <w:sz w:val="20"/>
      <w:lang w:val="de-DE"/>
    </w:rPr>
  </w:style>
  <w:style w:type="paragraph" w:customStyle="1" w:styleId="Aufzhlung2I">
    <w:name w:val="Aufzählung_2_ÖI"/>
    <w:basedOn w:val="Aufzhlung1I"/>
    <w:uiPriority w:val="22"/>
    <w:qFormat/>
    <w:rsid w:val="009F430D"/>
    <w:pPr>
      <w:ind w:left="1440"/>
    </w:pPr>
  </w:style>
  <w:style w:type="paragraph" w:customStyle="1" w:styleId="AnhangnummerierungI">
    <w:name w:val="Anhangnummerierung_ÖI"/>
    <w:basedOn w:val="Heading1"/>
    <w:next w:val="Standardtext"/>
    <w:uiPriority w:val="12"/>
    <w:semiHidden/>
    <w:qFormat/>
    <w:rsid w:val="009F430D"/>
    <w:pPr>
      <w:keepNext w:val="0"/>
      <w:numPr>
        <w:numId w:val="43"/>
      </w:numPr>
      <w:tabs>
        <w:tab w:val="num" w:pos="851"/>
      </w:tabs>
      <w:spacing w:before="480" w:after="180" w:line="280" w:lineRule="atLeast"/>
      <w:ind w:left="851" w:right="-23" w:hanging="709"/>
    </w:pPr>
    <w:rPr>
      <w:rFonts w:ascii="Arial" w:eastAsia="Arial" w:hAnsi="Arial" w:cs="Arial"/>
      <w:smallCaps w:val="0"/>
      <w:color w:val="006AA4"/>
      <w:szCs w:val="22"/>
      <w:lang w:val="de-DE"/>
    </w:rPr>
  </w:style>
  <w:style w:type="paragraph" w:styleId="PlainText">
    <w:name w:val="Plain Text"/>
    <w:basedOn w:val="Normal"/>
    <w:link w:val="PlainTextChar"/>
    <w:uiPriority w:val="99"/>
    <w:unhideWhenUsed/>
    <w:rsid w:val="009F430D"/>
    <w:pPr>
      <w:spacing w:after="0" w:line="240" w:lineRule="auto"/>
      <w:jc w:val="left"/>
    </w:pPr>
    <w:rPr>
      <w:rFonts w:ascii="Consolas" w:eastAsia="Times New Roman" w:hAnsi="Consolas"/>
      <w:sz w:val="21"/>
      <w:szCs w:val="21"/>
      <w:lang w:val="de-DE" w:eastAsia="de-DE"/>
    </w:rPr>
  </w:style>
  <w:style w:type="character" w:customStyle="1" w:styleId="PlainTextChar">
    <w:name w:val="Plain Text Char"/>
    <w:basedOn w:val="DefaultParagraphFont"/>
    <w:link w:val="PlainText"/>
    <w:uiPriority w:val="99"/>
    <w:rsid w:val="009F430D"/>
    <w:rPr>
      <w:rFonts w:ascii="Consolas" w:eastAsia="Times New Roman" w:hAnsi="Consolas"/>
      <w:sz w:val="21"/>
      <w:szCs w:val="21"/>
      <w:lang w:val="de-DE" w:eastAsia="de-DE"/>
    </w:rPr>
  </w:style>
  <w:style w:type="paragraph" w:customStyle="1" w:styleId="ECVSectionBullet">
    <w:name w:val="_ECV_SectionBullet"/>
    <w:basedOn w:val="Normal"/>
    <w:rsid w:val="009F430D"/>
    <w:pPr>
      <w:widowControl w:val="0"/>
      <w:suppressLineNumbers/>
      <w:suppressAutoHyphens/>
      <w:autoSpaceDE w:val="0"/>
      <w:spacing w:after="0" w:line="100" w:lineRule="atLeast"/>
      <w:jc w:val="left"/>
    </w:pPr>
    <w:rPr>
      <w:rFonts w:ascii="Arial" w:eastAsia="SimSun" w:hAnsi="Arial" w:cs="Mangal"/>
      <w:color w:val="3F3A38"/>
      <w:spacing w:val="-6"/>
      <w:kern w:val="1"/>
      <w:sz w:val="18"/>
      <w:szCs w:val="24"/>
      <w:lang w:val="de-DE" w:eastAsia="zh-CN" w:bidi="hi-IN"/>
    </w:rPr>
  </w:style>
  <w:style w:type="character" w:styleId="PageNumber">
    <w:name w:val="page number"/>
    <w:basedOn w:val="DefaultParagraphFont"/>
    <w:uiPriority w:val="99"/>
    <w:semiHidden/>
    <w:unhideWhenUsed/>
    <w:rsid w:val="009F430D"/>
  </w:style>
  <w:style w:type="table" w:customStyle="1" w:styleId="LightList-Accent11">
    <w:name w:val="Light List - Accent 11"/>
    <w:basedOn w:val="TableNormal"/>
    <w:next w:val="LightList-Accent1"/>
    <w:uiPriority w:val="61"/>
    <w:rsid w:val="009F430D"/>
    <w:pPr>
      <w:spacing w:before="60" w:after="0" w:line="240" w:lineRule="auto"/>
    </w:pPr>
    <w:rPr>
      <w:rFonts w:ascii="Arial" w:hAnsi="Arial"/>
      <w:sz w:val="20"/>
      <w:lang w:val="de-DE"/>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HelleListe-Akzent11">
    <w:name w:val="Helle Liste - Akzent 11"/>
    <w:basedOn w:val="TableNormal"/>
    <w:next w:val="LightList-Accent1"/>
    <w:uiPriority w:val="61"/>
    <w:rsid w:val="009F430D"/>
    <w:pPr>
      <w:spacing w:before="60" w:after="0" w:line="240" w:lineRule="auto"/>
    </w:pPr>
    <w:rPr>
      <w:rFonts w:ascii="Arial" w:hAnsi="Arial"/>
      <w:sz w:val="20"/>
      <w:lang w:val="de-DE"/>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character" w:customStyle="1" w:styleId="date-display-single">
    <w:name w:val="date-display-single"/>
    <w:basedOn w:val="DefaultParagraphFont"/>
    <w:rsid w:val="009F430D"/>
  </w:style>
  <w:style w:type="character" w:customStyle="1" w:styleId="TabellentextZchn">
    <w:name w:val="Tabellentext Zchn"/>
    <w:basedOn w:val="DefaultParagraphFont"/>
    <w:link w:val="Tabellentext"/>
    <w:uiPriority w:val="1"/>
    <w:locked/>
    <w:rsid w:val="009F430D"/>
    <w:rPr>
      <w:rFonts w:ascii="Calibri" w:hAnsi="Calibri" w:cs="Calibri"/>
    </w:rPr>
  </w:style>
  <w:style w:type="paragraph" w:customStyle="1" w:styleId="Tabellentext">
    <w:name w:val="Tabellentext"/>
    <w:basedOn w:val="Normal"/>
    <w:link w:val="TabellentextZchn"/>
    <w:uiPriority w:val="1"/>
    <w:rsid w:val="009F430D"/>
    <w:pPr>
      <w:spacing w:before="20" w:after="20" w:line="240" w:lineRule="auto"/>
      <w:jc w:val="left"/>
    </w:pPr>
    <w:rPr>
      <w:rFonts w:ascii="Calibri" w:hAnsi="Calibri" w:cs="Calibri"/>
      <w:sz w:val="22"/>
    </w:rPr>
  </w:style>
  <w:style w:type="paragraph" w:customStyle="1" w:styleId="m-5995667844174383876p1">
    <w:name w:val="m-5995667844174383876p1"/>
    <w:basedOn w:val="Normal"/>
    <w:rsid w:val="009F430D"/>
    <w:pPr>
      <w:spacing w:before="60" w:beforeAutospacing="1" w:after="0" w:afterAutospacing="1" w:line="240" w:lineRule="auto"/>
      <w:jc w:val="left"/>
    </w:pPr>
    <w:rPr>
      <w:rFonts w:ascii="Calibri" w:hAnsi="Calibri" w:cs="Calibri"/>
      <w:color w:val="000000"/>
      <w:sz w:val="20"/>
      <w:lang w:val="fr-FR" w:eastAsia="fr-FR"/>
    </w:rPr>
  </w:style>
  <w:style w:type="character" w:customStyle="1" w:styleId="m-3043849766868768146gmail-m-4208042672841769428gmail-m-5995667844174383876s1">
    <w:name w:val="m_-3043849766868768146gmail-m_-4208042672841769428gmail-m-5995667844174383876s1"/>
    <w:basedOn w:val="DefaultParagraphFont"/>
    <w:rsid w:val="009F430D"/>
  </w:style>
  <w:style w:type="character" w:customStyle="1" w:styleId="StandardtextZchn">
    <w:name w:val="Standardtext Zchn"/>
    <w:basedOn w:val="DefaultParagraphFont"/>
    <w:link w:val="Standardtext"/>
    <w:locked/>
    <w:rsid w:val="009F430D"/>
    <w:rPr>
      <w:rFonts w:ascii="Arial" w:eastAsia="Arial" w:hAnsi="Arial" w:cs="Arial"/>
      <w:sz w:val="20"/>
      <w:szCs w:val="20"/>
      <w:lang w:val="de-DE"/>
    </w:rPr>
  </w:style>
  <w:style w:type="paragraph" w:customStyle="1" w:styleId="ox-5d62bd26d9-msonormal">
    <w:name w:val="ox-5d62bd26d9-msonormal"/>
    <w:basedOn w:val="Normal"/>
    <w:rsid w:val="009F430D"/>
    <w:pPr>
      <w:spacing w:before="60" w:beforeAutospacing="1" w:after="0" w:afterAutospacing="1" w:line="240" w:lineRule="auto"/>
      <w:jc w:val="left"/>
    </w:pPr>
    <w:rPr>
      <w:szCs w:val="24"/>
      <w:lang w:val="de-DE" w:eastAsia="de-DE"/>
    </w:rPr>
  </w:style>
  <w:style w:type="paragraph" w:styleId="NoSpacing">
    <w:name w:val="No Spacing"/>
    <w:uiPriority w:val="1"/>
    <w:qFormat/>
    <w:rsid w:val="009F430D"/>
    <w:pPr>
      <w:spacing w:before="60" w:after="0" w:line="240" w:lineRule="auto"/>
      <w:jc w:val="both"/>
    </w:pPr>
    <w:rPr>
      <w:rFonts w:ascii="Arial" w:eastAsia="Calibri" w:hAnsi="Arial" w:cs="Times New Roman"/>
      <w:sz w:val="20"/>
    </w:rPr>
  </w:style>
  <w:style w:type="paragraph" w:customStyle="1" w:styleId="IIR03PaperTitle">
    <w:name w:val="IIR 03. Paper Title"/>
    <w:basedOn w:val="Normal"/>
    <w:next w:val="Normal"/>
    <w:autoRedefine/>
    <w:qFormat/>
    <w:rsid w:val="009F430D"/>
    <w:pPr>
      <w:spacing w:before="120" w:after="0" w:line="240" w:lineRule="auto"/>
      <w:jc w:val="left"/>
    </w:pPr>
    <w:rPr>
      <w:rFonts w:ascii="Arial" w:hAnsi="Arial" w:cs="Arial"/>
      <w:sz w:val="18"/>
      <w:szCs w:val="18"/>
      <w:lang w:val="en-US" w:eastAsia="de-DE"/>
    </w:rPr>
  </w:style>
  <w:style w:type="character" w:customStyle="1" w:styleId="NichtaufgelsteErwhnung1">
    <w:name w:val="Nicht aufgelöste Erwähnung1"/>
    <w:basedOn w:val="DefaultParagraphFont"/>
    <w:uiPriority w:val="99"/>
    <w:semiHidden/>
    <w:unhideWhenUsed/>
    <w:rsid w:val="009F430D"/>
    <w:rPr>
      <w:color w:val="605E5C"/>
      <w:shd w:val="clear" w:color="auto" w:fill="E1DFDD"/>
    </w:rPr>
  </w:style>
  <w:style w:type="character" w:customStyle="1" w:styleId="js-about-item-abstr">
    <w:name w:val="js-about-item-abstr"/>
    <w:basedOn w:val="DefaultParagraphFont"/>
    <w:rsid w:val="009F430D"/>
  </w:style>
  <w:style w:type="table" w:customStyle="1" w:styleId="ko-Institut1">
    <w:name w:val="Öko-Institut1"/>
    <w:basedOn w:val="TableNormal"/>
    <w:next w:val="LightShading"/>
    <w:uiPriority w:val="60"/>
    <w:rsid w:val="009F430D"/>
    <w:pPr>
      <w:keepNext/>
      <w:keepLines/>
      <w:spacing w:before="60" w:after="0" w:line="240" w:lineRule="auto"/>
      <w:ind w:right="113"/>
    </w:pPr>
    <w:rPr>
      <w:rFonts w:ascii="Arial" w:hAnsi="Arial"/>
      <w:color w:val="000000"/>
      <w:sz w:val="20"/>
      <w:lang w:val="de-DE"/>
    </w:rPr>
    <w:tblPr>
      <w:tblStyleRowBandSize w:val="1"/>
      <w:tblStyleColBandSize w:val="1"/>
      <w:tblBorders>
        <w:top w:val="single" w:sz="8" w:space="0" w:color="000000"/>
        <w:bottom w:val="single" w:sz="8" w:space="0" w:color="000000"/>
      </w:tblBorders>
      <w:tblCellMar>
        <w:left w:w="0" w:type="dxa"/>
        <w:right w:w="0" w:type="dxa"/>
      </w:tblCellMar>
    </w:tblPr>
    <w:tcPr>
      <w:shd w:val="clear" w:color="auto" w:fill="auto"/>
    </w:tcPr>
    <w:tblStylePr w:type="firstRow">
      <w:pPr>
        <w:spacing w:before="0" w:after="0" w:line="240" w:lineRule="auto"/>
      </w:pPr>
      <w:rPr>
        <w:rFonts w:ascii="Arial" w:hAnsi="Arial"/>
        <w:b/>
        <w:bCs/>
        <w:i w:val="0"/>
        <w:sz w:val="20"/>
      </w:rPr>
      <w:tblPr/>
      <w:tcPr>
        <w:tcBorders>
          <w:top w:val="nil"/>
          <w:left w:val="nil"/>
          <w:bottom w:val="single" w:sz="12" w:space="0" w:color="A5A5A5"/>
          <w:right w:val="nil"/>
          <w:insideH w:val="nil"/>
          <w:insideV w:val="nil"/>
          <w:tl2br w:val="nil"/>
          <w:tr2bl w:val="nil"/>
        </w:tcBorders>
        <w:shd w:val="clear" w:color="auto" w:fill="auto"/>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val="0"/>
        <w:bCs/>
      </w:rPr>
    </w:tblStylePr>
    <w:tblStylePr w:type="lastCol">
      <w:rPr>
        <w:b w:val="0"/>
        <w:bCs/>
      </w:rPr>
    </w:tblStylePr>
    <w:tblStylePr w:type="band1Vert">
      <w:tblPr/>
      <w:tcPr>
        <w:tcBorders>
          <w:left w:val="nil"/>
          <w:right w:val="nil"/>
          <w:insideH w:val="nil"/>
          <w:insideV w:val="nil"/>
        </w:tcBorders>
        <w:shd w:val="clear" w:color="auto" w:fill="C0C0C0"/>
      </w:tcPr>
    </w:tblStylePr>
    <w:tblStylePr w:type="band1Horz">
      <w:tblPr/>
      <w:tcPr>
        <w:tcBorders>
          <w:top w:val="single" w:sz="4" w:space="0" w:color="868686"/>
          <w:left w:val="nil"/>
          <w:bottom w:val="single" w:sz="4" w:space="0" w:color="868686"/>
          <w:right w:val="nil"/>
        </w:tcBorders>
        <w:shd w:val="clear" w:color="auto" w:fill="auto"/>
      </w:tcPr>
    </w:tblStylePr>
    <w:tblStylePr w:type="band2Horz">
      <w:tblPr/>
      <w:tcPr>
        <w:tcBorders>
          <w:top w:val="single" w:sz="4" w:space="0" w:color="868686"/>
          <w:left w:val="nil"/>
          <w:bottom w:val="single" w:sz="4" w:space="0" w:color="868686"/>
          <w:right w:val="nil"/>
          <w:insideH w:val="nil"/>
          <w:insideV w:val="nil"/>
          <w:tl2br w:val="nil"/>
          <w:tr2bl w:val="nil"/>
        </w:tcBorders>
        <w:shd w:val="clear" w:color="auto" w:fill="auto"/>
      </w:tcPr>
    </w:tblStylePr>
  </w:style>
  <w:style w:type="table" w:customStyle="1" w:styleId="Mainbidtables17">
    <w:name w:val="Main bid tables17"/>
    <w:basedOn w:val="TableNormal"/>
    <w:uiPriority w:val="99"/>
    <w:rsid w:val="009F430D"/>
    <w:pPr>
      <w:spacing w:before="60" w:after="0" w:line="240" w:lineRule="auto"/>
      <w:ind w:left="709"/>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paragraph" w:customStyle="1" w:styleId="Empasis">
    <w:name w:val="Empasis"/>
    <w:basedOn w:val="Normal"/>
    <w:link w:val="EmpasisChar"/>
    <w:qFormat/>
    <w:rsid w:val="009F430D"/>
    <w:pPr>
      <w:spacing w:after="120" w:line="240" w:lineRule="auto"/>
    </w:pPr>
    <w:rPr>
      <w:rFonts w:ascii="Arial" w:eastAsia="Times New Roman" w:hAnsi="Arial" w:cs="Times New Roman"/>
      <w:b/>
      <w:color w:val="0070C0"/>
      <w:sz w:val="20"/>
      <w:szCs w:val="24"/>
    </w:rPr>
  </w:style>
  <w:style w:type="character" w:customStyle="1" w:styleId="EmpasisChar">
    <w:name w:val="Empasis Char"/>
    <w:basedOn w:val="DefaultParagraphFont"/>
    <w:link w:val="Empasis"/>
    <w:rsid w:val="009F430D"/>
    <w:rPr>
      <w:rFonts w:ascii="Arial" w:eastAsia="Times New Roman" w:hAnsi="Arial" w:cs="Times New Roman"/>
      <w:b/>
      <w:color w:val="0070C0"/>
      <w:sz w:val="20"/>
      <w:szCs w:val="24"/>
    </w:rPr>
  </w:style>
  <w:style w:type="paragraph" w:customStyle="1" w:styleId="ECHeading2">
    <w:name w:val="EC Heading 2"/>
    <w:basedOn w:val="ListParagraph"/>
    <w:link w:val="ECHeading2Char"/>
    <w:autoRedefine/>
    <w:qFormat/>
    <w:rsid w:val="00CB02DC"/>
    <w:pPr>
      <w:spacing w:after="0"/>
      <w:ind w:left="0" w:right="-23"/>
      <w:contextualSpacing w:val="0"/>
      <w:outlineLvl w:val="1"/>
    </w:pPr>
    <w:rPr>
      <w:rFonts w:ascii="Arial" w:eastAsia="Times New Roman" w:hAnsi="Arial" w:cs="Times New Roman"/>
      <w:b/>
      <w:bCs/>
      <w:szCs w:val="24"/>
    </w:rPr>
  </w:style>
  <w:style w:type="character" w:customStyle="1" w:styleId="ECHeading2Char">
    <w:name w:val="EC Heading 2 Char"/>
    <w:basedOn w:val="DefaultParagraphFont"/>
    <w:link w:val="ECHeading2"/>
    <w:rsid w:val="00CB02DC"/>
    <w:rPr>
      <w:rFonts w:ascii="Arial" w:eastAsia="Times New Roman" w:hAnsi="Arial" w:cs="Times New Roman"/>
      <w:b/>
      <w:bCs/>
      <w:sz w:val="24"/>
      <w:szCs w:val="24"/>
    </w:rPr>
  </w:style>
  <w:style w:type="paragraph" w:customStyle="1" w:styleId="ECHeading3">
    <w:name w:val="EC Heading 3"/>
    <w:basedOn w:val="ECHeading2"/>
    <w:link w:val="ECHeading3Zchn"/>
    <w:qFormat/>
    <w:rsid w:val="009F430D"/>
    <w:pPr>
      <w:spacing w:before="120" w:after="120"/>
      <w:outlineLvl w:val="2"/>
    </w:pPr>
    <w:rPr>
      <w:b w:val="0"/>
      <w:bCs w:val="0"/>
      <w:szCs w:val="18"/>
      <w:lang w:eastAsia="en-GB"/>
    </w:rPr>
  </w:style>
  <w:style w:type="character" w:customStyle="1" w:styleId="ECHeading3Zchn">
    <w:name w:val="EC Heading 3 Zchn"/>
    <w:basedOn w:val="ECHeading2Char"/>
    <w:link w:val="ECHeading3"/>
    <w:rsid w:val="009F430D"/>
    <w:rPr>
      <w:rFonts w:ascii="Arial" w:eastAsia="Times New Roman" w:hAnsi="Arial" w:cs="Times New Roman"/>
      <w:b w:val="0"/>
      <w:bCs w:val="0"/>
      <w:sz w:val="24"/>
      <w:szCs w:val="18"/>
      <w:lang w:eastAsia="en-GB"/>
    </w:rPr>
  </w:style>
  <w:style w:type="paragraph" w:customStyle="1" w:styleId="ECHeading4">
    <w:name w:val="EC Heading 4"/>
    <w:basedOn w:val="Normal"/>
    <w:link w:val="ECHeading4Char"/>
    <w:qFormat/>
    <w:rsid w:val="009F430D"/>
    <w:pPr>
      <w:spacing w:after="120"/>
      <w:ind w:left="851" w:right="-23" w:hanging="851"/>
      <w:outlineLvl w:val="3"/>
    </w:pPr>
    <w:rPr>
      <w:rFonts w:ascii="Arial" w:eastAsia="Times New Roman" w:hAnsi="Arial" w:cs="Times New Roman"/>
      <w:b/>
      <w:i/>
      <w:color w:val="006BB7"/>
      <w:sz w:val="20"/>
      <w:szCs w:val="20"/>
      <w:lang w:eastAsia="en-GB"/>
    </w:rPr>
  </w:style>
  <w:style w:type="character" w:customStyle="1" w:styleId="ECHeading4Char">
    <w:name w:val="EC Heading 4 Char"/>
    <w:basedOn w:val="ECHeading3Zchn"/>
    <w:link w:val="ECHeading4"/>
    <w:rsid w:val="009F430D"/>
    <w:rPr>
      <w:rFonts w:ascii="Arial" w:eastAsia="Times New Roman" w:hAnsi="Arial" w:cs="Times New Roman"/>
      <w:b/>
      <w:bCs w:val="0"/>
      <w:i/>
      <w:color w:val="006BB7"/>
      <w:sz w:val="20"/>
      <w:szCs w:val="20"/>
      <w:lang w:eastAsia="en-GB"/>
    </w:rPr>
  </w:style>
  <w:style w:type="table" w:customStyle="1" w:styleId="MainbidtablesBehringer">
    <w:name w:val="Main bid tables_Behringer"/>
    <w:basedOn w:val="TableNormal"/>
    <w:uiPriority w:val="99"/>
    <w:rsid w:val="009F430D"/>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table" w:customStyle="1" w:styleId="TableGrid1213">
    <w:name w:val="Table Grid1213"/>
    <w:basedOn w:val="TableNormal"/>
    <w:next w:val="TableGrid"/>
    <w:uiPriority w:val="59"/>
    <w:rsid w:val="009F430D"/>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cPr>
    </w:tblStylePr>
  </w:style>
  <w:style w:type="paragraph" w:customStyle="1" w:styleId="BackcoverStyleRGB7015635LeftAfter10pt">
    <w:name w:val="Back cover Style (RGB(7015635)) Left After: 10 pt"/>
    <w:basedOn w:val="Normal"/>
    <w:uiPriority w:val="99"/>
    <w:rsid w:val="009F430D"/>
    <w:pPr>
      <w:spacing w:after="240"/>
      <w:ind w:right="-23"/>
    </w:pPr>
    <w:rPr>
      <w:rFonts w:ascii="Arial" w:eastAsia="Times New Roman" w:hAnsi="Arial" w:cs="Times New Roman"/>
      <w:color w:val="469C23"/>
      <w:sz w:val="20"/>
      <w:szCs w:val="20"/>
    </w:rPr>
  </w:style>
  <w:style w:type="paragraph" w:styleId="TOC4">
    <w:name w:val="toc 4"/>
    <w:basedOn w:val="Normal"/>
    <w:next w:val="Normal"/>
    <w:autoRedefine/>
    <w:uiPriority w:val="39"/>
    <w:rsid w:val="009F430D"/>
    <w:pPr>
      <w:tabs>
        <w:tab w:val="left" w:pos="1843"/>
        <w:tab w:val="right" w:leader="dot" w:pos="9016"/>
      </w:tabs>
      <w:spacing w:after="120"/>
      <w:ind w:left="993" w:right="-23"/>
    </w:pPr>
    <w:rPr>
      <w:rFonts w:ascii="Arial" w:eastAsia="Times New Roman" w:hAnsi="Arial" w:cs="Times New Roman"/>
      <w:i/>
      <w:noProof/>
      <w:sz w:val="20"/>
      <w:szCs w:val="24"/>
      <w14:scene3d>
        <w14:camera w14:prst="orthographicFront"/>
        <w14:lightRig w14:rig="threePt" w14:dir="t">
          <w14:rot w14:lat="0" w14:lon="0" w14:rev="0"/>
        </w14:lightRig>
      </w14:scene3d>
    </w:rPr>
  </w:style>
  <w:style w:type="paragraph" w:styleId="TOC5">
    <w:name w:val="toc 5"/>
    <w:basedOn w:val="Normal"/>
    <w:next w:val="Normal"/>
    <w:autoRedefine/>
    <w:rsid w:val="009F430D"/>
    <w:pPr>
      <w:spacing w:after="120"/>
      <w:ind w:left="800" w:right="-23"/>
    </w:pPr>
    <w:rPr>
      <w:rFonts w:ascii="Arial" w:eastAsia="Times New Roman" w:hAnsi="Arial" w:cs="Times New Roman"/>
      <w:sz w:val="20"/>
      <w:szCs w:val="24"/>
    </w:rPr>
  </w:style>
  <w:style w:type="paragraph" w:styleId="TOC6">
    <w:name w:val="toc 6"/>
    <w:basedOn w:val="Normal"/>
    <w:next w:val="Normal"/>
    <w:autoRedefine/>
    <w:rsid w:val="009F430D"/>
    <w:pPr>
      <w:spacing w:after="120"/>
      <w:ind w:left="1000" w:right="-23"/>
    </w:pPr>
    <w:rPr>
      <w:rFonts w:ascii="Arial" w:eastAsia="Times New Roman" w:hAnsi="Arial" w:cs="Times New Roman"/>
      <w:sz w:val="20"/>
      <w:szCs w:val="24"/>
    </w:rPr>
  </w:style>
  <w:style w:type="paragraph" w:styleId="TOC7">
    <w:name w:val="toc 7"/>
    <w:basedOn w:val="Normal"/>
    <w:next w:val="Normal"/>
    <w:autoRedefine/>
    <w:rsid w:val="009F430D"/>
    <w:pPr>
      <w:spacing w:after="120"/>
      <w:ind w:left="1200" w:right="-23"/>
    </w:pPr>
    <w:rPr>
      <w:rFonts w:ascii="Arial" w:eastAsia="Times New Roman" w:hAnsi="Arial" w:cs="Times New Roman"/>
      <w:sz w:val="20"/>
      <w:szCs w:val="24"/>
    </w:rPr>
  </w:style>
  <w:style w:type="paragraph" w:styleId="TOC8">
    <w:name w:val="toc 8"/>
    <w:basedOn w:val="Normal"/>
    <w:next w:val="Normal"/>
    <w:autoRedefine/>
    <w:rsid w:val="009F430D"/>
    <w:pPr>
      <w:spacing w:after="120"/>
      <w:ind w:left="1400" w:right="-23"/>
    </w:pPr>
    <w:rPr>
      <w:rFonts w:ascii="Arial" w:eastAsia="Times New Roman" w:hAnsi="Arial" w:cs="Times New Roman"/>
      <w:sz w:val="20"/>
      <w:szCs w:val="24"/>
    </w:rPr>
  </w:style>
  <w:style w:type="paragraph" w:styleId="TOC9">
    <w:name w:val="toc 9"/>
    <w:basedOn w:val="Normal"/>
    <w:next w:val="Normal"/>
    <w:autoRedefine/>
    <w:rsid w:val="009F430D"/>
    <w:pPr>
      <w:spacing w:after="120"/>
      <w:ind w:left="1600" w:right="-23"/>
    </w:pPr>
    <w:rPr>
      <w:rFonts w:ascii="Arial" w:eastAsia="Times New Roman" w:hAnsi="Arial" w:cs="Times New Roman"/>
      <w:sz w:val="20"/>
      <w:szCs w:val="24"/>
    </w:rPr>
  </w:style>
  <w:style w:type="paragraph" w:customStyle="1" w:styleId="Tableheading">
    <w:name w:val="Table heading"/>
    <w:basedOn w:val="Normal"/>
    <w:uiPriority w:val="1"/>
    <w:rsid w:val="009F430D"/>
    <w:pPr>
      <w:spacing w:after="120"/>
      <w:ind w:right="-23"/>
    </w:pPr>
    <w:rPr>
      <w:rFonts w:ascii="Arial" w:eastAsia="Times New Roman" w:hAnsi="Arial" w:cs="Times New Roman"/>
      <w:b/>
      <w:sz w:val="20"/>
      <w:szCs w:val="24"/>
    </w:rPr>
  </w:style>
  <w:style w:type="paragraph" w:customStyle="1" w:styleId="Tablecolumnheading">
    <w:name w:val="Table column heading"/>
    <w:basedOn w:val="Tablecontent"/>
    <w:uiPriority w:val="1"/>
    <w:rsid w:val="009F430D"/>
    <w:rPr>
      <w:b/>
      <w:color w:val="FFFFFF"/>
    </w:rPr>
  </w:style>
  <w:style w:type="paragraph" w:customStyle="1" w:styleId="Tablecontent">
    <w:name w:val="Table content"/>
    <w:basedOn w:val="Normal"/>
    <w:uiPriority w:val="1"/>
    <w:qFormat/>
    <w:rsid w:val="009F430D"/>
    <w:pPr>
      <w:spacing w:after="120"/>
      <w:ind w:right="-23"/>
    </w:pPr>
    <w:rPr>
      <w:rFonts w:ascii="Arial" w:eastAsia="Times New Roman" w:hAnsi="Arial" w:cs="Times New Roman"/>
      <w:sz w:val="20"/>
      <w:szCs w:val="20"/>
    </w:rPr>
  </w:style>
  <w:style w:type="paragraph" w:customStyle="1" w:styleId="Bulletedtext">
    <w:name w:val="Bulleted text"/>
    <w:basedOn w:val="Normal"/>
    <w:uiPriority w:val="3"/>
    <w:rsid w:val="009F430D"/>
    <w:pPr>
      <w:spacing w:after="60"/>
      <w:ind w:right="-23"/>
    </w:pPr>
    <w:rPr>
      <w:rFonts w:ascii="Arial" w:eastAsia="Times New Roman" w:hAnsi="Arial" w:cs="Times New Roman"/>
      <w:sz w:val="20"/>
      <w:szCs w:val="24"/>
    </w:rPr>
  </w:style>
  <w:style w:type="paragraph" w:customStyle="1" w:styleId="QAQC-question">
    <w:name w:val="QA/QC - question"/>
    <w:uiPriority w:val="99"/>
    <w:rsid w:val="009F430D"/>
    <w:pPr>
      <w:spacing w:before="240" w:after="120" w:line="240" w:lineRule="auto"/>
      <w:ind w:left="851" w:hanging="851"/>
      <w:jc w:val="both"/>
    </w:pPr>
    <w:rPr>
      <w:rFonts w:ascii="Arial" w:eastAsia="Times New Roman" w:hAnsi="Arial" w:cs="Times New Roman"/>
      <w:b/>
      <w:bCs/>
      <w:noProof/>
      <w:color w:val="008000"/>
      <w:sz w:val="20"/>
      <w:szCs w:val="20"/>
    </w:rPr>
  </w:style>
  <w:style w:type="paragraph" w:customStyle="1" w:styleId="Title-main-Coverpage">
    <w:name w:val="Title-main - Coverpage"/>
    <w:basedOn w:val="Header"/>
    <w:uiPriority w:val="3"/>
    <w:rsid w:val="009F430D"/>
    <w:pPr>
      <w:tabs>
        <w:tab w:val="clear" w:pos="4535"/>
        <w:tab w:val="clear" w:pos="9071"/>
        <w:tab w:val="right" w:pos="9072"/>
      </w:tabs>
      <w:spacing w:after="240"/>
      <w:ind w:left="709"/>
      <w:jc w:val="right"/>
    </w:pPr>
    <w:rPr>
      <w:rFonts w:ascii="Arial" w:eastAsia="Times New Roman" w:hAnsi="Arial"/>
      <w:b/>
      <w:bCs/>
      <w:color w:val="4D4D4D"/>
      <w:kern w:val="72"/>
      <w:sz w:val="52"/>
      <w:szCs w:val="20"/>
    </w:rPr>
  </w:style>
  <w:style w:type="paragraph" w:customStyle="1" w:styleId="Tital-sub-Coverpage">
    <w:name w:val="Tital-sub - Coverpage"/>
    <w:basedOn w:val="Header"/>
    <w:uiPriority w:val="3"/>
    <w:rsid w:val="009F430D"/>
    <w:pPr>
      <w:tabs>
        <w:tab w:val="clear" w:pos="4535"/>
        <w:tab w:val="clear" w:pos="9071"/>
        <w:tab w:val="right" w:pos="9072"/>
      </w:tabs>
      <w:spacing w:after="0"/>
      <w:ind w:left="709" w:right="-1"/>
      <w:jc w:val="right"/>
    </w:pPr>
    <w:rPr>
      <w:rFonts w:ascii="Arial" w:eastAsia="Times New Roman" w:hAnsi="Arial"/>
      <w:color w:val="008000"/>
      <w:kern w:val="72"/>
      <w:sz w:val="40"/>
      <w:szCs w:val="40"/>
    </w:rPr>
  </w:style>
  <w:style w:type="paragraph" w:customStyle="1" w:styleId="Title-Ref-Coverpage">
    <w:name w:val="Title-Ref - Coverpage"/>
    <w:basedOn w:val="Header"/>
    <w:uiPriority w:val="3"/>
    <w:rsid w:val="009F430D"/>
    <w:pPr>
      <w:tabs>
        <w:tab w:val="clear" w:pos="4535"/>
        <w:tab w:val="clear" w:pos="9071"/>
        <w:tab w:val="right" w:pos="9072"/>
      </w:tabs>
      <w:spacing w:after="0"/>
      <w:ind w:left="709" w:right="-1"/>
      <w:jc w:val="right"/>
    </w:pPr>
    <w:rPr>
      <w:rFonts w:ascii="Arial" w:eastAsia="Times New Roman" w:hAnsi="Arial"/>
      <w:color w:val="92D050"/>
      <w:kern w:val="72"/>
      <w:sz w:val="28"/>
      <w:szCs w:val="28"/>
    </w:rPr>
  </w:style>
  <w:style w:type="character" w:customStyle="1" w:styleId="Heading-ExecSum">
    <w:name w:val="Heading - ExecSum"/>
    <w:basedOn w:val="DefaultParagraphFont"/>
    <w:uiPriority w:val="3"/>
    <w:rsid w:val="009F430D"/>
    <w:rPr>
      <w:b/>
      <w:bCs/>
      <w:color w:val="008000"/>
      <w:sz w:val="40"/>
    </w:rPr>
  </w:style>
  <w:style w:type="paragraph" w:customStyle="1" w:styleId="Heading-Appendix">
    <w:name w:val="Heading - Appendix"/>
    <w:next w:val="Normal"/>
    <w:uiPriority w:val="3"/>
    <w:qFormat/>
    <w:rsid w:val="009F430D"/>
    <w:pPr>
      <w:keepNext/>
      <w:pageBreakBefore/>
      <w:spacing w:before="120" w:after="240" w:line="240" w:lineRule="auto"/>
      <w:ind w:left="709"/>
    </w:pPr>
    <w:rPr>
      <w:rFonts w:ascii="Arial" w:eastAsia="Times New Roman" w:hAnsi="Arial" w:cs="Arial"/>
      <w:bCs/>
      <w:color w:val="006BB7"/>
      <w:sz w:val="40"/>
      <w:szCs w:val="32"/>
    </w:rPr>
  </w:style>
  <w:style w:type="paragraph" w:customStyle="1" w:styleId="Heading-TOC">
    <w:name w:val="Heading - TOC"/>
    <w:uiPriority w:val="3"/>
    <w:rsid w:val="009F430D"/>
    <w:pPr>
      <w:spacing w:before="120" w:after="240" w:line="240" w:lineRule="auto"/>
      <w:ind w:left="709"/>
    </w:pPr>
    <w:rPr>
      <w:rFonts w:ascii="Arial" w:eastAsia="Times New Roman" w:hAnsi="Arial" w:cs="Arial"/>
      <w:b/>
      <w:bCs/>
      <w:color w:val="008000"/>
      <w:sz w:val="40"/>
      <w:szCs w:val="32"/>
    </w:rPr>
  </w:style>
  <w:style w:type="table" w:customStyle="1" w:styleId="Highlightbox">
    <w:name w:val="Highlight box"/>
    <w:basedOn w:val="TableNormal"/>
    <w:uiPriority w:val="99"/>
    <w:rsid w:val="009F430D"/>
    <w:pPr>
      <w:spacing w:before="120" w:after="120" w:line="240" w:lineRule="auto"/>
      <w:ind w:left="851" w:hanging="851"/>
      <w:jc w:val="both"/>
    </w:pPr>
    <w:rPr>
      <w:rFonts w:ascii="Arial" w:eastAsia="Times New Roman" w:hAnsi="Arial" w:cs="Times New Roman"/>
      <w:sz w:val="20"/>
      <w:szCs w:val="20"/>
      <w:lang w:eastAsia="en-GB"/>
    </w:rPr>
    <w:tblPr/>
    <w:tblStylePr w:type="firstRow">
      <w:tblPr/>
      <w:tcPr>
        <w:tcBorders>
          <w:top w:val="single" w:sz="4" w:space="0" w:color="0070C0"/>
          <w:left w:val="nil"/>
          <w:bottom w:val="single" w:sz="4" w:space="0" w:color="0070C0"/>
          <w:right w:val="nil"/>
          <w:insideH w:val="nil"/>
          <w:insideV w:val="nil"/>
        </w:tcBorders>
        <w:shd w:val="clear" w:color="auto" w:fill="E2ECF2"/>
      </w:tcPr>
    </w:tblStylePr>
  </w:style>
  <w:style w:type="paragraph" w:customStyle="1" w:styleId="AEAToC">
    <w:name w:val="AEA ToC"/>
    <w:uiPriority w:val="99"/>
    <w:rsid w:val="009F430D"/>
    <w:pPr>
      <w:ind w:left="709"/>
    </w:pPr>
    <w:rPr>
      <w:rFonts w:eastAsia="MS Mincho"/>
      <w:sz w:val="20"/>
      <w:lang w:val="en-US"/>
    </w:rPr>
  </w:style>
  <w:style w:type="character" w:styleId="PlaceholderText">
    <w:name w:val="Placeholder Text"/>
    <w:basedOn w:val="DefaultParagraphFont"/>
    <w:uiPriority w:val="99"/>
    <w:semiHidden/>
    <w:rsid w:val="009F430D"/>
    <w:rPr>
      <w:color w:val="808080"/>
    </w:rPr>
  </w:style>
  <w:style w:type="table" w:customStyle="1" w:styleId="LightShading-Accent21">
    <w:name w:val="Light Shading - Accent 21"/>
    <w:basedOn w:val="TableNormal"/>
    <w:next w:val="LightShading-Accent2"/>
    <w:uiPriority w:val="60"/>
    <w:rsid w:val="009F430D"/>
    <w:pPr>
      <w:spacing w:after="0" w:line="240" w:lineRule="auto"/>
      <w:ind w:left="709"/>
    </w:pPr>
    <w:rPr>
      <w:rFonts w:ascii="Arial" w:eastAsia="Times New Roman" w:hAnsi="Arial" w:cs="Times New Roman"/>
      <w:color w:val="C45911"/>
      <w:sz w:val="20"/>
      <w:szCs w:val="20"/>
      <w:lang w:eastAsia="en-GB"/>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1">
    <w:name w:val="Light Shading - Accent 31"/>
    <w:basedOn w:val="TableNormal"/>
    <w:next w:val="LightShading-Accent3"/>
    <w:uiPriority w:val="60"/>
    <w:rsid w:val="009F430D"/>
    <w:pPr>
      <w:spacing w:after="0" w:line="240" w:lineRule="auto"/>
      <w:ind w:left="709"/>
    </w:pPr>
    <w:rPr>
      <w:rFonts w:ascii="Arial" w:eastAsia="Times New Roman" w:hAnsi="Arial" w:cs="Times New Roman"/>
      <w:color w:val="7B7B7B"/>
      <w:sz w:val="20"/>
      <w:szCs w:val="20"/>
      <w:lang w:eastAsia="en-G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41">
    <w:name w:val="Light Shading - Accent 41"/>
    <w:basedOn w:val="TableNormal"/>
    <w:next w:val="LightShading-Accent4"/>
    <w:uiPriority w:val="60"/>
    <w:rsid w:val="009F430D"/>
    <w:pPr>
      <w:spacing w:after="0" w:line="240" w:lineRule="auto"/>
      <w:ind w:left="709"/>
    </w:pPr>
    <w:rPr>
      <w:rFonts w:ascii="Arial" w:eastAsia="Times New Roman" w:hAnsi="Arial" w:cs="Times New Roman"/>
      <w:color w:val="BF8F00"/>
      <w:sz w:val="20"/>
      <w:szCs w:val="20"/>
      <w:lang w:eastAsia="en-GB"/>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character" w:customStyle="1" w:styleId="CoverHeader2">
    <w:name w:val="CoverHeader2"/>
    <w:uiPriority w:val="1"/>
    <w:qFormat/>
    <w:rsid w:val="009F430D"/>
    <w:rPr>
      <w:b w:val="0"/>
      <w:color w:val="006BB7"/>
      <w:sz w:val="36"/>
      <w:szCs w:val="40"/>
    </w:rPr>
  </w:style>
  <w:style w:type="character" w:customStyle="1" w:styleId="CoverHeader1">
    <w:name w:val="CoverHeader1"/>
    <w:uiPriority w:val="1"/>
    <w:qFormat/>
    <w:rsid w:val="009F430D"/>
    <w:rPr>
      <w:b/>
      <w:color w:val="808080"/>
      <w:sz w:val="36"/>
      <w:szCs w:val="40"/>
    </w:rPr>
  </w:style>
  <w:style w:type="paragraph" w:customStyle="1" w:styleId="QA-Page">
    <w:name w:val="QA-Page"/>
    <w:rsid w:val="009F430D"/>
    <w:pPr>
      <w:tabs>
        <w:tab w:val="left" w:pos="2366"/>
      </w:tabs>
      <w:spacing w:after="0" w:line="240" w:lineRule="auto"/>
      <w:ind w:left="709"/>
    </w:pPr>
    <w:rPr>
      <w:rFonts w:ascii="Arial" w:eastAsia="Times New Roman" w:hAnsi="Arial" w:cs="Times New Roman"/>
      <w:sz w:val="20"/>
      <w:szCs w:val="24"/>
    </w:rPr>
  </w:style>
  <w:style w:type="paragraph" w:customStyle="1" w:styleId="CoverQA">
    <w:name w:val="CoverQA"/>
    <w:next w:val="Normal"/>
    <w:rsid w:val="009F430D"/>
    <w:pPr>
      <w:spacing w:after="0" w:line="240" w:lineRule="auto"/>
      <w:ind w:left="709"/>
    </w:pPr>
    <w:rPr>
      <w:rFonts w:ascii="Arial" w:eastAsia="Times New Roman" w:hAnsi="Arial" w:cs="Times New Roman"/>
      <w:color w:val="7F7F7F"/>
      <w:sz w:val="20"/>
      <w:szCs w:val="24"/>
    </w:rPr>
  </w:style>
  <w:style w:type="character" w:customStyle="1" w:styleId="QuotationsCallout">
    <w:name w:val="Quotations / Callout"/>
    <w:basedOn w:val="DefaultParagraphFont"/>
    <w:qFormat/>
    <w:rsid w:val="009F430D"/>
    <w:rPr>
      <w:rFonts w:ascii="Calibri" w:hAnsi="Calibri"/>
      <w:color w:val="595959"/>
      <w:sz w:val="24"/>
    </w:rPr>
  </w:style>
  <w:style w:type="paragraph" w:customStyle="1" w:styleId="StyleQAQC-questionRightBefore3ptAfter3pt">
    <w:name w:val="Style QA/QC - question + Right Before:  3 pt After:  3 pt"/>
    <w:basedOn w:val="Normal"/>
    <w:rsid w:val="009F430D"/>
    <w:pPr>
      <w:spacing w:after="120"/>
      <w:ind w:right="-23"/>
    </w:pPr>
    <w:rPr>
      <w:rFonts w:ascii="Arial" w:eastAsia="Times New Roman" w:hAnsi="Arial" w:cs="Times New Roman"/>
      <w:b/>
      <w:bCs/>
      <w:noProof/>
      <w:color w:val="008000"/>
      <w:sz w:val="20"/>
      <w:szCs w:val="20"/>
    </w:rPr>
  </w:style>
  <w:style w:type="character" w:customStyle="1" w:styleId="subtext">
    <w:name w:val="subtext"/>
    <w:basedOn w:val="DefaultParagraphFont"/>
    <w:uiPriority w:val="1"/>
    <w:rsid w:val="009F430D"/>
    <w:rPr>
      <w:rFonts w:ascii="Arial" w:hAnsi="Arial"/>
      <w:sz w:val="20"/>
    </w:rPr>
  </w:style>
  <w:style w:type="paragraph" w:customStyle="1" w:styleId="Covertext">
    <w:name w:val="Cover text"/>
    <w:basedOn w:val="Normal"/>
    <w:rsid w:val="009F430D"/>
    <w:pPr>
      <w:spacing w:after="120"/>
      <w:ind w:right="-23"/>
    </w:pPr>
    <w:rPr>
      <w:rFonts w:ascii="Arial" w:eastAsia="Times New Roman" w:hAnsi="Arial" w:cs="Times New Roman"/>
      <w:color w:val="000000"/>
      <w:szCs w:val="24"/>
    </w:rPr>
  </w:style>
  <w:style w:type="character" w:customStyle="1" w:styleId="Style2">
    <w:name w:val="Style2"/>
    <w:basedOn w:val="DefaultParagraphFont"/>
    <w:uiPriority w:val="1"/>
    <w:rsid w:val="009F430D"/>
    <w:rPr>
      <w:rFonts w:ascii="Arial" w:hAnsi="Arial"/>
      <w:sz w:val="20"/>
    </w:rPr>
  </w:style>
  <w:style w:type="character" w:customStyle="1" w:styleId="Style3">
    <w:name w:val="Style3"/>
    <w:basedOn w:val="DefaultParagraphFont"/>
    <w:uiPriority w:val="1"/>
    <w:rsid w:val="009F430D"/>
    <w:rPr>
      <w:rFonts w:ascii="Arial" w:hAnsi="Arial"/>
      <w:color w:val="0070C0"/>
      <w:sz w:val="36"/>
    </w:rPr>
  </w:style>
  <w:style w:type="paragraph" w:customStyle="1" w:styleId="Stylingforfrontpage">
    <w:name w:val="Styling for front page"/>
    <w:link w:val="StylingforfrontpageChar"/>
    <w:qFormat/>
    <w:rsid w:val="009F430D"/>
    <w:pPr>
      <w:spacing w:after="0" w:line="240" w:lineRule="auto"/>
      <w:ind w:left="709"/>
    </w:pPr>
    <w:rPr>
      <w:rFonts w:ascii="Arial" w:eastAsia="Times New Roman" w:hAnsi="Arial" w:cs="Times New Roman"/>
      <w:color w:val="006BB7"/>
      <w:sz w:val="20"/>
      <w:szCs w:val="24"/>
    </w:rPr>
  </w:style>
  <w:style w:type="paragraph" w:customStyle="1" w:styleId="stylingforcover2">
    <w:name w:val="styling for cover 2"/>
    <w:link w:val="stylingforcover2Char"/>
    <w:qFormat/>
    <w:rsid w:val="009F430D"/>
    <w:pPr>
      <w:spacing w:after="0" w:line="240" w:lineRule="auto"/>
      <w:ind w:left="709"/>
    </w:pPr>
    <w:rPr>
      <w:rFonts w:ascii="Arial" w:eastAsia="Times New Roman" w:hAnsi="Arial" w:cs="Times New Roman"/>
      <w:color w:val="000000"/>
      <w:sz w:val="20"/>
      <w:szCs w:val="24"/>
    </w:rPr>
  </w:style>
  <w:style w:type="character" w:customStyle="1" w:styleId="StylingforfrontpageChar">
    <w:name w:val="Styling for front page Char"/>
    <w:basedOn w:val="DefaultParagraphFont"/>
    <w:link w:val="Stylingforfrontpage"/>
    <w:rsid w:val="009F430D"/>
    <w:rPr>
      <w:rFonts w:ascii="Arial" w:eastAsia="Times New Roman" w:hAnsi="Arial" w:cs="Times New Roman"/>
      <w:color w:val="006BB7"/>
      <w:sz w:val="20"/>
      <w:szCs w:val="24"/>
    </w:rPr>
  </w:style>
  <w:style w:type="paragraph" w:customStyle="1" w:styleId="legalnote">
    <w:name w:val="legal note"/>
    <w:basedOn w:val="Normal"/>
    <w:link w:val="legalnoteChar"/>
    <w:qFormat/>
    <w:rsid w:val="009F430D"/>
    <w:pPr>
      <w:framePr w:hSpace="180" w:wrap="around" w:vAnchor="text" w:hAnchor="margin" w:y="24"/>
      <w:spacing w:after="120"/>
      <w:ind w:right="-23"/>
    </w:pPr>
    <w:rPr>
      <w:rFonts w:ascii="Arial" w:eastAsia="Times New Roman" w:hAnsi="Arial" w:cs="Times New Roman"/>
      <w:sz w:val="16"/>
      <w:szCs w:val="24"/>
    </w:rPr>
  </w:style>
  <w:style w:type="character" w:customStyle="1" w:styleId="stylingforcover2Char">
    <w:name w:val="styling for cover 2 Char"/>
    <w:basedOn w:val="DefaultParagraphFont"/>
    <w:link w:val="stylingforcover2"/>
    <w:rsid w:val="009F430D"/>
    <w:rPr>
      <w:rFonts w:ascii="Arial" w:eastAsia="Times New Roman" w:hAnsi="Arial" w:cs="Times New Roman"/>
      <w:color w:val="000000"/>
      <w:sz w:val="20"/>
      <w:szCs w:val="24"/>
    </w:rPr>
  </w:style>
  <w:style w:type="paragraph" w:customStyle="1" w:styleId="Draft">
    <w:name w:val="Draft"/>
    <w:link w:val="DraftChar"/>
    <w:qFormat/>
    <w:rsid w:val="009F430D"/>
    <w:pPr>
      <w:spacing w:after="0" w:line="240" w:lineRule="auto"/>
      <w:ind w:left="709"/>
      <w:jc w:val="center"/>
    </w:pPr>
    <w:rPr>
      <w:rFonts w:ascii="Arial" w:eastAsia="Times New Roman" w:hAnsi="Arial" w:cs="Times New Roman"/>
      <w:color w:val="FF0000"/>
      <w:sz w:val="200"/>
      <w:szCs w:val="24"/>
    </w:rPr>
  </w:style>
  <w:style w:type="character" w:customStyle="1" w:styleId="legalnoteChar">
    <w:name w:val="legal note Char"/>
    <w:basedOn w:val="DefaultParagraphFont"/>
    <w:link w:val="legalnote"/>
    <w:rsid w:val="009F430D"/>
    <w:rPr>
      <w:rFonts w:ascii="Arial" w:eastAsia="Times New Roman" w:hAnsi="Arial" w:cs="Times New Roman"/>
      <w:sz w:val="16"/>
      <w:szCs w:val="24"/>
    </w:rPr>
  </w:style>
  <w:style w:type="character" w:customStyle="1" w:styleId="DraftChar">
    <w:name w:val="Draft Char"/>
    <w:basedOn w:val="DefaultParagraphFont"/>
    <w:link w:val="Draft"/>
    <w:rsid w:val="009F430D"/>
    <w:rPr>
      <w:rFonts w:ascii="Arial" w:eastAsia="Times New Roman" w:hAnsi="Arial" w:cs="Times New Roman"/>
      <w:color w:val="FF0000"/>
      <w:sz w:val="200"/>
      <w:szCs w:val="24"/>
    </w:rPr>
  </w:style>
  <w:style w:type="paragraph" w:customStyle="1" w:styleId="frontcoverbox">
    <w:name w:val="front cover box"/>
    <w:link w:val="frontcoverboxChar"/>
    <w:qFormat/>
    <w:rsid w:val="009F430D"/>
    <w:pPr>
      <w:spacing w:before="120" w:after="0" w:line="240" w:lineRule="auto"/>
      <w:ind w:left="340" w:right="340"/>
    </w:pPr>
    <w:rPr>
      <w:rFonts w:ascii="Arial" w:eastAsia="Times New Roman" w:hAnsi="Arial" w:cs="Times New Roman"/>
      <w:sz w:val="20"/>
      <w:szCs w:val="24"/>
    </w:rPr>
  </w:style>
  <w:style w:type="character" w:customStyle="1" w:styleId="frontcoverboxChar">
    <w:name w:val="front cover box Char"/>
    <w:basedOn w:val="DefaultParagraphFont"/>
    <w:link w:val="frontcoverbox"/>
    <w:rsid w:val="009F430D"/>
    <w:rPr>
      <w:rFonts w:ascii="Arial" w:eastAsia="Times New Roman" w:hAnsi="Arial" w:cs="Times New Roman"/>
      <w:sz w:val="20"/>
      <w:szCs w:val="24"/>
    </w:rPr>
  </w:style>
  <w:style w:type="table" w:customStyle="1" w:styleId="Ricardo-AEATableStyle">
    <w:name w:val="Ricardo-AEA Table Style"/>
    <w:basedOn w:val="TableNormal"/>
    <w:uiPriority w:val="99"/>
    <w:qFormat/>
    <w:rsid w:val="009F430D"/>
    <w:pPr>
      <w:spacing w:after="0" w:line="240" w:lineRule="auto"/>
      <w:ind w:left="709"/>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Autospacing="0" w:afterLines="0" w:afterAutospacing="0" w:line="240" w:lineRule="auto"/>
        <w:contextualSpacing w:val="0"/>
      </w:pPr>
      <w:rPr>
        <w:rFonts w:ascii="Arial" w:hAnsi="Arial"/>
        <w:b/>
        <w:color w:val="FFFFFF"/>
        <w:sz w:val="20"/>
      </w:rPr>
      <w:tblPr/>
      <w:tcPr>
        <w:shd w:val="clear" w:color="auto" w:fill="008000"/>
        <w:vAlign w:val="center"/>
      </w:tcPr>
    </w:tblStylePr>
    <w:tblStylePr w:type="firstCol">
      <w:rPr>
        <w:rFonts w:ascii="Arial" w:hAnsi="Arial"/>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AEATableStyle">
    <w:name w:val="AEA Table Style"/>
    <w:basedOn w:val="TableNormal"/>
    <w:uiPriority w:val="99"/>
    <w:qFormat/>
    <w:rsid w:val="009F430D"/>
    <w:pPr>
      <w:spacing w:after="0" w:line="240" w:lineRule="auto"/>
      <w:ind w:left="709"/>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rPr>
        <w:rFonts w:ascii="Arial" w:hAnsi="Arial" w:cs="Arial"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paragraph" w:customStyle="1" w:styleId="AEACV-BulletGreenKeySkillssectiononly">
    <w:name w:val="AEACV-Bullet Green (Key Skills section only)"/>
    <w:basedOn w:val="Normal"/>
    <w:qFormat/>
    <w:rsid w:val="009F430D"/>
    <w:pPr>
      <w:numPr>
        <w:numId w:val="44"/>
      </w:numPr>
      <w:spacing w:after="60"/>
      <w:ind w:left="720" w:right="-23"/>
    </w:pPr>
    <w:rPr>
      <w:rFonts w:ascii="Arial" w:hAnsi="Arial" w:cs="Times New Roman"/>
      <w:sz w:val="20"/>
      <w:szCs w:val="24"/>
    </w:rPr>
  </w:style>
  <w:style w:type="paragraph" w:customStyle="1" w:styleId="ECVSubSectionHeading">
    <w:name w:val="_ECV_SubSectionHeading"/>
    <w:basedOn w:val="Normal"/>
    <w:rsid w:val="009F430D"/>
    <w:pPr>
      <w:widowControl w:val="0"/>
      <w:suppressLineNumbers/>
      <w:suppressAutoHyphens/>
      <w:spacing w:after="120" w:line="100" w:lineRule="atLeast"/>
      <w:ind w:right="-23"/>
    </w:pPr>
    <w:rPr>
      <w:rFonts w:ascii="Arial" w:eastAsia="SimSun" w:hAnsi="Arial" w:cs="Mangal"/>
      <w:color w:val="0E4194"/>
      <w:spacing w:val="-6"/>
      <w:kern w:val="2"/>
      <w:sz w:val="20"/>
      <w:szCs w:val="24"/>
      <w:lang w:eastAsia="zh-CN" w:bidi="hi-IN"/>
    </w:rPr>
  </w:style>
  <w:style w:type="character" w:customStyle="1" w:styleId="opaccatti">
    <w:name w:val="opaccatti"/>
    <w:rsid w:val="009F430D"/>
  </w:style>
  <w:style w:type="paragraph" w:customStyle="1" w:styleId="Tabeltekst">
    <w:name w:val="Tabeltekst"/>
    <w:basedOn w:val="Normal"/>
    <w:rsid w:val="009F430D"/>
    <w:pPr>
      <w:spacing w:after="120"/>
      <w:ind w:right="-23"/>
    </w:pPr>
    <w:rPr>
      <w:rFonts w:ascii="Arial" w:eastAsia="Times New Roman" w:hAnsi="Arial" w:cs="Times New Roman"/>
      <w:sz w:val="18"/>
      <w:szCs w:val="20"/>
    </w:rPr>
  </w:style>
  <w:style w:type="character" w:customStyle="1" w:styleId="ECVHeadingContactDetails">
    <w:name w:val="_ECV_HeadingContactDetails"/>
    <w:rsid w:val="009F430D"/>
    <w:rPr>
      <w:rFonts w:ascii="Arial" w:hAnsi="Arial"/>
      <w:color w:val="1593CB"/>
      <w:sz w:val="18"/>
      <w:szCs w:val="18"/>
      <w:shd w:val="clear" w:color="auto" w:fill="auto"/>
    </w:rPr>
  </w:style>
  <w:style w:type="numbering" w:customStyle="1" w:styleId="list-bullet-color1">
    <w:name w:val="list-bullet-color1"/>
    <w:rsid w:val="009F430D"/>
  </w:style>
  <w:style w:type="paragraph" w:customStyle="1" w:styleId="TableText">
    <w:name w:val="Table Text"/>
    <w:basedOn w:val="Normal"/>
    <w:link w:val="TableTextChar"/>
    <w:rsid w:val="009F430D"/>
    <w:pPr>
      <w:spacing w:after="120" w:line="280" w:lineRule="atLeast"/>
      <w:ind w:right="-23"/>
    </w:pPr>
    <w:rPr>
      <w:rFonts w:ascii="Arial" w:eastAsia="Times New Roman" w:hAnsi="Arial" w:cs="Times New Roman"/>
      <w:sz w:val="16"/>
      <w:szCs w:val="24"/>
    </w:rPr>
  </w:style>
  <w:style w:type="character" w:customStyle="1" w:styleId="TableTextChar">
    <w:name w:val="Table Text Char"/>
    <w:basedOn w:val="DefaultParagraphFont"/>
    <w:link w:val="TableText"/>
    <w:rsid w:val="009F430D"/>
    <w:rPr>
      <w:rFonts w:ascii="Arial" w:eastAsia="Times New Roman" w:hAnsi="Arial" w:cs="Times New Roman"/>
      <w:sz w:val="16"/>
      <w:szCs w:val="24"/>
    </w:rPr>
  </w:style>
  <w:style w:type="paragraph" w:customStyle="1" w:styleId="table-text">
    <w:name w:val="table-text"/>
    <w:basedOn w:val="Normal"/>
    <w:uiPriority w:val="99"/>
    <w:rsid w:val="009F430D"/>
    <w:pPr>
      <w:spacing w:after="120" w:line="280" w:lineRule="atLeast"/>
      <w:ind w:right="-23"/>
    </w:pPr>
    <w:rPr>
      <w:rFonts w:ascii="Arial" w:eastAsia="Times New Roman" w:hAnsi="Arial" w:cs="Times New Roman"/>
      <w:sz w:val="16"/>
      <w:szCs w:val="24"/>
      <w:lang w:val="nl-NL" w:eastAsia="nl-NL"/>
    </w:rPr>
  </w:style>
  <w:style w:type="paragraph" w:customStyle="1" w:styleId="TESIS1">
    <w:name w:val="TESIS 1"/>
    <w:basedOn w:val="Normal"/>
    <w:qFormat/>
    <w:rsid w:val="009F430D"/>
    <w:pPr>
      <w:numPr>
        <w:numId w:val="45"/>
      </w:numPr>
      <w:tabs>
        <w:tab w:val="left" w:pos="708"/>
        <w:tab w:val="right" w:pos="1134"/>
        <w:tab w:val="left" w:pos="1700"/>
        <w:tab w:val="left" w:pos="2551"/>
        <w:tab w:val="left" w:pos="7483"/>
      </w:tabs>
      <w:snapToGrid w:val="0"/>
      <w:spacing w:before="240" w:after="120"/>
      <w:ind w:right="-23"/>
    </w:pPr>
    <w:rPr>
      <w:rFonts w:ascii="Calibri" w:eastAsia="Times New Roman" w:hAnsi="Calibri" w:cs="Calibri"/>
      <w:b/>
      <w:noProof/>
      <w:color w:val="4F81BD"/>
      <w:sz w:val="20"/>
      <w:szCs w:val="18"/>
      <w:lang w:val="en-US" w:eastAsia="nl-NL"/>
    </w:rPr>
  </w:style>
  <w:style w:type="paragraph" w:customStyle="1" w:styleId="TESIS2">
    <w:name w:val="TESIS 2"/>
    <w:basedOn w:val="Normal"/>
    <w:qFormat/>
    <w:rsid w:val="009F430D"/>
    <w:pPr>
      <w:numPr>
        <w:ilvl w:val="1"/>
        <w:numId w:val="45"/>
      </w:numPr>
      <w:tabs>
        <w:tab w:val="left" w:pos="708"/>
        <w:tab w:val="right" w:pos="1134"/>
        <w:tab w:val="left" w:pos="1700"/>
        <w:tab w:val="left" w:pos="2551"/>
        <w:tab w:val="left" w:pos="7483"/>
      </w:tabs>
      <w:snapToGrid w:val="0"/>
      <w:spacing w:before="240" w:after="120"/>
      <w:ind w:right="-23"/>
    </w:pPr>
    <w:rPr>
      <w:rFonts w:ascii="Calibri" w:eastAsia="Times New Roman" w:hAnsi="Calibri" w:cs="Calibri"/>
      <w:b/>
      <w:noProof/>
      <w:color w:val="4F81BD"/>
      <w:sz w:val="20"/>
      <w:szCs w:val="18"/>
      <w:lang w:val="en-US" w:eastAsia="nl-NL"/>
    </w:rPr>
  </w:style>
  <w:style w:type="paragraph" w:customStyle="1" w:styleId="TESIS3">
    <w:name w:val="TESIS 3"/>
    <w:basedOn w:val="Normal"/>
    <w:qFormat/>
    <w:rsid w:val="009F430D"/>
    <w:pPr>
      <w:numPr>
        <w:ilvl w:val="2"/>
        <w:numId w:val="45"/>
      </w:numPr>
      <w:tabs>
        <w:tab w:val="left" w:pos="708"/>
        <w:tab w:val="right" w:pos="1134"/>
        <w:tab w:val="left" w:pos="1700"/>
        <w:tab w:val="left" w:pos="2551"/>
        <w:tab w:val="left" w:pos="7483"/>
      </w:tabs>
      <w:snapToGrid w:val="0"/>
      <w:spacing w:before="240" w:after="120"/>
      <w:ind w:right="-23"/>
    </w:pPr>
    <w:rPr>
      <w:rFonts w:ascii="Calibri" w:eastAsia="Times New Roman" w:hAnsi="Calibri" w:cs="Calibri"/>
      <w:b/>
      <w:noProof/>
      <w:color w:val="4F81BD"/>
      <w:sz w:val="18"/>
      <w:szCs w:val="18"/>
      <w:lang w:val="en-US" w:eastAsia="nl-NL"/>
    </w:rPr>
  </w:style>
  <w:style w:type="paragraph" w:customStyle="1" w:styleId="TESIS4">
    <w:name w:val="TESIS 4"/>
    <w:basedOn w:val="Normal"/>
    <w:qFormat/>
    <w:rsid w:val="009F430D"/>
    <w:pPr>
      <w:numPr>
        <w:ilvl w:val="3"/>
        <w:numId w:val="45"/>
      </w:numPr>
      <w:tabs>
        <w:tab w:val="left" w:pos="708"/>
        <w:tab w:val="right" w:pos="1134"/>
        <w:tab w:val="left" w:pos="1700"/>
        <w:tab w:val="left" w:pos="2551"/>
        <w:tab w:val="left" w:pos="7483"/>
      </w:tabs>
      <w:snapToGrid w:val="0"/>
      <w:spacing w:before="240" w:after="120"/>
      <w:ind w:right="-23"/>
    </w:pPr>
    <w:rPr>
      <w:rFonts w:ascii="Calibri" w:eastAsia="Times New Roman" w:hAnsi="Calibri" w:cs="Times New Roman"/>
      <w:b/>
      <w:noProof/>
      <w:color w:val="4F81BD"/>
      <w:sz w:val="18"/>
      <w:szCs w:val="18"/>
      <w:lang w:val="en-US" w:eastAsia="nl-NL"/>
    </w:rPr>
  </w:style>
  <w:style w:type="paragraph" w:customStyle="1" w:styleId="ECVNameField">
    <w:name w:val="_ECV_NameField"/>
    <w:basedOn w:val="Normal"/>
    <w:rsid w:val="009F430D"/>
    <w:pPr>
      <w:widowControl w:val="0"/>
      <w:suppressLineNumbers/>
      <w:suppressAutoHyphens/>
      <w:spacing w:after="120" w:line="100" w:lineRule="atLeast"/>
      <w:ind w:right="-23"/>
    </w:pPr>
    <w:rPr>
      <w:rFonts w:ascii="Arial" w:eastAsia="SimSun" w:hAnsi="Arial" w:cs="Mangal"/>
      <w:color w:val="3F3A38"/>
      <w:spacing w:val="-6"/>
      <w:kern w:val="1"/>
      <w:sz w:val="26"/>
      <w:szCs w:val="18"/>
      <w:lang w:eastAsia="zh-CN" w:bidi="hi-IN"/>
    </w:rPr>
  </w:style>
  <w:style w:type="paragraph" w:customStyle="1" w:styleId="TableTextNoSpace">
    <w:name w:val="TableTextNoSpace"/>
    <w:basedOn w:val="Normal"/>
    <w:uiPriority w:val="15"/>
    <w:qFormat/>
    <w:rsid w:val="009F430D"/>
    <w:pPr>
      <w:spacing w:after="120" w:line="220" w:lineRule="atLeast"/>
      <w:ind w:right="-23"/>
    </w:pPr>
    <w:rPr>
      <w:rFonts w:ascii="Arial" w:hAnsi="Arial" w:cs="Times New Roman"/>
      <w:sz w:val="18"/>
      <w:szCs w:val="24"/>
    </w:rPr>
  </w:style>
  <w:style w:type="paragraph" w:customStyle="1" w:styleId="TableBullet">
    <w:name w:val="TableBullet"/>
    <w:basedOn w:val="Normal"/>
    <w:uiPriority w:val="6"/>
    <w:qFormat/>
    <w:rsid w:val="009F430D"/>
    <w:pPr>
      <w:spacing w:after="120" w:line="220" w:lineRule="atLeast"/>
      <w:ind w:right="-23"/>
    </w:pPr>
    <w:rPr>
      <w:rFonts w:ascii="Arial" w:hAnsi="Arial" w:cs="Times New Roman"/>
      <w:sz w:val="18"/>
      <w:szCs w:val="24"/>
    </w:rPr>
  </w:style>
  <w:style w:type="paragraph" w:customStyle="1" w:styleId="ECVOrganisationDetails">
    <w:name w:val="_ECV_OrganisationDetails"/>
    <w:basedOn w:val="Normal"/>
    <w:rsid w:val="009F430D"/>
    <w:pPr>
      <w:widowControl w:val="0"/>
      <w:suppressLineNumbers/>
      <w:suppressAutoHyphens/>
      <w:autoSpaceDE w:val="0"/>
      <w:spacing w:before="57" w:after="85" w:line="100" w:lineRule="atLeast"/>
      <w:ind w:right="-23"/>
    </w:pPr>
    <w:rPr>
      <w:rFonts w:ascii="Arial" w:eastAsia="ArialMT" w:hAnsi="Arial" w:cs="ArialMT"/>
      <w:color w:val="3F3A38"/>
      <w:spacing w:val="-6"/>
      <w:kern w:val="1"/>
      <w:sz w:val="18"/>
      <w:szCs w:val="18"/>
      <w:lang w:eastAsia="zh-CN" w:bidi="hi-IN"/>
    </w:rPr>
  </w:style>
  <w:style w:type="table" w:customStyle="1" w:styleId="TableGrid11">
    <w:name w:val="Table Grid11"/>
    <w:basedOn w:val="TableNormal"/>
    <w:next w:val="TableGrid"/>
    <w:uiPriority w:val="59"/>
    <w:rsid w:val="009F430D"/>
    <w:pPr>
      <w:spacing w:after="0" w:line="240" w:lineRule="auto"/>
      <w:ind w:left="709"/>
    </w:pPr>
    <w:rPr>
      <w:rFonts w:ascii="Arial" w:eastAsia="Times New Roman" w:hAnsi="Arial"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RCADISStandaard">
    <w:name w:val="ARCADIS Standaard"/>
    <w:basedOn w:val="Normal"/>
    <w:qFormat/>
    <w:rsid w:val="009F430D"/>
    <w:pPr>
      <w:spacing w:before="60" w:after="60" w:line="280" w:lineRule="atLeast"/>
      <w:ind w:left="1701" w:right="-23"/>
    </w:pPr>
    <w:rPr>
      <w:rFonts w:ascii="Arial" w:eastAsia="Times New Roman" w:hAnsi="Arial" w:cs="Times New Roman"/>
      <w:sz w:val="18"/>
      <w:szCs w:val="24"/>
      <w:lang w:eastAsia="nl-NL"/>
    </w:rPr>
  </w:style>
  <w:style w:type="paragraph" w:customStyle="1" w:styleId="OpsommingSymbool">
    <w:name w:val="Opsomming Symbool"/>
    <w:basedOn w:val="Normal"/>
    <w:link w:val="OpsommingSymboolChar"/>
    <w:qFormat/>
    <w:rsid w:val="009F430D"/>
    <w:pPr>
      <w:numPr>
        <w:numId w:val="46"/>
      </w:numPr>
      <w:spacing w:before="60" w:after="60" w:line="280" w:lineRule="atLeast"/>
      <w:ind w:right="-23"/>
    </w:pPr>
    <w:rPr>
      <w:rFonts w:ascii="Arial" w:eastAsia="Times New Roman" w:hAnsi="Arial" w:cs="Times New Roman"/>
      <w:sz w:val="18"/>
      <w:szCs w:val="24"/>
      <w:lang w:eastAsia="nl-NL"/>
    </w:rPr>
  </w:style>
  <w:style w:type="character" w:customStyle="1" w:styleId="OpsommingSymboolChar">
    <w:name w:val="Opsomming Symbool Char"/>
    <w:basedOn w:val="DefaultParagraphFont"/>
    <w:link w:val="OpsommingSymbool"/>
    <w:rsid w:val="009F430D"/>
    <w:rPr>
      <w:rFonts w:ascii="Arial" w:eastAsia="Times New Roman" w:hAnsi="Arial" w:cs="Times New Roman"/>
      <w:sz w:val="18"/>
      <w:szCs w:val="24"/>
      <w:lang w:eastAsia="nl-NL"/>
    </w:rPr>
  </w:style>
  <w:style w:type="character" w:customStyle="1" w:styleId="shorttext">
    <w:name w:val="short_text"/>
    <w:basedOn w:val="DefaultParagraphFont"/>
    <w:rsid w:val="009F430D"/>
  </w:style>
  <w:style w:type="table" w:customStyle="1" w:styleId="AEATableStyle1">
    <w:name w:val="AEA Table Style1"/>
    <w:basedOn w:val="TableNormal"/>
    <w:uiPriority w:val="99"/>
    <w:qFormat/>
    <w:rsid w:val="009F430D"/>
    <w:pPr>
      <w:spacing w:after="0" w:line="240" w:lineRule="auto"/>
      <w:ind w:left="709"/>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shd w:val="pct15" w:color="auto" w:fill="auto"/>
      </w:tcPr>
    </w:tblStylePr>
  </w:style>
  <w:style w:type="table" w:customStyle="1" w:styleId="Ricardo-AEATableStyle1">
    <w:name w:val="Ricardo-AEA Table Style1"/>
    <w:basedOn w:val="TableNormal"/>
    <w:uiPriority w:val="99"/>
    <w:qFormat/>
    <w:rsid w:val="009F430D"/>
    <w:pPr>
      <w:spacing w:after="0" w:line="240" w:lineRule="auto"/>
      <w:ind w:left="709"/>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Autospacing="0" w:afterLines="0" w:afterAutospacing="0" w:line="240" w:lineRule="auto"/>
        <w:contextualSpacing w:val="0"/>
      </w:pPr>
      <w:rPr>
        <w:rFonts w:ascii="Arial" w:hAnsi="Arial"/>
        <w:b/>
        <w:color w:val="FFFFFF"/>
        <w:sz w:val="20"/>
      </w:rPr>
      <w:tblPr/>
      <w:tcPr>
        <w:shd w:val="clear" w:color="auto" w:fill="008000"/>
        <w:vAlign w:val="center"/>
      </w:tcPr>
    </w:tblStylePr>
    <w:tblStylePr w:type="firstCol">
      <w:rPr>
        <w:rFonts w:ascii="Arial" w:hAnsi="Arial"/>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AEATableStyle11">
    <w:name w:val="AEA Table Style11"/>
    <w:basedOn w:val="TableNormal"/>
    <w:uiPriority w:val="99"/>
    <w:qFormat/>
    <w:rsid w:val="009F430D"/>
    <w:pPr>
      <w:spacing w:after="0" w:line="240" w:lineRule="auto"/>
      <w:ind w:left="709"/>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shd w:val="pct15" w:color="auto" w:fill="auto"/>
      </w:tcPr>
    </w:tblStylePr>
  </w:style>
  <w:style w:type="table" w:customStyle="1" w:styleId="AEATableStyle811">
    <w:name w:val="AEA Table Style811"/>
    <w:basedOn w:val="TableNormal"/>
    <w:uiPriority w:val="99"/>
    <w:qFormat/>
    <w:rsid w:val="009F430D"/>
    <w:pPr>
      <w:spacing w:before="20" w:after="20" w:line="240" w:lineRule="auto"/>
      <w:ind w:left="709"/>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rPr>
        <w:rFonts w:ascii="Arial" w:hAnsi="Arial" w:cs="Arial"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AEATableStyle812">
    <w:name w:val="AEA Table Style812"/>
    <w:basedOn w:val="TableNormal"/>
    <w:uiPriority w:val="99"/>
    <w:qFormat/>
    <w:rsid w:val="009F430D"/>
    <w:pPr>
      <w:spacing w:before="20" w:after="20" w:line="240" w:lineRule="auto"/>
      <w:ind w:left="709"/>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rPr>
        <w:rFonts w:ascii="Arial" w:hAnsi="Arial" w:cs="Arial"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AEATableStyle81">
    <w:name w:val="AEA Table Style81"/>
    <w:basedOn w:val="TableNormal"/>
    <w:uiPriority w:val="99"/>
    <w:qFormat/>
    <w:rsid w:val="009F430D"/>
    <w:pPr>
      <w:spacing w:before="20" w:after="20" w:line="240" w:lineRule="auto"/>
      <w:ind w:left="709"/>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rPr>
        <w:rFonts w:ascii="Arial" w:hAnsi="Arial" w:cs="Arial"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paragraph" w:styleId="ListBullet2">
    <w:name w:val="List Bullet 2"/>
    <w:basedOn w:val="ListBullet"/>
    <w:uiPriority w:val="4"/>
    <w:rsid w:val="009F430D"/>
    <w:pPr>
      <w:numPr>
        <w:numId w:val="0"/>
      </w:numPr>
      <w:tabs>
        <w:tab w:val="num" w:pos="851"/>
      </w:tabs>
      <w:spacing w:after="270" w:line="270" w:lineRule="atLeast"/>
      <w:ind w:left="851" w:right="-23" w:hanging="426"/>
    </w:pPr>
    <w:rPr>
      <w:sz w:val="23"/>
      <w:lang w:eastAsia="da-DK"/>
    </w:rPr>
  </w:style>
  <w:style w:type="numbering" w:customStyle="1" w:styleId="CowiBulletList">
    <w:name w:val="CowiBulletList"/>
    <w:basedOn w:val="NoList"/>
    <w:rsid w:val="009F430D"/>
    <w:pPr>
      <w:numPr>
        <w:numId w:val="48"/>
      </w:numPr>
    </w:pPr>
  </w:style>
  <w:style w:type="paragraph" w:styleId="ListBullet3">
    <w:name w:val="List Bullet 3"/>
    <w:basedOn w:val="ListBullet2"/>
    <w:uiPriority w:val="4"/>
    <w:rsid w:val="009F430D"/>
    <w:pPr>
      <w:tabs>
        <w:tab w:val="clear" w:pos="851"/>
        <w:tab w:val="left" w:pos="1276"/>
      </w:tabs>
      <w:ind w:left="357" w:hanging="357"/>
    </w:pPr>
  </w:style>
  <w:style w:type="paragraph" w:styleId="ListBullet4">
    <w:name w:val="List Bullet 4"/>
    <w:basedOn w:val="Normal"/>
    <w:uiPriority w:val="4"/>
    <w:unhideWhenUsed/>
    <w:rsid w:val="009F430D"/>
    <w:pPr>
      <w:spacing w:after="120" w:line="270" w:lineRule="atLeast"/>
      <w:ind w:left="2880" w:right="-23" w:hanging="360"/>
    </w:pPr>
    <w:rPr>
      <w:rFonts w:eastAsia="Times New Roman" w:cs="Times New Roman"/>
      <w:sz w:val="23"/>
      <w:szCs w:val="20"/>
      <w:lang w:eastAsia="da-DK"/>
    </w:rPr>
  </w:style>
  <w:style w:type="table" w:customStyle="1" w:styleId="AEATableStyle2">
    <w:name w:val="AEA Table Style2"/>
    <w:basedOn w:val="TableNormal"/>
    <w:uiPriority w:val="99"/>
    <w:qFormat/>
    <w:rsid w:val="009F430D"/>
    <w:pPr>
      <w:spacing w:after="0" w:line="240" w:lineRule="auto"/>
      <w:ind w:left="709"/>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shd w:val="pct15" w:color="auto" w:fill="auto"/>
      </w:tcPr>
    </w:tblStylePr>
  </w:style>
  <w:style w:type="paragraph" w:customStyle="1" w:styleId="ECVSectionDetails">
    <w:name w:val="_ECV_SectionDetails"/>
    <w:basedOn w:val="Normal"/>
    <w:rsid w:val="009F430D"/>
    <w:pPr>
      <w:widowControl w:val="0"/>
      <w:suppressLineNumbers/>
      <w:suppressAutoHyphens/>
      <w:autoSpaceDE w:val="0"/>
      <w:spacing w:before="28" w:after="120" w:line="100" w:lineRule="atLeast"/>
      <w:ind w:right="-23"/>
    </w:pPr>
    <w:rPr>
      <w:rFonts w:ascii="Arial" w:eastAsia="SimSun" w:hAnsi="Arial" w:cs="Mangal"/>
      <w:color w:val="3F3A38"/>
      <w:spacing w:val="-6"/>
      <w:kern w:val="1"/>
      <w:sz w:val="18"/>
      <w:szCs w:val="24"/>
      <w:lang w:eastAsia="zh-CN" w:bidi="hi-IN"/>
    </w:rPr>
  </w:style>
  <w:style w:type="table" w:customStyle="1" w:styleId="GridTable4-Accent61">
    <w:name w:val="Grid Table 4 - Accent 61"/>
    <w:basedOn w:val="TableNormal"/>
    <w:uiPriority w:val="49"/>
    <w:rsid w:val="009F430D"/>
    <w:pPr>
      <w:spacing w:after="0" w:line="240" w:lineRule="auto"/>
      <w:ind w:left="709"/>
    </w:pPr>
    <w:rPr>
      <w:sz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31">
    <w:name w:val="Grid Table 4 - Accent 31"/>
    <w:basedOn w:val="TableNormal"/>
    <w:uiPriority w:val="49"/>
    <w:rsid w:val="009F430D"/>
    <w:pPr>
      <w:spacing w:after="0" w:line="240" w:lineRule="auto"/>
      <w:ind w:left="709"/>
    </w:pPr>
    <w:rPr>
      <w:rFonts w:ascii="Arial" w:eastAsia="Times New Roman" w:hAnsi="Arial" w:cs="Times New Roman"/>
      <w:sz w:val="20"/>
      <w:szCs w:val="20"/>
      <w:lang w:eastAsia="en-G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Broodtekst">
    <w:name w:val="Broodtekst"/>
    <w:rsid w:val="009F430D"/>
    <w:pPr>
      <w:spacing w:before="240" w:after="120" w:line="280" w:lineRule="atLeast"/>
      <w:ind w:left="851" w:hanging="851"/>
      <w:jc w:val="both"/>
    </w:pPr>
    <w:rPr>
      <w:rFonts w:ascii="Arial" w:eastAsia="Times New Roman" w:hAnsi="Arial" w:cs="Times New Roman"/>
      <w:sz w:val="20"/>
      <w:szCs w:val="20"/>
      <w:lang w:eastAsia="nl-NL"/>
    </w:rPr>
  </w:style>
  <w:style w:type="paragraph" w:customStyle="1" w:styleId="CVMedium-FirstLine">
    <w:name w:val="CV Medium - First Line"/>
    <w:basedOn w:val="Normal"/>
    <w:next w:val="Normal"/>
    <w:rsid w:val="009F430D"/>
    <w:pPr>
      <w:suppressAutoHyphens/>
      <w:spacing w:before="74" w:after="120"/>
      <w:ind w:left="113" w:right="113"/>
    </w:pPr>
    <w:rPr>
      <w:rFonts w:ascii="Arial Narrow" w:eastAsia="Times New Roman" w:hAnsi="Arial Narrow" w:cs="Times New Roman"/>
      <w:b/>
      <w:sz w:val="20"/>
      <w:szCs w:val="20"/>
      <w:lang w:val="en-US" w:eastAsia="ar-SA"/>
    </w:rPr>
  </w:style>
  <w:style w:type="character" w:customStyle="1" w:styleId="ECVContactDetails">
    <w:name w:val="_ECV_ContactDetails"/>
    <w:rsid w:val="009F430D"/>
    <w:rPr>
      <w:rFonts w:ascii="Arial" w:hAnsi="Arial"/>
      <w:color w:val="3F3A38"/>
      <w:sz w:val="18"/>
      <w:szCs w:val="18"/>
      <w:shd w:val="clear" w:color="auto" w:fill="auto"/>
    </w:rPr>
  </w:style>
  <w:style w:type="character" w:customStyle="1" w:styleId="ECVHeadingBusinessSector">
    <w:name w:val="_ECV_HeadingBusinessSector"/>
    <w:rsid w:val="009F430D"/>
    <w:rPr>
      <w:rFonts w:ascii="Arial" w:hAnsi="Arial"/>
      <w:color w:val="1593CB"/>
      <w:spacing w:val="-6"/>
      <w:sz w:val="18"/>
      <w:szCs w:val="18"/>
      <w:shd w:val="clear" w:color="auto" w:fill="auto"/>
    </w:rPr>
  </w:style>
  <w:style w:type="paragraph" w:customStyle="1" w:styleId="ECVLeftHeading">
    <w:name w:val="_ECV_LeftHeading"/>
    <w:basedOn w:val="Normal"/>
    <w:rsid w:val="009F430D"/>
    <w:pPr>
      <w:widowControl w:val="0"/>
      <w:suppressLineNumbers/>
      <w:suppressAutoHyphens/>
      <w:spacing w:after="120"/>
      <w:ind w:right="283"/>
      <w:jc w:val="right"/>
    </w:pPr>
    <w:rPr>
      <w:rFonts w:ascii="Arial" w:eastAsia="SimSun" w:hAnsi="Arial" w:cs="Mangal"/>
      <w:caps/>
      <w:color w:val="0E4194"/>
      <w:spacing w:val="-6"/>
      <w:kern w:val="1"/>
      <w:sz w:val="18"/>
      <w:szCs w:val="24"/>
      <w:lang w:eastAsia="zh-CN" w:bidi="hi-IN"/>
    </w:rPr>
  </w:style>
  <w:style w:type="paragraph" w:customStyle="1" w:styleId="ECVComments">
    <w:name w:val="_ECV_Comments"/>
    <w:basedOn w:val="ECVText"/>
    <w:rsid w:val="009F430D"/>
    <w:pPr>
      <w:jc w:val="center"/>
    </w:pPr>
    <w:rPr>
      <w:color w:val="FF0000"/>
    </w:rPr>
  </w:style>
  <w:style w:type="paragraph" w:customStyle="1" w:styleId="ECVDate">
    <w:name w:val="_ECV_Date"/>
    <w:basedOn w:val="ECVLeftHeading"/>
    <w:rsid w:val="009F430D"/>
    <w:pPr>
      <w:spacing w:before="28" w:line="100" w:lineRule="atLeast"/>
      <w:textAlignment w:val="top"/>
    </w:pPr>
    <w:rPr>
      <w:caps w:val="0"/>
    </w:rPr>
  </w:style>
  <w:style w:type="paragraph" w:customStyle="1" w:styleId="ECVLeftDetails">
    <w:name w:val="_ECV_LeftDetails"/>
    <w:basedOn w:val="ECVLeftHeading"/>
    <w:rsid w:val="009F430D"/>
    <w:pPr>
      <w:spacing w:before="23"/>
    </w:pPr>
    <w:rPr>
      <w:caps w:val="0"/>
    </w:rPr>
  </w:style>
  <w:style w:type="paragraph" w:customStyle="1" w:styleId="ECVText">
    <w:name w:val="_ECV_Text"/>
    <w:basedOn w:val="BodyText"/>
    <w:rsid w:val="009F430D"/>
    <w:pPr>
      <w:widowControl w:val="0"/>
      <w:suppressAutoHyphens/>
      <w:spacing w:before="0" w:after="120" w:line="100" w:lineRule="atLeast"/>
      <w:ind w:right="-23"/>
      <w:jc w:val="both"/>
    </w:pPr>
    <w:rPr>
      <w:rFonts w:eastAsia="SimSun" w:cs="Mangal"/>
      <w:color w:val="3F3A38"/>
      <w:spacing w:val="-6"/>
      <w:kern w:val="1"/>
      <w:sz w:val="16"/>
      <w:szCs w:val="24"/>
      <w:lang w:val="en-GB" w:eastAsia="zh-CN" w:bidi="hi-IN"/>
    </w:rPr>
  </w:style>
  <w:style w:type="paragraph" w:customStyle="1" w:styleId="ECVPersonalInfoHeading">
    <w:name w:val="_ECV_PersonalInfoHeading"/>
    <w:basedOn w:val="ECVLeftHeading"/>
    <w:rsid w:val="009F430D"/>
    <w:pPr>
      <w:spacing w:before="57"/>
    </w:pPr>
  </w:style>
  <w:style w:type="paragraph" w:customStyle="1" w:styleId="ECVGenderRow">
    <w:name w:val="_ECV_GenderRow"/>
    <w:basedOn w:val="Normal"/>
    <w:rsid w:val="009F430D"/>
    <w:pPr>
      <w:widowControl w:val="0"/>
      <w:suppressAutoHyphens/>
      <w:spacing w:before="85" w:after="120"/>
      <w:ind w:right="-23"/>
    </w:pPr>
    <w:rPr>
      <w:rFonts w:ascii="Arial" w:eastAsia="SimSun" w:hAnsi="Arial" w:cs="Mangal"/>
      <w:color w:val="1593CB"/>
      <w:spacing w:val="-6"/>
      <w:kern w:val="1"/>
      <w:sz w:val="16"/>
      <w:szCs w:val="24"/>
      <w:lang w:eastAsia="zh-CN" w:bidi="hi-IN"/>
    </w:rPr>
  </w:style>
  <w:style w:type="paragraph" w:customStyle="1" w:styleId="ECVBusinessSectorRow">
    <w:name w:val="_ECV_BusinessSectorRow"/>
    <w:basedOn w:val="Normal"/>
    <w:rsid w:val="009F430D"/>
    <w:pPr>
      <w:widowControl w:val="0"/>
      <w:suppressAutoHyphens/>
      <w:spacing w:after="120"/>
      <w:ind w:right="-23"/>
    </w:pPr>
    <w:rPr>
      <w:rFonts w:ascii="Arial" w:eastAsia="SimSun" w:hAnsi="Arial" w:cs="Mangal"/>
      <w:color w:val="3F3A38"/>
      <w:spacing w:val="-6"/>
      <w:kern w:val="1"/>
      <w:sz w:val="16"/>
      <w:szCs w:val="24"/>
      <w:lang w:eastAsia="zh-CN" w:bidi="hi-IN"/>
    </w:rPr>
  </w:style>
  <w:style w:type="paragraph" w:customStyle="1" w:styleId="ECVBlueBox">
    <w:name w:val="_ECV_BlueBox"/>
    <w:basedOn w:val="Normal"/>
    <w:rsid w:val="009F430D"/>
    <w:pPr>
      <w:widowControl w:val="0"/>
      <w:suppressLineNumbers/>
      <w:suppressAutoHyphens/>
      <w:spacing w:after="120"/>
      <w:ind w:right="-23"/>
      <w:jc w:val="right"/>
      <w:textAlignment w:val="bottom"/>
    </w:pPr>
    <w:rPr>
      <w:rFonts w:ascii="Arial" w:eastAsia="SimSun" w:hAnsi="Arial" w:cs="Mangal"/>
      <w:color w:val="402C24"/>
      <w:kern w:val="1"/>
      <w:sz w:val="8"/>
      <w:szCs w:val="10"/>
      <w:lang w:eastAsia="zh-CN" w:bidi="hi-IN"/>
    </w:rPr>
  </w:style>
  <w:style w:type="character" w:customStyle="1" w:styleId="ECVInternetLink">
    <w:name w:val="_ECV_InternetLink"/>
    <w:rsid w:val="009F430D"/>
    <w:rPr>
      <w:rFonts w:ascii="Arial" w:hAnsi="Arial"/>
      <w:color w:val="3F3A38"/>
      <w:sz w:val="18"/>
      <w:u w:val="single"/>
      <w:shd w:val="clear" w:color="auto" w:fill="auto"/>
      <w:lang w:val="en-GB"/>
    </w:rPr>
  </w:style>
  <w:style w:type="paragraph" w:customStyle="1" w:styleId="ECVRightColumn">
    <w:name w:val="_ECV_RightColumn"/>
    <w:basedOn w:val="Normal"/>
    <w:rsid w:val="009F430D"/>
    <w:pPr>
      <w:widowControl w:val="0"/>
      <w:suppressLineNumbers/>
      <w:suppressAutoHyphens/>
      <w:spacing w:before="62" w:after="120"/>
      <w:ind w:right="-23"/>
    </w:pPr>
    <w:rPr>
      <w:rFonts w:ascii="Arial" w:eastAsia="SimSun" w:hAnsi="Arial" w:cs="Mangal"/>
      <w:color w:val="404040"/>
      <w:spacing w:val="-6"/>
      <w:kern w:val="1"/>
      <w:sz w:val="16"/>
      <w:szCs w:val="24"/>
      <w:lang w:eastAsia="zh-CN" w:bidi="hi-IN"/>
    </w:rPr>
  </w:style>
  <w:style w:type="paragraph" w:customStyle="1" w:styleId="ECVRightHeading">
    <w:name w:val="_ECV_RightHeading"/>
    <w:basedOn w:val="ECVNameField"/>
    <w:rsid w:val="009F430D"/>
    <w:pPr>
      <w:spacing w:before="62"/>
      <w:jc w:val="right"/>
    </w:pPr>
    <w:rPr>
      <w:color w:val="1593CB"/>
      <w:sz w:val="15"/>
    </w:rPr>
  </w:style>
  <w:style w:type="paragraph" w:customStyle="1" w:styleId="ECVLanguageHeading">
    <w:name w:val="_ECV_LanguageHeading"/>
    <w:basedOn w:val="ECVRightColumn"/>
    <w:rsid w:val="009F430D"/>
    <w:pPr>
      <w:spacing w:before="0"/>
      <w:jc w:val="center"/>
    </w:pPr>
    <w:rPr>
      <w:caps/>
      <w:color w:val="0E4194"/>
      <w:sz w:val="14"/>
    </w:rPr>
  </w:style>
  <w:style w:type="paragraph" w:customStyle="1" w:styleId="ECVLanguageSubHeading">
    <w:name w:val="_ECV_LanguageSubHeading"/>
    <w:basedOn w:val="ECVLanguageHeading"/>
    <w:rsid w:val="009F430D"/>
    <w:pPr>
      <w:spacing w:line="100" w:lineRule="atLeast"/>
    </w:pPr>
    <w:rPr>
      <w:caps w:val="0"/>
      <w:sz w:val="16"/>
    </w:rPr>
  </w:style>
  <w:style w:type="paragraph" w:customStyle="1" w:styleId="ECVLanguageLevel">
    <w:name w:val="_ECV_LanguageLevel"/>
    <w:basedOn w:val="ECVSectionDetails"/>
    <w:rsid w:val="009F430D"/>
    <w:pPr>
      <w:jc w:val="center"/>
      <w:textAlignment w:val="center"/>
    </w:pPr>
    <w:rPr>
      <w:caps/>
    </w:rPr>
  </w:style>
  <w:style w:type="paragraph" w:customStyle="1" w:styleId="ECVLanguageCertificate">
    <w:name w:val="_ECV_LanguageCertificate"/>
    <w:basedOn w:val="ECVRightColumn"/>
    <w:rsid w:val="009F430D"/>
    <w:pPr>
      <w:spacing w:before="0" w:line="100" w:lineRule="atLeast"/>
      <w:ind w:right="283"/>
      <w:jc w:val="center"/>
    </w:pPr>
    <w:rPr>
      <w:color w:val="3F3A38"/>
    </w:rPr>
  </w:style>
  <w:style w:type="paragraph" w:customStyle="1" w:styleId="ECVLanguageExplanation">
    <w:name w:val="_ECV_LanguageExplanation"/>
    <w:basedOn w:val="Normal"/>
    <w:rsid w:val="009F430D"/>
    <w:pPr>
      <w:widowControl w:val="0"/>
      <w:suppressAutoHyphens/>
      <w:autoSpaceDE w:val="0"/>
      <w:spacing w:after="120" w:line="100" w:lineRule="atLeast"/>
      <w:ind w:right="-23"/>
    </w:pPr>
    <w:rPr>
      <w:rFonts w:ascii="Arial" w:eastAsia="SimSun" w:hAnsi="Arial" w:cs="Mangal"/>
      <w:color w:val="0E4194"/>
      <w:spacing w:val="-6"/>
      <w:kern w:val="1"/>
      <w:sz w:val="15"/>
      <w:szCs w:val="24"/>
      <w:lang w:eastAsia="zh-CN" w:bidi="hi-IN"/>
    </w:rPr>
  </w:style>
  <w:style w:type="paragraph" w:customStyle="1" w:styleId="ECVLanguageName">
    <w:name w:val="_ECV_LanguageName"/>
    <w:basedOn w:val="ECVLanguageCertificate"/>
    <w:rsid w:val="009F430D"/>
    <w:pPr>
      <w:jc w:val="right"/>
    </w:pPr>
    <w:rPr>
      <w:sz w:val="18"/>
    </w:rPr>
  </w:style>
  <w:style w:type="paragraph" w:customStyle="1" w:styleId="ECVCurriculumVitaeNextPages">
    <w:name w:val="_ECV_CurriculumVitae_NextPages"/>
    <w:basedOn w:val="Normal"/>
    <w:rsid w:val="009F430D"/>
    <w:pPr>
      <w:widowControl w:val="0"/>
      <w:suppressLineNumbers/>
      <w:tabs>
        <w:tab w:val="left" w:pos="2835"/>
        <w:tab w:val="right" w:pos="10350"/>
      </w:tabs>
      <w:suppressAutoHyphens/>
      <w:spacing w:before="153" w:after="120" w:line="100" w:lineRule="atLeast"/>
      <w:ind w:right="-23"/>
      <w:jc w:val="right"/>
    </w:pPr>
    <w:rPr>
      <w:rFonts w:ascii="Arial" w:eastAsia="SimSun" w:hAnsi="Arial" w:cs="Mangal"/>
      <w:color w:val="1593CB"/>
      <w:spacing w:val="-6"/>
      <w:kern w:val="1"/>
      <w:sz w:val="20"/>
      <w:szCs w:val="18"/>
      <w:lang w:eastAsia="zh-CN" w:bidi="hi-IN"/>
    </w:rPr>
  </w:style>
  <w:style w:type="paragraph" w:customStyle="1" w:styleId="CVNormal-FirstLine">
    <w:name w:val="CV Normal - First Line"/>
    <w:basedOn w:val="Normal"/>
    <w:next w:val="Normal"/>
    <w:uiPriority w:val="99"/>
    <w:rsid w:val="009F430D"/>
    <w:pPr>
      <w:suppressAutoHyphens/>
      <w:spacing w:before="74" w:after="120"/>
      <w:ind w:left="113" w:right="113"/>
    </w:pPr>
    <w:rPr>
      <w:rFonts w:ascii="Arial Narrow" w:eastAsia="Times New Roman" w:hAnsi="Arial Narrow" w:cs="Times New Roman"/>
      <w:sz w:val="20"/>
      <w:szCs w:val="20"/>
      <w:lang w:val="en-US" w:eastAsia="ar-SA"/>
    </w:rPr>
  </w:style>
  <w:style w:type="character" w:customStyle="1" w:styleId="NumberingSymbols">
    <w:name w:val="Numbering Symbols"/>
    <w:rsid w:val="009F430D"/>
  </w:style>
  <w:style w:type="character" w:customStyle="1" w:styleId="Bullets">
    <w:name w:val="Bullets"/>
    <w:rsid w:val="009F430D"/>
    <w:rPr>
      <w:rFonts w:ascii="OpenSymbol" w:eastAsia="OpenSymbol" w:hAnsi="OpenSymbol" w:cs="OpenSymbol"/>
    </w:rPr>
  </w:style>
  <w:style w:type="character" w:styleId="LineNumber">
    <w:name w:val="line number"/>
    <w:rsid w:val="009F430D"/>
  </w:style>
  <w:style w:type="paragraph" w:customStyle="1" w:styleId="Heading">
    <w:name w:val="Heading"/>
    <w:basedOn w:val="Normal"/>
    <w:next w:val="BodyText"/>
    <w:rsid w:val="009F430D"/>
    <w:pPr>
      <w:keepNext/>
      <w:widowControl w:val="0"/>
      <w:suppressAutoHyphens/>
      <w:spacing w:before="240" w:after="120"/>
      <w:ind w:right="-23"/>
    </w:pPr>
    <w:rPr>
      <w:rFonts w:ascii="Arial" w:eastAsia="Microsoft YaHei" w:hAnsi="Arial" w:cs="Mangal"/>
      <w:color w:val="3F3A38"/>
      <w:spacing w:val="-6"/>
      <w:kern w:val="1"/>
      <w:sz w:val="28"/>
      <w:szCs w:val="28"/>
      <w:lang w:eastAsia="zh-CN" w:bidi="hi-IN"/>
    </w:rPr>
  </w:style>
  <w:style w:type="paragraph" w:styleId="List">
    <w:name w:val="List"/>
    <w:basedOn w:val="BodyText"/>
    <w:rsid w:val="009F430D"/>
    <w:pPr>
      <w:widowControl w:val="0"/>
      <w:suppressAutoHyphens/>
      <w:spacing w:before="0" w:after="120" w:line="100" w:lineRule="atLeast"/>
      <w:ind w:right="-23"/>
      <w:jc w:val="both"/>
    </w:pPr>
    <w:rPr>
      <w:rFonts w:eastAsia="SimSun" w:cs="Mangal"/>
      <w:color w:val="3F3A38"/>
      <w:spacing w:val="-6"/>
      <w:kern w:val="1"/>
      <w:sz w:val="16"/>
      <w:szCs w:val="24"/>
      <w:lang w:val="en-GB" w:eastAsia="zh-CN" w:bidi="hi-IN"/>
    </w:rPr>
  </w:style>
  <w:style w:type="paragraph" w:customStyle="1" w:styleId="Index">
    <w:name w:val="Index"/>
    <w:basedOn w:val="Normal"/>
    <w:rsid w:val="009F430D"/>
    <w:pPr>
      <w:widowControl w:val="0"/>
      <w:suppressLineNumbers/>
      <w:suppressAutoHyphens/>
      <w:spacing w:after="120"/>
      <w:ind w:right="-23"/>
    </w:pPr>
    <w:rPr>
      <w:rFonts w:ascii="Arial" w:eastAsia="SimSun" w:hAnsi="Arial" w:cs="Mangal"/>
      <w:color w:val="3F3A38"/>
      <w:spacing w:val="-6"/>
      <w:kern w:val="1"/>
      <w:sz w:val="16"/>
      <w:szCs w:val="24"/>
      <w:lang w:eastAsia="zh-CN" w:bidi="hi-IN"/>
    </w:rPr>
  </w:style>
  <w:style w:type="paragraph" w:customStyle="1" w:styleId="TableContents">
    <w:name w:val="Table Contents"/>
    <w:basedOn w:val="Normal"/>
    <w:rsid w:val="009F430D"/>
    <w:pPr>
      <w:widowControl w:val="0"/>
      <w:suppressLineNumbers/>
      <w:suppressAutoHyphens/>
      <w:spacing w:after="120"/>
      <w:ind w:right="-23"/>
    </w:pPr>
    <w:rPr>
      <w:rFonts w:ascii="Arial" w:eastAsia="SimSun" w:hAnsi="Arial" w:cs="Mangal"/>
      <w:color w:val="3F3A38"/>
      <w:spacing w:val="-6"/>
      <w:kern w:val="1"/>
      <w:sz w:val="16"/>
      <w:szCs w:val="24"/>
      <w:lang w:eastAsia="zh-CN" w:bidi="hi-IN"/>
    </w:rPr>
  </w:style>
  <w:style w:type="paragraph" w:customStyle="1" w:styleId="TableHeading0">
    <w:name w:val="Table Heading"/>
    <w:basedOn w:val="TableContents"/>
    <w:rsid w:val="009F430D"/>
    <w:pPr>
      <w:jc w:val="center"/>
    </w:pPr>
    <w:rPr>
      <w:b/>
      <w:bCs/>
    </w:rPr>
  </w:style>
  <w:style w:type="paragraph" w:customStyle="1" w:styleId="ECVMiddleColumn">
    <w:name w:val="_ECV_MiddleColumn"/>
    <w:basedOn w:val="TableContents"/>
    <w:rsid w:val="009F430D"/>
    <w:rPr>
      <w:color w:val="404040"/>
      <w:sz w:val="20"/>
    </w:rPr>
  </w:style>
  <w:style w:type="paragraph" w:customStyle="1" w:styleId="ECV1stPage">
    <w:name w:val="_ECV_1stPage"/>
    <w:basedOn w:val="ECVRightHeading"/>
    <w:rsid w:val="009F430D"/>
    <w:pPr>
      <w:tabs>
        <w:tab w:val="left" w:pos="2835"/>
        <w:tab w:val="right" w:pos="10205"/>
      </w:tabs>
      <w:spacing w:before="215"/>
      <w:jc w:val="left"/>
    </w:pPr>
    <w:rPr>
      <w:sz w:val="20"/>
    </w:rPr>
  </w:style>
  <w:style w:type="paragraph" w:customStyle="1" w:styleId="ECVNarrowSpacing">
    <w:name w:val="_ECV_NarrowSpacing"/>
    <w:basedOn w:val="ECVRightColumn"/>
    <w:rsid w:val="009F430D"/>
    <w:rPr>
      <w:color w:val="402C24"/>
      <w:sz w:val="8"/>
      <w:szCs w:val="10"/>
    </w:rPr>
  </w:style>
  <w:style w:type="paragraph" w:customStyle="1" w:styleId="ECVSectionSpacing">
    <w:name w:val="_ECV_SectionSpacing"/>
    <w:basedOn w:val="ECVRightColumn"/>
    <w:rsid w:val="009F430D"/>
  </w:style>
  <w:style w:type="paragraph" w:customStyle="1" w:styleId="Table">
    <w:name w:val="Table"/>
    <w:basedOn w:val="Caption"/>
    <w:rsid w:val="009F430D"/>
    <w:pPr>
      <w:keepNext w:val="0"/>
      <w:widowControl w:val="0"/>
      <w:suppressLineNumbers/>
      <w:suppressAutoHyphens/>
      <w:spacing w:before="120" w:line="276" w:lineRule="auto"/>
      <w:ind w:right="-23"/>
    </w:pPr>
    <w:rPr>
      <w:rFonts w:eastAsia="SimSun" w:cs="Mangal"/>
      <w:i/>
      <w:color w:val="3F3A38"/>
      <w:spacing w:val="-6"/>
      <w:kern w:val="1"/>
      <w:sz w:val="24"/>
      <w:szCs w:val="24"/>
      <w:lang w:eastAsia="zh-CN" w:bidi="hi-IN"/>
    </w:rPr>
  </w:style>
  <w:style w:type="paragraph" w:customStyle="1" w:styleId="ECVHeadingBullet">
    <w:name w:val="_ECV_HeadingBullet"/>
    <w:basedOn w:val="ECVLeftHeading"/>
    <w:rsid w:val="009F430D"/>
    <w:pPr>
      <w:tabs>
        <w:tab w:val="num" w:pos="432"/>
      </w:tabs>
      <w:spacing w:line="100" w:lineRule="atLeast"/>
      <w:ind w:left="432" w:hanging="432"/>
      <w:outlineLvl w:val="0"/>
    </w:pPr>
  </w:style>
  <w:style w:type="paragraph" w:customStyle="1" w:styleId="ECVSubHeadingBullet">
    <w:name w:val="_ECV_SubHeadingBullet"/>
    <w:basedOn w:val="ECVLeftDetails"/>
    <w:rsid w:val="009F430D"/>
    <w:pPr>
      <w:spacing w:before="0" w:line="100" w:lineRule="atLeast"/>
    </w:pPr>
  </w:style>
  <w:style w:type="paragraph" w:customStyle="1" w:styleId="CVMajor">
    <w:name w:val="CV Major"/>
    <w:basedOn w:val="Normal"/>
    <w:rsid w:val="009F430D"/>
    <w:pPr>
      <w:widowControl w:val="0"/>
      <w:suppressAutoHyphens/>
      <w:spacing w:after="120"/>
      <w:ind w:left="113" w:right="113"/>
    </w:pPr>
    <w:rPr>
      <w:rFonts w:ascii="Arial" w:eastAsia="SimSun" w:hAnsi="Arial" w:cs="Mangal"/>
      <w:b/>
      <w:color w:val="3F3A38"/>
      <w:spacing w:val="-6"/>
      <w:kern w:val="1"/>
      <w:szCs w:val="24"/>
      <w:lang w:eastAsia="zh-CN" w:bidi="hi-IN"/>
    </w:rPr>
  </w:style>
  <w:style w:type="paragraph" w:customStyle="1" w:styleId="CVHeading3">
    <w:name w:val="CV Heading 3"/>
    <w:basedOn w:val="Normal"/>
    <w:next w:val="Normal"/>
    <w:rsid w:val="009F430D"/>
    <w:pPr>
      <w:widowControl w:val="0"/>
      <w:suppressAutoHyphens/>
      <w:spacing w:after="120"/>
      <w:ind w:left="113" w:right="113"/>
      <w:jc w:val="right"/>
      <w:textAlignment w:val="center"/>
    </w:pPr>
    <w:rPr>
      <w:rFonts w:ascii="Arial" w:eastAsia="SimSun" w:hAnsi="Arial" w:cs="Mangal"/>
      <w:color w:val="3F3A38"/>
      <w:spacing w:val="-6"/>
      <w:kern w:val="1"/>
      <w:sz w:val="16"/>
      <w:szCs w:val="24"/>
      <w:lang w:eastAsia="zh-CN" w:bidi="hi-IN"/>
    </w:rPr>
  </w:style>
  <w:style w:type="paragraph" w:customStyle="1" w:styleId="ECVHeadingLine">
    <w:name w:val="_ECV_HeadingLine"/>
    <w:basedOn w:val="ECVSubSectionHeading"/>
    <w:rsid w:val="009F430D"/>
    <w:rPr>
      <w:color w:val="17ACE6"/>
      <w:kern w:val="1"/>
    </w:rPr>
  </w:style>
  <w:style w:type="paragraph" w:customStyle="1" w:styleId="ECVAttachment">
    <w:name w:val="_ECV_Attachment"/>
    <w:basedOn w:val="ECVSectionDetails"/>
    <w:rsid w:val="009F430D"/>
    <w:pPr>
      <w:jc w:val="right"/>
    </w:pPr>
    <w:rPr>
      <w:u w:val="single"/>
    </w:rPr>
  </w:style>
  <w:style w:type="paragraph" w:customStyle="1" w:styleId="ECVHeaderFirstPage">
    <w:name w:val="_ECV_HeaderFirstPage"/>
    <w:basedOn w:val="Header"/>
    <w:rsid w:val="009F430D"/>
    <w:pPr>
      <w:widowControl w:val="0"/>
      <w:suppressLineNumbers/>
      <w:tabs>
        <w:tab w:val="clear" w:pos="4535"/>
        <w:tab w:val="clear" w:pos="9071"/>
        <w:tab w:val="center" w:pos="2835"/>
        <w:tab w:val="center" w:pos="5103"/>
        <w:tab w:val="right" w:pos="10206"/>
      </w:tabs>
      <w:suppressAutoHyphens/>
      <w:spacing w:after="0" w:line="100" w:lineRule="atLeast"/>
      <w:ind w:left="709"/>
      <w:jc w:val="left"/>
    </w:pPr>
    <w:rPr>
      <w:rFonts w:ascii="Arial" w:eastAsia="SimSun" w:hAnsi="Arial" w:cs="Mangal"/>
      <w:color w:val="17ACE6"/>
      <w:spacing w:val="-6"/>
      <w:kern w:val="1"/>
      <w:sz w:val="20"/>
      <w:szCs w:val="24"/>
      <w:lang w:eastAsia="zh-CN" w:bidi="hi-IN"/>
    </w:rPr>
  </w:style>
  <w:style w:type="paragraph" w:customStyle="1" w:styleId="ECVHeaderOtherPage">
    <w:name w:val="_ECV_HeaderOtherPage"/>
    <w:basedOn w:val="ECVHeaderFirstPage"/>
    <w:rsid w:val="009F430D"/>
  </w:style>
  <w:style w:type="paragraph" w:customStyle="1" w:styleId="ECVLinks">
    <w:name w:val="_ECV_Links"/>
    <w:rsid w:val="009F430D"/>
    <w:pPr>
      <w:widowControl w:val="0"/>
      <w:suppressLineNumbers/>
      <w:suppressAutoHyphens/>
      <w:spacing w:after="0" w:line="100" w:lineRule="atLeast"/>
      <w:ind w:left="709"/>
      <w:textAlignment w:val="center"/>
    </w:pPr>
    <w:rPr>
      <w:rFonts w:ascii="Arial" w:eastAsia="SimSun" w:hAnsi="Arial" w:cs="Mangal"/>
      <w:color w:val="3F3A38"/>
      <w:spacing w:val="-6"/>
      <w:sz w:val="18"/>
      <w:szCs w:val="18"/>
      <w:u w:val="single"/>
      <w:lang w:eastAsia="zh-CN" w:bidi="hi-IN"/>
    </w:rPr>
  </w:style>
  <w:style w:type="paragraph" w:customStyle="1" w:styleId="ECVBusinessSector">
    <w:name w:val="_ECV_BusinessSector"/>
    <w:basedOn w:val="ECVOrganisationDetails"/>
    <w:rsid w:val="009F430D"/>
    <w:pPr>
      <w:spacing w:before="113" w:after="0"/>
    </w:pPr>
  </w:style>
  <w:style w:type="paragraph" w:customStyle="1" w:styleId="ECVOccupationalFieldHeading">
    <w:name w:val="_ECV_OccupationalFieldHeading"/>
    <w:basedOn w:val="ECVLeftHeading"/>
    <w:rsid w:val="009F430D"/>
    <w:pPr>
      <w:spacing w:before="57"/>
    </w:pPr>
  </w:style>
  <w:style w:type="paragraph" w:customStyle="1" w:styleId="ECVBusinessSctionRow">
    <w:name w:val="_ECV_BusinessSctionRow"/>
    <w:basedOn w:val="Normal"/>
    <w:rsid w:val="009F430D"/>
    <w:pPr>
      <w:widowControl w:val="0"/>
      <w:suppressAutoHyphens/>
      <w:spacing w:after="120"/>
      <w:ind w:right="-23"/>
    </w:pPr>
    <w:rPr>
      <w:rFonts w:ascii="Arial" w:eastAsia="SimSun" w:hAnsi="Arial" w:cs="Mangal"/>
      <w:color w:val="3F3A38"/>
      <w:spacing w:val="-6"/>
      <w:kern w:val="1"/>
      <w:sz w:val="16"/>
      <w:szCs w:val="24"/>
      <w:lang w:eastAsia="zh-CN" w:bidi="hi-IN"/>
    </w:rPr>
  </w:style>
  <w:style w:type="paragraph" w:customStyle="1" w:styleId="ESP1stPage">
    <w:name w:val="_ESP_1stPage"/>
    <w:basedOn w:val="ECVCurriculumVitaeNextPages"/>
    <w:rsid w:val="009F430D"/>
  </w:style>
  <w:style w:type="paragraph" w:customStyle="1" w:styleId="ESPText">
    <w:name w:val="_ESP_Text"/>
    <w:basedOn w:val="ECVText"/>
    <w:rsid w:val="009F430D"/>
  </w:style>
  <w:style w:type="paragraph" w:customStyle="1" w:styleId="ESPHeading">
    <w:name w:val="_ESP_Heading"/>
    <w:basedOn w:val="ESPText"/>
    <w:rsid w:val="009F430D"/>
    <w:rPr>
      <w:b/>
      <w:bCs/>
      <w:sz w:val="32"/>
      <w:szCs w:val="32"/>
    </w:rPr>
  </w:style>
  <w:style w:type="paragraph" w:customStyle="1" w:styleId="Footerleft">
    <w:name w:val="Footer left"/>
    <w:basedOn w:val="Normal"/>
    <w:rsid w:val="009F430D"/>
    <w:pPr>
      <w:widowControl w:val="0"/>
      <w:suppressLineNumbers/>
      <w:tabs>
        <w:tab w:val="center" w:pos="5188"/>
        <w:tab w:val="right" w:pos="10376"/>
      </w:tabs>
      <w:suppressAutoHyphens/>
      <w:spacing w:after="120"/>
      <w:ind w:right="-23"/>
    </w:pPr>
    <w:rPr>
      <w:rFonts w:ascii="Arial" w:eastAsia="SimSun" w:hAnsi="Arial" w:cs="Mangal"/>
      <w:color w:val="3F3A38"/>
      <w:spacing w:val="-6"/>
      <w:kern w:val="1"/>
      <w:sz w:val="16"/>
      <w:szCs w:val="24"/>
      <w:lang w:eastAsia="zh-CN" w:bidi="hi-IN"/>
    </w:rPr>
  </w:style>
  <w:style w:type="paragraph" w:customStyle="1" w:styleId="Footerright">
    <w:name w:val="Footer right"/>
    <w:basedOn w:val="Normal"/>
    <w:rsid w:val="009F430D"/>
    <w:pPr>
      <w:widowControl w:val="0"/>
      <w:suppressLineNumbers/>
      <w:tabs>
        <w:tab w:val="center" w:pos="5188"/>
        <w:tab w:val="right" w:pos="10376"/>
      </w:tabs>
      <w:suppressAutoHyphens/>
      <w:spacing w:after="120"/>
      <w:ind w:right="-23"/>
    </w:pPr>
    <w:rPr>
      <w:rFonts w:ascii="Arial" w:eastAsia="SimSun" w:hAnsi="Arial" w:cs="Mangal"/>
      <w:color w:val="3F3A38"/>
      <w:spacing w:val="-6"/>
      <w:kern w:val="1"/>
      <w:sz w:val="16"/>
      <w:szCs w:val="24"/>
      <w:lang w:eastAsia="zh-CN" w:bidi="hi-IN"/>
    </w:rPr>
  </w:style>
  <w:style w:type="paragraph" w:customStyle="1" w:styleId="ECVRelatedDocumentRow">
    <w:name w:val="_ECV_RelatedDocumentRow"/>
    <w:basedOn w:val="ECVBusinessSectorRow"/>
    <w:rsid w:val="009F430D"/>
  </w:style>
  <w:style w:type="paragraph" w:customStyle="1" w:styleId="AEACVBold-heading">
    <w:name w:val="AEACVBold-heading"/>
    <w:basedOn w:val="Normal"/>
    <w:next w:val="Normal"/>
    <w:qFormat/>
    <w:rsid w:val="009F430D"/>
    <w:pPr>
      <w:keepNext/>
      <w:spacing w:after="120"/>
      <w:ind w:right="-23"/>
    </w:pPr>
    <w:rPr>
      <w:rFonts w:ascii="Arial" w:hAnsi="Arial" w:cs="Times New Roman"/>
      <w:b/>
      <w:sz w:val="20"/>
      <w:szCs w:val="24"/>
    </w:rPr>
  </w:style>
  <w:style w:type="paragraph" w:customStyle="1" w:styleId="CVTitle">
    <w:name w:val="CV Title"/>
    <w:basedOn w:val="Normal"/>
    <w:rsid w:val="009F430D"/>
    <w:pPr>
      <w:suppressAutoHyphens/>
      <w:spacing w:after="120"/>
      <w:ind w:left="113" w:right="113"/>
      <w:jc w:val="right"/>
    </w:pPr>
    <w:rPr>
      <w:rFonts w:ascii="Arial Narrow" w:eastAsia="Times New Roman" w:hAnsi="Arial Narrow" w:cs="Arial Narrow"/>
      <w:b/>
      <w:bCs/>
      <w:spacing w:val="10"/>
      <w:sz w:val="28"/>
      <w:szCs w:val="20"/>
      <w:lang w:val="fr-FR" w:eastAsia="zh-CN"/>
    </w:rPr>
  </w:style>
  <w:style w:type="paragraph" w:customStyle="1" w:styleId="CVHeading2">
    <w:name w:val="CV Heading 2"/>
    <w:basedOn w:val="CVHeading1"/>
    <w:next w:val="Normal"/>
    <w:rsid w:val="009F430D"/>
    <w:pPr>
      <w:spacing w:before="0" w:after="120" w:line="276" w:lineRule="auto"/>
    </w:pPr>
    <w:rPr>
      <w:rFonts w:cs="Arial Narrow"/>
      <w:b w:val="0"/>
      <w:sz w:val="22"/>
      <w:lang w:val="en-GB" w:eastAsia="zh-CN"/>
    </w:rPr>
  </w:style>
  <w:style w:type="paragraph" w:customStyle="1" w:styleId="CVHeading2-FirstLine">
    <w:name w:val="CV Heading 2 - First Line"/>
    <w:basedOn w:val="CVHeading2"/>
    <w:next w:val="CVHeading2"/>
    <w:rsid w:val="009F430D"/>
    <w:pPr>
      <w:spacing w:before="74"/>
    </w:pPr>
  </w:style>
  <w:style w:type="paragraph" w:customStyle="1" w:styleId="CVHeading3-FirstLine">
    <w:name w:val="CV Heading 3 - First Line"/>
    <w:basedOn w:val="CVHeading3"/>
    <w:next w:val="CVHeading3"/>
    <w:rsid w:val="009F430D"/>
    <w:pPr>
      <w:widowControl/>
      <w:spacing w:before="74"/>
    </w:pPr>
    <w:rPr>
      <w:rFonts w:ascii="Arial Narrow" w:eastAsia="Times New Roman" w:hAnsi="Arial Narrow" w:cs="Arial Narrow"/>
      <w:color w:val="auto"/>
      <w:spacing w:val="0"/>
      <w:kern w:val="0"/>
      <w:sz w:val="20"/>
      <w:szCs w:val="20"/>
      <w:lang w:bidi="ar-SA"/>
    </w:rPr>
  </w:style>
  <w:style w:type="paragraph" w:customStyle="1" w:styleId="CVHeadingLanguage">
    <w:name w:val="CV Heading Language"/>
    <w:basedOn w:val="CVHeading2"/>
    <w:next w:val="LevelAssessment-Code"/>
    <w:rsid w:val="009F430D"/>
    <w:rPr>
      <w:b/>
    </w:rPr>
  </w:style>
  <w:style w:type="paragraph" w:customStyle="1" w:styleId="LevelAssessment-Code">
    <w:name w:val="Level Assessment - Code"/>
    <w:basedOn w:val="Normal"/>
    <w:next w:val="LevelAssessment-Description"/>
    <w:rsid w:val="009F430D"/>
    <w:pPr>
      <w:suppressAutoHyphens/>
      <w:spacing w:after="120"/>
      <w:ind w:left="28" w:right="-23"/>
      <w:jc w:val="center"/>
    </w:pPr>
    <w:rPr>
      <w:rFonts w:ascii="Arial Narrow" w:eastAsia="Times New Roman" w:hAnsi="Arial Narrow" w:cs="Arial Narrow"/>
      <w:sz w:val="18"/>
      <w:szCs w:val="20"/>
      <w:lang w:eastAsia="zh-CN"/>
    </w:rPr>
  </w:style>
  <w:style w:type="paragraph" w:customStyle="1" w:styleId="LevelAssessment-Description">
    <w:name w:val="Level Assessment - Description"/>
    <w:basedOn w:val="LevelAssessment-Code"/>
    <w:next w:val="LevelAssessment-Code"/>
    <w:rsid w:val="009F430D"/>
    <w:pPr>
      <w:textAlignment w:val="bottom"/>
    </w:pPr>
  </w:style>
  <w:style w:type="paragraph" w:customStyle="1" w:styleId="CVHeadingLevel">
    <w:name w:val="CV Heading Level"/>
    <w:basedOn w:val="CVHeading3"/>
    <w:next w:val="Normal"/>
    <w:rsid w:val="009F430D"/>
    <w:pPr>
      <w:widowControl/>
    </w:pPr>
    <w:rPr>
      <w:rFonts w:ascii="Arial Narrow" w:eastAsia="Times New Roman" w:hAnsi="Arial Narrow" w:cs="Arial Narrow"/>
      <w:i/>
      <w:color w:val="auto"/>
      <w:spacing w:val="0"/>
      <w:kern w:val="0"/>
      <w:sz w:val="20"/>
      <w:szCs w:val="20"/>
      <w:lang w:bidi="ar-SA"/>
    </w:rPr>
  </w:style>
  <w:style w:type="paragraph" w:customStyle="1" w:styleId="LevelAssessment-Heading1">
    <w:name w:val="Level Assessment - Heading 1"/>
    <w:basedOn w:val="LevelAssessment-Code"/>
    <w:rsid w:val="009F430D"/>
    <w:pPr>
      <w:ind w:left="57" w:right="57"/>
    </w:pPr>
    <w:rPr>
      <w:b/>
      <w:sz w:val="22"/>
    </w:rPr>
  </w:style>
  <w:style w:type="paragraph" w:customStyle="1" w:styleId="LevelAssessment-Heading2">
    <w:name w:val="Level Assessment - Heading 2"/>
    <w:basedOn w:val="Normal"/>
    <w:rsid w:val="009F430D"/>
    <w:pPr>
      <w:suppressAutoHyphens/>
      <w:spacing w:after="120"/>
      <w:ind w:left="57" w:right="57"/>
      <w:jc w:val="center"/>
    </w:pPr>
    <w:rPr>
      <w:rFonts w:ascii="Arial Narrow" w:eastAsia="Times New Roman" w:hAnsi="Arial Narrow" w:cs="Arial Narrow"/>
      <w:sz w:val="18"/>
      <w:szCs w:val="20"/>
      <w:lang w:val="en-US" w:eastAsia="zh-CN"/>
    </w:rPr>
  </w:style>
  <w:style w:type="paragraph" w:customStyle="1" w:styleId="LevelAssessment-Note">
    <w:name w:val="Level Assessment - Note"/>
    <w:basedOn w:val="LevelAssessment-Code"/>
    <w:rsid w:val="009F430D"/>
    <w:pPr>
      <w:ind w:left="113"/>
      <w:jc w:val="left"/>
    </w:pPr>
    <w:rPr>
      <w:i/>
    </w:rPr>
  </w:style>
  <w:style w:type="paragraph" w:customStyle="1" w:styleId="CVMajor-FirstLine">
    <w:name w:val="CV Major - First Line"/>
    <w:basedOn w:val="CVMajor"/>
    <w:next w:val="CVMajor"/>
    <w:rsid w:val="009F430D"/>
    <w:pPr>
      <w:widowControl/>
      <w:spacing w:before="74"/>
    </w:pPr>
    <w:rPr>
      <w:rFonts w:ascii="Arial Narrow" w:eastAsia="Times New Roman" w:hAnsi="Arial Narrow" w:cs="Arial Narrow"/>
      <w:color w:val="auto"/>
      <w:spacing w:val="0"/>
      <w:kern w:val="0"/>
      <w:szCs w:val="20"/>
      <w:lang w:bidi="ar-SA"/>
    </w:rPr>
  </w:style>
  <w:style w:type="paragraph" w:customStyle="1" w:styleId="CVFooterLeft">
    <w:name w:val="CV Footer Left"/>
    <w:basedOn w:val="Normal"/>
    <w:rsid w:val="009F430D"/>
    <w:pPr>
      <w:suppressAutoHyphens/>
      <w:spacing w:after="120"/>
      <w:ind w:right="-23" w:firstLine="360"/>
      <w:jc w:val="right"/>
    </w:pPr>
    <w:rPr>
      <w:rFonts w:ascii="Arial Narrow" w:eastAsia="Times New Roman" w:hAnsi="Arial Narrow" w:cs="Arial Narrow"/>
      <w:bCs/>
      <w:sz w:val="16"/>
      <w:szCs w:val="20"/>
      <w:lang w:val="en-US" w:eastAsia="zh-CN"/>
    </w:rPr>
  </w:style>
  <w:style w:type="paragraph" w:customStyle="1" w:styleId="CVFooterRight">
    <w:name w:val="CV Footer Right"/>
    <w:basedOn w:val="Normal"/>
    <w:rsid w:val="009F430D"/>
    <w:pPr>
      <w:suppressAutoHyphens/>
      <w:spacing w:after="120"/>
      <w:ind w:right="-23"/>
    </w:pPr>
    <w:rPr>
      <w:rFonts w:ascii="Arial Narrow" w:eastAsia="Times New Roman" w:hAnsi="Arial Narrow" w:cs="Arial Narrow"/>
      <w:bCs/>
      <w:sz w:val="16"/>
      <w:szCs w:val="20"/>
      <w:lang w:val="de-DE" w:eastAsia="zh-CN"/>
    </w:rPr>
  </w:style>
  <w:style w:type="character" w:customStyle="1" w:styleId="pagetext">
    <w:name w:val="page_text"/>
    <w:basedOn w:val="DefaultParagraphFont"/>
    <w:rsid w:val="009F430D"/>
  </w:style>
  <w:style w:type="paragraph" w:customStyle="1" w:styleId="BodyMargin">
    <w:name w:val="Body Margin"/>
    <w:basedOn w:val="BodyText"/>
    <w:next w:val="BodyText"/>
    <w:link w:val="BodyMarginChar"/>
    <w:uiPriority w:val="1"/>
    <w:rsid w:val="009F430D"/>
    <w:pPr>
      <w:spacing w:before="0" w:after="270" w:line="270" w:lineRule="atLeast"/>
      <w:ind w:right="-23" w:hanging="2268"/>
      <w:jc w:val="both"/>
    </w:pPr>
    <w:rPr>
      <w:rFonts w:ascii="Times New Roman" w:eastAsia="Times New Roman" w:hAnsi="Times New Roman" w:cs="Times New Roman"/>
      <w:sz w:val="23"/>
      <w:szCs w:val="20"/>
      <w:lang w:val="en-GB" w:eastAsia="da-DK"/>
    </w:rPr>
  </w:style>
  <w:style w:type="character" w:customStyle="1" w:styleId="BodyMarginChar">
    <w:name w:val="Body Margin Char"/>
    <w:basedOn w:val="DefaultParagraphFont"/>
    <w:link w:val="BodyMargin"/>
    <w:uiPriority w:val="1"/>
    <w:rsid w:val="009F430D"/>
    <w:rPr>
      <w:rFonts w:ascii="Times New Roman" w:eastAsia="Times New Roman" w:hAnsi="Times New Roman" w:cs="Times New Roman"/>
      <w:sz w:val="23"/>
      <w:szCs w:val="20"/>
      <w:lang w:eastAsia="da-DK"/>
    </w:rPr>
  </w:style>
  <w:style w:type="table" w:customStyle="1" w:styleId="AEATableStyle3">
    <w:name w:val="AEA Table Style3"/>
    <w:basedOn w:val="TableNormal"/>
    <w:uiPriority w:val="99"/>
    <w:qFormat/>
    <w:rsid w:val="009F430D"/>
    <w:pPr>
      <w:spacing w:after="0" w:line="240" w:lineRule="auto"/>
      <w:ind w:left="709"/>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shd w:val="pct15" w:color="auto" w:fill="auto"/>
      </w:tcPr>
    </w:tblStylePr>
  </w:style>
  <w:style w:type="table" w:customStyle="1" w:styleId="Ricardo-AEATableStyle11">
    <w:name w:val="Ricardo-AEA Table Style11"/>
    <w:basedOn w:val="TableNormal"/>
    <w:uiPriority w:val="99"/>
    <w:qFormat/>
    <w:rsid w:val="009F430D"/>
    <w:pPr>
      <w:spacing w:after="0" w:line="240" w:lineRule="auto"/>
      <w:ind w:left="709"/>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Autospacing="0" w:afterLines="0" w:afterAutospacing="0" w:line="240" w:lineRule="auto"/>
        <w:contextualSpacing w:val="0"/>
      </w:pPr>
      <w:rPr>
        <w:rFonts w:ascii="Arial" w:hAnsi="Arial"/>
        <w:b/>
        <w:color w:val="FFFFFF"/>
        <w:sz w:val="20"/>
      </w:rPr>
      <w:tblPr/>
      <w:tcPr>
        <w:shd w:val="clear" w:color="auto" w:fill="008000"/>
        <w:vAlign w:val="center"/>
      </w:tcPr>
    </w:tblStylePr>
    <w:tblStylePr w:type="firstCol">
      <w:rPr>
        <w:rFonts w:ascii="Arial" w:hAnsi="Arial"/>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paragraph" w:customStyle="1" w:styleId="OiaeaeiYiio2">
    <w:name w:val="O?ia eaeiYiio 2"/>
    <w:basedOn w:val="Normal"/>
    <w:rsid w:val="009F430D"/>
    <w:pPr>
      <w:widowControl w:val="0"/>
      <w:spacing w:after="120"/>
      <w:ind w:right="-23"/>
      <w:jc w:val="right"/>
    </w:pPr>
    <w:rPr>
      <w:rFonts w:eastAsia="Times New Roman" w:cs="Times New Roman"/>
      <w:i/>
      <w:sz w:val="16"/>
      <w:szCs w:val="20"/>
    </w:rPr>
  </w:style>
  <w:style w:type="paragraph" w:customStyle="1" w:styleId="AEACV-Bullet">
    <w:name w:val="AEACV-Bullet"/>
    <w:basedOn w:val="Normal"/>
    <w:qFormat/>
    <w:rsid w:val="009F430D"/>
    <w:pPr>
      <w:numPr>
        <w:numId w:val="47"/>
      </w:numPr>
      <w:spacing w:after="120"/>
      <w:ind w:left="720" w:right="-23" w:hanging="357"/>
      <w:contextualSpacing/>
    </w:pPr>
    <w:rPr>
      <w:rFonts w:ascii="Arial" w:hAnsi="Arial" w:cs="Times New Roman"/>
      <w:sz w:val="20"/>
      <w:szCs w:val="24"/>
    </w:rPr>
  </w:style>
  <w:style w:type="paragraph" w:customStyle="1" w:styleId="AEACVHeading3">
    <w:name w:val="AEACVHeading3"/>
    <w:basedOn w:val="Normal"/>
    <w:next w:val="Normal"/>
    <w:rsid w:val="009F430D"/>
    <w:pPr>
      <w:keepNext/>
      <w:spacing w:after="120"/>
      <w:ind w:right="-23"/>
    </w:pPr>
    <w:rPr>
      <w:rFonts w:ascii="Arial" w:hAnsi="Arial" w:cs="Times New Roman"/>
      <w:b/>
      <w:color w:val="FFFFFF"/>
      <w:sz w:val="20"/>
      <w:szCs w:val="24"/>
    </w:rPr>
  </w:style>
  <w:style w:type="paragraph" w:customStyle="1" w:styleId="Eaoaeaa">
    <w:name w:val="Eaoae?aa"/>
    <w:basedOn w:val="Normal"/>
    <w:rsid w:val="009F430D"/>
    <w:pPr>
      <w:widowControl w:val="0"/>
      <w:tabs>
        <w:tab w:val="center" w:pos="4153"/>
        <w:tab w:val="right" w:pos="8306"/>
      </w:tabs>
      <w:spacing w:after="120"/>
      <w:ind w:right="-23"/>
    </w:pPr>
    <w:rPr>
      <w:rFonts w:eastAsia="Times New Roman" w:cs="Times New Roman"/>
      <w:sz w:val="20"/>
      <w:szCs w:val="20"/>
    </w:rPr>
  </w:style>
  <w:style w:type="paragraph" w:customStyle="1" w:styleId="Style1">
    <w:name w:val="Style1"/>
    <w:basedOn w:val="ECHeading4"/>
    <w:link w:val="Style1Char"/>
    <w:qFormat/>
    <w:rsid w:val="009F430D"/>
    <w:pPr>
      <w:ind w:left="864" w:hanging="864"/>
    </w:pPr>
    <w:rPr>
      <w:color w:val="0070C0"/>
    </w:rPr>
  </w:style>
  <w:style w:type="paragraph" w:customStyle="1" w:styleId="Style4">
    <w:name w:val="Style4"/>
    <w:basedOn w:val="ECHeading4"/>
    <w:link w:val="Style4Char"/>
    <w:qFormat/>
    <w:rsid w:val="009F430D"/>
    <w:pPr>
      <w:numPr>
        <w:ilvl w:val="3"/>
        <w:numId w:val="41"/>
      </w:numPr>
      <w:tabs>
        <w:tab w:val="clear" w:pos="2880"/>
      </w:tabs>
    </w:pPr>
  </w:style>
  <w:style w:type="character" w:customStyle="1" w:styleId="Style1Char">
    <w:name w:val="Style1 Char"/>
    <w:basedOn w:val="ECHeading4Char"/>
    <w:link w:val="Style1"/>
    <w:rsid w:val="009F430D"/>
    <w:rPr>
      <w:rFonts w:ascii="Arial" w:eastAsia="Times New Roman" w:hAnsi="Arial" w:cs="Times New Roman"/>
      <w:b/>
      <w:bCs w:val="0"/>
      <w:i/>
      <w:color w:val="0070C0"/>
      <w:sz w:val="20"/>
      <w:szCs w:val="20"/>
      <w:lang w:eastAsia="en-GB"/>
    </w:rPr>
  </w:style>
  <w:style w:type="table" w:customStyle="1" w:styleId="GridTable4-Accent511">
    <w:name w:val="Grid Table 4 - Accent 511"/>
    <w:basedOn w:val="TableNormal"/>
    <w:uiPriority w:val="49"/>
    <w:rsid w:val="009F430D"/>
    <w:pPr>
      <w:spacing w:after="0" w:line="240" w:lineRule="auto"/>
      <w:ind w:left="709"/>
    </w:pPr>
    <w:rPr>
      <w:sz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Style4Char">
    <w:name w:val="Style4 Char"/>
    <w:basedOn w:val="ECHeading4Char"/>
    <w:link w:val="Style4"/>
    <w:rsid w:val="009F430D"/>
    <w:rPr>
      <w:rFonts w:ascii="Arial" w:eastAsia="Times New Roman" w:hAnsi="Arial" w:cs="Times New Roman"/>
      <w:b/>
      <w:bCs w:val="0"/>
      <w:i/>
      <w:color w:val="006BB7"/>
      <w:sz w:val="20"/>
      <w:szCs w:val="20"/>
      <w:lang w:eastAsia="en-GB"/>
    </w:rPr>
  </w:style>
  <w:style w:type="paragraph" w:customStyle="1" w:styleId="europass5fbulleted5flist">
    <w:name w:val="europass_5f_bulleted_5f_list"/>
    <w:basedOn w:val="Normal"/>
    <w:rsid w:val="009F430D"/>
    <w:pPr>
      <w:widowControl w:val="0"/>
      <w:suppressLineNumbers/>
      <w:suppressAutoHyphens/>
      <w:autoSpaceDE w:val="0"/>
      <w:spacing w:before="28" w:after="56" w:line="100" w:lineRule="atLeast"/>
      <w:ind w:right="-23"/>
    </w:pPr>
    <w:rPr>
      <w:rFonts w:ascii="Arial" w:eastAsia="SimSun" w:hAnsi="Arial" w:cs="Mangal"/>
      <w:color w:val="3F3A38"/>
      <w:spacing w:val="-6"/>
      <w:kern w:val="1"/>
      <w:sz w:val="18"/>
      <w:szCs w:val="24"/>
      <w:lang w:eastAsia="zh-CN" w:bidi="hi-IN"/>
    </w:rPr>
  </w:style>
  <w:style w:type="paragraph" w:customStyle="1" w:styleId="EuropassSectionDetails">
    <w:name w:val="Europass_SectionDetails"/>
    <w:basedOn w:val="Normal"/>
    <w:rsid w:val="009F430D"/>
    <w:pPr>
      <w:widowControl w:val="0"/>
      <w:suppressLineNumbers/>
      <w:suppressAutoHyphens/>
      <w:autoSpaceDE w:val="0"/>
      <w:spacing w:before="28" w:after="56" w:line="100" w:lineRule="atLeast"/>
      <w:ind w:right="-23"/>
    </w:pPr>
    <w:rPr>
      <w:rFonts w:ascii="Arial" w:eastAsia="SimSun" w:hAnsi="Arial" w:cs="Mangal"/>
      <w:color w:val="3F3A38"/>
      <w:spacing w:val="-6"/>
      <w:kern w:val="1"/>
      <w:sz w:val="18"/>
      <w:szCs w:val="24"/>
      <w:lang w:eastAsia="zh-CN" w:bidi="hi-IN"/>
    </w:rPr>
  </w:style>
  <w:style w:type="numbering" w:customStyle="1" w:styleId="ECVCVBullets">
    <w:name w:val="_ECV_CV_Bullets"/>
    <w:basedOn w:val="NoList"/>
    <w:rsid w:val="009F430D"/>
  </w:style>
  <w:style w:type="paragraph" w:customStyle="1" w:styleId="AFWBody">
    <w:name w:val="AFW Body"/>
    <w:aliases w:val="Body"/>
    <w:uiPriority w:val="99"/>
    <w:qFormat/>
    <w:rsid w:val="009F430D"/>
    <w:pPr>
      <w:spacing w:after="160" w:line="240" w:lineRule="atLeast"/>
      <w:ind w:left="709"/>
    </w:pPr>
    <w:rPr>
      <w:rFonts w:ascii="Arial" w:hAnsi="Arial"/>
      <w:color w:val="000000"/>
      <w:sz w:val="20"/>
    </w:rPr>
  </w:style>
  <w:style w:type="character" w:customStyle="1" w:styleId="xbe">
    <w:name w:val="_xbe"/>
    <w:basedOn w:val="DefaultParagraphFont"/>
    <w:rsid w:val="009F430D"/>
  </w:style>
  <w:style w:type="character" w:customStyle="1" w:styleId="DefaultZchn">
    <w:name w:val="Default Zchn"/>
    <w:basedOn w:val="DefaultParagraphFont"/>
    <w:link w:val="Default"/>
    <w:rsid w:val="009F430D"/>
    <w:rPr>
      <w:rFonts w:ascii="EUAlbertina" w:hAnsi="EUAlbertina" w:cs="EUAlbertina"/>
      <w:color w:val="000000"/>
      <w:sz w:val="24"/>
      <w:szCs w:val="24"/>
    </w:rPr>
  </w:style>
  <w:style w:type="table" w:customStyle="1" w:styleId="TableGrid21">
    <w:name w:val="Table Grid21"/>
    <w:basedOn w:val="TableNormal"/>
    <w:next w:val="TableGrid"/>
    <w:uiPriority w:val="39"/>
    <w:rsid w:val="009F430D"/>
    <w:pPr>
      <w:spacing w:after="0" w:line="240" w:lineRule="auto"/>
      <w:ind w:left="709"/>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9F430D"/>
  </w:style>
  <w:style w:type="table" w:customStyle="1" w:styleId="Tabellengitternetz1">
    <w:name w:val="Tabellengitternetz1"/>
    <w:basedOn w:val="TableNormal"/>
    <w:next w:val="TableGrid"/>
    <w:uiPriority w:val="59"/>
    <w:rsid w:val="009F430D"/>
    <w:pPr>
      <w:spacing w:after="0" w:line="240" w:lineRule="auto"/>
      <w:ind w:left="709"/>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9F430D"/>
  </w:style>
  <w:style w:type="table" w:customStyle="1" w:styleId="Tabellengitternetz2">
    <w:name w:val="Tabellengitternetz2"/>
    <w:basedOn w:val="TableNormal"/>
    <w:next w:val="TableGrid"/>
    <w:uiPriority w:val="59"/>
    <w:rsid w:val="009F430D"/>
    <w:pPr>
      <w:spacing w:after="0" w:line="240" w:lineRule="auto"/>
      <w:ind w:left="709"/>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9F430D"/>
    <w:pPr>
      <w:spacing w:after="0" w:line="240" w:lineRule="auto"/>
      <w:ind w:left="709"/>
    </w:pPr>
    <w:rPr>
      <w:rFonts w:ascii="Calibri" w:eastAsia="Calibri" w:hAnsi="Calibri"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icardo-AEATableStyle2">
    <w:name w:val="Ricardo-AEA Table Style2"/>
    <w:basedOn w:val="TableNormal"/>
    <w:uiPriority w:val="99"/>
    <w:qFormat/>
    <w:rsid w:val="009F430D"/>
    <w:pPr>
      <w:spacing w:after="0" w:line="240" w:lineRule="auto"/>
      <w:ind w:left="709"/>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Autospacing="0" w:afterLines="0" w:afterAutospacing="0" w:line="240" w:lineRule="auto"/>
        <w:contextualSpacing w:val="0"/>
      </w:pPr>
      <w:rPr>
        <w:rFonts w:ascii="Arial" w:hAnsi="Arial"/>
        <w:b/>
        <w:color w:val="FFFFFF"/>
        <w:sz w:val="20"/>
      </w:rPr>
      <w:tblPr/>
      <w:tcPr>
        <w:shd w:val="clear" w:color="auto" w:fill="008000"/>
        <w:vAlign w:val="center"/>
      </w:tcPr>
    </w:tblStylePr>
    <w:tblStylePr w:type="firstCol">
      <w:rPr>
        <w:rFonts w:ascii="Arial" w:hAnsi="Arial"/>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numbering" w:customStyle="1" w:styleId="NoList3">
    <w:name w:val="No List3"/>
    <w:next w:val="NoList"/>
    <w:uiPriority w:val="99"/>
    <w:semiHidden/>
    <w:unhideWhenUsed/>
    <w:rsid w:val="009F430D"/>
  </w:style>
  <w:style w:type="table" w:customStyle="1" w:styleId="TableGrid41">
    <w:name w:val="Table Grid41"/>
    <w:basedOn w:val="TableNormal"/>
    <w:next w:val="TableGrid"/>
    <w:uiPriority w:val="39"/>
    <w:rsid w:val="009F430D"/>
    <w:pPr>
      <w:spacing w:after="0" w:line="240" w:lineRule="auto"/>
      <w:ind w:left="709"/>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ighlightbox1">
    <w:name w:val="Highlight box1"/>
    <w:basedOn w:val="TableNormal"/>
    <w:uiPriority w:val="99"/>
    <w:rsid w:val="009F430D"/>
    <w:pPr>
      <w:spacing w:before="120" w:after="120" w:line="240" w:lineRule="auto"/>
      <w:ind w:left="851" w:hanging="851"/>
      <w:jc w:val="both"/>
    </w:pPr>
    <w:rPr>
      <w:rFonts w:ascii="Arial" w:eastAsia="Times New Roman" w:hAnsi="Arial" w:cs="Times New Roman"/>
      <w:sz w:val="20"/>
      <w:szCs w:val="20"/>
      <w:lang w:eastAsia="en-GB"/>
    </w:rPr>
    <w:tblPr/>
    <w:tblStylePr w:type="firstRow">
      <w:tblPr/>
      <w:tcPr>
        <w:tcBorders>
          <w:top w:val="single" w:sz="4" w:space="0" w:color="0070C0"/>
          <w:left w:val="nil"/>
          <w:bottom w:val="single" w:sz="4" w:space="0" w:color="0070C0"/>
          <w:right w:val="nil"/>
          <w:insideH w:val="nil"/>
          <w:insideV w:val="nil"/>
        </w:tcBorders>
        <w:shd w:val="clear" w:color="auto" w:fill="E2ECF2"/>
      </w:tcPr>
    </w:tblStylePr>
  </w:style>
  <w:style w:type="table" w:customStyle="1" w:styleId="Ricardo-AEATableStyle3">
    <w:name w:val="Ricardo-AEA Table Style3"/>
    <w:basedOn w:val="TableNormal"/>
    <w:uiPriority w:val="99"/>
    <w:qFormat/>
    <w:rsid w:val="009F430D"/>
    <w:pPr>
      <w:spacing w:after="0" w:line="240" w:lineRule="auto"/>
      <w:ind w:left="709"/>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Autospacing="0" w:afterLines="0" w:afterAutospacing="0" w:line="240" w:lineRule="auto"/>
        <w:contextualSpacing w:val="0"/>
      </w:pPr>
      <w:rPr>
        <w:rFonts w:ascii="Arial" w:hAnsi="Arial"/>
        <w:b/>
        <w:color w:val="FFFFFF"/>
        <w:sz w:val="20"/>
      </w:rPr>
      <w:tblPr/>
      <w:tcPr>
        <w:shd w:val="clear" w:color="auto" w:fill="008000"/>
        <w:vAlign w:val="center"/>
      </w:tcPr>
    </w:tblStylePr>
    <w:tblStylePr w:type="firstCol">
      <w:rPr>
        <w:rFonts w:ascii="Arial" w:hAnsi="Arial"/>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AEATableStyle4">
    <w:name w:val="AEA Table Style4"/>
    <w:basedOn w:val="TableNormal"/>
    <w:uiPriority w:val="99"/>
    <w:qFormat/>
    <w:rsid w:val="009F430D"/>
    <w:pPr>
      <w:spacing w:after="0" w:line="240" w:lineRule="auto"/>
      <w:ind w:left="709"/>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rPr>
        <w:rFonts w:ascii="Arial" w:hAnsi="Arial" w:cs="Arial"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AEATableStyle12">
    <w:name w:val="AEA Table Style12"/>
    <w:basedOn w:val="TableNormal"/>
    <w:uiPriority w:val="99"/>
    <w:qFormat/>
    <w:rsid w:val="009F430D"/>
    <w:pPr>
      <w:spacing w:after="0" w:line="240" w:lineRule="auto"/>
      <w:ind w:left="709"/>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shd w:val="pct15" w:color="auto" w:fill="auto"/>
      </w:tcPr>
    </w:tblStylePr>
  </w:style>
  <w:style w:type="table" w:customStyle="1" w:styleId="Ricardo-AEATableStyle12">
    <w:name w:val="Ricardo-AEA Table Style12"/>
    <w:basedOn w:val="TableNormal"/>
    <w:uiPriority w:val="99"/>
    <w:qFormat/>
    <w:rsid w:val="009F430D"/>
    <w:pPr>
      <w:spacing w:after="0" w:line="240" w:lineRule="auto"/>
      <w:ind w:left="709"/>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Autospacing="0" w:afterLines="0" w:afterAutospacing="0" w:line="240" w:lineRule="auto"/>
        <w:contextualSpacing w:val="0"/>
      </w:pPr>
      <w:rPr>
        <w:rFonts w:ascii="Arial" w:hAnsi="Arial"/>
        <w:b/>
        <w:color w:val="FFFFFF"/>
        <w:sz w:val="20"/>
      </w:rPr>
      <w:tblPr/>
      <w:tcPr>
        <w:shd w:val="clear" w:color="auto" w:fill="008000"/>
        <w:vAlign w:val="center"/>
      </w:tcPr>
    </w:tblStylePr>
    <w:tblStylePr w:type="firstCol">
      <w:rPr>
        <w:rFonts w:ascii="Arial" w:hAnsi="Arial"/>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AEATableStyle111">
    <w:name w:val="AEA Table Style111"/>
    <w:basedOn w:val="TableNormal"/>
    <w:uiPriority w:val="99"/>
    <w:qFormat/>
    <w:rsid w:val="009F430D"/>
    <w:pPr>
      <w:spacing w:after="0" w:line="240" w:lineRule="auto"/>
      <w:ind w:left="709"/>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shd w:val="pct15" w:color="auto" w:fill="auto"/>
      </w:tcPr>
    </w:tblStylePr>
  </w:style>
  <w:style w:type="table" w:customStyle="1" w:styleId="AEATableStyle8111">
    <w:name w:val="AEA Table Style8111"/>
    <w:basedOn w:val="TableNormal"/>
    <w:uiPriority w:val="99"/>
    <w:qFormat/>
    <w:rsid w:val="009F430D"/>
    <w:pPr>
      <w:spacing w:before="20" w:after="20" w:line="240" w:lineRule="auto"/>
      <w:ind w:left="709"/>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rPr>
        <w:rFonts w:ascii="Arial" w:hAnsi="Arial" w:cs="Arial"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AEATableStyle8121">
    <w:name w:val="AEA Table Style8121"/>
    <w:basedOn w:val="TableNormal"/>
    <w:uiPriority w:val="99"/>
    <w:qFormat/>
    <w:rsid w:val="009F430D"/>
    <w:pPr>
      <w:spacing w:before="20" w:after="20" w:line="240" w:lineRule="auto"/>
      <w:ind w:left="709"/>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rPr>
        <w:rFonts w:ascii="Arial" w:hAnsi="Arial" w:cs="Arial"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AEATableStyle813">
    <w:name w:val="AEA Table Style813"/>
    <w:basedOn w:val="TableNormal"/>
    <w:uiPriority w:val="99"/>
    <w:qFormat/>
    <w:rsid w:val="009F430D"/>
    <w:pPr>
      <w:spacing w:before="20" w:after="20" w:line="240" w:lineRule="auto"/>
      <w:ind w:left="709"/>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rPr>
        <w:rFonts w:ascii="Arial" w:hAnsi="Arial" w:cs="Arial"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AEATableStyle21">
    <w:name w:val="AEA Table Style21"/>
    <w:basedOn w:val="TableNormal"/>
    <w:uiPriority w:val="99"/>
    <w:qFormat/>
    <w:rsid w:val="009F430D"/>
    <w:pPr>
      <w:spacing w:after="0" w:line="240" w:lineRule="auto"/>
      <w:ind w:left="709"/>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shd w:val="pct15" w:color="auto" w:fill="auto"/>
      </w:tcPr>
    </w:tblStylePr>
  </w:style>
  <w:style w:type="table" w:customStyle="1" w:styleId="GridTable4-Accent611">
    <w:name w:val="Grid Table 4 - Accent 611"/>
    <w:basedOn w:val="TableNormal"/>
    <w:uiPriority w:val="49"/>
    <w:rsid w:val="009F430D"/>
    <w:pPr>
      <w:spacing w:after="0" w:line="240" w:lineRule="auto"/>
      <w:ind w:left="709"/>
    </w:pPr>
    <w:rPr>
      <w:sz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311">
    <w:name w:val="Grid Table 4 - Accent 311"/>
    <w:basedOn w:val="TableNormal"/>
    <w:uiPriority w:val="49"/>
    <w:rsid w:val="009F430D"/>
    <w:pPr>
      <w:spacing w:after="0" w:line="240" w:lineRule="auto"/>
      <w:ind w:left="709"/>
    </w:pPr>
    <w:rPr>
      <w:rFonts w:ascii="Arial" w:eastAsia="Times New Roman" w:hAnsi="Arial" w:cs="Times New Roman"/>
      <w:sz w:val="20"/>
      <w:szCs w:val="20"/>
      <w:lang w:eastAsia="en-G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AEATableStyle31">
    <w:name w:val="AEA Table Style31"/>
    <w:basedOn w:val="TableNormal"/>
    <w:uiPriority w:val="99"/>
    <w:qFormat/>
    <w:rsid w:val="009F430D"/>
    <w:pPr>
      <w:spacing w:after="0" w:line="240" w:lineRule="auto"/>
      <w:ind w:left="709"/>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shd w:val="pct15" w:color="auto" w:fill="auto"/>
      </w:tcPr>
    </w:tblStylePr>
  </w:style>
  <w:style w:type="table" w:customStyle="1" w:styleId="Ricardo-AEATableStyle111">
    <w:name w:val="Ricardo-AEA Table Style111"/>
    <w:basedOn w:val="TableNormal"/>
    <w:uiPriority w:val="99"/>
    <w:qFormat/>
    <w:rsid w:val="009F430D"/>
    <w:pPr>
      <w:spacing w:after="0" w:line="240" w:lineRule="auto"/>
      <w:ind w:left="709"/>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Autospacing="0" w:afterLines="0" w:afterAutospacing="0" w:line="240" w:lineRule="auto"/>
        <w:contextualSpacing w:val="0"/>
      </w:pPr>
      <w:rPr>
        <w:rFonts w:ascii="Arial" w:hAnsi="Arial"/>
        <w:b/>
        <w:color w:val="FFFFFF"/>
        <w:sz w:val="20"/>
      </w:rPr>
      <w:tblPr/>
      <w:tcPr>
        <w:shd w:val="clear" w:color="auto" w:fill="008000"/>
        <w:vAlign w:val="center"/>
      </w:tcPr>
    </w:tblStylePr>
    <w:tblStylePr w:type="firstCol">
      <w:rPr>
        <w:rFonts w:ascii="Arial" w:hAnsi="Arial"/>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TableGrid10">
    <w:name w:val="TableGrid1"/>
    <w:rsid w:val="009F430D"/>
    <w:pPr>
      <w:spacing w:after="0" w:line="240" w:lineRule="auto"/>
      <w:ind w:left="709"/>
    </w:pPr>
    <w:rPr>
      <w:rFonts w:ascii="Calibri" w:eastAsia="Times New Roman" w:hAnsi="Calibri" w:cs="Times New Roman"/>
      <w:sz w:val="20"/>
      <w:lang w:eastAsia="en-GB"/>
    </w:rPr>
    <w:tblPr>
      <w:tblCellMar>
        <w:top w:w="0" w:type="dxa"/>
        <w:left w:w="0" w:type="dxa"/>
        <w:bottom w:w="0" w:type="dxa"/>
        <w:right w:w="0" w:type="dxa"/>
      </w:tblCellMar>
    </w:tblPr>
  </w:style>
  <w:style w:type="table" w:customStyle="1" w:styleId="GridTable4-Accent510">
    <w:name w:val="Grid Table 4 - Accent 510"/>
    <w:basedOn w:val="TableNormal"/>
    <w:next w:val="GridTable4-Accent51"/>
    <w:uiPriority w:val="49"/>
    <w:rsid w:val="009F430D"/>
    <w:pPr>
      <w:spacing w:after="0" w:line="240" w:lineRule="auto"/>
      <w:ind w:left="709"/>
    </w:pPr>
    <w:rPr>
      <w:sz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Ricardo-AEATableStyle4">
    <w:name w:val="Ricardo-AEA Table Style4"/>
    <w:basedOn w:val="TableNormal"/>
    <w:uiPriority w:val="99"/>
    <w:qFormat/>
    <w:rsid w:val="009F430D"/>
    <w:pPr>
      <w:spacing w:after="0" w:line="240" w:lineRule="auto"/>
      <w:ind w:left="709"/>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Autospacing="0" w:afterLines="0" w:afterAutospacing="0" w:line="240" w:lineRule="auto"/>
        <w:contextualSpacing w:val="0"/>
      </w:pPr>
      <w:rPr>
        <w:rFonts w:ascii="Arial" w:hAnsi="Arial"/>
        <w:b/>
        <w:color w:val="FFFFFF"/>
        <w:sz w:val="20"/>
      </w:rPr>
      <w:tblPr/>
      <w:tcPr>
        <w:shd w:val="clear" w:color="auto" w:fill="008000"/>
        <w:vAlign w:val="center"/>
      </w:tcPr>
    </w:tblStylePr>
    <w:tblStylePr w:type="firstCol">
      <w:rPr>
        <w:rFonts w:ascii="Arial" w:hAnsi="Arial"/>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GridTable4-Accent112">
    <w:name w:val="Grid Table 4 - Accent 112"/>
    <w:basedOn w:val="TableNormal"/>
    <w:uiPriority w:val="49"/>
    <w:rsid w:val="009F430D"/>
    <w:pPr>
      <w:spacing w:after="0" w:line="240" w:lineRule="auto"/>
      <w:ind w:left="709"/>
    </w:pPr>
    <w:rPr>
      <w:rFonts w:ascii="Arial" w:eastAsia="Times New Roman" w:hAnsi="Arial" w:cs="Times New Roman"/>
      <w:sz w:val="20"/>
      <w:szCs w:val="20"/>
      <w:lang w:eastAsia="en-GB"/>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Formatvorlage1">
    <w:name w:val="Formatvorlage1"/>
    <w:basedOn w:val="Heading3"/>
    <w:qFormat/>
    <w:rsid w:val="009F430D"/>
    <w:pPr>
      <w:tabs>
        <w:tab w:val="clear" w:pos="1920"/>
      </w:tabs>
      <w:spacing w:after="120" w:line="276" w:lineRule="auto"/>
      <w:ind w:left="720" w:right="-23"/>
    </w:pPr>
    <w:rPr>
      <w:rFonts w:ascii="Arial" w:hAnsi="Arial" w:cs="Arial"/>
      <w:bCs/>
      <w:i w:val="0"/>
      <w:color w:val="006BB7"/>
      <w:szCs w:val="26"/>
    </w:rPr>
  </w:style>
  <w:style w:type="table" w:customStyle="1" w:styleId="Mainbidtables21">
    <w:name w:val="Main bid tables21"/>
    <w:basedOn w:val="TableNormal"/>
    <w:uiPriority w:val="99"/>
    <w:rsid w:val="009F430D"/>
    <w:pPr>
      <w:spacing w:before="60" w:after="0" w:line="240" w:lineRule="auto"/>
      <w:ind w:left="709"/>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table" w:customStyle="1" w:styleId="GridTable4-Accent5111">
    <w:name w:val="Grid Table 4 - Accent 5111"/>
    <w:basedOn w:val="TableNormal"/>
    <w:uiPriority w:val="49"/>
    <w:rsid w:val="009F430D"/>
    <w:pPr>
      <w:spacing w:after="0" w:line="240" w:lineRule="auto"/>
      <w:ind w:left="709"/>
    </w:pPr>
    <w:rPr>
      <w:rFonts w:ascii="Calibri" w:eastAsia="Calibri" w:hAnsi="Calibri" w:cs="Times New Roman"/>
      <w:sz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111">
    <w:name w:val="Grid Table 4 - Accent 1111"/>
    <w:basedOn w:val="TableNormal"/>
    <w:uiPriority w:val="49"/>
    <w:rsid w:val="009F430D"/>
    <w:pPr>
      <w:spacing w:after="0" w:line="240" w:lineRule="auto"/>
      <w:ind w:left="709"/>
    </w:pPr>
    <w:rPr>
      <w:rFonts w:ascii="Arial" w:eastAsia="Times New Roman" w:hAnsi="Arial" w:cs="Times New Roman"/>
      <w:sz w:val="20"/>
      <w:szCs w:val="20"/>
      <w:lang w:eastAsia="en-GB"/>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3">
    <w:name w:val="Grid Table 4 - Accent 13"/>
    <w:basedOn w:val="TableNormal"/>
    <w:next w:val="GridTable4-Accent1"/>
    <w:uiPriority w:val="49"/>
    <w:rsid w:val="009F430D"/>
    <w:pPr>
      <w:spacing w:after="0" w:line="240" w:lineRule="auto"/>
      <w:ind w:left="709"/>
    </w:pPr>
    <w:rPr>
      <w:rFonts w:ascii="Arial" w:eastAsia="Times New Roman" w:hAnsi="Arial" w:cs="Times New Roman"/>
      <w:sz w:val="20"/>
      <w:szCs w:val="20"/>
      <w:lang w:eastAsia="en-GB"/>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UnresolvedMention1">
    <w:name w:val="Unresolved Mention1"/>
    <w:basedOn w:val="DefaultParagraphFont"/>
    <w:uiPriority w:val="99"/>
    <w:semiHidden/>
    <w:unhideWhenUsed/>
    <w:rsid w:val="009F430D"/>
    <w:rPr>
      <w:color w:val="808080"/>
      <w:shd w:val="clear" w:color="auto" w:fill="E6E6E6"/>
    </w:rPr>
  </w:style>
  <w:style w:type="table" w:customStyle="1" w:styleId="GridTable4-Accent52">
    <w:name w:val="Grid Table 4 - Accent 52"/>
    <w:basedOn w:val="TableNormal"/>
    <w:next w:val="GridTable4-Accent5"/>
    <w:uiPriority w:val="49"/>
    <w:rsid w:val="009F430D"/>
    <w:pPr>
      <w:spacing w:after="0" w:line="240" w:lineRule="auto"/>
      <w:ind w:left="709"/>
    </w:pPr>
    <w:rPr>
      <w:rFonts w:ascii="Arial" w:eastAsia="Times New Roman" w:hAnsi="Arial" w:cs="Times New Roman"/>
      <w:sz w:val="20"/>
      <w:szCs w:val="20"/>
      <w:lang w:eastAsia="en-GB"/>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UnresolvedMention2">
    <w:name w:val="Unresolved Mention2"/>
    <w:basedOn w:val="DefaultParagraphFont"/>
    <w:uiPriority w:val="99"/>
    <w:semiHidden/>
    <w:unhideWhenUsed/>
    <w:rsid w:val="009F430D"/>
    <w:rPr>
      <w:color w:val="808080"/>
      <w:shd w:val="clear" w:color="auto" w:fill="E6E6E6"/>
    </w:rPr>
  </w:style>
  <w:style w:type="paragraph" w:customStyle="1" w:styleId="CM1">
    <w:name w:val="CM1"/>
    <w:basedOn w:val="Default"/>
    <w:next w:val="Default"/>
    <w:uiPriority w:val="99"/>
    <w:rsid w:val="009F430D"/>
    <w:pPr>
      <w:ind w:left="709" w:hanging="360"/>
    </w:pPr>
    <w:rPr>
      <w:rFonts w:ascii="Times New Roman" w:eastAsia="Times New Roman" w:hAnsi="Times New Roman" w:cs="Times New Roman"/>
      <w:color w:val="auto"/>
      <w:lang w:eastAsia="en-GB"/>
    </w:rPr>
  </w:style>
  <w:style w:type="paragraph" w:customStyle="1" w:styleId="CM3">
    <w:name w:val="CM3"/>
    <w:basedOn w:val="Default"/>
    <w:next w:val="Default"/>
    <w:uiPriority w:val="99"/>
    <w:rsid w:val="009F430D"/>
    <w:pPr>
      <w:ind w:left="709" w:hanging="360"/>
    </w:pPr>
    <w:rPr>
      <w:rFonts w:ascii="Times New Roman" w:eastAsia="Times New Roman" w:hAnsi="Times New Roman" w:cs="Times New Roman"/>
      <w:color w:val="auto"/>
      <w:lang w:eastAsia="en-GB"/>
    </w:rPr>
  </w:style>
  <w:style w:type="paragraph" w:customStyle="1" w:styleId="CM4">
    <w:name w:val="CM4"/>
    <w:basedOn w:val="Default"/>
    <w:next w:val="Default"/>
    <w:uiPriority w:val="99"/>
    <w:rsid w:val="009F430D"/>
    <w:pPr>
      <w:ind w:left="709" w:hanging="360"/>
    </w:pPr>
    <w:rPr>
      <w:rFonts w:ascii="Times New Roman" w:eastAsia="Times New Roman" w:hAnsi="Times New Roman" w:cs="Times New Roman"/>
      <w:color w:val="auto"/>
      <w:lang w:eastAsia="en-GB"/>
    </w:rPr>
  </w:style>
  <w:style w:type="character" w:customStyle="1" w:styleId="UnresolvedMention3">
    <w:name w:val="Unresolved Mention3"/>
    <w:basedOn w:val="DefaultParagraphFont"/>
    <w:uiPriority w:val="99"/>
    <w:semiHidden/>
    <w:unhideWhenUsed/>
    <w:rsid w:val="009F430D"/>
    <w:rPr>
      <w:color w:val="808080"/>
      <w:shd w:val="clear" w:color="auto" w:fill="E6E6E6"/>
    </w:rPr>
  </w:style>
  <w:style w:type="character" w:customStyle="1" w:styleId="UnresolvedMention4">
    <w:name w:val="Unresolved Mention4"/>
    <w:basedOn w:val="DefaultParagraphFont"/>
    <w:uiPriority w:val="99"/>
    <w:semiHidden/>
    <w:unhideWhenUsed/>
    <w:rsid w:val="009F430D"/>
    <w:rPr>
      <w:color w:val="808080"/>
      <w:shd w:val="clear" w:color="auto" w:fill="E6E6E6"/>
    </w:rPr>
  </w:style>
  <w:style w:type="character" w:customStyle="1" w:styleId="UnresolvedMention5">
    <w:name w:val="Unresolved Mention5"/>
    <w:basedOn w:val="DefaultParagraphFont"/>
    <w:uiPriority w:val="99"/>
    <w:semiHidden/>
    <w:unhideWhenUsed/>
    <w:rsid w:val="009F430D"/>
    <w:rPr>
      <w:color w:val="808080"/>
      <w:shd w:val="clear" w:color="auto" w:fill="E6E6E6"/>
    </w:rPr>
  </w:style>
  <w:style w:type="character" w:customStyle="1" w:styleId="UnresolvedMention6">
    <w:name w:val="Unresolved Mention6"/>
    <w:basedOn w:val="DefaultParagraphFont"/>
    <w:uiPriority w:val="99"/>
    <w:semiHidden/>
    <w:unhideWhenUsed/>
    <w:rsid w:val="009F430D"/>
    <w:rPr>
      <w:color w:val="808080"/>
      <w:shd w:val="clear" w:color="auto" w:fill="E6E6E6"/>
    </w:rPr>
  </w:style>
  <w:style w:type="character" w:customStyle="1" w:styleId="UnresolvedMention7">
    <w:name w:val="Unresolved Mention7"/>
    <w:basedOn w:val="DefaultParagraphFont"/>
    <w:uiPriority w:val="99"/>
    <w:semiHidden/>
    <w:unhideWhenUsed/>
    <w:rsid w:val="009F430D"/>
    <w:rPr>
      <w:color w:val="808080"/>
      <w:shd w:val="clear" w:color="auto" w:fill="E6E6E6"/>
    </w:rPr>
  </w:style>
  <w:style w:type="character" w:customStyle="1" w:styleId="UnresolvedMention8">
    <w:name w:val="Unresolved Mention8"/>
    <w:basedOn w:val="DefaultParagraphFont"/>
    <w:uiPriority w:val="99"/>
    <w:semiHidden/>
    <w:unhideWhenUsed/>
    <w:rsid w:val="009F430D"/>
    <w:rPr>
      <w:color w:val="808080"/>
      <w:shd w:val="clear" w:color="auto" w:fill="E6E6E6"/>
    </w:rPr>
  </w:style>
  <w:style w:type="character" w:customStyle="1" w:styleId="UnresolvedMention12">
    <w:name w:val="Unresolved Mention12"/>
    <w:basedOn w:val="DefaultParagraphFont"/>
    <w:uiPriority w:val="99"/>
    <w:semiHidden/>
    <w:unhideWhenUsed/>
    <w:rsid w:val="009F430D"/>
    <w:rPr>
      <w:color w:val="808080"/>
      <w:shd w:val="clear" w:color="auto" w:fill="E6E6E6"/>
    </w:rPr>
  </w:style>
  <w:style w:type="character" w:customStyle="1" w:styleId="UnresolvedMention9">
    <w:name w:val="Unresolved Mention9"/>
    <w:basedOn w:val="DefaultParagraphFont"/>
    <w:uiPriority w:val="99"/>
    <w:semiHidden/>
    <w:unhideWhenUsed/>
    <w:rsid w:val="009F430D"/>
    <w:rPr>
      <w:color w:val="808080"/>
      <w:shd w:val="clear" w:color="auto" w:fill="E6E6E6"/>
    </w:rPr>
  </w:style>
  <w:style w:type="character" w:customStyle="1" w:styleId="UnresolvedMention10">
    <w:name w:val="Unresolved Mention10"/>
    <w:basedOn w:val="DefaultParagraphFont"/>
    <w:uiPriority w:val="99"/>
    <w:semiHidden/>
    <w:unhideWhenUsed/>
    <w:rsid w:val="009F430D"/>
    <w:rPr>
      <w:color w:val="808080"/>
      <w:shd w:val="clear" w:color="auto" w:fill="E6E6E6"/>
    </w:rPr>
  </w:style>
  <w:style w:type="character" w:customStyle="1" w:styleId="UnresolvedMention11">
    <w:name w:val="Unresolved Mention11"/>
    <w:basedOn w:val="DefaultParagraphFont"/>
    <w:uiPriority w:val="99"/>
    <w:semiHidden/>
    <w:unhideWhenUsed/>
    <w:rsid w:val="009F430D"/>
    <w:rPr>
      <w:color w:val="808080"/>
      <w:shd w:val="clear" w:color="auto" w:fill="E6E6E6"/>
    </w:rPr>
  </w:style>
  <w:style w:type="character" w:customStyle="1" w:styleId="UnresolvedMention13">
    <w:name w:val="Unresolved Mention13"/>
    <w:basedOn w:val="DefaultParagraphFont"/>
    <w:uiPriority w:val="99"/>
    <w:semiHidden/>
    <w:unhideWhenUsed/>
    <w:rsid w:val="009F430D"/>
    <w:rPr>
      <w:color w:val="808080"/>
      <w:shd w:val="clear" w:color="auto" w:fill="E6E6E6"/>
    </w:rPr>
  </w:style>
  <w:style w:type="character" w:customStyle="1" w:styleId="UnresolvedMention130">
    <w:name w:val="Unresolved Mention130"/>
    <w:basedOn w:val="DefaultParagraphFont"/>
    <w:uiPriority w:val="99"/>
    <w:semiHidden/>
    <w:unhideWhenUsed/>
    <w:rsid w:val="009F430D"/>
    <w:rPr>
      <w:color w:val="808080"/>
      <w:shd w:val="clear" w:color="auto" w:fill="E6E6E6"/>
    </w:rPr>
  </w:style>
  <w:style w:type="table" w:customStyle="1" w:styleId="GridTable1Light-Accent41">
    <w:name w:val="Grid Table 1 Light - Accent 41"/>
    <w:basedOn w:val="TableNormal"/>
    <w:next w:val="GridTable1Light-Accent4"/>
    <w:uiPriority w:val="46"/>
    <w:rsid w:val="009F430D"/>
    <w:pPr>
      <w:spacing w:after="0" w:line="240" w:lineRule="auto"/>
    </w:pPr>
    <w:rPr>
      <w:rFonts w:ascii="Arial" w:eastAsia="Times New Roman" w:hAnsi="Arial" w:cs="Times New Roman"/>
      <w:sz w:val="20"/>
      <w:szCs w:val="20"/>
      <w:lang w:eastAsia="en-GB"/>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character" w:customStyle="1" w:styleId="Heading5Char1">
    <w:name w:val="Heading 5 Char1"/>
    <w:aliases w:val="Heading 5(unused) Char1,Level 3 - (i) Char1,Third Level Heading Char1,h5 Char1,Response Type Char1,Response Type1 Char1,Response Type2 Char1,Response Type3 Char1,Response Type4 Char1,Response Type5 Char1,Response Type6 Char1,H5 Char"/>
    <w:basedOn w:val="DefaultParagraphFont"/>
    <w:uiPriority w:val="99"/>
    <w:semiHidden/>
    <w:rsid w:val="009F430D"/>
    <w:rPr>
      <w:rFonts w:ascii="Calibri Light" w:eastAsia="MS Gothic" w:hAnsi="Calibri Light" w:cs="Times New Roman"/>
      <w:color w:val="2E74B5"/>
      <w:szCs w:val="24"/>
      <w:lang w:eastAsia="en-US"/>
    </w:rPr>
  </w:style>
  <w:style w:type="character" w:customStyle="1" w:styleId="FootnoteTextChar1">
    <w:name w:val="Footnote Text Char1"/>
    <w:aliases w:val="Fußnotentext Char1 Char1,Fußnotentext Char Char Char1,Fußnotentext Char1 Char Char Char1,Fußnotentext Char Char Char Char Char1,Fußnotentext Char1 Char Char Char Char Char1,Fußnotentext Char Char Char Char Char Char Char1"/>
    <w:basedOn w:val="DefaultParagraphFont"/>
    <w:uiPriority w:val="99"/>
    <w:rsid w:val="009F430D"/>
    <w:rPr>
      <w:lang w:eastAsia="en-US"/>
    </w:rPr>
  </w:style>
  <w:style w:type="character" w:customStyle="1" w:styleId="CommentTextChar1">
    <w:name w:val="Comment Text Char1"/>
    <w:basedOn w:val="DefaultParagraphFont"/>
    <w:uiPriority w:val="99"/>
    <w:rsid w:val="009F430D"/>
    <w:rPr>
      <w:lang w:eastAsia="en-US"/>
    </w:rPr>
  </w:style>
  <w:style w:type="table" w:customStyle="1" w:styleId="Sfondomedio1-Colore11">
    <w:name w:val="Sfondo medio 1 - Colore 11"/>
    <w:basedOn w:val="TableNormal"/>
    <w:uiPriority w:val="63"/>
    <w:rsid w:val="009F430D"/>
    <w:pPr>
      <w:spacing w:after="0" w:line="240" w:lineRule="auto"/>
    </w:pPr>
    <w:rPr>
      <w:rFonts w:ascii="Arial" w:eastAsia="Times New Roman" w:hAnsi="Arial" w:cs="Times New Roman"/>
      <w:sz w:val="20"/>
      <w:szCs w:val="20"/>
      <w:lang w:eastAsia="en-GB"/>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Text2Char1">
    <w:name w:val="Text 2 Char1"/>
    <w:link w:val="Text2"/>
    <w:rsid w:val="009F430D"/>
    <w:rPr>
      <w:rFonts w:ascii="Times New Roman" w:eastAsia="Times New Roman" w:hAnsi="Times New Roman" w:cs="Times New Roman"/>
      <w:sz w:val="24"/>
      <w:szCs w:val="20"/>
    </w:rPr>
  </w:style>
  <w:style w:type="table" w:customStyle="1" w:styleId="TableGridLight1">
    <w:name w:val="Table Grid Light1"/>
    <w:basedOn w:val="TableNormal"/>
    <w:next w:val="TableGridLight"/>
    <w:uiPriority w:val="40"/>
    <w:rsid w:val="009F430D"/>
    <w:pPr>
      <w:spacing w:after="0" w:line="240" w:lineRule="auto"/>
    </w:pPr>
    <w:rPr>
      <w:rFonts w:ascii="Arial" w:eastAsia="Times New Roman" w:hAnsi="Arial" w:cs="Times New Roman"/>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DocumentTable12">
    <w:name w:val="Document Table12"/>
    <w:basedOn w:val="TableNormal"/>
    <w:uiPriority w:val="39"/>
    <w:rsid w:val="009F430D"/>
    <w:pPr>
      <w:spacing w:after="0" w:line="240" w:lineRule="auto"/>
    </w:pPr>
    <w:rPr>
      <w:rFonts w:ascii="Arial" w:eastAsia="Times New Roman" w:hAnsi="Arial"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51">
    <w:name w:val="List Table 4 - Accent 51"/>
    <w:basedOn w:val="TableNormal"/>
    <w:next w:val="ListTable4-Accent5"/>
    <w:uiPriority w:val="49"/>
    <w:rsid w:val="009F430D"/>
    <w:pPr>
      <w:spacing w:after="0" w:line="240" w:lineRule="auto"/>
    </w:pPr>
    <w:rPr>
      <w:sz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Keypoint">
    <w:name w:val="Key point"/>
    <w:basedOn w:val="Normal"/>
    <w:link w:val="KeypointChar"/>
    <w:qFormat/>
    <w:rsid w:val="009F430D"/>
    <w:pPr>
      <w:spacing w:after="120" w:line="240" w:lineRule="auto"/>
    </w:pPr>
    <w:rPr>
      <w:rFonts w:ascii="Arial" w:eastAsia="Times New Roman" w:hAnsi="Arial" w:cs="Times New Roman"/>
      <w:b/>
      <w:color w:val="33CC33"/>
      <w:sz w:val="20"/>
      <w:szCs w:val="24"/>
      <w:lang w:val="x-none"/>
    </w:rPr>
  </w:style>
  <w:style w:type="character" w:customStyle="1" w:styleId="KeypointChar">
    <w:name w:val="Key point Char"/>
    <w:link w:val="Keypoint"/>
    <w:rsid w:val="009F430D"/>
    <w:rPr>
      <w:rFonts w:ascii="Arial" w:eastAsia="Times New Roman" w:hAnsi="Arial" w:cs="Times New Roman"/>
      <w:b/>
      <w:color w:val="33CC33"/>
      <w:sz w:val="20"/>
      <w:szCs w:val="24"/>
      <w:lang w:val="x-none"/>
    </w:rPr>
  </w:style>
  <w:style w:type="table" w:customStyle="1" w:styleId="DocumentTable21">
    <w:name w:val="Document Table21"/>
    <w:basedOn w:val="TableNormal"/>
    <w:next w:val="TableGrid"/>
    <w:uiPriority w:val="59"/>
    <w:rsid w:val="009F430D"/>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ainbidtables3">
    <w:name w:val="Main bid tables3"/>
    <w:basedOn w:val="TableNormal"/>
    <w:uiPriority w:val="99"/>
    <w:rsid w:val="009F430D"/>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table" w:customStyle="1" w:styleId="GridTable1Light-Accent12">
    <w:name w:val="Grid Table 1 Light - Accent 12"/>
    <w:basedOn w:val="TableNormal"/>
    <w:next w:val="GridTable1Light-Accent1"/>
    <w:uiPriority w:val="46"/>
    <w:rsid w:val="009F430D"/>
    <w:pPr>
      <w:spacing w:after="0" w:line="240" w:lineRule="auto"/>
    </w:pPr>
    <w:rPr>
      <w:sz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6Colorful1">
    <w:name w:val="Grid Table 6 Colorful1"/>
    <w:basedOn w:val="TableNormal"/>
    <w:next w:val="GridTable6Colorful"/>
    <w:uiPriority w:val="51"/>
    <w:rsid w:val="009F430D"/>
    <w:pPr>
      <w:spacing w:after="0" w:line="240" w:lineRule="auto"/>
      <w:ind w:left="709"/>
    </w:pPr>
    <w:rPr>
      <w:rFonts w:ascii="Arial" w:eastAsia="Times New Roman" w:hAnsi="Arial" w:cs="Times New Roman"/>
      <w:color w:val="000000"/>
      <w:sz w:val="20"/>
      <w:szCs w:val="20"/>
      <w:lang w:eastAsia="en-GB"/>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NichtaufgelsteErwhnung2">
    <w:name w:val="Nicht aufgelöste Erwähnung2"/>
    <w:basedOn w:val="DefaultParagraphFont"/>
    <w:uiPriority w:val="99"/>
    <w:semiHidden/>
    <w:unhideWhenUsed/>
    <w:rsid w:val="009F430D"/>
    <w:rPr>
      <w:color w:val="605E5C"/>
      <w:shd w:val="clear" w:color="auto" w:fill="E1DFDD"/>
    </w:rPr>
  </w:style>
  <w:style w:type="table" w:customStyle="1" w:styleId="ListTable31">
    <w:name w:val="List Table 31"/>
    <w:basedOn w:val="TableNormal"/>
    <w:next w:val="ListTable3"/>
    <w:uiPriority w:val="48"/>
    <w:rsid w:val="009F430D"/>
    <w:pPr>
      <w:spacing w:after="0" w:line="240" w:lineRule="auto"/>
      <w:ind w:left="709"/>
    </w:pPr>
    <w:rPr>
      <w:rFonts w:ascii="Arial" w:eastAsia="Times New Roman" w:hAnsi="Arial" w:cs="Times New Roman"/>
      <w:sz w:val="20"/>
      <w:szCs w:val="20"/>
      <w:lang w:eastAsia="en-GB"/>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character" w:customStyle="1" w:styleId="NichtaufgelsteErwhnung3">
    <w:name w:val="Nicht aufgelöste Erwähnung3"/>
    <w:basedOn w:val="DefaultParagraphFont"/>
    <w:uiPriority w:val="99"/>
    <w:semiHidden/>
    <w:unhideWhenUsed/>
    <w:rsid w:val="009F430D"/>
    <w:rPr>
      <w:color w:val="605E5C"/>
      <w:shd w:val="clear" w:color="auto" w:fill="E1DFDD"/>
    </w:rPr>
  </w:style>
  <w:style w:type="table" w:customStyle="1" w:styleId="TableGrid0">
    <w:name w:val="Table Grid0"/>
    <w:rsid w:val="009F430D"/>
    <w:pPr>
      <w:spacing w:after="0" w:line="240" w:lineRule="auto"/>
      <w:ind w:left="709"/>
    </w:pPr>
    <w:rPr>
      <w:rFonts w:ascii="Calibri" w:eastAsia="Times New Roman" w:hAnsi="Calibri" w:cs="Times New Roman"/>
      <w:sz w:val="20"/>
      <w:lang w:eastAsia="en-GB"/>
    </w:rPr>
    <w:tblPr>
      <w:tblCellMar>
        <w:top w:w="0" w:type="dxa"/>
        <w:left w:w="0" w:type="dxa"/>
        <w:bottom w:w="0" w:type="dxa"/>
        <w:right w:w="0" w:type="dxa"/>
      </w:tblCellMar>
    </w:tblPr>
  </w:style>
  <w:style w:type="table" w:customStyle="1" w:styleId="Mainbidtables5">
    <w:name w:val="Main bid tables5"/>
    <w:basedOn w:val="TableNormal"/>
    <w:uiPriority w:val="99"/>
    <w:rsid w:val="009F430D"/>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character" w:customStyle="1" w:styleId="NichtaufgelsteErwhnung4">
    <w:name w:val="Nicht aufgelöste Erwähnung4"/>
    <w:basedOn w:val="DefaultParagraphFont"/>
    <w:uiPriority w:val="99"/>
    <w:semiHidden/>
    <w:unhideWhenUsed/>
    <w:rsid w:val="009F430D"/>
    <w:rPr>
      <w:color w:val="605E5C"/>
      <w:shd w:val="clear" w:color="auto" w:fill="E1DFDD"/>
    </w:rPr>
  </w:style>
  <w:style w:type="character" w:customStyle="1" w:styleId="UnresolvedMention14">
    <w:name w:val="Unresolved Mention14"/>
    <w:basedOn w:val="DefaultParagraphFont"/>
    <w:uiPriority w:val="99"/>
    <w:semiHidden/>
    <w:unhideWhenUsed/>
    <w:rsid w:val="009F430D"/>
    <w:rPr>
      <w:color w:val="605E5C"/>
      <w:shd w:val="clear" w:color="auto" w:fill="E1DFDD"/>
    </w:rPr>
  </w:style>
  <w:style w:type="character" w:customStyle="1" w:styleId="IntenseEmphasis1">
    <w:name w:val="Intense Emphasis1"/>
    <w:basedOn w:val="DefaultParagraphFont"/>
    <w:uiPriority w:val="21"/>
    <w:qFormat/>
    <w:rsid w:val="009F430D"/>
    <w:rPr>
      <w:i/>
      <w:iCs/>
      <w:color w:val="5B9BD5"/>
    </w:rPr>
  </w:style>
  <w:style w:type="character" w:customStyle="1" w:styleId="NichtaufgelsteErwhnung5">
    <w:name w:val="Nicht aufgelöste Erwähnung5"/>
    <w:basedOn w:val="DefaultParagraphFont"/>
    <w:uiPriority w:val="99"/>
    <w:semiHidden/>
    <w:unhideWhenUsed/>
    <w:rsid w:val="009F430D"/>
    <w:rPr>
      <w:color w:val="605E5C"/>
      <w:shd w:val="clear" w:color="auto" w:fill="E1DFDD"/>
    </w:rPr>
  </w:style>
  <w:style w:type="character" w:customStyle="1" w:styleId="NichtaufgelsteErwhnung6">
    <w:name w:val="Nicht aufgelöste Erwähnung6"/>
    <w:basedOn w:val="DefaultParagraphFont"/>
    <w:uiPriority w:val="99"/>
    <w:semiHidden/>
    <w:unhideWhenUsed/>
    <w:rsid w:val="009F430D"/>
    <w:rPr>
      <w:color w:val="605E5C"/>
      <w:shd w:val="clear" w:color="auto" w:fill="E1DFDD"/>
    </w:rPr>
  </w:style>
  <w:style w:type="table" w:customStyle="1" w:styleId="GridTable4-Accent62">
    <w:name w:val="Grid Table 4 - Accent 62"/>
    <w:basedOn w:val="TableNormal"/>
    <w:next w:val="GridTable4-Accent6"/>
    <w:uiPriority w:val="49"/>
    <w:rsid w:val="009F430D"/>
    <w:pPr>
      <w:spacing w:before="60" w:after="0" w:line="240" w:lineRule="auto"/>
    </w:pPr>
    <w:rPr>
      <w:rFonts w:ascii="Arial" w:hAnsi="Arial"/>
      <w:sz w:val="20"/>
      <w:lang w:val="de-D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NichtaufgelsteErwhnung7">
    <w:name w:val="Nicht aufgelöste Erwähnung7"/>
    <w:basedOn w:val="DefaultParagraphFont"/>
    <w:uiPriority w:val="99"/>
    <w:semiHidden/>
    <w:unhideWhenUsed/>
    <w:rsid w:val="009F430D"/>
    <w:rPr>
      <w:color w:val="605E5C"/>
      <w:shd w:val="clear" w:color="auto" w:fill="E1DFDD"/>
    </w:rPr>
  </w:style>
  <w:style w:type="character" w:customStyle="1" w:styleId="UnresolvedMention15">
    <w:name w:val="Unresolved Mention15"/>
    <w:basedOn w:val="DefaultParagraphFont"/>
    <w:uiPriority w:val="99"/>
    <w:semiHidden/>
    <w:unhideWhenUsed/>
    <w:rsid w:val="009F430D"/>
    <w:rPr>
      <w:color w:val="605E5C"/>
      <w:shd w:val="clear" w:color="auto" w:fill="E1DFDD"/>
    </w:rPr>
  </w:style>
  <w:style w:type="paragraph" w:customStyle="1" w:styleId="msonormal0">
    <w:name w:val="msonormal"/>
    <w:basedOn w:val="Normal"/>
    <w:rsid w:val="009F430D"/>
    <w:pPr>
      <w:spacing w:before="100" w:beforeAutospacing="1" w:after="100" w:afterAutospacing="1" w:line="240" w:lineRule="auto"/>
      <w:jc w:val="left"/>
    </w:pPr>
    <w:rPr>
      <w:rFonts w:eastAsia="Times New Roman" w:cs="Times New Roman"/>
      <w:szCs w:val="24"/>
      <w:lang w:val="de-DE" w:eastAsia="de-DE"/>
    </w:rPr>
  </w:style>
  <w:style w:type="character" w:customStyle="1" w:styleId="UnresolvedMention16">
    <w:name w:val="Unresolved Mention16"/>
    <w:basedOn w:val="DefaultParagraphFont"/>
    <w:uiPriority w:val="99"/>
    <w:semiHidden/>
    <w:unhideWhenUsed/>
    <w:rsid w:val="009F430D"/>
    <w:rPr>
      <w:color w:val="605E5C"/>
      <w:shd w:val="clear" w:color="auto" w:fill="E1DFDD"/>
    </w:rPr>
  </w:style>
  <w:style w:type="paragraph" w:customStyle="1" w:styleId="font5">
    <w:name w:val="font5"/>
    <w:basedOn w:val="Normal"/>
    <w:rsid w:val="009F430D"/>
    <w:pPr>
      <w:spacing w:before="100" w:beforeAutospacing="1" w:after="100" w:afterAutospacing="1" w:line="240" w:lineRule="auto"/>
      <w:jc w:val="left"/>
    </w:pPr>
    <w:rPr>
      <w:rFonts w:ascii="Calibri" w:eastAsia="Times New Roman" w:hAnsi="Calibri" w:cs="Calibri"/>
      <w:i/>
      <w:iCs/>
      <w:color w:val="000000"/>
      <w:sz w:val="36"/>
      <w:szCs w:val="36"/>
      <w:lang w:val="de-DE" w:eastAsia="de-DE"/>
    </w:rPr>
  </w:style>
  <w:style w:type="paragraph" w:customStyle="1" w:styleId="xl65">
    <w:name w:val="xl65"/>
    <w:basedOn w:val="Normal"/>
    <w:rsid w:val="009F430D"/>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6"/>
      <w:szCs w:val="36"/>
      <w:lang w:val="de-DE" w:eastAsia="de-DE"/>
    </w:rPr>
  </w:style>
  <w:style w:type="paragraph" w:customStyle="1" w:styleId="xl66">
    <w:name w:val="xl66"/>
    <w:basedOn w:val="Normal"/>
    <w:rsid w:val="009F430D"/>
    <w:pPr>
      <w:pBdr>
        <w:top w:val="single" w:sz="8"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b/>
      <w:bCs/>
      <w:sz w:val="36"/>
      <w:szCs w:val="36"/>
      <w:lang w:val="de-DE" w:eastAsia="de-DE"/>
    </w:rPr>
  </w:style>
  <w:style w:type="paragraph" w:customStyle="1" w:styleId="xl67">
    <w:name w:val="xl67"/>
    <w:basedOn w:val="Normal"/>
    <w:rsid w:val="009F430D"/>
    <w:pPr>
      <w:pBdr>
        <w:top w:val="single" w:sz="8" w:space="0" w:color="auto"/>
        <w:bottom w:val="single" w:sz="4" w:space="0" w:color="auto"/>
      </w:pBdr>
      <w:spacing w:before="100" w:beforeAutospacing="1" w:after="100" w:afterAutospacing="1" w:line="240" w:lineRule="auto"/>
      <w:jc w:val="center"/>
    </w:pPr>
    <w:rPr>
      <w:rFonts w:eastAsia="Times New Roman" w:cs="Times New Roman"/>
      <w:b/>
      <w:bCs/>
      <w:sz w:val="36"/>
      <w:szCs w:val="36"/>
      <w:lang w:val="de-DE" w:eastAsia="de-DE"/>
    </w:rPr>
  </w:style>
  <w:style w:type="paragraph" w:customStyle="1" w:styleId="xl68">
    <w:name w:val="xl68"/>
    <w:basedOn w:val="Normal"/>
    <w:rsid w:val="009F430D"/>
    <w:pPr>
      <w:pBdr>
        <w:top w:val="single" w:sz="8"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b/>
      <w:bCs/>
      <w:sz w:val="36"/>
      <w:szCs w:val="36"/>
      <w:lang w:val="de-DE" w:eastAsia="de-DE"/>
    </w:rPr>
  </w:style>
  <w:style w:type="paragraph" w:customStyle="1" w:styleId="xl69">
    <w:name w:val="xl69"/>
    <w:basedOn w:val="Normal"/>
    <w:rsid w:val="009F430D"/>
    <w:pPr>
      <w:spacing w:before="100" w:beforeAutospacing="1" w:after="100" w:afterAutospacing="1" w:line="240" w:lineRule="auto"/>
      <w:jc w:val="left"/>
    </w:pPr>
    <w:rPr>
      <w:rFonts w:eastAsia="Times New Roman" w:cs="Times New Roman"/>
      <w:sz w:val="36"/>
      <w:szCs w:val="36"/>
      <w:lang w:val="de-DE" w:eastAsia="de-DE"/>
    </w:rPr>
  </w:style>
  <w:style w:type="paragraph" w:customStyle="1" w:styleId="xl70">
    <w:name w:val="xl70"/>
    <w:basedOn w:val="Normal"/>
    <w:rsid w:val="009F430D"/>
    <w:pPr>
      <w:pBdr>
        <w:left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6"/>
      <w:szCs w:val="36"/>
      <w:lang w:val="de-DE" w:eastAsia="de-DE"/>
    </w:rPr>
  </w:style>
  <w:style w:type="paragraph" w:customStyle="1" w:styleId="xl71">
    <w:name w:val="xl71"/>
    <w:basedOn w:val="Normal"/>
    <w:rsid w:val="009F430D"/>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pPr>
    <w:rPr>
      <w:rFonts w:eastAsia="Times New Roman" w:cs="Times New Roman"/>
      <w:b/>
      <w:bCs/>
      <w:sz w:val="36"/>
      <w:szCs w:val="36"/>
      <w:lang w:val="de-DE" w:eastAsia="de-DE"/>
    </w:rPr>
  </w:style>
  <w:style w:type="paragraph" w:customStyle="1" w:styleId="xl72">
    <w:name w:val="xl72"/>
    <w:basedOn w:val="Normal"/>
    <w:rsid w:val="009F430D"/>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b/>
      <w:bCs/>
      <w:sz w:val="36"/>
      <w:szCs w:val="36"/>
      <w:lang w:val="de-DE" w:eastAsia="de-DE"/>
    </w:rPr>
  </w:style>
  <w:style w:type="paragraph" w:customStyle="1" w:styleId="xl73">
    <w:name w:val="xl73"/>
    <w:basedOn w:val="Normal"/>
    <w:rsid w:val="009F430D"/>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pPr>
    <w:rPr>
      <w:rFonts w:eastAsia="Times New Roman" w:cs="Times New Roman"/>
      <w:b/>
      <w:bCs/>
      <w:sz w:val="36"/>
      <w:szCs w:val="36"/>
      <w:lang w:val="de-DE" w:eastAsia="de-DE"/>
    </w:rPr>
  </w:style>
  <w:style w:type="paragraph" w:customStyle="1" w:styleId="xl74">
    <w:name w:val="xl74"/>
    <w:basedOn w:val="Normal"/>
    <w:rsid w:val="009F430D"/>
    <w:pPr>
      <w:pBdr>
        <w:top w:val="single" w:sz="4" w:space="0" w:color="auto"/>
        <w:left w:val="single" w:sz="4" w:space="0" w:color="auto"/>
        <w:right w:val="single" w:sz="8" w:space="0" w:color="auto"/>
      </w:pBdr>
      <w:spacing w:before="100" w:beforeAutospacing="1" w:after="100" w:afterAutospacing="1" w:line="240" w:lineRule="auto"/>
      <w:jc w:val="center"/>
    </w:pPr>
    <w:rPr>
      <w:rFonts w:eastAsia="Times New Roman" w:cs="Times New Roman"/>
      <w:b/>
      <w:bCs/>
      <w:sz w:val="36"/>
      <w:szCs w:val="36"/>
      <w:lang w:val="de-DE" w:eastAsia="de-DE"/>
    </w:rPr>
  </w:style>
  <w:style w:type="paragraph" w:customStyle="1" w:styleId="xl75">
    <w:name w:val="xl75"/>
    <w:basedOn w:val="Normal"/>
    <w:rsid w:val="009F430D"/>
    <w:pPr>
      <w:pBdr>
        <w:top w:val="single" w:sz="8" w:space="0" w:color="auto"/>
        <w:bottom w:val="single" w:sz="4" w:space="0" w:color="auto"/>
        <w:right w:val="single" w:sz="4" w:space="0" w:color="auto"/>
      </w:pBdr>
      <w:shd w:val="clear" w:color="000000" w:fill="D9D9D9"/>
      <w:spacing w:before="100" w:beforeAutospacing="1" w:after="100" w:afterAutospacing="1" w:line="240" w:lineRule="auto"/>
      <w:jc w:val="center"/>
    </w:pPr>
    <w:rPr>
      <w:rFonts w:eastAsia="Times New Roman" w:cs="Times New Roman"/>
      <w:sz w:val="36"/>
      <w:szCs w:val="36"/>
      <w:lang w:val="de-DE" w:eastAsia="de-DE"/>
    </w:rPr>
  </w:style>
  <w:style w:type="paragraph" w:customStyle="1" w:styleId="xl76">
    <w:name w:val="xl76"/>
    <w:basedOn w:val="Normal"/>
    <w:rsid w:val="009F430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36"/>
      <w:szCs w:val="36"/>
      <w:lang w:val="de-DE" w:eastAsia="de-DE"/>
    </w:rPr>
  </w:style>
  <w:style w:type="paragraph" w:customStyle="1" w:styleId="xl77">
    <w:name w:val="xl77"/>
    <w:basedOn w:val="Normal"/>
    <w:rsid w:val="009F430D"/>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eastAsia="Times New Roman" w:cs="Times New Roman"/>
      <w:sz w:val="36"/>
      <w:szCs w:val="36"/>
      <w:lang w:val="de-DE" w:eastAsia="de-DE"/>
    </w:rPr>
  </w:style>
  <w:style w:type="paragraph" w:customStyle="1" w:styleId="xl78">
    <w:name w:val="xl78"/>
    <w:basedOn w:val="Normal"/>
    <w:rsid w:val="009F430D"/>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 w:val="36"/>
      <w:szCs w:val="36"/>
      <w:lang w:val="de-DE" w:eastAsia="de-DE"/>
    </w:rPr>
  </w:style>
  <w:style w:type="paragraph" w:customStyle="1" w:styleId="xl79">
    <w:name w:val="xl79"/>
    <w:basedOn w:val="Normal"/>
    <w:rsid w:val="009F430D"/>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36"/>
      <w:szCs w:val="36"/>
      <w:lang w:val="de-DE" w:eastAsia="de-DE"/>
    </w:rPr>
  </w:style>
  <w:style w:type="paragraph" w:customStyle="1" w:styleId="xl80">
    <w:name w:val="xl80"/>
    <w:basedOn w:val="Normal"/>
    <w:rsid w:val="009F43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36"/>
      <w:szCs w:val="36"/>
      <w:lang w:val="de-DE" w:eastAsia="de-DE"/>
    </w:rPr>
  </w:style>
  <w:style w:type="paragraph" w:customStyle="1" w:styleId="xl81">
    <w:name w:val="xl81"/>
    <w:basedOn w:val="Normal"/>
    <w:rsid w:val="009F430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eastAsia="Times New Roman" w:cs="Times New Roman"/>
      <w:b/>
      <w:bCs/>
      <w:sz w:val="36"/>
      <w:szCs w:val="36"/>
      <w:lang w:val="de-DE" w:eastAsia="de-DE"/>
    </w:rPr>
  </w:style>
  <w:style w:type="paragraph" w:customStyle="1" w:styleId="xl82">
    <w:name w:val="xl82"/>
    <w:basedOn w:val="Normal"/>
    <w:rsid w:val="009F430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eastAsia="Times New Roman" w:cs="Times New Roman"/>
      <w:sz w:val="36"/>
      <w:szCs w:val="36"/>
      <w:lang w:val="de-DE" w:eastAsia="de-DE"/>
    </w:rPr>
  </w:style>
  <w:style w:type="paragraph" w:customStyle="1" w:styleId="xl83">
    <w:name w:val="xl83"/>
    <w:basedOn w:val="Normal"/>
    <w:rsid w:val="009F43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36"/>
      <w:szCs w:val="36"/>
      <w:lang w:val="de-DE" w:eastAsia="de-DE"/>
    </w:rPr>
  </w:style>
  <w:style w:type="paragraph" w:customStyle="1" w:styleId="xl84">
    <w:name w:val="xl84"/>
    <w:basedOn w:val="Normal"/>
    <w:rsid w:val="009F430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 w:val="36"/>
      <w:szCs w:val="36"/>
      <w:lang w:val="de-DE" w:eastAsia="de-DE"/>
    </w:rPr>
  </w:style>
  <w:style w:type="paragraph" w:customStyle="1" w:styleId="xl85">
    <w:name w:val="xl85"/>
    <w:basedOn w:val="Normal"/>
    <w:rsid w:val="009F430D"/>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eastAsia="Times New Roman" w:cs="Times New Roman"/>
      <w:b/>
      <w:bCs/>
      <w:sz w:val="36"/>
      <w:szCs w:val="36"/>
      <w:lang w:val="de-DE" w:eastAsia="de-DE"/>
    </w:rPr>
  </w:style>
  <w:style w:type="paragraph" w:customStyle="1" w:styleId="xl86">
    <w:name w:val="xl86"/>
    <w:basedOn w:val="Normal"/>
    <w:rsid w:val="009F430D"/>
    <w:pPr>
      <w:pBdr>
        <w:top w:val="single" w:sz="4" w:space="0" w:color="auto"/>
        <w:bottom w:val="single" w:sz="8" w:space="0" w:color="auto"/>
        <w:right w:val="single" w:sz="4" w:space="0" w:color="auto"/>
      </w:pBdr>
      <w:shd w:val="clear" w:color="000000" w:fill="D9D9D9"/>
      <w:spacing w:before="100" w:beforeAutospacing="1" w:after="100" w:afterAutospacing="1" w:line="240" w:lineRule="auto"/>
      <w:jc w:val="center"/>
    </w:pPr>
    <w:rPr>
      <w:rFonts w:eastAsia="Times New Roman" w:cs="Times New Roman"/>
      <w:b/>
      <w:bCs/>
      <w:sz w:val="36"/>
      <w:szCs w:val="36"/>
      <w:lang w:val="de-DE" w:eastAsia="de-DE"/>
    </w:rPr>
  </w:style>
  <w:style w:type="paragraph" w:customStyle="1" w:styleId="xl87">
    <w:name w:val="xl87"/>
    <w:basedOn w:val="Normal"/>
    <w:rsid w:val="009F430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cs="Times New Roman"/>
      <w:b/>
      <w:bCs/>
      <w:sz w:val="36"/>
      <w:szCs w:val="36"/>
      <w:lang w:val="de-DE" w:eastAsia="de-DE"/>
    </w:rPr>
  </w:style>
  <w:style w:type="paragraph" w:customStyle="1" w:styleId="xl88">
    <w:name w:val="xl88"/>
    <w:basedOn w:val="Normal"/>
    <w:rsid w:val="009F430D"/>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pPr>
    <w:rPr>
      <w:rFonts w:eastAsia="Times New Roman" w:cs="Times New Roman"/>
      <w:b/>
      <w:bCs/>
      <w:sz w:val="36"/>
      <w:szCs w:val="36"/>
      <w:lang w:val="de-DE" w:eastAsia="de-DE"/>
    </w:rPr>
  </w:style>
  <w:style w:type="paragraph" w:customStyle="1" w:styleId="xl89">
    <w:name w:val="xl89"/>
    <w:basedOn w:val="Normal"/>
    <w:rsid w:val="009F430D"/>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pPr>
    <w:rPr>
      <w:rFonts w:eastAsia="Times New Roman" w:cs="Times New Roman"/>
      <w:sz w:val="36"/>
      <w:szCs w:val="36"/>
      <w:lang w:val="de-DE" w:eastAsia="de-DE"/>
    </w:rPr>
  </w:style>
  <w:style w:type="paragraph" w:customStyle="1" w:styleId="xl90">
    <w:name w:val="xl90"/>
    <w:basedOn w:val="Normal"/>
    <w:rsid w:val="009F430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cs="Times New Roman"/>
      <w:sz w:val="36"/>
      <w:szCs w:val="36"/>
      <w:lang w:val="de-DE" w:eastAsia="de-DE"/>
    </w:rPr>
  </w:style>
  <w:style w:type="paragraph" w:customStyle="1" w:styleId="xl91">
    <w:name w:val="xl91"/>
    <w:basedOn w:val="Normal"/>
    <w:rsid w:val="009F430D"/>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sz w:val="36"/>
      <w:szCs w:val="36"/>
      <w:lang w:val="de-DE" w:eastAsia="de-DE"/>
    </w:rPr>
  </w:style>
  <w:style w:type="paragraph" w:customStyle="1" w:styleId="xl92">
    <w:name w:val="xl92"/>
    <w:basedOn w:val="Normal"/>
    <w:rsid w:val="009F430D"/>
    <w:pPr>
      <w:pBdr>
        <w:top w:val="single" w:sz="8" w:space="0" w:color="auto"/>
        <w:bottom w:val="single" w:sz="4" w:space="0" w:color="auto"/>
        <w:right w:val="single" w:sz="4" w:space="0" w:color="auto"/>
      </w:pBdr>
      <w:shd w:val="clear" w:color="000000" w:fill="D9D9D9"/>
      <w:spacing w:before="100" w:beforeAutospacing="1" w:after="100" w:afterAutospacing="1" w:line="240" w:lineRule="auto"/>
      <w:jc w:val="center"/>
    </w:pPr>
    <w:rPr>
      <w:rFonts w:eastAsia="Times New Roman" w:cs="Times New Roman"/>
      <w:sz w:val="36"/>
      <w:szCs w:val="36"/>
      <w:lang w:val="de-DE" w:eastAsia="de-DE"/>
    </w:rPr>
  </w:style>
  <w:style w:type="paragraph" w:customStyle="1" w:styleId="xl93">
    <w:name w:val="xl93"/>
    <w:basedOn w:val="Normal"/>
    <w:rsid w:val="009F430D"/>
    <w:pPr>
      <w:pBdr>
        <w:top w:val="single" w:sz="4" w:space="0" w:color="auto"/>
        <w:bottom w:val="single" w:sz="4" w:space="0" w:color="auto"/>
        <w:right w:val="single" w:sz="4" w:space="0" w:color="auto"/>
      </w:pBdr>
      <w:shd w:val="reverseDiagStripe" w:color="000000" w:fill="auto"/>
      <w:spacing w:before="100" w:beforeAutospacing="1" w:after="100" w:afterAutospacing="1" w:line="240" w:lineRule="auto"/>
      <w:jc w:val="left"/>
    </w:pPr>
    <w:rPr>
      <w:rFonts w:eastAsia="Times New Roman" w:cs="Times New Roman"/>
      <w:sz w:val="36"/>
      <w:szCs w:val="36"/>
      <w:lang w:val="de-DE" w:eastAsia="de-DE"/>
    </w:rPr>
  </w:style>
  <w:style w:type="paragraph" w:customStyle="1" w:styleId="xl94">
    <w:name w:val="xl94"/>
    <w:basedOn w:val="Normal"/>
    <w:rsid w:val="009F430D"/>
    <w:pPr>
      <w:pBdr>
        <w:top w:val="single" w:sz="4" w:space="0" w:color="auto"/>
        <w:left w:val="single" w:sz="4" w:space="0" w:color="auto"/>
        <w:bottom w:val="single" w:sz="4" w:space="0" w:color="auto"/>
        <w:right w:val="single" w:sz="4" w:space="0" w:color="auto"/>
      </w:pBdr>
      <w:shd w:val="reverseDiagStripe" w:color="000000" w:fill="auto"/>
      <w:spacing w:before="100" w:beforeAutospacing="1" w:after="100" w:afterAutospacing="1" w:line="240" w:lineRule="auto"/>
      <w:jc w:val="left"/>
    </w:pPr>
    <w:rPr>
      <w:rFonts w:eastAsia="Times New Roman" w:cs="Times New Roman"/>
      <w:sz w:val="36"/>
      <w:szCs w:val="36"/>
      <w:lang w:val="de-DE" w:eastAsia="de-DE"/>
    </w:rPr>
  </w:style>
  <w:style w:type="paragraph" w:customStyle="1" w:styleId="xl95">
    <w:name w:val="xl95"/>
    <w:basedOn w:val="Normal"/>
    <w:rsid w:val="009F430D"/>
    <w:pPr>
      <w:pBdr>
        <w:top w:val="single" w:sz="4" w:space="0" w:color="auto"/>
        <w:left w:val="single" w:sz="4" w:space="0" w:color="auto"/>
        <w:bottom w:val="single" w:sz="4" w:space="0" w:color="auto"/>
        <w:right w:val="single" w:sz="4" w:space="0" w:color="auto"/>
      </w:pBdr>
      <w:shd w:val="reverseDiagStripe" w:color="000000" w:fill="auto"/>
      <w:spacing w:before="100" w:beforeAutospacing="1" w:after="100" w:afterAutospacing="1" w:line="240" w:lineRule="auto"/>
      <w:jc w:val="left"/>
    </w:pPr>
    <w:rPr>
      <w:rFonts w:eastAsia="Times New Roman" w:cs="Times New Roman"/>
      <w:b/>
      <w:bCs/>
      <w:sz w:val="36"/>
      <w:szCs w:val="36"/>
      <w:lang w:val="de-DE" w:eastAsia="de-DE"/>
    </w:rPr>
  </w:style>
  <w:style w:type="paragraph" w:customStyle="1" w:styleId="xl96">
    <w:name w:val="xl96"/>
    <w:basedOn w:val="Normal"/>
    <w:rsid w:val="009F430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left"/>
    </w:pPr>
    <w:rPr>
      <w:rFonts w:eastAsia="Times New Roman" w:cs="Times New Roman"/>
      <w:sz w:val="36"/>
      <w:szCs w:val="36"/>
      <w:lang w:val="de-DE" w:eastAsia="de-DE"/>
    </w:rPr>
  </w:style>
  <w:style w:type="paragraph" w:customStyle="1" w:styleId="xl97">
    <w:name w:val="xl97"/>
    <w:basedOn w:val="Normal"/>
    <w:rsid w:val="009F43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36"/>
      <w:szCs w:val="36"/>
      <w:lang w:val="de-DE" w:eastAsia="de-DE"/>
    </w:rPr>
  </w:style>
  <w:style w:type="paragraph" w:customStyle="1" w:styleId="xl98">
    <w:name w:val="xl98"/>
    <w:basedOn w:val="Normal"/>
    <w:rsid w:val="009F430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Times New Roman" w:cs="Times New Roman"/>
      <w:sz w:val="36"/>
      <w:szCs w:val="36"/>
      <w:lang w:val="de-DE" w:eastAsia="de-DE"/>
    </w:rPr>
  </w:style>
  <w:style w:type="paragraph" w:customStyle="1" w:styleId="xl99">
    <w:name w:val="xl99"/>
    <w:basedOn w:val="Normal"/>
    <w:rsid w:val="009F430D"/>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left"/>
    </w:pPr>
    <w:rPr>
      <w:rFonts w:eastAsia="Times New Roman" w:cs="Times New Roman"/>
      <w:sz w:val="36"/>
      <w:szCs w:val="36"/>
      <w:lang w:val="de-DE" w:eastAsia="de-DE"/>
    </w:rPr>
  </w:style>
  <w:style w:type="paragraph" w:customStyle="1" w:styleId="xl100">
    <w:name w:val="xl100"/>
    <w:basedOn w:val="Normal"/>
    <w:rsid w:val="009F430D"/>
    <w:pPr>
      <w:pBdr>
        <w:top w:val="single" w:sz="4" w:space="0" w:color="auto"/>
        <w:bottom w:val="single" w:sz="8" w:space="0" w:color="auto"/>
        <w:right w:val="single" w:sz="4" w:space="0" w:color="auto"/>
      </w:pBdr>
      <w:shd w:val="clear" w:color="000000" w:fill="D9D9D9"/>
      <w:spacing w:before="100" w:beforeAutospacing="1" w:after="100" w:afterAutospacing="1" w:line="240" w:lineRule="auto"/>
      <w:jc w:val="left"/>
    </w:pPr>
    <w:rPr>
      <w:rFonts w:eastAsia="Times New Roman" w:cs="Times New Roman"/>
      <w:sz w:val="36"/>
      <w:szCs w:val="36"/>
      <w:lang w:val="de-DE" w:eastAsia="de-DE"/>
    </w:rPr>
  </w:style>
  <w:style w:type="paragraph" w:customStyle="1" w:styleId="xl101">
    <w:name w:val="xl101"/>
    <w:basedOn w:val="Normal"/>
    <w:rsid w:val="009F430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Times New Roman" w:cs="Times New Roman"/>
      <w:sz w:val="36"/>
      <w:szCs w:val="36"/>
      <w:lang w:val="de-DE" w:eastAsia="de-DE"/>
    </w:rPr>
  </w:style>
  <w:style w:type="paragraph" w:customStyle="1" w:styleId="xl102">
    <w:name w:val="xl102"/>
    <w:basedOn w:val="Normal"/>
    <w:rsid w:val="009F430D"/>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left"/>
    </w:pPr>
    <w:rPr>
      <w:rFonts w:eastAsia="Times New Roman" w:cs="Times New Roman"/>
      <w:sz w:val="36"/>
      <w:szCs w:val="36"/>
      <w:lang w:val="de-DE" w:eastAsia="de-DE"/>
    </w:rPr>
  </w:style>
  <w:style w:type="paragraph" w:customStyle="1" w:styleId="xl103">
    <w:name w:val="xl103"/>
    <w:basedOn w:val="Normal"/>
    <w:rsid w:val="009F430D"/>
    <w:pPr>
      <w:pBdr>
        <w:top w:val="single" w:sz="4" w:space="0" w:color="auto"/>
        <w:left w:val="single" w:sz="4" w:space="0" w:color="auto"/>
        <w:bottom w:val="single" w:sz="8" w:space="0" w:color="auto"/>
        <w:right w:val="single" w:sz="4" w:space="0" w:color="auto"/>
      </w:pBdr>
      <w:shd w:val="reverseDiagStripe" w:color="000000" w:fill="auto"/>
      <w:spacing w:before="100" w:beforeAutospacing="1" w:after="100" w:afterAutospacing="1" w:line="240" w:lineRule="auto"/>
      <w:jc w:val="left"/>
    </w:pPr>
    <w:rPr>
      <w:rFonts w:eastAsia="Times New Roman" w:cs="Times New Roman"/>
      <w:sz w:val="36"/>
      <w:szCs w:val="36"/>
      <w:lang w:val="de-DE" w:eastAsia="de-DE"/>
    </w:rPr>
  </w:style>
  <w:style w:type="paragraph" w:customStyle="1" w:styleId="xl104">
    <w:name w:val="xl104"/>
    <w:basedOn w:val="Normal"/>
    <w:rsid w:val="009F430D"/>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rPr>
      <w:rFonts w:eastAsia="Times New Roman" w:cs="Times New Roman"/>
      <w:sz w:val="36"/>
      <w:szCs w:val="36"/>
      <w:lang w:val="de-DE" w:eastAsia="de-DE"/>
    </w:rPr>
  </w:style>
  <w:style w:type="paragraph" w:customStyle="1" w:styleId="xl105">
    <w:name w:val="xl105"/>
    <w:basedOn w:val="Normal"/>
    <w:rsid w:val="009F430D"/>
    <w:pPr>
      <w:pBdr>
        <w:top w:val="single" w:sz="8" w:space="0" w:color="auto"/>
        <w:bottom w:val="single" w:sz="4" w:space="0" w:color="auto"/>
        <w:right w:val="single" w:sz="4" w:space="0" w:color="auto"/>
      </w:pBdr>
      <w:shd w:val="clear" w:color="000000" w:fill="D9D9D9"/>
      <w:spacing w:before="100" w:beforeAutospacing="1" w:after="100" w:afterAutospacing="1" w:line="240" w:lineRule="auto"/>
      <w:jc w:val="left"/>
    </w:pPr>
    <w:rPr>
      <w:rFonts w:eastAsia="Times New Roman" w:cs="Times New Roman"/>
      <w:sz w:val="36"/>
      <w:szCs w:val="36"/>
      <w:lang w:val="de-DE" w:eastAsia="de-DE"/>
    </w:rPr>
  </w:style>
  <w:style w:type="paragraph" w:customStyle="1" w:styleId="xl106">
    <w:name w:val="xl106"/>
    <w:basedOn w:val="Normal"/>
    <w:rsid w:val="009F430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36"/>
      <w:szCs w:val="36"/>
      <w:lang w:val="de-DE" w:eastAsia="de-DE"/>
    </w:rPr>
  </w:style>
  <w:style w:type="paragraph" w:customStyle="1" w:styleId="xl107">
    <w:name w:val="xl107"/>
    <w:basedOn w:val="Normal"/>
    <w:rsid w:val="009F430D"/>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left"/>
    </w:pPr>
    <w:rPr>
      <w:rFonts w:eastAsia="Times New Roman" w:cs="Times New Roman"/>
      <w:sz w:val="36"/>
      <w:szCs w:val="36"/>
      <w:lang w:val="de-DE" w:eastAsia="de-DE"/>
    </w:rPr>
  </w:style>
  <w:style w:type="paragraph" w:customStyle="1" w:styleId="xl108">
    <w:name w:val="xl108"/>
    <w:basedOn w:val="Normal"/>
    <w:rsid w:val="009F430D"/>
    <w:pPr>
      <w:pBdr>
        <w:top w:val="single" w:sz="8" w:space="0" w:color="auto"/>
        <w:left w:val="single" w:sz="4" w:space="0" w:color="auto"/>
        <w:bottom w:val="single" w:sz="4" w:space="0" w:color="auto"/>
        <w:right w:val="single" w:sz="4" w:space="0" w:color="auto"/>
      </w:pBdr>
      <w:shd w:val="reverseDiagStripe" w:color="000000" w:fill="auto"/>
      <w:spacing w:before="100" w:beforeAutospacing="1" w:after="100" w:afterAutospacing="1" w:line="240" w:lineRule="auto"/>
      <w:jc w:val="left"/>
    </w:pPr>
    <w:rPr>
      <w:rFonts w:eastAsia="Times New Roman" w:cs="Times New Roman"/>
      <w:sz w:val="36"/>
      <w:szCs w:val="36"/>
      <w:lang w:val="de-DE" w:eastAsia="de-DE"/>
    </w:rPr>
  </w:style>
  <w:style w:type="paragraph" w:customStyle="1" w:styleId="xl109">
    <w:name w:val="xl109"/>
    <w:basedOn w:val="Normal"/>
    <w:rsid w:val="009F430D"/>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Times New Roman" w:cs="Times New Roman"/>
      <w:sz w:val="36"/>
      <w:szCs w:val="36"/>
      <w:lang w:val="de-DE" w:eastAsia="de-DE"/>
    </w:rPr>
  </w:style>
  <w:style w:type="paragraph" w:customStyle="1" w:styleId="xl110">
    <w:name w:val="xl110"/>
    <w:basedOn w:val="Normal"/>
    <w:rsid w:val="009F430D"/>
    <w:pPr>
      <w:pBdr>
        <w:top w:val="single" w:sz="4" w:space="0" w:color="auto"/>
        <w:bottom w:val="single" w:sz="4" w:space="0" w:color="auto"/>
        <w:right w:val="single" w:sz="4" w:space="0" w:color="auto"/>
      </w:pBdr>
      <w:shd w:val="reverseDiagStripe" w:color="000000" w:fill="auto"/>
      <w:spacing w:before="100" w:beforeAutospacing="1" w:after="100" w:afterAutospacing="1" w:line="240" w:lineRule="auto"/>
      <w:jc w:val="left"/>
    </w:pPr>
    <w:rPr>
      <w:rFonts w:eastAsia="Times New Roman" w:cs="Times New Roman"/>
      <w:b/>
      <w:bCs/>
      <w:sz w:val="36"/>
      <w:szCs w:val="36"/>
      <w:lang w:val="de-DE" w:eastAsia="de-DE"/>
    </w:rPr>
  </w:style>
  <w:style w:type="paragraph" w:customStyle="1" w:styleId="xl111">
    <w:name w:val="xl111"/>
    <w:basedOn w:val="Normal"/>
    <w:rsid w:val="009F430D"/>
    <w:pPr>
      <w:pBdr>
        <w:top w:val="single" w:sz="4" w:space="0" w:color="auto"/>
        <w:left w:val="single" w:sz="4" w:space="0" w:color="auto"/>
        <w:bottom w:val="single" w:sz="8" w:space="0" w:color="auto"/>
        <w:right w:val="single" w:sz="4" w:space="0" w:color="auto"/>
      </w:pBdr>
      <w:shd w:val="reverseDiagStripe" w:color="000000" w:fill="auto"/>
      <w:spacing w:before="100" w:beforeAutospacing="1" w:after="100" w:afterAutospacing="1" w:line="240" w:lineRule="auto"/>
      <w:jc w:val="left"/>
    </w:pPr>
    <w:rPr>
      <w:rFonts w:eastAsia="Times New Roman" w:cs="Times New Roman"/>
      <w:b/>
      <w:bCs/>
      <w:sz w:val="36"/>
      <w:szCs w:val="36"/>
      <w:lang w:val="de-DE" w:eastAsia="de-DE"/>
    </w:rPr>
  </w:style>
  <w:style w:type="paragraph" w:customStyle="1" w:styleId="xl112">
    <w:name w:val="xl112"/>
    <w:basedOn w:val="Normal"/>
    <w:rsid w:val="009F430D"/>
    <w:pPr>
      <w:pBdr>
        <w:top w:val="single" w:sz="8" w:space="0" w:color="auto"/>
      </w:pBdr>
      <w:spacing w:before="100" w:beforeAutospacing="1" w:after="100" w:afterAutospacing="1" w:line="240" w:lineRule="auto"/>
      <w:jc w:val="left"/>
    </w:pPr>
    <w:rPr>
      <w:rFonts w:eastAsia="Times New Roman" w:cs="Times New Roman"/>
      <w:b/>
      <w:bCs/>
      <w:sz w:val="36"/>
      <w:szCs w:val="36"/>
      <w:lang w:val="de-DE" w:eastAsia="de-DE"/>
    </w:rPr>
  </w:style>
  <w:style w:type="paragraph" w:customStyle="1" w:styleId="xl113">
    <w:name w:val="xl113"/>
    <w:basedOn w:val="Normal"/>
    <w:rsid w:val="009F430D"/>
    <w:pPr>
      <w:pBdr>
        <w:top w:val="single" w:sz="8" w:space="0" w:color="auto"/>
        <w:left w:val="single" w:sz="4" w:space="0" w:color="auto"/>
        <w:bottom w:val="single" w:sz="4" w:space="0" w:color="auto"/>
        <w:right w:val="single" w:sz="4" w:space="0" w:color="auto"/>
      </w:pBdr>
      <w:shd w:val="reverseDiagStripe" w:color="000000" w:fill="auto"/>
      <w:spacing w:before="100" w:beforeAutospacing="1" w:after="100" w:afterAutospacing="1" w:line="240" w:lineRule="auto"/>
      <w:jc w:val="left"/>
    </w:pPr>
    <w:rPr>
      <w:rFonts w:eastAsia="Times New Roman" w:cs="Times New Roman"/>
      <w:b/>
      <w:bCs/>
      <w:sz w:val="36"/>
      <w:szCs w:val="36"/>
      <w:lang w:val="de-DE" w:eastAsia="de-DE"/>
    </w:rPr>
  </w:style>
  <w:style w:type="paragraph" w:customStyle="1" w:styleId="xl114">
    <w:name w:val="xl114"/>
    <w:basedOn w:val="Normal"/>
    <w:rsid w:val="009F430D"/>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36"/>
      <w:szCs w:val="36"/>
      <w:lang w:val="de-DE" w:eastAsia="de-DE"/>
    </w:rPr>
  </w:style>
  <w:style w:type="paragraph" w:customStyle="1" w:styleId="xl115">
    <w:name w:val="xl115"/>
    <w:basedOn w:val="Normal"/>
    <w:rsid w:val="009F430D"/>
    <w:pPr>
      <w:pBdr>
        <w:top w:val="single" w:sz="4" w:space="0" w:color="auto"/>
        <w:left w:val="single" w:sz="4" w:space="0" w:color="auto"/>
        <w:bottom w:val="single" w:sz="8" w:space="0" w:color="auto"/>
        <w:right w:val="single" w:sz="8" w:space="0" w:color="auto"/>
      </w:pBdr>
      <w:shd w:val="reverseDiagStripe" w:color="000000" w:fill="auto"/>
      <w:spacing w:before="100" w:beforeAutospacing="1" w:after="100" w:afterAutospacing="1" w:line="240" w:lineRule="auto"/>
      <w:jc w:val="left"/>
    </w:pPr>
    <w:rPr>
      <w:rFonts w:eastAsia="Times New Roman" w:cs="Times New Roman"/>
      <w:b/>
      <w:bCs/>
      <w:sz w:val="36"/>
      <w:szCs w:val="36"/>
      <w:lang w:val="de-DE" w:eastAsia="de-DE"/>
    </w:rPr>
  </w:style>
  <w:style w:type="paragraph" w:customStyle="1" w:styleId="xl116">
    <w:name w:val="xl116"/>
    <w:basedOn w:val="Normal"/>
    <w:rsid w:val="009F430D"/>
    <w:pPr>
      <w:pBdr>
        <w:top w:val="single" w:sz="8" w:space="0" w:color="auto"/>
        <w:left w:val="single" w:sz="8" w:space="0" w:color="auto"/>
      </w:pBdr>
      <w:spacing w:before="100" w:beforeAutospacing="1" w:after="100" w:afterAutospacing="1" w:line="240" w:lineRule="auto"/>
      <w:jc w:val="center"/>
      <w:textAlignment w:val="top"/>
    </w:pPr>
    <w:rPr>
      <w:rFonts w:eastAsia="Times New Roman" w:cs="Times New Roman"/>
      <w:b/>
      <w:bCs/>
      <w:sz w:val="36"/>
      <w:szCs w:val="36"/>
      <w:lang w:val="de-DE" w:eastAsia="de-DE"/>
    </w:rPr>
  </w:style>
  <w:style w:type="paragraph" w:customStyle="1" w:styleId="xl117">
    <w:name w:val="xl117"/>
    <w:basedOn w:val="Normal"/>
    <w:rsid w:val="009F430D"/>
    <w:pPr>
      <w:pBdr>
        <w:bottom w:val="single" w:sz="8" w:space="0" w:color="auto"/>
      </w:pBdr>
      <w:spacing w:before="100" w:beforeAutospacing="1" w:after="100" w:afterAutospacing="1" w:line="240" w:lineRule="auto"/>
      <w:jc w:val="left"/>
    </w:pPr>
    <w:rPr>
      <w:rFonts w:eastAsia="Times New Roman" w:cs="Times New Roman"/>
      <w:sz w:val="36"/>
      <w:szCs w:val="36"/>
      <w:lang w:val="de-DE" w:eastAsia="de-DE"/>
    </w:rPr>
  </w:style>
  <w:style w:type="paragraph" w:customStyle="1" w:styleId="xl118">
    <w:name w:val="xl118"/>
    <w:basedOn w:val="Normal"/>
    <w:rsid w:val="009F430D"/>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6"/>
      <w:szCs w:val="36"/>
      <w:lang w:val="de-DE" w:eastAsia="de-DE"/>
    </w:rPr>
  </w:style>
  <w:style w:type="paragraph" w:customStyle="1" w:styleId="xl119">
    <w:name w:val="xl119"/>
    <w:basedOn w:val="Normal"/>
    <w:rsid w:val="009F430D"/>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6"/>
      <w:szCs w:val="36"/>
      <w:lang w:val="de-DE" w:eastAsia="de-DE"/>
    </w:rPr>
  </w:style>
  <w:style w:type="paragraph" w:customStyle="1" w:styleId="xl120">
    <w:name w:val="xl120"/>
    <w:basedOn w:val="Normal"/>
    <w:rsid w:val="009F430D"/>
    <w:pPr>
      <w:pBdr>
        <w:top w:val="single" w:sz="8" w:space="0" w:color="auto"/>
      </w:pBdr>
      <w:spacing w:before="100" w:beforeAutospacing="1" w:after="100" w:afterAutospacing="1" w:line="240" w:lineRule="auto"/>
      <w:jc w:val="left"/>
      <w:textAlignment w:val="center"/>
    </w:pPr>
    <w:rPr>
      <w:rFonts w:eastAsia="Times New Roman" w:cs="Times New Roman"/>
      <w:b/>
      <w:bCs/>
      <w:sz w:val="36"/>
      <w:szCs w:val="36"/>
      <w:lang w:val="de-DE" w:eastAsia="de-DE"/>
    </w:rPr>
  </w:style>
  <w:style w:type="paragraph" w:customStyle="1" w:styleId="xl121">
    <w:name w:val="xl121"/>
    <w:basedOn w:val="Normal"/>
    <w:rsid w:val="009F430D"/>
    <w:pPr>
      <w:spacing w:before="100" w:beforeAutospacing="1" w:after="100" w:afterAutospacing="1" w:line="240" w:lineRule="auto"/>
      <w:jc w:val="left"/>
    </w:pPr>
    <w:rPr>
      <w:rFonts w:eastAsia="Times New Roman" w:cs="Times New Roman"/>
      <w:sz w:val="36"/>
      <w:szCs w:val="36"/>
      <w:lang w:val="de-DE" w:eastAsia="de-DE"/>
    </w:rPr>
  </w:style>
  <w:style w:type="paragraph" w:customStyle="1" w:styleId="xl122">
    <w:name w:val="xl122"/>
    <w:basedOn w:val="Normal"/>
    <w:rsid w:val="009F430D"/>
    <w:pPr>
      <w:pBdr>
        <w:top w:val="single" w:sz="8" w:space="0" w:color="auto"/>
      </w:pBdr>
      <w:spacing w:before="100" w:beforeAutospacing="1" w:after="100" w:afterAutospacing="1" w:line="240" w:lineRule="auto"/>
      <w:jc w:val="left"/>
    </w:pPr>
    <w:rPr>
      <w:rFonts w:eastAsia="Times New Roman" w:cs="Times New Roman"/>
      <w:sz w:val="36"/>
      <w:szCs w:val="36"/>
      <w:lang w:val="de-DE" w:eastAsia="de-DE"/>
    </w:rPr>
  </w:style>
  <w:style w:type="paragraph" w:customStyle="1" w:styleId="xl123">
    <w:name w:val="xl123"/>
    <w:basedOn w:val="Normal"/>
    <w:rsid w:val="009F430D"/>
    <w:pPr>
      <w:pBdr>
        <w:left w:val="single" w:sz="8" w:space="0" w:color="auto"/>
      </w:pBdr>
      <w:spacing w:before="100" w:beforeAutospacing="1" w:after="100" w:afterAutospacing="1" w:line="240" w:lineRule="auto"/>
      <w:jc w:val="center"/>
      <w:textAlignment w:val="top"/>
    </w:pPr>
    <w:rPr>
      <w:rFonts w:eastAsia="Times New Roman" w:cs="Times New Roman"/>
      <w:sz w:val="36"/>
      <w:szCs w:val="36"/>
      <w:lang w:val="de-DE" w:eastAsia="de-DE"/>
    </w:rPr>
  </w:style>
  <w:style w:type="paragraph" w:customStyle="1" w:styleId="xl124">
    <w:name w:val="xl124"/>
    <w:basedOn w:val="Normal"/>
    <w:rsid w:val="009F430D"/>
    <w:pPr>
      <w:pBdr>
        <w:top w:val="single" w:sz="8" w:space="0" w:color="auto"/>
        <w:left w:val="single" w:sz="8" w:space="0" w:color="auto"/>
      </w:pBdr>
      <w:spacing w:before="100" w:beforeAutospacing="1" w:after="100" w:afterAutospacing="1" w:line="240" w:lineRule="auto"/>
      <w:jc w:val="center"/>
      <w:textAlignment w:val="top"/>
    </w:pPr>
    <w:rPr>
      <w:rFonts w:eastAsia="Times New Roman" w:cs="Times New Roman"/>
      <w:b/>
      <w:bCs/>
      <w:sz w:val="36"/>
      <w:szCs w:val="36"/>
      <w:lang w:val="de-DE" w:eastAsia="de-DE"/>
    </w:rPr>
  </w:style>
  <w:style w:type="paragraph" w:customStyle="1" w:styleId="xl125">
    <w:name w:val="xl125"/>
    <w:basedOn w:val="Normal"/>
    <w:rsid w:val="009F430D"/>
    <w:pPr>
      <w:pBdr>
        <w:left w:val="single" w:sz="8" w:space="0" w:color="auto"/>
      </w:pBdr>
      <w:spacing w:before="100" w:beforeAutospacing="1" w:after="100" w:afterAutospacing="1" w:line="240" w:lineRule="auto"/>
      <w:jc w:val="center"/>
      <w:textAlignment w:val="top"/>
    </w:pPr>
    <w:rPr>
      <w:rFonts w:eastAsia="Times New Roman" w:cs="Times New Roman"/>
      <w:sz w:val="36"/>
      <w:szCs w:val="36"/>
      <w:lang w:val="de-DE" w:eastAsia="de-DE"/>
    </w:rPr>
  </w:style>
  <w:style w:type="paragraph" w:customStyle="1" w:styleId="xl126">
    <w:name w:val="xl126"/>
    <w:basedOn w:val="Normal"/>
    <w:rsid w:val="009F430D"/>
    <w:pPr>
      <w:pBdr>
        <w:left w:val="single" w:sz="8" w:space="0" w:color="auto"/>
        <w:bottom w:val="single" w:sz="8" w:space="0" w:color="auto"/>
      </w:pBdr>
      <w:spacing w:before="100" w:beforeAutospacing="1" w:after="100" w:afterAutospacing="1" w:line="240" w:lineRule="auto"/>
      <w:jc w:val="center"/>
      <w:textAlignment w:val="top"/>
    </w:pPr>
    <w:rPr>
      <w:rFonts w:eastAsia="Times New Roman" w:cs="Times New Roman"/>
      <w:sz w:val="36"/>
      <w:szCs w:val="36"/>
      <w:lang w:val="de-DE" w:eastAsia="de-DE"/>
    </w:rPr>
  </w:style>
  <w:style w:type="paragraph" w:customStyle="1" w:styleId="xl127">
    <w:name w:val="xl127"/>
    <w:basedOn w:val="Normal"/>
    <w:rsid w:val="009F430D"/>
    <w:pPr>
      <w:pBdr>
        <w:left w:val="single" w:sz="8" w:space="0" w:color="auto"/>
        <w:bottom w:val="single" w:sz="8" w:space="0" w:color="auto"/>
      </w:pBdr>
      <w:spacing w:before="100" w:beforeAutospacing="1" w:after="100" w:afterAutospacing="1" w:line="240" w:lineRule="auto"/>
      <w:jc w:val="center"/>
      <w:textAlignment w:val="top"/>
    </w:pPr>
    <w:rPr>
      <w:rFonts w:eastAsia="Times New Roman" w:cs="Times New Roman"/>
      <w:sz w:val="36"/>
      <w:szCs w:val="36"/>
      <w:lang w:val="de-DE" w:eastAsia="de-DE"/>
    </w:rPr>
  </w:style>
  <w:style w:type="paragraph" w:customStyle="1" w:styleId="xl128">
    <w:name w:val="xl128"/>
    <w:basedOn w:val="Normal"/>
    <w:rsid w:val="009F430D"/>
    <w:pPr>
      <w:pBdr>
        <w:left w:val="single" w:sz="8" w:space="0" w:color="auto"/>
      </w:pBdr>
      <w:spacing w:before="100" w:beforeAutospacing="1" w:after="100" w:afterAutospacing="1" w:line="240" w:lineRule="auto"/>
      <w:jc w:val="left"/>
      <w:textAlignment w:val="top"/>
    </w:pPr>
    <w:rPr>
      <w:rFonts w:eastAsia="Times New Roman" w:cs="Times New Roman"/>
      <w:sz w:val="36"/>
      <w:szCs w:val="36"/>
      <w:lang w:val="de-DE" w:eastAsia="de-DE"/>
    </w:rPr>
  </w:style>
  <w:style w:type="paragraph" w:customStyle="1" w:styleId="xl129">
    <w:name w:val="xl129"/>
    <w:basedOn w:val="Normal"/>
    <w:rsid w:val="009F430D"/>
    <w:pPr>
      <w:pBdr>
        <w:left w:val="single" w:sz="8" w:space="0" w:color="auto"/>
        <w:bottom w:val="single" w:sz="8" w:space="0" w:color="auto"/>
      </w:pBdr>
      <w:spacing w:before="100" w:beforeAutospacing="1" w:after="100" w:afterAutospacing="1" w:line="240" w:lineRule="auto"/>
      <w:jc w:val="left"/>
      <w:textAlignment w:val="top"/>
    </w:pPr>
    <w:rPr>
      <w:rFonts w:eastAsia="Times New Roman" w:cs="Times New Roman"/>
      <w:sz w:val="36"/>
      <w:szCs w:val="36"/>
      <w:lang w:val="de-DE" w:eastAsia="de-DE"/>
    </w:rPr>
  </w:style>
  <w:style w:type="paragraph" w:customStyle="1" w:styleId="xl130">
    <w:name w:val="xl130"/>
    <w:basedOn w:val="Normal"/>
    <w:rsid w:val="009F430D"/>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sz w:val="36"/>
      <w:szCs w:val="36"/>
      <w:lang w:val="de-DE" w:eastAsia="de-DE"/>
    </w:rPr>
  </w:style>
  <w:style w:type="paragraph" w:customStyle="1" w:styleId="xl131">
    <w:name w:val="xl131"/>
    <w:basedOn w:val="Normal"/>
    <w:rsid w:val="009F43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sz w:val="36"/>
      <w:szCs w:val="36"/>
      <w:lang w:val="de-DE" w:eastAsia="de-DE"/>
    </w:rPr>
  </w:style>
  <w:style w:type="paragraph" w:customStyle="1" w:styleId="xl132">
    <w:name w:val="xl132"/>
    <w:basedOn w:val="Normal"/>
    <w:rsid w:val="009F430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eastAsia="Times New Roman" w:cs="Times New Roman"/>
      <w:sz w:val="36"/>
      <w:szCs w:val="36"/>
      <w:lang w:val="de-DE" w:eastAsia="de-DE"/>
    </w:rPr>
  </w:style>
  <w:style w:type="paragraph" w:customStyle="1" w:styleId="xl133">
    <w:name w:val="xl133"/>
    <w:basedOn w:val="Normal"/>
    <w:rsid w:val="009F430D"/>
    <w:pPr>
      <w:pBdr>
        <w:left w:val="single" w:sz="8" w:space="0" w:color="auto"/>
        <w:bottom w:val="single" w:sz="8" w:space="0" w:color="auto"/>
      </w:pBdr>
      <w:spacing w:before="100" w:beforeAutospacing="1" w:after="100" w:afterAutospacing="1" w:line="240" w:lineRule="auto"/>
      <w:jc w:val="center"/>
      <w:textAlignment w:val="top"/>
    </w:pPr>
    <w:rPr>
      <w:rFonts w:eastAsia="Times New Roman" w:cs="Times New Roman"/>
      <w:sz w:val="36"/>
      <w:szCs w:val="36"/>
      <w:lang w:val="de-DE" w:eastAsia="de-DE"/>
    </w:rPr>
  </w:style>
  <w:style w:type="paragraph" w:customStyle="1" w:styleId="xl134">
    <w:name w:val="xl134"/>
    <w:basedOn w:val="Normal"/>
    <w:rsid w:val="009F430D"/>
    <w:pPr>
      <w:pBdr>
        <w:top w:val="single" w:sz="8" w:space="0" w:color="auto"/>
      </w:pBdr>
      <w:spacing w:before="100" w:beforeAutospacing="1" w:after="100" w:afterAutospacing="1" w:line="240" w:lineRule="auto"/>
      <w:jc w:val="left"/>
      <w:textAlignment w:val="top"/>
    </w:pPr>
    <w:rPr>
      <w:rFonts w:eastAsia="Times New Roman" w:cs="Times New Roman"/>
      <w:b/>
      <w:bCs/>
      <w:sz w:val="36"/>
      <w:szCs w:val="36"/>
      <w:lang w:val="de-DE" w:eastAsia="de-DE"/>
    </w:rPr>
  </w:style>
  <w:style w:type="paragraph" w:customStyle="1" w:styleId="xl135">
    <w:name w:val="xl135"/>
    <w:basedOn w:val="Normal"/>
    <w:rsid w:val="009F430D"/>
    <w:pPr>
      <w:pBdr>
        <w:top w:val="single" w:sz="4" w:space="0" w:color="auto"/>
        <w:right w:val="single" w:sz="4" w:space="0" w:color="auto"/>
      </w:pBdr>
      <w:spacing w:before="100" w:beforeAutospacing="1" w:after="100" w:afterAutospacing="1" w:line="240" w:lineRule="auto"/>
      <w:jc w:val="center"/>
    </w:pPr>
    <w:rPr>
      <w:rFonts w:eastAsia="Times New Roman" w:cs="Times New Roman"/>
      <w:sz w:val="36"/>
      <w:szCs w:val="36"/>
      <w:lang w:val="de-DE" w:eastAsia="de-DE"/>
    </w:rPr>
  </w:style>
  <w:style w:type="paragraph" w:customStyle="1" w:styleId="xl136">
    <w:name w:val="xl136"/>
    <w:basedOn w:val="Normal"/>
    <w:rsid w:val="009F430D"/>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sz w:val="36"/>
      <w:szCs w:val="36"/>
      <w:lang w:val="de-DE" w:eastAsia="de-DE"/>
    </w:rPr>
  </w:style>
  <w:style w:type="paragraph" w:customStyle="1" w:styleId="xl137">
    <w:name w:val="xl137"/>
    <w:basedOn w:val="Normal"/>
    <w:rsid w:val="009F430D"/>
    <w:pPr>
      <w:pBdr>
        <w:top w:val="single" w:sz="4" w:space="0" w:color="auto"/>
        <w:left w:val="single" w:sz="4" w:space="0" w:color="auto"/>
        <w:right w:val="single" w:sz="8" w:space="0" w:color="auto"/>
      </w:pBdr>
      <w:spacing w:before="100" w:beforeAutospacing="1" w:after="100" w:afterAutospacing="1" w:line="240" w:lineRule="auto"/>
      <w:jc w:val="center"/>
    </w:pPr>
    <w:rPr>
      <w:rFonts w:eastAsia="Times New Roman" w:cs="Times New Roman"/>
      <w:sz w:val="36"/>
      <w:szCs w:val="36"/>
      <w:lang w:val="de-DE" w:eastAsia="de-DE"/>
    </w:rPr>
  </w:style>
  <w:style w:type="paragraph" w:customStyle="1" w:styleId="xl138">
    <w:name w:val="xl138"/>
    <w:basedOn w:val="Normal"/>
    <w:rsid w:val="009F430D"/>
    <w:pPr>
      <w:pBdr>
        <w:top w:val="single" w:sz="8" w:space="0" w:color="auto"/>
        <w:left w:val="single" w:sz="8" w:space="0" w:color="auto"/>
      </w:pBdr>
      <w:spacing w:before="100" w:beforeAutospacing="1" w:after="100" w:afterAutospacing="1" w:line="240" w:lineRule="auto"/>
      <w:jc w:val="left"/>
    </w:pPr>
    <w:rPr>
      <w:rFonts w:eastAsia="Times New Roman" w:cs="Times New Roman"/>
      <w:sz w:val="36"/>
      <w:szCs w:val="36"/>
      <w:lang w:val="de-DE" w:eastAsia="de-DE"/>
    </w:rPr>
  </w:style>
  <w:style w:type="character" w:customStyle="1" w:styleId="NichtaufgelsteErwhnung8">
    <w:name w:val="Nicht aufgelöste Erwähnung8"/>
    <w:basedOn w:val="DefaultParagraphFont"/>
    <w:uiPriority w:val="99"/>
    <w:semiHidden/>
    <w:unhideWhenUsed/>
    <w:rsid w:val="009F430D"/>
    <w:rPr>
      <w:color w:val="605E5C"/>
      <w:shd w:val="clear" w:color="auto" w:fill="E1DFDD"/>
    </w:rPr>
  </w:style>
  <w:style w:type="paragraph" w:customStyle="1" w:styleId="WDBullets">
    <w:name w:val="WD Bullets"/>
    <w:aliases w:val="Bullets 1,AFW Bullets,AFW Memo Bullets,WD Bullet Ps"/>
    <w:basedOn w:val="Normal"/>
    <w:qFormat/>
    <w:rsid w:val="009F430D"/>
    <w:pPr>
      <w:numPr>
        <w:numId w:val="49"/>
      </w:numPr>
      <w:spacing w:before="60" w:after="0" w:line="288" w:lineRule="auto"/>
      <w:jc w:val="left"/>
    </w:pPr>
    <w:rPr>
      <w:rFonts w:ascii="Arial" w:hAnsi="Arial"/>
      <w:sz w:val="20"/>
      <w:lang w:val="de-DE"/>
    </w:rPr>
  </w:style>
  <w:style w:type="character" w:customStyle="1" w:styleId="normaltextrun">
    <w:name w:val="normaltextrun"/>
    <w:basedOn w:val="DefaultParagraphFont"/>
    <w:rsid w:val="009F430D"/>
  </w:style>
  <w:style w:type="character" w:customStyle="1" w:styleId="eop">
    <w:name w:val="eop"/>
    <w:basedOn w:val="DefaultParagraphFont"/>
    <w:rsid w:val="009F430D"/>
  </w:style>
  <w:style w:type="character" w:customStyle="1" w:styleId="bold">
    <w:name w:val="bold"/>
    <w:basedOn w:val="DefaultParagraphFont"/>
    <w:rsid w:val="009F430D"/>
  </w:style>
  <w:style w:type="table" w:customStyle="1" w:styleId="HTG11">
    <w:name w:val="HTG11"/>
    <w:basedOn w:val="TableNormal"/>
    <w:next w:val="TableGrid"/>
    <w:uiPriority w:val="39"/>
    <w:rsid w:val="009F430D"/>
    <w:pPr>
      <w:spacing w:after="0" w:line="240" w:lineRule="auto"/>
    </w:pPr>
    <w:rPr>
      <w:rFonts w:ascii="Calibri" w:hAnsi="Calibri"/>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9">
    <w:name w:val="Nicht aufgelöste Erwähnung9"/>
    <w:basedOn w:val="DefaultParagraphFont"/>
    <w:uiPriority w:val="99"/>
    <w:semiHidden/>
    <w:unhideWhenUsed/>
    <w:rsid w:val="009F430D"/>
    <w:rPr>
      <w:color w:val="605E5C"/>
      <w:shd w:val="clear" w:color="auto" w:fill="E1DFDD"/>
    </w:rPr>
  </w:style>
  <w:style w:type="table" w:customStyle="1" w:styleId="Ricardotable">
    <w:name w:val="Ricardo table"/>
    <w:basedOn w:val="TableGrid13"/>
    <w:uiPriority w:val="99"/>
    <w:rsid w:val="009F430D"/>
    <w:pPr>
      <w:spacing w:after="60" w:line="240" w:lineRule="auto"/>
      <w:jc w:val="center"/>
    </w:pPr>
    <w:rPr>
      <w:rFonts w:eastAsia="Times New Roman" w:cs="Times New Roman"/>
      <w:sz w:val="18"/>
      <w:szCs w:val="20"/>
      <w:lang w:val="en-US" w:eastAsia="en-GB" w:bidi="he-IL"/>
    </w:rPr>
    <w:tblPr>
      <w:tblStyleRowBandSize w:val="1"/>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tcPr>
    <w:tblStylePr w:type="firstRow">
      <w:rPr>
        <w:rFonts w:ascii="Arial" w:hAnsi="Arial" w:cs="Times New Roman"/>
        <w:color w:val="FFFFFF"/>
      </w:rPr>
      <w:tblPr/>
      <w:tcPr>
        <w:shd w:val="clear" w:color="auto" w:fill="006BB7"/>
      </w:tcPr>
    </w:tblStyle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tblStylePr w:type="band2Horz">
      <w:rPr>
        <w:rFonts w:cs="Times New Roman"/>
      </w:rPr>
      <w:tblPr/>
      <w:tcPr>
        <w:shd w:val="clear" w:color="auto" w:fill="EAF2FA"/>
      </w:tcPr>
    </w:tblStylePr>
  </w:style>
  <w:style w:type="table" w:styleId="TableGrid13">
    <w:name w:val="Table Grid 1"/>
    <w:basedOn w:val="TableNormal"/>
    <w:uiPriority w:val="99"/>
    <w:semiHidden/>
    <w:unhideWhenUsed/>
    <w:rsid w:val="009F430D"/>
    <w:pPr>
      <w:spacing w:before="60" w:after="0" w:line="288" w:lineRule="auto"/>
    </w:pPr>
    <w:rPr>
      <w:rFonts w:ascii="Arial" w:hAnsi="Arial"/>
      <w:sz w:val="20"/>
      <w:lang w:val="de-D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UnresolvedMention17">
    <w:name w:val="Unresolved Mention17"/>
    <w:basedOn w:val="DefaultParagraphFont"/>
    <w:uiPriority w:val="99"/>
    <w:unhideWhenUsed/>
    <w:rsid w:val="009F430D"/>
    <w:rPr>
      <w:color w:val="605E5C"/>
      <w:shd w:val="clear" w:color="auto" w:fill="E1DFDD"/>
    </w:rPr>
  </w:style>
  <w:style w:type="paragraph" w:customStyle="1" w:styleId="ECHeading5">
    <w:name w:val="EC Heading 5"/>
    <w:basedOn w:val="ECHeading4"/>
    <w:link w:val="ECHeading5Zchn"/>
    <w:qFormat/>
    <w:rsid w:val="009F430D"/>
    <w:pPr>
      <w:spacing w:before="120"/>
      <w:ind w:left="6591" w:hanging="855"/>
      <w:jc w:val="left"/>
      <w:outlineLvl w:val="4"/>
    </w:pPr>
    <w:rPr>
      <w:sz w:val="24"/>
    </w:rPr>
  </w:style>
  <w:style w:type="table" w:customStyle="1" w:styleId="Ricardotable1">
    <w:name w:val="Ricardo table1"/>
    <w:basedOn w:val="TableGrid13"/>
    <w:uiPriority w:val="99"/>
    <w:rsid w:val="009F430D"/>
    <w:pPr>
      <w:spacing w:after="60" w:line="240" w:lineRule="auto"/>
      <w:jc w:val="center"/>
    </w:pPr>
    <w:rPr>
      <w:rFonts w:eastAsia="Times New Roman" w:cs="Times New Roman"/>
      <w:sz w:val="18"/>
      <w:szCs w:val="20"/>
      <w:lang w:eastAsia="en-GB"/>
    </w:rPr>
    <w:tblPr>
      <w:tblStyleRowBandSize w:val="1"/>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tcPr>
    <w:tblStylePr w:type="firstRow">
      <w:rPr>
        <w:rFonts w:ascii="Arial" w:hAnsi="Arial" w:cs="Times New Roman"/>
        <w:color w:val="FFFFFF"/>
      </w:rPr>
      <w:tblPr/>
      <w:tcPr>
        <w:shd w:val="clear" w:color="auto" w:fill="006BB7"/>
      </w:tcPr>
    </w:tblStyle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tblStylePr w:type="band2Horz">
      <w:rPr>
        <w:rFonts w:cs="Times New Roman"/>
      </w:rPr>
      <w:tblPr/>
      <w:tcPr>
        <w:shd w:val="clear" w:color="auto" w:fill="EAF2FA"/>
      </w:tcPr>
    </w:tblStylePr>
  </w:style>
  <w:style w:type="table" w:customStyle="1" w:styleId="GridTable3-Accent51">
    <w:name w:val="Grid Table 3 - Accent 51"/>
    <w:basedOn w:val="TableNormal"/>
    <w:next w:val="GridTable3-Accent5"/>
    <w:uiPriority w:val="48"/>
    <w:rsid w:val="009F430D"/>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paragraph" w:customStyle="1" w:styleId="TableParagraph">
    <w:name w:val="Table Paragraph"/>
    <w:basedOn w:val="Normal"/>
    <w:uiPriority w:val="1"/>
    <w:qFormat/>
    <w:rsid w:val="009F430D"/>
    <w:pPr>
      <w:widowControl w:val="0"/>
      <w:autoSpaceDE w:val="0"/>
      <w:autoSpaceDN w:val="0"/>
      <w:spacing w:after="0" w:line="240" w:lineRule="auto"/>
      <w:jc w:val="left"/>
    </w:pPr>
    <w:rPr>
      <w:rFonts w:ascii="Arial" w:eastAsia="Arial" w:hAnsi="Arial" w:cs="Arial"/>
      <w:sz w:val="22"/>
      <w:lang w:val="en-US"/>
    </w:rPr>
  </w:style>
  <w:style w:type="table" w:customStyle="1" w:styleId="Ricardotable2">
    <w:name w:val="Ricardo table2"/>
    <w:basedOn w:val="TableGrid13"/>
    <w:uiPriority w:val="99"/>
    <w:rsid w:val="009F430D"/>
    <w:pPr>
      <w:spacing w:after="60" w:line="240" w:lineRule="auto"/>
      <w:jc w:val="center"/>
    </w:pPr>
    <w:rPr>
      <w:rFonts w:eastAsia="Times New Roman" w:cs="Times New Roman"/>
      <w:sz w:val="18"/>
      <w:szCs w:val="20"/>
    </w:rPr>
    <w:tblPr>
      <w:tblStyleRowBandSize w:val="1"/>
      <w:tblInd w:w="0" w:type="nil"/>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tcPr>
    <w:tblStylePr w:type="firstRow">
      <w:rPr>
        <w:rFonts w:ascii="Arial" w:hAnsi="Arial" w:cs="Times New Roman" w:hint="default"/>
        <w:color w:val="FFFFFF"/>
      </w:rPr>
      <w:tblPr/>
      <w:tcPr>
        <w:shd w:val="clear" w:color="auto" w:fill="006BB7"/>
      </w:tcPr>
    </w:tblStylePr>
    <w:tblStylePr w:type="lastRow">
      <w:rPr>
        <w:rFonts w:ascii="Arial" w:hAnsi="Arial" w:cs="Times New Roman" w:hint="default"/>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icardotable3">
    <w:name w:val="Ricardo table3"/>
    <w:basedOn w:val="TableGrid13"/>
    <w:uiPriority w:val="99"/>
    <w:rsid w:val="009F430D"/>
    <w:pPr>
      <w:spacing w:after="60" w:line="240" w:lineRule="auto"/>
      <w:jc w:val="center"/>
    </w:pPr>
    <w:rPr>
      <w:rFonts w:eastAsia="Times New Roman" w:cs="Times New Roman"/>
      <w:sz w:val="18"/>
      <w:szCs w:val="20"/>
    </w:rPr>
    <w:tblPr>
      <w:tblStyleRowBandSize w:val="1"/>
      <w:tblInd w:w="0" w:type="nil"/>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tcPr>
    <w:tblStylePr w:type="firstRow">
      <w:rPr>
        <w:rFonts w:ascii="Arial" w:hAnsi="Arial" w:cs="Times New Roman" w:hint="default"/>
        <w:color w:val="FFFFFF"/>
      </w:rPr>
      <w:tblPr/>
      <w:tcPr>
        <w:shd w:val="clear" w:color="auto" w:fill="006BB7"/>
      </w:tcPr>
    </w:tblStylePr>
    <w:tblStylePr w:type="lastRow">
      <w:rPr>
        <w:rFonts w:ascii="Arial" w:hAnsi="Arial" w:cs="Times New Roman" w:hint="default"/>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icardotable4">
    <w:name w:val="Ricardo table4"/>
    <w:basedOn w:val="TableGrid13"/>
    <w:uiPriority w:val="99"/>
    <w:rsid w:val="009F430D"/>
    <w:pPr>
      <w:spacing w:after="60" w:line="240" w:lineRule="auto"/>
      <w:jc w:val="center"/>
    </w:pPr>
    <w:rPr>
      <w:rFonts w:eastAsia="Times New Roman" w:cs="Times New Roman"/>
      <w:sz w:val="18"/>
      <w:szCs w:val="20"/>
    </w:rPr>
    <w:tblPr>
      <w:tblStyleRowBandSize w:val="1"/>
      <w:tblInd w:w="0" w:type="nil"/>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tcPr>
    <w:tblStylePr w:type="firstRow">
      <w:rPr>
        <w:rFonts w:ascii="Arial" w:hAnsi="Arial" w:cs="Times New Roman" w:hint="default"/>
        <w:color w:val="FFFFFF"/>
      </w:rPr>
      <w:tblPr/>
      <w:tcPr>
        <w:shd w:val="clear" w:color="auto" w:fill="006BB7"/>
      </w:tcPr>
    </w:tblStylePr>
    <w:tblStylePr w:type="lastRow">
      <w:rPr>
        <w:rFonts w:ascii="Arial" w:hAnsi="Arial" w:cs="Times New Roman" w:hint="default"/>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icardotable5">
    <w:name w:val="Ricardo table5"/>
    <w:basedOn w:val="TableGrid13"/>
    <w:uiPriority w:val="99"/>
    <w:rsid w:val="009F430D"/>
    <w:pPr>
      <w:spacing w:after="60" w:line="240" w:lineRule="auto"/>
      <w:jc w:val="center"/>
    </w:pPr>
    <w:rPr>
      <w:rFonts w:eastAsia="Times New Roman" w:cs="Times New Roman"/>
      <w:sz w:val="18"/>
      <w:szCs w:val="20"/>
    </w:rPr>
    <w:tblPr>
      <w:tblStyleRowBandSize w:val="1"/>
      <w:tblInd w:w="0" w:type="nil"/>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tcPr>
    <w:tblStylePr w:type="firstRow">
      <w:rPr>
        <w:rFonts w:ascii="Arial" w:hAnsi="Arial" w:cs="Times New Roman" w:hint="default"/>
        <w:color w:val="FFFFFF"/>
      </w:rPr>
      <w:tblPr/>
      <w:tcPr>
        <w:shd w:val="clear" w:color="auto" w:fill="006BB7"/>
      </w:tcPr>
    </w:tblStylePr>
    <w:tblStylePr w:type="lastRow">
      <w:rPr>
        <w:rFonts w:ascii="Arial" w:hAnsi="Arial" w:cs="Times New Roman" w:hint="default"/>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icardotable6">
    <w:name w:val="Ricardo table6"/>
    <w:basedOn w:val="TableGrid13"/>
    <w:uiPriority w:val="99"/>
    <w:rsid w:val="009F430D"/>
    <w:pPr>
      <w:spacing w:after="60" w:line="240" w:lineRule="auto"/>
      <w:jc w:val="center"/>
    </w:pPr>
    <w:rPr>
      <w:rFonts w:eastAsia="Times New Roman" w:cs="Times New Roman"/>
      <w:sz w:val="18"/>
      <w:szCs w:val="20"/>
    </w:rPr>
    <w:tblPr>
      <w:tblStyleRowBandSize w:val="1"/>
      <w:tblInd w:w="0" w:type="nil"/>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tcPr>
    <w:tblStylePr w:type="firstRow">
      <w:rPr>
        <w:rFonts w:ascii="Arial" w:hAnsi="Arial" w:cs="Times New Roman" w:hint="default"/>
        <w:color w:val="FFFFFF"/>
      </w:rPr>
      <w:tblPr/>
      <w:tcPr>
        <w:shd w:val="clear" w:color="auto" w:fill="006BB7"/>
      </w:tcPr>
    </w:tblStylePr>
    <w:tblStylePr w:type="lastRow">
      <w:rPr>
        <w:rFonts w:ascii="Arial" w:hAnsi="Arial" w:cs="Times New Roman" w:hint="default"/>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icardotable7">
    <w:name w:val="Ricardo table7"/>
    <w:basedOn w:val="TableGrid13"/>
    <w:uiPriority w:val="99"/>
    <w:rsid w:val="009F430D"/>
    <w:pPr>
      <w:spacing w:after="60" w:line="240" w:lineRule="auto"/>
      <w:jc w:val="center"/>
    </w:pPr>
    <w:rPr>
      <w:rFonts w:eastAsia="Times New Roman" w:cs="Times New Roman"/>
      <w:sz w:val="18"/>
      <w:szCs w:val="20"/>
    </w:rPr>
    <w:tblPr>
      <w:tblStyleRowBandSize w:val="1"/>
      <w:tblInd w:w="0" w:type="nil"/>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tcPr>
    <w:tblStylePr w:type="firstRow">
      <w:rPr>
        <w:rFonts w:ascii="Arial" w:hAnsi="Arial" w:cs="Times New Roman" w:hint="default"/>
        <w:color w:val="FFFFFF"/>
      </w:rPr>
      <w:tblPr/>
      <w:tcPr>
        <w:shd w:val="clear" w:color="auto" w:fill="006BB7"/>
      </w:tcPr>
    </w:tblStylePr>
    <w:tblStylePr w:type="lastRow">
      <w:rPr>
        <w:rFonts w:ascii="Arial" w:hAnsi="Arial" w:cs="Times New Roman" w:hint="default"/>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icardotable8">
    <w:name w:val="Ricardo table8"/>
    <w:basedOn w:val="TableGrid13"/>
    <w:uiPriority w:val="99"/>
    <w:rsid w:val="009F430D"/>
    <w:pPr>
      <w:spacing w:after="60" w:line="240" w:lineRule="auto"/>
      <w:jc w:val="center"/>
    </w:pPr>
    <w:rPr>
      <w:rFonts w:eastAsia="Times New Roman" w:cs="Times New Roman"/>
      <w:sz w:val="18"/>
      <w:szCs w:val="20"/>
    </w:rPr>
    <w:tblPr>
      <w:tblStyleRowBandSize w:val="1"/>
      <w:tblInd w:w="0" w:type="nil"/>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tcPr>
    <w:tblStylePr w:type="firstRow">
      <w:rPr>
        <w:rFonts w:ascii="Arial" w:hAnsi="Arial" w:cs="Times New Roman" w:hint="default"/>
        <w:color w:val="FFFFFF"/>
      </w:rPr>
      <w:tblPr/>
      <w:tcPr>
        <w:shd w:val="clear" w:color="auto" w:fill="006BB7"/>
      </w:tcPr>
    </w:tblStylePr>
    <w:tblStylePr w:type="lastRow">
      <w:rPr>
        <w:rFonts w:ascii="Arial" w:hAnsi="Arial" w:cs="Times New Roman" w:hint="default"/>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icardotable9">
    <w:name w:val="Ricardo table9"/>
    <w:basedOn w:val="TableGrid13"/>
    <w:uiPriority w:val="99"/>
    <w:rsid w:val="009F430D"/>
    <w:pPr>
      <w:spacing w:after="60" w:line="240" w:lineRule="auto"/>
      <w:jc w:val="center"/>
    </w:pPr>
    <w:rPr>
      <w:rFonts w:eastAsia="Times New Roman" w:cs="Times New Roman"/>
      <w:sz w:val="18"/>
      <w:szCs w:val="20"/>
    </w:rPr>
    <w:tblPr>
      <w:tblStyleRowBandSize w:val="1"/>
      <w:tblInd w:w="0" w:type="nil"/>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tcPr>
    <w:tblStylePr w:type="firstRow">
      <w:rPr>
        <w:rFonts w:ascii="Arial" w:hAnsi="Arial" w:cs="Times New Roman" w:hint="default"/>
        <w:color w:val="FFFFFF"/>
      </w:rPr>
      <w:tblPr/>
      <w:tcPr>
        <w:shd w:val="clear" w:color="auto" w:fill="006BB7"/>
      </w:tcPr>
    </w:tblStylePr>
    <w:tblStylePr w:type="lastRow">
      <w:rPr>
        <w:rFonts w:ascii="Arial" w:hAnsi="Arial" w:cs="Times New Roman" w:hint="default"/>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icardotable10">
    <w:name w:val="Ricardo table10"/>
    <w:basedOn w:val="TableGrid13"/>
    <w:uiPriority w:val="99"/>
    <w:rsid w:val="009F430D"/>
    <w:pPr>
      <w:spacing w:after="60" w:line="240" w:lineRule="auto"/>
      <w:jc w:val="center"/>
    </w:pPr>
    <w:rPr>
      <w:rFonts w:eastAsia="Times New Roman" w:cs="Times New Roman"/>
      <w:sz w:val="18"/>
      <w:szCs w:val="20"/>
    </w:rPr>
    <w:tblPr>
      <w:tblStyleRowBandSize w:val="1"/>
      <w:tblInd w:w="0" w:type="nil"/>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tcPr>
    <w:tblStylePr w:type="firstRow">
      <w:rPr>
        <w:rFonts w:ascii="Arial" w:hAnsi="Arial" w:cs="Times New Roman" w:hint="default"/>
        <w:color w:val="FFFFFF"/>
      </w:rPr>
      <w:tblPr/>
      <w:tcPr>
        <w:shd w:val="clear" w:color="auto" w:fill="006BB7"/>
      </w:tcPr>
    </w:tblStylePr>
    <w:tblStylePr w:type="lastRow">
      <w:rPr>
        <w:rFonts w:ascii="Arial" w:hAnsi="Arial" w:cs="Times New Roman" w:hint="default"/>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icardotable11">
    <w:name w:val="Ricardo table11"/>
    <w:basedOn w:val="TableGrid13"/>
    <w:uiPriority w:val="99"/>
    <w:rsid w:val="009F430D"/>
    <w:pPr>
      <w:spacing w:after="60" w:line="240" w:lineRule="auto"/>
      <w:jc w:val="center"/>
    </w:pPr>
    <w:rPr>
      <w:rFonts w:eastAsia="Times New Roman" w:cs="Times New Roman"/>
      <w:sz w:val="18"/>
      <w:szCs w:val="20"/>
    </w:rPr>
    <w:tblPr>
      <w:tblStyleRowBandSize w:val="1"/>
      <w:tblInd w:w="0" w:type="nil"/>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tcPr>
    <w:tblStylePr w:type="firstRow">
      <w:rPr>
        <w:rFonts w:ascii="Arial" w:hAnsi="Arial" w:cs="Times New Roman" w:hint="default"/>
        <w:color w:val="FFFFFF"/>
      </w:rPr>
      <w:tblPr/>
      <w:tcPr>
        <w:shd w:val="clear" w:color="auto" w:fill="006BB7"/>
      </w:tcPr>
    </w:tblStylePr>
    <w:tblStylePr w:type="lastRow">
      <w:rPr>
        <w:rFonts w:ascii="Arial" w:hAnsi="Arial" w:cs="Times New Roman" w:hint="default"/>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icardotable12">
    <w:name w:val="Ricardo table12"/>
    <w:basedOn w:val="TableGrid13"/>
    <w:uiPriority w:val="99"/>
    <w:rsid w:val="009F430D"/>
    <w:pPr>
      <w:spacing w:after="60" w:line="240" w:lineRule="auto"/>
      <w:jc w:val="center"/>
    </w:pPr>
    <w:rPr>
      <w:rFonts w:eastAsia="Times New Roman" w:cs="Times New Roman"/>
      <w:sz w:val="18"/>
      <w:szCs w:val="20"/>
    </w:rPr>
    <w:tblPr>
      <w:tblStyleRowBandSize w:val="1"/>
      <w:tblInd w:w="0" w:type="nil"/>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tcPr>
    <w:tblStylePr w:type="firstRow">
      <w:rPr>
        <w:rFonts w:ascii="Arial" w:hAnsi="Arial" w:cs="Times New Roman" w:hint="default"/>
        <w:color w:val="FFFFFF"/>
      </w:rPr>
      <w:tblPr/>
      <w:tcPr>
        <w:shd w:val="clear" w:color="auto" w:fill="006BB7"/>
      </w:tcPr>
    </w:tblStylePr>
    <w:tblStylePr w:type="lastRow">
      <w:rPr>
        <w:rFonts w:ascii="Arial" w:hAnsi="Arial" w:cs="Times New Roman" w:hint="default"/>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icardotable13">
    <w:name w:val="Ricardo table13"/>
    <w:basedOn w:val="TableGrid13"/>
    <w:uiPriority w:val="99"/>
    <w:rsid w:val="009F430D"/>
    <w:pPr>
      <w:spacing w:after="60" w:line="240" w:lineRule="auto"/>
      <w:jc w:val="center"/>
    </w:pPr>
    <w:rPr>
      <w:rFonts w:eastAsia="Times New Roman" w:cs="Times New Roman"/>
      <w:sz w:val="18"/>
      <w:szCs w:val="20"/>
    </w:rPr>
    <w:tblPr>
      <w:tblStyleRowBandSize w:val="1"/>
      <w:tblInd w:w="0" w:type="nil"/>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tcPr>
    <w:tblStylePr w:type="firstRow">
      <w:rPr>
        <w:rFonts w:ascii="Arial" w:hAnsi="Arial" w:cs="Times New Roman" w:hint="default"/>
        <w:color w:val="FFFFFF"/>
      </w:rPr>
      <w:tblPr/>
      <w:tcPr>
        <w:shd w:val="clear" w:color="auto" w:fill="006BB7"/>
      </w:tcPr>
    </w:tblStylePr>
    <w:tblStylePr w:type="lastRow">
      <w:rPr>
        <w:rFonts w:ascii="Arial" w:hAnsi="Arial" w:cs="Times New Roman" w:hint="default"/>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icardotable14">
    <w:name w:val="Ricardo table14"/>
    <w:basedOn w:val="TableGrid13"/>
    <w:uiPriority w:val="99"/>
    <w:rsid w:val="009F430D"/>
    <w:pPr>
      <w:spacing w:after="60" w:line="240" w:lineRule="auto"/>
      <w:jc w:val="center"/>
    </w:pPr>
    <w:rPr>
      <w:rFonts w:eastAsia="Times New Roman" w:cs="Times New Roman"/>
      <w:sz w:val="18"/>
      <w:szCs w:val="20"/>
    </w:rPr>
    <w:tblPr>
      <w:tblStyleRowBandSize w:val="1"/>
      <w:tblInd w:w="0" w:type="nil"/>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tcPr>
    <w:tblStylePr w:type="firstRow">
      <w:rPr>
        <w:rFonts w:ascii="Arial" w:hAnsi="Arial" w:cs="Times New Roman" w:hint="default"/>
        <w:color w:val="FFFFFF"/>
      </w:rPr>
      <w:tblPr/>
      <w:tcPr>
        <w:shd w:val="clear" w:color="auto" w:fill="006BB7"/>
      </w:tcPr>
    </w:tblStylePr>
    <w:tblStylePr w:type="lastRow">
      <w:rPr>
        <w:rFonts w:ascii="Arial" w:hAnsi="Arial" w:cs="Times New Roman" w:hint="default"/>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icardotable15">
    <w:name w:val="Ricardo table15"/>
    <w:basedOn w:val="TableGrid13"/>
    <w:uiPriority w:val="99"/>
    <w:rsid w:val="009F430D"/>
    <w:pPr>
      <w:spacing w:after="60" w:line="240" w:lineRule="auto"/>
      <w:jc w:val="center"/>
    </w:pPr>
    <w:rPr>
      <w:rFonts w:eastAsia="Times New Roman" w:cs="Times New Roman"/>
      <w:sz w:val="18"/>
      <w:szCs w:val="20"/>
    </w:rPr>
    <w:tblPr>
      <w:tblStyleRowBandSize w:val="1"/>
      <w:tblInd w:w="0" w:type="nil"/>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tcPr>
    <w:tblStylePr w:type="firstRow">
      <w:rPr>
        <w:rFonts w:ascii="Arial" w:hAnsi="Arial" w:cs="Times New Roman" w:hint="default"/>
        <w:color w:val="FFFFFF"/>
      </w:rPr>
      <w:tblPr/>
      <w:tcPr>
        <w:shd w:val="clear" w:color="auto" w:fill="006BB7"/>
      </w:tcPr>
    </w:tblStylePr>
    <w:tblStylePr w:type="lastRow">
      <w:rPr>
        <w:rFonts w:ascii="Arial" w:hAnsi="Arial" w:cs="Times New Roman" w:hint="default"/>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icardotable16">
    <w:name w:val="Ricardo table16"/>
    <w:basedOn w:val="TableGrid13"/>
    <w:uiPriority w:val="99"/>
    <w:rsid w:val="009F430D"/>
    <w:pPr>
      <w:spacing w:after="60" w:line="240" w:lineRule="auto"/>
      <w:jc w:val="center"/>
    </w:pPr>
    <w:rPr>
      <w:rFonts w:eastAsia="Times New Roman" w:cs="Times New Roman"/>
      <w:sz w:val="18"/>
      <w:szCs w:val="20"/>
    </w:rPr>
    <w:tblPr>
      <w:tblStyleRowBandSize w:val="1"/>
      <w:tblInd w:w="0" w:type="nil"/>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tcPr>
    <w:tblStylePr w:type="firstRow">
      <w:rPr>
        <w:rFonts w:ascii="Arial" w:hAnsi="Arial" w:cs="Times New Roman" w:hint="default"/>
        <w:color w:val="FFFFFF"/>
      </w:rPr>
      <w:tblPr/>
      <w:tcPr>
        <w:shd w:val="clear" w:color="auto" w:fill="006BB7"/>
      </w:tcPr>
    </w:tblStylePr>
    <w:tblStylePr w:type="lastRow">
      <w:rPr>
        <w:rFonts w:ascii="Arial" w:hAnsi="Arial" w:cs="Times New Roman" w:hint="default"/>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icardotable17">
    <w:name w:val="Ricardo table17"/>
    <w:basedOn w:val="TableGrid13"/>
    <w:uiPriority w:val="99"/>
    <w:rsid w:val="009F430D"/>
    <w:pPr>
      <w:spacing w:after="60" w:line="240" w:lineRule="auto"/>
      <w:jc w:val="center"/>
    </w:pPr>
    <w:rPr>
      <w:rFonts w:eastAsia="Times New Roman" w:cs="Times New Roman"/>
      <w:sz w:val="18"/>
      <w:szCs w:val="20"/>
    </w:rPr>
    <w:tblPr>
      <w:tblStyleRowBandSize w:val="1"/>
      <w:tblInd w:w="0" w:type="nil"/>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tcPr>
    <w:tblStylePr w:type="firstRow">
      <w:rPr>
        <w:rFonts w:ascii="Arial" w:hAnsi="Arial" w:cs="Times New Roman" w:hint="default"/>
        <w:color w:val="FFFFFF"/>
      </w:rPr>
      <w:tblPr/>
      <w:tcPr>
        <w:shd w:val="clear" w:color="auto" w:fill="006BB7"/>
      </w:tcPr>
    </w:tblStylePr>
    <w:tblStylePr w:type="lastRow">
      <w:rPr>
        <w:rFonts w:ascii="Arial" w:hAnsi="Arial" w:cs="Times New Roman" w:hint="default"/>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ECHeading3Char">
    <w:name w:val="EC Heading 3 Char"/>
    <w:basedOn w:val="ECHeading2Char"/>
    <w:locked/>
    <w:rsid w:val="009F430D"/>
    <w:rPr>
      <w:rFonts w:ascii="Arial" w:eastAsia="Times New Roman" w:hAnsi="Arial" w:cs="Times New Roman"/>
      <w:b/>
      <w:bCs/>
      <w:color w:val="006BB7"/>
      <w:sz w:val="24"/>
      <w:szCs w:val="24"/>
    </w:rPr>
  </w:style>
  <w:style w:type="paragraph" w:customStyle="1" w:styleId="Normal1">
    <w:name w:val="Normal1"/>
    <w:basedOn w:val="Normal"/>
    <w:rsid w:val="009F430D"/>
    <w:pPr>
      <w:spacing w:before="100" w:beforeAutospacing="1" w:after="100" w:afterAutospacing="1" w:line="240" w:lineRule="auto"/>
      <w:jc w:val="left"/>
    </w:pPr>
    <w:rPr>
      <w:rFonts w:eastAsia="Times New Roman" w:cs="Times New Roman"/>
      <w:szCs w:val="24"/>
      <w:lang w:eastAsia="en-GB"/>
    </w:rPr>
  </w:style>
  <w:style w:type="character" w:customStyle="1" w:styleId="IntenseReference1">
    <w:name w:val="Intense Reference1"/>
    <w:basedOn w:val="DefaultParagraphFont"/>
    <w:uiPriority w:val="32"/>
    <w:qFormat/>
    <w:rsid w:val="009F430D"/>
    <w:rPr>
      <w:b/>
      <w:bCs/>
      <w:smallCaps/>
      <w:color w:val="4F81BD"/>
      <w:spacing w:val="5"/>
    </w:rPr>
  </w:style>
  <w:style w:type="paragraph" w:styleId="z-TopofForm">
    <w:name w:val="HTML Top of Form"/>
    <w:basedOn w:val="Normal"/>
    <w:next w:val="Normal"/>
    <w:link w:val="z-TopofFormChar"/>
    <w:hidden/>
    <w:uiPriority w:val="99"/>
    <w:semiHidden/>
    <w:unhideWhenUsed/>
    <w:rsid w:val="009F430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F430D"/>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F430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9F430D"/>
    <w:rPr>
      <w:rFonts w:ascii="Arial" w:eastAsia="Times New Roman" w:hAnsi="Arial" w:cs="Arial"/>
      <w:vanish/>
      <w:sz w:val="16"/>
      <w:szCs w:val="16"/>
    </w:rPr>
  </w:style>
  <w:style w:type="character" w:customStyle="1" w:styleId="NichtaufgelsteErwhnung10">
    <w:name w:val="Nicht aufgelöste Erwähnung10"/>
    <w:basedOn w:val="DefaultParagraphFont"/>
    <w:uiPriority w:val="99"/>
    <w:rsid w:val="009F430D"/>
    <w:rPr>
      <w:color w:val="605E5C"/>
      <w:shd w:val="clear" w:color="auto" w:fill="E1DFDD"/>
    </w:rPr>
  </w:style>
  <w:style w:type="table" w:customStyle="1" w:styleId="Mainbidtables4">
    <w:name w:val="Main bid tables4"/>
    <w:basedOn w:val="TableNormal"/>
    <w:uiPriority w:val="99"/>
    <w:rsid w:val="009F430D"/>
    <w:pPr>
      <w:spacing w:before="60" w:after="0" w:line="240" w:lineRule="auto"/>
    </w:pPr>
    <w:rPr>
      <w:rFonts w:ascii="Arial" w:eastAsia="Times New Roman" w:hAnsi="Arial" w:cs="Times New Roman"/>
      <w:sz w:val="20"/>
      <w:szCs w:val="20"/>
      <w:lang w:eastAsia="en-GB"/>
    </w:rPr>
    <w:tblPr>
      <w:tblStyleRowBandSize w:val="1"/>
      <w:tblStyleColBandSize w:val="1"/>
      <w:tblInd w:w="0" w:type="nil"/>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style>
  <w:style w:type="table" w:customStyle="1" w:styleId="TableGridLight11">
    <w:name w:val="Table Grid Light11"/>
    <w:basedOn w:val="TableNormal"/>
    <w:uiPriority w:val="40"/>
    <w:rsid w:val="009F430D"/>
    <w:pPr>
      <w:spacing w:after="0" w:line="240" w:lineRule="auto"/>
    </w:pPr>
    <w:rPr>
      <w:rFonts w:ascii="Arial" w:eastAsia="Times New Roman" w:hAnsi="Arial" w:cs="Times New Roman"/>
      <w:sz w:val="20"/>
      <w:szCs w:val="20"/>
      <w:lang w:eastAsia="en-GB"/>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IntenseReference2">
    <w:name w:val="Intense Reference2"/>
    <w:basedOn w:val="DefaultParagraphFont"/>
    <w:uiPriority w:val="32"/>
    <w:qFormat/>
    <w:rsid w:val="009F430D"/>
    <w:rPr>
      <w:b/>
      <w:bCs/>
      <w:smallCaps/>
      <w:color w:val="5B9BD5"/>
      <w:spacing w:val="5"/>
    </w:rPr>
  </w:style>
  <w:style w:type="paragraph" w:customStyle="1" w:styleId="sti-art">
    <w:name w:val="sti-art"/>
    <w:basedOn w:val="Normal"/>
    <w:rsid w:val="009F430D"/>
    <w:pPr>
      <w:spacing w:before="100" w:beforeAutospacing="1" w:after="100" w:afterAutospacing="1" w:line="240" w:lineRule="auto"/>
    </w:pPr>
    <w:rPr>
      <w:rFonts w:eastAsia="Times New Roman" w:cs="Times New Roman"/>
      <w:szCs w:val="24"/>
      <w:lang w:eastAsia="en-GB"/>
    </w:rPr>
  </w:style>
  <w:style w:type="table" w:customStyle="1" w:styleId="David1">
    <w:name w:val="David1"/>
    <w:basedOn w:val="TableNormal"/>
    <w:uiPriority w:val="99"/>
    <w:qFormat/>
    <w:rsid w:val="009F430D"/>
    <w:pPr>
      <w:spacing w:before="20" w:after="20" w:line="240" w:lineRule="auto"/>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rPr>
        <w:rFonts w:ascii="Arial" w:hAnsi="Arial" w:cs="Arial"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paragraph" w:styleId="HTMLPreformatted">
    <w:name w:val="HTML Preformatted"/>
    <w:basedOn w:val="Normal"/>
    <w:link w:val="HTMLPreformattedChar"/>
    <w:uiPriority w:val="99"/>
    <w:unhideWhenUsed/>
    <w:rsid w:val="009F43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de-DE" w:eastAsia="de-DE"/>
    </w:rPr>
  </w:style>
  <w:style w:type="character" w:customStyle="1" w:styleId="HTMLPreformattedChar">
    <w:name w:val="HTML Preformatted Char"/>
    <w:basedOn w:val="DefaultParagraphFont"/>
    <w:link w:val="HTMLPreformatted"/>
    <w:uiPriority w:val="99"/>
    <w:rsid w:val="009F430D"/>
    <w:rPr>
      <w:rFonts w:ascii="Courier New" w:eastAsia="Times New Roman" w:hAnsi="Courier New" w:cs="Courier New"/>
      <w:sz w:val="20"/>
      <w:szCs w:val="20"/>
      <w:lang w:val="de-DE" w:eastAsia="de-DE"/>
    </w:rPr>
  </w:style>
  <w:style w:type="character" w:customStyle="1" w:styleId="A5">
    <w:name w:val="A5"/>
    <w:uiPriority w:val="99"/>
    <w:rsid w:val="009F430D"/>
    <w:rPr>
      <w:rFonts w:cs="Open Sans"/>
      <w:color w:val="000000"/>
      <w:sz w:val="10"/>
      <w:szCs w:val="10"/>
    </w:rPr>
  </w:style>
  <w:style w:type="paragraph" w:customStyle="1" w:styleId="Pa10">
    <w:name w:val="Pa10"/>
    <w:basedOn w:val="Default"/>
    <w:next w:val="Default"/>
    <w:uiPriority w:val="99"/>
    <w:rsid w:val="009F430D"/>
    <w:pPr>
      <w:spacing w:line="181" w:lineRule="atLeast"/>
    </w:pPr>
    <w:rPr>
      <w:rFonts w:ascii="Open Sans" w:hAnsi="Open Sans" w:cs="Arial"/>
      <w:color w:val="auto"/>
      <w:lang w:val="de-DE"/>
    </w:rPr>
  </w:style>
  <w:style w:type="character" w:customStyle="1" w:styleId="A9">
    <w:name w:val="A9"/>
    <w:uiPriority w:val="99"/>
    <w:rsid w:val="009F430D"/>
    <w:rPr>
      <w:rFonts w:cs="Open Sans"/>
      <w:color w:val="000000"/>
      <w:sz w:val="10"/>
      <w:szCs w:val="10"/>
    </w:rPr>
  </w:style>
  <w:style w:type="character" w:customStyle="1" w:styleId="A10">
    <w:name w:val="A10"/>
    <w:uiPriority w:val="99"/>
    <w:rsid w:val="009F430D"/>
    <w:rPr>
      <w:rFonts w:cs="Open Sans"/>
      <w:color w:val="000000"/>
      <w:sz w:val="8"/>
      <w:szCs w:val="8"/>
    </w:rPr>
  </w:style>
  <w:style w:type="paragraph" w:customStyle="1" w:styleId="I-Standardtext">
    <w:name w:val="ÖI-Standardtext"/>
    <w:basedOn w:val="Normal"/>
    <w:qFormat/>
    <w:rsid w:val="009F430D"/>
    <w:pPr>
      <w:spacing w:after="180" w:line="280" w:lineRule="atLeast"/>
    </w:pPr>
    <w:rPr>
      <w:rFonts w:ascii="Arial" w:hAnsi="Arial"/>
      <w:sz w:val="20"/>
      <w:lang w:val="de-DE"/>
    </w:rPr>
  </w:style>
  <w:style w:type="paragraph" w:customStyle="1" w:styleId="QuelleI">
    <w:name w:val="Quelle_ÖI"/>
    <w:uiPriority w:val="27"/>
    <w:qFormat/>
    <w:rsid w:val="009F430D"/>
    <w:pPr>
      <w:pBdr>
        <w:bottom w:val="single" w:sz="4" w:space="2" w:color="5B9BD5"/>
      </w:pBdr>
      <w:spacing w:before="120" w:after="240" w:line="240" w:lineRule="auto"/>
    </w:pPr>
    <w:rPr>
      <w:rFonts w:ascii="Arial" w:hAnsi="Arial"/>
      <w:color w:val="868686"/>
      <w:sz w:val="16"/>
      <w:szCs w:val="16"/>
      <w:lang w:val="de-DE"/>
    </w:rPr>
  </w:style>
  <w:style w:type="character" w:customStyle="1" w:styleId="highlight">
    <w:name w:val="highlight"/>
    <w:basedOn w:val="DefaultParagraphFont"/>
    <w:rsid w:val="009F430D"/>
  </w:style>
  <w:style w:type="paragraph" w:customStyle="1" w:styleId="ecl-u-type-paragraph-m">
    <w:name w:val="ecl-u-type-paragraph-m"/>
    <w:basedOn w:val="Normal"/>
    <w:rsid w:val="009F430D"/>
    <w:pPr>
      <w:spacing w:before="100" w:beforeAutospacing="1" w:after="100" w:afterAutospacing="1" w:line="240" w:lineRule="auto"/>
      <w:jc w:val="left"/>
    </w:pPr>
    <w:rPr>
      <w:rFonts w:eastAsia="Times New Roman" w:cs="Times New Roman"/>
      <w:szCs w:val="24"/>
      <w:lang w:eastAsia="en-GB"/>
    </w:rPr>
  </w:style>
  <w:style w:type="character" w:customStyle="1" w:styleId="hgkelc">
    <w:name w:val="hgkelc"/>
    <w:basedOn w:val="DefaultParagraphFont"/>
    <w:rsid w:val="009F430D"/>
  </w:style>
  <w:style w:type="character" w:customStyle="1" w:styleId="acopre">
    <w:name w:val="acopre"/>
    <w:basedOn w:val="DefaultParagraphFont"/>
    <w:rsid w:val="009F430D"/>
  </w:style>
  <w:style w:type="paragraph" w:customStyle="1" w:styleId="Standard1">
    <w:name w:val="Standard1"/>
    <w:basedOn w:val="Normal"/>
    <w:rsid w:val="009F430D"/>
    <w:pPr>
      <w:spacing w:before="100" w:beforeAutospacing="1" w:after="100" w:afterAutospacing="1" w:line="240" w:lineRule="auto"/>
      <w:jc w:val="left"/>
    </w:pPr>
    <w:rPr>
      <w:rFonts w:eastAsia="Times New Roman" w:cs="Times New Roman"/>
      <w:szCs w:val="24"/>
      <w:lang w:eastAsia="en-GB"/>
    </w:rPr>
  </w:style>
  <w:style w:type="character" w:customStyle="1" w:styleId="sub">
    <w:name w:val="sub"/>
    <w:basedOn w:val="DefaultParagraphFont"/>
    <w:rsid w:val="009F430D"/>
  </w:style>
  <w:style w:type="paragraph" w:customStyle="1" w:styleId="doc-ti">
    <w:name w:val="doc-ti"/>
    <w:basedOn w:val="Normal"/>
    <w:rsid w:val="009F430D"/>
    <w:pPr>
      <w:spacing w:before="100" w:beforeAutospacing="1" w:after="100" w:afterAutospacing="1" w:line="240" w:lineRule="auto"/>
      <w:jc w:val="left"/>
    </w:pPr>
    <w:rPr>
      <w:rFonts w:eastAsia="Times New Roman" w:cs="Times New Roman"/>
      <w:szCs w:val="24"/>
      <w:lang w:eastAsia="en-GB"/>
    </w:rPr>
  </w:style>
  <w:style w:type="paragraph" w:customStyle="1" w:styleId="Standard2">
    <w:name w:val="Standard2"/>
    <w:basedOn w:val="Normal"/>
    <w:rsid w:val="009F430D"/>
    <w:pPr>
      <w:spacing w:before="100" w:beforeAutospacing="1" w:after="100" w:afterAutospacing="1" w:line="240" w:lineRule="auto"/>
      <w:jc w:val="left"/>
    </w:pPr>
    <w:rPr>
      <w:rFonts w:eastAsia="Times New Roman" w:cs="Times New Roman"/>
      <w:szCs w:val="24"/>
      <w:lang w:eastAsia="en-GB"/>
    </w:rPr>
  </w:style>
  <w:style w:type="paragraph" w:customStyle="1" w:styleId="speciallititle">
    <w:name w:val="speciallititle"/>
    <w:basedOn w:val="Normal"/>
    <w:rsid w:val="009F430D"/>
    <w:pPr>
      <w:spacing w:before="100" w:beforeAutospacing="1" w:after="100" w:afterAutospacing="1" w:line="240" w:lineRule="auto"/>
      <w:jc w:val="left"/>
    </w:pPr>
    <w:rPr>
      <w:rFonts w:eastAsia="Times New Roman" w:cs="Times New Roman"/>
      <w:szCs w:val="24"/>
      <w:lang w:eastAsia="en-GB"/>
    </w:rPr>
  </w:style>
  <w:style w:type="paragraph" w:customStyle="1" w:styleId="specialli">
    <w:name w:val="specialli"/>
    <w:basedOn w:val="Normal"/>
    <w:rsid w:val="009F430D"/>
    <w:pPr>
      <w:spacing w:before="100" w:beforeAutospacing="1" w:after="100" w:afterAutospacing="1" w:line="240" w:lineRule="auto"/>
      <w:jc w:val="left"/>
    </w:pPr>
    <w:rPr>
      <w:rFonts w:eastAsia="Times New Roman" w:cs="Times New Roman"/>
      <w:szCs w:val="24"/>
      <w:lang w:eastAsia="en-GB"/>
    </w:rPr>
  </w:style>
  <w:style w:type="character" w:customStyle="1" w:styleId="CaptionChar1">
    <w:name w:val="Caption Char1"/>
    <w:aliases w:val="Tabelle Char1,Tasks Char1,Beschriftung Char2 Char1,Beschriftung Char1 Char1 Char1,Beschriftung Char Char Char1 Char1,Beschriftung Char1 Char Char Char1,Beschriftung Char Char Char Char Char1,Beschriftung Char Char1 Char Char1"/>
    <w:uiPriority w:val="99"/>
    <w:rsid w:val="009F430D"/>
    <w:rPr>
      <w:i/>
      <w:iCs/>
      <w:color w:val="44546A"/>
      <w:sz w:val="18"/>
      <w:szCs w:val="18"/>
    </w:rPr>
  </w:style>
  <w:style w:type="paragraph" w:customStyle="1" w:styleId="foonote">
    <w:name w:val="foonote"/>
    <w:basedOn w:val="FootnoteText"/>
    <w:link w:val="foonoteChar"/>
    <w:qFormat/>
    <w:rsid w:val="009F430D"/>
    <w:pPr>
      <w:ind w:left="567"/>
      <w:jc w:val="left"/>
    </w:pPr>
    <w:rPr>
      <w:sz w:val="16"/>
      <w:szCs w:val="16"/>
    </w:rPr>
  </w:style>
  <w:style w:type="character" w:customStyle="1" w:styleId="foonoteChar">
    <w:name w:val="foonote Char"/>
    <w:basedOn w:val="DefaultParagraphFont"/>
    <w:link w:val="foonote"/>
    <w:rsid w:val="009F430D"/>
    <w:rPr>
      <w:rFonts w:ascii="Arial" w:hAnsi="Arial" w:cs="Arial"/>
      <w:sz w:val="16"/>
      <w:szCs w:val="16"/>
    </w:rPr>
  </w:style>
  <w:style w:type="paragraph" w:customStyle="1" w:styleId="2ndlevelbulletpoint">
    <w:name w:val="2nd level bulletpoint"/>
    <w:basedOn w:val="ListParagraph"/>
    <w:next w:val="3rdlevelbulletpoint"/>
    <w:rsid w:val="009F430D"/>
    <w:pPr>
      <w:tabs>
        <w:tab w:val="left" w:pos="851"/>
      </w:tabs>
      <w:spacing w:after="0" w:line="300" w:lineRule="atLeast"/>
      <w:ind w:left="1661" w:hanging="357"/>
      <w:jc w:val="left"/>
    </w:pPr>
    <w:rPr>
      <w:rFonts w:ascii="Trebuchet MS" w:hAnsi="Trebuchet MS"/>
      <w:sz w:val="18"/>
    </w:rPr>
  </w:style>
  <w:style w:type="paragraph" w:customStyle="1" w:styleId="3rdlevelbulletpoint">
    <w:name w:val="3rd level bulletpoint"/>
    <w:basedOn w:val="2ndlevelbulletpoint"/>
    <w:rsid w:val="009F430D"/>
    <w:pPr>
      <w:ind w:left="2001"/>
    </w:pPr>
  </w:style>
  <w:style w:type="paragraph" w:customStyle="1" w:styleId="Bulletpoint">
    <w:name w:val="Bulletpoint"/>
    <w:basedOn w:val="2ndlevelbulletpoint"/>
    <w:next w:val="2ndlevelbulletpoint"/>
    <w:link w:val="BulletpointChar"/>
    <w:qFormat/>
    <w:rsid w:val="009F430D"/>
    <w:pPr>
      <w:ind w:left="1287" w:hanging="360"/>
    </w:pPr>
  </w:style>
  <w:style w:type="character" w:customStyle="1" w:styleId="BulletpointChar">
    <w:name w:val="Bulletpoint Char"/>
    <w:basedOn w:val="DefaultParagraphFont"/>
    <w:link w:val="Bulletpoint"/>
    <w:rsid w:val="009F430D"/>
    <w:rPr>
      <w:rFonts w:ascii="Trebuchet MS" w:hAnsi="Trebuchet MS"/>
      <w:sz w:val="18"/>
    </w:rPr>
  </w:style>
  <w:style w:type="paragraph" w:customStyle="1" w:styleId="Quelle">
    <w:name w:val="Quelle"/>
    <w:basedOn w:val="Normal"/>
    <w:next w:val="Normal"/>
    <w:link w:val="QuelleZchn"/>
    <w:rsid w:val="009F430D"/>
    <w:pPr>
      <w:tabs>
        <w:tab w:val="left" w:pos="1134"/>
      </w:tabs>
      <w:spacing w:before="60" w:after="240" w:line="300" w:lineRule="atLeast"/>
      <w:ind w:left="1134" w:hanging="1134"/>
    </w:pPr>
    <w:rPr>
      <w:rFonts w:ascii="Arial" w:eastAsia="Times New Roman" w:hAnsi="Arial" w:cs="Times New Roman"/>
      <w:i/>
      <w:iCs/>
      <w:sz w:val="20"/>
      <w:szCs w:val="20"/>
      <w:lang w:eastAsia="de-DE"/>
    </w:rPr>
  </w:style>
  <w:style w:type="character" w:customStyle="1" w:styleId="QuelleZchn">
    <w:name w:val="Quelle Zchn"/>
    <w:link w:val="Quelle"/>
    <w:locked/>
    <w:rsid w:val="009F430D"/>
    <w:rPr>
      <w:rFonts w:ascii="Arial" w:eastAsia="Times New Roman" w:hAnsi="Arial" w:cs="Times New Roman"/>
      <w:i/>
      <w:iCs/>
      <w:sz w:val="20"/>
      <w:szCs w:val="20"/>
      <w:lang w:eastAsia="de-DE"/>
    </w:rPr>
  </w:style>
  <w:style w:type="character" w:customStyle="1" w:styleId="NichtaufgelsteErwhnung100">
    <w:name w:val="Nicht aufgelöste Erwähnung100"/>
    <w:basedOn w:val="DefaultParagraphFont"/>
    <w:uiPriority w:val="99"/>
    <w:semiHidden/>
    <w:rsid w:val="009F430D"/>
    <w:rPr>
      <w:color w:val="605E5C"/>
      <w:shd w:val="clear" w:color="auto" w:fill="E1DFDD"/>
    </w:rPr>
  </w:style>
  <w:style w:type="character" w:customStyle="1" w:styleId="NichtaufgelsteErwhnung1000">
    <w:name w:val="Nicht aufgelöste Erwähnung1000"/>
    <w:basedOn w:val="DefaultParagraphFont"/>
    <w:uiPriority w:val="99"/>
    <w:semiHidden/>
    <w:rsid w:val="009F430D"/>
    <w:rPr>
      <w:color w:val="605E5C"/>
      <w:shd w:val="clear" w:color="auto" w:fill="E1DFDD"/>
    </w:rPr>
  </w:style>
  <w:style w:type="paragraph" w:customStyle="1" w:styleId="paragraph">
    <w:name w:val="paragraph"/>
    <w:basedOn w:val="Normal"/>
    <w:rsid w:val="009F430D"/>
    <w:pPr>
      <w:spacing w:before="100" w:beforeAutospacing="1" w:after="100" w:afterAutospacing="1" w:line="240" w:lineRule="auto"/>
      <w:jc w:val="left"/>
    </w:pPr>
    <w:rPr>
      <w:rFonts w:eastAsia="Times New Roman" w:cs="Times New Roman"/>
      <w:szCs w:val="24"/>
      <w:lang w:eastAsia="en-GB"/>
    </w:rPr>
  </w:style>
  <w:style w:type="table" w:customStyle="1" w:styleId="Ricardo-AEATableStyle21">
    <w:name w:val="Ricardo-AEA Table Style21"/>
    <w:basedOn w:val="TableNormal"/>
    <w:uiPriority w:val="99"/>
    <w:qFormat/>
    <w:rsid w:val="009F430D"/>
    <w:pPr>
      <w:spacing w:after="0" w:line="240" w:lineRule="auto"/>
      <w:ind w:left="113"/>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Autospacing="0" w:afterLines="0" w:afterAutospacing="0" w:line="240" w:lineRule="auto"/>
        <w:contextualSpacing w:val="0"/>
      </w:pPr>
      <w:rPr>
        <w:rFonts w:ascii="Arial" w:hAnsi="Arial"/>
        <w:b/>
        <w:color w:val="FFFFFF"/>
        <w:sz w:val="20"/>
      </w:rPr>
      <w:tblPr/>
      <w:tcPr>
        <w:shd w:val="clear" w:color="auto" w:fill="008000"/>
        <w:vAlign w:val="center"/>
      </w:tcPr>
    </w:tblStylePr>
    <w:tblStylePr w:type="firstCol">
      <w:rPr>
        <w:rFonts w:ascii="Arial" w:hAnsi="Arial"/>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character" w:customStyle="1" w:styleId="ECHeading5Zchn">
    <w:name w:val="EC Heading 5 Zchn"/>
    <w:basedOn w:val="ECHeading4Char"/>
    <w:link w:val="ECHeading5"/>
    <w:rsid w:val="009F430D"/>
    <w:rPr>
      <w:rFonts w:ascii="Arial" w:eastAsia="Times New Roman" w:hAnsi="Arial" w:cs="Times New Roman"/>
      <w:b/>
      <w:bCs w:val="0"/>
      <w:i/>
      <w:color w:val="006BB7"/>
      <w:sz w:val="24"/>
      <w:szCs w:val="20"/>
      <w:lang w:eastAsia="en-GB"/>
    </w:rPr>
  </w:style>
  <w:style w:type="paragraph" w:customStyle="1" w:styleId="default0">
    <w:name w:val="default"/>
    <w:basedOn w:val="Normal"/>
    <w:rsid w:val="009F430D"/>
    <w:pPr>
      <w:spacing w:before="100" w:beforeAutospacing="1" w:after="100" w:afterAutospacing="1" w:line="252" w:lineRule="auto"/>
      <w:jc w:val="left"/>
    </w:pPr>
    <w:rPr>
      <w:rFonts w:ascii="Calibri" w:hAnsi="Calibri" w:cs="Calibri"/>
      <w:color w:val="000000"/>
      <w:sz w:val="22"/>
    </w:rPr>
  </w:style>
  <w:style w:type="paragraph" w:customStyle="1" w:styleId="berschrift1-ohneNummer">
    <w:name w:val="Überschrift 1 - ohne Nummer"/>
    <w:basedOn w:val="Heading1"/>
    <w:link w:val="berschrift1-ohneNummerZchn"/>
    <w:qFormat/>
    <w:rsid w:val="009F430D"/>
    <w:pPr>
      <w:keepLines/>
      <w:tabs>
        <w:tab w:val="clear" w:pos="480"/>
      </w:tabs>
      <w:spacing w:after="0" w:line="276" w:lineRule="auto"/>
      <w:ind w:left="0" w:firstLine="0"/>
    </w:pPr>
    <w:rPr>
      <w:rFonts w:ascii="Arial" w:eastAsia="MS Gothic" w:hAnsi="Arial"/>
      <w:smallCaps w:val="0"/>
      <w:sz w:val="26"/>
      <w:szCs w:val="32"/>
    </w:rPr>
  </w:style>
  <w:style w:type="character" w:customStyle="1" w:styleId="berschrift1-ohneNummerZchn">
    <w:name w:val="Überschrift 1 - ohne Nummer Zchn"/>
    <w:basedOn w:val="DefaultParagraphFont"/>
    <w:link w:val="berschrift1-ohneNummer"/>
    <w:rsid w:val="009F430D"/>
    <w:rPr>
      <w:rFonts w:ascii="Arial" w:eastAsia="MS Gothic" w:hAnsi="Arial" w:cs="Times New Roman"/>
      <w:b/>
      <w:sz w:val="26"/>
      <w:szCs w:val="32"/>
    </w:rPr>
  </w:style>
  <w:style w:type="paragraph" w:customStyle="1" w:styleId="Subtitle1">
    <w:name w:val="Subtitle1"/>
    <w:basedOn w:val="Normal"/>
    <w:next w:val="Normal"/>
    <w:uiPriority w:val="11"/>
    <w:qFormat/>
    <w:rsid w:val="009F430D"/>
    <w:pPr>
      <w:numPr>
        <w:ilvl w:val="1"/>
      </w:numPr>
      <w:spacing w:after="160"/>
    </w:pPr>
    <w:rPr>
      <w:rFonts w:ascii="Calibri" w:eastAsia="MS Mincho" w:hAnsi="Calibri"/>
      <w:color w:val="5A5A5A"/>
      <w:spacing w:val="15"/>
      <w:sz w:val="22"/>
    </w:rPr>
  </w:style>
  <w:style w:type="character" w:customStyle="1" w:styleId="SubtitleChar">
    <w:name w:val="Subtitle Char"/>
    <w:basedOn w:val="DefaultParagraphFont"/>
    <w:link w:val="Subtitle"/>
    <w:uiPriority w:val="11"/>
    <w:rsid w:val="009F430D"/>
    <w:rPr>
      <w:rFonts w:ascii="Calibri" w:eastAsia="MS Mincho" w:hAnsi="Calibri"/>
      <w:color w:val="5A5A5A"/>
      <w:spacing w:val="15"/>
      <w:sz w:val="22"/>
      <w:lang w:val="en-GB"/>
    </w:rPr>
  </w:style>
  <w:style w:type="paragraph" w:customStyle="1" w:styleId="Aufzhlung3I">
    <w:name w:val="Aufzählung_3_ÖI"/>
    <w:basedOn w:val="Normal"/>
    <w:uiPriority w:val="22"/>
    <w:qFormat/>
    <w:rsid w:val="009F430D"/>
    <w:pPr>
      <w:spacing w:after="120" w:line="280" w:lineRule="atLeast"/>
      <w:ind w:left="681" w:hanging="227"/>
    </w:pPr>
    <w:rPr>
      <w:rFonts w:ascii="Calibri" w:hAnsi="Calibri"/>
      <w:sz w:val="22"/>
    </w:rPr>
  </w:style>
  <w:style w:type="paragraph" w:customStyle="1" w:styleId="Aufzhlung4I">
    <w:name w:val="Aufzählung_4_ÖI"/>
    <w:basedOn w:val="Normal"/>
    <w:uiPriority w:val="23"/>
    <w:semiHidden/>
    <w:qFormat/>
    <w:rsid w:val="009F430D"/>
    <w:pPr>
      <w:spacing w:after="120" w:line="280" w:lineRule="atLeast"/>
      <w:ind w:left="908" w:hanging="227"/>
      <w:jc w:val="left"/>
    </w:pPr>
    <w:rPr>
      <w:rFonts w:ascii="Calibri" w:hAnsi="Calibri"/>
      <w:sz w:val="22"/>
    </w:rPr>
  </w:style>
  <w:style w:type="paragraph" w:customStyle="1" w:styleId="Aufzhlung5I">
    <w:name w:val="Aufzählung_5_ÖI"/>
    <w:basedOn w:val="Normal"/>
    <w:uiPriority w:val="23"/>
    <w:semiHidden/>
    <w:qFormat/>
    <w:rsid w:val="009F430D"/>
    <w:pPr>
      <w:spacing w:after="120" w:line="280" w:lineRule="atLeast"/>
      <w:ind w:left="1135" w:hanging="227"/>
      <w:jc w:val="left"/>
    </w:pPr>
    <w:rPr>
      <w:rFonts w:ascii="Calibri" w:hAnsi="Calibri"/>
      <w:sz w:val="22"/>
    </w:rPr>
  </w:style>
  <w:style w:type="table" w:customStyle="1" w:styleId="Oeko21">
    <w:name w:val="Oeko_21"/>
    <w:basedOn w:val="TableNormal"/>
    <w:uiPriority w:val="99"/>
    <w:rsid w:val="009F430D"/>
    <w:pPr>
      <w:spacing w:before="40" w:after="40" w:line="240" w:lineRule="auto"/>
    </w:pPr>
    <w:rPr>
      <w:rFonts w:ascii="Arial" w:hAnsi="Arial"/>
      <w:sz w:val="20"/>
      <w:lang w:val="de-DE"/>
    </w:rPr>
    <w:tblPr>
      <w:tblStyleRowBandSize w:val="1"/>
      <w:tblInd w:w="85" w:type="dxa"/>
      <w:tblBorders>
        <w:insideV w:val="single" w:sz="2" w:space="0" w:color="868686"/>
      </w:tblBorders>
      <w:tblCellMar>
        <w:left w:w="85" w:type="dxa"/>
        <w:right w:w="85" w:type="dxa"/>
      </w:tblCellMar>
    </w:tblPr>
    <w:tblStylePr w:type="firstRow">
      <w:rPr>
        <w:b/>
      </w:rPr>
      <w:tblPr/>
      <w:tcPr>
        <w:tcBorders>
          <w:bottom w:val="single" w:sz="12" w:space="0" w:color="A5A5A5"/>
        </w:tcBorders>
      </w:tcPr>
    </w:tblStylePr>
    <w:tblStylePr w:type="firstCol">
      <w:pPr>
        <w:wordWrap/>
        <w:ind w:leftChars="0" w:left="0"/>
      </w:pPr>
      <w:tblPr/>
      <w:tcPr>
        <w:tcBorders>
          <w:right w:val="single" w:sz="4" w:space="0" w:color="868686"/>
          <w:insideV w:val="nil"/>
        </w:tcBorders>
      </w:tcPr>
    </w:tblStylePr>
    <w:tblStylePr w:type="band1Horz">
      <w:tblPr/>
      <w:tcPr>
        <w:tcBorders>
          <w:bottom w:val="single" w:sz="2" w:space="0" w:color="868686"/>
        </w:tcBorders>
      </w:tcPr>
    </w:tblStylePr>
    <w:tblStylePr w:type="band2Horz">
      <w:tblPr/>
      <w:tcPr>
        <w:tcBorders>
          <w:bottom w:val="single" w:sz="2" w:space="0" w:color="868686"/>
        </w:tcBorders>
      </w:tcPr>
    </w:tblStylePr>
  </w:style>
  <w:style w:type="paragraph" w:customStyle="1" w:styleId="TabellentextlinksbndigI">
    <w:name w:val="Tabellentext_linksbündig_ÖI"/>
    <w:uiPriority w:val="96"/>
    <w:unhideWhenUsed/>
    <w:qFormat/>
    <w:rsid w:val="009F430D"/>
    <w:rPr>
      <w:sz w:val="20"/>
    </w:rPr>
  </w:style>
  <w:style w:type="character" w:customStyle="1" w:styleId="SubtleEmphasis1">
    <w:name w:val="Subtle Emphasis1"/>
    <w:basedOn w:val="DefaultParagraphFont"/>
    <w:uiPriority w:val="19"/>
    <w:qFormat/>
    <w:rsid w:val="009F430D"/>
    <w:rPr>
      <w:i/>
      <w:iCs/>
      <w:color w:val="404040"/>
    </w:rPr>
  </w:style>
  <w:style w:type="table" w:customStyle="1" w:styleId="GridTable1Light2">
    <w:name w:val="Grid Table 1 Light2"/>
    <w:basedOn w:val="TableNormal"/>
    <w:next w:val="GridTable1Light"/>
    <w:uiPriority w:val="46"/>
    <w:rsid w:val="009F430D"/>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Meth-Bullet">
    <w:name w:val="Meth - Bullet"/>
    <w:basedOn w:val="Normal"/>
    <w:rsid w:val="009F430D"/>
    <w:pPr>
      <w:numPr>
        <w:numId w:val="50"/>
      </w:numPr>
      <w:spacing w:after="120" w:line="300" w:lineRule="atLeast"/>
    </w:pPr>
    <w:rPr>
      <w:rFonts w:ascii="Arial" w:eastAsia="Times New Roman" w:hAnsi="Arial" w:cs="Times New Roman"/>
      <w:sz w:val="22"/>
      <w:szCs w:val="20"/>
      <w:lang w:eastAsia="de-DE"/>
    </w:rPr>
  </w:style>
  <w:style w:type="table" w:customStyle="1" w:styleId="TableElegant1">
    <w:name w:val="Table Elegant1"/>
    <w:basedOn w:val="TableNormal"/>
    <w:next w:val="TableElegant"/>
    <w:rsid w:val="009F430D"/>
    <w:pPr>
      <w:spacing w:after="120" w:line="300" w:lineRule="atLeast"/>
      <w:jc w:val="both"/>
    </w:pPr>
    <w:rPr>
      <w:rFonts w:ascii="Times New Roman" w:eastAsia="Times New Roman" w:hAnsi="Times New Roman" w:cs="Times New Roman"/>
      <w:sz w:val="20"/>
      <w:szCs w:val="20"/>
      <w:lang w:val="de-DE" w:eastAsia="de-D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LightList-Accent1">
    <w:name w:val="Light List Accent 1"/>
    <w:basedOn w:val="TableNormal"/>
    <w:uiPriority w:val="61"/>
    <w:semiHidden/>
    <w:unhideWhenUsed/>
    <w:rsid w:val="009F430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
    <w:name w:val="Light Shading"/>
    <w:basedOn w:val="TableNormal"/>
    <w:uiPriority w:val="60"/>
    <w:semiHidden/>
    <w:unhideWhenUsed/>
    <w:rsid w:val="009F430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semiHidden/>
    <w:unhideWhenUsed/>
    <w:rsid w:val="009F430D"/>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rsid w:val="009F430D"/>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unhideWhenUsed/>
    <w:rsid w:val="009F430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GridTable1Light-Accent4">
    <w:name w:val="Grid Table 1 Light Accent 4"/>
    <w:basedOn w:val="TableNormal"/>
    <w:uiPriority w:val="46"/>
    <w:rsid w:val="009F43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9F430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5">
    <w:name w:val="List Table 4 Accent 5"/>
    <w:basedOn w:val="TableNormal"/>
    <w:uiPriority w:val="49"/>
    <w:rsid w:val="009F43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
    <w:name w:val="Grid Table 6 Colorful"/>
    <w:basedOn w:val="TableNormal"/>
    <w:uiPriority w:val="51"/>
    <w:rsid w:val="009F430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
    <w:name w:val="List Table 3"/>
    <w:basedOn w:val="TableNormal"/>
    <w:uiPriority w:val="48"/>
    <w:rsid w:val="009F430D"/>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IntenseEmphasis">
    <w:name w:val="Intense Emphasis"/>
    <w:basedOn w:val="DefaultParagraphFont"/>
    <w:uiPriority w:val="21"/>
    <w:qFormat/>
    <w:rsid w:val="009F430D"/>
    <w:rPr>
      <w:i/>
      <w:iCs/>
      <w:color w:val="4F81BD" w:themeColor="accent1"/>
    </w:rPr>
  </w:style>
  <w:style w:type="table" w:styleId="GridTable4-Accent6">
    <w:name w:val="Grid Table 4 Accent 6"/>
    <w:basedOn w:val="TableNormal"/>
    <w:uiPriority w:val="49"/>
    <w:rsid w:val="009F430D"/>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Accent5">
    <w:name w:val="Grid Table 3 Accent 5"/>
    <w:basedOn w:val="TableNormal"/>
    <w:uiPriority w:val="48"/>
    <w:rsid w:val="009F43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character" w:styleId="IntenseReference">
    <w:name w:val="Intense Reference"/>
    <w:basedOn w:val="DefaultParagraphFont"/>
    <w:uiPriority w:val="32"/>
    <w:qFormat/>
    <w:rsid w:val="009F430D"/>
    <w:rPr>
      <w:b/>
      <w:bCs/>
      <w:smallCaps/>
      <w:color w:val="4F81BD" w:themeColor="accent1"/>
      <w:spacing w:val="5"/>
    </w:rPr>
  </w:style>
  <w:style w:type="paragraph" w:styleId="Subtitle">
    <w:name w:val="Subtitle"/>
    <w:basedOn w:val="Normal"/>
    <w:next w:val="Normal"/>
    <w:link w:val="SubtitleChar"/>
    <w:uiPriority w:val="11"/>
    <w:qFormat/>
    <w:rsid w:val="009F430D"/>
    <w:pPr>
      <w:numPr>
        <w:ilvl w:val="1"/>
      </w:numPr>
      <w:spacing w:after="160"/>
    </w:pPr>
    <w:rPr>
      <w:rFonts w:ascii="Calibri" w:eastAsia="MS Mincho" w:hAnsi="Calibri"/>
      <w:color w:val="5A5A5A"/>
      <w:spacing w:val="15"/>
      <w:sz w:val="22"/>
    </w:rPr>
  </w:style>
  <w:style w:type="character" w:customStyle="1" w:styleId="SubtitleChar1">
    <w:name w:val="Subtitle Char1"/>
    <w:basedOn w:val="DefaultParagraphFont"/>
    <w:uiPriority w:val="11"/>
    <w:rsid w:val="009F430D"/>
    <w:rPr>
      <w:rFonts w:eastAsiaTheme="minorEastAsia"/>
      <w:color w:val="5A5A5A" w:themeColor="text1" w:themeTint="A5"/>
      <w:spacing w:val="15"/>
    </w:rPr>
  </w:style>
  <w:style w:type="character" w:styleId="SubtleEmphasis">
    <w:name w:val="Subtle Emphasis"/>
    <w:basedOn w:val="DefaultParagraphFont"/>
    <w:uiPriority w:val="19"/>
    <w:qFormat/>
    <w:rsid w:val="009F430D"/>
    <w:rPr>
      <w:i/>
      <w:iCs/>
      <w:color w:val="404040" w:themeColor="text1" w:themeTint="BF"/>
    </w:rPr>
  </w:style>
  <w:style w:type="numbering" w:customStyle="1" w:styleId="NoList4">
    <w:name w:val="No List4"/>
    <w:next w:val="NoList"/>
    <w:uiPriority w:val="99"/>
    <w:semiHidden/>
    <w:unhideWhenUsed/>
    <w:rsid w:val="00DC7207"/>
  </w:style>
  <w:style w:type="table" w:customStyle="1" w:styleId="HTG6">
    <w:name w:val="HTG6"/>
    <w:basedOn w:val="TableNormal"/>
    <w:next w:val="TableGrid"/>
    <w:uiPriority w:val="39"/>
    <w:rsid w:val="00DC7207"/>
    <w:pPr>
      <w:spacing w:before="60"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1">
    <w:name w:val="Keine Liste11"/>
    <w:next w:val="NoList"/>
    <w:uiPriority w:val="99"/>
    <w:semiHidden/>
    <w:unhideWhenUsed/>
    <w:rsid w:val="00DC7207"/>
  </w:style>
  <w:style w:type="table" w:customStyle="1" w:styleId="Tabellenraster11">
    <w:name w:val="Tabellenraster11"/>
    <w:basedOn w:val="TableNormal"/>
    <w:next w:val="TableGrid"/>
    <w:uiPriority w:val="59"/>
    <w:rsid w:val="00DC7207"/>
    <w:pPr>
      <w:spacing w:before="60" w:after="0" w:line="240" w:lineRule="auto"/>
    </w:pPr>
    <w:rPr>
      <w:rFonts w:ascii="Calibri" w:eastAsia="MS Mincho" w:hAnsi="Calibri" w:cs="Times New Roman"/>
      <w:sz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1">
    <w:name w:val="Grid Table 2 - Accent 311"/>
    <w:basedOn w:val="TableGrid20"/>
    <w:uiPriority w:val="47"/>
    <w:rsid w:val="00DC7207"/>
    <w:pPr>
      <w:spacing w:before="0" w:after="0" w:line="240" w:lineRule="auto"/>
      <w:jc w:val="left"/>
    </w:pPr>
    <w:rPr>
      <w:rFonts w:cs="Cordia New"/>
      <w:lang w:val="fr-FR" w:eastAsia="ja-JP"/>
    </w:rPr>
    <w:tblPr>
      <w:tblStyleRowBandSize w:val="1"/>
      <w:tblStyleColBandSize w:val="1"/>
      <w:tblBorders>
        <w:top w:val="single" w:sz="2" w:space="0" w:color="auto"/>
        <w:bottom w:val="single" w:sz="2" w:space="0" w:color="auto"/>
        <w:insideH w:val="single" w:sz="2" w:space="0" w:color="auto"/>
        <w:insideV w:val="single" w:sz="2" w:space="0" w:color="auto"/>
      </w:tblBorders>
    </w:tblPr>
    <w:tcPr>
      <w:shd w:val="clear" w:color="auto" w:fill="auto"/>
    </w:tcPr>
    <w:tblStylePr w:type="firstRow">
      <w:rPr>
        <w:b/>
        <w:bCs/>
      </w:rPr>
      <w:tblPr/>
      <w:tcPr>
        <w:tcBorders>
          <w:top w:val="nil"/>
          <w:bottom w:val="single" w:sz="12" w:space="0" w:color="C9C9C9"/>
          <w:insideH w:val="nil"/>
          <w:insideV w:val="nil"/>
          <w:tl2br w:val="none" w:sz="0" w:space="0" w:color="auto"/>
          <w:tr2bl w:val="none" w:sz="0" w:space="0" w:color="auto"/>
        </w:tcBorders>
        <w:shd w:val="clear" w:color="auto" w:fill="FFFFFF"/>
      </w:tcPr>
    </w:tblStylePr>
    <w:tblStylePr w:type="lastRow">
      <w:rPr>
        <w:b/>
        <w:bCs/>
      </w:rPr>
      <w:tblPr/>
      <w:tcPr>
        <w:tcBorders>
          <w:top w:val="double" w:sz="2" w:space="0" w:color="C9C9C9"/>
          <w:bottom w:val="nil"/>
          <w:insideH w:val="nil"/>
          <w:insideV w:val="nil"/>
          <w:tl2br w:val="none" w:sz="0" w:space="0" w:color="auto"/>
          <w:tr2bl w:val="none" w:sz="0" w:space="0" w:color="auto"/>
        </w:tcBorders>
        <w:shd w:val="clear" w:color="auto" w:fill="FFFFFF"/>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tblPr/>
      <w:tcPr>
        <w:shd w:val="clear" w:color="auto" w:fill="EDEDED"/>
      </w:tcPr>
    </w:tblStylePr>
    <w:tblStylePr w:type="band1Horz">
      <w:tblPr/>
      <w:tcPr>
        <w:shd w:val="clear" w:color="auto" w:fill="EDEDED"/>
      </w:tcPr>
    </w:tblStylePr>
  </w:style>
  <w:style w:type="table" w:customStyle="1" w:styleId="TableGrid210">
    <w:name w:val="Table Grid 21"/>
    <w:basedOn w:val="TableNormal"/>
    <w:next w:val="TableGrid20"/>
    <w:uiPriority w:val="99"/>
    <w:semiHidden/>
    <w:unhideWhenUsed/>
    <w:rsid w:val="00DC7207"/>
    <w:pPr>
      <w:spacing w:before="240" w:after="120" w:line="288" w:lineRule="auto"/>
      <w:jc w:val="both"/>
    </w:pPr>
    <w:rPr>
      <w:rFonts w:ascii="Calibri" w:eastAsia="Calibri" w:hAnsi="Calibri"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numbering" w:customStyle="1" w:styleId="Aufzhlungerweitert1">
    <w:name w:val="Aufzählung erweitert1"/>
    <w:uiPriority w:val="99"/>
    <w:rsid w:val="00DC7207"/>
  </w:style>
  <w:style w:type="table" w:customStyle="1" w:styleId="LightList-Accent12">
    <w:name w:val="Light List - Accent 12"/>
    <w:basedOn w:val="TableNormal"/>
    <w:next w:val="LightList-Accent1"/>
    <w:uiPriority w:val="61"/>
    <w:rsid w:val="00DC7207"/>
    <w:pPr>
      <w:spacing w:before="60" w:after="0" w:line="240" w:lineRule="auto"/>
    </w:pPr>
    <w:rPr>
      <w:rFonts w:ascii="Arial" w:hAnsi="Arial"/>
      <w:sz w:val="20"/>
      <w:lang w:val="de-DE"/>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HelleListe-Akzent111">
    <w:name w:val="Helle Liste - Akzent 111"/>
    <w:basedOn w:val="TableNormal"/>
    <w:next w:val="LightList-Accent1"/>
    <w:uiPriority w:val="61"/>
    <w:rsid w:val="00DC7207"/>
    <w:pPr>
      <w:spacing w:before="60" w:after="0" w:line="240" w:lineRule="auto"/>
    </w:pPr>
    <w:rPr>
      <w:rFonts w:ascii="Arial" w:hAnsi="Arial"/>
      <w:sz w:val="20"/>
      <w:lang w:val="de-DE"/>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ko-Institut2">
    <w:name w:val="Öko-Institut2"/>
    <w:basedOn w:val="TableNormal"/>
    <w:next w:val="LightShading"/>
    <w:uiPriority w:val="60"/>
    <w:rsid w:val="00DC7207"/>
    <w:pPr>
      <w:keepNext/>
      <w:keepLines/>
      <w:spacing w:before="60" w:after="0" w:line="240" w:lineRule="auto"/>
      <w:ind w:right="113"/>
    </w:pPr>
    <w:rPr>
      <w:rFonts w:ascii="Arial" w:hAnsi="Arial"/>
      <w:color w:val="000000"/>
      <w:sz w:val="20"/>
      <w:lang w:val="de-DE"/>
    </w:rPr>
    <w:tblPr>
      <w:tblStyleRowBandSize w:val="1"/>
      <w:tblStyleColBandSize w:val="1"/>
      <w:tblBorders>
        <w:top w:val="single" w:sz="8" w:space="0" w:color="000000"/>
        <w:bottom w:val="single" w:sz="8" w:space="0" w:color="000000"/>
      </w:tblBorders>
      <w:tblCellMar>
        <w:left w:w="0" w:type="dxa"/>
        <w:right w:w="0" w:type="dxa"/>
      </w:tblCellMar>
    </w:tblPr>
    <w:tcPr>
      <w:shd w:val="clear" w:color="auto" w:fill="auto"/>
    </w:tcPr>
    <w:tblStylePr w:type="firstRow">
      <w:pPr>
        <w:spacing w:before="0" w:after="0" w:line="240" w:lineRule="auto"/>
      </w:pPr>
      <w:rPr>
        <w:rFonts w:ascii="Arial" w:hAnsi="Arial"/>
        <w:b/>
        <w:bCs/>
        <w:i w:val="0"/>
        <w:sz w:val="20"/>
      </w:rPr>
      <w:tblPr/>
      <w:tcPr>
        <w:tcBorders>
          <w:top w:val="nil"/>
          <w:left w:val="nil"/>
          <w:bottom w:val="single" w:sz="12" w:space="0" w:color="A5A5A5"/>
          <w:right w:val="nil"/>
          <w:insideH w:val="nil"/>
          <w:insideV w:val="nil"/>
          <w:tl2br w:val="nil"/>
          <w:tr2bl w:val="nil"/>
        </w:tcBorders>
        <w:shd w:val="clear" w:color="auto" w:fill="auto"/>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val="0"/>
        <w:bCs/>
      </w:rPr>
    </w:tblStylePr>
    <w:tblStylePr w:type="lastCol">
      <w:rPr>
        <w:b w:val="0"/>
        <w:bCs/>
      </w:rPr>
    </w:tblStylePr>
    <w:tblStylePr w:type="band1Vert">
      <w:tblPr/>
      <w:tcPr>
        <w:tcBorders>
          <w:left w:val="nil"/>
          <w:right w:val="nil"/>
          <w:insideH w:val="nil"/>
          <w:insideV w:val="nil"/>
        </w:tcBorders>
        <w:shd w:val="clear" w:color="auto" w:fill="C0C0C0"/>
      </w:tcPr>
    </w:tblStylePr>
    <w:tblStylePr w:type="band1Horz">
      <w:tblPr/>
      <w:tcPr>
        <w:tcBorders>
          <w:top w:val="single" w:sz="4" w:space="0" w:color="868686"/>
          <w:left w:val="nil"/>
          <w:bottom w:val="single" w:sz="4" w:space="0" w:color="868686"/>
          <w:right w:val="nil"/>
        </w:tcBorders>
        <w:shd w:val="clear" w:color="auto" w:fill="auto"/>
      </w:tcPr>
    </w:tblStylePr>
    <w:tblStylePr w:type="band2Horz">
      <w:tblPr/>
      <w:tcPr>
        <w:tcBorders>
          <w:top w:val="single" w:sz="4" w:space="0" w:color="868686"/>
          <w:left w:val="nil"/>
          <w:bottom w:val="single" w:sz="4" w:space="0" w:color="868686"/>
          <w:right w:val="nil"/>
          <w:insideH w:val="nil"/>
          <w:insideV w:val="nil"/>
          <w:tl2br w:val="nil"/>
          <w:tr2bl w:val="nil"/>
        </w:tcBorders>
        <w:shd w:val="clear" w:color="auto" w:fill="auto"/>
      </w:tcPr>
    </w:tblStylePr>
  </w:style>
  <w:style w:type="table" w:customStyle="1" w:styleId="Mainbidtables18">
    <w:name w:val="Main bid tables18"/>
    <w:basedOn w:val="TableNormal"/>
    <w:uiPriority w:val="99"/>
    <w:rsid w:val="00DC7207"/>
    <w:pPr>
      <w:spacing w:before="60" w:after="0" w:line="240" w:lineRule="auto"/>
      <w:ind w:left="709"/>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table" w:customStyle="1" w:styleId="MainbidtablesBehringer1">
    <w:name w:val="Main bid tables_Behringer1"/>
    <w:basedOn w:val="TableNormal"/>
    <w:uiPriority w:val="99"/>
    <w:rsid w:val="00DC7207"/>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table" w:customStyle="1" w:styleId="TableGrid1214">
    <w:name w:val="Table Grid1214"/>
    <w:basedOn w:val="TableNormal"/>
    <w:next w:val="TableGrid"/>
    <w:uiPriority w:val="59"/>
    <w:rsid w:val="00DC7207"/>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cPr>
    </w:tblStylePr>
  </w:style>
  <w:style w:type="table" w:customStyle="1" w:styleId="Highlightbox2">
    <w:name w:val="Highlight box2"/>
    <w:basedOn w:val="TableNormal"/>
    <w:uiPriority w:val="99"/>
    <w:rsid w:val="00DC7207"/>
    <w:pPr>
      <w:spacing w:before="120" w:after="120" w:line="240" w:lineRule="auto"/>
      <w:ind w:left="851" w:hanging="851"/>
      <w:jc w:val="both"/>
    </w:pPr>
    <w:rPr>
      <w:rFonts w:ascii="Arial" w:eastAsia="Times New Roman" w:hAnsi="Arial" w:cs="Times New Roman"/>
      <w:sz w:val="20"/>
      <w:szCs w:val="20"/>
      <w:lang w:eastAsia="en-GB"/>
    </w:rPr>
    <w:tblPr/>
    <w:tblStylePr w:type="firstRow">
      <w:tblPr/>
      <w:tcPr>
        <w:tcBorders>
          <w:top w:val="single" w:sz="4" w:space="0" w:color="0070C0"/>
          <w:left w:val="nil"/>
          <w:bottom w:val="single" w:sz="4" w:space="0" w:color="0070C0"/>
          <w:right w:val="nil"/>
          <w:insideH w:val="nil"/>
          <w:insideV w:val="nil"/>
        </w:tcBorders>
        <w:shd w:val="clear" w:color="auto" w:fill="E2ECF2"/>
      </w:tcPr>
    </w:tblStylePr>
  </w:style>
  <w:style w:type="table" w:customStyle="1" w:styleId="LightShading-Accent22">
    <w:name w:val="Light Shading - Accent 22"/>
    <w:basedOn w:val="TableNormal"/>
    <w:next w:val="LightShading-Accent2"/>
    <w:uiPriority w:val="60"/>
    <w:rsid w:val="00DC7207"/>
    <w:pPr>
      <w:spacing w:after="0" w:line="240" w:lineRule="auto"/>
      <w:ind w:left="709"/>
    </w:pPr>
    <w:rPr>
      <w:rFonts w:ascii="Arial" w:eastAsia="Times New Roman" w:hAnsi="Arial" w:cs="Times New Roman"/>
      <w:color w:val="C45911"/>
      <w:sz w:val="20"/>
      <w:szCs w:val="20"/>
      <w:lang w:eastAsia="en-GB"/>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
    <w:name w:val="Light Shading - Accent 32"/>
    <w:basedOn w:val="TableNormal"/>
    <w:next w:val="LightShading-Accent3"/>
    <w:uiPriority w:val="60"/>
    <w:rsid w:val="00DC7207"/>
    <w:pPr>
      <w:spacing w:after="0" w:line="240" w:lineRule="auto"/>
      <w:ind w:left="709"/>
    </w:pPr>
    <w:rPr>
      <w:rFonts w:ascii="Arial" w:eastAsia="Times New Roman" w:hAnsi="Arial" w:cs="Times New Roman"/>
      <w:color w:val="7B7B7B"/>
      <w:sz w:val="20"/>
      <w:szCs w:val="20"/>
      <w:lang w:eastAsia="en-G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42">
    <w:name w:val="Light Shading - Accent 42"/>
    <w:basedOn w:val="TableNormal"/>
    <w:next w:val="LightShading-Accent4"/>
    <w:uiPriority w:val="60"/>
    <w:rsid w:val="00DC7207"/>
    <w:pPr>
      <w:spacing w:after="0" w:line="240" w:lineRule="auto"/>
      <w:ind w:left="709"/>
    </w:pPr>
    <w:rPr>
      <w:rFonts w:ascii="Arial" w:eastAsia="Times New Roman" w:hAnsi="Arial" w:cs="Times New Roman"/>
      <w:color w:val="BF8F00"/>
      <w:sz w:val="20"/>
      <w:szCs w:val="20"/>
      <w:lang w:eastAsia="en-GB"/>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Ricardo-AEATableStyle5">
    <w:name w:val="Ricardo-AEA Table Style5"/>
    <w:basedOn w:val="TableNormal"/>
    <w:uiPriority w:val="99"/>
    <w:qFormat/>
    <w:rsid w:val="00DC7207"/>
    <w:pPr>
      <w:spacing w:after="0" w:line="240" w:lineRule="auto"/>
      <w:ind w:left="709"/>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Autospacing="0" w:afterLines="0" w:afterAutospacing="0" w:line="240" w:lineRule="auto"/>
        <w:contextualSpacing w:val="0"/>
      </w:pPr>
      <w:rPr>
        <w:rFonts w:ascii="Arial" w:hAnsi="Arial"/>
        <w:b/>
        <w:color w:val="FFFFFF"/>
        <w:sz w:val="20"/>
      </w:rPr>
      <w:tblPr/>
      <w:tcPr>
        <w:shd w:val="clear" w:color="auto" w:fill="008000"/>
        <w:vAlign w:val="center"/>
      </w:tcPr>
    </w:tblStylePr>
    <w:tblStylePr w:type="firstCol">
      <w:rPr>
        <w:rFonts w:ascii="Arial" w:hAnsi="Arial"/>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AEATableStyle5">
    <w:name w:val="AEA Table Style5"/>
    <w:basedOn w:val="TableNormal"/>
    <w:uiPriority w:val="99"/>
    <w:qFormat/>
    <w:rsid w:val="00DC7207"/>
    <w:pPr>
      <w:spacing w:after="0" w:line="240" w:lineRule="auto"/>
      <w:ind w:left="709"/>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rPr>
        <w:rFonts w:ascii="Arial" w:hAnsi="Arial" w:cs="Arial"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numbering" w:customStyle="1" w:styleId="list-bullet-color2">
    <w:name w:val="list-bullet-color2"/>
    <w:rsid w:val="00DC7207"/>
  </w:style>
  <w:style w:type="table" w:customStyle="1" w:styleId="TableGrid130">
    <w:name w:val="Table Grid13"/>
    <w:basedOn w:val="TableNormal"/>
    <w:next w:val="TableGrid"/>
    <w:uiPriority w:val="39"/>
    <w:rsid w:val="00DC7207"/>
    <w:pPr>
      <w:spacing w:after="0" w:line="240" w:lineRule="auto"/>
      <w:ind w:left="709"/>
    </w:pPr>
    <w:rPr>
      <w:rFonts w:ascii="Arial" w:eastAsia="Times New Roman" w:hAnsi="Arial"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EATableStyle13">
    <w:name w:val="AEA Table Style13"/>
    <w:basedOn w:val="TableNormal"/>
    <w:uiPriority w:val="99"/>
    <w:qFormat/>
    <w:rsid w:val="00DC7207"/>
    <w:pPr>
      <w:spacing w:after="0" w:line="240" w:lineRule="auto"/>
      <w:ind w:left="709"/>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shd w:val="pct15" w:color="auto" w:fill="auto"/>
      </w:tcPr>
    </w:tblStylePr>
  </w:style>
  <w:style w:type="table" w:customStyle="1" w:styleId="Ricardo-AEATableStyle13">
    <w:name w:val="Ricardo-AEA Table Style13"/>
    <w:basedOn w:val="TableNormal"/>
    <w:uiPriority w:val="99"/>
    <w:qFormat/>
    <w:rsid w:val="00DC7207"/>
    <w:pPr>
      <w:spacing w:after="0" w:line="240" w:lineRule="auto"/>
      <w:ind w:left="709"/>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Autospacing="0" w:afterLines="0" w:afterAutospacing="0" w:line="240" w:lineRule="auto"/>
        <w:contextualSpacing w:val="0"/>
      </w:pPr>
      <w:rPr>
        <w:rFonts w:ascii="Arial" w:hAnsi="Arial"/>
        <w:b/>
        <w:color w:val="FFFFFF"/>
        <w:sz w:val="20"/>
      </w:rPr>
      <w:tblPr/>
      <w:tcPr>
        <w:shd w:val="clear" w:color="auto" w:fill="008000"/>
        <w:vAlign w:val="center"/>
      </w:tcPr>
    </w:tblStylePr>
    <w:tblStylePr w:type="firstCol">
      <w:rPr>
        <w:rFonts w:ascii="Arial" w:hAnsi="Arial"/>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AEATableStyle112">
    <w:name w:val="AEA Table Style112"/>
    <w:basedOn w:val="TableNormal"/>
    <w:uiPriority w:val="99"/>
    <w:qFormat/>
    <w:rsid w:val="00DC7207"/>
    <w:pPr>
      <w:spacing w:after="0" w:line="240" w:lineRule="auto"/>
      <w:ind w:left="709"/>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shd w:val="pct15" w:color="auto" w:fill="auto"/>
      </w:tcPr>
    </w:tblStylePr>
  </w:style>
  <w:style w:type="table" w:customStyle="1" w:styleId="AEATableStyle8112">
    <w:name w:val="AEA Table Style8112"/>
    <w:basedOn w:val="TableNormal"/>
    <w:uiPriority w:val="99"/>
    <w:qFormat/>
    <w:rsid w:val="00DC7207"/>
    <w:pPr>
      <w:spacing w:before="20" w:after="20" w:line="240" w:lineRule="auto"/>
      <w:ind w:left="709"/>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rPr>
        <w:rFonts w:ascii="Arial" w:hAnsi="Arial" w:cs="Arial"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AEATableStyle8122">
    <w:name w:val="AEA Table Style8122"/>
    <w:basedOn w:val="TableNormal"/>
    <w:uiPriority w:val="99"/>
    <w:qFormat/>
    <w:rsid w:val="00DC7207"/>
    <w:pPr>
      <w:spacing w:before="20" w:after="20" w:line="240" w:lineRule="auto"/>
      <w:ind w:left="709"/>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rPr>
        <w:rFonts w:ascii="Arial" w:hAnsi="Arial" w:cs="Arial"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AEATableStyle814">
    <w:name w:val="AEA Table Style814"/>
    <w:basedOn w:val="TableNormal"/>
    <w:uiPriority w:val="99"/>
    <w:qFormat/>
    <w:rsid w:val="00DC7207"/>
    <w:pPr>
      <w:spacing w:before="20" w:after="20" w:line="240" w:lineRule="auto"/>
      <w:ind w:left="709"/>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rPr>
        <w:rFonts w:ascii="Arial" w:hAnsi="Arial" w:cs="Arial"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numbering" w:customStyle="1" w:styleId="CowiBulletList1">
    <w:name w:val="CowiBulletList1"/>
    <w:basedOn w:val="NoList"/>
    <w:rsid w:val="00DC7207"/>
  </w:style>
  <w:style w:type="table" w:customStyle="1" w:styleId="AEATableStyle22">
    <w:name w:val="AEA Table Style22"/>
    <w:basedOn w:val="TableNormal"/>
    <w:uiPriority w:val="99"/>
    <w:qFormat/>
    <w:rsid w:val="00DC7207"/>
    <w:pPr>
      <w:spacing w:after="0" w:line="240" w:lineRule="auto"/>
      <w:ind w:left="709"/>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shd w:val="pct15" w:color="auto" w:fill="auto"/>
      </w:tcPr>
    </w:tblStylePr>
  </w:style>
  <w:style w:type="table" w:customStyle="1" w:styleId="GridTable4-Accent612">
    <w:name w:val="Grid Table 4 - Accent 612"/>
    <w:basedOn w:val="TableNormal"/>
    <w:uiPriority w:val="49"/>
    <w:rsid w:val="00DC7207"/>
    <w:pPr>
      <w:spacing w:after="0" w:line="240" w:lineRule="auto"/>
      <w:ind w:left="709"/>
    </w:pPr>
    <w:rPr>
      <w:sz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312">
    <w:name w:val="Grid Table 4 - Accent 312"/>
    <w:basedOn w:val="TableNormal"/>
    <w:uiPriority w:val="49"/>
    <w:rsid w:val="00DC7207"/>
    <w:pPr>
      <w:spacing w:after="0" w:line="240" w:lineRule="auto"/>
      <w:ind w:left="709"/>
    </w:pPr>
    <w:rPr>
      <w:rFonts w:ascii="Arial" w:eastAsia="Times New Roman" w:hAnsi="Arial" w:cs="Times New Roman"/>
      <w:sz w:val="20"/>
      <w:szCs w:val="20"/>
      <w:lang w:eastAsia="en-G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AEATableStyle32">
    <w:name w:val="AEA Table Style32"/>
    <w:basedOn w:val="TableNormal"/>
    <w:uiPriority w:val="99"/>
    <w:qFormat/>
    <w:rsid w:val="00DC7207"/>
    <w:pPr>
      <w:spacing w:after="0" w:line="240" w:lineRule="auto"/>
      <w:ind w:left="709"/>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shd w:val="pct15" w:color="auto" w:fill="auto"/>
      </w:tcPr>
    </w:tblStylePr>
  </w:style>
  <w:style w:type="table" w:customStyle="1" w:styleId="Ricardo-AEATableStyle112">
    <w:name w:val="Ricardo-AEA Table Style112"/>
    <w:basedOn w:val="TableNormal"/>
    <w:uiPriority w:val="99"/>
    <w:qFormat/>
    <w:rsid w:val="00DC7207"/>
    <w:pPr>
      <w:spacing w:after="0" w:line="240" w:lineRule="auto"/>
      <w:ind w:left="709"/>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Autospacing="0" w:afterLines="0" w:afterAutospacing="0" w:line="240" w:lineRule="auto"/>
        <w:contextualSpacing w:val="0"/>
      </w:pPr>
      <w:rPr>
        <w:rFonts w:ascii="Arial" w:hAnsi="Arial"/>
        <w:b/>
        <w:color w:val="FFFFFF"/>
        <w:sz w:val="20"/>
      </w:rPr>
      <w:tblPr/>
      <w:tcPr>
        <w:shd w:val="clear" w:color="auto" w:fill="008000"/>
        <w:vAlign w:val="center"/>
      </w:tcPr>
    </w:tblStylePr>
    <w:tblStylePr w:type="firstCol">
      <w:rPr>
        <w:rFonts w:ascii="Arial" w:hAnsi="Arial"/>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GridTable4-Accent512">
    <w:name w:val="Grid Table 4 - Accent 512"/>
    <w:basedOn w:val="TableNormal"/>
    <w:uiPriority w:val="49"/>
    <w:rsid w:val="00DC7207"/>
    <w:pPr>
      <w:spacing w:after="0" w:line="240" w:lineRule="auto"/>
      <w:ind w:left="709"/>
    </w:pPr>
    <w:rPr>
      <w:sz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ECVCVBullets1">
    <w:name w:val="_ECV_CV_Bullets1"/>
    <w:basedOn w:val="NoList"/>
    <w:rsid w:val="00DC7207"/>
  </w:style>
  <w:style w:type="table" w:customStyle="1" w:styleId="TableGrid22">
    <w:name w:val="Table Grid22"/>
    <w:basedOn w:val="TableNormal"/>
    <w:next w:val="TableGrid"/>
    <w:uiPriority w:val="39"/>
    <w:rsid w:val="00DC7207"/>
    <w:pPr>
      <w:spacing w:after="0" w:line="240" w:lineRule="auto"/>
      <w:ind w:left="709"/>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DC7207"/>
  </w:style>
  <w:style w:type="table" w:customStyle="1" w:styleId="Tabellengitternetz11">
    <w:name w:val="Tabellengitternetz11"/>
    <w:basedOn w:val="TableNormal"/>
    <w:next w:val="TableGrid"/>
    <w:uiPriority w:val="59"/>
    <w:rsid w:val="00DC7207"/>
    <w:pPr>
      <w:spacing w:after="0" w:line="240" w:lineRule="auto"/>
      <w:ind w:left="709"/>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DC7207"/>
  </w:style>
  <w:style w:type="table" w:customStyle="1" w:styleId="Tabellengitternetz21">
    <w:name w:val="Tabellengitternetz21"/>
    <w:basedOn w:val="TableNormal"/>
    <w:next w:val="TableGrid"/>
    <w:uiPriority w:val="59"/>
    <w:rsid w:val="00DC7207"/>
    <w:pPr>
      <w:spacing w:after="0" w:line="240" w:lineRule="auto"/>
      <w:ind w:left="709"/>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DC7207"/>
    <w:pPr>
      <w:spacing w:after="0" w:line="240" w:lineRule="auto"/>
      <w:ind w:left="709"/>
    </w:pPr>
    <w:rPr>
      <w:rFonts w:ascii="Calibri" w:eastAsia="Calibri" w:hAnsi="Calibri"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icardo-AEATableStyle22">
    <w:name w:val="Ricardo-AEA Table Style22"/>
    <w:basedOn w:val="TableNormal"/>
    <w:uiPriority w:val="99"/>
    <w:qFormat/>
    <w:rsid w:val="00DC7207"/>
    <w:pPr>
      <w:spacing w:after="0" w:line="240" w:lineRule="auto"/>
      <w:ind w:left="709"/>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Autospacing="0" w:afterLines="0" w:afterAutospacing="0" w:line="240" w:lineRule="auto"/>
        <w:contextualSpacing w:val="0"/>
      </w:pPr>
      <w:rPr>
        <w:rFonts w:ascii="Arial" w:hAnsi="Arial"/>
        <w:b/>
        <w:color w:val="FFFFFF"/>
        <w:sz w:val="20"/>
      </w:rPr>
      <w:tblPr/>
      <w:tcPr>
        <w:shd w:val="clear" w:color="auto" w:fill="008000"/>
        <w:vAlign w:val="center"/>
      </w:tcPr>
    </w:tblStylePr>
    <w:tblStylePr w:type="firstCol">
      <w:rPr>
        <w:rFonts w:ascii="Arial" w:hAnsi="Arial"/>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numbering" w:customStyle="1" w:styleId="NoList31">
    <w:name w:val="No List31"/>
    <w:next w:val="NoList"/>
    <w:uiPriority w:val="99"/>
    <w:semiHidden/>
    <w:unhideWhenUsed/>
    <w:rsid w:val="00DC7207"/>
  </w:style>
  <w:style w:type="table" w:customStyle="1" w:styleId="TableGrid42">
    <w:name w:val="Table Grid42"/>
    <w:basedOn w:val="TableNormal"/>
    <w:next w:val="TableGrid"/>
    <w:uiPriority w:val="39"/>
    <w:rsid w:val="00DC7207"/>
    <w:pPr>
      <w:spacing w:after="0" w:line="240" w:lineRule="auto"/>
      <w:ind w:left="709"/>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ighlightbox11">
    <w:name w:val="Highlight box11"/>
    <w:basedOn w:val="TableNormal"/>
    <w:uiPriority w:val="99"/>
    <w:rsid w:val="00DC7207"/>
    <w:pPr>
      <w:spacing w:before="120" w:after="120" w:line="240" w:lineRule="auto"/>
      <w:ind w:left="851" w:hanging="851"/>
      <w:jc w:val="both"/>
    </w:pPr>
    <w:rPr>
      <w:rFonts w:ascii="Arial" w:eastAsia="Times New Roman" w:hAnsi="Arial" w:cs="Times New Roman"/>
      <w:sz w:val="20"/>
      <w:szCs w:val="20"/>
      <w:lang w:eastAsia="en-GB"/>
    </w:rPr>
    <w:tblPr/>
    <w:tblStylePr w:type="firstRow">
      <w:tblPr/>
      <w:tcPr>
        <w:tcBorders>
          <w:top w:val="single" w:sz="4" w:space="0" w:color="0070C0"/>
          <w:left w:val="nil"/>
          <w:bottom w:val="single" w:sz="4" w:space="0" w:color="0070C0"/>
          <w:right w:val="nil"/>
          <w:insideH w:val="nil"/>
          <w:insideV w:val="nil"/>
        </w:tcBorders>
        <w:shd w:val="clear" w:color="auto" w:fill="E2ECF2"/>
      </w:tcPr>
    </w:tblStylePr>
  </w:style>
  <w:style w:type="table" w:customStyle="1" w:styleId="LightShading-Accent211">
    <w:name w:val="Light Shading - Accent 211"/>
    <w:basedOn w:val="TableNormal"/>
    <w:next w:val="LightShading-Accent2"/>
    <w:uiPriority w:val="60"/>
    <w:rsid w:val="00DC7207"/>
    <w:pPr>
      <w:spacing w:after="0" w:line="240" w:lineRule="auto"/>
      <w:ind w:left="709"/>
    </w:pPr>
    <w:rPr>
      <w:rFonts w:ascii="Arial" w:eastAsia="Times New Roman" w:hAnsi="Arial" w:cs="Times New Roman"/>
      <w:color w:val="C45911"/>
      <w:sz w:val="20"/>
      <w:szCs w:val="20"/>
      <w:lang w:eastAsia="en-GB"/>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11">
    <w:name w:val="Light Shading - Accent 311"/>
    <w:basedOn w:val="TableNormal"/>
    <w:next w:val="LightShading-Accent3"/>
    <w:uiPriority w:val="60"/>
    <w:rsid w:val="00DC7207"/>
    <w:pPr>
      <w:spacing w:after="0" w:line="240" w:lineRule="auto"/>
      <w:ind w:left="709"/>
    </w:pPr>
    <w:rPr>
      <w:rFonts w:ascii="Arial" w:eastAsia="Times New Roman" w:hAnsi="Arial" w:cs="Times New Roman"/>
      <w:color w:val="7B7B7B"/>
      <w:sz w:val="20"/>
      <w:szCs w:val="20"/>
      <w:lang w:eastAsia="en-G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411">
    <w:name w:val="Light Shading - Accent 411"/>
    <w:basedOn w:val="TableNormal"/>
    <w:next w:val="LightShading-Accent4"/>
    <w:uiPriority w:val="60"/>
    <w:rsid w:val="00DC7207"/>
    <w:pPr>
      <w:spacing w:after="0" w:line="240" w:lineRule="auto"/>
      <w:ind w:left="709"/>
    </w:pPr>
    <w:rPr>
      <w:rFonts w:ascii="Arial" w:eastAsia="Times New Roman" w:hAnsi="Arial" w:cs="Times New Roman"/>
      <w:color w:val="BF8F00"/>
      <w:sz w:val="20"/>
      <w:szCs w:val="20"/>
      <w:lang w:eastAsia="en-GB"/>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Ricardo-AEATableStyle31">
    <w:name w:val="Ricardo-AEA Table Style31"/>
    <w:basedOn w:val="TableNormal"/>
    <w:uiPriority w:val="99"/>
    <w:qFormat/>
    <w:rsid w:val="00DC7207"/>
    <w:pPr>
      <w:spacing w:after="0" w:line="240" w:lineRule="auto"/>
      <w:ind w:left="709"/>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Autospacing="0" w:afterLines="0" w:afterAutospacing="0" w:line="240" w:lineRule="auto"/>
        <w:contextualSpacing w:val="0"/>
      </w:pPr>
      <w:rPr>
        <w:rFonts w:ascii="Arial" w:hAnsi="Arial"/>
        <w:b/>
        <w:color w:val="FFFFFF"/>
        <w:sz w:val="20"/>
      </w:rPr>
      <w:tblPr/>
      <w:tcPr>
        <w:shd w:val="clear" w:color="auto" w:fill="008000"/>
        <w:vAlign w:val="center"/>
      </w:tcPr>
    </w:tblStylePr>
    <w:tblStylePr w:type="firstCol">
      <w:rPr>
        <w:rFonts w:ascii="Arial" w:hAnsi="Arial"/>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AEATableStyle41">
    <w:name w:val="AEA Table Style41"/>
    <w:basedOn w:val="TableNormal"/>
    <w:uiPriority w:val="99"/>
    <w:qFormat/>
    <w:rsid w:val="00DC7207"/>
    <w:pPr>
      <w:spacing w:after="0" w:line="240" w:lineRule="auto"/>
      <w:ind w:left="709"/>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rPr>
        <w:rFonts w:ascii="Arial" w:hAnsi="Arial" w:cs="Arial"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TableGrid111">
    <w:name w:val="Table Grid111"/>
    <w:basedOn w:val="TableNormal"/>
    <w:next w:val="TableGrid"/>
    <w:uiPriority w:val="59"/>
    <w:rsid w:val="00DC7207"/>
    <w:pPr>
      <w:spacing w:after="0" w:line="240" w:lineRule="auto"/>
      <w:ind w:left="709"/>
    </w:pPr>
    <w:rPr>
      <w:rFonts w:ascii="Arial" w:eastAsia="Times New Roman" w:hAnsi="Arial"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EATableStyle121">
    <w:name w:val="AEA Table Style121"/>
    <w:basedOn w:val="TableNormal"/>
    <w:uiPriority w:val="99"/>
    <w:qFormat/>
    <w:rsid w:val="00DC7207"/>
    <w:pPr>
      <w:spacing w:after="0" w:line="240" w:lineRule="auto"/>
      <w:ind w:left="709"/>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shd w:val="pct15" w:color="auto" w:fill="auto"/>
      </w:tcPr>
    </w:tblStylePr>
  </w:style>
  <w:style w:type="table" w:customStyle="1" w:styleId="Ricardo-AEATableStyle121">
    <w:name w:val="Ricardo-AEA Table Style121"/>
    <w:basedOn w:val="TableNormal"/>
    <w:uiPriority w:val="99"/>
    <w:qFormat/>
    <w:rsid w:val="00DC7207"/>
    <w:pPr>
      <w:spacing w:after="0" w:line="240" w:lineRule="auto"/>
      <w:ind w:left="709"/>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Autospacing="0" w:afterLines="0" w:afterAutospacing="0" w:line="240" w:lineRule="auto"/>
        <w:contextualSpacing w:val="0"/>
      </w:pPr>
      <w:rPr>
        <w:rFonts w:ascii="Arial" w:hAnsi="Arial"/>
        <w:b/>
        <w:color w:val="FFFFFF"/>
        <w:sz w:val="20"/>
      </w:rPr>
      <w:tblPr/>
      <w:tcPr>
        <w:shd w:val="clear" w:color="auto" w:fill="008000"/>
        <w:vAlign w:val="center"/>
      </w:tcPr>
    </w:tblStylePr>
    <w:tblStylePr w:type="firstCol">
      <w:rPr>
        <w:rFonts w:ascii="Arial" w:hAnsi="Arial"/>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AEATableStyle1111">
    <w:name w:val="AEA Table Style1111"/>
    <w:basedOn w:val="TableNormal"/>
    <w:uiPriority w:val="99"/>
    <w:qFormat/>
    <w:rsid w:val="00DC7207"/>
    <w:pPr>
      <w:spacing w:after="0" w:line="240" w:lineRule="auto"/>
      <w:ind w:left="709"/>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shd w:val="pct15" w:color="auto" w:fill="auto"/>
      </w:tcPr>
    </w:tblStylePr>
  </w:style>
  <w:style w:type="table" w:customStyle="1" w:styleId="AEATableStyle81111">
    <w:name w:val="AEA Table Style81111"/>
    <w:basedOn w:val="TableNormal"/>
    <w:uiPriority w:val="99"/>
    <w:qFormat/>
    <w:rsid w:val="00DC7207"/>
    <w:pPr>
      <w:spacing w:before="20" w:after="20" w:line="240" w:lineRule="auto"/>
      <w:ind w:left="709"/>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rPr>
        <w:rFonts w:ascii="Arial" w:hAnsi="Arial" w:cs="Arial"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AEATableStyle81211">
    <w:name w:val="AEA Table Style81211"/>
    <w:basedOn w:val="TableNormal"/>
    <w:uiPriority w:val="99"/>
    <w:qFormat/>
    <w:rsid w:val="00DC7207"/>
    <w:pPr>
      <w:spacing w:before="20" w:after="20" w:line="240" w:lineRule="auto"/>
      <w:ind w:left="709"/>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rPr>
        <w:rFonts w:ascii="Arial" w:hAnsi="Arial" w:cs="Arial"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AEATableStyle8131">
    <w:name w:val="AEA Table Style8131"/>
    <w:basedOn w:val="TableNormal"/>
    <w:uiPriority w:val="99"/>
    <w:qFormat/>
    <w:rsid w:val="00DC7207"/>
    <w:pPr>
      <w:spacing w:before="20" w:after="20" w:line="240" w:lineRule="auto"/>
      <w:ind w:left="709"/>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rPr>
        <w:rFonts w:ascii="Arial" w:hAnsi="Arial" w:cs="Arial"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AEATableStyle211">
    <w:name w:val="AEA Table Style211"/>
    <w:basedOn w:val="TableNormal"/>
    <w:uiPriority w:val="99"/>
    <w:qFormat/>
    <w:rsid w:val="00DC7207"/>
    <w:pPr>
      <w:spacing w:after="0" w:line="240" w:lineRule="auto"/>
      <w:ind w:left="709"/>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shd w:val="pct15" w:color="auto" w:fill="auto"/>
      </w:tcPr>
    </w:tblStylePr>
  </w:style>
  <w:style w:type="table" w:customStyle="1" w:styleId="GridTable4-Accent6111">
    <w:name w:val="Grid Table 4 - Accent 6111"/>
    <w:basedOn w:val="TableNormal"/>
    <w:uiPriority w:val="49"/>
    <w:rsid w:val="00DC7207"/>
    <w:pPr>
      <w:spacing w:after="0" w:line="240" w:lineRule="auto"/>
      <w:ind w:left="709"/>
    </w:pPr>
    <w:rPr>
      <w:sz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3111">
    <w:name w:val="Grid Table 4 - Accent 3111"/>
    <w:basedOn w:val="TableNormal"/>
    <w:uiPriority w:val="49"/>
    <w:rsid w:val="00DC7207"/>
    <w:pPr>
      <w:spacing w:after="0" w:line="240" w:lineRule="auto"/>
      <w:ind w:left="709"/>
    </w:pPr>
    <w:rPr>
      <w:rFonts w:ascii="Arial" w:eastAsia="Times New Roman" w:hAnsi="Arial" w:cs="Times New Roman"/>
      <w:sz w:val="20"/>
      <w:szCs w:val="20"/>
      <w:lang w:eastAsia="en-G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AEATableStyle311">
    <w:name w:val="AEA Table Style311"/>
    <w:basedOn w:val="TableNormal"/>
    <w:uiPriority w:val="99"/>
    <w:qFormat/>
    <w:rsid w:val="00DC7207"/>
    <w:pPr>
      <w:spacing w:after="0" w:line="240" w:lineRule="auto"/>
      <w:ind w:left="709"/>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shd w:val="pct15" w:color="auto" w:fill="auto"/>
      </w:tcPr>
    </w:tblStylePr>
  </w:style>
  <w:style w:type="table" w:customStyle="1" w:styleId="Ricardo-AEATableStyle1111">
    <w:name w:val="Ricardo-AEA Table Style1111"/>
    <w:basedOn w:val="TableNormal"/>
    <w:uiPriority w:val="99"/>
    <w:qFormat/>
    <w:rsid w:val="00DC7207"/>
    <w:pPr>
      <w:spacing w:after="0" w:line="240" w:lineRule="auto"/>
      <w:ind w:left="709"/>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Autospacing="0" w:afterLines="0" w:afterAutospacing="0" w:line="240" w:lineRule="auto"/>
        <w:contextualSpacing w:val="0"/>
      </w:pPr>
      <w:rPr>
        <w:rFonts w:ascii="Arial" w:hAnsi="Arial"/>
        <w:b/>
        <w:color w:val="FFFFFF"/>
        <w:sz w:val="20"/>
      </w:rPr>
      <w:tblPr/>
      <w:tcPr>
        <w:shd w:val="clear" w:color="auto" w:fill="008000"/>
        <w:vAlign w:val="center"/>
      </w:tcPr>
    </w:tblStylePr>
    <w:tblStylePr w:type="firstCol">
      <w:rPr>
        <w:rFonts w:ascii="Arial" w:hAnsi="Arial"/>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TableGrid110">
    <w:name w:val="TableGrid11"/>
    <w:rsid w:val="00DC7207"/>
    <w:pPr>
      <w:spacing w:after="0" w:line="240" w:lineRule="auto"/>
      <w:ind w:left="709"/>
    </w:pPr>
    <w:rPr>
      <w:rFonts w:ascii="Calibri" w:eastAsia="Times New Roman" w:hAnsi="Calibri" w:cs="Times New Roman"/>
      <w:sz w:val="20"/>
      <w:lang w:eastAsia="en-GB"/>
    </w:rPr>
    <w:tblPr>
      <w:tblCellMar>
        <w:top w:w="0" w:type="dxa"/>
        <w:left w:w="0" w:type="dxa"/>
        <w:bottom w:w="0" w:type="dxa"/>
        <w:right w:w="0" w:type="dxa"/>
      </w:tblCellMar>
    </w:tblPr>
  </w:style>
  <w:style w:type="table" w:customStyle="1" w:styleId="GridTable4-Accent5101">
    <w:name w:val="Grid Table 4 - Accent 5101"/>
    <w:basedOn w:val="TableNormal"/>
    <w:next w:val="GridTable4-Accent51"/>
    <w:uiPriority w:val="49"/>
    <w:rsid w:val="00DC7207"/>
    <w:pPr>
      <w:spacing w:after="0" w:line="240" w:lineRule="auto"/>
      <w:ind w:left="709"/>
    </w:pPr>
    <w:rPr>
      <w:sz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Ricardo-AEATableStyle41">
    <w:name w:val="Ricardo-AEA Table Style41"/>
    <w:basedOn w:val="TableNormal"/>
    <w:uiPriority w:val="99"/>
    <w:qFormat/>
    <w:rsid w:val="00DC7207"/>
    <w:pPr>
      <w:spacing w:after="0" w:line="240" w:lineRule="auto"/>
      <w:ind w:left="709"/>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Autospacing="0" w:afterLines="0" w:afterAutospacing="0" w:line="240" w:lineRule="auto"/>
        <w:contextualSpacing w:val="0"/>
      </w:pPr>
      <w:rPr>
        <w:rFonts w:ascii="Arial" w:hAnsi="Arial"/>
        <w:b/>
        <w:color w:val="FFFFFF"/>
        <w:sz w:val="20"/>
      </w:rPr>
      <w:tblPr/>
      <w:tcPr>
        <w:shd w:val="clear" w:color="auto" w:fill="008000"/>
        <w:vAlign w:val="center"/>
      </w:tcPr>
    </w:tblStylePr>
    <w:tblStylePr w:type="firstCol">
      <w:rPr>
        <w:rFonts w:ascii="Arial" w:hAnsi="Arial"/>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GridTable4-Accent113">
    <w:name w:val="Grid Table 4 - Accent 113"/>
    <w:basedOn w:val="TableNormal"/>
    <w:uiPriority w:val="49"/>
    <w:rsid w:val="00DC7207"/>
    <w:pPr>
      <w:spacing w:after="0" w:line="240" w:lineRule="auto"/>
      <w:ind w:left="709"/>
    </w:pPr>
    <w:rPr>
      <w:rFonts w:ascii="Arial" w:eastAsia="Times New Roman" w:hAnsi="Arial" w:cs="Times New Roman"/>
      <w:sz w:val="20"/>
      <w:szCs w:val="20"/>
      <w:lang w:eastAsia="en-GB"/>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Mainbidtables22">
    <w:name w:val="Main bid tables22"/>
    <w:basedOn w:val="TableNormal"/>
    <w:uiPriority w:val="99"/>
    <w:rsid w:val="00DC7207"/>
    <w:pPr>
      <w:spacing w:before="60" w:after="0" w:line="240" w:lineRule="auto"/>
      <w:ind w:left="709"/>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table" w:customStyle="1" w:styleId="GridTable4-Accent5112">
    <w:name w:val="Grid Table 4 - Accent 5112"/>
    <w:basedOn w:val="TableNormal"/>
    <w:uiPriority w:val="49"/>
    <w:rsid w:val="00DC7207"/>
    <w:pPr>
      <w:spacing w:after="0" w:line="240" w:lineRule="auto"/>
      <w:ind w:left="709"/>
    </w:pPr>
    <w:rPr>
      <w:rFonts w:ascii="Calibri" w:eastAsia="Calibri" w:hAnsi="Calibri" w:cs="Times New Roman"/>
      <w:sz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112">
    <w:name w:val="Grid Table 4 - Accent 1112"/>
    <w:basedOn w:val="TableNormal"/>
    <w:uiPriority w:val="49"/>
    <w:rsid w:val="00DC7207"/>
    <w:pPr>
      <w:spacing w:after="0" w:line="240" w:lineRule="auto"/>
      <w:ind w:left="709"/>
    </w:pPr>
    <w:rPr>
      <w:rFonts w:ascii="Arial" w:eastAsia="Times New Roman" w:hAnsi="Arial" w:cs="Times New Roman"/>
      <w:sz w:val="20"/>
      <w:szCs w:val="20"/>
      <w:lang w:eastAsia="en-GB"/>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4">
    <w:name w:val="Grid Table 4 - Accent 14"/>
    <w:basedOn w:val="TableNormal"/>
    <w:next w:val="GridTable4-Accent1"/>
    <w:uiPriority w:val="49"/>
    <w:rsid w:val="00DC7207"/>
    <w:pPr>
      <w:spacing w:after="0" w:line="240" w:lineRule="auto"/>
      <w:ind w:left="709"/>
    </w:pPr>
    <w:rPr>
      <w:rFonts w:ascii="Arial" w:eastAsia="Times New Roman" w:hAnsi="Arial" w:cs="Times New Roman"/>
      <w:sz w:val="20"/>
      <w:szCs w:val="20"/>
      <w:lang w:eastAsia="en-GB"/>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3">
    <w:name w:val="Grid Table 4 - Accent 53"/>
    <w:basedOn w:val="TableNormal"/>
    <w:next w:val="GridTable4-Accent5"/>
    <w:uiPriority w:val="49"/>
    <w:rsid w:val="00DC7207"/>
    <w:pPr>
      <w:spacing w:after="0" w:line="240" w:lineRule="auto"/>
      <w:ind w:left="709"/>
    </w:pPr>
    <w:rPr>
      <w:rFonts w:ascii="Arial" w:eastAsia="Times New Roman" w:hAnsi="Arial" w:cs="Times New Roman"/>
      <w:sz w:val="20"/>
      <w:szCs w:val="20"/>
      <w:lang w:eastAsia="en-GB"/>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42">
    <w:name w:val="Grid Table 1 Light - Accent 42"/>
    <w:basedOn w:val="TableNormal"/>
    <w:next w:val="GridTable1Light-Accent4"/>
    <w:uiPriority w:val="46"/>
    <w:rsid w:val="00DC7207"/>
    <w:pPr>
      <w:spacing w:after="0" w:line="240" w:lineRule="auto"/>
    </w:pPr>
    <w:rPr>
      <w:rFonts w:ascii="Arial" w:eastAsia="Times New Roman" w:hAnsi="Arial" w:cs="Times New Roman"/>
      <w:sz w:val="20"/>
      <w:szCs w:val="20"/>
      <w:lang w:eastAsia="en-GB"/>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Sfondomedio1-Colore111">
    <w:name w:val="Sfondo medio 1 - Colore 111"/>
    <w:basedOn w:val="TableNormal"/>
    <w:uiPriority w:val="63"/>
    <w:rsid w:val="00DC7207"/>
    <w:pPr>
      <w:spacing w:after="0" w:line="240" w:lineRule="auto"/>
    </w:pPr>
    <w:rPr>
      <w:rFonts w:ascii="Arial" w:eastAsia="Times New Roman" w:hAnsi="Arial" w:cs="Times New Roman"/>
      <w:sz w:val="20"/>
      <w:szCs w:val="20"/>
      <w:lang w:eastAsia="en-GB"/>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TableGridLight2">
    <w:name w:val="Table Grid Light2"/>
    <w:basedOn w:val="TableNormal"/>
    <w:next w:val="TableGridLight"/>
    <w:uiPriority w:val="40"/>
    <w:rsid w:val="00DC7207"/>
    <w:pPr>
      <w:spacing w:after="0" w:line="240" w:lineRule="auto"/>
    </w:pPr>
    <w:rPr>
      <w:rFonts w:ascii="Arial" w:eastAsia="Times New Roman" w:hAnsi="Arial" w:cs="Times New Roman"/>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DocumentTable13">
    <w:name w:val="Document Table13"/>
    <w:basedOn w:val="TableNormal"/>
    <w:uiPriority w:val="39"/>
    <w:rsid w:val="00DC7207"/>
    <w:pPr>
      <w:spacing w:after="0" w:line="240" w:lineRule="auto"/>
    </w:pPr>
    <w:rPr>
      <w:rFonts w:ascii="Arial" w:eastAsia="Times New Roman" w:hAnsi="Arial"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52">
    <w:name w:val="List Table 4 - Accent 52"/>
    <w:basedOn w:val="TableNormal"/>
    <w:next w:val="ListTable4-Accent5"/>
    <w:uiPriority w:val="49"/>
    <w:rsid w:val="00DC7207"/>
    <w:pPr>
      <w:spacing w:after="0" w:line="240" w:lineRule="auto"/>
    </w:pPr>
    <w:rPr>
      <w:sz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DocumentTable22">
    <w:name w:val="Document Table22"/>
    <w:basedOn w:val="TableNormal"/>
    <w:next w:val="TableGrid"/>
    <w:uiPriority w:val="59"/>
    <w:rsid w:val="00DC720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ainbidtables31">
    <w:name w:val="Main bid tables31"/>
    <w:basedOn w:val="TableNormal"/>
    <w:uiPriority w:val="99"/>
    <w:rsid w:val="00DC7207"/>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table" w:customStyle="1" w:styleId="GridTable1Light-Accent13">
    <w:name w:val="Grid Table 1 Light - Accent 13"/>
    <w:basedOn w:val="TableNormal"/>
    <w:next w:val="GridTable1Light-Accent1"/>
    <w:uiPriority w:val="46"/>
    <w:rsid w:val="00DC7207"/>
    <w:pPr>
      <w:spacing w:after="0" w:line="240" w:lineRule="auto"/>
    </w:pPr>
    <w:rPr>
      <w:sz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6Colorful2">
    <w:name w:val="Grid Table 6 Colorful2"/>
    <w:basedOn w:val="TableNormal"/>
    <w:next w:val="GridTable6Colorful"/>
    <w:uiPriority w:val="51"/>
    <w:rsid w:val="00DC7207"/>
    <w:pPr>
      <w:spacing w:after="0" w:line="240" w:lineRule="auto"/>
      <w:ind w:left="709"/>
    </w:pPr>
    <w:rPr>
      <w:rFonts w:ascii="Arial" w:eastAsia="Times New Roman" w:hAnsi="Arial" w:cs="Times New Roman"/>
      <w:color w:val="000000"/>
      <w:sz w:val="20"/>
      <w:szCs w:val="20"/>
      <w:lang w:eastAsia="en-GB"/>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2">
    <w:name w:val="List Table 32"/>
    <w:basedOn w:val="TableNormal"/>
    <w:next w:val="ListTable3"/>
    <w:uiPriority w:val="48"/>
    <w:rsid w:val="00DC7207"/>
    <w:pPr>
      <w:spacing w:after="0" w:line="240" w:lineRule="auto"/>
      <w:ind w:left="709"/>
    </w:pPr>
    <w:rPr>
      <w:rFonts w:ascii="Arial" w:eastAsia="Times New Roman" w:hAnsi="Arial" w:cs="Times New Roman"/>
      <w:sz w:val="20"/>
      <w:szCs w:val="20"/>
      <w:lang w:eastAsia="en-GB"/>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eGrid01">
    <w:name w:val="Table Grid01"/>
    <w:rsid w:val="00DC7207"/>
    <w:pPr>
      <w:spacing w:after="0" w:line="240" w:lineRule="auto"/>
      <w:ind w:left="709"/>
    </w:pPr>
    <w:rPr>
      <w:rFonts w:ascii="Calibri" w:eastAsia="Times New Roman" w:hAnsi="Calibri" w:cs="Times New Roman"/>
      <w:sz w:val="20"/>
      <w:lang w:eastAsia="en-GB"/>
    </w:rPr>
    <w:tblPr>
      <w:tblCellMar>
        <w:top w:w="0" w:type="dxa"/>
        <w:left w:w="0" w:type="dxa"/>
        <w:bottom w:w="0" w:type="dxa"/>
        <w:right w:w="0" w:type="dxa"/>
      </w:tblCellMar>
    </w:tblPr>
  </w:style>
  <w:style w:type="table" w:customStyle="1" w:styleId="Mainbidtables51">
    <w:name w:val="Main bid tables51"/>
    <w:basedOn w:val="TableNormal"/>
    <w:uiPriority w:val="99"/>
    <w:rsid w:val="00DC7207"/>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table" w:customStyle="1" w:styleId="GridTable4-Accent63">
    <w:name w:val="Grid Table 4 - Accent 63"/>
    <w:basedOn w:val="TableNormal"/>
    <w:next w:val="GridTable4-Accent6"/>
    <w:uiPriority w:val="49"/>
    <w:rsid w:val="00DC7207"/>
    <w:pPr>
      <w:spacing w:before="60" w:after="0" w:line="240" w:lineRule="auto"/>
    </w:pPr>
    <w:rPr>
      <w:rFonts w:ascii="Arial" w:hAnsi="Arial"/>
      <w:sz w:val="20"/>
      <w:lang w:val="de-D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HTG12">
    <w:name w:val="HTG12"/>
    <w:basedOn w:val="TableNormal"/>
    <w:next w:val="TableGrid"/>
    <w:uiPriority w:val="39"/>
    <w:rsid w:val="00DC7207"/>
    <w:pPr>
      <w:spacing w:after="0" w:line="240" w:lineRule="auto"/>
    </w:pPr>
    <w:rPr>
      <w:rFonts w:ascii="Calibri" w:hAnsi="Calibri"/>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icardotable18">
    <w:name w:val="Ricardo table18"/>
    <w:basedOn w:val="TableGrid13"/>
    <w:uiPriority w:val="99"/>
    <w:rsid w:val="00DC7207"/>
    <w:pPr>
      <w:spacing w:after="60" w:line="240" w:lineRule="auto"/>
      <w:jc w:val="center"/>
    </w:pPr>
    <w:rPr>
      <w:rFonts w:eastAsia="Times New Roman" w:cs="Times New Roman"/>
      <w:sz w:val="18"/>
      <w:szCs w:val="20"/>
      <w:lang w:val="en-US" w:eastAsia="en-GB" w:bidi="he-IL"/>
    </w:rPr>
    <w:tblPr>
      <w:tblStyleRowBandSize w:val="1"/>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tcPr>
    <w:tblStylePr w:type="firstRow">
      <w:rPr>
        <w:rFonts w:ascii="Arial" w:hAnsi="Arial" w:cs="Times New Roman"/>
        <w:color w:val="FFFFFF"/>
      </w:rPr>
      <w:tblPr/>
      <w:tcPr>
        <w:shd w:val="clear" w:color="auto" w:fill="006BB7"/>
      </w:tcPr>
    </w:tblStyle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tblStylePr w:type="band2Horz">
      <w:rPr>
        <w:rFonts w:cs="Times New Roman"/>
      </w:rPr>
      <w:tblPr/>
      <w:tcPr>
        <w:shd w:val="clear" w:color="auto" w:fill="EAF2FA"/>
      </w:tcPr>
    </w:tblStylePr>
  </w:style>
  <w:style w:type="table" w:customStyle="1" w:styleId="TableGrid112">
    <w:name w:val="Table Grid 11"/>
    <w:basedOn w:val="TableNormal"/>
    <w:next w:val="TableGrid13"/>
    <w:uiPriority w:val="99"/>
    <w:semiHidden/>
    <w:unhideWhenUsed/>
    <w:rsid w:val="00DC7207"/>
    <w:pPr>
      <w:spacing w:before="60" w:after="0" w:line="288" w:lineRule="auto"/>
    </w:pPr>
    <w:rPr>
      <w:rFonts w:ascii="Arial" w:hAnsi="Arial"/>
      <w:sz w:val="20"/>
      <w:lang w:val="de-D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icardotable19">
    <w:name w:val="Ricardo table19"/>
    <w:basedOn w:val="TableGrid13"/>
    <w:uiPriority w:val="99"/>
    <w:rsid w:val="00DC7207"/>
    <w:pPr>
      <w:spacing w:after="60" w:line="240" w:lineRule="auto"/>
      <w:jc w:val="center"/>
    </w:pPr>
    <w:rPr>
      <w:rFonts w:eastAsia="Times New Roman" w:cs="Times New Roman"/>
      <w:sz w:val="18"/>
      <w:szCs w:val="20"/>
      <w:lang w:eastAsia="en-GB"/>
    </w:rPr>
    <w:tblPr>
      <w:tblStyleRowBandSize w:val="1"/>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tcPr>
    <w:tblStylePr w:type="firstRow">
      <w:rPr>
        <w:rFonts w:ascii="Arial" w:hAnsi="Arial" w:cs="Times New Roman"/>
        <w:color w:val="FFFFFF"/>
      </w:rPr>
      <w:tblPr/>
      <w:tcPr>
        <w:shd w:val="clear" w:color="auto" w:fill="006BB7"/>
      </w:tcPr>
    </w:tblStyle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tblStylePr w:type="band2Horz">
      <w:rPr>
        <w:rFonts w:cs="Times New Roman"/>
      </w:rPr>
      <w:tblPr/>
      <w:tcPr>
        <w:shd w:val="clear" w:color="auto" w:fill="EAF2FA"/>
      </w:tcPr>
    </w:tblStylePr>
  </w:style>
  <w:style w:type="table" w:customStyle="1" w:styleId="GridTable3-Accent52">
    <w:name w:val="Grid Table 3 - Accent 52"/>
    <w:basedOn w:val="TableNormal"/>
    <w:next w:val="GridTable3-Accent5"/>
    <w:uiPriority w:val="48"/>
    <w:rsid w:val="00DC720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Ricardotable21">
    <w:name w:val="Ricardo table21"/>
    <w:basedOn w:val="TableGrid13"/>
    <w:uiPriority w:val="99"/>
    <w:rsid w:val="00DC7207"/>
    <w:pPr>
      <w:spacing w:after="60" w:line="240" w:lineRule="auto"/>
      <w:jc w:val="center"/>
    </w:pPr>
    <w:rPr>
      <w:rFonts w:eastAsia="Times New Roman" w:cs="Times New Roman"/>
      <w:sz w:val="18"/>
      <w:szCs w:val="20"/>
    </w:rPr>
    <w:tblPr>
      <w:tblStyleRowBandSize w:val="1"/>
      <w:tblInd w:w="0" w:type="nil"/>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tcPr>
    <w:tblStylePr w:type="firstRow">
      <w:rPr>
        <w:rFonts w:ascii="Arial" w:hAnsi="Arial" w:cs="Times New Roman" w:hint="default"/>
        <w:color w:val="FFFFFF"/>
      </w:rPr>
      <w:tblPr/>
      <w:tcPr>
        <w:shd w:val="clear" w:color="auto" w:fill="006BB7"/>
      </w:tcPr>
    </w:tblStylePr>
    <w:tblStylePr w:type="lastRow">
      <w:rPr>
        <w:rFonts w:ascii="Arial" w:hAnsi="Arial" w:cs="Times New Roman" w:hint="default"/>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icardotable31">
    <w:name w:val="Ricardo table31"/>
    <w:basedOn w:val="TableGrid13"/>
    <w:uiPriority w:val="99"/>
    <w:rsid w:val="00DC7207"/>
    <w:pPr>
      <w:spacing w:after="60" w:line="240" w:lineRule="auto"/>
      <w:jc w:val="center"/>
    </w:pPr>
    <w:rPr>
      <w:rFonts w:eastAsia="Times New Roman" w:cs="Times New Roman"/>
      <w:sz w:val="18"/>
      <w:szCs w:val="20"/>
    </w:rPr>
    <w:tblPr>
      <w:tblStyleRowBandSize w:val="1"/>
      <w:tblInd w:w="0" w:type="nil"/>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tcPr>
    <w:tblStylePr w:type="firstRow">
      <w:rPr>
        <w:rFonts w:ascii="Arial" w:hAnsi="Arial" w:cs="Times New Roman" w:hint="default"/>
        <w:color w:val="FFFFFF"/>
      </w:rPr>
      <w:tblPr/>
      <w:tcPr>
        <w:shd w:val="clear" w:color="auto" w:fill="006BB7"/>
      </w:tcPr>
    </w:tblStylePr>
    <w:tblStylePr w:type="lastRow">
      <w:rPr>
        <w:rFonts w:ascii="Arial" w:hAnsi="Arial" w:cs="Times New Roman" w:hint="default"/>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icardotable41">
    <w:name w:val="Ricardo table41"/>
    <w:basedOn w:val="TableGrid13"/>
    <w:uiPriority w:val="99"/>
    <w:rsid w:val="00DC7207"/>
    <w:pPr>
      <w:spacing w:after="60" w:line="240" w:lineRule="auto"/>
      <w:jc w:val="center"/>
    </w:pPr>
    <w:rPr>
      <w:rFonts w:eastAsia="Times New Roman" w:cs="Times New Roman"/>
      <w:sz w:val="18"/>
      <w:szCs w:val="20"/>
    </w:rPr>
    <w:tblPr>
      <w:tblStyleRowBandSize w:val="1"/>
      <w:tblInd w:w="0" w:type="nil"/>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tcPr>
    <w:tblStylePr w:type="firstRow">
      <w:rPr>
        <w:rFonts w:ascii="Arial" w:hAnsi="Arial" w:cs="Times New Roman" w:hint="default"/>
        <w:color w:val="FFFFFF"/>
      </w:rPr>
      <w:tblPr/>
      <w:tcPr>
        <w:shd w:val="clear" w:color="auto" w:fill="006BB7"/>
      </w:tcPr>
    </w:tblStylePr>
    <w:tblStylePr w:type="lastRow">
      <w:rPr>
        <w:rFonts w:ascii="Arial" w:hAnsi="Arial" w:cs="Times New Roman" w:hint="default"/>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icardotable51">
    <w:name w:val="Ricardo table51"/>
    <w:basedOn w:val="TableGrid13"/>
    <w:uiPriority w:val="99"/>
    <w:rsid w:val="00DC7207"/>
    <w:pPr>
      <w:spacing w:after="60" w:line="240" w:lineRule="auto"/>
      <w:jc w:val="center"/>
    </w:pPr>
    <w:rPr>
      <w:rFonts w:eastAsia="Times New Roman" w:cs="Times New Roman"/>
      <w:sz w:val="18"/>
      <w:szCs w:val="20"/>
    </w:rPr>
    <w:tblPr>
      <w:tblStyleRowBandSize w:val="1"/>
      <w:tblInd w:w="0" w:type="nil"/>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tcPr>
    <w:tblStylePr w:type="firstRow">
      <w:rPr>
        <w:rFonts w:ascii="Arial" w:hAnsi="Arial" w:cs="Times New Roman" w:hint="default"/>
        <w:color w:val="FFFFFF"/>
      </w:rPr>
      <w:tblPr/>
      <w:tcPr>
        <w:shd w:val="clear" w:color="auto" w:fill="006BB7"/>
      </w:tcPr>
    </w:tblStylePr>
    <w:tblStylePr w:type="lastRow">
      <w:rPr>
        <w:rFonts w:ascii="Arial" w:hAnsi="Arial" w:cs="Times New Roman" w:hint="default"/>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icardotable61">
    <w:name w:val="Ricardo table61"/>
    <w:basedOn w:val="TableGrid13"/>
    <w:uiPriority w:val="99"/>
    <w:rsid w:val="00DC7207"/>
    <w:pPr>
      <w:spacing w:after="60" w:line="240" w:lineRule="auto"/>
      <w:jc w:val="center"/>
    </w:pPr>
    <w:rPr>
      <w:rFonts w:eastAsia="Times New Roman" w:cs="Times New Roman"/>
      <w:sz w:val="18"/>
      <w:szCs w:val="20"/>
    </w:rPr>
    <w:tblPr>
      <w:tblStyleRowBandSize w:val="1"/>
      <w:tblInd w:w="0" w:type="nil"/>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tcPr>
    <w:tblStylePr w:type="firstRow">
      <w:rPr>
        <w:rFonts w:ascii="Arial" w:hAnsi="Arial" w:cs="Times New Roman" w:hint="default"/>
        <w:color w:val="FFFFFF"/>
      </w:rPr>
      <w:tblPr/>
      <w:tcPr>
        <w:shd w:val="clear" w:color="auto" w:fill="006BB7"/>
      </w:tcPr>
    </w:tblStylePr>
    <w:tblStylePr w:type="lastRow">
      <w:rPr>
        <w:rFonts w:ascii="Arial" w:hAnsi="Arial" w:cs="Times New Roman" w:hint="default"/>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icardotable71">
    <w:name w:val="Ricardo table71"/>
    <w:basedOn w:val="TableGrid13"/>
    <w:uiPriority w:val="99"/>
    <w:rsid w:val="00DC7207"/>
    <w:pPr>
      <w:spacing w:after="60" w:line="240" w:lineRule="auto"/>
      <w:jc w:val="center"/>
    </w:pPr>
    <w:rPr>
      <w:rFonts w:eastAsia="Times New Roman" w:cs="Times New Roman"/>
      <w:sz w:val="18"/>
      <w:szCs w:val="20"/>
    </w:rPr>
    <w:tblPr>
      <w:tblStyleRowBandSize w:val="1"/>
      <w:tblInd w:w="0" w:type="nil"/>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tcPr>
    <w:tblStylePr w:type="firstRow">
      <w:rPr>
        <w:rFonts w:ascii="Arial" w:hAnsi="Arial" w:cs="Times New Roman" w:hint="default"/>
        <w:color w:val="FFFFFF"/>
      </w:rPr>
      <w:tblPr/>
      <w:tcPr>
        <w:shd w:val="clear" w:color="auto" w:fill="006BB7"/>
      </w:tcPr>
    </w:tblStylePr>
    <w:tblStylePr w:type="lastRow">
      <w:rPr>
        <w:rFonts w:ascii="Arial" w:hAnsi="Arial" w:cs="Times New Roman" w:hint="default"/>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icardotable81">
    <w:name w:val="Ricardo table81"/>
    <w:basedOn w:val="TableGrid13"/>
    <w:uiPriority w:val="99"/>
    <w:rsid w:val="00DC7207"/>
    <w:pPr>
      <w:spacing w:after="60" w:line="240" w:lineRule="auto"/>
      <w:jc w:val="center"/>
    </w:pPr>
    <w:rPr>
      <w:rFonts w:eastAsia="Times New Roman" w:cs="Times New Roman"/>
      <w:sz w:val="18"/>
      <w:szCs w:val="20"/>
    </w:rPr>
    <w:tblPr>
      <w:tblStyleRowBandSize w:val="1"/>
      <w:tblInd w:w="0" w:type="nil"/>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tcPr>
    <w:tblStylePr w:type="firstRow">
      <w:rPr>
        <w:rFonts w:ascii="Arial" w:hAnsi="Arial" w:cs="Times New Roman" w:hint="default"/>
        <w:color w:val="FFFFFF"/>
      </w:rPr>
      <w:tblPr/>
      <w:tcPr>
        <w:shd w:val="clear" w:color="auto" w:fill="006BB7"/>
      </w:tcPr>
    </w:tblStylePr>
    <w:tblStylePr w:type="lastRow">
      <w:rPr>
        <w:rFonts w:ascii="Arial" w:hAnsi="Arial" w:cs="Times New Roman" w:hint="default"/>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icardotable91">
    <w:name w:val="Ricardo table91"/>
    <w:basedOn w:val="TableGrid13"/>
    <w:uiPriority w:val="99"/>
    <w:rsid w:val="00DC7207"/>
    <w:pPr>
      <w:spacing w:after="60" w:line="240" w:lineRule="auto"/>
      <w:jc w:val="center"/>
    </w:pPr>
    <w:rPr>
      <w:rFonts w:eastAsia="Times New Roman" w:cs="Times New Roman"/>
      <w:sz w:val="18"/>
      <w:szCs w:val="20"/>
    </w:rPr>
    <w:tblPr>
      <w:tblStyleRowBandSize w:val="1"/>
      <w:tblInd w:w="0" w:type="nil"/>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tcPr>
    <w:tblStylePr w:type="firstRow">
      <w:rPr>
        <w:rFonts w:ascii="Arial" w:hAnsi="Arial" w:cs="Times New Roman" w:hint="default"/>
        <w:color w:val="FFFFFF"/>
      </w:rPr>
      <w:tblPr/>
      <w:tcPr>
        <w:shd w:val="clear" w:color="auto" w:fill="006BB7"/>
      </w:tcPr>
    </w:tblStylePr>
    <w:tblStylePr w:type="lastRow">
      <w:rPr>
        <w:rFonts w:ascii="Arial" w:hAnsi="Arial" w:cs="Times New Roman" w:hint="default"/>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icardotable101">
    <w:name w:val="Ricardo table101"/>
    <w:basedOn w:val="TableGrid13"/>
    <w:uiPriority w:val="99"/>
    <w:rsid w:val="00DC7207"/>
    <w:pPr>
      <w:spacing w:after="60" w:line="240" w:lineRule="auto"/>
      <w:jc w:val="center"/>
    </w:pPr>
    <w:rPr>
      <w:rFonts w:eastAsia="Times New Roman" w:cs="Times New Roman"/>
      <w:sz w:val="18"/>
      <w:szCs w:val="20"/>
    </w:rPr>
    <w:tblPr>
      <w:tblStyleRowBandSize w:val="1"/>
      <w:tblInd w:w="0" w:type="nil"/>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tcPr>
    <w:tblStylePr w:type="firstRow">
      <w:rPr>
        <w:rFonts w:ascii="Arial" w:hAnsi="Arial" w:cs="Times New Roman" w:hint="default"/>
        <w:color w:val="FFFFFF"/>
      </w:rPr>
      <w:tblPr/>
      <w:tcPr>
        <w:shd w:val="clear" w:color="auto" w:fill="006BB7"/>
      </w:tcPr>
    </w:tblStylePr>
    <w:tblStylePr w:type="lastRow">
      <w:rPr>
        <w:rFonts w:ascii="Arial" w:hAnsi="Arial" w:cs="Times New Roman" w:hint="default"/>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icardotable111">
    <w:name w:val="Ricardo table111"/>
    <w:basedOn w:val="TableGrid13"/>
    <w:uiPriority w:val="99"/>
    <w:rsid w:val="00DC7207"/>
    <w:pPr>
      <w:spacing w:after="60" w:line="240" w:lineRule="auto"/>
      <w:jc w:val="center"/>
    </w:pPr>
    <w:rPr>
      <w:rFonts w:eastAsia="Times New Roman" w:cs="Times New Roman"/>
      <w:sz w:val="18"/>
      <w:szCs w:val="20"/>
    </w:rPr>
    <w:tblPr>
      <w:tblStyleRowBandSize w:val="1"/>
      <w:tblInd w:w="0" w:type="nil"/>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tcPr>
    <w:tblStylePr w:type="firstRow">
      <w:rPr>
        <w:rFonts w:ascii="Arial" w:hAnsi="Arial" w:cs="Times New Roman" w:hint="default"/>
        <w:color w:val="FFFFFF"/>
      </w:rPr>
      <w:tblPr/>
      <w:tcPr>
        <w:shd w:val="clear" w:color="auto" w:fill="006BB7"/>
      </w:tcPr>
    </w:tblStylePr>
    <w:tblStylePr w:type="lastRow">
      <w:rPr>
        <w:rFonts w:ascii="Arial" w:hAnsi="Arial" w:cs="Times New Roman" w:hint="default"/>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icardotable121">
    <w:name w:val="Ricardo table121"/>
    <w:basedOn w:val="TableGrid13"/>
    <w:uiPriority w:val="99"/>
    <w:rsid w:val="00DC7207"/>
    <w:pPr>
      <w:spacing w:after="60" w:line="240" w:lineRule="auto"/>
      <w:jc w:val="center"/>
    </w:pPr>
    <w:rPr>
      <w:rFonts w:eastAsia="Times New Roman" w:cs="Times New Roman"/>
      <w:sz w:val="18"/>
      <w:szCs w:val="20"/>
    </w:rPr>
    <w:tblPr>
      <w:tblStyleRowBandSize w:val="1"/>
      <w:tblInd w:w="0" w:type="nil"/>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tcPr>
    <w:tblStylePr w:type="firstRow">
      <w:rPr>
        <w:rFonts w:ascii="Arial" w:hAnsi="Arial" w:cs="Times New Roman" w:hint="default"/>
        <w:color w:val="FFFFFF"/>
      </w:rPr>
      <w:tblPr/>
      <w:tcPr>
        <w:shd w:val="clear" w:color="auto" w:fill="006BB7"/>
      </w:tcPr>
    </w:tblStylePr>
    <w:tblStylePr w:type="lastRow">
      <w:rPr>
        <w:rFonts w:ascii="Arial" w:hAnsi="Arial" w:cs="Times New Roman" w:hint="default"/>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icardotable131">
    <w:name w:val="Ricardo table131"/>
    <w:basedOn w:val="TableGrid13"/>
    <w:uiPriority w:val="99"/>
    <w:rsid w:val="00DC7207"/>
    <w:pPr>
      <w:spacing w:after="60" w:line="240" w:lineRule="auto"/>
      <w:jc w:val="center"/>
    </w:pPr>
    <w:rPr>
      <w:rFonts w:eastAsia="Times New Roman" w:cs="Times New Roman"/>
      <w:sz w:val="18"/>
      <w:szCs w:val="20"/>
    </w:rPr>
    <w:tblPr>
      <w:tblStyleRowBandSize w:val="1"/>
      <w:tblInd w:w="0" w:type="nil"/>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tcPr>
    <w:tblStylePr w:type="firstRow">
      <w:rPr>
        <w:rFonts w:ascii="Arial" w:hAnsi="Arial" w:cs="Times New Roman" w:hint="default"/>
        <w:color w:val="FFFFFF"/>
      </w:rPr>
      <w:tblPr/>
      <w:tcPr>
        <w:shd w:val="clear" w:color="auto" w:fill="006BB7"/>
      </w:tcPr>
    </w:tblStylePr>
    <w:tblStylePr w:type="lastRow">
      <w:rPr>
        <w:rFonts w:ascii="Arial" w:hAnsi="Arial" w:cs="Times New Roman" w:hint="default"/>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icardotable141">
    <w:name w:val="Ricardo table141"/>
    <w:basedOn w:val="TableGrid13"/>
    <w:uiPriority w:val="99"/>
    <w:rsid w:val="00DC7207"/>
    <w:pPr>
      <w:spacing w:after="60" w:line="240" w:lineRule="auto"/>
      <w:jc w:val="center"/>
    </w:pPr>
    <w:rPr>
      <w:rFonts w:eastAsia="Times New Roman" w:cs="Times New Roman"/>
      <w:sz w:val="18"/>
      <w:szCs w:val="20"/>
    </w:rPr>
    <w:tblPr>
      <w:tblStyleRowBandSize w:val="1"/>
      <w:tblInd w:w="0" w:type="nil"/>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tcPr>
    <w:tblStylePr w:type="firstRow">
      <w:rPr>
        <w:rFonts w:ascii="Arial" w:hAnsi="Arial" w:cs="Times New Roman" w:hint="default"/>
        <w:color w:val="FFFFFF"/>
      </w:rPr>
      <w:tblPr/>
      <w:tcPr>
        <w:shd w:val="clear" w:color="auto" w:fill="006BB7"/>
      </w:tcPr>
    </w:tblStylePr>
    <w:tblStylePr w:type="lastRow">
      <w:rPr>
        <w:rFonts w:ascii="Arial" w:hAnsi="Arial" w:cs="Times New Roman" w:hint="default"/>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icardotable151">
    <w:name w:val="Ricardo table151"/>
    <w:basedOn w:val="TableGrid13"/>
    <w:uiPriority w:val="99"/>
    <w:rsid w:val="00DC7207"/>
    <w:pPr>
      <w:spacing w:after="60" w:line="240" w:lineRule="auto"/>
      <w:jc w:val="center"/>
    </w:pPr>
    <w:rPr>
      <w:rFonts w:eastAsia="Times New Roman" w:cs="Times New Roman"/>
      <w:sz w:val="18"/>
      <w:szCs w:val="20"/>
    </w:rPr>
    <w:tblPr>
      <w:tblStyleRowBandSize w:val="1"/>
      <w:tblInd w:w="0" w:type="nil"/>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tcPr>
    <w:tblStylePr w:type="firstRow">
      <w:rPr>
        <w:rFonts w:ascii="Arial" w:hAnsi="Arial" w:cs="Times New Roman" w:hint="default"/>
        <w:color w:val="FFFFFF"/>
      </w:rPr>
      <w:tblPr/>
      <w:tcPr>
        <w:shd w:val="clear" w:color="auto" w:fill="006BB7"/>
      </w:tcPr>
    </w:tblStylePr>
    <w:tblStylePr w:type="lastRow">
      <w:rPr>
        <w:rFonts w:ascii="Arial" w:hAnsi="Arial" w:cs="Times New Roman" w:hint="default"/>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icardotable161">
    <w:name w:val="Ricardo table161"/>
    <w:basedOn w:val="TableGrid13"/>
    <w:uiPriority w:val="99"/>
    <w:rsid w:val="00DC7207"/>
    <w:pPr>
      <w:spacing w:after="60" w:line="240" w:lineRule="auto"/>
      <w:jc w:val="center"/>
    </w:pPr>
    <w:rPr>
      <w:rFonts w:eastAsia="Times New Roman" w:cs="Times New Roman"/>
      <w:sz w:val="18"/>
      <w:szCs w:val="20"/>
    </w:rPr>
    <w:tblPr>
      <w:tblStyleRowBandSize w:val="1"/>
      <w:tblInd w:w="0" w:type="nil"/>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tcPr>
    <w:tblStylePr w:type="firstRow">
      <w:rPr>
        <w:rFonts w:ascii="Arial" w:hAnsi="Arial" w:cs="Times New Roman" w:hint="default"/>
        <w:color w:val="FFFFFF"/>
      </w:rPr>
      <w:tblPr/>
      <w:tcPr>
        <w:shd w:val="clear" w:color="auto" w:fill="006BB7"/>
      </w:tcPr>
    </w:tblStylePr>
    <w:tblStylePr w:type="lastRow">
      <w:rPr>
        <w:rFonts w:ascii="Arial" w:hAnsi="Arial" w:cs="Times New Roman" w:hint="default"/>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icardotable171">
    <w:name w:val="Ricardo table171"/>
    <w:basedOn w:val="TableGrid13"/>
    <w:uiPriority w:val="99"/>
    <w:rsid w:val="00DC7207"/>
    <w:pPr>
      <w:spacing w:after="60" w:line="240" w:lineRule="auto"/>
      <w:jc w:val="center"/>
    </w:pPr>
    <w:rPr>
      <w:rFonts w:eastAsia="Times New Roman" w:cs="Times New Roman"/>
      <w:sz w:val="18"/>
      <w:szCs w:val="20"/>
    </w:rPr>
    <w:tblPr>
      <w:tblStyleRowBandSize w:val="1"/>
      <w:tblInd w:w="0" w:type="nil"/>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tcPr>
    <w:tblStylePr w:type="firstRow">
      <w:rPr>
        <w:rFonts w:ascii="Arial" w:hAnsi="Arial" w:cs="Times New Roman" w:hint="default"/>
        <w:color w:val="FFFFFF"/>
      </w:rPr>
      <w:tblPr/>
      <w:tcPr>
        <w:shd w:val="clear" w:color="auto" w:fill="006BB7"/>
      </w:tcPr>
    </w:tblStylePr>
    <w:tblStylePr w:type="lastRow">
      <w:rPr>
        <w:rFonts w:ascii="Arial" w:hAnsi="Arial" w:cs="Times New Roman" w:hint="default"/>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Mainbidtables6">
    <w:name w:val="Main bid tables6"/>
    <w:basedOn w:val="TableNormal"/>
    <w:uiPriority w:val="99"/>
    <w:rsid w:val="00DC7207"/>
    <w:pPr>
      <w:spacing w:before="60" w:after="0" w:line="240" w:lineRule="auto"/>
    </w:pPr>
    <w:rPr>
      <w:rFonts w:ascii="Arial" w:eastAsia="Times New Roman" w:hAnsi="Arial" w:cs="Times New Roman"/>
      <w:sz w:val="20"/>
      <w:szCs w:val="20"/>
      <w:lang w:eastAsia="en-GB"/>
    </w:rPr>
    <w:tblPr>
      <w:tblStyleRowBandSize w:val="1"/>
      <w:tblStyleColBandSize w:val="1"/>
      <w:tblInd w:w="0" w:type="nil"/>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style>
  <w:style w:type="table" w:customStyle="1" w:styleId="TableGridLight12">
    <w:name w:val="Table Grid Light12"/>
    <w:basedOn w:val="TableNormal"/>
    <w:uiPriority w:val="40"/>
    <w:rsid w:val="00DC7207"/>
    <w:pPr>
      <w:spacing w:after="0" w:line="240" w:lineRule="auto"/>
    </w:pPr>
    <w:rPr>
      <w:rFonts w:ascii="Arial" w:eastAsia="Times New Roman" w:hAnsi="Arial" w:cs="Times New Roman"/>
      <w:sz w:val="20"/>
      <w:szCs w:val="20"/>
      <w:lang w:eastAsia="en-GB"/>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David2">
    <w:name w:val="David2"/>
    <w:basedOn w:val="TableNormal"/>
    <w:uiPriority w:val="99"/>
    <w:qFormat/>
    <w:rsid w:val="00DC7207"/>
    <w:pPr>
      <w:spacing w:before="20" w:after="20" w:line="240" w:lineRule="auto"/>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rPr>
        <w:rFonts w:ascii="Arial" w:hAnsi="Arial" w:cs="Arial"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Ricardo-AEATableStyle211">
    <w:name w:val="Ricardo-AEA Table Style211"/>
    <w:basedOn w:val="TableNormal"/>
    <w:uiPriority w:val="99"/>
    <w:qFormat/>
    <w:rsid w:val="00DC7207"/>
    <w:pPr>
      <w:spacing w:after="0" w:line="240" w:lineRule="auto"/>
      <w:ind w:left="113"/>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Autospacing="0" w:afterLines="0" w:afterAutospacing="0" w:line="240" w:lineRule="auto"/>
        <w:contextualSpacing w:val="0"/>
      </w:pPr>
      <w:rPr>
        <w:rFonts w:ascii="Arial" w:hAnsi="Arial"/>
        <w:b/>
        <w:color w:val="FFFFFF"/>
        <w:sz w:val="20"/>
      </w:rPr>
      <w:tblPr/>
      <w:tcPr>
        <w:shd w:val="clear" w:color="auto" w:fill="008000"/>
        <w:vAlign w:val="center"/>
      </w:tcPr>
    </w:tblStylePr>
    <w:tblStylePr w:type="firstCol">
      <w:rPr>
        <w:rFonts w:ascii="Arial" w:hAnsi="Arial"/>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Oeko22">
    <w:name w:val="Oeko_22"/>
    <w:basedOn w:val="TableNormal"/>
    <w:uiPriority w:val="99"/>
    <w:rsid w:val="00DC7207"/>
    <w:pPr>
      <w:spacing w:before="40" w:after="40" w:line="240" w:lineRule="auto"/>
    </w:pPr>
    <w:rPr>
      <w:rFonts w:ascii="Arial" w:hAnsi="Arial"/>
      <w:sz w:val="20"/>
      <w:lang w:val="de-DE"/>
    </w:rPr>
    <w:tblPr>
      <w:tblStyleRowBandSize w:val="1"/>
      <w:tblInd w:w="85" w:type="dxa"/>
      <w:tblBorders>
        <w:insideV w:val="single" w:sz="2" w:space="0" w:color="868686"/>
      </w:tblBorders>
      <w:tblCellMar>
        <w:left w:w="85" w:type="dxa"/>
        <w:right w:w="85" w:type="dxa"/>
      </w:tblCellMar>
    </w:tblPr>
    <w:tblStylePr w:type="firstRow">
      <w:rPr>
        <w:b/>
      </w:rPr>
      <w:tblPr/>
      <w:tcPr>
        <w:tcBorders>
          <w:bottom w:val="single" w:sz="12" w:space="0" w:color="A5A5A5"/>
        </w:tcBorders>
      </w:tcPr>
    </w:tblStylePr>
    <w:tblStylePr w:type="firstCol">
      <w:pPr>
        <w:wordWrap/>
        <w:ind w:leftChars="0" w:left="0"/>
      </w:pPr>
      <w:tblPr/>
      <w:tcPr>
        <w:tcBorders>
          <w:right w:val="single" w:sz="4" w:space="0" w:color="868686"/>
          <w:insideV w:val="nil"/>
        </w:tcBorders>
      </w:tcPr>
    </w:tblStylePr>
    <w:tblStylePr w:type="band1Horz">
      <w:tblPr/>
      <w:tcPr>
        <w:tcBorders>
          <w:bottom w:val="single" w:sz="2" w:space="0" w:color="868686"/>
        </w:tcBorders>
      </w:tcPr>
    </w:tblStylePr>
    <w:tblStylePr w:type="band2Horz">
      <w:tblPr/>
      <w:tcPr>
        <w:tcBorders>
          <w:bottom w:val="single" w:sz="2" w:space="0" w:color="868686"/>
        </w:tcBorders>
      </w:tcPr>
    </w:tblStylePr>
  </w:style>
  <w:style w:type="table" w:customStyle="1" w:styleId="GridTable1Light3">
    <w:name w:val="Grid Table 1 Light3"/>
    <w:basedOn w:val="TableNormal"/>
    <w:next w:val="GridTable1Light"/>
    <w:uiPriority w:val="46"/>
    <w:rsid w:val="00DC7207"/>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Elegant2">
    <w:name w:val="Table Elegant2"/>
    <w:basedOn w:val="TableNormal"/>
    <w:next w:val="TableElegant"/>
    <w:rsid w:val="00DC7207"/>
    <w:pPr>
      <w:spacing w:after="120" w:line="300" w:lineRule="atLeast"/>
      <w:jc w:val="both"/>
    </w:pPr>
    <w:rPr>
      <w:rFonts w:ascii="Times New Roman" w:eastAsia="Times New Roman" w:hAnsi="Times New Roman" w:cs="Times New Roman"/>
      <w:sz w:val="20"/>
      <w:szCs w:val="20"/>
      <w:lang w:val="de-DE" w:eastAsia="de-D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David3">
    <w:name w:val="David3"/>
    <w:basedOn w:val="TableNormal"/>
    <w:uiPriority w:val="99"/>
    <w:qFormat/>
    <w:rsid w:val="00B9536B"/>
    <w:pPr>
      <w:spacing w:before="20" w:after="20" w:line="240" w:lineRule="auto"/>
    </w:pPr>
    <w:rPr>
      <w:rFonts w:ascii="Arial" w:eastAsia="Times New Roman" w:hAnsi="Arial" w:cs="Times New Roman"/>
      <w:sz w:val="20"/>
      <w:szCs w:val="20"/>
    </w:rPr>
    <w:tblPr>
      <w:tblInd w:w="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rPr>
        <w:rFonts w:ascii="Arial" w:hAnsi="Arial" w:cs="Arial"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HTG7">
    <w:name w:val="HTG7"/>
    <w:basedOn w:val="TableNormal"/>
    <w:next w:val="TableGrid"/>
    <w:uiPriority w:val="39"/>
    <w:rsid w:val="003D26EC"/>
    <w:pPr>
      <w:spacing w:after="0" w:line="240" w:lineRule="auto"/>
    </w:pPr>
    <w:rPr>
      <w:rFonts w:ascii="Arial" w:eastAsia="Calibri" w:hAnsi="Arial" w:cs="Arial"/>
      <w:sz w:val="20"/>
      <w:lang w:val="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TG8">
    <w:name w:val="HTG8"/>
    <w:basedOn w:val="TableNormal"/>
    <w:next w:val="TableGrid"/>
    <w:uiPriority w:val="59"/>
    <w:rsid w:val="00A52439"/>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TG9">
    <w:name w:val="HTG9"/>
    <w:basedOn w:val="TableNormal"/>
    <w:next w:val="TableGrid"/>
    <w:uiPriority w:val="39"/>
    <w:rsid w:val="00000048"/>
    <w:pPr>
      <w:spacing w:after="0" w:line="240" w:lineRule="auto"/>
    </w:pPr>
    <w:rPr>
      <w:rFonts w:ascii="Arial" w:hAnsi="Arial"/>
      <w:sz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TG10">
    <w:name w:val="HTG10"/>
    <w:basedOn w:val="TableNormal"/>
    <w:next w:val="TableGrid"/>
    <w:uiPriority w:val="39"/>
    <w:rsid w:val="001309B7"/>
    <w:pPr>
      <w:spacing w:after="0" w:line="240" w:lineRule="auto"/>
    </w:pPr>
    <w:rPr>
      <w:rFonts w:ascii="Arial" w:hAnsi="Arial"/>
      <w:sz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TG13">
    <w:name w:val="HTG13"/>
    <w:basedOn w:val="TableNormal"/>
    <w:next w:val="TableGrid"/>
    <w:uiPriority w:val="39"/>
    <w:rsid w:val="00A14FCD"/>
    <w:pPr>
      <w:spacing w:after="0" w:line="240" w:lineRule="auto"/>
    </w:pPr>
    <w:rPr>
      <w:rFonts w:ascii="Arial" w:hAnsi="Arial"/>
      <w:sz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212781"/>
  </w:style>
  <w:style w:type="table" w:customStyle="1" w:styleId="HTG14">
    <w:name w:val="HTG14"/>
    <w:basedOn w:val="TableNormal"/>
    <w:next w:val="TableGrid"/>
    <w:uiPriority w:val="39"/>
    <w:rsid w:val="00212781"/>
    <w:pPr>
      <w:spacing w:before="60"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2">
    <w:name w:val="Keine Liste12"/>
    <w:next w:val="NoList"/>
    <w:uiPriority w:val="99"/>
    <w:semiHidden/>
    <w:unhideWhenUsed/>
    <w:rsid w:val="00212781"/>
  </w:style>
  <w:style w:type="table" w:customStyle="1" w:styleId="Tabellenraster12">
    <w:name w:val="Tabellenraster12"/>
    <w:basedOn w:val="TableNormal"/>
    <w:next w:val="TableGrid"/>
    <w:uiPriority w:val="59"/>
    <w:rsid w:val="00212781"/>
    <w:pPr>
      <w:spacing w:before="60" w:after="0" w:line="240" w:lineRule="auto"/>
    </w:pPr>
    <w:rPr>
      <w:rFonts w:ascii="Calibri" w:eastAsia="MS Mincho" w:hAnsi="Calibri" w:cs="Times New Roman"/>
      <w:sz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2">
    <w:name w:val="Grid Table 2 - Accent 312"/>
    <w:basedOn w:val="TableGrid20"/>
    <w:uiPriority w:val="47"/>
    <w:rsid w:val="00212781"/>
    <w:pPr>
      <w:spacing w:before="0" w:after="0" w:line="240" w:lineRule="auto"/>
      <w:jc w:val="left"/>
    </w:pPr>
    <w:rPr>
      <w:rFonts w:cs="Cordia New"/>
      <w:lang w:val="fr-FR" w:eastAsia="ja-JP"/>
    </w:rPr>
    <w:tblPr>
      <w:tblStyleRowBandSize w:val="1"/>
      <w:tblStyleColBandSize w:val="1"/>
      <w:tblBorders>
        <w:top w:val="single" w:sz="2" w:space="0" w:color="auto"/>
        <w:bottom w:val="single" w:sz="2" w:space="0" w:color="auto"/>
        <w:insideH w:val="single" w:sz="2" w:space="0" w:color="auto"/>
        <w:insideV w:val="single" w:sz="2" w:space="0" w:color="auto"/>
      </w:tblBorders>
    </w:tblPr>
    <w:tcPr>
      <w:shd w:val="clear" w:color="auto" w:fill="auto"/>
    </w:tcPr>
    <w:tblStylePr w:type="firstRow">
      <w:rPr>
        <w:b/>
        <w:bCs/>
      </w:rPr>
      <w:tblPr/>
      <w:tcPr>
        <w:tcBorders>
          <w:top w:val="nil"/>
          <w:bottom w:val="single" w:sz="12" w:space="0" w:color="C9C9C9"/>
          <w:insideH w:val="nil"/>
          <w:insideV w:val="nil"/>
          <w:tl2br w:val="none" w:sz="0" w:space="0" w:color="auto"/>
          <w:tr2bl w:val="none" w:sz="0" w:space="0" w:color="auto"/>
        </w:tcBorders>
        <w:shd w:val="clear" w:color="auto" w:fill="FFFFFF"/>
      </w:tcPr>
    </w:tblStylePr>
    <w:tblStylePr w:type="lastRow">
      <w:rPr>
        <w:b/>
        <w:bCs/>
      </w:rPr>
      <w:tblPr/>
      <w:tcPr>
        <w:tcBorders>
          <w:top w:val="double" w:sz="2" w:space="0" w:color="C9C9C9"/>
          <w:bottom w:val="nil"/>
          <w:insideH w:val="nil"/>
          <w:insideV w:val="nil"/>
          <w:tl2br w:val="none" w:sz="0" w:space="0" w:color="auto"/>
          <w:tr2bl w:val="none" w:sz="0" w:space="0" w:color="auto"/>
        </w:tcBorders>
        <w:shd w:val="clear" w:color="auto" w:fill="FFFFFF"/>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tblPr/>
      <w:tcPr>
        <w:shd w:val="clear" w:color="auto" w:fill="EDEDED"/>
      </w:tcPr>
    </w:tblStylePr>
    <w:tblStylePr w:type="band1Horz">
      <w:tblPr/>
      <w:tcPr>
        <w:shd w:val="clear" w:color="auto" w:fill="EDEDED"/>
      </w:tcPr>
    </w:tblStylePr>
  </w:style>
  <w:style w:type="table" w:customStyle="1" w:styleId="TableGrid220">
    <w:name w:val="Table Grid 22"/>
    <w:basedOn w:val="TableNormal"/>
    <w:next w:val="TableGrid20"/>
    <w:uiPriority w:val="99"/>
    <w:semiHidden/>
    <w:unhideWhenUsed/>
    <w:rsid w:val="00212781"/>
    <w:pPr>
      <w:spacing w:before="240" w:after="120" w:line="288" w:lineRule="auto"/>
      <w:jc w:val="both"/>
    </w:pPr>
    <w:rPr>
      <w:rFonts w:ascii="Calibri" w:eastAsia="Calibri" w:hAnsi="Calibri"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numbering" w:customStyle="1" w:styleId="Aufzhlungerweitert2">
    <w:name w:val="Aufzählung erweitert2"/>
    <w:uiPriority w:val="99"/>
    <w:rsid w:val="00212781"/>
  </w:style>
  <w:style w:type="table" w:customStyle="1" w:styleId="LightList-Accent13">
    <w:name w:val="Light List - Accent 13"/>
    <w:basedOn w:val="TableNormal"/>
    <w:next w:val="LightList-Accent1"/>
    <w:uiPriority w:val="61"/>
    <w:rsid w:val="00212781"/>
    <w:pPr>
      <w:spacing w:before="60" w:after="0" w:line="240" w:lineRule="auto"/>
    </w:pPr>
    <w:rPr>
      <w:rFonts w:ascii="Arial" w:hAnsi="Arial"/>
      <w:sz w:val="20"/>
      <w:lang w:val="de-DE"/>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HelleListe-Akzent112">
    <w:name w:val="Helle Liste - Akzent 112"/>
    <w:basedOn w:val="TableNormal"/>
    <w:next w:val="LightList-Accent1"/>
    <w:uiPriority w:val="61"/>
    <w:rsid w:val="00212781"/>
    <w:pPr>
      <w:spacing w:before="60" w:after="0" w:line="240" w:lineRule="auto"/>
    </w:pPr>
    <w:rPr>
      <w:rFonts w:ascii="Arial" w:hAnsi="Arial"/>
      <w:sz w:val="20"/>
      <w:lang w:val="de-DE"/>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ko-Institut3">
    <w:name w:val="Öko-Institut3"/>
    <w:basedOn w:val="TableNormal"/>
    <w:next w:val="LightShading"/>
    <w:uiPriority w:val="60"/>
    <w:rsid w:val="00212781"/>
    <w:pPr>
      <w:keepNext/>
      <w:keepLines/>
      <w:spacing w:before="60" w:after="0" w:line="240" w:lineRule="auto"/>
      <w:ind w:right="113"/>
    </w:pPr>
    <w:rPr>
      <w:rFonts w:ascii="Arial" w:hAnsi="Arial"/>
      <w:color w:val="000000"/>
      <w:sz w:val="20"/>
      <w:lang w:val="de-DE"/>
    </w:rPr>
    <w:tblPr>
      <w:tblStyleRowBandSize w:val="1"/>
      <w:tblStyleColBandSize w:val="1"/>
      <w:tblBorders>
        <w:top w:val="single" w:sz="8" w:space="0" w:color="000000"/>
        <w:bottom w:val="single" w:sz="8" w:space="0" w:color="000000"/>
      </w:tblBorders>
      <w:tblCellMar>
        <w:left w:w="0" w:type="dxa"/>
        <w:right w:w="0" w:type="dxa"/>
      </w:tblCellMar>
    </w:tblPr>
    <w:tcPr>
      <w:shd w:val="clear" w:color="auto" w:fill="auto"/>
    </w:tcPr>
    <w:tblStylePr w:type="firstRow">
      <w:pPr>
        <w:spacing w:before="0" w:after="0" w:line="240" w:lineRule="auto"/>
      </w:pPr>
      <w:rPr>
        <w:rFonts w:ascii="Arial" w:hAnsi="Arial"/>
        <w:b/>
        <w:bCs/>
        <w:i w:val="0"/>
        <w:sz w:val="20"/>
      </w:rPr>
      <w:tblPr/>
      <w:tcPr>
        <w:tcBorders>
          <w:top w:val="nil"/>
          <w:left w:val="nil"/>
          <w:bottom w:val="single" w:sz="12" w:space="0" w:color="A5A5A5"/>
          <w:right w:val="nil"/>
          <w:insideH w:val="nil"/>
          <w:insideV w:val="nil"/>
          <w:tl2br w:val="nil"/>
          <w:tr2bl w:val="nil"/>
        </w:tcBorders>
        <w:shd w:val="clear" w:color="auto" w:fill="auto"/>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val="0"/>
        <w:bCs/>
      </w:rPr>
    </w:tblStylePr>
    <w:tblStylePr w:type="lastCol">
      <w:rPr>
        <w:b w:val="0"/>
        <w:bCs/>
      </w:rPr>
    </w:tblStylePr>
    <w:tblStylePr w:type="band1Vert">
      <w:tblPr/>
      <w:tcPr>
        <w:tcBorders>
          <w:left w:val="nil"/>
          <w:right w:val="nil"/>
          <w:insideH w:val="nil"/>
          <w:insideV w:val="nil"/>
        </w:tcBorders>
        <w:shd w:val="clear" w:color="auto" w:fill="C0C0C0"/>
      </w:tcPr>
    </w:tblStylePr>
    <w:tblStylePr w:type="band1Horz">
      <w:tblPr/>
      <w:tcPr>
        <w:tcBorders>
          <w:top w:val="single" w:sz="4" w:space="0" w:color="868686"/>
          <w:left w:val="nil"/>
          <w:bottom w:val="single" w:sz="4" w:space="0" w:color="868686"/>
          <w:right w:val="nil"/>
        </w:tcBorders>
        <w:shd w:val="clear" w:color="auto" w:fill="auto"/>
      </w:tcPr>
    </w:tblStylePr>
    <w:tblStylePr w:type="band2Horz">
      <w:tblPr/>
      <w:tcPr>
        <w:tcBorders>
          <w:top w:val="single" w:sz="4" w:space="0" w:color="868686"/>
          <w:left w:val="nil"/>
          <w:bottom w:val="single" w:sz="4" w:space="0" w:color="868686"/>
          <w:right w:val="nil"/>
          <w:insideH w:val="nil"/>
          <w:insideV w:val="nil"/>
          <w:tl2br w:val="nil"/>
          <w:tr2bl w:val="nil"/>
        </w:tcBorders>
        <w:shd w:val="clear" w:color="auto" w:fill="auto"/>
      </w:tcPr>
    </w:tblStylePr>
  </w:style>
  <w:style w:type="table" w:customStyle="1" w:styleId="Mainbidtables19">
    <w:name w:val="Main bid tables19"/>
    <w:basedOn w:val="TableNormal"/>
    <w:uiPriority w:val="99"/>
    <w:rsid w:val="00212781"/>
    <w:pPr>
      <w:spacing w:before="60" w:after="0" w:line="240" w:lineRule="auto"/>
      <w:ind w:left="709"/>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table" w:customStyle="1" w:styleId="MainbidtablesBehringer2">
    <w:name w:val="Main bid tables_Behringer2"/>
    <w:basedOn w:val="TableNormal"/>
    <w:uiPriority w:val="99"/>
    <w:rsid w:val="00212781"/>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table" w:customStyle="1" w:styleId="TableGrid1215">
    <w:name w:val="Table Grid1215"/>
    <w:basedOn w:val="TableNormal"/>
    <w:next w:val="TableGrid"/>
    <w:uiPriority w:val="59"/>
    <w:rsid w:val="00212781"/>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cPr>
    </w:tblStylePr>
  </w:style>
  <w:style w:type="table" w:customStyle="1" w:styleId="Highlightbox3">
    <w:name w:val="Highlight box3"/>
    <w:basedOn w:val="TableNormal"/>
    <w:uiPriority w:val="99"/>
    <w:rsid w:val="00212781"/>
    <w:pPr>
      <w:spacing w:before="120" w:after="120" w:line="240" w:lineRule="auto"/>
      <w:ind w:left="851" w:hanging="851"/>
      <w:jc w:val="both"/>
    </w:pPr>
    <w:rPr>
      <w:rFonts w:ascii="Arial" w:eastAsia="Times New Roman" w:hAnsi="Arial" w:cs="Times New Roman"/>
      <w:sz w:val="20"/>
      <w:szCs w:val="20"/>
      <w:lang w:eastAsia="en-GB"/>
    </w:rPr>
    <w:tblPr/>
    <w:tblStylePr w:type="firstRow">
      <w:tblPr/>
      <w:tcPr>
        <w:tcBorders>
          <w:top w:val="single" w:sz="4" w:space="0" w:color="0070C0"/>
          <w:left w:val="nil"/>
          <w:bottom w:val="single" w:sz="4" w:space="0" w:color="0070C0"/>
          <w:right w:val="nil"/>
          <w:insideH w:val="nil"/>
          <w:insideV w:val="nil"/>
        </w:tcBorders>
        <w:shd w:val="clear" w:color="auto" w:fill="E2ECF2"/>
      </w:tcPr>
    </w:tblStylePr>
  </w:style>
  <w:style w:type="table" w:customStyle="1" w:styleId="LightShading-Accent23">
    <w:name w:val="Light Shading - Accent 23"/>
    <w:basedOn w:val="TableNormal"/>
    <w:next w:val="LightShading-Accent2"/>
    <w:uiPriority w:val="60"/>
    <w:rsid w:val="00212781"/>
    <w:pPr>
      <w:spacing w:after="0" w:line="240" w:lineRule="auto"/>
      <w:ind w:left="709"/>
    </w:pPr>
    <w:rPr>
      <w:rFonts w:ascii="Arial" w:eastAsia="Times New Roman" w:hAnsi="Arial" w:cs="Times New Roman"/>
      <w:color w:val="C45911"/>
      <w:sz w:val="20"/>
      <w:szCs w:val="20"/>
      <w:lang w:eastAsia="en-GB"/>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3">
    <w:name w:val="Light Shading - Accent 33"/>
    <w:basedOn w:val="TableNormal"/>
    <w:next w:val="LightShading-Accent3"/>
    <w:uiPriority w:val="60"/>
    <w:rsid w:val="00212781"/>
    <w:pPr>
      <w:spacing w:after="0" w:line="240" w:lineRule="auto"/>
      <w:ind w:left="709"/>
    </w:pPr>
    <w:rPr>
      <w:rFonts w:ascii="Arial" w:eastAsia="Times New Roman" w:hAnsi="Arial" w:cs="Times New Roman"/>
      <w:color w:val="7B7B7B"/>
      <w:sz w:val="20"/>
      <w:szCs w:val="20"/>
      <w:lang w:eastAsia="en-G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43">
    <w:name w:val="Light Shading - Accent 43"/>
    <w:basedOn w:val="TableNormal"/>
    <w:next w:val="LightShading-Accent4"/>
    <w:uiPriority w:val="60"/>
    <w:rsid w:val="00212781"/>
    <w:pPr>
      <w:spacing w:after="0" w:line="240" w:lineRule="auto"/>
      <w:ind w:left="709"/>
    </w:pPr>
    <w:rPr>
      <w:rFonts w:ascii="Arial" w:eastAsia="Times New Roman" w:hAnsi="Arial" w:cs="Times New Roman"/>
      <w:color w:val="BF8F00"/>
      <w:sz w:val="20"/>
      <w:szCs w:val="20"/>
      <w:lang w:eastAsia="en-GB"/>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Ricardo-AEATableStyle6">
    <w:name w:val="Ricardo-AEA Table Style6"/>
    <w:basedOn w:val="TableNormal"/>
    <w:uiPriority w:val="99"/>
    <w:qFormat/>
    <w:rsid w:val="00212781"/>
    <w:pPr>
      <w:spacing w:after="0" w:line="240" w:lineRule="auto"/>
      <w:ind w:left="709"/>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Autospacing="0" w:afterLines="0" w:afterAutospacing="0" w:line="240" w:lineRule="auto"/>
        <w:contextualSpacing w:val="0"/>
      </w:pPr>
      <w:rPr>
        <w:rFonts w:ascii="Arial" w:hAnsi="Arial"/>
        <w:b/>
        <w:color w:val="FFFFFF"/>
        <w:sz w:val="20"/>
      </w:rPr>
      <w:tblPr/>
      <w:tcPr>
        <w:shd w:val="clear" w:color="auto" w:fill="008000"/>
        <w:vAlign w:val="center"/>
      </w:tcPr>
    </w:tblStylePr>
    <w:tblStylePr w:type="firstCol">
      <w:rPr>
        <w:rFonts w:ascii="Arial" w:hAnsi="Arial"/>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AEATableStyle6">
    <w:name w:val="AEA Table Style6"/>
    <w:basedOn w:val="TableNormal"/>
    <w:uiPriority w:val="99"/>
    <w:qFormat/>
    <w:rsid w:val="00212781"/>
    <w:pPr>
      <w:spacing w:after="0" w:line="240" w:lineRule="auto"/>
      <w:ind w:left="709"/>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rPr>
        <w:rFonts w:ascii="Arial" w:hAnsi="Arial" w:cs="Arial"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numbering" w:customStyle="1" w:styleId="list-bullet-color3">
    <w:name w:val="list-bullet-color3"/>
    <w:rsid w:val="00212781"/>
  </w:style>
  <w:style w:type="table" w:customStyle="1" w:styleId="TableGrid14">
    <w:name w:val="Table Grid14"/>
    <w:basedOn w:val="TableNormal"/>
    <w:next w:val="TableGrid"/>
    <w:uiPriority w:val="39"/>
    <w:rsid w:val="00212781"/>
    <w:pPr>
      <w:spacing w:after="0" w:line="240" w:lineRule="auto"/>
      <w:ind w:left="709"/>
    </w:pPr>
    <w:rPr>
      <w:rFonts w:ascii="Arial" w:eastAsia="Times New Roman" w:hAnsi="Arial"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EATableStyle14">
    <w:name w:val="AEA Table Style14"/>
    <w:basedOn w:val="TableNormal"/>
    <w:uiPriority w:val="99"/>
    <w:qFormat/>
    <w:rsid w:val="00212781"/>
    <w:pPr>
      <w:spacing w:after="0" w:line="240" w:lineRule="auto"/>
      <w:ind w:left="709"/>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shd w:val="pct15" w:color="auto" w:fill="auto"/>
      </w:tcPr>
    </w:tblStylePr>
  </w:style>
  <w:style w:type="table" w:customStyle="1" w:styleId="Ricardo-AEATableStyle14">
    <w:name w:val="Ricardo-AEA Table Style14"/>
    <w:basedOn w:val="TableNormal"/>
    <w:uiPriority w:val="99"/>
    <w:qFormat/>
    <w:rsid w:val="00212781"/>
    <w:pPr>
      <w:spacing w:after="0" w:line="240" w:lineRule="auto"/>
      <w:ind w:left="709"/>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Autospacing="0" w:afterLines="0" w:afterAutospacing="0" w:line="240" w:lineRule="auto"/>
        <w:contextualSpacing w:val="0"/>
      </w:pPr>
      <w:rPr>
        <w:rFonts w:ascii="Arial" w:hAnsi="Arial"/>
        <w:b/>
        <w:color w:val="FFFFFF"/>
        <w:sz w:val="20"/>
      </w:rPr>
      <w:tblPr/>
      <w:tcPr>
        <w:shd w:val="clear" w:color="auto" w:fill="008000"/>
        <w:vAlign w:val="center"/>
      </w:tcPr>
    </w:tblStylePr>
    <w:tblStylePr w:type="firstCol">
      <w:rPr>
        <w:rFonts w:ascii="Arial" w:hAnsi="Arial"/>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AEATableStyle113">
    <w:name w:val="AEA Table Style113"/>
    <w:basedOn w:val="TableNormal"/>
    <w:uiPriority w:val="99"/>
    <w:qFormat/>
    <w:rsid w:val="00212781"/>
    <w:pPr>
      <w:spacing w:after="0" w:line="240" w:lineRule="auto"/>
      <w:ind w:left="709"/>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shd w:val="pct15" w:color="auto" w:fill="auto"/>
      </w:tcPr>
    </w:tblStylePr>
  </w:style>
  <w:style w:type="table" w:customStyle="1" w:styleId="AEATableStyle8113">
    <w:name w:val="AEA Table Style8113"/>
    <w:basedOn w:val="TableNormal"/>
    <w:uiPriority w:val="99"/>
    <w:qFormat/>
    <w:rsid w:val="00212781"/>
    <w:pPr>
      <w:spacing w:before="20" w:after="20" w:line="240" w:lineRule="auto"/>
      <w:ind w:left="709"/>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rPr>
        <w:rFonts w:ascii="Arial" w:hAnsi="Arial" w:cs="Arial"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AEATableStyle8123">
    <w:name w:val="AEA Table Style8123"/>
    <w:basedOn w:val="TableNormal"/>
    <w:uiPriority w:val="99"/>
    <w:qFormat/>
    <w:rsid w:val="00212781"/>
    <w:pPr>
      <w:spacing w:before="20" w:after="20" w:line="240" w:lineRule="auto"/>
      <w:ind w:left="709"/>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rPr>
        <w:rFonts w:ascii="Arial" w:hAnsi="Arial" w:cs="Arial"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AEATableStyle815">
    <w:name w:val="AEA Table Style815"/>
    <w:basedOn w:val="TableNormal"/>
    <w:uiPriority w:val="99"/>
    <w:qFormat/>
    <w:rsid w:val="00212781"/>
    <w:pPr>
      <w:spacing w:before="20" w:after="20" w:line="240" w:lineRule="auto"/>
      <w:ind w:left="709"/>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rPr>
        <w:rFonts w:ascii="Arial" w:hAnsi="Arial" w:cs="Arial"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numbering" w:customStyle="1" w:styleId="CowiBulletList2">
    <w:name w:val="CowiBulletList2"/>
    <w:basedOn w:val="NoList"/>
    <w:rsid w:val="00212781"/>
  </w:style>
  <w:style w:type="table" w:customStyle="1" w:styleId="AEATableStyle23">
    <w:name w:val="AEA Table Style23"/>
    <w:basedOn w:val="TableNormal"/>
    <w:uiPriority w:val="99"/>
    <w:qFormat/>
    <w:rsid w:val="00212781"/>
    <w:pPr>
      <w:spacing w:after="0" w:line="240" w:lineRule="auto"/>
      <w:ind w:left="709"/>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shd w:val="pct15" w:color="auto" w:fill="auto"/>
      </w:tcPr>
    </w:tblStylePr>
  </w:style>
  <w:style w:type="table" w:customStyle="1" w:styleId="GridTable4-Accent613">
    <w:name w:val="Grid Table 4 - Accent 613"/>
    <w:basedOn w:val="TableNormal"/>
    <w:uiPriority w:val="49"/>
    <w:rsid w:val="00212781"/>
    <w:pPr>
      <w:spacing w:after="0" w:line="240" w:lineRule="auto"/>
      <w:ind w:left="709"/>
    </w:pPr>
    <w:rPr>
      <w:sz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313">
    <w:name w:val="Grid Table 4 - Accent 313"/>
    <w:basedOn w:val="TableNormal"/>
    <w:uiPriority w:val="49"/>
    <w:rsid w:val="00212781"/>
    <w:pPr>
      <w:spacing w:after="0" w:line="240" w:lineRule="auto"/>
      <w:ind w:left="709"/>
    </w:pPr>
    <w:rPr>
      <w:rFonts w:ascii="Arial" w:eastAsia="Times New Roman" w:hAnsi="Arial" w:cs="Times New Roman"/>
      <w:sz w:val="20"/>
      <w:szCs w:val="20"/>
      <w:lang w:eastAsia="en-G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AEATableStyle33">
    <w:name w:val="AEA Table Style33"/>
    <w:basedOn w:val="TableNormal"/>
    <w:uiPriority w:val="99"/>
    <w:qFormat/>
    <w:rsid w:val="00212781"/>
    <w:pPr>
      <w:spacing w:after="0" w:line="240" w:lineRule="auto"/>
      <w:ind w:left="709"/>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shd w:val="pct15" w:color="auto" w:fill="auto"/>
      </w:tcPr>
    </w:tblStylePr>
  </w:style>
  <w:style w:type="table" w:customStyle="1" w:styleId="Ricardo-AEATableStyle113">
    <w:name w:val="Ricardo-AEA Table Style113"/>
    <w:basedOn w:val="TableNormal"/>
    <w:uiPriority w:val="99"/>
    <w:qFormat/>
    <w:rsid w:val="00212781"/>
    <w:pPr>
      <w:spacing w:after="0" w:line="240" w:lineRule="auto"/>
      <w:ind w:left="709"/>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Autospacing="0" w:afterLines="0" w:afterAutospacing="0" w:line="240" w:lineRule="auto"/>
        <w:contextualSpacing w:val="0"/>
      </w:pPr>
      <w:rPr>
        <w:rFonts w:ascii="Arial" w:hAnsi="Arial"/>
        <w:b/>
        <w:color w:val="FFFFFF"/>
        <w:sz w:val="20"/>
      </w:rPr>
      <w:tblPr/>
      <w:tcPr>
        <w:shd w:val="clear" w:color="auto" w:fill="008000"/>
        <w:vAlign w:val="center"/>
      </w:tcPr>
    </w:tblStylePr>
    <w:tblStylePr w:type="firstCol">
      <w:rPr>
        <w:rFonts w:ascii="Arial" w:hAnsi="Arial"/>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GridTable4-Accent513">
    <w:name w:val="Grid Table 4 - Accent 513"/>
    <w:basedOn w:val="TableNormal"/>
    <w:uiPriority w:val="49"/>
    <w:rsid w:val="00212781"/>
    <w:pPr>
      <w:spacing w:after="0" w:line="240" w:lineRule="auto"/>
      <w:ind w:left="709"/>
    </w:pPr>
    <w:rPr>
      <w:sz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ECVCVBullets2">
    <w:name w:val="_ECV_CV_Bullets2"/>
    <w:basedOn w:val="NoList"/>
    <w:rsid w:val="00212781"/>
  </w:style>
  <w:style w:type="table" w:customStyle="1" w:styleId="TableGrid23">
    <w:name w:val="Table Grid23"/>
    <w:basedOn w:val="TableNormal"/>
    <w:next w:val="TableGrid"/>
    <w:uiPriority w:val="39"/>
    <w:rsid w:val="00212781"/>
    <w:pPr>
      <w:spacing w:after="0" w:line="240" w:lineRule="auto"/>
      <w:ind w:left="709"/>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212781"/>
  </w:style>
  <w:style w:type="table" w:customStyle="1" w:styleId="Tabellengitternetz12">
    <w:name w:val="Tabellengitternetz12"/>
    <w:basedOn w:val="TableNormal"/>
    <w:next w:val="TableGrid"/>
    <w:uiPriority w:val="59"/>
    <w:rsid w:val="00212781"/>
    <w:pPr>
      <w:spacing w:after="0" w:line="240" w:lineRule="auto"/>
      <w:ind w:left="709"/>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212781"/>
  </w:style>
  <w:style w:type="table" w:customStyle="1" w:styleId="Tabellengitternetz22">
    <w:name w:val="Tabellengitternetz22"/>
    <w:basedOn w:val="TableNormal"/>
    <w:next w:val="TableGrid"/>
    <w:uiPriority w:val="59"/>
    <w:rsid w:val="00212781"/>
    <w:pPr>
      <w:spacing w:after="0" w:line="240" w:lineRule="auto"/>
      <w:ind w:left="709"/>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212781"/>
    <w:pPr>
      <w:spacing w:after="0" w:line="240" w:lineRule="auto"/>
      <w:ind w:left="709"/>
    </w:pPr>
    <w:rPr>
      <w:rFonts w:ascii="Calibri" w:eastAsia="Calibri" w:hAnsi="Calibri"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icardo-AEATableStyle23">
    <w:name w:val="Ricardo-AEA Table Style23"/>
    <w:basedOn w:val="TableNormal"/>
    <w:uiPriority w:val="99"/>
    <w:qFormat/>
    <w:rsid w:val="00212781"/>
    <w:pPr>
      <w:spacing w:after="0" w:line="240" w:lineRule="auto"/>
      <w:ind w:left="709"/>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Autospacing="0" w:afterLines="0" w:afterAutospacing="0" w:line="240" w:lineRule="auto"/>
        <w:contextualSpacing w:val="0"/>
      </w:pPr>
      <w:rPr>
        <w:rFonts w:ascii="Arial" w:hAnsi="Arial"/>
        <w:b/>
        <w:color w:val="FFFFFF"/>
        <w:sz w:val="20"/>
      </w:rPr>
      <w:tblPr/>
      <w:tcPr>
        <w:shd w:val="clear" w:color="auto" w:fill="008000"/>
        <w:vAlign w:val="center"/>
      </w:tcPr>
    </w:tblStylePr>
    <w:tblStylePr w:type="firstCol">
      <w:rPr>
        <w:rFonts w:ascii="Arial" w:hAnsi="Arial"/>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numbering" w:customStyle="1" w:styleId="NoList32">
    <w:name w:val="No List32"/>
    <w:next w:val="NoList"/>
    <w:uiPriority w:val="99"/>
    <w:semiHidden/>
    <w:unhideWhenUsed/>
    <w:rsid w:val="00212781"/>
  </w:style>
  <w:style w:type="table" w:customStyle="1" w:styleId="TableGrid43">
    <w:name w:val="Table Grid43"/>
    <w:basedOn w:val="TableNormal"/>
    <w:next w:val="TableGrid"/>
    <w:uiPriority w:val="39"/>
    <w:rsid w:val="00212781"/>
    <w:pPr>
      <w:spacing w:after="0" w:line="240" w:lineRule="auto"/>
      <w:ind w:left="709"/>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ighlightbox12">
    <w:name w:val="Highlight box12"/>
    <w:basedOn w:val="TableNormal"/>
    <w:uiPriority w:val="99"/>
    <w:rsid w:val="00212781"/>
    <w:pPr>
      <w:spacing w:before="120" w:after="120" w:line="240" w:lineRule="auto"/>
      <w:ind w:left="851" w:hanging="851"/>
      <w:jc w:val="both"/>
    </w:pPr>
    <w:rPr>
      <w:rFonts w:ascii="Arial" w:eastAsia="Times New Roman" w:hAnsi="Arial" w:cs="Times New Roman"/>
      <w:sz w:val="20"/>
      <w:szCs w:val="20"/>
      <w:lang w:eastAsia="en-GB"/>
    </w:rPr>
    <w:tblPr/>
    <w:tblStylePr w:type="firstRow">
      <w:tblPr/>
      <w:tcPr>
        <w:tcBorders>
          <w:top w:val="single" w:sz="4" w:space="0" w:color="0070C0"/>
          <w:left w:val="nil"/>
          <w:bottom w:val="single" w:sz="4" w:space="0" w:color="0070C0"/>
          <w:right w:val="nil"/>
          <w:insideH w:val="nil"/>
          <w:insideV w:val="nil"/>
        </w:tcBorders>
        <w:shd w:val="clear" w:color="auto" w:fill="E2ECF2"/>
      </w:tcPr>
    </w:tblStylePr>
  </w:style>
  <w:style w:type="table" w:customStyle="1" w:styleId="LightShading-Accent212">
    <w:name w:val="Light Shading - Accent 212"/>
    <w:basedOn w:val="TableNormal"/>
    <w:next w:val="LightShading-Accent2"/>
    <w:uiPriority w:val="60"/>
    <w:rsid w:val="00212781"/>
    <w:pPr>
      <w:spacing w:after="0" w:line="240" w:lineRule="auto"/>
      <w:ind w:left="709"/>
    </w:pPr>
    <w:rPr>
      <w:rFonts w:ascii="Arial" w:eastAsia="Times New Roman" w:hAnsi="Arial" w:cs="Times New Roman"/>
      <w:color w:val="C45911"/>
      <w:sz w:val="20"/>
      <w:szCs w:val="20"/>
      <w:lang w:eastAsia="en-GB"/>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12">
    <w:name w:val="Light Shading - Accent 312"/>
    <w:basedOn w:val="TableNormal"/>
    <w:next w:val="LightShading-Accent3"/>
    <w:uiPriority w:val="60"/>
    <w:rsid w:val="00212781"/>
    <w:pPr>
      <w:spacing w:after="0" w:line="240" w:lineRule="auto"/>
      <w:ind w:left="709"/>
    </w:pPr>
    <w:rPr>
      <w:rFonts w:ascii="Arial" w:eastAsia="Times New Roman" w:hAnsi="Arial" w:cs="Times New Roman"/>
      <w:color w:val="7B7B7B"/>
      <w:sz w:val="20"/>
      <w:szCs w:val="20"/>
      <w:lang w:eastAsia="en-G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412">
    <w:name w:val="Light Shading - Accent 412"/>
    <w:basedOn w:val="TableNormal"/>
    <w:next w:val="LightShading-Accent4"/>
    <w:uiPriority w:val="60"/>
    <w:rsid w:val="00212781"/>
    <w:pPr>
      <w:spacing w:after="0" w:line="240" w:lineRule="auto"/>
      <w:ind w:left="709"/>
    </w:pPr>
    <w:rPr>
      <w:rFonts w:ascii="Arial" w:eastAsia="Times New Roman" w:hAnsi="Arial" w:cs="Times New Roman"/>
      <w:color w:val="BF8F00"/>
      <w:sz w:val="20"/>
      <w:szCs w:val="20"/>
      <w:lang w:eastAsia="en-GB"/>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Ricardo-AEATableStyle32">
    <w:name w:val="Ricardo-AEA Table Style32"/>
    <w:basedOn w:val="TableNormal"/>
    <w:uiPriority w:val="99"/>
    <w:qFormat/>
    <w:rsid w:val="00212781"/>
    <w:pPr>
      <w:spacing w:after="0" w:line="240" w:lineRule="auto"/>
      <w:ind w:left="709"/>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Autospacing="0" w:afterLines="0" w:afterAutospacing="0" w:line="240" w:lineRule="auto"/>
        <w:contextualSpacing w:val="0"/>
      </w:pPr>
      <w:rPr>
        <w:rFonts w:ascii="Arial" w:hAnsi="Arial"/>
        <w:b/>
        <w:color w:val="FFFFFF"/>
        <w:sz w:val="20"/>
      </w:rPr>
      <w:tblPr/>
      <w:tcPr>
        <w:shd w:val="clear" w:color="auto" w:fill="008000"/>
        <w:vAlign w:val="center"/>
      </w:tcPr>
    </w:tblStylePr>
    <w:tblStylePr w:type="firstCol">
      <w:rPr>
        <w:rFonts w:ascii="Arial" w:hAnsi="Arial"/>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AEATableStyle42">
    <w:name w:val="AEA Table Style42"/>
    <w:basedOn w:val="TableNormal"/>
    <w:uiPriority w:val="99"/>
    <w:qFormat/>
    <w:rsid w:val="00212781"/>
    <w:pPr>
      <w:spacing w:after="0" w:line="240" w:lineRule="auto"/>
      <w:ind w:left="709"/>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rPr>
        <w:rFonts w:ascii="Arial" w:hAnsi="Arial" w:cs="Arial"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TableGrid1120">
    <w:name w:val="Table Grid112"/>
    <w:basedOn w:val="TableNormal"/>
    <w:next w:val="TableGrid"/>
    <w:uiPriority w:val="59"/>
    <w:rsid w:val="00212781"/>
    <w:pPr>
      <w:spacing w:after="0" w:line="240" w:lineRule="auto"/>
      <w:ind w:left="709"/>
    </w:pPr>
    <w:rPr>
      <w:rFonts w:ascii="Arial" w:eastAsia="Times New Roman" w:hAnsi="Arial"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EATableStyle122">
    <w:name w:val="AEA Table Style122"/>
    <w:basedOn w:val="TableNormal"/>
    <w:uiPriority w:val="99"/>
    <w:qFormat/>
    <w:rsid w:val="00212781"/>
    <w:pPr>
      <w:spacing w:after="0" w:line="240" w:lineRule="auto"/>
      <w:ind w:left="709"/>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shd w:val="pct15" w:color="auto" w:fill="auto"/>
      </w:tcPr>
    </w:tblStylePr>
  </w:style>
  <w:style w:type="table" w:customStyle="1" w:styleId="Ricardo-AEATableStyle122">
    <w:name w:val="Ricardo-AEA Table Style122"/>
    <w:basedOn w:val="TableNormal"/>
    <w:uiPriority w:val="99"/>
    <w:qFormat/>
    <w:rsid w:val="00212781"/>
    <w:pPr>
      <w:spacing w:after="0" w:line="240" w:lineRule="auto"/>
      <w:ind w:left="709"/>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Autospacing="0" w:afterLines="0" w:afterAutospacing="0" w:line="240" w:lineRule="auto"/>
        <w:contextualSpacing w:val="0"/>
      </w:pPr>
      <w:rPr>
        <w:rFonts w:ascii="Arial" w:hAnsi="Arial"/>
        <w:b/>
        <w:color w:val="FFFFFF"/>
        <w:sz w:val="20"/>
      </w:rPr>
      <w:tblPr/>
      <w:tcPr>
        <w:shd w:val="clear" w:color="auto" w:fill="008000"/>
        <w:vAlign w:val="center"/>
      </w:tcPr>
    </w:tblStylePr>
    <w:tblStylePr w:type="firstCol">
      <w:rPr>
        <w:rFonts w:ascii="Arial" w:hAnsi="Arial"/>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AEATableStyle1112">
    <w:name w:val="AEA Table Style1112"/>
    <w:basedOn w:val="TableNormal"/>
    <w:uiPriority w:val="99"/>
    <w:qFormat/>
    <w:rsid w:val="00212781"/>
    <w:pPr>
      <w:spacing w:after="0" w:line="240" w:lineRule="auto"/>
      <w:ind w:left="709"/>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shd w:val="pct15" w:color="auto" w:fill="auto"/>
      </w:tcPr>
    </w:tblStylePr>
  </w:style>
  <w:style w:type="table" w:customStyle="1" w:styleId="AEATableStyle81112">
    <w:name w:val="AEA Table Style81112"/>
    <w:basedOn w:val="TableNormal"/>
    <w:uiPriority w:val="99"/>
    <w:qFormat/>
    <w:rsid w:val="00212781"/>
    <w:pPr>
      <w:spacing w:before="20" w:after="20" w:line="240" w:lineRule="auto"/>
      <w:ind w:left="709"/>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rPr>
        <w:rFonts w:ascii="Arial" w:hAnsi="Arial" w:cs="Arial"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AEATableStyle81212">
    <w:name w:val="AEA Table Style81212"/>
    <w:basedOn w:val="TableNormal"/>
    <w:uiPriority w:val="99"/>
    <w:qFormat/>
    <w:rsid w:val="00212781"/>
    <w:pPr>
      <w:spacing w:before="20" w:after="20" w:line="240" w:lineRule="auto"/>
      <w:ind w:left="709"/>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rPr>
        <w:rFonts w:ascii="Arial" w:hAnsi="Arial" w:cs="Arial"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AEATableStyle8132">
    <w:name w:val="AEA Table Style8132"/>
    <w:basedOn w:val="TableNormal"/>
    <w:uiPriority w:val="99"/>
    <w:qFormat/>
    <w:rsid w:val="00212781"/>
    <w:pPr>
      <w:spacing w:before="20" w:after="20" w:line="240" w:lineRule="auto"/>
      <w:ind w:left="709"/>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rPr>
        <w:rFonts w:ascii="Arial" w:hAnsi="Arial" w:cs="Arial"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AEATableStyle212">
    <w:name w:val="AEA Table Style212"/>
    <w:basedOn w:val="TableNormal"/>
    <w:uiPriority w:val="99"/>
    <w:qFormat/>
    <w:rsid w:val="00212781"/>
    <w:pPr>
      <w:spacing w:after="0" w:line="240" w:lineRule="auto"/>
      <w:ind w:left="709"/>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shd w:val="pct15" w:color="auto" w:fill="auto"/>
      </w:tcPr>
    </w:tblStylePr>
  </w:style>
  <w:style w:type="table" w:customStyle="1" w:styleId="GridTable4-Accent6112">
    <w:name w:val="Grid Table 4 - Accent 6112"/>
    <w:basedOn w:val="TableNormal"/>
    <w:uiPriority w:val="49"/>
    <w:rsid w:val="00212781"/>
    <w:pPr>
      <w:spacing w:after="0" w:line="240" w:lineRule="auto"/>
      <w:ind w:left="709"/>
    </w:pPr>
    <w:rPr>
      <w:sz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3112">
    <w:name w:val="Grid Table 4 - Accent 3112"/>
    <w:basedOn w:val="TableNormal"/>
    <w:uiPriority w:val="49"/>
    <w:rsid w:val="00212781"/>
    <w:pPr>
      <w:spacing w:after="0" w:line="240" w:lineRule="auto"/>
      <w:ind w:left="709"/>
    </w:pPr>
    <w:rPr>
      <w:rFonts w:ascii="Arial" w:eastAsia="Times New Roman" w:hAnsi="Arial" w:cs="Times New Roman"/>
      <w:sz w:val="20"/>
      <w:szCs w:val="20"/>
      <w:lang w:eastAsia="en-G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AEATableStyle312">
    <w:name w:val="AEA Table Style312"/>
    <w:basedOn w:val="TableNormal"/>
    <w:uiPriority w:val="99"/>
    <w:qFormat/>
    <w:rsid w:val="00212781"/>
    <w:pPr>
      <w:spacing w:after="0" w:line="240" w:lineRule="auto"/>
      <w:ind w:left="709"/>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shd w:val="pct15" w:color="auto" w:fill="auto"/>
      </w:tcPr>
    </w:tblStylePr>
  </w:style>
  <w:style w:type="table" w:customStyle="1" w:styleId="Ricardo-AEATableStyle1112">
    <w:name w:val="Ricardo-AEA Table Style1112"/>
    <w:basedOn w:val="TableNormal"/>
    <w:uiPriority w:val="99"/>
    <w:qFormat/>
    <w:rsid w:val="00212781"/>
    <w:pPr>
      <w:spacing w:after="0" w:line="240" w:lineRule="auto"/>
      <w:ind w:left="709"/>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Autospacing="0" w:afterLines="0" w:afterAutospacing="0" w:line="240" w:lineRule="auto"/>
        <w:contextualSpacing w:val="0"/>
      </w:pPr>
      <w:rPr>
        <w:rFonts w:ascii="Arial" w:hAnsi="Arial"/>
        <w:b/>
        <w:color w:val="FFFFFF"/>
        <w:sz w:val="20"/>
      </w:rPr>
      <w:tblPr/>
      <w:tcPr>
        <w:shd w:val="clear" w:color="auto" w:fill="008000"/>
        <w:vAlign w:val="center"/>
      </w:tcPr>
    </w:tblStylePr>
    <w:tblStylePr w:type="firstCol">
      <w:rPr>
        <w:rFonts w:ascii="Arial" w:hAnsi="Arial"/>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TableGrid120">
    <w:name w:val="TableGrid12"/>
    <w:rsid w:val="00212781"/>
    <w:pPr>
      <w:spacing w:after="0" w:line="240" w:lineRule="auto"/>
      <w:ind w:left="709"/>
    </w:pPr>
    <w:rPr>
      <w:rFonts w:ascii="Calibri" w:eastAsia="Times New Roman" w:hAnsi="Calibri" w:cs="Times New Roman"/>
      <w:sz w:val="20"/>
      <w:lang w:eastAsia="en-GB"/>
    </w:rPr>
    <w:tblPr>
      <w:tblCellMar>
        <w:top w:w="0" w:type="dxa"/>
        <w:left w:w="0" w:type="dxa"/>
        <w:bottom w:w="0" w:type="dxa"/>
        <w:right w:w="0" w:type="dxa"/>
      </w:tblCellMar>
    </w:tblPr>
  </w:style>
  <w:style w:type="table" w:customStyle="1" w:styleId="GridTable4-Accent5102">
    <w:name w:val="Grid Table 4 - Accent 5102"/>
    <w:basedOn w:val="TableNormal"/>
    <w:next w:val="GridTable4-Accent51"/>
    <w:uiPriority w:val="49"/>
    <w:rsid w:val="00212781"/>
    <w:pPr>
      <w:spacing w:after="0" w:line="240" w:lineRule="auto"/>
      <w:ind w:left="709"/>
    </w:pPr>
    <w:rPr>
      <w:sz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Ricardo-AEATableStyle42">
    <w:name w:val="Ricardo-AEA Table Style42"/>
    <w:basedOn w:val="TableNormal"/>
    <w:uiPriority w:val="99"/>
    <w:qFormat/>
    <w:rsid w:val="00212781"/>
    <w:pPr>
      <w:spacing w:after="0" w:line="240" w:lineRule="auto"/>
      <w:ind w:left="709"/>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Autospacing="0" w:afterLines="0" w:afterAutospacing="0" w:line="240" w:lineRule="auto"/>
        <w:contextualSpacing w:val="0"/>
      </w:pPr>
      <w:rPr>
        <w:rFonts w:ascii="Arial" w:hAnsi="Arial"/>
        <w:b/>
        <w:color w:val="FFFFFF"/>
        <w:sz w:val="20"/>
      </w:rPr>
      <w:tblPr/>
      <w:tcPr>
        <w:shd w:val="clear" w:color="auto" w:fill="008000"/>
        <w:vAlign w:val="center"/>
      </w:tcPr>
    </w:tblStylePr>
    <w:tblStylePr w:type="firstCol">
      <w:rPr>
        <w:rFonts w:ascii="Arial" w:hAnsi="Arial"/>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GridTable4-Accent114">
    <w:name w:val="Grid Table 4 - Accent 114"/>
    <w:basedOn w:val="TableNormal"/>
    <w:uiPriority w:val="49"/>
    <w:rsid w:val="00212781"/>
    <w:pPr>
      <w:spacing w:after="0" w:line="240" w:lineRule="auto"/>
      <w:ind w:left="709"/>
    </w:pPr>
    <w:rPr>
      <w:rFonts w:ascii="Arial" w:eastAsia="Times New Roman" w:hAnsi="Arial" w:cs="Times New Roman"/>
      <w:sz w:val="20"/>
      <w:szCs w:val="20"/>
      <w:lang w:eastAsia="en-GB"/>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Mainbidtables23">
    <w:name w:val="Main bid tables23"/>
    <w:basedOn w:val="TableNormal"/>
    <w:uiPriority w:val="99"/>
    <w:rsid w:val="00212781"/>
    <w:pPr>
      <w:spacing w:before="60" w:after="0" w:line="240" w:lineRule="auto"/>
      <w:ind w:left="709"/>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table" w:customStyle="1" w:styleId="GridTable4-Accent5113">
    <w:name w:val="Grid Table 4 - Accent 5113"/>
    <w:basedOn w:val="TableNormal"/>
    <w:uiPriority w:val="49"/>
    <w:rsid w:val="00212781"/>
    <w:pPr>
      <w:spacing w:after="0" w:line="240" w:lineRule="auto"/>
      <w:ind w:left="709"/>
    </w:pPr>
    <w:rPr>
      <w:rFonts w:ascii="Calibri" w:eastAsia="Calibri" w:hAnsi="Calibri" w:cs="Times New Roman"/>
      <w:sz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113">
    <w:name w:val="Grid Table 4 - Accent 1113"/>
    <w:basedOn w:val="TableNormal"/>
    <w:uiPriority w:val="49"/>
    <w:rsid w:val="00212781"/>
    <w:pPr>
      <w:spacing w:after="0" w:line="240" w:lineRule="auto"/>
      <w:ind w:left="709"/>
    </w:pPr>
    <w:rPr>
      <w:rFonts w:ascii="Arial" w:eastAsia="Times New Roman" w:hAnsi="Arial" w:cs="Times New Roman"/>
      <w:sz w:val="20"/>
      <w:szCs w:val="20"/>
      <w:lang w:eastAsia="en-GB"/>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5">
    <w:name w:val="Grid Table 4 - Accent 15"/>
    <w:basedOn w:val="TableNormal"/>
    <w:next w:val="GridTable4-Accent1"/>
    <w:uiPriority w:val="49"/>
    <w:rsid w:val="00212781"/>
    <w:pPr>
      <w:spacing w:after="0" w:line="240" w:lineRule="auto"/>
      <w:ind w:left="709"/>
    </w:pPr>
    <w:rPr>
      <w:rFonts w:ascii="Arial" w:eastAsia="Times New Roman" w:hAnsi="Arial" w:cs="Times New Roman"/>
      <w:sz w:val="20"/>
      <w:szCs w:val="20"/>
      <w:lang w:eastAsia="en-GB"/>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4">
    <w:name w:val="Grid Table 4 - Accent 54"/>
    <w:basedOn w:val="TableNormal"/>
    <w:next w:val="GridTable4-Accent5"/>
    <w:uiPriority w:val="49"/>
    <w:rsid w:val="00212781"/>
    <w:pPr>
      <w:spacing w:after="0" w:line="240" w:lineRule="auto"/>
      <w:ind w:left="709"/>
    </w:pPr>
    <w:rPr>
      <w:rFonts w:ascii="Arial" w:eastAsia="Times New Roman" w:hAnsi="Arial" w:cs="Times New Roman"/>
      <w:sz w:val="20"/>
      <w:szCs w:val="20"/>
      <w:lang w:eastAsia="en-GB"/>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43">
    <w:name w:val="Grid Table 1 Light - Accent 43"/>
    <w:basedOn w:val="TableNormal"/>
    <w:next w:val="GridTable1Light-Accent4"/>
    <w:uiPriority w:val="46"/>
    <w:rsid w:val="00212781"/>
    <w:pPr>
      <w:spacing w:after="0" w:line="240" w:lineRule="auto"/>
    </w:pPr>
    <w:rPr>
      <w:rFonts w:ascii="Arial" w:eastAsia="Times New Roman" w:hAnsi="Arial" w:cs="Times New Roman"/>
      <w:sz w:val="20"/>
      <w:szCs w:val="20"/>
      <w:lang w:eastAsia="en-GB"/>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Sfondomedio1-Colore112">
    <w:name w:val="Sfondo medio 1 - Colore 112"/>
    <w:basedOn w:val="TableNormal"/>
    <w:uiPriority w:val="63"/>
    <w:rsid w:val="00212781"/>
    <w:pPr>
      <w:spacing w:after="0" w:line="240" w:lineRule="auto"/>
    </w:pPr>
    <w:rPr>
      <w:rFonts w:ascii="Arial" w:eastAsia="Times New Roman" w:hAnsi="Arial" w:cs="Times New Roman"/>
      <w:sz w:val="20"/>
      <w:szCs w:val="20"/>
      <w:lang w:eastAsia="en-GB"/>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TableGridLight3">
    <w:name w:val="Table Grid Light3"/>
    <w:basedOn w:val="TableNormal"/>
    <w:next w:val="TableGridLight"/>
    <w:uiPriority w:val="40"/>
    <w:rsid w:val="00212781"/>
    <w:pPr>
      <w:spacing w:after="0" w:line="240" w:lineRule="auto"/>
    </w:pPr>
    <w:rPr>
      <w:rFonts w:ascii="Arial" w:eastAsia="Times New Roman" w:hAnsi="Arial" w:cs="Times New Roman"/>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DocumentTable14">
    <w:name w:val="Document Table14"/>
    <w:basedOn w:val="TableNormal"/>
    <w:uiPriority w:val="39"/>
    <w:rsid w:val="00212781"/>
    <w:pPr>
      <w:spacing w:after="0" w:line="240" w:lineRule="auto"/>
    </w:pPr>
    <w:rPr>
      <w:rFonts w:ascii="Arial" w:eastAsia="Times New Roman" w:hAnsi="Arial"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53">
    <w:name w:val="List Table 4 - Accent 53"/>
    <w:basedOn w:val="TableNormal"/>
    <w:next w:val="ListTable4-Accent5"/>
    <w:uiPriority w:val="49"/>
    <w:rsid w:val="00212781"/>
    <w:pPr>
      <w:spacing w:after="0" w:line="240" w:lineRule="auto"/>
    </w:pPr>
    <w:rPr>
      <w:sz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DocumentTable23">
    <w:name w:val="Document Table23"/>
    <w:basedOn w:val="TableNormal"/>
    <w:next w:val="TableGrid"/>
    <w:uiPriority w:val="59"/>
    <w:rsid w:val="00212781"/>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ainbidtables32">
    <w:name w:val="Main bid tables32"/>
    <w:basedOn w:val="TableNormal"/>
    <w:uiPriority w:val="99"/>
    <w:rsid w:val="00212781"/>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table" w:customStyle="1" w:styleId="GridTable1Light-Accent14">
    <w:name w:val="Grid Table 1 Light - Accent 14"/>
    <w:basedOn w:val="TableNormal"/>
    <w:next w:val="GridTable1Light-Accent1"/>
    <w:uiPriority w:val="46"/>
    <w:rsid w:val="00212781"/>
    <w:pPr>
      <w:spacing w:after="0" w:line="240" w:lineRule="auto"/>
    </w:pPr>
    <w:rPr>
      <w:sz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6Colorful3">
    <w:name w:val="Grid Table 6 Colorful3"/>
    <w:basedOn w:val="TableNormal"/>
    <w:next w:val="GridTable6Colorful"/>
    <w:uiPriority w:val="51"/>
    <w:rsid w:val="00212781"/>
    <w:pPr>
      <w:spacing w:after="0" w:line="240" w:lineRule="auto"/>
      <w:ind w:left="709"/>
    </w:pPr>
    <w:rPr>
      <w:rFonts w:ascii="Arial" w:eastAsia="Times New Roman" w:hAnsi="Arial" w:cs="Times New Roman"/>
      <w:color w:val="000000"/>
      <w:sz w:val="20"/>
      <w:szCs w:val="20"/>
      <w:lang w:eastAsia="en-GB"/>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3">
    <w:name w:val="List Table 33"/>
    <w:basedOn w:val="TableNormal"/>
    <w:next w:val="ListTable3"/>
    <w:uiPriority w:val="48"/>
    <w:rsid w:val="00212781"/>
    <w:pPr>
      <w:spacing w:after="0" w:line="240" w:lineRule="auto"/>
      <w:ind w:left="709"/>
    </w:pPr>
    <w:rPr>
      <w:rFonts w:ascii="Arial" w:eastAsia="Times New Roman" w:hAnsi="Arial" w:cs="Times New Roman"/>
      <w:sz w:val="20"/>
      <w:szCs w:val="20"/>
      <w:lang w:eastAsia="en-GB"/>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eGrid02">
    <w:name w:val="Table Grid02"/>
    <w:rsid w:val="00212781"/>
    <w:pPr>
      <w:spacing w:after="0" w:line="240" w:lineRule="auto"/>
      <w:ind w:left="709"/>
    </w:pPr>
    <w:rPr>
      <w:rFonts w:ascii="Calibri" w:eastAsia="Times New Roman" w:hAnsi="Calibri" w:cs="Times New Roman"/>
      <w:sz w:val="20"/>
      <w:lang w:eastAsia="en-GB"/>
    </w:rPr>
    <w:tblPr>
      <w:tblCellMar>
        <w:top w:w="0" w:type="dxa"/>
        <w:left w:w="0" w:type="dxa"/>
        <w:bottom w:w="0" w:type="dxa"/>
        <w:right w:w="0" w:type="dxa"/>
      </w:tblCellMar>
    </w:tblPr>
  </w:style>
  <w:style w:type="table" w:customStyle="1" w:styleId="Mainbidtables52">
    <w:name w:val="Main bid tables52"/>
    <w:basedOn w:val="TableNormal"/>
    <w:uiPriority w:val="99"/>
    <w:rsid w:val="00212781"/>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table" w:customStyle="1" w:styleId="GridTable4-Accent64">
    <w:name w:val="Grid Table 4 - Accent 64"/>
    <w:basedOn w:val="TableNormal"/>
    <w:next w:val="GridTable4-Accent6"/>
    <w:uiPriority w:val="49"/>
    <w:rsid w:val="00212781"/>
    <w:pPr>
      <w:spacing w:before="60" w:after="0" w:line="240" w:lineRule="auto"/>
    </w:pPr>
    <w:rPr>
      <w:rFonts w:ascii="Arial" w:hAnsi="Arial"/>
      <w:sz w:val="20"/>
      <w:lang w:val="de-D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HTG15">
    <w:name w:val="HTG15"/>
    <w:basedOn w:val="TableNormal"/>
    <w:next w:val="TableGrid"/>
    <w:uiPriority w:val="39"/>
    <w:rsid w:val="00212781"/>
    <w:pPr>
      <w:spacing w:after="0" w:line="240" w:lineRule="auto"/>
    </w:pPr>
    <w:rPr>
      <w:rFonts w:ascii="Calibri" w:hAnsi="Calibri"/>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icardotable20">
    <w:name w:val="Ricardo table20"/>
    <w:basedOn w:val="TableGrid13"/>
    <w:uiPriority w:val="99"/>
    <w:rsid w:val="00212781"/>
    <w:pPr>
      <w:spacing w:after="60" w:line="240" w:lineRule="auto"/>
      <w:jc w:val="center"/>
    </w:pPr>
    <w:rPr>
      <w:rFonts w:eastAsia="Times New Roman" w:cs="Times New Roman"/>
      <w:sz w:val="18"/>
      <w:szCs w:val="20"/>
      <w:lang w:val="en-US" w:eastAsia="en-GB" w:bidi="he-IL"/>
    </w:rPr>
    <w:tblPr>
      <w:tblStyleRowBandSize w:val="1"/>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tcPr>
    <w:tblStylePr w:type="firstRow">
      <w:rPr>
        <w:rFonts w:ascii="Arial" w:hAnsi="Arial" w:cs="Times New Roman"/>
        <w:color w:val="FFFFFF"/>
      </w:rPr>
      <w:tblPr/>
      <w:tcPr>
        <w:shd w:val="clear" w:color="auto" w:fill="006BB7"/>
      </w:tcPr>
    </w:tblStyle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tblStylePr w:type="band2Horz">
      <w:rPr>
        <w:rFonts w:cs="Times New Roman"/>
      </w:rPr>
      <w:tblPr/>
      <w:tcPr>
        <w:shd w:val="clear" w:color="auto" w:fill="EAF2FA"/>
      </w:tcPr>
    </w:tblStylePr>
  </w:style>
  <w:style w:type="table" w:customStyle="1" w:styleId="TableGrid12a">
    <w:name w:val="Table Grid 12"/>
    <w:basedOn w:val="TableNormal"/>
    <w:next w:val="TableGrid13"/>
    <w:uiPriority w:val="99"/>
    <w:semiHidden/>
    <w:unhideWhenUsed/>
    <w:rsid w:val="00212781"/>
    <w:pPr>
      <w:spacing w:before="60" w:after="0" w:line="288" w:lineRule="auto"/>
    </w:pPr>
    <w:rPr>
      <w:rFonts w:ascii="Arial" w:hAnsi="Arial"/>
      <w:sz w:val="20"/>
      <w:lang w:val="de-D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icardotable110">
    <w:name w:val="Ricardo table110"/>
    <w:basedOn w:val="TableGrid13"/>
    <w:uiPriority w:val="99"/>
    <w:rsid w:val="00212781"/>
    <w:pPr>
      <w:spacing w:after="60" w:line="240" w:lineRule="auto"/>
      <w:jc w:val="center"/>
    </w:pPr>
    <w:rPr>
      <w:rFonts w:eastAsia="Times New Roman" w:cs="Times New Roman"/>
      <w:sz w:val="18"/>
      <w:szCs w:val="20"/>
      <w:lang w:eastAsia="en-GB"/>
    </w:rPr>
    <w:tblPr>
      <w:tblStyleRowBandSize w:val="1"/>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tcPr>
    <w:tblStylePr w:type="firstRow">
      <w:rPr>
        <w:rFonts w:ascii="Arial" w:hAnsi="Arial" w:cs="Times New Roman"/>
        <w:color w:val="FFFFFF"/>
      </w:rPr>
      <w:tblPr/>
      <w:tcPr>
        <w:shd w:val="clear" w:color="auto" w:fill="006BB7"/>
      </w:tcPr>
    </w:tblStyle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tblStylePr w:type="band2Horz">
      <w:rPr>
        <w:rFonts w:cs="Times New Roman"/>
      </w:rPr>
      <w:tblPr/>
      <w:tcPr>
        <w:shd w:val="clear" w:color="auto" w:fill="EAF2FA"/>
      </w:tcPr>
    </w:tblStylePr>
  </w:style>
  <w:style w:type="table" w:customStyle="1" w:styleId="GridTable3-Accent53">
    <w:name w:val="Grid Table 3 - Accent 53"/>
    <w:basedOn w:val="TableNormal"/>
    <w:next w:val="GridTable3-Accent5"/>
    <w:uiPriority w:val="48"/>
    <w:rsid w:val="00212781"/>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Ricardotable22">
    <w:name w:val="Ricardo table22"/>
    <w:basedOn w:val="TableGrid13"/>
    <w:uiPriority w:val="99"/>
    <w:rsid w:val="00212781"/>
    <w:pPr>
      <w:spacing w:after="60" w:line="240" w:lineRule="auto"/>
      <w:jc w:val="center"/>
    </w:pPr>
    <w:rPr>
      <w:rFonts w:eastAsia="Times New Roman" w:cs="Times New Roman"/>
      <w:sz w:val="18"/>
      <w:szCs w:val="20"/>
    </w:rPr>
    <w:tblPr>
      <w:tblStyleRowBandSize w:val="1"/>
      <w:tblInd w:w="0" w:type="nil"/>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tcPr>
    <w:tblStylePr w:type="firstRow">
      <w:rPr>
        <w:rFonts w:ascii="Arial" w:hAnsi="Arial" w:cs="Times New Roman" w:hint="default"/>
        <w:color w:val="FFFFFF"/>
      </w:rPr>
      <w:tblPr/>
      <w:tcPr>
        <w:shd w:val="clear" w:color="auto" w:fill="006BB7"/>
      </w:tcPr>
    </w:tblStylePr>
    <w:tblStylePr w:type="lastRow">
      <w:rPr>
        <w:rFonts w:ascii="Arial" w:hAnsi="Arial" w:cs="Times New Roman" w:hint="default"/>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icardotable32">
    <w:name w:val="Ricardo table32"/>
    <w:basedOn w:val="TableGrid13"/>
    <w:uiPriority w:val="99"/>
    <w:rsid w:val="00212781"/>
    <w:pPr>
      <w:spacing w:after="60" w:line="240" w:lineRule="auto"/>
      <w:jc w:val="center"/>
    </w:pPr>
    <w:rPr>
      <w:rFonts w:eastAsia="Times New Roman" w:cs="Times New Roman"/>
      <w:sz w:val="18"/>
      <w:szCs w:val="20"/>
    </w:rPr>
    <w:tblPr>
      <w:tblStyleRowBandSize w:val="1"/>
      <w:tblInd w:w="0" w:type="nil"/>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tcPr>
    <w:tblStylePr w:type="firstRow">
      <w:rPr>
        <w:rFonts w:ascii="Arial" w:hAnsi="Arial" w:cs="Times New Roman" w:hint="default"/>
        <w:color w:val="FFFFFF"/>
      </w:rPr>
      <w:tblPr/>
      <w:tcPr>
        <w:shd w:val="clear" w:color="auto" w:fill="006BB7"/>
      </w:tcPr>
    </w:tblStylePr>
    <w:tblStylePr w:type="lastRow">
      <w:rPr>
        <w:rFonts w:ascii="Arial" w:hAnsi="Arial" w:cs="Times New Roman" w:hint="default"/>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icardotable42">
    <w:name w:val="Ricardo table42"/>
    <w:basedOn w:val="TableGrid13"/>
    <w:uiPriority w:val="99"/>
    <w:rsid w:val="00212781"/>
    <w:pPr>
      <w:spacing w:after="60" w:line="240" w:lineRule="auto"/>
      <w:jc w:val="center"/>
    </w:pPr>
    <w:rPr>
      <w:rFonts w:eastAsia="Times New Roman" w:cs="Times New Roman"/>
      <w:sz w:val="18"/>
      <w:szCs w:val="20"/>
    </w:rPr>
    <w:tblPr>
      <w:tblStyleRowBandSize w:val="1"/>
      <w:tblInd w:w="0" w:type="nil"/>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tcPr>
    <w:tblStylePr w:type="firstRow">
      <w:rPr>
        <w:rFonts w:ascii="Arial" w:hAnsi="Arial" w:cs="Times New Roman" w:hint="default"/>
        <w:color w:val="FFFFFF"/>
      </w:rPr>
      <w:tblPr/>
      <w:tcPr>
        <w:shd w:val="clear" w:color="auto" w:fill="006BB7"/>
      </w:tcPr>
    </w:tblStylePr>
    <w:tblStylePr w:type="lastRow">
      <w:rPr>
        <w:rFonts w:ascii="Arial" w:hAnsi="Arial" w:cs="Times New Roman" w:hint="default"/>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icardotable52">
    <w:name w:val="Ricardo table52"/>
    <w:basedOn w:val="TableGrid13"/>
    <w:uiPriority w:val="99"/>
    <w:rsid w:val="00212781"/>
    <w:pPr>
      <w:spacing w:after="60" w:line="240" w:lineRule="auto"/>
      <w:jc w:val="center"/>
    </w:pPr>
    <w:rPr>
      <w:rFonts w:eastAsia="Times New Roman" w:cs="Times New Roman"/>
      <w:sz w:val="18"/>
      <w:szCs w:val="20"/>
    </w:rPr>
    <w:tblPr>
      <w:tblStyleRowBandSize w:val="1"/>
      <w:tblInd w:w="0" w:type="nil"/>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tcPr>
    <w:tblStylePr w:type="firstRow">
      <w:rPr>
        <w:rFonts w:ascii="Arial" w:hAnsi="Arial" w:cs="Times New Roman" w:hint="default"/>
        <w:color w:val="FFFFFF"/>
      </w:rPr>
      <w:tblPr/>
      <w:tcPr>
        <w:shd w:val="clear" w:color="auto" w:fill="006BB7"/>
      </w:tcPr>
    </w:tblStylePr>
    <w:tblStylePr w:type="lastRow">
      <w:rPr>
        <w:rFonts w:ascii="Arial" w:hAnsi="Arial" w:cs="Times New Roman" w:hint="default"/>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icardotable62">
    <w:name w:val="Ricardo table62"/>
    <w:basedOn w:val="TableGrid13"/>
    <w:uiPriority w:val="99"/>
    <w:rsid w:val="00212781"/>
    <w:pPr>
      <w:spacing w:after="60" w:line="240" w:lineRule="auto"/>
      <w:jc w:val="center"/>
    </w:pPr>
    <w:rPr>
      <w:rFonts w:eastAsia="Times New Roman" w:cs="Times New Roman"/>
      <w:sz w:val="18"/>
      <w:szCs w:val="20"/>
    </w:rPr>
    <w:tblPr>
      <w:tblStyleRowBandSize w:val="1"/>
      <w:tblInd w:w="0" w:type="nil"/>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tcPr>
    <w:tblStylePr w:type="firstRow">
      <w:rPr>
        <w:rFonts w:ascii="Arial" w:hAnsi="Arial" w:cs="Times New Roman" w:hint="default"/>
        <w:color w:val="FFFFFF"/>
      </w:rPr>
      <w:tblPr/>
      <w:tcPr>
        <w:shd w:val="clear" w:color="auto" w:fill="006BB7"/>
      </w:tcPr>
    </w:tblStylePr>
    <w:tblStylePr w:type="lastRow">
      <w:rPr>
        <w:rFonts w:ascii="Arial" w:hAnsi="Arial" w:cs="Times New Roman" w:hint="default"/>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icardotable72">
    <w:name w:val="Ricardo table72"/>
    <w:basedOn w:val="TableGrid13"/>
    <w:uiPriority w:val="99"/>
    <w:rsid w:val="00212781"/>
    <w:pPr>
      <w:spacing w:after="60" w:line="240" w:lineRule="auto"/>
      <w:jc w:val="center"/>
    </w:pPr>
    <w:rPr>
      <w:rFonts w:eastAsia="Times New Roman" w:cs="Times New Roman"/>
      <w:sz w:val="18"/>
      <w:szCs w:val="20"/>
    </w:rPr>
    <w:tblPr>
      <w:tblStyleRowBandSize w:val="1"/>
      <w:tblInd w:w="0" w:type="nil"/>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tcPr>
    <w:tblStylePr w:type="firstRow">
      <w:rPr>
        <w:rFonts w:ascii="Arial" w:hAnsi="Arial" w:cs="Times New Roman" w:hint="default"/>
        <w:color w:val="FFFFFF"/>
      </w:rPr>
      <w:tblPr/>
      <w:tcPr>
        <w:shd w:val="clear" w:color="auto" w:fill="006BB7"/>
      </w:tcPr>
    </w:tblStylePr>
    <w:tblStylePr w:type="lastRow">
      <w:rPr>
        <w:rFonts w:ascii="Arial" w:hAnsi="Arial" w:cs="Times New Roman" w:hint="default"/>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icardotable82">
    <w:name w:val="Ricardo table82"/>
    <w:basedOn w:val="TableGrid13"/>
    <w:uiPriority w:val="99"/>
    <w:rsid w:val="00212781"/>
    <w:pPr>
      <w:spacing w:after="60" w:line="240" w:lineRule="auto"/>
      <w:jc w:val="center"/>
    </w:pPr>
    <w:rPr>
      <w:rFonts w:eastAsia="Times New Roman" w:cs="Times New Roman"/>
      <w:sz w:val="18"/>
      <w:szCs w:val="20"/>
    </w:rPr>
    <w:tblPr>
      <w:tblStyleRowBandSize w:val="1"/>
      <w:tblInd w:w="0" w:type="nil"/>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tcPr>
    <w:tblStylePr w:type="firstRow">
      <w:rPr>
        <w:rFonts w:ascii="Arial" w:hAnsi="Arial" w:cs="Times New Roman" w:hint="default"/>
        <w:color w:val="FFFFFF"/>
      </w:rPr>
      <w:tblPr/>
      <w:tcPr>
        <w:shd w:val="clear" w:color="auto" w:fill="006BB7"/>
      </w:tcPr>
    </w:tblStylePr>
    <w:tblStylePr w:type="lastRow">
      <w:rPr>
        <w:rFonts w:ascii="Arial" w:hAnsi="Arial" w:cs="Times New Roman" w:hint="default"/>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icardotable92">
    <w:name w:val="Ricardo table92"/>
    <w:basedOn w:val="TableGrid13"/>
    <w:uiPriority w:val="99"/>
    <w:rsid w:val="00212781"/>
    <w:pPr>
      <w:spacing w:after="60" w:line="240" w:lineRule="auto"/>
      <w:jc w:val="center"/>
    </w:pPr>
    <w:rPr>
      <w:rFonts w:eastAsia="Times New Roman" w:cs="Times New Roman"/>
      <w:sz w:val="18"/>
      <w:szCs w:val="20"/>
    </w:rPr>
    <w:tblPr>
      <w:tblStyleRowBandSize w:val="1"/>
      <w:tblInd w:w="0" w:type="nil"/>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tcPr>
    <w:tblStylePr w:type="firstRow">
      <w:rPr>
        <w:rFonts w:ascii="Arial" w:hAnsi="Arial" w:cs="Times New Roman" w:hint="default"/>
        <w:color w:val="FFFFFF"/>
      </w:rPr>
      <w:tblPr/>
      <w:tcPr>
        <w:shd w:val="clear" w:color="auto" w:fill="006BB7"/>
      </w:tcPr>
    </w:tblStylePr>
    <w:tblStylePr w:type="lastRow">
      <w:rPr>
        <w:rFonts w:ascii="Arial" w:hAnsi="Arial" w:cs="Times New Roman" w:hint="default"/>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icardotable102">
    <w:name w:val="Ricardo table102"/>
    <w:basedOn w:val="TableGrid13"/>
    <w:uiPriority w:val="99"/>
    <w:rsid w:val="00212781"/>
    <w:pPr>
      <w:spacing w:after="60" w:line="240" w:lineRule="auto"/>
      <w:jc w:val="center"/>
    </w:pPr>
    <w:rPr>
      <w:rFonts w:eastAsia="Times New Roman" w:cs="Times New Roman"/>
      <w:sz w:val="18"/>
      <w:szCs w:val="20"/>
    </w:rPr>
    <w:tblPr>
      <w:tblStyleRowBandSize w:val="1"/>
      <w:tblInd w:w="0" w:type="nil"/>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tcPr>
    <w:tblStylePr w:type="firstRow">
      <w:rPr>
        <w:rFonts w:ascii="Arial" w:hAnsi="Arial" w:cs="Times New Roman" w:hint="default"/>
        <w:color w:val="FFFFFF"/>
      </w:rPr>
      <w:tblPr/>
      <w:tcPr>
        <w:shd w:val="clear" w:color="auto" w:fill="006BB7"/>
      </w:tcPr>
    </w:tblStylePr>
    <w:tblStylePr w:type="lastRow">
      <w:rPr>
        <w:rFonts w:ascii="Arial" w:hAnsi="Arial" w:cs="Times New Roman" w:hint="default"/>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icardotable112">
    <w:name w:val="Ricardo table112"/>
    <w:basedOn w:val="TableGrid13"/>
    <w:uiPriority w:val="99"/>
    <w:rsid w:val="00212781"/>
    <w:pPr>
      <w:spacing w:after="60" w:line="240" w:lineRule="auto"/>
      <w:jc w:val="center"/>
    </w:pPr>
    <w:rPr>
      <w:rFonts w:eastAsia="Times New Roman" w:cs="Times New Roman"/>
      <w:sz w:val="18"/>
      <w:szCs w:val="20"/>
    </w:rPr>
    <w:tblPr>
      <w:tblStyleRowBandSize w:val="1"/>
      <w:tblInd w:w="0" w:type="nil"/>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tcPr>
    <w:tblStylePr w:type="firstRow">
      <w:rPr>
        <w:rFonts w:ascii="Arial" w:hAnsi="Arial" w:cs="Times New Roman" w:hint="default"/>
        <w:color w:val="FFFFFF"/>
      </w:rPr>
      <w:tblPr/>
      <w:tcPr>
        <w:shd w:val="clear" w:color="auto" w:fill="006BB7"/>
      </w:tcPr>
    </w:tblStylePr>
    <w:tblStylePr w:type="lastRow">
      <w:rPr>
        <w:rFonts w:ascii="Arial" w:hAnsi="Arial" w:cs="Times New Roman" w:hint="default"/>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icardotable122">
    <w:name w:val="Ricardo table122"/>
    <w:basedOn w:val="TableGrid13"/>
    <w:uiPriority w:val="99"/>
    <w:rsid w:val="00212781"/>
    <w:pPr>
      <w:spacing w:after="60" w:line="240" w:lineRule="auto"/>
      <w:jc w:val="center"/>
    </w:pPr>
    <w:rPr>
      <w:rFonts w:eastAsia="Times New Roman" w:cs="Times New Roman"/>
      <w:sz w:val="18"/>
      <w:szCs w:val="20"/>
    </w:rPr>
    <w:tblPr>
      <w:tblStyleRowBandSize w:val="1"/>
      <w:tblInd w:w="0" w:type="nil"/>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tcPr>
    <w:tblStylePr w:type="firstRow">
      <w:rPr>
        <w:rFonts w:ascii="Arial" w:hAnsi="Arial" w:cs="Times New Roman" w:hint="default"/>
        <w:color w:val="FFFFFF"/>
      </w:rPr>
      <w:tblPr/>
      <w:tcPr>
        <w:shd w:val="clear" w:color="auto" w:fill="006BB7"/>
      </w:tcPr>
    </w:tblStylePr>
    <w:tblStylePr w:type="lastRow">
      <w:rPr>
        <w:rFonts w:ascii="Arial" w:hAnsi="Arial" w:cs="Times New Roman" w:hint="default"/>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icardotable132">
    <w:name w:val="Ricardo table132"/>
    <w:basedOn w:val="TableGrid13"/>
    <w:uiPriority w:val="99"/>
    <w:rsid w:val="00212781"/>
    <w:pPr>
      <w:spacing w:after="60" w:line="240" w:lineRule="auto"/>
      <w:jc w:val="center"/>
    </w:pPr>
    <w:rPr>
      <w:rFonts w:eastAsia="Times New Roman" w:cs="Times New Roman"/>
      <w:sz w:val="18"/>
      <w:szCs w:val="20"/>
    </w:rPr>
    <w:tblPr>
      <w:tblStyleRowBandSize w:val="1"/>
      <w:tblInd w:w="0" w:type="nil"/>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tcPr>
    <w:tblStylePr w:type="firstRow">
      <w:rPr>
        <w:rFonts w:ascii="Arial" w:hAnsi="Arial" w:cs="Times New Roman" w:hint="default"/>
        <w:color w:val="FFFFFF"/>
      </w:rPr>
      <w:tblPr/>
      <w:tcPr>
        <w:shd w:val="clear" w:color="auto" w:fill="006BB7"/>
      </w:tcPr>
    </w:tblStylePr>
    <w:tblStylePr w:type="lastRow">
      <w:rPr>
        <w:rFonts w:ascii="Arial" w:hAnsi="Arial" w:cs="Times New Roman" w:hint="default"/>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icardotable142">
    <w:name w:val="Ricardo table142"/>
    <w:basedOn w:val="TableGrid13"/>
    <w:uiPriority w:val="99"/>
    <w:rsid w:val="00212781"/>
    <w:pPr>
      <w:spacing w:after="60" w:line="240" w:lineRule="auto"/>
      <w:jc w:val="center"/>
    </w:pPr>
    <w:rPr>
      <w:rFonts w:eastAsia="Times New Roman" w:cs="Times New Roman"/>
      <w:sz w:val="18"/>
      <w:szCs w:val="20"/>
    </w:rPr>
    <w:tblPr>
      <w:tblStyleRowBandSize w:val="1"/>
      <w:tblInd w:w="0" w:type="nil"/>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tcPr>
    <w:tblStylePr w:type="firstRow">
      <w:rPr>
        <w:rFonts w:ascii="Arial" w:hAnsi="Arial" w:cs="Times New Roman" w:hint="default"/>
        <w:color w:val="FFFFFF"/>
      </w:rPr>
      <w:tblPr/>
      <w:tcPr>
        <w:shd w:val="clear" w:color="auto" w:fill="006BB7"/>
      </w:tcPr>
    </w:tblStylePr>
    <w:tblStylePr w:type="lastRow">
      <w:rPr>
        <w:rFonts w:ascii="Arial" w:hAnsi="Arial" w:cs="Times New Roman" w:hint="default"/>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icardotable152">
    <w:name w:val="Ricardo table152"/>
    <w:basedOn w:val="TableGrid13"/>
    <w:uiPriority w:val="99"/>
    <w:rsid w:val="00212781"/>
    <w:pPr>
      <w:spacing w:after="60" w:line="240" w:lineRule="auto"/>
      <w:jc w:val="center"/>
    </w:pPr>
    <w:rPr>
      <w:rFonts w:eastAsia="Times New Roman" w:cs="Times New Roman"/>
      <w:sz w:val="18"/>
      <w:szCs w:val="20"/>
    </w:rPr>
    <w:tblPr>
      <w:tblStyleRowBandSize w:val="1"/>
      <w:tblInd w:w="0" w:type="nil"/>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tcPr>
    <w:tblStylePr w:type="firstRow">
      <w:rPr>
        <w:rFonts w:ascii="Arial" w:hAnsi="Arial" w:cs="Times New Roman" w:hint="default"/>
        <w:color w:val="FFFFFF"/>
      </w:rPr>
      <w:tblPr/>
      <w:tcPr>
        <w:shd w:val="clear" w:color="auto" w:fill="006BB7"/>
      </w:tcPr>
    </w:tblStylePr>
    <w:tblStylePr w:type="lastRow">
      <w:rPr>
        <w:rFonts w:ascii="Arial" w:hAnsi="Arial" w:cs="Times New Roman" w:hint="default"/>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icardotable162">
    <w:name w:val="Ricardo table162"/>
    <w:basedOn w:val="TableGrid13"/>
    <w:uiPriority w:val="99"/>
    <w:rsid w:val="00212781"/>
    <w:pPr>
      <w:spacing w:after="60" w:line="240" w:lineRule="auto"/>
      <w:jc w:val="center"/>
    </w:pPr>
    <w:rPr>
      <w:rFonts w:eastAsia="Times New Roman" w:cs="Times New Roman"/>
      <w:sz w:val="18"/>
      <w:szCs w:val="20"/>
    </w:rPr>
    <w:tblPr>
      <w:tblStyleRowBandSize w:val="1"/>
      <w:tblInd w:w="0" w:type="nil"/>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tcPr>
    <w:tblStylePr w:type="firstRow">
      <w:rPr>
        <w:rFonts w:ascii="Arial" w:hAnsi="Arial" w:cs="Times New Roman" w:hint="default"/>
        <w:color w:val="FFFFFF"/>
      </w:rPr>
      <w:tblPr/>
      <w:tcPr>
        <w:shd w:val="clear" w:color="auto" w:fill="006BB7"/>
      </w:tcPr>
    </w:tblStylePr>
    <w:tblStylePr w:type="lastRow">
      <w:rPr>
        <w:rFonts w:ascii="Arial" w:hAnsi="Arial" w:cs="Times New Roman" w:hint="default"/>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icardotable172">
    <w:name w:val="Ricardo table172"/>
    <w:basedOn w:val="TableGrid13"/>
    <w:uiPriority w:val="99"/>
    <w:rsid w:val="00212781"/>
    <w:pPr>
      <w:spacing w:after="60" w:line="240" w:lineRule="auto"/>
      <w:jc w:val="center"/>
    </w:pPr>
    <w:rPr>
      <w:rFonts w:eastAsia="Times New Roman" w:cs="Times New Roman"/>
      <w:sz w:val="18"/>
      <w:szCs w:val="20"/>
    </w:rPr>
    <w:tblPr>
      <w:tblStyleRowBandSize w:val="1"/>
      <w:tblInd w:w="0" w:type="nil"/>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tcPr>
    <w:tblStylePr w:type="firstRow">
      <w:rPr>
        <w:rFonts w:ascii="Arial" w:hAnsi="Arial" w:cs="Times New Roman" w:hint="default"/>
        <w:color w:val="FFFFFF"/>
      </w:rPr>
      <w:tblPr/>
      <w:tcPr>
        <w:shd w:val="clear" w:color="auto" w:fill="006BB7"/>
      </w:tcPr>
    </w:tblStylePr>
    <w:tblStylePr w:type="lastRow">
      <w:rPr>
        <w:rFonts w:ascii="Arial" w:hAnsi="Arial" w:cs="Times New Roman" w:hint="default"/>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Mainbidtables7">
    <w:name w:val="Main bid tables7"/>
    <w:basedOn w:val="TableNormal"/>
    <w:uiPriority w:val="99"/>
    <w:rsid w:val="00212781"/>
    <w:pPr>
      <w:spacing w:before="60" w:after="0" w:line="240" w:lineRule="auto"/>
    </w:pPr>
    <w:rPr>
      <w:rFonts w:ascii="Arial" w:eastAsia="Times New Roman" w:hAnsi="Arial" w:cs="Times New Roman"/>
      <w:sz w:val="20"/>
      <w:szCs w:val="20"/>
      <w:lang w:eastAsia="en-GB"/>
    </w:rPr>
    <w:tblPr>
      <w:tblStyleRowBandSize w:val="1"/>
      <w:tblStyleColBandSize w:val="1"/>
      <w:tblInd w:w="0" w:type="nil"/>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style>
  <w:style w:type="table" w:customStyle="1" w:styleId="TableGridLight13">
    <w:name w:val="Table Grid Light13"/>
    <w:basedOn w:val="TableNormal"/>
    <w:uiPriority w:val="40"/>
    <w:rsid w:val="00212781"/>
    <w:pPr>
      <w:spacing w:after="0" w:line="240" w:lineRule="auto"/>
    </w:pPr>
    <w:rPr>
      <w:rFonts w:ascii="Arial" w:eastAsia="Times New Roman" w:hAnsi="Arial" w:cs="Times New Roman"/>
      <w:sz w:val="20"/>
      <w:szCs w:val="20"/>
      <w:lang w:eastAsia="en-GB"/>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David4">
    <w:name w:val="David4"/>
    <w:basedOn w:val="TableNormal"/>
    <w:uiPriority w:val="99"/>
    <w:qFormat/>
    <w:rsid w:val="00212781"/>
    <w:pPr>
      <w:spacing w:before="20" w:after="20" w:line="240" w:lineRule="auto"/>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rPr>
        <w:rFonts w:ascii="Arial" w:hAnsi="Arial" w:cs="Arial"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Ricardo-AEATableStyle212">
    <w:name w:val="Ricardo-AEA Table Style212"/>
    <w:basedOn w:val="TableNormal"/>
    <w:uiPriority w:val="99"/>
    <w:qFormat/>
    <w:rsid w:val="00212781"/>
    <w:pPr>
      <w:spacing w:after="0" w:line="240" w:lineRule="auto"/>
      <w:ind w:left="113"/>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Autospacing="0" w:afterLines="0" w:afterAutospacing="0" w:line="240" w:lineRule="auto"/>
        <w:contextualSpacing w:val="0"/>
      </w:pPr>
      <w:rPr>
        <w:rFonts w:ascii="Arial" w:hAnsi="Arial"/>
        <w:b/>
        <w:color w:val="FFFFFF"/>
        <w:sz w:val="20"/>
      </w:rPr>
      <w:tblPr/>
      <w:tcPr>
        <w:shd w:val="clear" w:color="auto" w:fill="008000"/>
        <w:vAlign w:val="center"/>
      </w:tcPr>
    </w:tblStylePr>
    <w:tblStylePr w:type="firstCol">
      <w:rPr>
        <w:rFonts w:ascii="Arial" w:hAnsi="Arial"/>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character" w:customStyle="1" w:styleId="Erwhnung1">
    <w:name w:val="Erwähnung1"/>
    <w:basedOn w:val="DefaultParagraphFont"/>
    <w:uiPriority w:val="99"/>
    <w:unhideWhenUsed/>
    <w:rsid w:val="00212781"/>
    <w:rPr>
      <w:color w:val="2B579A"/>
      <w:shd w:val="clear" w:color="auto" w:fill="E1DFDD"/>
    </w:rPr>
  </w:style>
  <w:style w:type="table" w:customStyle="1" w:styleId="Oeko23">
    <w:name w:val="Oeko_23"/>
    <w:basedOn w:val="TableNormal"/>
    <w:uiPriority w:val="99"/>
    <w:rsid w:val="00212781"/>
    <w:pPr>
      <w:spacing w:before="40" w:after="40" w:line="240" w:lineRule="auto"/>
    </w:pPr>
    <w:rPr>
      <w:rFonts w:ascii="Arial" w:hAnsi="Arial"/>
      <w:sz w:val="20"/>
      <w:lang w:val="de-DE"/>
    </w:rPr>
    <w:tblPr>
      <w:tblStyleRowBandSize w:val="1"/>
      <w:tblInd w:w="85" w:type="dxa"/>
      <w:tblBorders>
        <w:insideV w:val="single" w:sz="2" w:space="0" w:color="868686"/>
      </w:tblBorders>
      <w:tblCellMar>
        <w:left w:w="85" w:type="dxa"/>
        <w:right w:w="85" w:type="dxa"/>
      </w:tblCellMar>
    </w:tblPr>
    <w:tblStylePr w:type="firstRow">
      <w:rPr>
        <w:b/>
      </w:rPr>
      <w:tblPr/>
      <w:tcPr>
        <w:tcBorders>
          <w:bottom w:val="single" w:sz="12" w:space="0" w:color="A5A5A5"/>
        </w:tcBorders>
      </w:tcPr>
    </w:tblStylePr>
    <w:tblStylePr w:type="firstCol">
      <w:pPr>
        <w:wordWrap/>
        <w:ind w:leftChars="0" w:left="0"/>
      </w:pPr>
      <w:tblPr/>
      <w:tcPr>
        <w:tcBorders>
          <w:right w:val="single" w:sz="4" w:space="0" w:color="868686"/>
          <w:insideV w:val="nil"/>
        </w:tcBorders>
      </w:tcPr>
    </w:tblStylePr>
    <w:tblStylePr w:type="band1Horz">
      <w:tblPr/>
      <w:tcPr>
        <w:tcBorders>
          <w:bottom w:val="single" w:sz="2" w:space="0" w:color="868686"/>
        </w:tcBorders>
      </w:tcPr>
    </w:tblStylePr>
    <w:tblStylePr w:type="band2Horz">
      <w:tblPr/>
      <w:tcPr>
        <w:tcBorders>
          <w:bottom w:val="single" w:sz="2" w:space="0" w:color="868686"/>
        </w:tcBorders>
      </w:tcPr>
    </w:tblStylePr>
  </w:style>
  <w:style w:type="table" w:customStyle="1" w:styleId="GridTable1Light4">
    <w:name w:val="Grid Table 1 Light4"/>
    <w:basedOn w:val="TableNormal"/>
    <w:next w:val="GridTable1Light"/>
    <w:uiPriority w:val="46"/>
    <w:rsid w:val="00212781"/>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Elegant3">
    <w:name w:val="Table Elegant3"/>
    <w:basedOn w:val="TableNormal"/>
    <w:next w:val="TableElegant"/>
    <w:rsid w:val="00212781"/>
    <w:pPr>
      <w:spacing w:after="120" w:line="300" w:lineRule="atLeast"/>
      <w:jc w:val="both"/>
    </w:pPr>
    <w:rPr>
      <w:rFonts w:ascii="Times New Roman" w:eastAsia="Times New Roman" w:hAnsi="Times New Roman" w:cs="Times New Roman"/>
      <w:sz w:val="20"/>
      <w:szCs w:val="20"/>
      <w:lang w:val="de-DE" w:eastAsia="de-D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itternetztabelle1hellAkzent11">
    <w:name w:val="Gitternetztabelle 1 hell  – Akzent 11"/>
    <w:basedOn w:val="TableNormal"/>
    <w:next w:val="GridTable1Light-Accent1"/>
    <w:uiPriority w:val="46"/>
    <w:rsid w:val="00212781"/>
    <w:pPr>
      <w:spacing w:after="0" w:line="240" w:lineRule="auto"/>
    </w:pPr>
    <w:rPr>
      <w:rFonts w:ascii="Calibri" w:hAnsi="Calibri"/>
      <w:sz w:val="20"/>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character" w:customStyle="1" w:styleId="markedcontent">
    <w:name w:val="markedcontent"/>
    <w:basedOn w:val="DefaultParagraphFont"/>
    <w:rsid w:val="00212781"/>
  </w:style>
  <w:style w:type="table" w:customStyle="1" w:styleId="DocumentTable31">
    <w:name w:val="Document Table31"/>
    <w:basedOn w:val="TableNormal"/>
    <w:next w:val="TableGrid"/>
    <w:uiPriority w:val="39"/>
    <w:rsid w:val="00212781"/>
    <w:pPr>
      <w:spacing w:after="0" w:line="240" w:lineRule="auto"/>
    </w:pPr>
    <w:rPr>
      <w:rFonts w:ascii="Calibri" w:hAnsi="Calibri"/>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5">
    <w:name w:val="Grid Table 1 Light - Accent 15"/>
    <w:basedOn w:val="TableNormal"/>
    <w:next w:val="GridTable1Light-Accent1"/>
    <w:uiPriority w:val="46"/>
    <w:rsid w:val="0068242C"/>
    <w:pPr>
      <w:spacing w:after="0" w:line="240" w:lineRule="auto"/>
    </w:pPr>
    <w:rPr>
      <w:sz w:val="20"/>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HTG31">
    <w:name w:val="HTG31"/>
    <w:basedOn w:val="TableNormal"/>
    <w:next w:val="TableGrid"/>
    <w:uiPriority w:val="39"/>
    <w:rsid w:val="00947020"/>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A860CD"/>
  </w:style>
  <w:style w:type="paragraph" w:customStyle="1" w:styleId="NumPar1">
    <w:name w:val="NumPar 1"/>
    <w:basedOn w:val="Heading1"/>
    <w:next w:val="Text1"/>
    <w:rsid w:val="00A860CD"/>
    <w:pPr>
      <w:keepNext w:val="0"/>
      <w:tabs>
        <w:tab w:val="clear" w:pos="480"/>
      </w:tabs>
      <w:spacing w:before="0"/>
      <w:ind w:left="432" w:hanging="432"/>
      <w:outlineLvl w:val="9"/>
    </w:pPr>
    <w:rPr>
      <w:b w:val="0"/>
      <w:smallCaps w:val="0"/>
    </w:rPr>
  </w:style>
  <w:style w:type="paragraph" w:customStyle="1" w:styleId="SubTitle10">
    <w:name w:val="SubTitle 1"/>
    <w:basedOn w:val="Normal"/>
    <w:next w:val="Normal"/>
    <w:rsid w:val="00A860CD"/>
    <w:pPr>
      <w:spacing w:after="240" w:line="240" w:lineRule="auto"/>
      <w:jc w:val="center"/>
    </w:pPr>
    <w:rPr>
      <w:rFonts w:eastAsia="Times New Roman" w:cs="Times New Roman"/>
      <w:b/>
      <w:sz w:val="40"/>
      <w:szCs w:val="20"/>
    </w:rPr>
  </w:style>
  <w:style w:type="table" w:customStyle="1" w:styleId="CV15">
    <w:name w:val="CV15"/>
    <w:basedOn w:val="TableNormal"/>
    <w:next w:val="TableGrid"/>
    <w:uiPriority w:val="39"/>
    <w:rsid w:val="00A860C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2">
    <w:name w:val="CV112"/>
    <w:basedOn w:val="TableNormal"/>
    <w:next w:val="TableGrid"/>
    <w:uiPriority w:val="39"/>
    <w:rsid w:val="00A860C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HeadingChar">
    <w:name w:val="TOC Heading Char"/>
    <w:basedOn w:val="DefaultParagraphFont"/>
    <w:link w:val="TOCHeading"/>
    <w:rsid w:val="00A860CD"/>
    <w:rPr>
      <w:rFonts w:ascii="Times New Roman" w:eastAsia="Times New Roman" w:hAnsi="Times New Roman" w:cs="Times New Roman"/>
      <w:b/>
      <w:sz w:val="24"/>
      <w:szCs w:val="20"/>
    </w:rPr>
  </w:style>
  <w:style w:type="character" w:customStyle="1" w:styleId="FooterSensitivityChar">
    <w:name w:val="Footer Sensitivity Char"/>
    <w:basedOn w:val="TOCHeadingChar"/>
    <w:link w:val="FooterSensitivity"/>
    <w:rsid w:val="00A860CD"/>
    <w:rPr>
      <w:rFonts w:ascii="Times New Roman" w:eastAsia="Times New Roman" w:hAnsi="Times New Roman" w:cs="Times New Roman"/>
      <w:b/>
      <w:sz w:val="32"/>
      <w:szCs w:val="20"/>
    </w:rPr>
  </w:style>
  <w:style w:type="character" w:customStyle="1" w:styleId="HeaderSensitivityChar">
    <w:name w:val="Header Sensitivity Char"/>
    <w:basedOn w:val="TOCHeadingChar"/>
    <w:link w:val="HeaderSensitivity"/>
    <w:rsid w:val="00A860CD"/>
    <w:rPr>
      <w:rFonts w:ascii="Times New Roman" w:eastAsia="Times New Roman" w:hAnsi="Times New Roman" w:cs="Times New Roman"/>
      <w:b/>
      <w:sz w:val="32"/>
      <w:szCs w:val="20"/>
    </w:rPr>
  </w:style>
  <w:style w:type="table" w:customStyle="1" w:styleId="HTG16">
    <w:name w:val="HTG16"/>
    <w:basedOn w:val="TableNormal"/>
    <w:next w:val="TableGrid"/>
    <w:uiPriority w:val="39"/>
    <w:rsid w:val="00A860CD"/>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icardo-AEATableStyle24">
    <w:name w:val="Ricardo-AEA Table Style24"/>
    <w:basedOn w:val="TableNormal"/>
    <w:uiPriority w:val="99"/>
    <w:qFormat/>
    <w:rsid w:val="00A860CD"/>
    <w:pPr>
      <w:spacing w:after="0" w:line="240" w:lineRule="auto"/>
      <w:ind w:left="709"/>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Autospacing="0" w:afterLines="0" w:afterAutospacing="0" w:line="240" w:lineRule="auto"/>
        <w:contextualSpacing w:val="0"/>
      </w:pPr>
      <w:rPr>
        <w:rFonts w:ascii="Arial" w:hAnsi="Arial"/>
        <w:b/>
        <w:color w:val="FFFFFF"/>
        <w:sz w:val="20"/>
      </w:rPr>
      <w:tblPr/>
      <w:tcPr>
        <w:shd w:val="clear" w:color="auto" w:fill="008000"/>
        <w:vAlign w:val="center"/>
      </w:tcPr>
    </w:tblStylePr>
    <w:tblStylePr w:type="firstCol">
      <w:rPr>
        <w:rFonts w:ascii="Arial" w:hAnsi="Arial"/>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HTG21">
    <w:name w:val="HTG21"/>
    <w:basedOn w:val="TableNormal"/>
    <w:next w:val="TableGrid"/>
    <w:uiPriority w:val="39"/>
    <w:rsid w:val="00A860CD"/>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ainbidtables110">
    <w:name w:val="Main bid tables110"/>
    <w:basedOn w:val="TableNormal"/>
    <w:uiPriority w:val="99"/>
    <w:rsid w:val="00A860CD"/>
    <w:pPr>
      <w:spacing w:before="60" w:after="0" w:line="240" w:lineRule="auto"/>
    </w:pPr>
    <w:rPr>
      <w:rFonts w:ascii="Arial" w:eastAsia="Times New Roman" w:hAnsi="Arial" w:cs="Times New Roman"/>
      <w:sz w:val="20"/>
      <w:szCs w:val="20"/>
    </w:rPr>
    <w:tblPr>
      <w:tblStyleRowBandSize w:val="1"/>
      <w:tblStyleColBandSize w:val="1"/>
      <w:tblInd w:w="0" w:type="nil"/>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table" w:customStyle="1" w:styleId="David5">
    <w:name w:val="David5"/>
    <w:basedOn w:val="TableNormal"/>
    <w:uiPriority w:val="99"/>
    <w:qFormat/>
    <w:rsid w:val="00A860CD"/>
    <w:pPr>
      <w:spacing w:before="20" w:after="20" w:line="240" w:lineRule="auto"/>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rPr>
        <w:rFonts w:ascii="Arial" w:hAnsi="Arial" w:cs="Arial"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numbering" w:customStyle="1" w:styleId="list-bullet-color4">
    <w:name w:val="list-bullet-color4"/>
    <w:rsid w:val="00A860CD"/>
  </w:style>
  <w:style w:type="table" w:customStyle="1" w:styleId="HTG32">
    <w:name w:val="HTG32"/>
    <w:basedOn w:val="TableNormal"/>
    <w:next w:val="TableGrid"/>
    <w:uiPriority w:val="39"/>
    <w:rsid w:val="00A860CD"/>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avid11">
    <w:name w:val="David11"/>
    <w:basedOn w:val="TableNormal"/>
    <w:uiPriority w:val="99"/>
    <w:qFormat/>
    <w:rsid w:val="00A860CD"/>
    <w:pPr>
      <w:spacing w:before="20" w:after="20" w:line="240" w:lineRule="auto"/>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rPr>
        <w:rFonts w:ascii="Arial" w:hAnsi="Arial" w:cs="Arial"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character" w:customStyle="1" w:styleId="wtoffscreen">
    <w:name w:val="wtoffscreen"/>
    <w:basedOn w:val="DefaultParagraphFont"/>
    <w:rsid w:val="00A860CD"/>
  </w:style>
  <w:style w:type="numbering" w:customStyle="1" w:styleId="NoList7">
    <w:name w:val="No List7"/>
    <w:next w:val="NoList"/>
    <w:uiPriority w:val="99"/>
    <w:semiHidden/>
    <w:unhideWhenUsed/>
    <w:rsid w:val="000B1AB2"/>
  </w:style>
  <w:style w:type="table" w:customStyle="1" w:styleId="Ricardotable23">
    <w:name w:val="Ricardo table23"/>
    <w:basedOn w:val="TableGrid13"/>
    <w:uiPriority w:val="99"/>
    <w:rsid w:val="000B1AB2"/>
    <w:pPr>
      <w:spacing w:after="60" w:line="240" w:lineRule="auto"/>
      <w:jc w:val="center"/>
    </w:pPr>
    <w:rPr>
      <w:rFonts w:eastAsia="Times New Roman" w:cs="Times New Roman"/>
      <w:sz w:val="18"/>
      <w:szCs w:val="20"/>
      <w:lang w:eastAsia="en-GB"/>
    </w:rPr>
    <w:tblPr>
      <w:tblStyleRowBandSize w:val="1"/>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tcPr>
    <w:tblStylePr w:type="firstRow">
      <w:rPr>
        <w:rFonts w:ascii="Arial" w:hAnsi="Arial" w:cs="Times New Roman"/>
        <w:color w:val="FFFFFF"/>
      </w:rPr>
      <w:tblPr/>
      <w:tcPr>
        <w:shd w:val="clear" w:color="auto" w:fill="006BB7"/>
      </w:tcPr>
    </w:tblStyle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tblStylePr w:type="band2Horz">
      <w:rPr>
        <w:rFonts w:cs="Times New Roman"/>
      </w:rPr>
      <w:tblPr/>
      <w:tcPr>
        <w:shd w:val="clear" w:color="auto" w:fill="EAF2FA"/>
      </w:tcPr>
    </w:tblStylePr>
  </w:style>
  <w:style w:type="table" w:customStyle="1" w:styleId="TableGrid131">
    <w:name w:val="Table Grid 13"/>
    <w:basedOn w:val="TableNormal"/>
    <w:next w:val="TableGrid13"/>
    <w:uiPriority w:val="99"/>
    <w:semiHidden/>
    <w:unhideWhenUsed/>
    <w:rsid w:val="000B1AB2"/>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Light4">
    <w:name w:val="Table Grid Light4"/>
    <w:basedOn w:val="TableNormal"/>
    <w:next w:val="TableGridLight"/>
    <w:uiPriority w:val="40"/>
    <w:rsid w:val="000B1AB2"/>
    <w:pPr>
      <w:spacing w:after="0" w:line="240" w:lineRule="auto"/>
    </w:pPr>
    <w:rPr>
      <w:rFonts w:ascii="Arial" w:eastAsia="Times New Roman" w:hAnsi="Arial" w:cs="Times New Roman"/>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HTG17">
    <w:name w:val="HTG17"/>
    <w:basedOn w:val="TableNormal"/>
    <w:next w:val="TableGrid"/>
    <w:uiPriority w:val="39"/>
    <w:rsid w:val="000B1AB2"/>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icardotable103">
    <w:name w:val="Ricardo table103"/>
    <w:basedOn w:val="TableGrid13"/>
    <w:uiPriority w:val="99"/>
    <w:rsid w:val="000B1AB2"/>
    <w:pPr>
      <w:spacing w:after="60" w:line="240" w:lineRule="auto"/>
      <w:jc w:val="center"/>
    </w:pPr>
    <w:rPr>
      <w:rFonts w:eastAsia="Times New Roman" w:cs="Times New Roman"/>
      <w:sz w:val="18"/>
      <w:szCs w:val="20"/>
    </w:rPr>
    <w:tblPr>
      <w:tblStyleRowBandSize w:val="1"/>
      <w:tblInd w:w="0" w:type="nil"/>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tcPr>
    <w:tblStylePr w:type="firstRow">
      <w:rPr>
        <w:rFonts w:ascii="Arial" w:hAnsi="Arial" w:cs="Times New Roman" w:hint="default"/>
        <w:color w:val="FFFFFF"/>
      </w:rPr>
      <w:tblPr/>
      <w:tcPr>
        <w:shd w:val="clear" w:color="auto" w:fill="006BB7"/>
      </w:tcPr>
    </w:tblStylePr>
    <w:tblStylePr w:type="lastRow">
      <w:rPr>
        <w:rFonts w:ascii="Arial" w:hAnsi="Arial" w:cs="Times New Roman" w:hint="default"/>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icardotable153">
    <w:name w:val="Ricardo table153"/>
    <w:basedOn w:val="TableGrid13"/>
    <w:uiPriority w:val="99"/>
    <w:rsid w:val="000B1AB2"/>
    <w:pPr>
      <w:spacing w:after="60" w:line="240" w:lineRule="auto"/>
      <w:jc w:val="center"/>
    </w:pPr>
    <w:rPr>
      <w:rFonts w:eastAsia="Times New Roman" w:cs="Times New Roman"/>
      <w:sz w:val="18"/>
      <w:szCs w:val="20"/>
    </w:rPr>
    <w:tblPr>
      <w:tblStyleRowBandSize w:val="1"/>
      <w:tblInd w:w="0" w:type="nil"/>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tcPr>
    <w:tblStylePr w:type="firstRow">
      <w:rPr>
        <w:rFonts w:ascii="Arial" w:hAnsi="Arial" w:cs="Times New Roman" w:hint="default"/>
        <w:color w:val="FFFFFF"/>
      </w:rPr>
      <w:tblPr/>
      <w:tcPr>
        <w:shd w:val="clear" w:color="auto" w:fill="006BB7"/>
      </w:tcPr>
    </w:tblStylePr>
    <w:tblStylePr w:type="lastRow">
      <w:rPr>
        <w:rFonts w:ascii="Arial" w:hAnsi="Arial" w:cs="Times New Roman" w:hint="default"/>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HTG18">
    <w:name w:val="HTG18"/>
    <w:basedOn w:val="TableNormal"/>
    <w:next w:val="TableGrid"/>
    <w:uiPriority w:val="39"/>
    <w:rsid w:val="005B610B"/>
    <w:pPr>
      <w:spacing w:before="60"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TG19">
    <w:name w:val="HTG19"/>
    <w:basedOn w:val="TableNormal"/>
    <w:next w:val="TableGrid"/>
    <w:uiPriority w:val="39"/>
    <w:rsid w:val="00623009"/>
    <w:pPr>
      <w:spacing w:before="60"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1">
    <w:name w:val="Medium Shading 2 Accent 1"/>
    <w:basedOn w:val="TableNormal"/>
    <w:uiPriority w:val="64"/>
    <w:semiHidden/>
    <w:unhideWhenUsed/>
    <w:rsid w:val="00BD68C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PlainTable3">
    <w:name w:val="Plain Table 3"/>
    <w:basedOn w:val="TableNormal"/>
    <w:uiPriority w:val="43"/>
    <w:rsid w:val="001F27B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1F27B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Registtr">
    <w:name w:val="Registtr"/>
    <w:basedOn w:val="Pagedecouverture"/>
    <w:rsid w:val="00E86A6D"/>
  </w:style>
  <w:style w:type="paragraph" w:customStyle="1" w:styleId="LegalNumPar">
    <w:name w:val="LegalNumPar"/>
    <w:basedOn w:val="Normal"/>
    <w:rsid w:val="00AD5F1B"/>
    <w:pPr>
      <w:numPr>
        <w:numId w:val="104"/>
      </w:numPr>
      <w:spacing w:line="360" w:lineRule="auto"/>
    </w:pPr>
  </w:style>
  <w:style w:type="paragraph" w:customStyle="1" w:styleId="LegalNumPar2">
    <w:name w:val="LegalNumPar2"/>
    <w:basedOn w:val="Normal"/>
    <w:rsid w:val="00AD5F1B"/>
    <w:pPr>
      <w:numPr>
        <w:ilvl w:val="1"/>
        <w:numId w:val="104"/>
      </w:numPr>
      <w:spacing w:line="360" w:lineRule="auto"/>
    </w:pPr>
  </w:style>
  <w:style w:type="paragraph" w:customStyle="1" w:styleId="LegalNumPar3">
    <w:name w:val="LegalNumPar3"/>
    <w:basedOn w:val="Normal"/>
    <w:rsid w:val="00AD5F1B"/>
    <w:pPr>
      <w:numPr>
        <w:ilvl w:val="2"/>
        <w:numId w:val="104"/>
      </w:numPr>
      <w:spacing w:line="36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14792">
      <w:bodyDiv w:val="1"/>
      <w:marLeft w:val="0"/>
      <w:marRight w:val="0"/>
      <w:marTop w:val="0"/>
      <w:marBottom w:val="0"/>
      <w:divBdr>
        <w:top w:val="none" w:sz="0" w:space="0" w:color="auto"/>
        <w:left w:val="none" w:sz="0" w:space="0" w:color="auto"/>
        <w:bottom w:val="none" w:sz="0" w:space="0" w:color="auto"/>
        <w:right w:val="none" w:sz="0" w:space="0" w:color="auto"/>
      </w:divBdr>
    </w:div>
    <w:div w:id="56365019">
      <w:bodyDiv w:val="1"/>
      <w:marLeft w:val="0"/>
      <w:marRight w:val="0"/>
      <w:marTop w:val="0"/>
      <w:marBottom w:val="0"/>
      <w:divBdr>
        <w:top w:val="none" w:sz="0" w:space="0" w:color="auto"/>
        <w:left w:val="none" w:sz="0" w:space="0" w:color="auto"/>
        <w:bottom w:val="none" w:sz="0" w:space="0" w:color="auto"/>
        <w:right w:val="none" w:sz="0" w:space="0" w:color="auto"/>
      </w:divBdr>
    </w:div>
    <w:div w:id="62610271">
      <w:bodyDiv w:val="1"/>
      <w:marLeft w:val="0"/>
      <w:marRight w:val="0"/>
      <w:marTop w:val="0"/>
      <w:marBottom w:val="0"/>
      <w:divBdr>
        <w:top w:val="none" w:sz="0" w:space="0" w:color="auto"/>
        <w:left w:val="none" w:sz="0" w:space="0" w:color="auto"/>
        <w:bottom w:val="none" w:sz="0" w:space="0" w:color="auto"/>
        <w:right w:val="none" w:sz="0" w:space="0" w:color="auto"/>
      </w:divBdr>
    </w:div>
    <w:div w:id="116223495">
      <w:bodyDiv w:val="1"/>
      <w:marLeft w:val="0"/>
      <w:marRight w:val="0"/>
      <w:marTop w:val="0"/>
      <w:marBottom w:val="0"/>
      <w:divBdr>
        <w:top w:val="none" w:sz="0" w:space="0" w:color="auto"/>
        <w:left w:val="none" w:sz="0" w:space="0" w:color="auto"/>
        <w:bottom w:val="none" w:sz="0" w:space="0" w:color="auto"/>
        <w:right w:val="none" w:sz="0" w:space="0" w:color="auto"/>
      </w:divBdr>
    </w:div>
    <w:div w:id="147019542">
      <w:bodyDiv w:val="1"/>
      <w:marLeft w:val="0"/>
      <w:marRight w:val="0"/>
      <w:marTop w:val="0"/>
      <w:marBottom w:val="0"/>
      <w:divBdr>
        <w:top w:val="none" w:sz="0" w:space="0" w:color="auto"/>
        <w:left w:val="none" w:sz="0" w:space="0" w:color="auto"/>
        <w:bottom w:val="none" w:sz="0" w:space="0" w:color="auto"/>
        <w:right w:val="none" w:sz="0" w:space="0" w:color="auto"/>
      </w:divBdr>
    </w:div>
    <w:div w:id="159128238">
      <w:bodyDiv w:val="1"/>
      <w:marLeft w:val="0"/>
      <w:marRight w:val="0"/>
      <w:marTop w:val="0"/>
      <w:marBottom w:val="0"/>
      <w:divBdr>
        <w:top w:val="none" w:sz="0" w:space="0" w:color="auto"/>
        <w:left w:val="none" w:sz="0" w:space="0" w:color="auto"/>
        <w:bottom w:val="none" w:sz="0" w:space="0" w:color="auto"/>
        <w:right w:val="none" w:sz="0" w:space="0" w:color="auto"/>
      </w:divBdr>
    </w:div>
    <w:div w:id="167017907">
      <w:bodyDiv w:val="1"/>
      <w:marLeft w:val="0"/>
      <w:marRight w:val="0"/>
      <w:marTop w:val="0"/>
      <w:marBottom w:val="0"/>
      <w:divBdr>
        <w:top w:val="none" w:sz="0" w:space="0" w:color="auto"/>
        <w:left w:val="none" w:sz="0" w:space="0" w:color="auto"/>
        <w:bottom w:val="none" w:sz="0" w:space="0" w:color="auto"/>
        <w:right w:val="none" w:sz="0" w:space="0" w:color="auto"/>
      </w:divBdr>
    </w:div>
    <w:div w:id="273829658">
      <w:bodyDiv w:val="1"/>
      <w:marLeft w:val="0"/>
      <w:marRight w:val="0"/>
      <w:marTop w:val="0"/>
      <w:marBottom w:val="0"/>
      <w:divBdr>
        <w:top w:val="none" w:sz="0" w:space="0" w:color="auto"/>
        <w:left w:val="none" w:sz="0" w:space="0" w:color="auto"/>
        <w:bottom w:val="none" w:sz="0" w:space="0" w:color="auto"/>
        <w:right w:val="none" w:sz="0" w:space="0" w:color="auto"/>
      </w:divBdr>
    </w:div>
    <w:div w:id="296112690">
      <w:bodyDiv w:val="1"/>
      <w:marLeft w:val="0"/>
      <w:marRight w:val="0"/>
      <w:marTop w:val="0"/>
      <w:marBottom w:val="0"/>
      <w:divBdr>
        <w:top w:val="none" w:sz="0" w:space="0" w:color="auto"/>
        <w:left w:val="none" w:sz="0" w:space="0" w:color="auto"/>
        <w:bottom w:val="none" w:sz="0" w:space="0" w:color="auto"/>
        <w:right w:val="none" w:sz="0" w:space="0" w:color="auto"/>
      </w:divBdr>
    </w:div>
    <w:div w:id="306201292">
      <w:bodyDiv w:val="1"/>
      <w:marLeft w:val="0"/>
      <w:marRight w:val="0"/>
      <w:marTop w:val="0"/>
      <w:marBottom w:val="0"/>
      <w:divBdr>
        <w:top w:val="none" w:sz="0" w:space="0" w:color="auto"/>
        <w:left w:val="none" w:sz="0" w:space="0" w:color="auto"/>
        <w:bottom w:val="none" w:sz="0" w:space="0" w:color="auto"/>
        <w:right w:val="none" w:sz="0" w:space="0" w:color="auto"/>
      </w:divBdr>
    </w:div>
    <w:div w:id="313992271">
      <w:bodyDiv w:val="1"/>
      <w:marLeft w:val="0"/>
      <w:marRight w:val="0"/>
      <w:marTop w:val="0"/>
      <w:marBottom w:val="0"/>
      <w:divBdr>
        <w:top w:val="none" w:sz="0" w:space="0" w:color="auto"/>
        <w:left w:val="none" w:sz="0" w:space="0" w:color="auto"/>
        <w:bottom w:val="none" w:sz="0" w:space="0" w:color="auto"/>
        <w:right w:val="none" w:sz="0" w:space="0" w:color="auto"/>
      </w:divBdr>
    </w:div>
    <w:div w:id="317927043">
      <w:bodyDiv w:val="1"/>
      <w:marLeft w:val="0"/>
      <w:marRight w:val="0"/>
      <w:marTop w:val="0"/>
      <w:marBottom w:val="0"/>
      <w:divBdr>
        <w:top w:val="none" w:sz="0" w:space="0" w:color="auto"/>
        <w:left w:val="none" w:sz="0" w:space="0" w:color="auto"/>
        <w:bottom w:val="none" w:sz="0" w:space="0" w:color="auto"/>
        <w:right w:val="none" w:sz="0" w:space="0" w:color="auto"/>
      </w:divBdr>
    </w:div>
    <w:div w:id="380860042">
      <w:bodyDiv w:val="1"/>
      <w:marLeft w:val="0"/>
      <w:marRight w:val="0"/>
      <w:marTop w:val="0"/>
      <w:marBottom w:val="0"/>
      <w:divBdr>
        <w:top w:val="none" w:sz="0" w:space="0" w:color="auto"/>
        <w:left w:val="none" w:sz="0" w:space="0" w:color="auto"/>
        <w:bottom w:val="none" w:sz="0" w:space="0" w:color="auto"/>
        <w:right w:val="none" w:sz="0" w:space="0" w:color="auto"/>
      </w:divBdr>
    </w:div>
    <w:div w:id="390275721">
      <w:bodyDiv w:val="1"/>
      <w:marLeft w:val="0"/>
      <w:marRight w:val="0"/>
      <w:marTop w:val="0"/>
      <w:marBottom w:val="0"/>
      <w:divBdr>
        <w:top w:val="none" w:sz="0" w:space="0" w:color="auto"/>
        <w:left w:val="none" w:sz="0" w:space="0" w:color="auto"/>
        <w:bottom w:val="none" w:sz="0" w:space="0" w:color="auto"/>
        <w:right w:val="none" w:sz="0" w:space="0" w:color="auto"/>
      </w:divBdr>
    </w:div>
    <w:div w:id="410153929">
      <w:bodyDiv w:val="1"/>
      <w:marLeft w:val="0"/>
      <w:marRight w:val="0"/>
      <w:marTop w:val="0"/>
      <w:marBottom w:val="0"/>
      <w:divBdr>
        <w:top w:val="none" w:sz="0" w:space="0" w:color="auto"/>
        <w:left w:val="none" w:sz="0" w:space="0" w:color="auto"/>
        <w:bottom w:val="none" w:sz="0" w:space="0" w:color="auto"/>
        <w:right w:val="none" w:sz="0" w:space="0" w:color="auto"/>
      </w:divBdr>
    </w:div>
    <w:div w:id="495846952">
      <w:bodyDiv w:val="1"/>
      <w:marLeft w:val="0"/>
      <w:marRight w:val="0"/>
      <w:marTop w:val="0"/>
      <w:marBottom w:val="0"/>
      <w:divBdr>
        <w:top w:val="none" w:sz="0" w:space="0" w:color="auto"/>
        <w:left w:val="none" w:sz="0" w:space="0" w:color="auto"/>
        <w:bottom w:val="none" w:sz="0" w:space="0" w:color="auto"/>
        <w:right w:val="none" w:sz="0" w:space="0" w:color="auto"/>
      </w:divBdr>
    </w:div>
    <w:div w:id="560093549">
      <w:bodyDiv w:val="1"/>
      <w:marLeft w:val="0"/>
      <w:marRight w:val="0"/>
      <w:marTop w:val="0"/>
      <w:marBottom w:val="0"/>
      <w:divBdr>
        <w:top w:val="none" w:sz="0" w:space="0" w:color="auto"/>
        <w:left w:val="none" w:sz="0" w:space="0" w:color="auto"/>
        <w:bottom w:val="none" w:sz="0" w:space="0" w:color="auto"/>
        <w:right w:val="none" w:sz="0" w:space="0" w:color="auto"/>
      </w:divBdr>
    </w:div>
    <w:div w:id="597714570">
      <w:bodyDiv w:val="1"/>
      <w:marLeft w:val="0"/>
      <w:marRight w:val="0"/>
      <w:marTop w:val="0"/>
      <w:marBottom w:val="0"/>
      <w:divBdr>
        <w:top w:val="none" w:sz="0" w:space="0" w:color="auto"/>
        <w:left w:val="none" w:sz="0" w:space="0" w:color="auto"/>
        <w:bottom w:val="none" w:sz="0" w:space="0" w:color="auto"/>
        <w:right w:val="none" w:sz="0" w:space="0" w:color="auto"/>
      </w:divBdr>
    </w:div>
    <w:div w:id="612786477">
      <w:bodyDiv w:val="1"/>
      <w:marLeft w:val="0"/>
      <w:marRight w:val="0"/>
      <w:marTop w:val="0"/>
      <w:marBottom w:val="0"/>
      <w:divBdr>
        <w:top w:val="none" w:sz="0" w:space="0" w:color="auto"/>
        <w:left w:val="none" w:sz="0" w:space="0" w:color="auto"/>
        <w:bottom w:val="none" w:sz="0" w:space="0" w:color="auto"/>
        <w:right w:val="none" w:sz="0" w:space="0" w:color="auto"/>
      </w:divBdr>
    </w:div>
    <w:div w:id="660701147">
      <w:bodyDiv w:val="1"/>
      <w:marLeft w:val="0"/>
      <w:marRight w:val="0"/>
      <w:marTop w:val="0"/>
      <w:marBottom w:val="0"/>
      <w:divBdr>
        <w:top w:val="none" w:sz="0" w:space="0" w:color="auto"/>
        <w:left w:val="none" w:sz="0" w:space="0" w:color="auto"/>
        <w:bottom w:val="none" w:sz="0" w:space="0" w:color="auto"/>
        <w:right w:val="none" w:sz="0" w:space="0" w:color="auto"/>
      </w:divBdr>
    </w:div>
    <w:div w:id="672996263">
      <w:bodyDiv w:val="1"/>
      <w:marLeft w:val="0"/>
      <w:marRight w:val="0"/>
      <w:marTop w:val="0"/>
      <w:marBottom w:val="0"/>
      <w:divBdr>
        <w:top w:val="none" w:sz="0" w:space="0" w:color="auto"/>
        <w:left w:val="none" w:sz="0" w:space="0" w:color="auto"/>
        <w:bottom w:val="none" w:sz="0" w:space="0" w:color="auto"/>
        <w:right w:val="none" w:sz="0" w:space="0" w:color="auto"/>
      </w:divBdr>
    </w:div>
    <w:div w:id="683673943">
      <w:bodyDiv w:val="1"/>
      <w:marLeft w:val="0"/>
      <w:marRight w:val="0"/>
      <w:marTop w:val="0"/>
      <w:marBottom w:val="0"/>
      <w:divBdr>
        <w:top w:val="none" w:sz="0" w:space="0" w:color="auto"/>
        <w:left w:val="none" w:sz="0" w:space="0" w:color="auto"/>
        <w:bottom w:val="none" w:sz="0" w:space="0" w:color="auto"/>
        <w:right w:val="none" w:sz="0" w:space="0" w:color="auto"/>
      </w:divBdr>
    </w:div>
    <w:div w:id="706640058">
      <w:bodyDiv w:val="1"/>
      <w:marLeft w:val="0"/>
      <w:marRight w:val="0"/>
      <w:marTop w:val="0"/>
      <w:marBottom w:val="0"/>
      <w:divBdr>
        <w:top w:val="none" w:sz="0" w:space="0" w:color="auto"/>
        <w:left w:val="none" w:sz="0" w:space="0" w:color="auto"/>
        <w:bottom w:val="none" w:sz="0" w:space="0" w:color="auto"/>
        <w:right w:val="none" w:sz="0" w:space="0" w:color="auto"/>
      </w:divBdr>
    </w:div>
    <w:div w:id="727263356">
      <w:bodyDiv w:val="1"/>
      <w:marLeft w:val="0"/>
      <w:marRight w:val="0"/>
      <w:marTop w:val="0"/>
      <w:marBottom w:val="0"/>
      <w:divBdr>
        <w:top w:val="none" w:sz="0" w:space="0" w:color="auto"/>
        <w:left w:val="none" w:sz="0" w:space="0" w:color="auto"/>
        <w:bottom w:val="none" w:sz="0" w:space="0" w:color="auto"/>
        <w:right w:val="none" w:sz="0" w:space="0" w:color="auto"/>
      </w:divBdr>
    </w:div>
    <w:div w:id="739401775">
      <w:bodyDiv w:val="1"/>
      <w:marLeft w:val="0"/>
      <w:marRight w:val="0"/>
      <w:marTop w:val="0"/>
      <w:marBottom w:val="0"/>
      <w:divBdr>
        <w:top w:val="none" w:sz="0" w:space="0" w:color="auto"/>
        <w:left w:val="none" w:sz="0" w:space="0" w:color="auto"/>
        <w:bottom w:val="none" w:sz="0" w:space="0" w:color="auto"/>
        <w:right w:val="none" w:sz="0" w:space="0" w:color="auto"/>
      </w:divBdr>
    </w:div>
    <w:div w:id="794713054">
      <w:bodyDiv w:val="1"/>
      <w:marLeft w:val="0"/>
      <w:marRight w:val="0"/>
      <w:marTop w:val="0"/>
      <w:marBottom w:val="0"/>
      <w:divBdr>
        <w:top w:val="none" w:sz="0" w:space="0" w:color="auto"/>
        <w:left w:val="none" w:sz="0" w:space="0" w:color="auto"/>
        <w:bottom w:val="none" w:sz="0" w:space="0" w:color="auto"/>
        <w:right w:val="none" w:sz="0" w:space="0" w:color="auto"/>
      </w:divBdr>
    </w:div>
    <w:div w:id="797453054">
      <w:bodyDiv w:val="1"/>
      <w:marLeft w:val="0"/>
      <w:marRight w:val="0"/>
      <w:marTop w:val="0"/>
      <w:marBottom w:val="0"/>
      <w:divBdr>
        <w:top w:val="none" w:sz="0" w:space="0" w:color="auto"/>
        <w:left w:val="none" w:sz="0" w:space="0" w:color="auto"/>
        <w:bottom w:val="none" w:sz="0" w:space="0" w:color="auto"/>
        <w:right w:val="none" w:sz="0" w:space="0" w:color="auto"/>
      </w:divBdr>
    </w:div>
    <w:div w:id="806355510">
      <w:bodyDiv w:val="1"/>
      <w:marLeft w:val="0"/>
      <w:marRight w:val="0"/>
      <w:marTop w:val="0"/>
      <w:marBottom w:val="0"/>
      <w:divBdr>
        <w:top w:val="none" w:sz="0" w:space="0" w:color="auto"/>
        <w:left w:val="none" w:sz="0" w:space="0" w:color="auto"/>
        <w:bottom w:val="none" w:sz="0" w:space="0" w:color="auto"/>
        <w:right w:val="none" w:sz="0" w:space="0" w:color="auto"/>
      </w:divBdr>
    </w:div>
    <w:div w:id="822740178">
      <w:bodyDiv w:val="1"/>
      <w:marLeft w:val="0"/>
      <w:marRight w:val="0"/>
      <w:marTop w:val="0"/>
      <w:marBottom w:val="0"/>
      <w:divBdr>
        <w:top w:val="none" w:sz="0" w:space="0" w:color="auto"/>
        <w:left w:val="none" w:sz="0" w:space="0" w:color="auto"/>
        <w:bottom w:val="none" w:sz="0" w:space="0" w:color="auto"/>
        <w:right w:val="none" w:sz="0" w:space="0" w:color="auto"/>
      </w:divBdr>
    </w:div>
    <w:div w:id="826937875">
      <w:bodyDiv w:val="1"/>
      <w:marLeft w:val="0"/>
      <w:marRight w:val="0"/>
      <w:marTop w:val="0"/>
      <w:marBottom w:val="0"/>
      <w:divBdr>
        <w:top w:val="none" w:sz="0" w:space="0" w:color="auto"/>
        <w:left w:val="none" w:sz="0" w:space="0" w:color="auto"/>
        <w:bottom w:val="none" w:sz="0" w:space="0" w:color="auto"/>
        <w:right w:val="none" w:sz="0" w:space="0" w:color="auto"/>
      </w:divBdr>
    </w:div>
    <w:div w:id="848442800">
      <w:bodyDiv w:val="1"/>
      <w:marLeft w:val="0"/>
      <w:marRight w:val="0"/>
      <w:marTop w:val="0"/>
      <w:marBottom w:val="0"/>
      <w:divBdr>
        <w:top w:val="none" w:sz="0" w:space="0" w:color="auto"/>
        <w:left w:val="none" w:sz="0" w:space="0" w:color="auto"/>
        <w:bottom w:val="none" w:sz="0" w:space="0" w:color="auto"/>
        <w:right w:val="none" w:sz="0" w:space="0" w:color="auto"/>
      </w:divBdr>
    </w:div>
    <w:div w:id="853038634">
      <w:bodyDiv w:val="1"/>
      <w:marLeft w:val="0"/>
      <w:marRight w:val="0"/>
      <w:marTop w:val="0"/>
      <w:marBottom w:val="0"/>
      <w:divBdr>
        <w:top w:val="none" w:sz="0" w:space="0" w:color="auto"/>
        <w:left w:val="none" w:sz="0" w:space="0" w:color="auto"/>
        <w:bottom w:val="none" w:sz="0" w:space="0" w:color="auto"/>
        <w:right w:val="none" w:sz="0" w:space="0" w:color="auto"/>
      </w:divBdr>
    </w:div>
    <w:div w:id="853693335">
      <w:bodyDiv w:val="1"/>
      <w:marLeft w:val="0"/>
      <w:marRight w:val="0"/>
      <w:marTop w:val="0"/>
      <w:marBottom w:val="0"/>
      <w:divBdr>
        <w:top w:val="none" w:sz="0" w:space="0" w:color="auto"/>
        <w:left w:val="none" w:sz="0" w:space="0" w:color="auto"/>
        <w:bottom w:val="none" w:sz="0" w:space="0" w:color="auto"/>
        <w:right w:val="none" w:sz="0" w:space="0" w:color="auto"/>
      </w:divBdr>
    </w:div>
    <w:div w:id="909775338">
      <w:bodyDiv w:val="1"/>
      <w:marLeft w:val="0"/>
      <w:marRight w:val="0"/>
      <w:marTop w:val="0"/>
      <w:marBottom w:val="0"/>
      <w:divBdr>
        <w:top w:val="none" w:sz="0" w:space="0" w:color="auto"/>
        <w:left w:val="none" w:sz="0" w:space="0" w:color="auto"/>
        <w:bottom w:val="none" w:sz="0" w:space="0" w:color="auto"/>
        <w:right w:val="none" w:sz="0" w:space="0" w:color="auto"/>
      </w:divBdr>
    </w:div>
    <w:div w:id="913465540">
      <w:bodyDiv w:val="1"/>
      <w:marLeft w:val="0"/>
      <w:marRight w:val="0"/>
      <w:marTop w:val="0"/>
      <w:marBottom w:val="0"/>
      <w:divBdr>
        <w:top w:val="none" w:sz="0" w:space="0" w:color="auto"/>
        <w:left w:val="none" w:sz="0" w:space="0" w:color="auto"/>
        <w:bottom w:val="none" w:sz="0" w:space="0" w:color="auto"/>
        <w:right w:val="none" w:sz="0" w:space="0" w:color="auto"/>
      </w:divBdr>
    </w:div>
    <w:div w:id="970935483">
      <w:bodyDiv w:val="1"/>
      <w:marLeft w:val="0"/>
      <w:marRight w:val="0"/>
      <w:marTop w:val="0"/>
      <w:marBottom w:val="0"/>
      <w:divBdr>
        <w:top w:val="none" w:sz="0" w:space="0" w:color="auto"/>
        <w:left w:val="none" w:sz="0" w:space="0" w:color="auto"/>
        <w:bottom w:val="none" w:sz="0" w:space="0" w:color="auto"/>
        <w:right w:val="none" w:sz="0" w:space="0" w:color="auto"/>
      </w:divBdr>
    </w:div>
    <w:div w:id="976647060">
      <w:bodyDiv w:val="1"/>
      <w:marLeft w:val="0"/>
      <w:marRight w:val="0"/>
      <w:marTop w:val="0"/>
      <w:marBottom w:val="0"/>
      <w:divBdr>
        <w:top w:val="none" w:sz="0" w:space="0" w:color="auto"/>
        <w:left w:val="none" w:sz="0" w:space="0" w:color="auto"/>
        <w:bottom w:val="none" w:sz="0" w:space="0" w:color="auto"/>
        <w:right w:val="none" w:sz="0" w:space="0" w:color="auto"/>
      </w:divBdr>
    </w:div>
    <w:div w:id="996230050">
      <w:bodyDiv w:val="1"/>
      <w:marLeft w:val="0"/>
      <w:marRight w:val="0"/>
      <w:marTop w:val="0"/>
      <w:marBottom w:val="0"/>
      <w:divBdr>
        <w:top w:val="none" w:sz="0" w:space="0" w:color="auto"/>
        <w:left w:val="none" w:sz="0" w:space="0" w:color="auto"/>
        <w:bottom w:val="none" w:sz="0" w:space="0" w:color="auto"/>
        <w:right w:val="none" w:sz="0" w:space="0" w:color="auto"/>
      </w:divBdr>
    </w:div>
    <w:div w:id="1020736831">
      <w:bodyDiv w:val="1"/>
      <w:marLeft w:val="0"/>
      <w:marRight w:val="0"/>
      <w:marTop w:val="0"/>
      <w:marBottom w:val="0"/>
      <w:divBdr>
        <w:top w:val="none" w:sz="0" w:space="0" w:color="auto"/>
        <w:left w:val="none" w:sz="0" w:space="0" w:color="auto"/>
        <w:bottom w:val="none" w:sz="0" w:space="0" w:color="auto"/>
        <w:right w:val="none" w:sz="0" w:space="0" w:color="auto"/>
      </w:divBdr>
    </w:div>
    <w:div w:id="1042369212">
      <w:bodyDiv w:val="1"/>
      <w:marLeft w:val="0"/>
      <w:marRight w:val="0"/>
      <w:marTop w:val="0"/>
      <w:marBottom w:val="0"/>
      <w:divBdr>
        <w:top w:val="none" w:sz="0" w:space="0" w:color="auto"/>
        <w:left w:val="none" w:sz="0" w:space="0" w:color="auto"/>
        <w:bottom w:val="none" w:sz="0" w:space="0" w:color="auto"/>
        <w:right w:val="none" w:sz="0" w:space="0" w:color="auto"/>
      </w:divBdr>
    </w:div>
    <w:div w:id="1045371509">
      <w:bodyDiv w:val="1"/>
      <w:marLeft w:val="0"/>
      <w:marRight w:val="0"/>
      <w:marTop w:val="0"/>
      <w:marBottom w:val="0"/>
      <w:divBdr>
        <w:top w:val="none" w:sz="0" w:space="0" w:color="auto"/>
        <w:left w:val="none" w:sz="0" w:space="0" w:color="auto"/>
        <w:bottom w:val="none" w:sz="0" w:space="0" w:color="auto"/>
        <w:right w:val="none" w:sz="0" w:space="0" w:color="auto"/>
      </w:divBdr>
    </w:div>
    <w:div w:id="1073506024">
      <w:bodyDiv w:val="1"/>
      <w:marLeft w:val="0"/>
      <w:marRight w:val="0"/>
      <w:marTop w:val="0"/>
      <w:marBottom w:val="0"/>
      <w:divBdr>
        <w:top w:val="none" w:sz="0" w:space="0" w:color="auto"/>
        <w:left w:val="none" w:sz="0" w:space="0" w:color="auto"/>
        <w:bottom w:val="none" w:sz="0" w:space="0" w:color="auto"/>
        <w:right w:val="none" w:sz="0" w:space="0" w:color="auto"/>
      </w:divBdr>
    </w:div>
    <w:div w:id="1125781121">
      <w:bodyDiv w:val="1"/>
      <w:marLeft w:val="0"/>
      <w:marRight w:val="0"/>
      <w:marTop w:val="0"/>
      <w:marBottom w:val="0"/>
      <w:divBdr>
        <w:top w:val="none" w:sz="0" w:space="0" w:color="auto"/>
        <w:left w:val="none" w:sz="0" w:space="0" w:color="auto"/>
        <w:bottom w:val="none" w:sz="0" w:space="0" w:color="auto"/>
        <w:right w:val="none" w:sz="0" w:space="0" w:color="auto"/>
      </w:divBdr>
    </w:div>
    <w:div w:id="1138691405">
      <w:bodyDiv w:val="1"/>
      <w:marLeft w:val="0"/>
      <w:marRight w:val="0"/>
      <w:marTop w:val="0"/>
      <w:marBottom w:val="0"/>
      <w:divBdr>
        <w:top w:val="none" w:sz="0" w:space="0" w:color="auto"/>
        <w:left w:val="none" w:sz="0" w:space="0" w:color="auto"/>
        <w:bottom w:val="none" w:sz="0" w:space="0" w:color="auto"/>
        <w:right w:val="none" w:sz="0" w:space="0" w:color="auto"/>
      </w:divBdr>
    </w:div>
    <w:div w:id="1143498170">
      <w:bodyDiv w:val="1"/>
      <w:marLeft w:val="0"/>
      <w:marRight w:val="0"/>
      <w:marTop w:val="0"/>
      <w:marBottom w:val="0"/>
      <w:divBdr>
        <w:top w:val="none" w:sz="0" w:space="0" w:color="auto"/>
        <w:left w:val="none" w:sz="0" w:space="0" w:color="auto"/>
        <w:bottom w:val="none" w:sz="0" w:space="0" w:color="auto"/>
        <w:right w:val="none" w:sz="0" w:space="0" w:color="auto"/>
      </w:divBdr>
    </w:div>
    <w:div w:id="1148594626">
      <w:bodyDiv w:val="1"/>
      <w:marLeft w:val="0"/>
      <w:marRight w:val="0"/>
      <w:marTop w:val="0"/>
      <w:marBottom w:val="0"/>
      <w:divBdr>
        <w:top w:val="none" w:sz="0" w:space="0" w:color="auto"/>
        <w:left w:val="none" w:sz="0" w:space="0" w:color="auto"/>
        <w:bottom w:val="none" w:sz="0" w:space="0" w:color="auto"/>
        <w:right w:val="none" w:sz="0" w:space="0" w:color="auto"/>
      </w:divBdr>
    </w:div>
    <w:div w:id="1204513651">
      <w:bodyDiv w:val="1"/>
      <w:marLeft w:val="0"/>
      <w:marRight w:val="0"/>
      <w:marTop w:val="0"/>
      <w:marBottom w:val="0"/>
      <w:divBdr>
        <w:top w:val="none" w:sz="0" w:space="0" w:color="auto"/>
        <w:left w:val="none" w:sz="0" w:space="0" w:color="auto"/>
        <w:bottom w:val="none" w:sz="0" w:space="0" w:color="auto"/>
        <w:right w:val="none" w:sz="0" w:space="0" w:color="auto"/>
      </w:divBdr>
    </w:div>
    <w:div w:id="1219243023">
      <w:bodyDiv w:val="1"/>
      <w:marLeft w:val="0"/>
      <w:marRight w:val="0"/>
      <w:marTop w:val="0"/>
      <w:marBottom w:val="0"/>
      <w:divBdr>
        <w:top w:val="none" w:sz="0" w:space="0" w:color="auto"/>
        <w:left w:val="none" w:sz="0" w:space="0" w:color="auto"/>
        <w:bottom w:val="none" w:sz="0" w:space="0" w:color="auto"/>
        <w:right w:val="none" w:sz="0" w:space="0" w:color="auto"/>
      </w:divBdr>
    </w:div>
    <w:div w:id="1297877941">
      <w:bodyDiv w:val="1"/>
      <w:marLeft w:val="0"/>
      <w:marRight w:val="0"/>
      <w:marTop w:val="0"/>
      <w:marBottom w:val="0"/>
      <w:divBdr>
        <w:top w:val="none" w:sz="0" w:space="0" w:color="auto"/>
        <w:left w:val="none" w:sz="0" w:space="0" w:color="auto"/>
        <w:bottom w:val="none" w:sz="0" w:space="0" w:color="auto"/>
        <w:right w:val="none" w:sz="0" w:space="0" w:color="auto"/>
      </w:divBdr>
    </w:div>
    <w:div w:id="1304966653">
      <w:bodyDiv w:val="1"/>
      <w:marLeft w:val="0"/>
      <w:marRight w:val="0"/>
      <w:marTop w:val="0"/>
      <w:marBottom w:val="0"/>
      <w:divBdr>
        <w:top w:val="none" w:sz="0" w:space="0" w:color="auto"/>
        <w:left w:val="none" w:sz="0" w:space="0" w:color="auto"/>
        <w:bottom w:val="none" w:sz="0" w:space="0" w:color="auto"/>
        <w:right w:val="none" w:sz="0" w:space="0" w:color="auto"/>
      </w:divBdr>
    </w:div>
    <w:div w:id="1311979444">
      <w:bodyDiv w:val="1"/>
      <w:marLeft w:val="0"/>
      <w:marRight w:val="0"/>
      <w:marTop w:val="0"/>
      <w:marBottom w:val="0"/>
      <w:divBdr>
        <w:top w:val="none" w:sz="0" w:space="0" w:color="auto"/>
        <w:left w:val="none" w:sz="0" w:space="0" w:color="auto"/>
        <w:bottom w:val="none" w:sz="0" w:space="0" w:color="auto"/>
        <w:right w:val="none" w:sz="0" w:space="0" w:color="auto"/>
      </w:divBdr>
    </w:div>
    <w:div w:id="1347714156">
      <w:bodyDiv w:val="1"/>
      <w:marLeft w:val="0"/>
      <w:marRight w:val="0"/>
      <w:marTop w:val="0"/>
      <w:marBottom w:val="0"/>
      <w:divBdr>
        <w:top w:val="none" w:sz="0" w:space="0" w:color="auto"/>
        <w:left w:val="none" w:sz="0" w:space="0" w:color="auto"/>
        <w:bottom w:val="none" w:sz="0" w:space="0" w:color="auto"/>
        <w:right w:val="none" w:sz="0" w:space="0" w:color="auto"/>
      </w:divBdr>
    </w:div>
    <w:div w:id="1359890138">
      <w:bodyDiv w:val="1"/>
      <w:marLeft w:val="0"/>
      <w:marRight w:val="0"/>
      <w:marTop w:val="0"/>
      <w:marBottom w:val="0"/>
      <w:divBdr>
        <w:top w:val="none" w:sz="0" w:space="0" w:color="auto"/>
        <w:left w:val="none" w:sz="0" w:space="0" w:color="auto"/>
        <w:bottom w:val="none" w:sz="0" w:space="0" w:color="auto"/>
        <w:right w:val="none" w:sz="0" w:space="0" w:color="auto"/>
      </w:divBdr>
    </w:div>
    <w:div w:id="1379931397">
      <w:bodyDiv w:val="1"/>
      <w:marLeft w:val="0"/>
      <w:marRight w:val="0"/>
      <w:marTop w:val="0"/>
      <w:marBottom w:val="0"/>
      <w:divBdr>
        <w:top w:val="none" w:sz="0" w:space="0" w:color="auto"/>
        <w:left w:val="none" w:sz="0" w:space="0" w:color="auto"/>
        <w:bottom w:val="none" w:sz="0" w:space="0" w:color="auto"/>
        <w:right w:val="none" w:sz="0" w:space="0" w:color="auto"/>
      </w:divBdr>
    </w:div>
    <w:div w:id="1390769476">
      <w:bodyDiv w:val="1"/>
      <w:marLeft w:val="0"/>
      <w:marRight w:val="0"/>
      <w:marTop w:val="0"/>
      <w:marBottom w:val="0"/>
      <w:divBdr>
        <w:top w:val="none" w:sz="0" w:space="0" w:color="auto"/>
        <w:left w:val="none" w:sz="0" w:space="0" w:color="auto"/>
        <w:bottom w:val="none" w:sz="0" w:space="0" w:color="auto"/>
        <w:right w:val="none" w:sz="0" w:space="0" w:color="auto"/>
      </w:divBdr>
    </w:div>
    <w:div w:id="1401557435">
      <w:bodyDiv w:val="1"/>
      <w:marLeft w:val="0"/>
      <w:marRight w:val="0"/>
      <w:marTop w:val="0"/>
      <w:marBottom w:val="0"/>
      <w:divBdr>
        <w:top w:val="none" w:sz="0" w:space="0" w:color="auto"/>
        <w:left w:val="none" w:sz="0" w:space="0" w:color="auto"/>
        <w:bottom w:val="none" w:sz="0" w:space="0" w:color="auto"/>
        <w:right w:val="none" w:sz="0" w:space="0" w:color="auto"/>
      </w:divBdr>
    </w:div>
    <w:div w:id="1406222678">
      <w:bodyDiv w:val="1"/>
      <w:marLeft w:val="0"/>
      <w:marRight w:val="0"/>
      <w:marTop w:val="0"/>
      <w:marBottom w:val="0"/>
      <w:divBdr>
        <w:top w:val="none" w:sz="0" w:space="0" w:color="auto"/>
        <w:left w:val="none" w:sz="0" w:space="0" w:color="auto"/>
        <w:bottom w:val="none" w:sz="0" w:space="0" w:color="auto"/>
        <w:right w:val="none" w:sz="0" w:space="0" w:color="auto"/>
      </w:divBdr>
    </w:div>
    <w:div w:id="1426077930">
      <w:bodyDiv w:val="1"/>
      <w:marLeft w:val="0"/>
      <w:marRight w:val="0"/>
      <w:marTop w:val="0"/>
      <w:marBottom w:val="0"/>
      <w:divBdr>
        <w:top w:val="none" w:sz="0" w:space="0" w:color="auto"/>
        <w:left w:val="none" w:sz="0" w:space="0" w:color="auto"/>
        <w:bottom w:val="none" w:sz="0" w:space="0" w:color="auto"/>
        <w:right w:val="none" w:sz="0" w:space="0" w:color="auto"/>
      </w:divBdr>
    </w:div>
    <w:div w:id="1443189538">
      <w:bodyDiv w:val="1"/>
      <w:marLeft w:val="0"/>
      <w:marRight w:val="0"/>
      <w:marTop w:val="0"/>
      <w:marBottom w:val="0"/>
      <w:divBdr>
        <w:top w:val="none" w:sz="0" w:space="0" w:color="auto"/>
        <w:left w:val="none" w:sz="0" w:space="0" w:color="auto"/>
        <w:bottom w:val="none" w:sz="0" w:space="0" w:color="auto"/>
        <w:right w:val="none" w:sz="0" w:space="0" w:color="auto"/>
      </w:divBdr>
      <w:divsChild>
        <w:div w:id="1085810566">
          <w:marLeft w:val="1800"/>
          <w:marRight w:val="0"/>
          <w:marTop w:val="0"/>
          <w:marBottom w:val="120"/>
          <w:divBdr>
            <w:top w:val="none" w:sz="0" w:space="0" w:color="auto"/>
            <w:left w:val="none" w:sz="0" w:space="0" w:color="auto"/>
            <w:bottom w:val="none" w:sz="0" w:space="0" w:color="auto"/>
            <w:right w:val="none" w:sz="0" w:space="0" w:color="auto"/>
          </w:divBdr>
        </w:div>
        <w:div w:id="889808656">
          <w:marLeft w:val="1800"/>
          <w:marRight w:val="0"/>
          <w:marTop w:val="0"/>
          <w:marBottom w:val="120"/>
          <w:divBdr>
            <w:top w:val="none" w:sz="0" w:space="0" w:color="auto"/>
            <w:left w:val="none" w:sz="0" w:space="0" w:color="auto"/>
            <w:bottom w:val="none" w:sz="0" w:space="0" w:color="auto"/>
            <w:right w:val="none" w:sz="0" w:space="0" w:color="auto"/>
          </w:divBdr>
        </w:div>
        <w:div w:id="837842899">
          <w:marLeft w:val="1800"/>
          <w:marRight w:val="0"/>
          <w:marTop w:val="0"/>
          <w:marBottom w:val="120"/>
          <w:divBdr>
            <w:top w:val="none" w:sz="0" w:space="0" w:color="auto"/>
            <w:left w:val="none" w:sz="0" w:space="0" w:color="auto"/>
            <w:bottom w:val="none" w:sz="0" w:space="0" w:color="auto"/>
            <w:right w:val="none" w:sz="0" w:space="0" w:color="auto"/>
          </w:divBdr>
        </w:div>
        <w:div w:id="1487477846">
          <w:marLeft w:val="1800"/>
          <w:marRight w:val="0"/>
          <w:marTop w:val="0"/>
          <w:marBottom w:val="120"/>
          <w:divBdr>
            <w:top w:val="none" w:sz="0" w:space="0" w:color="auto"/>
            <w:left w:val="none" w:sz="0" w:space="0" w:color="auto"/>
            <w:bottom w:val="none" w:sz="0" w:space="0" w:color="auto"/>
            <w:right w:val="none" w:sz="0" w:space="0" w:color="auto"/>
          </w:divBdr>
        </w:div>
        <w:div w:id="1875265126">
          <w:marLeft w:val="1800"/>
          <w:marRight w:val="0"/>
          <w:marTop w:val="0"/>
          <w:marBottom w:val="120"/>
          <w:divBdr>
            <w:top w:val="none" w:sz="0" w:space="0" w:color="auto"/>
            <w:left w:val="none" w:sz="0" w:space="0" w:color="auto"/>
            <w:bottom w:val="none" w:sz="0" w:space="0" w:color="auto"/>
            <w:right w:val="none" w:sz="0" w:space="0" w:color="auto"/>
          </w:divBdr>
        </w:div>
      </w:divsChild>
    </w:div>
    <w:div w:id="1459839372">
      <w:bodyDiv w:val="1"/>
      <w:marLeft w:val="0"/>
      <w:marRight w:val="0"/>
      <w:marTop w:val="0"/>
      <w:marBottom w:val="0"/>
      <w:divBdr>
        <w:top w:val="none" w:sz="0" w:space="0" w:color="auto"/>
        <w:left w:val="none" w:sz="0" w:space="0" w:color="auto"/>
        <w:bottom w:val="none" w:sz="0" w:space="0" w:color="auto"/>
        <w:right w:val="none" w:sz="0" w:space="0" w:color="auto"/>
      </w:divBdr>
    </w:div>
    <w:div w:id="1555237684">
      <w:bodyDiv w:val="1"/>
      <w:marLeft w:val="0"/>
      <w:marRight w:val="0"/>
      <w:marTop w:val="0"/>
      <w:marBottom w:val="0"/>
      <w:divBdr>
        <w:top w:val="none" w:sz="0" w:space="0" w:color="auto"/>
        <w:left w:val="none" w:sz="0" w:space="0" w:color="auto"/>
        <w:bottom w:val="none" w:sz="0" w:space="0" w:color="auto"/>
        <w:right w:val="none" w:sz="0" w:space="0" w:color="auto"/>
      </w:divBdr>
    </w:div>
    <w:div w:id="1567178709">
      <w:bodyDiv w:val="1"/>
      <w:marLeft w:val="0"/>
      <w:marRight w:val="0"/>
      <w:marTop w:val="0"/>
      <w:marBottom w:val="0"/>
      <w:divBdr>
        <w:top w:val="none" w:sz="0" w:space="0" w:color="auto"/>
        <w:left w:val="none" w:sz="0" w:space="0" w:color="auto"/>
        <w:bottom w:val="none" w:sz="0" w:space="0" w:color="auto"/>
        <w:right w:val="none" w:sz="0" w:space="0" w:color="auto"/>
      </w:divBdr>
    </w:div>
    <w:div w:id="1583105902">
      <w:bodyDiv w:val="1"/>
      <w:marLeft w:val="0"/>
      <w:marRight w:val="0"/>
      <w:marTop w:val="0"/>
      <w:marBottom w:val="0"/>
      <w:divBdr>
        <w:top w:val="none" w:sz="0" w:space="0" w:color="auto"/>
        <w:left w:val="none" w:sz="0" w:space="0" w:color="auto"/>
        <w:bottom w:val="none" w:sz="0" w:space="0" w:color="auto"/>
        <w:right w:val="none" w:sz="0" w:space="0" w:color="auto"/>
      </w:divBdr>
    </w:div>
    <w:div w:id="1622347901">
      <w:bodyDiv w:val="1"/>
      <w:marLeft w:val="0"/>
      <w:marRight w:val="0"/>
      <w:marTop w:val="0"/>
      <w:marBottom w:val="0"/>
      <w:divBdr>
        <w:top w:val="none" w:sz="0" w:space="0" w:color="auto"/>
        <w:left w:val="none" w:sz="0" w:space="0" w:color="auto"/>
        <w:bottom w:val="none" w:sz="0" w:space="0" w:color="auto"/>
        <w:right w:val="none" w:sz="0" w:space="0" w:color="auto"/>
      </w:divBdr>
    </w:div>
    <w:div w:id="1645424088">
      <w:bodyDiv w:val="1"/>
      <w:marLeft w:val="0"/>
      <w:marRight w:val="0"/>
      <w:marTop w:val="0"/>
      <w:marBottom w:val="0"/>
      <w:divBdr>
        <w:top w:val="none" w:sz="0" w:space="0" w:color="auto"/>
        <w:left w:val="none" w:sz="0" w:space="0" w:color="auto"/>
        <w:bottom w:val="none" w:sz="0" w:space="0" w:color="auto"/>
        <w:right w:val="none" w:sz="0" w:space="0" w:color="auto"/>
      </w:divBdr>
    </w:div>
    <w:div w:id="1702516524">
      <w:bodyDiv w:val="1"/>
      <w:marLeft w:val="0"/>
      <w:marRight w:val="0"/>
      <w:marTop w:val="0"/>
      <w:marBottom w:val="0"/>
      <w:divBdr>
        <w:top w:val="none" w:sz="0" w:space="0" w:color="auto"/>
        <w:left w:val="none" w:sz="0" w:space="0" w:color="auto"/>
        <w:bottom w:val="none" w:sz="0" w:space="0" w:color="auto"/>
        <w:right w:val="none" w:sz="0" w:space="0" w:color="auto"/>
      </w:divBdr>
    </w:div>
    <w:div w:id="1745948959">
      <w:bodyDiv w:val="1"/>
      <w:marLeft w:val="0"/>
      <w:marRight w:val="0"/>
      <w:marTop w:val="0"/>
      <w:marBottom w:val="0"/>
      <w:divBdr>
        <w:top w:val="none" w:sz="0" w:space="0" w:color="auto"/>
        <w:left w:val="none" w:sz="0" w:space="0" w:color="auto"/>
        <w:bottom w:val="none" w:sz="0" w:space="0" w:color="auto"/>
        <w:right w:val="none" w:sz="0" w:space="0" w:color="auto"/>
      </w:divBdr>
    </w:div>
    <w:div w:id="1802651347">
      <w:bodyDiv w:val="1"/>
      <w:marLeft w:val="0"/>
      <w:marRight w:val="0"/>
      <w:marTop w:val="0"/>
      <w:marBottom w:val="0"/>
      <w:divBdr>
        <w:top w:val="none" w:sz="0" w:space="0" w:color="auto"/>
        <w:left w:val="none" w:sz="0" w:space="0" w:color="auto"/>
        <w:bottom w:val="none" w:sz="0" w:space="0" w:color="auto"/>
        <w:right w:val="none" w:sz="0" w:space="0" w:color="auto"/>
      </w:divBdr>
    </w:div>
    <w:div w:id="1856262090">
      <w:bodyDiv w:val="1"/>
      <w:marLeft w:val="0"/>
      <w:marRight w:val="0"/>
      <w:marTop w:val="0"/>
      <w:marBottom w:val="0"/>
      <w:divBdr>
        <w:top w:val="none" w:sz="0" w:space="0" w:color="auto"/>
        <w:left w:val="none" w:sz="0" w:space="0" w:color="auto"/>
        <w:bottom w:val="none" w:sz="0" w:space="0" w:color="auto"/>
        <w:right w:val="none" w:sz="0" w:space="0" w:color="auto"/>
      </w:divBdr>
    </w:div>
    <w:div w:id="1886024769">
      <w:bodyDiv w:val="1"/>
      <w:marLeft w:val="0"/>
      <w:marRight w:val="0"/>
      <w:marTop w:val="0"/>
      <w:marBottom w:val="0"/>
      <w:divBdr>
        <w:top w:val="none" w:sz="0" w:space="0" w:color="auto"/>
        <w:left w:val="none" w:sz="0" w:space="0" w:color="auto"/>
        <w:bottom w:val="none" w:sz="0" w:space="0" w:color="auto"/>
        <w:right w:val="none" w:sz="0" w:space="0" w:color="auto"/>
      </w:divBdr>
    </w:div>
    <w:div w:id="1898279642">
      <w:bodyDiv w:val="1"/>
      <w:marLeft w:val="0"/>
      <w:marRight w:val="0"/>
      <w:marTop w:val="0"/>
      <w:marBottom w:val="0"/>
      <w:divBdr>
        <w:top w:val="none" w:sz="0" w:space="0" w:color="auto"/>
        <w:left w:val="none" w:sz="0" w:space="0" w:color="auto"/>
        <w:bottom w:val="none" w:sz="0" w:space="0" w:color="auto"/>
        <w:right w:val="none" w:sz="0" w:space="0" w:color="auto"/>
      </w:divBdr>
    </w:div>
    <w:div w:id="1942837643">
      <w:bodyDiv w:val="1"/>
      <w:marLeft w:val="0"/>
      <w:marRight w:val="0"/>
      <w:marTop w:val="0"/>
      <w:marBottom w:val="0"/>
      <w:divBdr>
        <w:top w:val="none" w:sz="0" w:space="0" w:color="auto"/>
        <w:left w:val="none" w:sz="0" w:space="0" w:color="auto"/>
        <w:bottom w:val="none" w:sz="0" w:space="0" w:color="auto"/>
        <w:right w:val="none" w:sz="0" w:space="0" w:color="auto"/>
      </w:divBdr>
    </w:div>
    <w:div w:id="1964379644">
      <w:bodyDiv w:val="1"/>
      <w:marLeft w:val="0"/>
      <w:marRight w:val="0"/>
      <w:marTop w:val="0"/>
      <w:marBottom w:val="0"/>
      <w:divBdr>
        <w:top w:val="none" w:sz="0" w:space="0" w:color="auto"/>
        <w:left w:val="none" w:sz="0" w:space="0" w:color="auto"/>
        <w:bottom w:val="none" w:sz="0" w:space="0" w:color="auto"/>
        <w:right w:val="none" w:sz="0" w:space="0" w:color="auto"/>
      </w:divBdr>
      <w:divsChild>
        <w:div w:id="820537732">
          <w:marLeft w:val="547"/>
          <w:marRight w:val="0"/>
          <w:marTop w:val="0"/>
          <w:marBottom w:val="0"/>
          <w:divBdr>
            <w:top w:val="none" w:sz="0" w:space="0" w:color="auto"/>
            <w:left w:val="none" w:sz="0" w:space="0" w:color="auto"/>
            <w:bottom w:val="none" w:sz="0" w:space="0" w:color="auto"/>
            <w:right w:val="none" w:sz="0" w:space="0" w:color="auto"/>
          </w:divBdr>
        </w:div>
        <w:div w:id="805119689">
          <w:marLeft w:val="547"/>
          <w:marRight w:val="0"/>
          <w:marTop w:val="0"/>
          <w:marBottom w:val="0"/>
          <w:divBdr>
            <w:top w:val="none" w:sz="0" w:space="0" w:color="auto"/>
            <w:left w:val="none" w:sz="0" w:space="0" w:color="auto"/>
            <w:bottom w:val="none" w:sz="0" w:space="0" w:color="auto"/>
            <w:right w:val="none" w:sz="0" w:space="0" w:color="auto"/>
          </w:divBdr>
        </w:div>
        <w:div w:id="74594901">
          <w:marLeft w:val="547"/>
          <w:marRight w:val="0"/>
          <w:marTop w:val="0"/>
          <w:marBottom w:val="0"/>
          <w:divBdr>
            <w:top w:val="none" w:sz="0" w:space="0" w:color="auto"/>
            <w:left w:val="none" w:sz="0" w:space="0" w:color="auto"/>
            <w:bottom w:val="none" w:sz="0" w:space="0" w:color="auto"/>
            <w:right w:val="none" w:sz="0" w:space="0" w:color="auto"/>
          </w:divBdr>
        </w:div>
      </w:divsChild>
    </w:div>
    <w:div w:id="2021540574">
      <w:bodyDiv w:val="1"/>
      <w:marLeft w:val="0"/>
      <w:marRight w:val="0"/>
      <w:marTop w:val="0"/>
      <w:marBottom w:val="0"/>
      <w:divBdr>
        <w:top w:val="none" w:sz="0" w:space="0" w:color="auto"/>
        <w:left w:val="none" w:sz="0" w:space="0" w:color="auto"/>
        <w:bottom w:val="none" w:sz="0" w:space="0" w:color="auto"/>
        <w:right w:val="none" w:sz="0" w:space="0" w:color="auto"/>
      </w:divBdr>
    </w:div>
    <w:div w:id="2040859902">
      <w:bodyDiv w:val="1"/>
      <w:marLeft w:val="0"/>
      <w:marRight w:val="0"/>
      <w:marTop w:val="0"/>
      <w:marBottom w:val="0"/>
      <w:divBdr>
        <w:top w:val="none" w:sz="0" w:space="0" w:color="auto"/>
        <w:left w:val="none" w:sz="0" w:space="0" w:color="auto"/>
        <w:bottom w:val="none" w:sz="0" w:space="0" w:color="auto"/>
        <w:right w:val="none" w:sz="0" w:space="0" w:color="auto"/>
      </w:divBdr>
    </w:div>
    <w:div w:id="2097633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s://ec.europa.eu/taxation_customs/general-information-customs/electronic-customs/eu-single-window-environment-for-customs_en" TargetMode="External"/><Relationship Id="rId39" Type="http://schemas.openxmlformats.org/officeDocument/2006/relationships/header" Target="header10.xml"/><Relationship Id="rId21" Type="http://schemas.openxmlformats.org/officeDocument/2006/relationships/footer" Target="footer5.xml"/><Relationship Id="rId34" Type="http://schemas.openxmlformats.org/officeDocument/2006/relationships/image" Target="media/image3.png"/><Relationship Id="rId42" Type="http://schemas.openxmlformats.org/officeDocument/2006/relationships/footer" Target="footer11.xml"/><Relationship Id="rId47" Type="http://schemas.openxmlformats.org/officeDocument/2006/relationships/footer" Target="footer13.xml"/><Relationship Id="rId50" Type="http://schemas.openxmlformats.org/officeDocument/2006/relationships/footer" Target="footer15.xml"/><Relationship Id="rId55" Type="http://schemas.openxmlformats.org/officeDocument/2006/relationships/hyperlink" Target="https://unfccc.int/documents/275968" TargetMode="External"/><Relationship Id="rId63" Type="http://schemas.openxmlformats.org/officeDocument/2006/relationships/footer" Target="footer16.xml"/><Relationship Id="rId68" Type="http://schemas.openxmlformats.org/officeDocument/2006/relationships/header" Target="header20.xml"/><Relationship Id="rId76" Type="http://schemas.openxmlformats.org/officeDocument/2006/relationships/footer" Target="footer23.xml"/><Relationship Id="rId7" Type="http://schemas.openxmlformats.org/officeDocument/2006/relationships/settings" Target="settings.xml"/><Relationship Id="rId71" Type="http://schemas.openxmlformats.org/officeDocument/2006/relationships/header" Target="header21.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7.xml"/><Relationship Id="rId11" Type="http://schemas.openxmlformats.org/officeDocument/2006/relationships/image" Target="media/image1.emf"/><Relationship Id="rId24" Type="http://schemas.openxmlformats.org/officeDocument/2006/relationships/hyperlink" Target="https://ec.europa.eu/taxation_customs/business/calculation-customs-duties/customs-tariff/combined-nomenclature_en" TargetMode="External"/><Relationship Id="rId32" Type="http://schemas.openxmlformats.org/officeDocument/2006/relationships/footer" Target="footer9.xml"/><Relationship Id="rId37" Type="http://schemas.openxmlformats.org/officeDocument/2006/relationships/image" Target="media/image6.emf"/><Relationship Id="rId40" Type="http://schemas.openxmlformats.org/officeDocument/2006/relationships/header" Target="header11.xml"/><Relationship Id="rId45" Type="http://schemas.openxmlformats.org/officeDocument/2006/relationships/header" Target="header13.xml"/><Relationship Id="rId53" Type="http://schemas.openxmlformats.org/officeDocument/2006/relationships/image" Target="media/image10.emf"/><Relationship Id="rId58" Type="http://schemas.openxmlformats.org/officeDocument/2006/relationships/hyperlink" Target="https://unfccc.int/documents/194921" TargetMode="External"/><Relationship Id="rId66" Type="http://schemas.openxmlformats.org/officeDocument/2006/relationships/footer" Target="footer18.xml"/><Relationship Id="rId74" Type="http://schemas.openxmlformats.org/officeDocument/2006/relationships/header" Target="header23.xm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eader" Target="header16.xml"/><Relationship Id="rId165"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eader" Target="header9.xml"/><Relationship Id="rId44" Type="http://schemas.openxmlformats.org/officeDocument/2006/relationships/footer" Target="footer12.xml"/><Relationship Id="rId52" Type="http://schemas.openxmlformats.org/officeDocument/2006/relationships/image" Target="media/image9.png"/><Relationship Id="rId60" Type="http://schemas.openxmlformats.org/officeDocument/2006/relationships/image" Target="media/image14.emf"/><Relationship Id="rId65" Type="http://schemas.openxmlformats.org/officeDocument/2006/relationships/header" Target="header18.xml"/><Relationship Id="rId73" Type="http://schemas.openxmlformats.org/officeDocument/2006/relationships/header" Target="header22.xml"/><Relationship Id="rId78" Type="http://schemas.openxmlformats.org/officeDocument/2006/relationships/footer" Target="footer24.xml"/><Relationship Id="rId164"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image" Target="media/image4.png"/><Relationship Id="rId43" Type="http://schemas.openxmlformats.org/officeDocument/2006/relationships/header" Target="header12.xml"/><Relationship Id="rId48" Type="http://schemas.openxmlformats.org/officeDocument/2006/relationships/footer" Target="footer14.xml"/><Relationship Id="rId56" Type="http://schemas.openxmlformats.org/officeDocument/2006/relationships/hyperlink" Target="https://unfccc.int/documents/275968" TargetMode="External"/><Relationship Id="rId64" Type="http://schemas.openxmlformats.org/officeDocument/2006/relationships/footer" Target="footer17.xml"/><Relationship Id="rId69" Type="http://schemas.openxmlformats.org/officeDocument/2006/relationships/footer" Target="footer19.xml"/><Relationship Id="rId77" Type="http://schemas.openxmlformats.org/officeDocument/2006/relationships/header" Target="header24.xml"/><Relationship Id="rId8" Type="http://schemas.openxmlformats.org/officeDocument/2006/relationships/webSettings" Target="webSettings.xml"/><Relationship Id="rId51" Type="http://schemas.openxmlformats.org/officeDocument/2006/relationships/image" Target="media/image8.emf"/><Relationship Id="rId72" Type="http://schemas.openxmlformats.org/officeDocument/2006/relationships/footer" Target="footer21.xm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ipcc.ch/" TargetMode="Externa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header" Target="header14.xml"/><Relationship Id="rId59" Type="http://schemas.openxmlformats.org/officeDocument/2006/relationships/image" Target="media/image13.png"/><Relationship Id="rId67" Type="http://schemas.openxmlformats.org/officeDocument/2006/relationships/header" Target="header19.xml"/><Relationship Id="rId20" Type="http://schemas.openxmlformats.org/officeDocument/2006/relationships/footer" Target="footer4.xml"/><Relationship Id="rId41" Type="http://schemas.openxmlformats.org/officeDocument/2006/relationships/footer" Target="footer10.xml"/><Relationship Id="rId54" Type="http://schemas.openxmlformats.org/officeDocument/2006/relationships/image" Target="media/image11.png"/><Relationship Id="rId62" Type="http://schemas.openxmlformats.org/officeDocument/2006/relationships/header" Target="header17.xml"/><Relationship Id="rId70" Type="http://schemas.openxmlformats.org/officeDocument/2006/relationships/footer" Target="footer20.xml"/><Relationship Id="rId75" Type="http://schemas.openxmlformats.org/officeDocument/2006/relationships/footer" Target="footer2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8.xml"/><Relationship Id="rId36" Type="http://schemas.openxmlformats.org/officeDocument/2006/relationships/image" Target="media/image5.emf"/><Relationship Id="rId49" Type="http://schemas.openxmlformats.org/officeDocument/2006/relationships/header" Target="header15.xml"/><Relationship Id="rId57" Type="http://schemas.openxmlformats.org/officeDocument/2006/relationships/image" Target="media/image12.png"/></Relationships>
</file>

<file path=word/_rels/footnotes.xml.rels><?xml version="1.0" encoding="UTF-8" standalone="yes"?>
<Relationships xmlns="http://schemas.openxmlformats.org/package/2006/relationships"><Relationship Id="rId8" Type="http://schemas.openxmlformats.org/officeDocument/2006/relationships/hyperlink" Target="http://eur-lex.europa.eu/LexUriServ/LexUriServ.do?uri=COM:2011:0112:FIN:EN:PDF" TargetMode="External"/><Relationship Id="rId13" Type="http://schemas.openxmlformats.org/officeDocument/2006/relationships/hyperlink" Target="https://energy.ec.europa.eu/publications-new/excel-files-mix-scenario_en" TargetMode="External"/><Relationship Id="rId18" Type="http://schemas.openxmlformats.org/officeDocument/2006/relationships/hyperlink" Target="https://www.eea.europa.eu/publications/fluorinated-greenhouse-gases-2020" TargetMode="External"/><Relationship Id="rId26" Type="http://schemas.openxmlformats.org/officeDocument/2006/relationships/hyperlink" Target="https://ec.europa.eu/clima/sites/default/files/f-gas/legislation/docs/com_2017_377_en.pdf" TargetMode="External"/><Relationship Id="rId39" Type="http://schemas.openxmlformats.org/officeDocument/2006/relationships/hyperlink" Target="https://joint-research-centre.ec.europa.eu/gem-e3/gem-e3-model_en" TargetMode="External"/><Relationship Id="rId3" Type="http://schemas.openxmlformats.org/officeDocument/2006/relationships/hyperlink" Target="https://eur-lex.europa.eu/legal-content/EN/TXT/?uri=celex%3A32021R1119" TargetMode="External"/><Relationship Id="rId21" Type="http://schemas.openxmlformats.org/officeDocument/2006/relationships/hyperlink" Target="https://ec.europa.eu/info/law/better-regulation/have-your-say/initiatives/12479-Review-of-EU-rules-on-fluorinated-greenhouse-gases/public-consultation" TargetMode="External"/><Relationship Id="rId34" Type="http://schemas.openxmlformats.org/officeDocument/2006/relationships/hyperlink" Target="https://www.zvei.org/fileadmin/user_upload/Presse_und_Medien/Publikationen/2020/April/SF_6_Reduktion/Szenario-zur-Reduktion-von-SF6-Betriebsemissionen-final-eng.pdf" TargetMode="External"/><Relationship Id="rId7" Type="http://schemas.openxmlformats.org/officeDocument/2006/relationships/hyperlink" Target="https://www.europarl.europa.eu/doceo/document/TA-9-2021-0437_EN.html" TargetMode="External"/><Relationship Id="rId12" Type="http://schemas.openxmlformats.org/officeDocument/2006/relationships/hyperlink" Target="https://eur-lex.europa.eu/legal-content/EN/TXT/?uri=CELEX%3A52011DC0112&amp;qid=1646129502434" TargetMode="External"/><Relationship Id="rId17" Type="http://schemas.openxmlformats.org/officeDocument/2006/relationships/hyperlink" Target="https://ec.europa.eu/clima/document/download/11f89677-c97e-420d-97b7-97b9ad14618a_en" TargetMode="External"/><Relationship Id="rId25" Type="http://schemas.openxmlformats.org/officeDocument/2006/relationships/hyperlink" Target="https://ec.europa.eu/clima/sites/default/files/f-gas/legislation/docs/c_2017_5230_en.pdf" TargetMode="External"/><Relationship Id="rId33" Type="http://schemas.openxmlformats.org/officeDocument/2006/relationships/hyperlink" Target="https://ec.europa.eu/info/law/better-regulation/have-your-say/initiatives/12479-Fluorinated-greenhouse-gases-review-of-EU-rules-2015-20-_en" TargetMode="External"/><Relationship Id="rId38" Type="http://schemas.openxmlformats.org/officeDocument/2006/relationships/hyperlink" Target="https://www.zvei.org/fileadmin/user_upload/Presse_und_Medien/Publikationen/2020/April/SF_6_Reduktion/Szenario-zur-Reduktion-von-SF6-Betriebsemissionen-final-eng.pdf" TargetMode="External"/><Relationship Id="rId2" Type="http://schemas.openxmlformats.org/officeDocument/2006/relationships/hyperlink" Target="https://eur-lex.europa.eu/legal-content/EN/TXT/?uri=celex%3A32014R0517" TargetMode="External"/><Relationship Id="rId16" Type="http://schemas.openxmlformats.org/officeDocument/2006/relationships/hyperlink" Target="https://www.zvei.org/fileadmin/user_upload/Presse_und_Medien/Publikationen/2020/April/SF_6_Reduktion/Szenario-zur-Reduktion-von-SF6-Betriebsemissionen-final-eng.pdf" TargetMode="External"/><Relationship Id="rId20" Type="http://schemas.openxmlformats.org/officeDocument/2006/relationships/hyperlink" Target="https://ec.europa.eu/info/law/better-regulation/have-your-say/initiatives/12479-Fluorinated-greenhouse-gases-review-of-EU-rules-2015-20-/public-consultation_en" TargetMode="External"/><Relationship Id="rId29" Type="http://schemas.openxmlformats.org/officeDocument/2006/relationships/hyperlink" Target="https://ec.europa.eu/info/law/better-regulation/have-your-say/initiatives/12479-Review-of-EU-rules-on-fluorinated-greenhouse-gases/public-consultation_en" TargetMode="External"/><Relationship Id="rId41" Type="http://schemas.openxmlformats.org/officeDocument/2006/relationships/hyperlink" Target="https://joint-research-centre.ec.europa.eu/global-and-eu-macroeconomic-baselines-policy-assessments_en" TargetMode="External"/><Relationship Id="rId1" Type="http://schemas.openxmlformats.org/officeDocument/2006/relationships/hyperlink" Target="https://eur-lex.europa.eu/legal-content/EN/TXT/?uri=celex%3A32009R1005" TargetMode="External"/><Relationship Id="rId6" Type="http://schemas.openxmlformats.org/officeDocument/2006/relationships/hyperlink" Target="https://www.ipcc.ch/sr15/" TargetMode="External"/><Relationship Id="rId11" Type="http://schemas.openxmlformats.org/officeDocument/2006/relationships/hyperlink" Target="https://www.epeeglobal.org/press-release-epee-welcomes-the-revision-of-the-f-gas-regulation-fine-tuning-the-gold-standard-is-key/" TargetMode="External"/><Relationship Id="rId24" Type="http://schemas.openxmlformats.org/officeDocument/2006/relationships/hyperlink" Target="https://ec.europa.eu/clima/sites/default/files/news/docs/c_2020_6635_en.pdf" TargetMode="External"/><Relationship Id="rId32" Type="http://schemas.openxmlformats.org/officeDocument/2006/relationships/hyperlink" Target="https://ec.europa.eu/clima/sites/default/files/f-gas/legislation/docs/20210506_briefing_en.pdf" TargetMode="External"/><Relationship Id="rId37" Type="http://schemas.openxmlformats.org/officeDocument/2006/relationships/hyperlink" Target="https://www.waermepumpe.de/" TargetMode="External"/><Relationship Id="rId40" Type="http://schemas.openxmlformats.org/officeDocument/2006/relationships/hyperlink" Target="https://ec.europa.eu/info/publications/2021-ageing-report-underlying-assumptions-and-projection-methodologies_en" TargetMode="External"/><Relationship Id="rId5" Type="http://schemas.openxmlformats.org/officeDocument/2006/relationships/hyperlink" Target="https://eur-lex.europa.eu/legal-content/EN/TXT/?uri=COM%3A2021%3A555%3AFIN" TargetMode="External"/><Relationship Id="rId15" Type="http://schemas.openxmlformats.org/officeDocument/2006/relationships/hyperlink" Target="https://ec.europa.eu/taxation_customs/eu-single-window-environment-customs_en" TargetMode="External"/><Relationship Id="rId23" Type="http://schemas.openxmlformats.org/officeDocument/2006/relationships/hyperlink" Target="https://ec.europa.eu/clima/sites/default/files/news/docs/c_2020_6637_en.pdf" TargetMode="External"/><Relationship Id="rId28" Type="http://schemas.openxmlformats.org/officeDocument/2006/relationships/hyperlink" Target="http://eur-lex.europa.eu/legal-content/EN/TXT/?uri=CELEX:52016DC0748" TargetMode="External"/><Relationship Id="rId36" Type="http://schemas.openxmlformats.org/officeDocument/2006/relationships/hyperlink" Target="https://www.ehpa.org/" TargetMode="External"/><Relationship Id="rId10" Type="http://schemas.openxmlformats.org/officeDocument/2006/relationships/hyperlink" Target="https://eur-lex.europa.eu/legal-content/EN/TXT/?uri=CELEX:32009L0125" TargetMode="External"/><Relationship Id="rId19" Type="http://schemas.openxmlformats.org/officeDocument/2006/relationships/hyperlink" Target="https://ec.europa.eu/info/law/better-regulation/have-your-say/initiatives/12479-Fluorinated-greenhouse-gases-review-of-EU-rules-2015-20-_en" TargetMode="External"/><Relationship Id="rId31" Type="http://schemas.openxmlformats.org/officeDocument/2006/relationships/hyperlink" Target="https://ec.europa.eu/clima/sites/default/files/events/docs/20210506_presentation_en.pdf" TargetMode="External"/><Relationship Id="rId4" Type="http://schemas.openxmlformats.org/officeDocument/2006/relationships/hyperlink" Target="https://eur-lex.europa.eu/legal-content/EN/TXT/?uri=CELEX%3A52020DC0562" TargetMode="External"/><Relationship Id="rId9" Type="http://schemas.openxmlformats.org/officeDocument/2006/relationships/hyperlink" Target="https://eur-lex.europa.eu/legal-content/EN/TXT/PDF/?uri=CELEX:32018R1999&amp;from=EN" TargetMode="External"/><Relationship Id="rId14" Type="http://schemas.openxmlformats.org/officeDocument/2006/relationships/hyperlink" Target="https://ec.europa.eu/clima/document/download/8b970e78-c5c3-41fd-b846-c75c1b6b045b_en" TargetMode="External"/><Relationship Id="rId22" Type="http://schemas.openxmlformats.org/officeDocument/2006/relationships/hyperlink" Target="https://ec.europa.eu/clima/sites/default/files/f-gas/docs/20201216_c_2020_8842_en.pdf" TargetMode="External"/><Relationship Id="rId27" Type="http://schemas.openxmlformats.org/officeDocument/2006/relationships/hyperlink" Target="http://eur-lex.europa.eu/legal-content/EN/TXT/?uri=CELEX:52016DC0749" TargetMode="External"/><Relationship Id="rId30" Type="http://schemas.openxmlformats.org/officeDocument/2006/relationships/hyperlink" Target="https://ec.europa.eu/clima/sites/default/files/f-gas/legislation/docs/20210506_agenda_en.pdf" TargetMode="External"/><Relationship Id="rId35" Type="http://schemas.openxmlformats.org/officeDocument/2006/relationships/hyperlink" Target="https://www.eea.europa.eu/publications/fluorinated-greenhouse-gases-2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1B87D5ABF651429579392F313233BD" ma:contentTypeVersion="4" ma:contentTypeDescription="Create a new document." ma:contentTypeScope="" ma:versionID="07223708b8beac1146218ad8fc8cabc7">
  <xsd:schema xmlns:xsd="http://www.w3.org/2001/XMLSchema" xmlns:xs="http://www.w3.org/2001/XMLSchema" xmlns:p="http://schemas.microsoft.com/office/2006/metadata/properties" xmlns:ns2="b2332242-72eb-4c56-ab66-572cc47fcb14" targetNamespace="http://schemas.microsoft.com/office/2006/metadata/properties" ma:root="true" ma:fieldsID="d9cabb75f3dbed2eecd20797af06b512" ns2:_="">
    <xsd:import namespace="b2332242-72eb-4c56-ab66-572cc47fcb1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332242-72eb-4c56-ab66-572cc47fcb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SKM12</b:Tag>
    <b:SourceType>Report</b:SourceType>
    <b:Guid>{9248FB64-51B1-467E-9A6E-62B7560E5DDB}</b:Guid>
    <b:Author>
      <b:Author>
        <b:Corporate>SKM Enviros</b:Corporate>
      </b:Author>
    </b:Author>
    <b:Title>Further Assessment of Policy Options for the Management and Destruction of Banks of ODS and F-Gases in the EU</b:Title>
    <b:Year>2012</b:Year>
    <b:RefOrder>2</b:RefOrder>
  </b:Source>
  <b:Source>
    <b:Tag>Eur20a</b:Tag>
    <b:SourceType>Report</b:SourceType>
    <b:Guid>{CFD17866-E11E-4D67-B5B3-04811A57D66A}</b:Guid>
    <b:Author>
      <b:Author>
        <b:NameList>
          <b:Person>
            <b:Last>EEA</b:Last>
          </b:Person>
        </b:NameList>
      </b:Author>
    </b:Author>
    <b:Title>Ozone-depleting substances 2020. https://www.eea.europa.eu/themes/climate/ozone-depleting-substances-and-climate-change/2020</b:Title>
    <b:Year>2020</b:Year>
    <b:RefOrder>3</b:RefOrder>
  </b:Source>
  <b:Source>
    <b:Tag>Hon19</b:Tag>
    <b:SourceType>Report</b:SourceType>
    <b:Guid>{A3BBAA96-AB91-421B-9CE9-8C49D51CC1CA}</b:Guid>
    <b:Author>
      <b:Author>
        <b:Corporate>Honeywell</b:Corporate>
      </b:Author>
    </b:Author>
    <b:Title>Update on next generation low GWP Refrigerants for chiller products</b:Title>
    <b:Year>2019</b:Year>
    <b:RefOrder>4</b:RefOrder>
  </b:Source>
  <b:Source>
    <b:Tag>Sav18</b:Tag>
    <b:SourceType>Report</b:SourceType>
    <b:Guid>{7A9DB27D-7FA5-4C94-878C-C18CFE219BF4}</b:Guid>
    <b:Author>
      <b:Author>
        <b:NameList>
          <b:Person>
            <b:Last>Saviano</b:Last>
            <b:First>G.</b:First>
          </b:Person>
        </b:NameList>
      </b:Author>
    </b:Author>
    <b:Title>Properties of potential eco-friendly gas replacements for particle detectors in high energy physics</b:Title>
    <b:Year>2018</b:Year>
    <b:RefOrder>5</b:RefOrder>
  </b:Source>
  <b:Source>
    <b:Tag>Cle20</b:Tag>
    <b:SourceType>Report</b:SourceType>
    <b:Guid>{1D6BECE6-0952-4153-9E9B-24EA4B85046E}</b:Guid>
    <b:Author>
      <b:Author>
        <b:Corporate>Clean label project</b:Corporate>
      </b:Author>
    </b:Author>
    <b:Title>Decaf Coffee: Our point of view; study on DCM contents in decaf coffee</b:Title>
    <b:Year>2020</b:Year>
    <b:RefOrder>6</b:RefOrder>
  </b:Source>
  <b:Source>
    <b:Tag>ECH16</b:Tag>
    <b:SourceType>Report</b:SourceType>
    <b:Guid>{73AE3B0B-8765-4513-99F7-D705C4808C57}</b:Guid>
    <b:Author>
      <b:Author>
        <b:Corporate>ECHA</b:Corporate>
      </b:Author>
    </b:Author>
    <b:Title>Substance infocard for dichloromethane; methylene chloride</b:Title>
    <b:Year>2016</b:Year>
    <b:RefOrder>7</b:RefOrder>
  </b:Source>
  <b:Source>
    <b:Tag>Eur2</b:Tag>
    <b:SourceType>Report</b:SourceType>
    <b:Guid>{41C857CB-C477-49CB-9B44-936B0518C4FA}</b:Guid>
    <b:Author>
      <b:Author>
        <b:Corporate>European Commission</b:Corporate>
      </b:Author>
    </b:Author>
    <b:Title>Volatile Organic Carbon Solvents Directive</b:Title>
    <b:Year>1999</b:Year>
    <b:RefOrder>8</b:RefOrder>
  </b:Source>
  <b:Source>
    <b:Tag>Eur13</b:Tag>
    <b:SourceType>Report</b:SourceType>
    <b:Guid>{56D9B78B-AB1D-4BD6-A011-0A4D7DCAFC4D}</b:Guid>
    <b:Author>
      <b:Author>
        <b:Corporate>European Chemicals Bureau</b:Corporate>
      </b:Author>
    </b:Author>
    <b:Title>Tetrachloroethylene Risk Assessment Report - part I: Environment</b:Title>
    <b:Year>2005</b:Year>
    <b:RefOrder>9</b:RefOrder>
  </b:Source>
  <b:Source>
    <b:Tag>Eur1</b:Tag>
    <b:SourceType>Report</b:SourceType>
    <b:Guid>{2D1D4F63-2C5D-4B22-BA16-1039430F2B3F}</b:Guid>
    <b:Author>
      <b:Author>
        <b:Corporate>European Commission</b:Corporate>
      </b:Author>
    </b:Author>
    <b:Title>Staff Working Document: Evaluation of Regulation (EC) No 1005/2009 of the European Parliament and of the Council of 16 September 2009 on substances that deplete the ozone layer</b:Title>
    <b:Year>2019</b:Year>
    <b:RefOrder>10</b:RefOrder>
  </b:Source>
  <b:Source>
    <b:Tag>Eur20</b:Tag>
    <b:SourceType>Report</b:SourceType>
    <b:Guid>{05A032BB-D3D7-4FE6-958F-5157244A7940}</b:Guid>
    <b:Author>
      <b:Author>
        <b:Corporate>European Environment Agency</b:Corporate>
      </b:Author>
    </b:Author>
    <b:Title>Annual data collection on production and use of ODS substances</b:Title>
    <b:Year>2020</b:Year>
    <b:RefOrder>11</b:RefOrder>
  </b:Source>
  <b:Source>
    <b:Tag>Ram19</b:Tag>
    <b:SourceType>Report</b:SourceType>
    <b:Guid>{599FD3BD-1D09-49CB-8F6B-F12950686331}</b:Guid>
    <b:Author>
      <b:Author>
        <b:Corporate>Ramboll</b:Corporate>
      </b:Author>
    </b:Author>
    <b:Title>Support study for the evaluation of Regulation (EC) No 1005/2009 on substances that deplete the ozone layer</b:Title>
    <b:Year>2019</b:Year>
    <b:RefOrder>12</b:RefOrder>
  </b:Source>
  <b:Source>
    <b:Tag>UNE18</b:Tag>
    <b:SourceType>Report</b:SourceType>
    <b:Guid>{84E98707-CB77-494E-8ABF-880093639645}</b:Guid>
    <b:Title>Report of the Halons Technical Options Committee, Volume 1, 2018 Assessment Report.</b:Title>
    <b:Year>2018</b:Year>
    <b:Author>
      <b:Author>
        <b:NameList>
          <b:Person>
            <b:Last>UNEP</b:Last>
          </b:Person>
        </b:NameList>
      </b:Author>
    </b:Author>
    <b:RefOrder>13</b:RefOrder>
  </b:Source>
  <b:Source>
    <b:Tag>Mar20</b:Tag>
    <b:SourceType>JournalArticle</b:SourceType>
    <b:Guid>{A5815D1C-03F0-4FE1-B979-0142D034527A}</b:Guid>
    <b:Title>House Price Dynamics and Bank Herding: European Evidence</b:Title>
    <b:JournalName>Journal of Real Estate</b:JournalName>
    <b:Year>2020</b:Year>
    <b:Pages>365-396</b:Pages>
    <b:Author>
      <b:Author>
        <b:Corporate>Martins et al.</b:Corporate>
      </b:Author>
    </b:Author>
    <b:RefOrder>1</b:RefOrder>
  </b:Source>
</b:Sources>
</file>

<file path=customXml/itemProps1.xml><?xml version="1.0" encoding="utf-8"?>
<ds:datastoreItem xmlns:ds="http://schemas.openxmlformats.org/officeDocument/2006/customXml" ds:itemID="{CDE55A28-76EE-40EE-962C-EFC317C021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332242-72eb-4c56-ab66-572cc47fcb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77BE46-4155-4A61-A9CE-FD4279F80C22}">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b2332242-72eb-4c56-ab66-572cc47fcb14"/>
    <ds:schemaRef ds:uri="http://purl.org/dc/terms/"/>
    <ds:schemaRef ds:uri="http://www.w3.org/XML/1998/namespace"/>
    <ds:schemaRef ds:uri="http://purl.org/dc/dcmitype/"/>
  </ds:schemaRefs>
</ds:datastoreItem>
</file>

<file path=customXml/itemProps3.xml><?xml version="1.0" encoding="utf-8"?>
<ds:datastoreItem xmlns:ds="http://schemas.openxmlformats.org/officeDocument/2006/customXml" ds:itemID="{91467BB0-9DDA-40F1-B7F8-AD012572CAB9}">
  <ds:schemaRefs>
    <ds:schemaRef ds:uri="http://schemas.microsoft.com/sharepoint/v3/contenttype/forms"/>
  </ds:schemaRefs>
</ds:datastoreItem>
</file>

<file path=customXml/itemProps4.xml><?xml version="1.0" encoding="utf-8"?>
<ds:datastoreItem xmlns:ds="http://schemas.openxmlformats.org/officeDocument/2006/customXml" ds:itemID="{755EDF63-68C3-4091-A927-F5247FBF8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47105</Words>
  <Characters>255781</Characters>
  <Application>Microsoft Office Word</Application>
  <DocSecurity>0</DocSecurity>
  <Lines>5813</Lines>
  <Paragraphs>2940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299946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EC CoDe</cp:lastModifiedBy>
  <cp:revision>29</cp:revision>
  <cp:lastPrinted>2022-01-18T09:39:00Z</cp:lastPrinted>
  <dcterms:created xsi:type="dcterms:W3CDTF">2022-03-28T15:41:00Z</dcterms:created>
  <dcterms:modified xsi:type="dcterms:W3CDTF">2022-04-04T18:51:00Z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2</vt:lpwstr>
  </property>
  <property fmtid="{D5CDD505-2E9C-101B-9397-08002B2CF9AE}" pid="5" name="DocStatus">
    <vt:lpwstr>Green</vt:lpwstr>
  </property>
  <property fmtid="{D5CDD505-2E9C-101B-9397-08002B2CF9AE}" pid="6" name="CPTemplateID">
    <vt:lpwstr>CP-026</vt:lpwstr>
  </property>
  <property fmtid="{D5CDD505-2E9C-101B-9397-08002B2CF9AE}" pid="7" name="Created using">
    <vt:lpwstr>LW 7.0.1, Build 20190916</vt:lpwstr>
  </property>
  <property fmtid="{D5CDD505-2E9C-101B-9397-08002B2CF9AE}" pid="8" name="Last edited using">
    <vt:lpwstr>LW 8.0, Build 20220128</vt:lpwstr>
  </property>
  <property fmtid="{D5CDD505-2E9C-101B-9397-08002B2CF9AE}" pid="9" name="_LW_INVALIDATED__LW_INVALIDATED__LW_INVALIDATED__LW_INVALIDATED__LW_INVALIDATED__LW_INVALIDATED__LW_INVALIDATED__LW_INVALIDATED__LW_INVALIDATED__LW_INVALIDATED__LW_INVALIDATED__LW_INVALIDATED__LW_INVALIDATED__LW_INVALIDATED__LW_INVALIDATED__LW_INVALIDATED">
    <vt:lpwstr>0x010100258AA79CEB83498886A3A08681123250001BACE5CAC6A6B74EB03A6A7A89C32BCD</vt:lpwstr>
  </property>
  <property fmtid="{D5CDD505-2E9C-101B-9397-08002B2CF9AE}" pid="10" name="_LW_INVALIDATED__LW_INVALIDATED__LW_INVALIDATED__LW_INVALIDATED__LW_INVALIDATED__LW_INVALIDATED__LW_INVALIDATED__LW_INVALIDATED__LW_INVALIDATED__LW_INVALIDATED_ContentTypeId">
    <vt:lpwstr>0x010100FF1B87D5ABF651429579392F313233BD</vt:lpwstr>
  </property>
  <property fmtid="{D5CDD505-2E9C-101B-9397-08002B2CF9AE}" pid="11" name="MSIP_Label_6bd9ddd1-4d20-43f6-abfa-fc3c07406f94_Enabled">
    <vt:lpwstr>true</vt:lpwstr>
  </property>
  <property fmtid="{D5CDD505-2E9C-101B-9397-08002B2CF9AE}" pid="12" name="MSIP_Label_6bd9ddd1-4d20-43f6-abfa-fc3c07406f94_SetDate">
    <vt:lpwstr>2022-03-18T16:47:18Z</vt:lpwstr>
  </property>
  <property fmtid="{D5CDD505-2E9C-101B-9397-08002B2CF9AE}" pid="13" name="MSIP_Label_6bd9ddd1-4d20-43f6-abfa-fc3c07406f94_Method">
    <vt:lpwstr>Standard</vt:lpwstr>
  </property>
  <property fmtid="{D5CDD505-2E9C-101B-9397-08002B2CF9AE}" pid="14" name="MSIP_Label_6bd9ddd1-4d20-43f6-abfa-fc3c07406f94_Name">
    <vt:lpwstr>Commission Use</vt:lpwstr>
  </property>
  <property fmtid="{D5CDD505-2E9C-101B-9397-08002B2CF9AE}" pid="15" name="MSIP_Label_6bd9ddd1-4d20-43f6-abfa-fc3c07406f94_SiteId">
    <vt:lpwstr>b24c8b06-522c-46fe-9080-70926f8dddb1</vt:lpwstr>
  </property>
  <property fmtid="{D5CDD505-2E9C-101B-9397-08002B2CF9AE}" pid="16" name="MSIP_Label_6bd9ddd1-4d20-43f6-abfa-fc3c07406f94_ActionId">
    <vt:lpwstr>31ad41c2-0a33-499d-b826-d640a355886b</vt:lpwstr>
  </property>
  <property fmtid="{D5CDD505-2E9C-101B-9397-08002B2CF9AE}" pid="17" name="MSIP_Label_6bd9ddd1-4d20-43f6-abfa-fc3c07406f94_ContentBits">
    <vt:lpwstr>0</vt:lpwstr>
  </property>
</Properties>
</file>